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74E0E" w14:textId="12684B5B" w:rsidR="00573A63" w:rsidRDefault="00850E3C" w:rsidP="00CC2BD8">
      <w:pPr>
        <w:pStyle w:val="Pagedecouverture"/>
        <w:rPr>
          <w:noProof/>
        </w:rPr>
      </w:pPr>
      <w:bookmarkStart w:id="0" w:name="_GoBack"/>
      <w:bookmarkEnd w:id="0"/>
      <w:r>
        <w:rPr>
          <w:noProof/>
        </w:rPr>
        <w:pict w14:anchorId="60353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1817398-CF4D-41D7-967F-DDE8C4BC2923" style="width:455.45pt;height:426pt">
            <v:imagedata r:id="rId8" o:title=""/>
          </v:shape>
        </w:pict>
      </w:r>
    </w:p>
    <w:p w14:paraId="2C7A506B" w14:textId="77777777" w:rsidR="00573A63" w:rsidRDefault="00573A63" w:rsidP="00573A63">
      <w:pPr>
        <w:rPr>
          <w:noProof/>
        </w:rPr>
        <w:sectPr w:rsidR="00573A63" w:rsidSect="00B2137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B6BF0E9" w14:textId="77777777" w:rsidR="00573A63" w:rsidRDefault="00573A63" w:rsidP="00660ED3">
      <w:pPr>
        <w:pStyle w:val="Exposdesmotifstitre"/>
        <w:rPr>
          <w:noProof/>
        </w:rPr>
      </w:pPr>
      <w:r w:rsidRPr="006F770D">
        <w:rPr>
          <w:noProof/>
        </w:rPr>
        <w:lastRenderedPageBreak/>
        <w:t>EXPLANATORY MEMORANDUM</w:t>
      </w:r>
    </w:p>
    <w:p w14:paraId="270604E5" w14:textId="77777777" w:rsidR="00573A63" w:rsidRDefault="00573A63" w:rsidP="00CD09AF">
      <w:pPr>
        <w:pStyle w:val="ManualHeading1"/>
        <w:widowControl w:val="0"/>
        <w:shd w:val="clear" w:color="auto" w:fill="FFFFFF" w:themeFill="background1"/>
        <w:spacing w:before="230" w:after="0" w:line="269" w:lineRule="exact"/>
        <w:ind w:right="86"/>
        <w:rPr>
          <w:noProof/>
        </w:rPr>
      </w:pPr>
      <w:bookmarkStart w:id="1" w:name="_Toc126762654"/>
      <w:bookmarkStart w:id="2" w:name="_Toc126826566"/>
      <w:r>
        <w:rPr>
          <w:noProof/>
        </w:rPr>
        <w:t>CONTEXT OF THE PROPOSAL</w:t>
      </w:r>
      <w:bookmarkEnd w:id="1"/>
      <w:bookmarkEnd w:id="2"/>
    </w:p>
    <w:p w14:paraId="2CF68E8C" w14:textId="77777777" w:rsidR="00573A63" w:rsidRDefault="00573A63" w:rsidP="00660ED3">
      <w:pPr>
        <w:pStyle w:val="ManualHeading2"/>
        <w:rPr>
          <w:rFonts w:eastAsia="Arial Unicode MS"/>
          <w:noProof/>
        </w:rPr>
      </w:pPr>
      <w:bookmarkStart w:id="3" w:name="_Toc126762655"/>
      <w:bookmarkStart w:id="4" w:name="_Toc126826567"/>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bookmarkEnd w:id="3"/>
      <w:bookmarkEnd w:id="4"/>
    </w:p>
    <w:p w14:paraId="09C76409" w14:textId="77777777" w:rsidR="00AD4379" w:rsidRDefault="00AD4379" w:rsidP="00AD4379">
      <w:pPr>
        <w:rPr>
          <w:noProof/>
          <w:szCs w:val="24"/>
        </w:rPr>
      </w:pPr>
      <w:r w:rsidRPr="001678AF">
        <w:rPr>
          <w:noProof/>
          <w:szCs w:val="24"/>
        </w:rPr>
        <w:t xml:space="preserve">Companies are at the heart of the single market. </w:t>
      </w:r>
      <w:r w:rsidR="00304A64">
        <w:rPr>
          <w:noProof/>
          <w:szCs w:val="24"/>
        </w:rPr>
        <w:t>Thanks to</w:t>
      </w:r>
      <w:r w:rsidRPr="001678AF">
        <w:rPr>
          <w:noProof/>
          <w:szCs w:val="24"/>
        </w:rPr>
        <w:t xml:space="preserve"> their business activities and </w:t>
      </w:r>
      <w:r w:rsidRPr="00B664EF">
        <w:rPr>
          <w:noProof/>
          <w:szCs w:val="24"/>
        </w:rPr>
        <w:t xml:space="preserve">investments, including on a cross-border basis, they play a </w:t>
      </w:r>
      <w:r w:rsidR="00304A64" w:rsidRPr="00623D76">
        <w:rPr>
          <w:noProof/>
          <w:szCs w:val="24"/>
        </w:rPr>
        <w:t>leading</w:t>
      </w:r>
      <w:r w:rsidRPr="00B664EF">
        <w:rPr>
          <w:noProof/>
          <w:szCs w:val="24"/>
        </w:rPr>
        <w:t xml:space="preserve"> role in contributing to the</w:t>
      </w:r>
      <w:r w:rsidRPr="001678AF">
        <w:rPr>
          <w:noProof/>
          <w:szCs w:val="24"/>
        </w:rPr>
        <w:t xml:space="preserve"> EU’s economic prosperity, competitiveness and </w:t>
      </w:r>
      <w:r>
        <w:rPr>
          <w:noProof/>
          <w:szCs w:val="24"/>
        </w:rPr>
        <w:t xml:space="preserve">in </w:t>
      </w:r>
      <w:r w:rsidRPr="001678AF">
        <w:rPr>
          <w:noProof/>
          <w:szCs w:val="24"/>
        </w:rPr>
        <w:t xml:space="preserve">carrying through the EU’s twin transition to a sustainable and digital economy. </w:t>
      </w:r>
      <w:r>
        <w:rPr>
          <w:noProof/>
          <w:szCs w:val="24"/>
        </w:rPr>
        <w:t>To this end</w:t>
      </w:r>
      <w:r w:rsidRPr="0013342A">
        <w:rPr>
          <w:rFonts w:eastAsia="Calibri"/>
          <w:noProof/>
          <w:szCs w:val="24"/>
        </w:rPr>
        <w:t xml:space="preserve">, companies </w:t>
      </w:r>
      <w:r w:rsidRPr="0013342A">
        <w:rPr>
          <w:noProof/>
          <w:szCs w:val="24"/>
        </w:rPr>
        <w:t>need a predictable legal framework that is conduc</w:t>
      </w:r>
      <w:r w:rsidRPr="001678AF">
        <w:rPr>
          <w:noProof/>
          <w:szCs w:val="24"/>
        </w:rPr>
        <w:t xml:space="preserve">ive to growth and adapted to face the new economic and social challenges in an increasingly digital world. </w:t>
      </w:r>
      <w:r w:rsidR="00CC3208" w:rsidRPr="001678AF">
        <w:rPr>
          <w:rFonts w:eastAsia="Calibri"/>
          <w:noProof/>
          <w:szCs w:val="24"/>
        </w:rPr>
        <w:t xml:space="preserve">While companies </w:t>
      </w:r>
      <w:r w:rsidR="00CC3208" w:rsidRPr="001678AF">
        <w:rPr>
          <w:noProof/>
          <w:color w:val="000000"/>
          <w:szCs w:val="24"/>
          <w:shd w:val="clear" w:color="auto" w:fill="FFFFFF"/>
        </w:rPr>
        <w:t xml:space="preserve">are </w:t>
      </w:r>
      <w:r w:rsidR="00CC3208">
        <w:rPr>
          <w:noProof/>
          <w:color w:val="000000"/>
          <w:szCs w:val="24"/>
          <w:shd w:val="clear" w:color="auto" w:fill="FFFFFF"/>
        </w:rPr>
        <w:t xml:space="preserve">established under </w:t>
      </w:r>
      <w:r w:rsidR="00CC3208" w:rsidRPr="001678AF">
        <w:rPr>
          <w:noProof/>
          <w:color w:val="000000"/>
          <w:szCs w:val="24"/>
          <w:shd w:val="clear" w:color="auto" w:fill="FFFFFF"/>
        </w:rPr>
        <w:t>national law, EU company law lay</w:t>
      </w:r>
      <w:r w:rsidR="00CC3208">
        <w:rPr>
          <w:noProof/>
          <w:color w:val="000000"/>
          <w:szCs w:val="24"/>
          <w:shd w:val="clear" w:color="auto" w:fill="FFFFFF"/>
        </w:rPr>
        <w:t xml:space="preserve">s </w:t>
      </w:r>
      <w:r w:rsidR="00CC3208" w:rsidRPr="001678AF">
        <w:rPr>
          <w:noProof/>
          <w:color w:val="000000"/>
          <w:szCs w:val="24"/>
          <w:shd w:val="clear" w:color="auto" w:fill="FFFFFF"/>
        </w:rPr>
        <w:t xml:space="preserve">down a </w:t>
      </w:r>
      <w:r w:rsidR="00CC3208" w:rsidRPr="001678AF">
        <w:rPr>
          <w:rFonts w:eastAsia="Calibri"/>
          <w:noProof/>
          <w:szCs w:val="24"/>
        </w:rPr>
        <w:t xml:space="preserve">legal framework </w:t>
      </w:r>
      <w:r w:rsidR="00CC3208">
        <w:rPr>
          <w:rFonts w:eastAsia="Calibri"/>
          <w:noProof/>
          <w:szCs w:val="24"/>
        </w:rPr>
        <w:t xml:space="preserve">that </w:t>
      </w:r>
      <w:r w:rsidR="00CC3208" w:rsidRPr="002C70B9" w:rsidDel="005D5398">
        <w:rPr>
          <w:rFonts w:eastAsia="Calibri"/>
          <w:noProof/>
          <w:szCs w:val="24"/>
        </w:rPr>
        <w:t xml:space="preserve">enhances </w:t>
      </w:r>
      <w:r w:rsidR="00CC3208" w:rsidRPr="00C407B8">
        <w:rPr>
          <w:rFonts w:eastAsia="Calibri"/>
          <w:noProof/>
          <w:szCs w:val="24"/>
        </w:rPr>
        <w:t xml:space="preserve">legal certainty </w:t>
      </w:r>
      <w:r w:rsidR="00CC3208">
        <w:rPr>
          <w:rFonts w:eastAsia="Calibri"/>
          <w:noProof/>
          <w:szCs w:val="24"/>
        </w:rPr>
        <w:t xml:space="preserve">across the single market </w:t>
      </w:r>
      <w:r w:rsidR="00CC3208" w:rsidRPr="00C407B8">
        <w:rPr>
          <w:rFonts w:eastAsia="Calibri"/>
          <w:noProof/>
          <w:szCs w:val="24"/>
        </w:rPr>
        <w:t xml:space="preserve">and </w:t>
      </w:r>
      <w:r w:rsidR="00CC3208">
        <w:rPr>
          <w:rFonts w:eastAsia="Calibri"/>
          <w:noProof/>
          <w:szCs w:val="24"/>
        </w:rPr>
        <w:t>predictability</w:t>
      </w:r>
      <w:r w:rsidR="00CC3208" w:rsidRPr="00C407B8">
        <w:rPr>
          <w:rFonts w:eastAsia="Calibri"/>
          <w:noProof/>
          <w:szCs w:val="24"/>
        </w:rPr>
        <w:t xml:space="preserve"> for them</w:t>
      </w:r>
      <w:r w:rsidR="00CC3208" w:rsidRPr="001678AF">
        <w:rPr>
          <w:rFonts w:eastAsia="Calibri"/>
          <w:noProof/>
          <w:szCs w:val="24"/>
        </w:rPr>
        <w:t>.</w:t>
      </w:r>
      <w:r w:rsidR="00CC3208">
        <w:rPr>
          <w:rFonts w:eastAsia="Calibri"/>
          <w:noProof/>
          <w:szCs w:val="24"/>
        </w:rPr>
        <w:t xml:space="preserve"> </w:t>
      </w:r>
      <w:r>
        <w:rPr>
          <w:rFonts w:eastAsia="Calibri"/>
          <w:noProof/>
          <w:szCs w:val="24"/>
        </w:rPr>
        <w:t>T</w:t>
      </w:r>
      <w:r w:rsidRPr="001678AF">
        <w:rPr>
          <w:rFonts w:eastAsia="Calibri"/>
          <w:noProof/>
          <w:szCs w:val="24"/>
        </w:rPr>
        <w:t xml:space="preserve">his company law framework, which encompasses the roles and responsibilities of the business registers, needs to </w:t>
      </w:r>
      <w:r>
        <w:rPr>
          <w:rFonts w:eastAsia="Calibri"/>
          <w:noProof/>
          <w:szCs w:val="24"/>
        </w:rPr>
        <w:t xml:space="preserve">keep abreast with new developments and </w:t>
      </w:r>
      <w:r w:rsidRPr="001678AF">
        <w:rPr>
          <w:rFonts w:eastAsia="Calibri"/>
          <w:noProof/>
          <w:szCs w:val="24"/>
        </w:rPr>
        <w:t xml:space="preserve">challenges. It </w:t>
      </w:r>
      <w:r w:rsidRPr="001678AF">
        <w:rPr>
          <w:noProof/>
          <w:szCs w:val="24"/>
        </w:rPr>
        <w:t>is with this objective that the Commission is putting forward this proposal</w:t>
      </w:r>
      <w:r w:rsidRPr="00C7216F">
        <w:rPr>
          <w:noProof/>
          <w:szCs w:val="24"/>
        </w:rPr>
        <w:t xml:space="preserve">. </w:t>
      </w:r>
    </w:p>
    <w:p w14:paraId="41555236" w14:textId="77777777" w:rsidR="00AD4379" w:rsidRDefault="00AD4379" w:rsidP="00AD4379">
      <w:pPr>
        <w:rPr>
          <w:rFonts w:eastAsia="Calibri"/>
          <w:noProof/>
          <w:color w:val="000000" w:themeColor="text1"/>
          <w:szCs w:val="24"/>
          <w:lang w:val="en-IE"/>
        </w:rPr>
      </w:pPr>
      <w:r>
        <w:rPr>
          <w:noProof/>
          <w:szCs w:val="24"/>
        </w:rPr>
        <w:t xml:space="preserve">In line with </w:t>
      </w:r>
      <w:r w:rsidRPr="4FD204E9">
        <w:rPr>
          <w:rFonts w:eastAsia="Calibri"/>
          <w:noProof/>
        </w:rPr>
        <w:t xml:space="preserve">the </w:t>
      </w:r>
      <w:r>
        <w:rPr>
          <w:rFonts w:eastAsia="Calibri"/>
          <w:noProof/>
        </w:rPr>
        <w:t xml:space="preserve">EU </w:t>
      </w:r>
      <w:r w:rsidRPr="4FD204E9">
        <w:rPr>
          <w:rFonts w:eastAsia="Calibri"/>
          <w:noProof/>
        </w:rPr>
        <w:t>digitalisation objectives set out</w:t>
      </w:r>
      <w:r>
        <w:rPr>
          <w:rFonts w:eastAsia="Calibri"/>
          <w:noProof/>
        </w:rPr>
        <w:t>, in particular,</w:t>
      </w:r>
      <w:r w:rsidRPr="4FD204E9">
        <w:rPr>
          <w:rFonts w:eastAsia="Calibri"/>
          <w:noProof/>
        </w:rPr>
        <w:t xml:space="preserve"> in</w:t>
      </w:r>
      <w:r w:rsidRPr="4FD204E9">
        <w:rPr>
          <w:rFonts w:eastAsia="Calibri"/>
          <w:noProof/>
          <w:color w:val="000000" w:themeColor="text1"/>
          <w:lang w:val="en-IE"/>
        </w:rPr>
        <w:t xml:space="preserve"> the Commission Communication </w:t>
      </w:r>
      <w:r w:rsidR="00304A64" w:rsidRPr="00304A64">
        <w:rPr>
          <w:rFonts w:eastAsia="Calibri"/>
          <w:i/>
          <w:iCs/>
          <w:noProof/>
          <w:color w:val="000000" w:themeColor="text1"/>
        </w:rPr>
        <w:t>2030 Digital Compass</w:t>
      </w:r>
      <w:r w:rsidR="00304A64">
        <w:rPr>
          <w:rFonts w:eastAsia="Calibri"/>
          <w:i/>
          <w:iCs/>
          <w:noProof/>
          <w:color w:val="000000" w:themeColor="text1"/>
        </w:rPr>
        <w:t>: the European way for the Digital Decade</w:t>
      </w:r>
      <w:r w:rsidRPr="00EC6C35">
        <w:rPr>
          <w:rStyle w:val="FootnoteReference"/>
          <w:noProof/>
        </w:rPr>
        <w:footnoteReference w:id="2"/>
      </w:r>
      <w:r w:rsidRPr="4FD204E9">
        <w:rPr>
          <w:rFonts w:eastAsia="Calibri"/>
          <w:noProof/>
          <w:color w:val="000000" w:themeColor="text1"/>
          <w:lang w:val="en-IE"/>
        </w:rPr>
        <w:t xml:space="preserve">, </w:t>
      </w:r>
      <w:r>
        <w:rPr>
          <w:rFonts w:eastAsia="Calibri"/>
          <w:noProof/>
          <w:color w:val="000000" w:themeColor="text1"/>
          <w:lang w:val="en-IE"/>
        </w:rPr>
        <w:t>t</w:t>
      </w:r>
      <w:r w:rsidRPr="00C7216F">
        <w:rPr>
          <w:noProof/>
          <w:szCs w:val="24"/>
        </w:rPr>
        <w:t xml:space="preserve">his proposal aims to address the developments in digitalisation and technology </w:t>
      </w:r>
      <w:r w:rsidR="00304A64" w:rsidRPr="00C407B8">
        <w:rPr>
          <w:noProof/>
          <w:szCs w:val="24"/>
        </w:rPr>
        <w:t>that</w:t>
      </w:r>
      <w:r w:rsidRPr="00C7216F">
        <w:rPr>
          <w:noProof/>
          <w:szCs w:val="24"/>
        </w:rPr>
        <w:t xml:space="preserve"> have</w:t>
      </w:r>
      <w:r w:rsidRPr="001678AF">
        <w:rPr>
          <w:rFonts w:eastAsia="Calibri"/>
          <w:noProof/>
          <w:szCs w:val="24"/>
        </w:rPr>
        <w:t xml:space="preserve"> substantially changed how business registers operate, and how business registers, companies and public authorities interact with one another on </w:t>
      </w:r>
      <w:r w:rsidR="00304A64" w:rsidRPr="00C407B8">
        <w:rPr>
          <w:rFonts w:eastAsia="Calibri"/>
          <w:noProof/>
          <w:szCs w:val="24"/>
        </w:rPr>
        <w:t>company law-related</w:t>
      </w:r>
      <w:r w:rsidRPr="001678AF">
        <w:rPr>
          <w:rFonts w:eastAsia="Calibri"/>
          <w:noProof/>
          <w:szCs w:val="24"/>
        </w:rPr>
        <w:t xml:space="preserve"> issues</w:t>
      </w:r>
      <w:r>
        <w:rPr>
          <w:rFonts w:eastAsia="Calibri"/>
          <w:noProof/>
          <w:szCs w:val="24"/>
        </w:rPr>
        <w:t xml:space="preserve">. </w:t>
      </w:r>
      <w:r w:rsidR="00304A64" w:rsidRPr="00C407B8">
        <w:rPr>
          <w:rFonts w:eastAsia="Calibri"/>
          <w:noProof/>
          <w:szCs w:val="24"/>
        </w:rPr>
        <w:t xml:space="preserve">The COVID-19 pandemic clearly demonstrated the key role of digital tools in ensuring </w:t>
      </w:r>
      <w:r w:rsidR="00304A64" w:rsidRPr="00C407B8">
        <w:rPr>
          <w:noProof/>
          <w:szCs w:val="24"/>
        </w:rPr>
        <w:t>the continuity of companies’ interactions with business registers and authorities</w:t>
      </w:r>
      <w:r w:rsidR="00304A64" w:rsidRPr="00C407B8">
        <w:rPr>
          <w:rFonts w:eastAsia="Calibri"/>
          <w:noProof/>
          <w:szCs w:val="24"/>
        </w:rPr>
        <w:t xml:space="preserve">. </w:t>
      </w:r>
      <w:r w:rsidR="00304A64" w:rsidRPr="00C407B8">
        <w:rPr>
          <w:noProof/>
          <w:szCs w:val="24"/>
        </w:rPr>
        <w:t xml:space="preserve">This proposal also aims to introduce company law measures to address obstacles to cross-border expansion that small and medium-sized enterprises (SMEs) currently face in the single market, in line with the </w:t>
      </w:r>
      <w:r w:rsidR="00304A64" w:rsidRPr="00C407B8">
        <w:rPr>
          <w:rFonts w:eastAsia="Calibri"/>
          <w:noProof/>
          <w:szCs w:val="24"/>
        </w:rPr>
        <w:t xml:space="preserve">Commission Communications </w:t>
      </w:r>
      <w:r w:rsidR="00304A64" w:rsidRPr="00304A64">
        <w:rPr>
          <w:rFonts w:eastAsia="Calibri"/>
          <w:i/>
          <w:iCs/>
          <w:noProof/>
          <w:szCs w:val="24"/>
        </w:rPr>
        <w:t>Updating the 2020 New Industrial Strategy</w:t>
      </w:r>
      <w:r w:rsidR="00304A64" w:rsidRPr="00EC6C35">
        <w:rPr>
          <w:rStyle w:val="FootnoteReference"/>
          <w:noProof/>
        </w:rPr>
        <w:footnoteReference w:id="3"/>
      </w:r>
      <w:r w:rsidR="00304A64" w:rsidRPr="00C407B8">
        <w:rPr>
          <w:rFonts w:eastAsia="Calibri"/>
          <w:noProof/>
          <w:szCs w:val="24"/>
        </w:rPr>
        <w:t xml:space="preserve"> and </w:t>
      </w:r>
      <w:r w:rsidR="00304A64" w:rsidRPr="00304A64">
        <w:rPr>
          <w:rFonts w:eastAsia="Calibri"/>
          <w:i/>
          <w:iCs/>
          <w:noProof/>
          <w:szCs w:val="24"/>
        </w:rPr>
        <w:t>SME Strategy for a sustainable and digital Europe</w:t>
      </w:r>
      <w:r w:rsidR="00304A64" w:rsidRPr="00EC6C35">
        <w:rPr>
          <w:rStyle w:val="FootnoteReference"/>
          <w:noProof/>
        </w:rPr>
        <w:footnoteReference w:id="4"/>
      </w:r>
      <w:r w:rsidR="009D0FE6">
        <w:rPr>
          <w:rFonts w:eastAsia="Calibri"/>
          <w:noProof/>
          <w:szCs w:val="24"/>
        </w:rPr>
        <w:t>.</w:t>
      </w:r>
      <w:r w:rsidR="00304A64" w:rsidRPr="00304A64">
        <w:rPr>
          <w:rFonts w:eastAsia="Calibri"/>
          <w:noProof/>
          <w:color w:val="000000" w:themeColor="text1"/>
          <w:szCs w:val="24"/>
        </w:rPr>
        <w:t xml:space="preserve"> </w:t>
      </w:r>
    </w:p>
    <w:p w14:paraId="013FAA27" w14:textId="77777777" w:rsidR="00AD4379" w:rsidRDefault="00AD4379" w:rsidP="00AD4379">
      <w:pPr>
        <w:rPr>
          <w:rFonts w:eastAsia="Calibri"/>
          <w:noProof/>
          <w:color w:val="000000" w:themeColor="text1"/>
          <w:szCs w:val="24"/>
          <w:lang w:val="en-IE"/>
        </w:rPr>
      </w:pPr>
      <w:r w:rsidRPr="00CE20B7">
        <w:rPr>
          <w:rFonts w:eastAsia="Calibri"/>
          <w:noProof/>
        </w:rPr>
        <w:t xml:space="preserve">This </w:t>
      </w:r>
      <w:r>
        <w:rPr>
          <w:rFonts w:eastAsia="Calibri"/>
          <w:noProof/>
        </w:rPr>
        <w:t xml:space="preserve">proposal </w:t>
      </w:r>
      <w:r w:rsidRPr="00CE20B7">
        <w:rPr>
          <w:rFonts w:eastAsia="Calibri"/>
          <w:noProof/>
        </w:rPr>
        <w:t xml:space="preserve">will </w:t>
      </w:r>
      <w:r w:rsidR="00915F3D" w:rsidRPr="00C407B8">
        <w:rPr>
          <w:rFonts w:eastAsia="Calibri"/>
          <w:noProof/>
        </w:rPr>
        <w:t xml:space="preserve">contribute to the creation of a more integrated and digitalised single market and </w:t>
      </w:r>
      <w:r w:rsidR="00D850AE">
        <w:rPr>
          <w:rFonts w:eastAsia="Calibri"/>
          <w:noProof/>
        </w:rPr>
        <w:t xml:space="preserve">result in </w:t>
      </w:r>
      <w:r w:rsidR="00656432">
        <w:rPr>
          <w:rFonts w:eastAsia="Calibri"/>
          <w:noProof/>
        </w:rPr>
        <w:t xml:space="preserve">an </w:t>
      </w:r>
      <w:r w:rsidR="00915F3D" w:rsidRPr="00C407B8">
        <w:rPr>
          <w:rFonts w:eastAsia="Calibri"/>
          <w:noProof/>
        </w:rPr>
        <w:t xml:space="preserve">administrative burden </w:t>
      </w:r>
      <w:r w:rsidR="00D850AE">
        <w:rPr>
          <w:rFonts w:eastAsia="Calibri"/>
          <w:noProof/>
        </w:rPr>
        <w:t>reduction</w:t>
      </w:r>
      <w:r w:rsidR="00915F3D" w:rsidRPr="00C407B8">
        <w:rPr>
          <w:rFonts w:eastAsia="Calibri"/>
          <w:noProof/>
        </w:rPr>
        <w:t xml:space="preserve"> </w:t>
      </w:r>
      <w:r w:rsidRPr="00CE20B7">
        <w:rPr>
          <w:rFonts w:eastAsia="Calibri"/>
          <w:noProof/>
        </w:rPr>
        <w:t xml:space="preserve">for </w:t>
      </w:r>
      <w:r w:rsidR="00915F3D" w:rsidRPr="00C407B8">
        <w:rPr>
          <w:rFonts w:eastAsia="Calibri"/>
          <w:noProof/>
        </w:rPr>
        <w:t>companies</w:t>
      </w:r>
      <w:r w:rsidR="00D850AE">
        <w:rPr>
          <w:rFonts w:eastAsia="Calibri"/>
          <w:noProof/>
        </w:rPr>
        <w:t xml:space="preserve"> </w:t>
      </w:r>
      <w:r w:rsidR="00D850AE" w:rsidRPr="00C407B8">
        <w:rPr>
          <w:noProof/>
        </w:rPr>
        <w:t xml:space="preserve">estimated at </w:t>
      </w:r>
      <w:r w:rsidR="00D850AE">
        <w:rPr>
          <w:noProof/>
        </w:rPr>
        <w:t>around</w:t>
      </w:r>
      <w:r w:rsidR="00D850AE" w:rsidRPr="00C407B8">
        <w:rPr>
          <w:noProof/>
        </w:rPr>
        <w:t xml:space="preserve"> EUR 437 million per year</w:t>
      </w:r>
      <w:r w:rsidR="00915F3D" w:rsidRPr="00C407B8">
        <w:rPr>
          <w:rFonts w:eastAsia="Calibri"/>
          <w:noProof/>
        </w:rPr>
        <w:t xml:space="preserve">. It will also limit </w:t>
      </w:r>
      <w:r w:rsidRPr="00CE20B7">
        <w:rPr>
          <w:rFonts w:eastAsia="Calibri"/>
          <w:noProof/>
        </w:rPr>
        <w:t xml:space="preserve">new burdens to the extent possible by building on national business registers and their interconnection through </w:t>
      </w:r>
      <w:r w:rsidRPr="001678AF">
        <w:rPr>
          <w:rFonts w:eastAsia="Calibri"/>
          <w:noProof/>
          <w:szCs w:val="24"/>
        </w:rPr>
        <w:t xml:space="preserve">the Business Registers Interconnection System </w:t>
      </w:r>
      <w:r>
        <w:rPr>
          <w:rFonts w:eastAsia="Calibri"/>
          <w:noProof/>
          <w:szCs w:val="24"/>
        </w:rPr>
        <w:t>(</w:t>
      </w:r>
      <w:r w:rsidRPr="00CE20B7">
        <w:rPr>
          <w:rFonts w:eastAsia="Calibri"/>
          <w:noProof/>
        </w:rPr>
        <w:t>BRIS</w:t>
      </w:r>
      <w:r>
        <w:rPr>
          <w:rFonts w:eastAsia="Calibri"/>
          <w:noProof/>
        </w:rPr>
        <w:t>)</w:t>
      </w:r>
      <w:r w:rsidR="00A30433" w:rsidRPr="00EC6C35">
        <w:rPr>
          <w:rStyle w:val="FootnoteReference"/>
          <w:noProof/>
        </w:rPr>
        <w:footnoteReference w:id="5"/>
      </w:r>
      <w:r w:rsidRPr="00501435">
        <w:rPr>
          <w:rFonts w:eastAsia="Calibri"/>
          <w:noProof/>
        </w:rPr>
        <w:t>,</w:t>
      </w:r>
      <w:r w:rsidRPr="00CE20B7">
        <w:rPr>
          <w:rFonts w:eastAsia="Calibri"/>
          <w:noProof/>
        </w:rPr>
        <w:t xml:space="preserve"> </w:t>
      </w:r>
      <w:r w:rsidR="00915F3D" w:rsidRPr="00C407B8">
        <w:rPr>
          <w:rFonts w:eastAsia="Calibri"/>
          <w:noProof/>
        </w:rPr>
        <w:t>while</w:t>
      </w:r>
      <w:r w:rsidRPr="00CE20B7">
        <w:rPr>
          <w:rFonts w:eastAsia="Calibri"/>
          <w:noProof/>
        </w:rPr>
        <w:t xml:space="preserve"> taking into account different national systems and legal traditions.</w:t>
      </w:r>
      <w:r>
        <w:rPr>
          <w:rFonts w:eastAsia="Calibri"/>
          <w:noProof/>
        </w:rPr>
        <w:t xml:space="preserve"> </w:t>
      </w:r>
    </w:p>
    <w:p w14:paraId="026F470E" w14:textId="77777777" w:rsidR="00AD4379" w:rsidRDefault="00AD4379" w:rsidP="00AD4379">
      <w:pPr>
        <w:rPr>
          <w:rFonts w:eastAsia="Calibri"/>
          <w:noProof/>
        </w:rPr>
      </w:pPr>
      <w:r>
        <w:rPr>
          <w:rFonts w:eastAsia="Calibri"/>
          <w:noProof/>
          <w:color w:val="000000" w:themeColor="text1"/>
          <w:szCs w:val="24"/>
          <w:lang w:val="en-IE"/>
        </w:rPr>
        <w:t xml:space="preserve">In particular, </w:t>
      </w:r>
      <w:r w:rsidR="00915F3D" w:rsidRPr="007553D0">
        <w:rPr>
          <w:rFonts w:eastAsia="Calibri"/>
          <w:noProof/>
          <w:color w:val="000000" w:themeColor="text1"/>
          <w:szCs w:val="24"/>
        </w:rPr>
        <w:t>the proposal</w:t>
      </w:r>
      <w:r w:rsidR="00915F3D" w:rsidRPr="00C407B8">
        <w:rPr>
          <w:rFonts w:eastAsia="Calibri"/>
          <w:noProof/>
        </w:rPr>
        <w:t xml:space="preserve"> </w:t>
      </w:r>
      <w:r w:rsidR="00915F3D" w:rsidRPr="007553D0">
        <w:rPr>
          <w:rFonts w:eastAsia="Calibri"/>
          <w:noProof/>
          <w:color w:val="000000" w:themeColor="text1"/>
          <w:szCs w:val="24"/>
        </w:rPr>
        <w:t xml:space="preserve">endeavours to </w:t>
      </w:r>
      <w:r w:rsidR="00915F3D" w:rsidRPr="0031034C" w:rsidDel="00DC56ED">
        <w:rPr>
          <w:rFonts w:eastAsia="Calibri"/>
          <w:noProof/>
        </w:rPr>
        <w:t xml:space="preserve">enhance </w:t>
      </w:r>
      <w:r w:rsidR="00915F3D" w:rsidRPr="00C407B8">
        <w:rPr>
          <w:rFonts w:eastAsia="Calibri"/>
          <w:noProof/>
        </w:rPr>
        <w:t>transparency on companies in the single market through the use of digital tools such as BRIS, improve the reliability of company data and create trust between Member States’ registers and authorities, including by creating more connected public authorities. It also aims to abolish and reduce formalities in relation to the use of company information in cross-border situations and make the setting up of subsidiaries and branches in other Member States less time-consuming and more cost-effective, including by using the ‘once-only principle’</w:t>
      </w:r>
      <w:r w:rsidR="002F1EBD">
        <w:rPr>
          <w:rFonts w:eastAsia="Calibri"/>
          <w:noProof/>
        </w:rPr>
        <w:t xml:space="preserve"> (wh</w:t>
      </w:r>
      <w:r w:rsidR="0031034C">
        <w:rPr>
          <w:rFonts w:eastAsia="Calibri"/>
          <w:noProof/>
        </w:rPr>
        <w:t>ereby</w:t>
      </w:r>
      <w:r w:rsidR="002F1EBD">
        <w:rPr>
          <w:noProof/>
        </w:rPr>
        <w:t xml:space="preserve"> companies </w:t>
      </w:r>
      <w:r w:rsidR="00362F76">
        <w:rPr>
          <w:noProof/>
        </w:rPr>
        <w:t>would not be</w:t>
      </w:r>
      <w:r w:rsidR="002F1EBD">
        <w:rPr>
          <w:noProof/>
        </w:rPr>
        <w:t xml:space="preserve"> asked to submit the same information to </w:t>
      </w:r>
      <w:r w:rsidR="00535B8B">
        <w:rPr>
          <w:noProof/>
        </w:rPr>
        <w:t>the</w:t>
      </w:r>
      <w:r w:rsidR="00532FCE">
        <w:rPr>
          <w:noProof/>
        </w:rPr>
        <w:t xml:space="preserve"> business registers </w:t>
      </w:r>
      <w:r w:rsidR="002F1EBD">
        <w:rPr>
          <w:noProof/>
        </w:rPr>
        <w:t>more than once</w:t>
      </w:r>
      <w:r w:rsidR="002F1EBD">
        <w:rPr>
          <w:rFonts w:eastAsia="Calibri"/>
          <w:noProof/>
        </w:rPr>
        <w:t>)</w:t>
      </w:r>
      <w:r w:rsidR="00915F3D" w:rsidRPr="00C407B8">
        <w:rPr>
          <w:rFonts w:eastAsia="Calibri"/>
          <w:noProof/>
        </w:rPr>
        <w:t xml:space="preserve">. In this way, it strives to reduce the overall administrative burden for companies and other stakeholders in cross-border situations and make it easier for SMEs to expand </w:t>
      </w:r>
      <w:r w:rsidR="00915F3D">
        <w:rPr>
          <w:rFonts w:eastAsia="Calibri"/>
          <w:noProof/>
        </w:rPr>
        <w:t>a</w:t>
      </w:r>
      <w:r w:rsidR="00915F3D" w:rsidRPr="00C407B8">
        <w:rPr>
          <w:rFonts w:eastAsia="Calibri"/>
          <w:noProof/>
        </w:rPr>
        <w:t>cross</w:t>
      </w:r>
      <w:r w:rsidR="00915F3D">
        <w:rPr>
          <w:rFonts w:eastAsia="Calibri"/>
          <w:noProof/>
        </w:rPr>
        <w:t xml:space="preserve"> the EU</w:t>
      </w:r>
      <w:r w:rsidR="00915F3D" w:rsidRPr="00C407B8">
        <w:rPr>
          <w:rFonts w:eastAsia="Calibri"/>
          <w:noProof/>
        </w:rPr>
        <w:t xml:space="preserve">. </w:t>
      </w:r>
    </w:p>
    <w:p w14:paraId="02059000" w14:textId="77777777" w:rsidR="00AD4379" w:rsidRDefault="00B579E2" w:rsidP="00AD4379">
      <w:pPr>
        <w:rPr>
          <w:noProof/>
          <w:szCs w:val="24"/>
        </w:rPr>
      </w:pPr>
      <w:r>
        <w:rPr>
          <w:rStyle w:val="normaltextrun"/>
          <w:noProof/>
          <w:color w:val="000000"/>
          <w:szCs w:val="24"/>
          <w:shd w:val="clear" w:color="auto" w:fill="FFFFFF"/>
        </w:rPr>
        <w:t>To strengthen the smoother operation of the internal market</w:t>
      </w:r>
      <w:r w:rsidR="00DF660E">
        <w:rPr>
          <w:rStyle w:val="normaltextrun"/>
          <w:noProof/>
          <w:color w:val="000000"/>
          <w:szCs w:val="24"/>
          <w:shd w:val="clear" w:color="auto" w:fill="FFFFFF"/>
        </w:rPr>
        <w:t>,</w:t>
      </w:r>
      <w:r w:rsidR="00AD4379" w:rsidRPr="002B62E0">
        <w:rPr>
          <w:rStyle w:val="normaltextrun"/>
          <w:noProof/>
          <w:color w:val="000000"/>
          <w:szCs w:val="24"/>
          <w:shd w:val="clear" w:color="auto" w:fill="FFFFFF"/>
        </w:rPr>
        <w:t xml:space="preserve"> </w:t>
      </w:r>
      <w:r w:rsidR="00AC460A">
        <w:rPr>
          <w:rStyle w:val="normaltextrun"/>
          <w:noProof/>
          <w:color w:val="000000"/>
          <w:szCs w:val="24"/>
          <w:shd w:val="clear" w:color="auto" w:fill="FFFFFF"/>
        </w:rPr>
        <w:t xml:space="preserve">it is essential to ensure that </w:t>
      </w:r>
      <w:r w:rsidR="00AD4379" w:rsidRPr="002B62E0">
        <w:rPr>
          <w:rStyle w:val="normaltextrun"/>
          <w:rFonts w:eastAsia="Calibri"/>
          <w:noProof/>
          <w:color w:val="000000"/>
          <w:szCs w:val="24"/>
          <w:shd w:val="clear" w:color="auto" w:fill="FFFFFF"/>
        </w:rPr>
        <w:t xml:space="preserve">access </w:t>
      </w:r>
      <w:r w:rsidR="003F683D">
        <w:rPr>
          <w:rStyle w:val="normaltextrun"/>
          <w:rFonts w:eastAsia="Calibri"/>
          <w:noProof/>
          <w:color w:val="000000"/>
          <w:szCs w:val="24"/>
          <w:shd w:val="clear" w:color="auto" w:fill="FFFFFF"/>
        </w:rPr>
        <w:t xml:space="preserve">to </w:t>
      </w:r>
      <w:r w:rsidR="00AD4379">
        <w:rPr>
          <w:rStyle w:val="normaltextrun"/>
          <w:rFonts w:eastAsia="Calibri"/>
          <w:noProof/>
          <w:color w:val="000000"/>
          <w:szCs w:val="24"/>
          <w:shd w:val="clear" w:color="auto" w:fill="FFFFFF"/>
        </w:rPr>
        <w:t>and use</w:t>
      </w:r>
      <w:r w:rsidR="00AD4379" w:rsidRPr="002B62E0">
        <w:rPr>
          <w:rStyle w:val="normaltextrun"/>
          <w:rFonts w:eastAsia="Calibri"/>
          <w:noProof/>
          <w:color w:val="000000"/>
          <w:szCs w:val="24"/>
          <w:shd w:val="clear" w:color="auto" w:fill="FFFFFF"/>
        </w:rPr>
        <w:t xml:space="preserve"> </w:t>
      </w:r>
      <w:r w:rsidR="00162FEA">
        <w:rPr>
          <w:rStyle w:val="normaltextrun"/>
          <w:rFonts w:eastAsia="Calibri"/>
          <w:noProof/>
          <w:color w:val="000000"/>
          <w:szCs w:val="24"/>
          <w:shd w:val="clear" w:color="auto" w:fill="FFFFFF"/>
        </w:rPr>
        <w:t xml:space="preserve">of </w:t>
      </w:r>
      <w:r w:rsidR="00AD4379" w:rsidRPr="002B62E0">
        <w:rPr>
          <w:rStyle w:val="normaltextrun"/>
          <w:rFonts w:eastAsia="Calibri"/>
          <w:noProof/>
          <w:color w:val="000000"/>
          <w:szCs w:val="24"/>
          <w:shd w:val="clear" w:color="auto" w:fill="FFFFFF"/>
        </w:rPr>
        <w:t xml:space="preserve">company </w:t>
      </w:r>
      <w:r w:rsidR="00AD4379">
        <w:rPr>
          <w:rStyle w:val="normaltextrun"/>
          <w:noProof/>
          <w:color w:val="000000"/>
          <w:szCs w:val="24"/>
          <w:shd w:val="clear" w:color="auto" w:fill="FFFFFF"/>
        </w:rPr>
        <w:t xml:space="preserve">data cross-border </w:t>
      </w:r>
      <w:r w:rsidR="00162FEA">
        <w:rPr>
          <w:rStyle w:val="normaltextrun"/>
          <w:noProof/>
          <w:color w:val="000000"/>
          <w:szCs w:val="24"/>
          <w:shd w:val="clear" w:color="auto" w:fill="FFFFFF"/>
        </w:rPr>
        <w:t xml:space="preserve">can be done </w:t>
      </w:r>
      <w:r w:rsidR="00AD4379">
        <w:rPr>
          <w:rStyle w:val="normaltextrun"/>
          <w:rFonts w:eastAsia="Calibri"/>
          <w:noProof/>
          <w:color w:val="000000"/>
          <w:szCs w:val="24"/>
          <w:shd w:val="clear" w:color="auto" w:fill="FFFFFF"/>
        </w:rPr>
        <w:t>easily and without administrative burden</w:t>
      </w:r>
      <w:r w:rsidR="00162FEA">
        <w:rPr>
          <w:rStyle w:val="normaltextrun"/>
          <w:rFonts w:eastAsia="Calibri"/>
          <w:noProof/>
          <w:color w:val="000000"/>
          <w:szCs w:val="24"/>
          <w:shd w:val="clear" w:color="auto" w:fill="FFFFFF"/>
        </w:rPr>
        <w:t>, thus</w:t>
      </w:r>
      <w:r w:rsidR="00AD4379">
        <w:rPr>
          <w:rStyle w:val="normaltextrun"/>
          <w:rFonts w:eastAsia="Calibri"/>
          <w:noProof/>
          <w:color w:val="000000"/>
          <w:szCs w:val="24"/>
          <w:shd w:val="clear" w:color="auto" w:fill="FFFFFF"/>
        </w:rPr>
        <w:t xml:space="preserve"> underpin</w:t>
      </w:r>
      <w:r w:rsidR="00162FEA">
        <w:rPr>
          <w:rStyle w:val="normaltextrun"/>
          <w:rFonts w:eastAsia="Calibri"/>
          <w:noProof/>
          <w:color w:val="000000"/>
          <w:szCs w:val="24"/>
          <w:shd w:val="clear" w:color="auto" w:fill="FFFFFF"/>
        </w:rPr>
        <w:t>ning</w:t>
      </w:r>
      <w:r w:rsidR="00AD4379">
        <w:rPr>
          <w:rStyle w:val="normaltextrun"/>
          <w:rFonts w:eastAsia="Calibri"/>
          <w:noProof/>
          <w:color w:val="000000"/>
          <w:szCs w:val="24"/>
          <w:shd w:val="clear" w:color="auto" w:fill="FFFFFF"/>
        </w:rPr>
        <w:t xml:space="preserve"> economic activity </w:t>
      </w:r>
      <w:r w:rsidR="00AD4379">
        <w:rPr>
          <w:rStyle w:val="normaltextrun"/>
          <w:noProof/>
          <w:color w:val="000000"/>
          <w:szCs w:val="24"/>
          <w:shd w:val="clear" w:color="auto" w:fill="FFFFFF"/>
        </w:rPr>
        <w:t>and creat</w:t>
      </w:r>
      <w:r w:rsidR="003F683D">
        <w:rPr>
          <w:rStyle w:val="normaltextrun"/>
          <w:noProof/>
          <w:color w:val="000000"/>
          <w:szCs w:val="24"/>
          <w:shd w:val="clear" w:color="auto" w:fill="FFFFFF"/>
        </w:rPr>
        <w:t>ing</w:t>
      </w:r>
      <w:r w:rsidR="00AD4379" w:rsidRPr="002B62E0">
        <w:rPr>
          <w:rStyle w:val="normaltextrun"/>
          <w:noProof/>
          <w:color w:val="000000"/>
          <w:szCs w:val="24"/>
          <w:shd w:val="clear" w:color="auto" w:fill="FFFFFF"/>
        </w:rPr>
        <w:t xml:space="preserve"> a safer and more favourable economic </w:t>
      </w:r>
      <w:r w:rsidR="00AD4379" w:rsidRPr="00837CD7">
        <w:rPr>
          <w:rStyle w:val="normaltextrun"/>
          <w:noProof/>
          <w:color w:val="000000"/>
          <w:szCs w:val="24"/>
          <w:shd w:val="clear" w:color="auto" w:fill="FFFFFF"/>
        </w:rPr>
        <w:t xml:space="preserve">environment for companies, consumers and other stakeholders </w:t>
      </w:r>
      <w:r w:rsidR="00AD4379">
        <w:rPr>
          <w:rStyle w:val="normaltextrun"/>
          <w:noProof/>
          <w:color w:val="000000"/>
          <w:szCs w:val="24"/>
          <w:shd w:val="clear" w:color="auto" w:fill="FFFFFF"/>
        </w:rPr>
        <w:t>(</w:t>
      </w:r>
      <w:r w:rsidR="00AD4379" w:rsidRPr="00837CD7">
        <w:rPr>
          <w:rStyle w:val="normaltextrun"/>
          <w:noProof/>
          <w:color w:val="000000"/>
          <w:szCs w:val="24"/>
          <w:shd w:val="clear" w:color="auto" w:fill="FFFFFF"/>
        </w:rPr>
        <w:t>investors, creditors</w:t>
      </w:r>
      <w:r w:rsidR="00AD4379">
        <w:rPr>
          <w:rStyle w:val="normaltextrun"/>
          <w:noProof/>
          <w:color w:val="000000"/>
          <w:szCs w:val="24"/>
          <w:shd w:val="clear" w:color="auto" w:fill="FFFFFF"/>
        </w:rPr>
        <w:t>,</w:t>
      </w:r>
      <w:r w:rsidR="00AD4379" w:rsidRPr="00837CD7">
        <w:rPr>
          <w:rStyle w:val="normaltextrun"/>
          <w:noProof/>
          <w:color w:val="000000"/>
          <w:szCs w:val="24"/>
          <w:shd w:val="clear" w:color="auto" w:fill="FFFFFF"/>
        </w:rPr>
        <w:t xml:space="preserve"> employees</w:t>
      </w:r>
      <w:r w:rsidR="00AD4379">
        <w:rPr>
          <w:rStyle w:val="normaltextrun"/>
          <w:noProof/>
          <w:color w:val="000000"/>
          <w:szCs w:val="24"/>
          <w:shd w:val="clear" w:color="auto" w:fill="FFFFFF"/>
        </w:rPr>
        <w:t>)</w:t>
      </w:r>
      <w:r w:rsidR="00AD4379" w:rsidRPr="00837CD7">
        <w:rPr>
          <w:rStyle w:val="normaltextrun"/>
          <w:noProof/>
          <w:color w:val="000000"/>
          <w:szCs w:val="24"/>
          <w:shd w:val="clear" w:color="auto" w:fill="FFFFFF"/>
        </w:rPr>
        <w:t xml:space="preserve">. </w:t>
      </w:r>
      <w:r w:rsidR="00AD4379" w:rsidRPr="00837CD7">
        <w:rPr>
          <w:noProof/>
          <w:szCs w:val="24"/>
        </w:rPr>
        <w:t xml:space="preserve">Such conditions in turn are essential to </w:t>
      </w:r>
      <w:r w:rsidR="00C50A23">
        <w:rPr>
          <w:noProof/>
          <w:szCs w:val="24"/>
        </w:rPr>
        <w:t>ease</w:t>
      </w:r>
      <w:r w:rsidR="00C50A23" w:rsidDel="00644C69">
        <w:rPr>
          <w:noProof/>
          <w:szCs w:val="24"/>
        </w:rPr>
        <w:t xml:space="preserve"> </w:t>
      </w:r>
      <w:r w:rsidR="00656432">
        <w:rPr>
          <w:noProof/>
          <w:szCs w:val="24"/>
        </w:rPr>
        <w:t>the</w:t>
      </w:r>
      <w:r w:rsidR="00CC3208" w:rsidRPr="00837CD7">
        <w:rPr>
          <w:noProof/>
          <w:szCs w:val="24"/>
        </w:rPr>
        <w:t xml:space="preserve"> </w:t>
      </w:r>
      <w:r w:rsidR="00CC3208">
        <w:rPr>
          <w:noProof/>
          <w:szCs w:val="24"/>
        </w:rPr>
        <w:t xml:space="preserve">operations </w:t>
      </w:r>
      <w:r w:rsidR="00656432">
        <w:rPr>
          <w:noProof/>
          <w:szCs w:val="24"/>
        </w:rPr>
        <w:t xml:space="preserve">of </w:t>
      </w:r>
      <w:r w:rsidR="00656432" w:rsidRPr="00837CD7">
        <w:rPr>
          <w:noProof/>
          <w:szCs w:val="24"/>
        </w:rPr>
        <w:t>companies, in particular SMEs</w:t>
      </w:r>
      <w:r w:rsidR="00656432">
        <w:rPr>
          <w:noProof/>
          <w:szCs w:val="24"/>
        </w:rPr>
        <w:t xml:space="preserve">, </w:t>
      </w:r>
      <w:r w:rsidR="00CC3208">
        <w:rPr>
          <w:noProof/>
          <w:szCs w:val="24"/>
        </w:rPr>
        <w:t xml:space="preserve">and </w:t>
      </w:r>
      <w:r w:rsidR="00AD4379">
        <w:rPr>
          <w:noProof/>
          <w:szCs w:val="24"/>
        </w:rPr>
        <w:t>help them</w:t>
      </w:r>
      <w:r w:rsidR="00AD4379" w:rsidRPr="00837CD7">
        <w:rPr>
          <w:noProof/>
          <w:szCs w:val="24"/>
        </w:rPr>
        <w:t xml:space="preserve"> find ways to explore and expand to other E</w:t>
      </w:r>
      <w:r w:rsidR="00AD4379">
        <w:rPr>
          <w:noProof/>
          <w:szCs w:val="24"/>
        </w:rPr>
        <w:t>U</w:t>
      </w:r>
      <w:r w:rsidR="00AD4379" w:rsidRPr="00837CD7">
        <w:rPr>
          <w:noProof/>
          <w:szCs w:val="24"/>
        </w:rPr>
        <w:t xml:space="preserve"> markets, and therefore contribute to </w:t>
      </w:r>
      <w:r w:rsidR="00E42283">
        <w:rPr>
          <w:noProof/>
          <w:szCs w:val="24"/>
        </w:rPr>
        <w:t>economic growth</w:t>
      </w:r>
      <w:r w:rsidR="00AD4379">
        <w:rPr>
          <w:noProof/>
          <w:szCs w:val="24"/>
        </w:rPr>
        <w:t xml:space="preserve">. </w:t>
      </w:r>
    </w:p>
    <w:p w14:paraId="2A71F98C" w14:textId="77777777" w:rsidR="00AD4379" w:rsidRDefault="00AD4379" w:rsidP="00AD4379">
      <w:pPr>
        <w:rPr>
          <w:noProof/>
          <w:szCs w:val="24"/>
        </w:rPr>
      </w:pPr>
      <w:r>
        <w:rPr>
          <w:noProof/>
          <w:szCs w:val="24"/>
        </w:rPr>
        <w:t>Although i</w:t>
      </w:r>
      <w:r w:rsidRPr="001678AF">
        <w:rPr>
          <w:rFonts w:eastAsia="Calibri"/>
          <w:noProof/>
          <w:szCs w:val="24"/>
        </w:rPr>
        <w:t>n a</w:t>
      </w:r>
      <w:r w:rsidR="00E42283">
        <w:rPr>
          <w:rFonts w:eastAsia="Calibri"/>
          <w:noProof/>
          <w:szCs w:val="24"/>
        </w:rPr>
        <w:t>n increasingly</w:t>
      </w:r>
      <w:r w:rsidRPr="001678AF">
        <w:rPr>
          <w:rFonts w:eastAsia="Calibri"/>
          <w:noProof/>
          <w:szCs w:val="24"/>
        </w:rPr>
        <w:t xml:space="preserve"> digitalised world </w:t>
      </w:r>
      <w:r w:rsidRPr="001678AF">
        <w:rPr>
          <w:noProof/>
          <w:szCs w:val="24"/>
        </w:rPr>
        <w:t xml:space="preserve">there are stronger calls </w:t>
      </w:r>
      <w:r w:rsidRPr="001678AF" w:rsidDel="00382582">
        <w:rPr>
          <w:noProof/>
          <w:szCs w:val="24"/>
        </w:rPr>
        <w:t xml:space="preserve">for </w:t>
      </w:r>
      <w:r w:rsidRPr="001678AF" w:rsidDel="00382582">
        <w:rPr>
          <w:rFonts w:eastAsia="Calibri"/>
          <w:noProof/>
          <w:szCs w:val="24"/>
        </w:rPr>
        <w:t>transparency</w:t>
      </w:r>
      <w:r>
        <w:rPr>
          <w:rFonts w:eastAsia="Calibri"/>
          <w:noProof/>
          <w:szCs w:val="24"/>
        </w:rPr>
        <w:t xml:space="preserve"> from </w:t>
      </w:r>
      <w:r w:rsidRPr="001678AF">
        <w:rPr>
          <w:rFonts w:eastAsia="Calibri"/>
          <w:noProof/>
          <w:szCs w:val="24"/>
        </w:rPr>
        <w:t>i</w:t>
      </w:r>
      <w:r w:rsidRPr="001678AF">
        <w:rPr>
          <w:noProof/>
          <w:szCs w:val="24"/>
        </w:rPr>
        <w:t xml:space="preserve">nvestors, creditors, consumers </w:t>
      </w:r>
      <w:r w:rsidR="00E42283">
        <w:rPr>
          <w:noProof/>
          <w:szCs w:val="24"/>
        </w:rPr>
        <w:t>and</w:t>
      </w:r>
      <w:r>
        <w:rPr>
          <w:noProof/>
          <w:szCs w:val="24"/>
        </w:rPr>
        <w:t xml:space="preserve"> companies themselves,</w:t>
      </w:r>
      <w:r w:rsidRPr="008E3FAF">
        <w:rPr>
          <w:noProof/>
          <w:szCs w:val="24"/>
        </w:rPr>
        <w:t xml:space="preserve"> </w:t>
      </w:r>
      <w:r w:rsidRPr="008E3FAF">
        <w:rPr>
          <w:noProof/>
          <w:szCs w:val="24"/>
          <w:lang w:val="en-IE" w:eastAsia="fr-BE"/>
        </w:rPr>
        <w:t>access to company information from business registers in cross-border situations is still hindered by barriers</w:t>
      </w:r>
      <w:r w:rsidRPr="008E3FAF">
        <w:rPr>
          <w:noProof/>
          <w:szCs w:val="24"/>
        </w:rPr>
        <w:t>.</w:t>
      </w:r>
      <w:r w:rsidRPr="008E3FAF">
        <w:rPr>
          <w:noProof/>
          <w:szCs w:val="24"/>
          <w:lang w:val="en-IE" w:eastAsia="fr-BE"/>
        </w:rPr>
        <w:t xml:space="preserve"> </w:t>
      </w:r>
      <w:r>
        <w:rPr>
          <w:noProof/>
          <w:szCs w:val="24"/>
          <w:lang w:val="en-IE" w:eastAsia="fr-BE"/>
        </w:rPr>
        <w:t>C</w:t>
      </w:r>
      <w:r w:rsidRPr="00732B54">
        <w:rPr>
          <w:noProof/>
          <w:szCs w:val="24"/>
        </w:rPr>
        <w:t xml:space="preserve">ompany </w:t>
      </w:r>
      <w:r>
        <w:rPr>
          <w:noProof/>
          <w:szCs w:val="24"/>
        </w:rPr>
        <w:t xml:space="preserve">information needed by </w:t>
      </w:r>
      <w:r w:rsidRPr="00732B54">
        <w:rPr>
          <w:noProof/>
          <w:szCs w:val="24"/>
        </w:rPr>
        <w:t>stakeholders is not yet sufficiently available in national business registers and</w:t>
      </w:r>
      <w:r>
        <w:rPr>
          <w:noProof/>
          <w:szCs w:val="24"/>
        </w:rPr>
        <w:t>/or</w:t>
      </w:r>
      <w:r w:rsidRPr="00732B54">
        <w:rPr>
          <w:noProof/>
          <w:szCs w:val="24"/>
        </w:rPr>
        <w:t xml:space="preserve"> cross-border through BRIS</w:t>
      </w:r>
      <w:r>
        <w:rPr>
          <w:noProof/>
          <w:szCs w:val="24"/>
        </w:rPr>
        <w:t xml:space="preserve">, and </w:t>
      </w:r>
      <w:r w:rsidRPr="008E3FAF">
        <w:rPr>
          <w:noProof/>
          <w:szCs w:val="24"/>
        </w:rPr>
        <w:t xml:space="preserve">stakeholders encounter difficulties when looking for it. </w:t>
      </w:r>
      <w:r>
        <w:rPr>
          <w:noProof/>
          <w:szCs w:val="24"/>
        </w:rPr>
        <w:t xml:space="preserve">EU company law already provides </w:t>
      </w:r>
      <w:r w:rsidR="00162FEA">
        <w:rPr>
          <w:noProof/>
          <w:szCs w:val="24"/>
        </w:rPr>
        <w:t>for</w:t>
      </w:r>
      <w:r>
        <w:rPr>
          <w:noProof/>
          <w:szCs w:val="24"/>
        </w:rPr>
        <w:t xml:space="preserve"> harmonised disclosure requirements about limited liability companies</w:t>
      </w:r>
      <w:r w:rsidR="00F217D7" w:rsidRPr="00C407B8">
        <w:rPr>
          <w:noProof/>
          <w:szCs w:val="24"/>
        </w:rPr>
        <w:t xml:space="preserve">, but some </w:t>
      </w:r>
      <w:r>
        <w:rPr>
          <w:noProof/>
          <w:szCs w:val="24"/>
        </w:rPr>
        <w:t xml:space="preserve">important data (e.g. about companies’ central administration and the principal place of business or company groups) is </w:t>
      </w:r>
      <w:r w:rsidR="00F217D7" w:rsidRPr="00C407B8">
        <w:rPr>
          <w:noProof/>
          <w:szCs w:val="24"/>
        </w:rPr>
        <w:t>still</w:t>
      </w:r>
      <w:r w:rsidR="00F217D7">
        <w:rPr>
          <w:noProof/>
          <w:szCs w:val="24"/>
        </w:rPr>
        <w:t xml:space="preserve"> </w:t>
      </w:r>
      <w:r>
        <w:rPr>
          <w:noProof/>
          <w:szCs w:val="24"/>
        </w:rPr>
        <w:t xml:space="preserve">not available at EU level and only rarely, in Member States’ registers. There is also no information at EU level about other entities, such as partnerships, which play an important </w:t>
      </w:r>
      <w:r w:rsidRPr="006664E7">
        <w:rPr>
          <w:noProof/>
          <w:szCs w:val="24"/>
        </w:rPr>
        <w:t xml:space="preserve">role in </w:t>
      </w:r>
      <w:r w:rsidR="00F217D7" w:rsidRPr="00C407B8">
        <w:rPr>
          <w:noProof/>
          <w:szCs w:val="24"/>
        </w:rPr>
        <w:t>the</w:t>
      </w:r>
      <w:r w:rsidR="00F217D7">
        <w:rPr>
          <w:noProof/>
          <w:szCs w:val="24"/>
        </w:rPr>
        <w:t xml:space="preserve"> </w:t>
      </w:r>
      <w:r>
        <w:rPr>
          <w:noProof/>
          <w:szCs w:val="24"/>
        </w:rPr>
        <w:t xml:space="preserve">economies of </w:t>
      </w:r>
      <w:r w:rsidRPr="006664E7">
        <w:rPr>
          <w:noProof/>
          <w:szCs w:val="24"/>
        </w:rPr>
        <w:t>many Member States</w:t>
      </w:r>
      <w:r w:rsidR="009D0FE6">
        <w:rPr>
          <w:noProof/>
          <w:szCs w:val="24"/>
        </w:rPr>
        <w:t>.</w:t>
      </w:r>
    </w:p>
    <w:p w14:paraId="717F3B22" w14:textId="77777777" w:rsidR="00AD4379" w:rsidRDefault="00AD4379" w:rsidP="00AD4379">
      <w:pPr>
        <w:rPr>
          <w:noProof/>
          <w:szCs w:val="24"/>
        </w:rPr>
      </w:pPr>
      <w:r>
        <w:rPr>
          <w:noProof/>
        </w:rPr>
        <w:t xml:space="preserve">The calls for transparency also </w:t>
      </w:r>
      <w:r w:rsidR="00F217D7" w:rsidRPr="00C407B8">
        <w:rPr>
          <w:noProof/>
        </w:rPr>
        <w:t xml:space="preserve">mean that company </w:t>
      </w:r>
      <w:r>
        <w:rPr>
          <w:noProof/>
        </w:rPr>
        <w:t>information should be reliable. S</w:t>
      </w:r>
      <w:r w:rsidRPr="001772A8">
        <w:rPr>
          <w:rFonts w:eastAsia="Calibri"/>
          <w:noProof/>
        </w:rPr>
        <w:t xml:space="preserve">takeholders, authorities and </w:t>
      </w:r>
      <w:r w:rsidR="00F217D7" w:rsidRPr="00C407B8">
        <w:rPr>
          <w:rFonts w:eastAsia="Calibri"/>
          <w:noProof/>
        </w:rPr>
        <w:t xml:space="preserve">the public need to be able to trust that the information about companies is accurate, up to date and reliable </w:t>
      </w:r>
      <w:r>
        <w:rPr>
          <w:rFonts w:eastAsia="Calibri"/>
          <w:noProof/>
        </w:rPr>
        <w:t>so they can use it for business purposes, in administrative procedures or court proceedings</w:t>
      </w:r>
      <w:r w:rsidRPr="001772A8">
        <w:rPr>
          <w:rFonts w:eastAsia="Calibri"/>
          <w:noProof/>
        </w:rPr>
        <w:t>.</w:t>
      </w:r>
      <w:r>
        <w:rPr>
          <w:rFonts w:eastAsia="Calibri"/>
          <w:noProof/>
        </w:rPr>
        <w:t xml:space="preserve"> </w:t>
      </w:r>
      <w:r>
        <w:rPr>
          <w:noProof/>
          <w:szCs w:val="24"/>
        </w:rPr>
        <w:t xml:space="preserve">EU company law includes only partial </w:t>
      </w:r>
      <w:r w:rsidRPr="00F277AD">
        <w:rPr>
          <w:noProof/>
          <w:szCs w:val="24"/>
        </w:rPr>
        <w:t xml:space="preserve">minimum standards </w:t>
      </w:r>
      <w:r w:rsidRPr="008D0D98">
        <w:rPr>
          <w:noProof/>
          <w:szCs w:val="24"/>
        </w:rPr>
        <w:t xml:space="preserve">for </w:t>
      </w:r>
      <w:r w:rsidR="00F217D7" w:rsidRPr="00BF150E">
        <w:rPr>
          <w:noProof/>
          <w:szCs w:val="24"/>
        </w:rPr>
        <w:t>ex</w:t>
      </w:r>
      <w:r w:rsidR="00F217D7" w:rsidRPr="00BF150E" w:rsidDel="00255708">
        <w:rPr>
          <w:noProof/>
          <w:szCs w:val="24"/>
        </w:rPr>
        <w:t>-</w:t>
      </w:r>
      <w:r w:rsidR="00F217D7" w:rsidRPr="00BF150E">
        <w:rPr>
          <w:noProof/>
          <w:szCs w:val="24"/>
        </w:rPr>
        <w:t>ante</w:t>
      </w:r>
      <w:r w:rsidR="00F217D7" w:rsidRPr="00C407B8">
        <w:rPr>
          <w:noProof/>
          <w:szCs w:val="24"/>
        </w:rPr>
        <w:t xml:space="preserve"> checks. While all Member States carry out to a certain extent </w:t>
      </w:r>
      <w:r w:rsidR="00F217D7" w:rsidRPr="00BF150E">
        <w:rPr>
          <w:noProof/>
          <w:szCs w:val="24"/>
        </w:rPr>
        <w:t>ex</w:t>
      </w:r>
      <w:r w:rsidR="00F217D7" w:rsidRPr="00BF150E" w:rsidDel="00255708">
        <w:rPr>
          <w:noProof/>
          <w:szCs w:val="24"/>
        </w:rPr>
        <w:t>-</w:t>
      </w:r>
      <w:r w:rsidR="00F217D7" w:rsidRPr="00BF150E">
        <w:rPr>
          <w:noProof/>
          <w:szCs w:val="24"/>
        </w:rPr>
        <w:t>ante</w:t>
      </w:r>
      <w:r w:rsidR="00F217D7" w:rsidRPr="00C407B8">
        <w:rPr>
          <w:noProof/>
          <w:szCs w:val="24"/>
        </w:rPr>
        <w:t xml:space="preserve"> scrutiny of company documents and informati</w:t>
      </w:r>
      <w:r w:rsidR="00AC460A">
        <w:rPr>
          <w:noProof/>
          <w:szCs w:val="24"/>
        </w:rPr>
        <w:t xml:space="preserve">on, national procedures differ. </w:t>
      </w:r>
      <w:r>
        <w:rPr>
          <w:noProof/>
          <w:szCs w:val="24"/>
        </w:rPr>
        <w:t xml:space="preserve">This often leads to </w:t>
      </w:r>
      <w:r w:rsidRPr="008E3FAF">
        <w:rPr>
          <w:noProof/>
          <w:szCs w:val="24"/>
        </w:rPr>
        <w:t>insufficient trust in the registered company information from other Member States.</w:t>
      </w:r>
      <w:r>
        <w:rPr>
          <w:noProof/>
          <w:szCs w:val="24"/>
        </w:rPr>
        <w:t xml:space="preserve"> </w:t>
      </w:r>
    </w:p>
    <w:p w14:paraId="390C6ED4" w14:textId="77777777" w:rsidR="00AD4379" w:rsidRDefault="00AD4379" w:rsidP="00AD4379">
      <w:pPr>
        <w:rPr>
          <w:noProof/>
          <w:lang w:val="en-IE"/>
        </w:rPr>
      </w:pPr>
      <w:r w:rsidRPr="008E3FAF">
        <w:rPr>
          <w:noProof/>
          <w:szCs w:val="24"/>
        </w:rPr>
        <w:t>The</w:t>
      </w:r>
      <w:r w:rsidRPr="00732B54">
        <w:rPr>
          <w:noProof/>
          <w:szCs w:val="24"/>
        </w:rPr>
        <w:t xml:space="preserve"> direct use of company </w:t>
      </w:r>
      <w:r>
        <w:rPr>
          <w:noProof/>
          <w:szCs w:val="24"/>
        </w:rPr>
        <w:t xml:space="preserve">information </w:t>
      </w:r>
      <w:r w:rsidRPr="00732B54">
        <w:rPr>
          <w:noProof/>
          <w:szCs w:val="24"/>
        </w:rPr>
        <w:t xml:space="preserve">is </w:t>
      </w:r>
      <w:r w:rsidRPr="008E3FAF">
        <w:rPr>
          <w:noProof/>
          <w:szCs w:val="24"/>
        </w:rPr>
        <w:t xml:space="preserve">also </w:t>
      </w:r>
      <w:r>
        <w:rPr>
          <w:noProof/>
          <w:szCs w:val="24"/>
        </w:rPr>
        <w:t xml:space="preserve">often </w:t>
      </w:r>
      <w:r w:rsidRPr="00732B54">
        <w:rPr>
          <w:noProof/>
          <w:szCs w:val="24"/>
        </w:rPr>
        <w:t xml:space="preserve">hindered or not possible in cross-border </w:t>
      </w:r>
      <w:r>
        <w:rPr>
          <w:noProof/>
          <w:szCs w:val="24"/>
        </w:rPr>
        <w:t xml:space="preserve">situations due to frequent </w:t>
      </w:r>
      <w:r w:rsidRPr="00643211">
        <w:rPr>
          <w:noProof/>
          <w:szCs w:val="24"/>
        </w:rPr>
        <w:t xml:space="preserve">administrative </w:t>
      </w:r>
      <w:r w:rsidR="00785B78" w:rsidRPr="00C407B8">
        <w:rPr>
          <w:noProof/>
          <w:szCs w:val="24"/>
        </w:rPr>
        <w:t>barriers. These create burdens</w:t>
      </w:r>
      <w:r>
        <w:rPr>
          <w:noProof/>
          <w:szCs w:val="24"/>
        </w:rPr>
        <w:t xml:space="preserve"> for companies and</w:t>
      </w:r>
      <w:r w:rsidRPr="00AA273C">
        <w:rPr>
          <w:noProof/>
          <w:szCs w:val="24"/>
        </w:rPr>
        <w:t xml:space="preserve"> may </w:t>
      </w:r>
      <w:r>
        <w:rPr>
          <w:noProof/>
          <w:szCs w:val="24"/>
        </w:rPr>
        <w:t xml:space="preserve">even </w:t>
      </w:r>
      <w:r w:rsidRPr="00AA273C">
        <w:rPr>
          <w:noProof/>
          <w:szCs w:val="24"/>
        </w:rPr>
        <w:t xml:space="preserve">have a deterrent </w:t>
      </w:r>
      <w:r w:rsidRPr="00EC53D8">
        <w:rPr>
          <w:noProof/>
          <w:szCs w:val="24"/>
        </w:rPr>
        <w:t>effect, in particular for SMEs. For instance</w:t>
      </w:r>
      <w:r>
        <w:rPr>
          <w:noProof/>
          <w:szCs w:val="24"/>
        </w:rPr>
        <w:t xml:space="preserve">, </w:t>
      </w:r>
      <w:r>
        <w:rPr>
          <w:noProof/>
          <w:szCs w:val="24"/>
          <w:lang w:eastAsia="nl-NL"/>
        </w:rPr>
        <w:t xml:space="preserve">when </w:t>
      </w:r>
      <w:r w:rsidRPr="008E3FAF">
        <w:rPr>
          <w:noProof/>
          <w:szCs w:val="24"/>
        </w:rPr>
        <w:t>setting up a subsidiary or a branch in another Member State</w:t>
      </w:r>
      <w:r>
        <w:rPr>
          <w:noProof/>
          <w:szCs w:val="24"/>
        </w:rPr>
        <w:t>, companies</w:t>
      </w:r>
      <w:r w:rsidRPr="008E3FAF">
        <w:rPr>
          <w:noProof/>
          <w:szCs w:val="24"/>
        </w:rPr>
        <w:t xml:space="preserve"> cannot yet rely on </w:t>
      </w:r>
      <w:r w:rsidR="00785B78" w:rsidRPr="00C407B8">
        <w:rPr>
          <w:noProof/>
          <w:szCs w:val="24"/>
        </w:rPr>
        <w:t xml:space="preserve">the once-only principle, </w:t>
      </w:r>
      <w:r>
        <w:rPr>
          <w:noProof/>
          <w:szCs w:val="24"/>
        </w:rPr>
        <w:t xml:space="preserve">and </w:t>
      </w:r>
      <w:r w:rsidRPr="008E3FAF">
        <w:rPr>
          <w:noProof/>
          <w:szCs w:val="24"/>
          <w:lang w:eastAsia="nl-NL"/>
        </w:rPr>
        <w:t xml:space="preserve">need to resubmit </w:t>
      </w:r>
      <w:r>
        <w:rPr>
          <w:noProof/>
          <w:szCs w:val="24"/>
          <w:lang w:eastAsia="nl-NL"/>
        </w:rPr>
        <w:t xml:space="preserve">their own </w:t>
      </w:r>
      <w:r w:rsidRPr="008E3FAF">
        <w:rPr>
          <w:noProof/>
          <w:szCs w:val="24"/>
          <w:lang w:eastAsia="nl-NL"/>
        </w:rPr>
        <w:t>data, which exists in their national business registers, to the registers of other Member States.</w:t>
      </w:r>
      <w:r w:rsidRPr="008E3FAF">
        <w:rPr>
          <w:noProof/>
          <w:szCs w:val="24"/>
          <w:lang w:val="en-IE"/>
        </w:rPr>
        <w:t xml:space="preserve"> </w:t>
      </w:r>
      <w:r>
        <w:rPr>
          <w:noProof/>
          <w:szCs w:val="24"/>
          <w:lang w:val="en-IE"/>
        </w:rPr>
        <w:t xml:space="preserve">They </w:t>
      </w:r>
      <w:r w:rsidRPr="008E3FAF">
        <w:rPr>
          <w:noProof/>
          <w:szCs w:val="24"/>
          <w:lang w:val="en-IE"/>
        </w:rPr>
        <w:t xml:space="preserve">often need to </w:t>
      </w:r>
      <w:r w:rsidR="00785B78">
        <w:rPr>
          <w:noProof/>
        </w:rPr>
        <w:t>get these documents legalised (apostille)</w:t>
      </w:r>
      <w:r w:rsidRPr="008E3FAF">
        <w:rPr>
          <w:noProof/>
          <w:szCs w:val="24"/>
          <w:lang w:val="en-IE"/>
        </w:rPr>
        <w:t>.</w:t>
      </w:r>
      <w:r w:rsidRPr="008E3FAF">
        <w:rPr>
          <w:noProof/>
          <w:szCs w:val="24"/>
        </w:rPr>
        <w:t xml:space="preserve"> </w:t>
      </w:r>
      <w:r w:rsidRPr="008E3FAF">
        <w:rPr>
          <w:noProof/>
          <w:szCs w:val="24"/>
          <w:lang w:val="en-IE"/>
        </w:rPr>
        <w:t>Companies also often face similar difficulties when they want to use their information</w:t>
      </w:r>
      <w:r>
        <w:rPr>
          <w:noProof/>
          <w:szCs w:val="24"/>
          <w:lang w:val="en-IE"/>
        </w:rPr>
        <w:t xml:space="preserve"> from</w:t>
      </w:r>
      <w:r w:rsidRPr="008E3FAF">
        <w:rPr>
          <w:noProof/>
          <w:szCs w:val="24"/>
          <w:lang w:val="en-IE"/>
        </w:rPr>
        <w:t xml:space="preserve"> the national business register, </w:t>
      </w:r>
      <w:r w:rsidR="00785B78" w:rsidRPr="009E325B">
        <w:rPr>
          <w:noProof/>
          <w:szCs w:val="24"/>
        </w:rPr>
        <w:t xml:space="preserve">for example when </w:t>
      </w:r>
      <w:r w:rsidRPr="008E3FAF">
        <w:rPr>
          <w:noProof/>
          <w:szCs w:val="24"/>
          <w:lang w:val="en-IE"/>
        </w:rPr>
        <w:t>dealing with competent authorities or in court proceedings in another Member State.</w:t>
      </w:r>
      <w:r w:rsidRPr="008E3FAF">
        <w:rPr>
          <w:noProof/>
          <w:szCs w:val="24"/>
        </w:rPr>
        <w:t xml:space="preserve"> </w:t>
      </w:r>
      <w:r w:rsidRPr="0052404A">
        <w:rPr>
          <w:noProof/>
        </w:rPr>
        <w:t xml:space="preserve">In addition, the company extracts, </w:t>
      </w:r>
      <w:r>
        <w:rPr>
          <w:noProof/>
        </w:rPr>
        <w:t xml:space="preserve">which are frequently used by </w:t>
      </w:r>
      <w:r w:rsidRPr="0052404A">
        <w:rPr>
          <w:noProof/>
          <w:lang w:val="en-IE"/>
        </w:rPr>
        <w:t xml:space="preserve">companies and legal professionals to confirm information </w:t>
      </w:r>
      <w:r>
        <w:rPr>
          <w:noProof/>
          <w:lang w:val="en-IE"/>
        </w:rPr>
        <w:t>and identify companies</w:t>
      </w:r>
      <w:r w:rsidRPr="0052404A">
        <w:rPr>
          <w:noProof/>
          <w:lang w:val="en-IE"/>
        </w:rPr>
        <w:t xml:space="preserve"> </w:t>
      </w:r>
      <w:r w:rsidRPr="0052404A">
        <w:rPr>
          <w:rFonts w:eastAsia="Times New Roman"/>
          <w:noProof/>
          <w:lang w:val="en" w:eastAsia="nl-BE"/>
        </w:rPr>
        <w:t>for many different purposes</w:t>
      </w:r>
      <w:r>
        <w:rPr>
          <w:rFonts w:eastAsia="Times New Roman"/>
          <w:noProof/>
          <w:lang w:val="en" w:eastAsia="nl-BE"/>
        </w:rPr>
        <w:t xml:space="preserve">, </w:t>
      </w:r>
      <w:r w:rsidRPr="0052404A">
        <w:rPr>
          <w:noProof/>
        </w:rPr>
        <w:t xml:space="preserve">vary and </w:t>
      </w:r>
      <w:r w:rsidRPr="0052404A">
        <w:rPr>
          <w:noProof/>
          <w:color w:val="000000"/>
          <w:lang w:val="en-IE"/>
        </w:rPr>
        <w:t xml:space="preserve">cannot be </w:t>
      </w:r>
      <w:r w:rsidRPr="0052404A">
        <w:rPr>
          <w:noProof/>
        </w:rPr>
        <w:t>used in cross-border situations without burdensome and costly formalities</w:t>
      </w:r>
      <w:r w:rsidRPr="0052404A">
        <w:rPr>
          <w:noProof/>
          <w:lang w:val="en-IE"/>
        </w:rPr>
        <w:t>.</w:t>
      </w:r>
    </w:p>
    <w:p w14:paraId="2D048F03" w14:textId="77777777" w:rsidR="009C790E" w:rsidRPr="0052404A" w:rsidRDefault="009C790E" w:rsidP="00AD4379">
      <w:pPr>
        <w:rPr>
          <w:b/>
          <w:noProof/>
        </w:rPr>
      </w:pPr>
      <w:r>
        <w:rPr>
          <w:noProof/>
          <w:szCs w:val="24"/>
        </w:rPr>
        <w:t>The o</w:t>
      </w:r>
      <w:r w:rsidRPr="00131003">
        <w:rPr>
          <w:noProof/>
          <w:szCs w:val="24"/>
        </w:rPr>
        <w:t xml:space="preserve">verall objectives </w:t>
      </w:r>
      <w:r>
        <w:rPr>
          <w:noProof/>
          <w:szCs w:val="24"/>
        </w:rPr>
        <w:t xml:space="preserve">of this proposal </w:t>
      </w:r>
      <w:r w:rsidRPr="00131003">
        <w:rPr>
          <w:noProof/>
          <w:szCs w:val="24"/>
        </w:rPr>
        <w:t xml:space="preserve">are to enhance transparency and trust in the business environment, achieve more digitalised and connected cross-border public services for companies, </w:t>
      </w:r>
      <w:r w:rsidR="00656432">
        <w:rPr>
          <w:noProof/>
          <w:szCs w:val="24"/>
        </w:rPr>
        <w:t xml:space="preserve">and </w:t>
      </w:r>
      <w:r w:rsidRPr="00131003">
        <w:rPr>
          <w:noProof/>
          <w:szCs w:val="24"/>
        </w:rPr>
        <w:t>easier cross-border expansion for SMEs</w:t>
      </w:r>
      <w:r w:rsidR="00656432">
        <w:rPr>
          <w:noProof/>
          <w:szCs w:val="24"/>
        </w:rPr>
        <w:t xml:space="preserve"> leading</w:t>
      </w:r>
      <w:r w:rsidRPr="00131003">
        <w:rPr>
          <w:noProof/>
          <w:szCs w:val="24"/>
        </w:rPr>
        <w:t xml:space="preserve">, in turn, to a more integrated and digitalised </w:t>
      </w:r>
      <w:r w:rsidR="00656432">
        <w:rPr>
          <w:noProof/>
          <w:szCs w:val="24"/>
        </w:rPr>
        <w:t>s</w:t>
      </w:r>
      <w:r w:rsidRPr="00131003">
        <w:rPr>
          <w:noProof/>
          <w:szCs w:val="24"/>
        </w:rPr>
        <w:t xml:space="preserve">ingle </w:t>
      </w:r>
      <w:r w:rsidR="00656432">
        <w:rPr>
          <w:noProof/>
          <w:szCs w:val="24"/>
        </w:rPr>
        <w:t>m</w:t>
      </w:r>
      <w:r w:rsidRPr="00131003">
        <w:rPr>
          <w:noProof/>
          <w:szCs w:val="24"/>
        </w:rPr>
        <w:t>arket.</w:t>
      </w:r>
    </w:p>
    <w:p w14:paraId="22EF3152" w14:textId="77777777" w:rsidR="009C790E" w:rsidRPr="009C790E" w:rsidRDefault="009C790E" w:rsidP="00EC6C35">
      <w:pPr>
        <w:rPr>
          <w:rFonts w:eastAsia="Calibri"/>
          <w:noProof/>
        </w:rPr>
      </w:pPr>
      <w:r w:rsidRPr="009C790E">
        <w:rPr>
          <w:noProof/>
        </w:rPr>
        <w:t>To achieve this, the proposal will</w:t>
      </w:r>
      <w:r w:rsidRPr="009C790E">
        <w:rPr>
          <w:rFonts w:eastAsia="Calibri"/>
          <w:noProof/>
        </w:rPr>
        <w:t xml:space="preserve">: </w:t>
      </w:r>
    </w:p>
    <w:p w14:paraId="4D43D85A" w14:textId="77777777" w:rsidR="00785B78" w:rsidRPr="009E325B" w:rsidRDefault="00785B78" w:rsidP="00432A4D">
      <w:pPr>
        <w:pStyle w:val="Bullet0"/>
        <w:numPr>
          <w:ilvl w:val="0"/>
          <w:numId w:val="18"/>
        </w:numPr>
        <w:rPr>
          <w:noProof/>
        </w:rPr>
      </w:pPr>
      <w:r w:rsidRPr="009E325B">
        <w:rPr>
          <w:noProof/>
        </w:rPr>
        <w:t>increase the amount of company data available in business registers and/or BRIS and improve</w:t>
      </w:r>
      <w:r>
        <w:rPr>
          <w:noProof/>
        </w:rPr>
        <w:t xml:space="preserve"> its </w:t>
      </w:r>
      <w:r w:rsidRPr="009E325B">
        <w:rPr>
          <w:noProof/>
        </w:rPr>
        <w:t>reliability</w:t>
      </w:r>
      <w:r w:rsidRPr="00C407B8">
        <w:rPr>
          <w:noProof/>
        </w:rPr>
        <w:t>;</w:t>
      </w:r>
    </w:p>
    <w:p w14:paraId="3ECFCC10" w14:textId="77777777" w:rsidR="00785B78" w:rsidRPr="009E325B" w:rsidRDefault="00785B78" w:rsidP="00FF5472">
      <w:pPr>
        <w:pStyle w:val="Bullet0"/>
        <w:rPr>
          <w:noProof/>
        </w:rPr>
      </w:pPr>
      <w:r w:rsidRPr="009E325B">
        <w:rPr>
          <w:noProof/>
        </w:rPr>
        <w:t xml:space="preserve">enable direct use of company data available in business registers when setting up cross-border branches and subsidiaries, and in other cross-border activities and situations. </w:t>
      </w:r>
    </w:p>
    <w:p w14:paraId="44D453B6" w14:textId="77777777" w:rsidR="00AD4379" w:rsidRDefault="00AD4379" w:rsidP="00AD4379">
      <w:pPr>
        <w:rPr>
          <w:noProof/>
        </w:rPr>
      </w:pPr>
      <w:r w:rsidRPr="00AA6A5B">
        <w:rPr>
          <w:noProof/>
        </w:rPr>
        <w:t xml:space="preserve">This proposal </w:t>
      </w:r>
      <w:r w:rsidRPr="00AA6A5B">
        <w:rPr>
          <w:noProof/>
          <w:lang w:val="en-IE"/>
        </w:rPr>
        <w:t xml:space="preserve">is included in the 2023 Commission </w:t>
      </w:r>
      <w:r w:rsidR="009E325B" w:rsidRPr="009E325B">
        <w:rPr>
          <w:noProof/>
        </w:rPr>
        <w:t>work programme as one of the key actions under the Commission’s headline ambition of ‘Europe fit for the digital age’</w:t>
      </w:r>
      <w:r w:rsidR="009E325B" w:rsidRPr="00EC6C35">
        <w:rPr>
          <w:rStyle w:val="FootnoteReference"/>
          <w:noProof/>
        </w:rPr>
        <w:footnoteReference w:id="6"/>
      </w:r>
      <w:r w:rsidR="009E325B" w:rsidRPr="00C407B8">
        <w:rPr>
          <w:noProof/>
        </w:rPr>
        <w:t>.</w:t>
      </w:r>
    </w:p>
    <w:p w14:paraId="209C350D" w14:textId="77777777" w:rsidR="00AD4379" w:rsidRPr="00AD4379" w:rsidRDefault="00AD4379" w:rsidP="00AD4379">
      <w:pPr>
        <w:pStyle w:val="Text1"/>
        <w:rPr>
          <w:noProof/>
        </w:rPr>
      </w:pPr>
    </w:p>
    <w:p w14:paraId="23ABF596" w14:textId="77777777" w:rsidR="00573A63" w:rsidRPr="002D5EE2" w:rsidRDefault="00573A63" w:rsidP="00660ED3">
      <w:pPr>
        <w:pStyle w:val="ManualHeading2"/>
        <w:rPr>
          <w:rFonts w:eastAsia="Arial Unicode MS"/>
          <w:noProof/>
          <w:color w:val="000000"/>
          <w:u w:color="000000"/>
          <w:bdr w:val="nil"/>
          <w:lang w:val="en-US" w:eastAsia="en-GB"/>
        </w:rPr>
      </w:pPr>
      <w:bookmarkStart w:id="5" w:name="_Toc126762656"/>
      <w:bookmarkStart w:id="6" w:name="_Toc126826568"/>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bookmarkEnd w:id="5"/>
      <w:bookmarkEnd w:id="6"/>
    </w:p>
    <w:p w14:paraId="16F9485F" w14:textId="77777777" w:rsidR="00052DA1" w:rsidRPr="00052DA1" w:rsidRDefault="000929C5" w:rsidP="00052DA1">
      <w:pPr>
        <w:pBdr>
          <w:top w:val="nil"/>
          <w:left w:val="nil"/>
          <w:bottom w:val="nil"/>
          <w:right w:val="nil"/>
          <w:between w:val="nil"/>
          <w:bar w:val="nil"/>
        </w:pBdr>
        <w:spacing w:before="0" w:after="240"/>
        <w:rPr>
          <w:noProof/>
        </w:rPr>
      </w:pPr>
      <w:r>
        <w:rPr>
          <w:noProof/>
        </w:rPr>
        <w:t>This proposal aims to complement the existing rules on EU company law that are codified in Directive (EU) 2017/1132</w:t>
      </w:r>
      <w:r w:rsidR="00052DA1">
        <w:rPr>
          <w:noProof/>
        </w:rPr>
        <w:t xml:space="preserve"> (Codified Company Law Directive)</w:t>
      </w:r>
      <w:r>
        <w:rPr>
          <w:noProof/>
        </w:rPr>
        <w:t xml:space="preserve">. </w:t>
      </w:r>
      <w:r w:rsidR="00052DA1">
        <w:rPr>
          <w:noProof/>
        </w:rPr>
        <w:t xml:space="preserve">It aims to </w:t>
      </w:r>
      <w:r w:rsidR="00052DA1" w:rsidRPr="00052DA1">
        <w:rPr>
          <w:noProof/>
        </w:rPr>
        <w:t xml:space="preserve">increase the amount of </w:t>
      </w:r>
      <w:r w:rsidR="008830D5">
        <w:rPr>
          <w:noProof/>
        </w:rPr>
        <w:t xml:space="preserve">publicly available </w:t>
      </w:r>
      <w:r w:rsidR="00052DA1" w:rsidRPr="00052DA1">
        <w:rPr>
          <w:noProof/>
        </w:rPr>
        <w:t>company data in business registers and</w:t>
      </w:r>
      <w:r w:rsidR="00052DA1" w:rsidRPr="00052DA1" w:rsidDel="00937572">
        <w:rPr>
          <w:noProof/>
        </w:rPr>
        <w:t>/or</w:t>
      </w:r>
      <w:r w:rsidR="00052DA1" w:rsidRPr="00052DA1">
        <w:rPr>
          <w:noProof/>
        </w:rPr>
        <w:t xml:space="preserve"> through </w:t>
      </w:r>
      <w:r w:rsidR="002B2666">
        <w:rPr>
          <w:noProof/>
        </w:rPr>
        <w:t>BRIS</w:t>
      </w:r>
      <w:r w:rsidR="00052DA1" w:rsidRPr="00052DA1">
        <w:rPr>
          <w:noProof/>
        </w:rPr>
        <w:t xml:space="preserve">, </w:t>
      </w:r>
      <w:r w:rsidR="008830D5" w:rsidRPr="00052DA1">
        <w:rPr>
          <w:noProof/>
        </w:rPr>
        <w:t xml:space="preserve">improve the reliability </w:t>
      </w:r>
      <w:r w:rsidR="008830D5">
        <w:rPr>
          <w:noProof/>
        </w:rPr>
        <w:t xml:space="preserve">of </w:t>
      </w:r>
      <w:r w:rsidR="00FF3CF6">
        <w:rPr>
          <w:noProof/>
        </w:rPr>
        <w:t xml:space="preserve">company data in business registers </w:t>
      </w:r>
      <w:r w:rsidR="00052DA1" w:rsidRPr="00052DA1">
        <w:rPr>
          <w:noProof/>
        </w:rPr>
        <w:t xml:space="preserve">and </w:t>
      </w:r>
      <w:bookmarkStart w:id="7" w:name="_Toc113904542"/>
      <w:r w:rsidR="009E325B" w:rsidRPr="00C407B8">
        <w:rPr>
          <w:noProof/>
        </w:rPr>
        <w:t xml:space="preserve">facilitate </w:t>
      </w:r>
      <w:r w:rsidR="008830D5">
        <w:rPr>
          <w:noProof/>
        </w:rPr>
        <w:t xml:space="preserve">its </w:t>
      </w:r>
      <w:r w:rsidR="00052DA1" w:rsidRPr="00052DA1">
        <w:rPr>
          <w:noProof/>
        </w:rPr>
        <w:t>use</w:t>
      </w:r>
      <w:r w:rsidR="00052DA1" w:rsidRPr="00052DA1" w:rsidDel="008830D5">
        <w:rPr>
          <w:noProof/>
        </w:rPr>
        <w:t xml:space="preserve"> </w:t>
      </w:r>
      <w:r w:rsidR="00052DA1" w:rsidRPr="00052DA1">
        <w:rPr>
          <w:noProof/>
        </w:rPr>
        <w:t>when setting up cross-border branches and subsidiaries and in other cross-border activities and situations</w:t>
      </w:r>
      <w:bookmarkEnd w:id="7"/>
      <w:r w:rsidR="00052DA1">
        <w:rPr>
          <w:noProof/>
        </w:rPr>
        <w:t xml:space="preserve">. In this context, the proposal will build on </w:t>
      </w:r>
      <w:r w:rsidR="003F1AA8">
        <w:rPr>
          <w:noProof/>
        </w:rPr>
        <w:t>and extend</w:t>
      </w:r>
      <w:r w:rsidR="00052DA1">
        <w:rPr>
          <w:noProof/>
        </w:rPr>
        <w:t xml:space="preserve"> the existing provisions in the Codified Company Law Directive</w:t>
      </w:r>
      <w:r w:rsidR="003F1AA8">
        <w:rPr>
          <w:noProof/>
        </w:rPr>
        <w:t xml:space="preserve">. </w:t>
      </w:r>
      <w:r w:rsidR="005015D6">
        <w:rPr>
          <w:noProof/>
        </w:rPr>
        <w:t xml:space="preserve"> </w:t>
      </w:r>
      <w:r w:rsidR="00052DA1" w:rsidRPr="00B9068C">
        <w:rPr>
          <w:noProof/>
        </w:rPr>
        <w:t xml:space="preserve"> </w:t>
      </w:r>
      <w:r w:rsidR="00052DA1">
        <w:rPr>
          <w:noProof/>
        </w:rPr>
        <w:t xml:space="preserve"> </w:t>
      </w:r>
    </w:p>
    <w:p w14:paraId="745A25EC" w14:textId="77777777" w:rsidR="00B9068C" w:rsidRDefault="37A9E93B" w:rsidP="00B9068C">
      <w:pPr>
        <w:pBdr>
          <w:top w:val="nil"/>
          <w:left w:val="nil"/>
          <w:bottom w:val="nil"/>
          <w:right w:val="nil"/>
          <w:between w:val="nil"/>
          <w:bar w:val="nil"/>
        </w:pBdr>
        <w:spacing w:before="0" w:after="240"/>
        <w:rPr>
          <w:rFonts w:eastAsia="Calibri"/>
          <w:noProof/>
          <w:szCs w:val="24"/>
        </w:rPr>
      </w:pPr>
      <w:r w:rsidRPr="4FD204E9">
        <w:rPr>
          <w:noProof/>
        </w:rPr>
        <w:t>Directive</w:t>
      </w:r>
      <w:r w:rsidRPr="00880E24">
        <w:rPr>
          <w:noProof/>
          <w:szCs w:val="24"/>
        </w:rPr>
        <w:t xml:space="preserve"> </w:t>
      </w:r>
      <w:r>
        <w:rPr>
          <w:noProof/>
          <w:szCs w:val="24"/>
        </w:rPr>
        <w:t>(</w:t>
      </w:r>
      <w:r w:rsidRPr="4FD204E9">
        <w:rPr>
          <w:noProof/>
        </w:rPr>
        <w:t xml:space="preserve">EU) 2019/1151 </w:t>
      </w:r>
      <w:r w:rsidR="1AF24C3A" w:rsidRPr="4FD204E9">
        <w:rPr>
          <w:noProof/>
        </w:rPr>
        <w:t xml:space="preserve">(Digitalisation Directive) </w:t>
      </w:r>
      <w:r w:rsidR="008E304B">
        <w:rPr>
          <w:noProof/>
        </w:rPr>
        <w:t xml:space="preserve">focused on </w:t>
      </w:r>
      <w:r w:rsidR="008E304B" w:rsidRPr="4FD204E9">
        <w:rPr>
          <w:rFonts w:eastAsia="Calibri"/>
          <w:noProof/>
        </w:rPr>
        <w:t>making company law procedures fully on-line</w:t>
      </w:r>
      <w:r w:rsidR="008E304B" w:rsidRPr="4FD204E9">
        <w:rPr>
          <w:noProof/>
        </w:rPr>
        <w:t xml:space="preserve"> </w:t>
      </w:r>
      <w:r w:rsidR="008E304B">
        <w:rPr>
          <w:noProof/>
        </w:rPr>
        <w:t xml:space="preserve">and </w:t>
      </w:r>
      <w:r w:rsidRPr="4FD204E9">
        <w:rPr>
          <w:noProof/>
        </w:rPr>
        <w:t>provid</w:t>
      </w:r>
      <w:r w:rsidR="008E304B">
        <w:rPr>
          <w:noProof/>
        </w:rPr>
        <w:t>ed</w:t>
      </w:r>
      <w:r w:rsidRPr="4FD204E9">
        <w:rPr>
          <w:noProof/>
        </w:rPr>
        <w:t xml:space="preserve"> rules for </w:t>
      </w:r>
      <w:r w:rsidR="009E325B" w:rsidRPr="00C407B8">
        <w:rPr>
          <w:noProof/>
        </w:rPr>
        <w:t>the</w:t>
      </w:r>
      <w:r w:rsidR="009E325B" w:rsidRPr="4FD204E9">
        <w:rPr>
          <w:rFonts w:eastAsia="Calibri"/>
          <w:noProof/>
        </w:rPr>
        <w:t xml:space="preserve"> </w:t>
      </w:r>
      <w:r w:rsidRPr="4FD204E9">
        <w:rPr>
          <w:rFonts w:eastAsia="Calibri"/>
          <w:noProof/>
        </w:rPr>
        <w:t xml:space="preserve">fully online formation of limited liability companies, </w:t>
      </w:r>
      <w:r w:rsidRPr="4FD204E9">
        <w:rPr>
          <w:noProof/>
        </w:rPr>
        <w:t>registration of branches</w:t>
      </w:r>
      <w:r w:rsidRPr="4FD204E9">
        <w:rPr>
          <w:rFonts w:eastAsia="Calibri"/>
          <w:noProof/>
        </w:rPr>
        <w:t xml:space="preserve"> and fully online submission of documents in business registers</w:t>
      </w:r>
      <w:r w:rsidR="00052DA1" w:rsidRPr="00EC6C35">
        <w:rPr>
          <w:rStyle w:val="FootnoteReference"/>
          <w:noProof/>
        </w:rPr>
        <w:footnoteReference w:id="7"/>
      </w:r>
      <w:r w:rsidRPr="4FD204E9">
        <w:rPr>
          <w:rFonts w:eastAsia="Calibri"/>
          <w:noProof/>
        </w:rPr>
        <w:t>.</w:t>
      </w:r>
      <w:r w:rsidR="1AF24C3A" w:rsidRPr="4FD204E9">
        <w:rPr>
          <w:rFonts w:eastAsia="Calibri"/>
          <w:noProof/>
        </w:rPr>
        <w:t xml:space="preserve"> This proposal complements this Directive but focuses on other issues where digitalisation is needed in EU company law</w:t>
      </w:r>
      <w:r w:rsidR="008E304B">
        <w:rPr>
          <w:rFonts w:eastAsia="Calibri"/>
          <w:noProof/>
        </w:rPr>
        <w:t xml:space="preserve">, in particular by </w:t>
      </w:r>
      <w:r w:rsidR="00A37564">
        <w:rPr>
          <w:rFonts w:eastAsia="Calibri"/>
          <w:noProof/>
        </w:rPr>
        <w:t xml:space="preserve">addressing the availability and reliability of </w:t>
      </w:r>
      <w:r w:rsidR="008E304B" w:rsidRPr="4FD204E9">
        <w:rPr>
          <w:rFonts w:eastAsia="Calibri"/>
          <w:noProof/>
        </w:rPr>
        <w:t>company information in business registers</w:t>
      </w:r>
      <w:r w:rsidR="00A37564">
        <w:rPr>
          <w:rFonts w:eastAsia="Calibri"/>
          <w:noProof/>
        </w:rPr>
        <w:t xml:space="preserve"> and BRIS,</w:t>
      </w:r>
      <w:r w:rsidR="008E304B" w:rsidRPr="4FD204E9">
        <w:rPr>
          <w:rFonts w:eastAsia="Calibri"/>
          <w:noProof/>
        </w:rPr>
        <w:t xml:space="preserve"> and its use in cross-border situations</w:t>
      </w:r>
      <w:r w:rsidR="1AF24C3A" w:rsidRPr="4FD204E9">
        <w:rPr>
          <w:rFonts w:eastAsia="Calibri"/>
          <w:noProof/>
        </w:rPr>
        <w:t xml:space="preserve">.  </w:t>
      </w:r>
    </w:p>
    <w:p w14:paraId="416DBE87" w14:textId="77777777" w:rsidR="00052DA1" w:rsidRDefault="00B9068C" w:rsidP="00660ED3">
      <w:pPr>
        <w:pBdr>
          <w:top w:val="nil"/>
          <w:left w:val="nil"/>
          <w:bottom w:val="nil"/>
          <w:right w:val="nil"/>
          <w:between w:val="nil"/>
          <w:bar w:val="nil"/>
        </w:pBdr>
        <w:spacing w:before="0" w:after="240"/>
        <w:rPr>
          <w:noProof/>
        </w:rPr>
      </w:pPr>
      <w:r>
        <w:rPr>
          <w:rFonts w:eastAsia="Calibri"/>
          <w:noProof/>
          <w:szCs w:val="24"/>
        </w:rPr>
        <w:t xml:space="preserve">The </w:t>
      </w:r>
      <w:r w:rsidR="00641B36" w:rsidRPr="00C407B8">
        <w:rPr>
          <w:rFonts w:eastAsia="Calibri"/>
          <w:noProof/>
          <w:szCs w:val="24"/>
        </w:rPr>
        <w:t xml:space="preserve">proposal builds on and extends the use of </w:t>
      </w:r>
      <w:r w:rsidR="00641B36" w:rsidRPr="00C407B8">
        <w:rPr>
          <w:noProof/>
        </w:rPr>
        <w:t xml:space="preserve">BRIS without </w:t>
      </w:r>
      <w:r w:rsidR="00641B36" w:rsidRPr="00C407B8">
        <w:rPr>
          <w:rFonts w:eastAsia="Calibri"/>
          <w:noProof/>
          <w:szCs w:val="24"/>
        </w:rPr>
        <w:t xml:space="preserve">altering its functioning or infrastructure. </w:t>
      </w:r>
      <w:r w:rsidR="00641B36" w:rsidRPr="00C407B8">
        <w:rPr>
          <w:noProof/>
        </w:rPr>
        <w:t>BRIS is based on legal obligations set out by Directive 2012/17/EU and Commission Implementing Regulation (EU) 2021/1042</w:t>
      </w:r>
      <w:r w:rsidR="00641B36" w:rsidRPr="00C407B8">
        <w:rPr>
          <w:rFonts w:eastAsia="Calibri"/>
          <w:noProof/>
          <w:szCs w:val="24"/>
        </w:rPr>
        <w:t>. The proposal will make more company information available through BRIS and will introduce more exchanges between business registers (to apply the once-only principle) through BRIS. It will also link BRIS with the other EU-level systems of interconnection of registers.</w:t>
      </w:r>
    </w:p>
    <w:p w14:paraId="2A331B2F" w14:textId="77777777" w:rsidR="00573A63" w:rsidRPr="002D5EE2" w:rsidRDefault="00573A63" w:rsidP="00660ED3">
      <w:pPr>
        <w:pStyle w:val="ManualHeading2"/>
        <w:rPr>
          <w:rFonts w:eastAsia="Arial Unicode MS"/>
          <w:noProof/>
        </w:rPr>
      </w:pPr>
      <w:bookmarkStart w:id="8" w:name="_Toc126762657"/>
      <w:bookmarkStart w:id="9" w:name="_Toc126826569"/>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bookmarkStart w:id="10" w:name="_Hlk129363902"/>
      <w:r w:rsidRPr="002D5EE2">
        <w:rPr>
          <w:rFonts w:eastAsia="Arial Unicode MS"/>
          <w:noProof/>
        </w:rPr>
        <w:t>Consistency with other Union policies</w:t>
      </w:r>
      <w:bookmarkEnd w:id="8"/>
      <w:bookmarkEnd w:id="9"/>
      <w:bookmarkEnd w:id="10"/>
    </w:p>
    <w:p w14:paraId="05A6A143" w14:textId="77777777" w:rsidR="00377F78" w:rsidRDefault="00377F78" w:rsidP="00377F78">
      <w:pPr>
        <w:rPr>
          <w:noProof/>
        </w:rPr>
      </w:pPr>
      <w:r w:rsidRPr="4FD204E9">
        <w:rPr>
          <w:noProof/>
        </w:rPr>
        <w:t xml:space="preserve">The proposed measures </w:t>
      </w:r>
      <w:r w:rsidRPr="4FD204E9">
        <w:rPr>
          <w:rFonts w:eastAsia="Calibri"/>
          <w:noProof/>
        </w:rPr>
        <w:t>will directly contribute to the digitalisation objectives set out in</w:t>
      </w:r>
      <w:r w:rsidRPr="4FD204E9">
        <w:rPr>
          <w:rFonts w:eastAsia="Calibri"/>
          <w:noProof/>
          <w:color w:val="000000" w:themeColor="text1"/>
          <w:lang w:val="en-IE"/>
        </w:rPr>
        <w:t xml:space="preserve"> the </w:t>
      </w:r>
      <w:r w:rsidR="00B423B0" w:rsidRPr="00B423B0">
        <w:rPr>
          <w:rFonts w:eastAsia="Calibri"/>
          <w:noProof/>
          <w:color w:val="000000" w:themeColor="text1"/>
        </w:rPr>
        <w:t xml:space="preserve">Communication </w:t>
      </w:r>
      <w:r w:rsidR="00B423B0" w:rsidRPr="00B423B0">
        <w:rPr>
          <w:rFonts w:eastAsia="Calibri"/>
          <w:i/>
          <w:iCs/>
          <w:noProof/>
          <w:color w:val="000000" w:themeColor="text1"/>
        </w:rPr>
        <w:t>2030 Digital Compass</w:t>
      </w:r>
      <w:r w:rsidR="00B423B0" w:rsidRPr="00EC6C35">
        <w:rPr>
          <w:rStyle w:val="FootnoteReference"/>
          <w:noProof/>
        </w:rPr>
        <w:footnoteReference w:id="8"/>
      </w:r>
      <w:r w:rsidR="00B423B0" w:rsidRPr="00B423B0">
        <w:rPr>
          <w:rFonts w:eastAsia="Calibri"/>
          <w:noProof/>
          <w:color w:val="000000" w:themeColor="text1"/>
        </w:rPr>
        <w:t xml:space="preserve">, </w:t>
      </w:r>
      <w:r w:rsidRPr="4FD204E9">
        <w:rPr>
          <w:rFonts w:eastAsia="Calibri"/>
          <w:noProof/>
          <w:color w:val="000000" w:themeColor="text1"/>
          <w:lang w:val="en-IE"/>
        </w:rPr>
        <w:t>in</w:t>
      </w:r>
      <w:r w:rsidR="00F76BF9">
        <w:rPr>
          <w:rFonts w:eastAsia="Calibri"/>
          <w:noProof/>
          <w:color w:val="000000" w:themeColor="text1"/>
          <w:lang w:val="en-IE"/>
        </w:rPr>
        <w:t xml:space="preserve"> particular </w:t>
      </w:r>
      <w:r w:rsidRPr="4FD204E9">
        <w:rPr>
          <w:rFonts w:eastAsia="Calibri"/>
          <w:noProof/>
          <w:color w:val="000000" w:themeColor="text1"/>
          <w:lang w:val="en-IE"/>
        </w:rPr>
        <w:t xml:space="preserve">to moving closer to </w:t>
      </w:r>
      <w:r w:rsidR="00B423B0" w:rsidRPr="00B423B0">
        <w:rPr>
          <w:rFonts w:eastAsia="Calibri"/>
          <w:noProof/>
          <w:color w:val="000000" w:themeColor="text1"/>
        </w:rPr>
        <w:t>achieving</w:t>
      </w:r>
      <w:r w:rsidRPr="4FD204E9">
        <w:rPr>
          <w:rFonts w:eastAsia="Calibri"/>
          <w:noProof/>
          <w:color w:val="000000" w:themeColor="text1"/>
          <w:lang w:val="en-IE"/>
        </w:rPr>
        <w:t xml:space="preserve"> the target of 100% of key public services being available online for European citizens and businesses by </w:t>
      </w:r>
      <w:r w:rsidR="00B423B0" w:rsidRPr="00B423B0">
        <w:rPr>
          <w:rFonts w:eastAsia="Calibri"/>
          <w:noProof/>
          <w:color w:val="000000" w:themeColor="text1"/>
        </w:rPr>
        <w:t xml:space="preserve">2030 and creating </w:t>
      </w:r>
      <w:r w:rsidRPr="4FD204E9">
        <w:rPr>
          <w:rFonts w:eastAsia="Calibri"/>
          <w:noProof/>
          <w:color w:val="000000" w:themeColor="text1"/>
          <w:lang w:val="en-IE"/>
        </w:rPr>
        <w:t xml:space="preserve">connected public administrations, including through the use of the once-only principle. The proposal </w:t>
      </w:r>
      <w:r w:rsidR="006A4439">
        <w:rPr>
          <w:rFonts w:eastAsia="Calibri"/>
          <w:noProof/>
          <w:color w:val="000000" w:themeColor="text1"/>
          <w:lang w:val="en-IE"/>
        </w:rPr>
        <w:t xml:space="preserve">will </w:t>
      </w:r>
      <w:r w:rsidRPr="4FD204E9">
        <w:rPr>
          <w:rFonts w:eastAsia="Calibri"/>
          <w:noProof/>
          <w:color w:val="000000" w:themeColor="text1"/>
          <w:lang w:val="en-IE"/>
        </w:rPr>
        <w:t xml:space="preserve">also </w:t>
      </w:r>
      <w:r w:rsidR="00A345B7">
        <w:rPr>
          <w:rFonts w:eastAsia="Calibri"/>
          <w:noProof/>
          <w:color w:val="000000" w:themeColor="text1"/>
          <w:lang w:val="en-IE"/>
        </w:rPr>
        <w:t xml:space="preserve">be in line with </w:t>
      </w:r>
      <w:r w:rsidRPr="00376D4A">
        <w:rPr>
          <w:rFonts w:eastAsia="Calibri"/>
          <w:noProof/>
          <w:color w:val="000000" w:themeColor="text1"/>
          <w:lang w:val="en-IE"/>
        </w:rPr>
        <w:t xml:space="preserve">the </w:t>
      </w:r>
      <w:r w:rsidR="00F76BF9" w:rsidRPr="00376D4A">
        <w:rPr>
          <w:rFonts w:eastAsia="Calibri"/>
          <w:noProof/>
          <w:color w:val="000000" w:themeColor="text1"/>
          <w:lang w:val="en-IE"/>
        </w:rPr>
        <w:t>approach</w:t>
      </w:r>
      <w:r w:rsidRPr="00376D4A">
        <w:rPr>
          <w:rFonts w:eastAsia="Calibri"/>
          <w:noProof/>
          <w:color w:val="000000" w:themeColor="text1"/>
          <w:lang w:val="en-IE"/>
        </w:rPr>
        <w:t xml:space="preserve"> set</w:t>
      </w:r>
      <w:r w:rsidRPr="4FD204E9">
        <w:rPr>
          <w:rFonts w:eastAsia="Calibri"/>
          <w:noProof/>
          <w:color w:val="000000" w:themeColor="text1"/>
          <w:lang w:val="en-IE"/>
        </w:rPr>
        <w:t xml:space="preserve"> out in t</w:t>
      </w:r>
      <w:r w:rsidRPr="4FD204E9">
        <w:rPr>
          <w:rFonts w:eastAsia="Calibri"/>
          <w:noProof/>
        </w:rPr>
        <w:t xml:space="preserve">he Communication </w:t>
      </w:r>
      <w:r w:rsidR="00B423B0" w:rsidRPr="00B423B0">
        <w:rPr>
          <w:rFonts w:eastAsia="Calibri"/>
          <w:i/>
          <w:iCs/>
          <w:noProof/>
        </w:rPr>
        <w:t>Digitalisation of justice in the European Union</w:t>
      </w:r>
      <w:r w:rsidRPr="00EC6C35">
        <w:rPr>
          <w:rStyle w:val="FootnoteReference"/>
          <w:noProof/>
        </w:rPr>
        <w:footnoteReference w:id="9"/>
      </w:r>
      <w:r w:rsidRPr="4FD204E9">
        <w:rPr>
          <w:rFonts w:eastAsia="Calibri"/>
          <w:noProof/>
        </w:rPr>
        <w:t>, which underlined the importance of digital tools for businesses to access information, interact with authorities and enjoy access to justice.</w:t>
      </w:r>
    </w:p>
    <w:p w14:paraId="648529E1" w14:textId="77777777" w:rsidR="00377F78" w:rsidRDefault="00377F78" w:rsidP="00615EFE">
      <w:pPr>
        <w:rPr>
          <w:noProof/>
        </w:rPr>
      </w:pPr>
      <w:r w:rsidRPr="00726C68">
        <w:rPr>
          <w:noProof/>
        </w:rPr>
        <w:t xml:space="preserve">The proposed measures aim to </w:t>
      </w:r>
      <w:r w:rsidR="00340B04" w:rsidRPr="00726C68">
        <w:rPr>
          <w:noProof/>
        </w:rPr>
        <w:t>facilitate cross-border expansion by SMEs</w:t>
      </w:r>
      <w:r w:rsidR="009F7184">
        <w:rPr>
          <w:noProof/>
        </w:rPr>
        <w:t xml:space="preserve"> in particular</w:t>
      </w:r>
      <w:r w:rsidR="00340B04" w:rsidRPr="00726C68">
        <w:rPr>
          <w:noProof/>
        </w:rPr>
        <w:t xml:space="preserve"> </w:t>
      </w:r>
      <w:r w:rsidR="00340B04">
        <w:rPr>
          <w:noProof/>
        </w:rPr>
        <w:t xml:space="preserve">by </w:t>
      </w:r>
      <w:r w:rsidRPr="00726C68">
        <w:rPr>
          <w:noProof/>
        </w:rPr>
        <w:t>abolish</w:t>
      </w:r>
      <w:r w:rsidR="00340B04">
        <w:rPr>
          <w:noProof/>
        </w:rPr>
        <w:t>ing or reducing</w:t>
      </w:r>
      <w:r w:rsidRPr="00726C68">
        <w:rPr>
          <w:noProof/>
        </w:rPr>
        <w:t xml:space="preserve"> formalities </w:t>
      </w:r>
      <w:r w:rsidR="00B423B0" w:rsidRPr="00C407B8">
        <w:rPr>
          <w:noProof/>
        </w:rPr>
        <w:t xml:space="preserve">required to use company information in cross-border situations and when setting up subsidiaries and branches in other Member States. They also respond directly to the Communications </w:t>
      </w:r>
      <w:r w:rsidR="00B423B0" w:rsidRPr="00E831F9">
        <w:rPr>
          <w:i/>
          <w:iCs/>
          <w:noProof/>
        </w:rPr>
        <w:t>Updating the 2020 New Industrial Strategy</w:t>
      </w:r>
      <w:r w:rsidR="00B423B0" w:rsidRPr="00EC6C35">
        <w:rPr>
          <w:rStyle w:val="FootnoteReference"/>
          <w:noProof/>
        </w:rPr>
        <w:footnoteReference w:id="10"/>
      </w:r>
      <w:r w:rsidR="00B423B0" w:rsidRPr="00C407B8">
        <w:rPr>
          <w:noProof/>
        </w:rPr>
        <w:t xml:space="preserve"> and </w:t>
      </w:r>
      <w:r w:rsidR="00B423B0" w:rsidRPr="00E831F9">
        <w:rPr>
          <w:i/>
          <w:iCs/>
          <w:noProof/>
        </w:rPr>
        <w:t>SME Strategy for a sustainable and digital Europe</w:t>
      </w:r>
      <w:r w:rsidR="00B423B0" w:rsidRPr="00EC6C35">
        <w:rPr>
          <w:rStyle w:val="FootnoteReference"/>
          <w:noProof/>
        </w:rPr>
        <w:footnoteReference w:id="11"/>
      </w:r>
      <w:r w:rsidR="00B423B0" w:rsidRPr="00D057C3">
        <w:rPr>
          <w:noProof/>
          <w:vertAlign w:val="superscript"/>
        </w:rPr>
        <w:t>.</w:t>
      </w:r>
      <w:r w:rsidR="00B423B0" w:rsidRPr="00C407B8">
        <w:rPr>
          <w:noProof/>
        </w:rPr>
        <w:t xml:space="preserve"> The SME strategy in particular mentioned that ‘</w:t>
      </w:r>
      <w:r w:rsidR="00B423B0" w:rsidRPr="00B423B0">
        <w:rPr>
          <w:noProof/>
        </w:rPr>
        <w:t>the Commission will consult and assess the need for additional company law measures to facilitate cross-border expansion and scale-up by SMEs</w:t>
      </w:r>
      <w:r w:rsidR="00B423B0">
        <w:rPr>
          <w:noProof/>
        </w:rPr>
        <w:t>.</w:t>
      </w:r>
      <w:r w:rsidR="00B423B0" w:rsidRPr="00B423B0">
        <w:rPr>
          <w:noProof/>
        </w:rPr>
        <w:t>’</w:t>
      </w:r>
    </w:p>
    <w:p w14:paraId="63A492D3" w14:textId="77777777" w:rsidR="00377F78" w:rsidRPr="00615EFE" w:rsidRDefault="00CC37DC" w:rsidP="00615EFE">
      <w:pPr>
        <w:rPr>
          <w:noProof/>
        </w:rPr>
      </w:pPr>
      <w:r w:rsidRPr="00615EFE">
        <w:rPr>
          <w:noProof/>
        </w:rPr>
        <w:t>Overall, t</w:t>
      </w:r>
      <w:r w:rsidR="00377F78" w:rsidRPr="00615EFE">
        <w:rPr>
          <w:noProof/>
        </w:rPr>
        <w:t>he proposal will be relevant in responding to the call from the European Council</w:t>
      </w:r>
      <w:r w:rsidR="00967872" w:rsidRPr="00615EFE">
        <w:rPr>
          <w:noProof/>
        </w:rPr>
        <w:t>, in its</w:t>
      </w:r>
      <w:r w:rsidR="00377F78" w:rsidRPr="00615EFE">
        <w:rPr>
          <w:noProof/>
        </w:rPr>
        <w:t xml:space="preserve"> conclusions of 24-25 March 2022, </w:t>
      </w:r>
      <w:r w:rsidR="007700BC">
        <w:rPr>
          <w:noProof/>
        </w:rPr>
        <w:t>for</w:t>
      </w:r>
      <w:r w:rsidR="00377F78" w:rsidRPr="00615EFE">
        <w:rPr>
          <w:noProof/>
        </w:rPr>
        <w:t xml:space="preserve"> </w:t>
      </w:r>
      <w:r w:rsidR="00542EB2" w:rsidRPr="00C407B8">
        <w:rPr>
          <w:noProof/>
        </w:rPr>
        <w:t>‘completing the Single Market, in particular for digital and services’ and ‘closely monitoring and preventing bottlenecks as well as removing remaining unjustified barriers and administrative burdens and avoiding new ones.’</w:t>
      </w:r>
      <w:r w:rsidR="00542EB2" w:rsidRPr="00EC6C35">
        <w:rPr>
          <w:rStyle w:val="FootnoteReference"/>
          <w:noProof/>
        </w:rPr>
        <w:footnoteReference w:id="12"/>
      </w:r>
    </w:p>
    <w:p w14:paraId="3BA18CAF" w14:textId="77777777" w:rsidR="00A345B7" w:rsidRDefault="00542EB2" w:rsidP="009F7184">
      <w:pPr>
        <w:rPr>
          <w:rFonts w:eastAsia="Calibri"/>
          <w:noProof/>
          <w:szCs w:val="24"/>
        </w:rPr>
      </w:pPr>
      <w:r w:rsidRPr="00C407B8">
        <w:rPr>
          <w:rFonts w:eastAsia="Calibri"/>
          <w:noProof/>
          <w:szCs w:val="24"/>
        </w:rPr>
        <w:t xml:space="preserve">The proposal, in particular through its measures to </w:t>
      </w:r>
      <w:r w:rsidRPr="00C407B8" w:rsidDel="008719F5">
        <w:rPr>
          <w:rFonts w:eastAsia="Calibri"/>
          <w:noProof/>
          <w:szCs w:val="24"/>
        </w:rPr>
        <w:t>e</w:t>
      </w:r>
      <w:r w:rsidRPr="002B2666" w:rsidDel="008719F5">
        <w:rPr>
          <w:rFonts w:eastAsia="Calibri"/>
          <w:noProof/>
          <w:szCs w:val="24"/>
        </w:rPr>
        <w:t xml:space="preserve">nhance </w:t>
      </w:r>
      <w:r w:rsidRPr="00BF150E">
        <w:rPr>
          <w:rFonts w:eastAsia="Calibri"/>
          <w:noProof/>
          <w:szCs w:val="24"/>
        </w:rPr>
        <w:t>ex</w:t>
      </w:r>
      <w:r w:rsidRPr="00BF150E" w:rsidDel="00255708">
        <w:rPr>
          <w:rFonts w:eastAsia="Calibri"/>
          <w:noProof/>
          <w:szCs w:val="24"/>
        </w:rPr>
        <w:t>-</w:t>
      </w:r>
      <w:r w:rsidRPr="00BF150E">
        <w:rPr>
          <w:rFonts w:eastAsia="Calibri"/>
          <w:noProof/>
          <w:szCs w:val="24"/>
        </w:rPr>
        <w:t>ante</w:t>
      </w:r>
      <w:r w:rsidRPr="00C407B8">
        <w:rPr>
          <w:rFonts w:eastAsia="Calibri"/>
          <w:noProof/>
          <w:szCs w:val="24"/>
        </w:rPr>
        <w:t xml:space="preserve"> controls of company data and increase transparency, </w:t>
      </w:r>
      <w:r w:rsidR="00301785" w:rsidRPr="00B47194">
        <w:rPr>
          <w:rFonts w:eastAsia="Calibri"/>
          <w:noProof/>
          <w:szCs w:val="24"/>
        </w:rPr>
        <w:t>will also contribute to the fight against abuse of company law structures and to the effective imposition of</w:t>
      </w:r>
      <w:r w:rsidR="009F7184">
        <w:rPr>
          <w:rFonts w:eastAsia="Calibri"/>
          <w:noProof/>
          <w:szCs w:val="24"/>
        </w:rPr>
        <w:t xml:space="preserve"> EU</w:t>
      </w:r>
      <w:r w:rsidR="00301785" w:rsidRPr="00B47194">
        <w:rPr>
          <w:rFonts w:eastAsia="Calibri"/>
          <w:noProof/>
          <w:szCs w:val="24"/>
        </w:rPr>
        <w:t xml:space="preserve"> sanctions against such companies.  </w:t>
      </w:r>
    </w:p>
    <w:p w14:paraId="3F9EDBDB" w14:textId="77777777" w:rsidR="00CE763C" w:rsidRPr="00CE763C" w:rsidRDefault="73394A3C" w:rsidP="009F7184">
      <w:pPr>
        <w:rPr>
          <w:noProof/>
        </w:rPr>
      </w:pPr>
      <w:r>
        <w:rPr>
          <w:rFonts w:eastAsia="Calibri"/>
          <w:noProof/>
        </w:rPr>
        <w:t xml:space="preserve">The proposal </w:t>
      </w:r>
      <w:r w:rsidR="0DB530A4">
        <w:rPr>
          <w:rFonts w:eastAsia="Calibri"/>
          <w:noProof/>
        </w:rPr>
        <w:t xml:space="preserve">is complementary </w:t>
      </w:r>
      <w:r w:rsidR="00542EB2" w:rsidRPr="00C407B8">
        <w:rPr>
          <w:rFonts w:eastAsia="Calibri"/>
          <w:noProof/>
        </w:rPr>
        <w:t xml:space="preserve">to </w:t>
      </w:r>
      <w:r w:rsidR="0DB530A4">
        <w:rPr>
          <w:rFonts w:eastAsia="Calibri"/>
          <w:noProof/>
        </w:rPr>
        <w:t xml:space="preserve">and coherent with other ongoing </w:t>
      </w:r>
      <w:r>
        <w:rPr>
          <w:rFonts w:eastAsia="Calibri"/>
          <w:noProof/>
        </w:rPr>
        <w:t xml:space="preserve">initiatives </w:t>
      </w:r>
      <w:r w:rsidR="0DB530A4">
        <w:rPr>
          <w:rFonts w:eastAsia="Calibri"/>
          <w:noProof/>
        </w:rPr>
        <w:t>relevant for digitalisation</w:t>
      </w:r>
      <w:r w:rsidR="00CE338B">
        <w:rPr>
          <w:rFonts w:eastAsia="Calibri"/>
          <w:noProof/>
        </w:rPr>
        <w:t>.</w:t>
      </w:r>
      <w:r w:rsidR="74C9A8FC">
        <w:rPr>
          <w:rFonts w:eastAsia="Calibri"/>
          <w:noProof/>
        </w:rPr>
        <w:t xml:space="preserve"> </w:t>
      </w:r>
      <w:r w:rsidR="00CE338B">
        <w:rPr>
          <w:rFonts w:eastAsia="Calibri"/>
          <w:noProof/>
        </w:rPr>
        <w:t>F</w:t>
      </w:r>
      <w:r>
        <w:rPr>
          <w:rFonts w:eastAsia="Calibri"/>
          <w:noProof/>
        </w:rPr>
        <w:t xml:space="preserve">or instance, </w:t>
      </w:r>
      <w:r w:rsidR="229EB6CC">
        <w:rPr>
          <w:rFonts w:eastAsia="Calibri"/>
          <w:noProof/>
        </w:rPr>
        <w:t xml:space="preserve">there is a close link </w:t>
      </w:r>
      <w:r w:rsidR="74C9A8FC">
        <w:rPr>
          <w:rFonts w:eastAsia="Calibri"/>
          <w:noProof/>
        </w:rPr>
        <w:t xml:space="preserve">with </w:t>
      </w:r>
      <w:r w:rsidR="74C9A8FC" w:rsidRPr="00CE763C">
        <w:rPr>
          <w:noProof/>
          <w:lang w:val="en-IE"/>
        </w:rPr>
        <w:t>the eIDAS Regulation</w:t>
      </w:r>
      <w:r w:rsidR="00CE763C" w:rsidRPr="00EC6C35">
        <w:rPr>
          <w:rStyle w:val="FootnoteReference"/>
          <w:noProof/>
        </w:rPr>
        <w:footnoteReference w:id="13"/>
      </w:r>
      <w:r w:rsidR="74C9A8FC" w:rsidRPr="00CE763C">
        <w:rPr>
          <w:noProof/>
          <w:lang w:val="en-IE"/>
        </w:rPr>
        <w:t xml:space="preserve"> and </w:t>
      </w:r>
      <w:r w:rsidR="74C9A8FC">
        <w:rPr>
          <w:noProof/>
          <w:lang w:val="en-IE"/>
        </w:rPr>
        <w:t xml:space="preserve">the 2021 proposal to amend that Regulation as regards establishing a framework for </w:t>
      </w:r>
      <w:r w:rsidR="00542EB2" w:rsidRPr="00E831F9">
        <w:rPr>
          <w:noProof/>
        </w:rPr>
        <w:t>a</w:t>
      </w:r>
      <w:r w:rsidR="00542EB2">
        <w:rPr>
          <w:noProof/>
          <w:lang w:val="en-IE"/>
        </w:rPr>
        <w:t xml:space="preserve"> </w:t>
      </w:r>
      <w:r w:rsidR="74C9A8FC">
        <w:rPr>
          <w:noProof/>
          <w:lang w:val="en-IE"/>
        </w:rPr>
        <w:t>European Digital Identity</w:t>
      </w:r>
      <w:r w:rsidR="00CE763C" w:rsidRPr="00EC6C35">
        <w:rPr>
          <w:rStyle w:val="FootnoteReference"/>
          <w:noProof/>
        </w:rPr>
        <w:footnoteReference w:id="14"/>
      </w:r>
      <w:r w:rsidR="74C9A8FC">
        <w:rPr>
          <w:noProof/>
          <w:lang w:val="en-IE"/>
        </w:rPr>
        <w:t xml:space="preserve">. </w:t>
      </w:r>
      <w:r w:rsidR="00542EB2" w:rsidRPr="00E831F9">
        <w:rPr>
          <w:noProof/>
        </w:rPr>
        <w:t xml:space="preserve">The </w:t>
      </w:r>
      <w:r w:rsidR="74C9A8FC" w:rsidRPr="00CE763C">
        <w:rPr>
          <w:noProof/>
          <w:lang w:val="en-IE"/>
        </w:rPr>
        <w:t>2019 Digitalisation Directive</w:t>
      </w:r>
      <w:r w:rsidR="74C9A8FC">
        <w:rPr>
          <w:noProof/>
          <w:lang w:val="en-IE"/>
        </w:rPr>
        <w:t xml:space="preserve"> </w:t>
      </w:r>
      <w:r w:rsidR="00542EB2" w:rsidRPr="00E831F9">
        <w:rPr>
          <w:noProof/>
        </w:rPr>
        <w:t xml:space="preserve">already </w:t>
      </w:r>
      <w:r w:rsidR="74C9A8FC">
        <w:rPr>
          <w:noProof/>
          <w:lang w:val="en-IE"/>
        </w:rPr>
        <w:t xml:space="preserve">included the </w:t>
      </w:r>
      <w:r w:rsidR="74C9A8FC" w:rsidRPr="00CE763C">
        <w:rPr>
          <w:noProof/>
        </w:rPr>
        <w:t>use of electronic identification and trust services through the eIDAS Regulat</w:t>
      </w:r>
      <w:r w:rsidR="74C9A8FC" w:rsidRPr="00E831F9">
        <w:rPr>
          <w:noProof/>
        </w:rPr>
        <w:t>ion</w:t>
      </w:r>
      <w:r w:rsidR="74C9A8FC" w:rsidRPr="00CE763C">
        <w:rPr>
          <w:noProof/>
        </w:rPr>
        <w:t xml:space="preserve"> </w:t>
      </w:r>
      <w:r w:rsidR="2393AAC6" w:rsidRPr="00CE763C">
        <w:rPr>
          <w:noProof/>
          <w:lang w:val="en-IE"/>
        </w:rPr>
        <w:t xml:space="preserve">for electronic identification </w:t>
      </w:r>
      <w:r w:rsidR="74C9A8FC">
        <w:rPr>
          <w:noProof/>
        </w:rPr>
        <w:t>in company law procedures</w:t>
      </w:r>
      <w:r w:rsidR="74C9A8FC" w:rsidRPr="00CE763C">
        <w:rPr>
          <w:noProof/>
        </w:rPr>
        <w:t>.</w:t>
      </w:r>
      <w:r w:rsidR="74C9A8FC">
        <w:rPr>
          <w:noProof/>
        </w:rPr>
        <w:t xml:space="preserve"> </w:t>
      </w:r>
      <w:r w:rsidR="74C9A8FC" w:rsidRPr="007E7103">
        <w:rPr>
          <w:noProof/>
        </w:rPr>
        <w:t xml:space="preserve">The current proposal further relies on the use of trust services (e.g. </w:t>
      </w:r>
      <w:r w:rsidR="22078984" w:rsidRPr="007E7103">
        <w:rPr>
          <w:noProof/>
        </w:rPr>
        <w:t xml:space="preserve">to ensure that the proposed EU </w:t>
      </w:r>
      <w:r w:rsidR="002B2666">
        <w:rPr>
          <w:noProof/>
        </w:rPr>
        <w:t>C</w:t>
      </w:r>
      <w:r w:rsidR="22078984" w:rsidRPr="007E7103">
        <w:rPr>
          <w:noProof/>
        </w:rPr>
        <w:t xml:space="preserve">ompany </w:t>
      </w:r>
      <w:r w:rsidR="002B2666">
        <w:rPr>
          <w:noProof/>
        </w:rPr>
        <w:t>C</w:t>
      </w:r>
      <w:r w:rsidR="22078984" w:rsidRPr="007E7103">
        <w:rPr>
          <w:noProof/>
        </w:rPr>
        <w:t xml:space="preserve">ertificate and </w:t>
      </w:r>
      <w:r w:rsidR="00A7034A">
        <w:rPr>
          <w:noProof/>
        </w:rPr>
        <w:t xml:space="preserve">the digital </w:t>
      </w:r>
      <w:r w:rsidR="22078984" w:rsidRPr="007E7103">
        <w:rPr>
          <w:noProof/>
        </w:rPr>
        <w:t>EU power of attorney are sufficiently certified to rely on them in cross-border situations</w:t>
      </w:r>
      <w:r w:rsidR="74C9A8FC" w:rsidRPr="007E7103">
        <w:rPr>
          <w:noProof/>
        </w:rPr>
        <w:t xml:space="preserve">) and will </w:t>
      </w:r>
      <w:r w:rsidR="74C9A8FC" w:rsidRPr="007E7103">
        <w:rPr>
          <w:noProof/>
          <w:lang w:val="en-IE"/>
        </w:rPr>
        <w:t xml:space="preserve">be aligned with the new digital means, e.g. </w:t>
      </w:r>
      <w:r w:rsidR="00542EB2" w:rsidRPr="00E831F9">
        <w:rPr>
          <w:noProof/>
        </w:rPr>
        <w:t>the European Digital Identity Wallet introduced as part of the ongoing revision of the eIDAS framework.</w:t>
      </w:r>
    </w:p>
    <w:p w14:paraId="4C6548EF" w14:textId="77777777" w:rsidR="00321FD2" w:rsidRDefault="47E7CBFA" w:rsidP="00CE763C">
      <w:pPr>
        <w:rPr>
          <w:rFonts w:cstheme="minorHAnsi"/>
          <w:noProof/>
        </w:rPr>
      </w:pPr>
      <w:bookmarkStart w:id="11" w:name="_Hlk129363878"/>
      <w:r>
        <w:rPr>
          <w:noProof/>
        </w:rPr>
        <w:t xml:space="preserve">The </w:t>
      </w:r>
      <w:r w:rsidR="00542EB2" w:rsidRPr="00C407B8">
        <w:rPr>
          <w:noProof/>
        </w:rPr>
        <w:t>proposal is also complementary to other EU rules and initiatives that aim to increase transparency on companies. This includes the Anti-Money Laundering Directive</w:t>
      </w:r>
      <w:r w:rsidR="00542EB2" w:rsidRPr="00EC6C35">
        <w:rPr>
          <w:rStyle w:val="FootnoteReference"/>
          <w:noProof/>
        </w:rPr>
        <w:footnoteReference w:id="15"/>
      </w:r>
      <w:r w:rsidR="00542EB2" w:rsidRPr="00D278BF">
        <w:rPr>
          <w:noProof/>
        </w:rPr>
        <w:t>,</w:t>
      </w:r>
      <w:r w:rsidR="00542EB2" w:rsidRPr="00C407B8">
        <w:rPr>
          <w:noProof/>
        </w:rPr>
        <w:t xml:space="preserve"> which focuses on information about beneficial ownership, or the Regulation on insolvency proceedings</w:t>
      </w:r>
      <w:r w:rsidR="00542EB2" w:rsidRPr="00EC6C35">
        <w:rPr>
          <w:rStyle w:val="FootnoteReference"/>
          <w:noProof/>
        </w:rPr>
        <w:footnoteReference w:id="16"/>
      </w:r>
      <w:r w:rsidR="00542EB2" w:rsidRPr="00C407B8">
        <w:rPr>
          <w:noProof/>
        </w:rPr>
        <w:t>, which covers information about insolvent entities available in insolvency registers.</w:t>
      </w:r>
      <w:r w:rsidR="7A4BF459">
        <w:rPr>
          <w:noProof/>
        </w:rPr>
        <w:t xml:space="preserve"> </w:t>
      </w:r>
      <w:r w:rsidR="3F505E3E">
        <w:rPr>
          <w:noProof/>
        </w:rPr>
        <w:t xml:space="preserve">In particular, the proposal </w:t>
      </w:r>
      <w:r w:rsidR="789B92BD">
        <w:rPr>
          <w:noProof/>
        </w:rPr>
        <w:t>aims</w:t>
      </w:r>
      <w:r w:rsidR="3F505E3E">
        <w:rPr>
          <w:noProof/>
        </w:rPr>
        <w:t xml:space="preserve"> to link BRIS </w:t>
      </w:r>
      <w:r w:rsidR="00542EB2" w:rsidRPr="00C407B8">
        <w:rPr>
          <w:noProof/>
        </w:rPr>
        <w:t>with the beneficial ownership registers interconnection system (BORIS)</w:t>
      </w:r>
      <w:r w:rsidR="00955567" w:rsidRPr="00EC6C35">
        <w:rPr>
          <w:rStyle w:val="FootnoteReference"/>
          <w:noProof/>
        </w:rPr>
        <w:footnoteReference w:id="17"/>
      </w:r>
      <w:r w:rsidR="00542EB2" w:rsidRPr="00C407B8">
        <w:rPr>
          <w:noProof/>
        </w:rPr>
        <w:t xml:space="preserve"> </w:t>
      </w:r>
      <w:r w:rsidR="7A4BF459">
        <w:rPr>
          <w:noProof/>
        </w:rPr>
        <w:t>and t</w:t>
      </w:r>
      <w:r w:rsidR="7A4BF459" w:rsidRPr="007E0421">
        <w:rPr>
          <w:noProof/>
        </w:rPr>
        <w:t xml:space="preserve">he </w:t>
      </w:r>
      <w:r w:rsidR="00542EB2" w:rsidRPr="00C407B8">
        <w:rPr>
          <w:noProof/>
        </w:rPr>
        <w:t>insolvency registers interconnection (IRI) system</w:t>
      </w:r>
      <w:r w:rsidR="00793B6F" w:rsidRPr="00EC6C35">
        <w:rPr>
          <w:rStyle w:val="FootnoteReference"/>
          <w:noProof/>
        </w:rPr>
        <w:footnoteReference w:id="18"/>
      </w:r>
      <w:r w:rsidR="7A4BF459">
        <w:rPr>
          <w:noProof/>
        </w:rPr>
        <w:t xml:space="preserve">, </w:t>
      </w:r>
      <w:r w:rsidR="3F505E3E">
        <w:rPr>
          <w:noProof/>
        </w:rPr>
        <w:t>while</w:t>
      </w:r>
      <w:r w:rsidR="590FD778">
        <w:rPr>
          <w:noProof/>
        </w:rPr>
        <w:t xml:space="preserve"> </w:t>
      </w:r>
      <w:r w:rsidR="3F505E3E" w:rsidRPr="00755B1B">
        <w:rPr>
          <w:noProof/>
        </w:rPr>
        <w:t>not alter</w:t>
      </w:r>
      <w:r w:rsidR="3F505E3E">
        <w:rPr>
          <w:noProof/>
        </w:rPr>
        <w:t>ing</w:t>
      </w:r>
      <w:r w:rsidR="3F505E3E" w:rsidRPr="00755B1B">
        <w:rPr>
          <w:noProof/>
        </w:rPr>
        <w:t xml:space="preserve"> or circumvent</w:t>
      </w:r>
      <w:r w:rsidR="3F505E3E">
        <w:rPr>
          <w:noProof/>
        </w:rPr>
        <w:t>ing</w:t>
      </w:r>
      <w:r w:rsidR="3F505E3E" w:rsidRPr="00755B1B">
        <w:rPr>
          <w:noProof/>
        </w:rPr>
        <w:t xml:space="preserve"> the rules and limits to the access of the information available in those interconnections</w:t>
      </w:r>
      <w:r w:rsidR="3F505E3E">
        <w:rPr>
          <w:noProof/>
        </w:rPr>
        <w:t xml:space="preserve">. </w:t>
      </w:r>
      <w:r w:rsidR="5B202B3A" w:rsidRPr="4FD204E9">
        <w:rPr>
          <w:rFonts w:cstheme="minorBidi"/>
          <w:noProof/>
        </w:rPr>
        <w:t>This proposal</w:t>
      </w:r>
      <w:r w:rsidR="239DF9A9" w:rsidRPr="4FD204E9">
        <w:rPr>
          <w:rFonts w:cstheme="minorBidi"/>
          <w:noProof/>
        </w:rPr>
        <w:t xml:space="preserve"> </w:t>
      </w:r>
      <w:r w:rsidR="5B202B3A" w:rsidRPr="4FD204E9">
        <w:rPr>
          <w:rFonts w:cstheme="minorBidi"/>
          <w:noProof/>
        </w:rPr>
        <w:t xml:space="preserve">is </w:t>
      </w:r>
      <w:r w:rsidR="239DF9A9" w:rsidRPr="4FD204E9">
        <w:rPr>
          <w:rFonts w:cstheme="minorBidi"/>
          <w:noProof/>
        </w:rPr>
        <w:t xml:space="preserve">relevant for </w:t>
      </w:r>
      <w:r w:rsidR="5B202B3A" w:rsidRPr="4FD204E9">
        <w:rPr>
          <w:rFonts w:cstheme="minorBidi"/>
          <w:noProof/>
        </w:rPr>
        <w:t xml:space="preserve">the </w:t>
      </w:r>
      <w:r w:rsidR="239DF9A9" w:rsidRPr="4FD204E9">
        <w:rPr>
          <w:rFonts w:cstheme="minorBidi"/>
          <w:noProof/>
        </w:rPr>
        <w:t>recent taxation initiatives</w:t>
      </w:r>
      <w:r w:rsidR="5B202B3A" w:rsidRPr="4FD204E9">
        <w:rPr>
          <w:rFonts w:cstheme="minorBidi"/>
          <w:noProof/>
        </w:rPr>
        <w:t>, e.g. the proposal to prevent the misuse of shell entities for tax purposes</w:t>
      </w:r>
      <w:r w:rsidR="0060054A" w:rsidRPr="00EC6C35">
        <w:rPr>
          <w:rStyle w:val="FootnoteReference"/>
          <w:noProof/>
        </w:rPr>
        <w:footnoteReference w:id="19"/>
      </w:r>
      <w:r w:rsidR="5B202B3A" w:rsidRPr="4FD204E9">
        <w:rPr>
          <w:rFonts w:cstheme="minorBidi"/>
          <w:noProof/>
        </w:rPr>
        <w:t>,</w:t>
      </w:r>
      <w:r w:rsidR="239DF9A9" w:rsidRPr="4FD204E9" w:rsidDel="00605E13">
        <w:rPr>
          <w:rFonts w:cstheme="minorBidi"/>
          <w:noProof/>
        </w:rPr>
        <w:t xml:space="preserve"> </w:t>
      </w:r>
      <w:r w:rsidR="239DF9A9" w:rsidRPr="4FD204E9">
        <w:rPr>
          <w:rFonts w:cstheme="minorBidi"/>
          <w:noProof/>
        </w:rPr>
        <w:t xml:space="preserve">as more transparency </w:t>
      </w:r>
      <w:r w:rsidR="5B202B3A" w:rsidRPr="4FD204E9">
        <w:rPr>
          <w:rFonts w:cstheme="minorBidi"/>
          <w:noProof/>
        </w:rPr>
        <w:t xml:space="preserve">and more reliable company data </w:t>
      </w:r>
      <w:r w:rsidR="239DF9A9" w:rsidRPr="4FD204E9">
        <w:rPr>
          <w:rFonts w:cstheme="minorBidi"/>
          <w:noProof/>
        </w:rPr>
        <w:t>will help tax authorities’ work</w:t>
      </w:r>
      <w:r w:rsidR="5B202B3A" w:rsidRPr="4FD204E9">
        <w:rPr>
          <w:rFonts w:cstheme="minorBidi"/>
          <w:noProof/>
        </w:rPr>
        <w:t xml:space="preserve"> </w:t>
      </w:r>
      <w:r w:rsidR="00E10029" w:rsidRPr="00C407B8">
        <w:rPr>
          <w:rFonts w:cstheme="minorBidi"/>
          <w:noProof/>
        </w:rPr>
        <w:t xml:space="preserve">as part </w:t>
      </w:r>
      <w:r w:rsidR="5B202B3A" w:rsidRPr="4FD204E9">
        <w:rPr>
          <w:rFonts w:cstheme="minorBidi"/>
          <w:noProof/>
        </w:rPr>
        <w:t>of these other initiatives</w:t>
      </w:r>
      <w:r w:rsidR="239DF9A9" w:rsidRPr="4FD204E9">
        <w:rPr>
          <w:rFonts w:cstheme="minorBidi"/>
          <w:noProof/>
        </w:rPr>
        <w:t>.</w:t>
      </w:r>
      <w:bookmarkEnd w:id="11"/>
    </w:p>
    <w:p w14:paraId="64ABD3A3" w14:textId="77777777" w:rsidR="00841932" w:rsidRDefault="00E10029" w:rsidP="00F101D4">
      <w:pPr>
        <w:rPr>
          <w:noProof/>
        </w:rPr>
      </w:pPr>
      <w:r w:rsidRPr="00C407B8">
        <w:rPr>
          <w:noProof/>
        </w:rPr>
        <w:t xml:space="preserve">The proposal is also complementary to other EU initiatives </w:t>
      </w:r>
      <w:r>
        <w:rPr>
          <w:noProof/>
        </w:rPr>
        <w:t xml:space="preserve">that </w:t>
      </w:r>
      <w:r w:rsidRPr="00C407B8">
        <w:rPr>
          <w:noProof/>
        </w:rPr>
        <w:t xml:space="preserve">aim to facilitate cross-border information or procedures, such as the </w:t>
      </w:r>
      <w:r w:rsidRPr="00E831F9">
        <w:rPr>
          <w:noProof/>
        </w:rPr>
        <w:t>Single Digital Gateway Regulation</w:t>
      </w:r>
      <w:r w:rsidRPr="00E831F9" w:rsidDel="00317757">
        <w:rPr>
          <w:noProof/>
        </w:rPr>
        <w:t xml:space="preserve"> (SDG</w:t>
      </w:r>
      <w:r w:rsidR="00AB19D4">
        <w:rPr>
          <w:noProof/>
        </w:rPr>
        <w:t xml:space="preserve"> Regulation</w:t>
      </w:r>
      <w:r w:rsidRPr="00E831F9" w:rsidDel="00317757">
        <w:rPr>
          <w:noProof/>
        </w:rPr>
        <w:t>)</w:t>
      </w:r>
      <w:r w:rsidRPr="00EC6C35">
        <w:rPr>
          <w:rStyle w:val="FootnoteReference"/>
          <w:noProof/>
        </w:rPr>
        <w:footnoteReference w:id="20"/>
      </w:r>
      <w:r w:rsidRPr="00D278BF">
        <w:rPr>
          <w:noProof/>
          <w:vertAlign w:val="superscript"/>
        </w:rPr>
        <w:t xml:space="preserve"> </w:t>
      </w:r>
      <w:r w:rsidRPr="00E831F9">
        <w:rPr>
          <w:noProof/>
        </w:rPr>
        <w:t xml:space="preserve">or </w:t>
      </w:r>
      <w:r w:rsidRPr="00C407B8">
        <w:rPr>
          <w:noProof/>
        </w:rPr>
        <w:t>the proposal for a European single access point</w:t>
      </w:r>
      <w:r w:rsidRPr="00EC6C35">
        <w:rPr>
          <w:rStyle w:val="FootnoteReference"/>
          <w:noProof/>
        </w:rPr>
        <w:footnoteReference w:id="21"/>
      </w:r>
      <w:r w:rsidRPr="00E831F9">
        <w:rPr>
          <w:noProof/>
        </w:rPr>
        <w:t xml:space="preserve">. While this proposal </w:t>
      </w:r>
      <w:r w:rsidR="008B5743">
        <w:rPr>
          <w:noProof/>
        </w:rPr>
        <w:t xml:space="preserve">sets out </w:t>
      </w:r>
      <w:r w:rsidR="00816AAA" w:rsidRPr="00A42D58">
        <w:rPr>
          <w:noProof/>
        </w:rPr>
        <w:t>company law procedure</w:t>
      </w:r>
      <w:r w:rsidR="00816AAA">
        <w:rPr>
          <w:noProof/>
        </w:rPr>
        <w:t xml:space="preserve"> and </w:t>
      </w:r>
      <w:r w:rsidR="008B5743">
        <w:rPr>
          <w:noProof/>
        </w:rPr>
        <w:t xml:space="preserve">specific rules related to </w:t>
      </w:r>
      <w:r w:rsidRPr="00C407B8">
        <w:rPr>
          <w:rFonts w:eastAsia="Calibri"/>
          <w:noProof/>
        </w:rPr>
        <w:t>company information available in business registers</w:t>
      </w:r>
      <w:r w:rsidRPr="00A42D58">
        <w:rPr>
          <w:noProof/>
        </w:rPr>
        <w:t xml:space="preserve"> </w:t>
      </w:r>
      <w:r w:rsidRPr="00C407B8">
        <w:rPr>
          <w:noProof/>
        </w:rPr>
        <w:t>and</w:t>
      </w:r>
      <w:r w:rsidRPr="00C407B8" w:rsidDel="00937572">
        <w:rPr>
          <w:noProof/>
        </w:rPr>
        <w:t>/or</w:t>
      </w:r>
      <w:r w:rsidRPr="00C407B8">
        <w:rPr>
          <w:noProof/>
        </w:rPr>
        <w:t xml:space="preserve"> through BRIS </w:t>
      </w:r>
      <w:r w:rsidRPr="00A42D58">
        <w:rPr>
          <w:noProof/>
        </w:rPr>
        <w:t>and enabl</w:t>
      </w:r>
      <w:r w:rsidR="00816AAA">
        <w:rPr>
          <w:noProof/>
        </w:rPr>
        <w:t>ing</w:t>
      </w:r>
      <w:r w:rsidRPr="00A42D58">
        <w:rPr>
          <w:noProof/>
        </w:rPr>
        <w:t xml:space="preserve"> its direct use on a cross-border basis, t</w:t>
      </w:r>
      <w:r w:rsidRPr="00C407B8">
        <w:rPr>
          <w:noProof/>
        </w:rPr>
        <w:t xml:space="preserve">he </w:t>
      </w:r>
      <w:r w:rsidRPr="00A42D58">
        <w:rPr>
          <w:noProof/>
        </w:rPr>
        <w:t xml:space="preserve">SDG Regulation </w:t>
      </w:r>
      <w:r w:rsidR="008B5743">
        <w:rPr>
          <w:noProof/>
        </w:rPr>
        <w:t>provides for general rules for online provision of information, procedures and assistance services relevant for the functioning of the internal market</w:t>
      </w:r>
      <w:r w:rsidR="00803B13">
        <w:rPr>
          <w:noProof/>
        </w:rPr>
        <w:t>.</w:t>
      </w:r>
      <w:r w:rsidR="008B5743" w:rsidRPr="00A42D58">
        <w:rPr>
          <w:noProof/>
        </w:rPr>
        <w:t xml:space="preserve"> </w:t>
      </w:r>
      <w:r w:rsidR="00803B13">
        <w:rPr>
          <w:noProof/>
        </w:rPr>
        <w:t>It</w:t>
      </w:r>
      <w:r w:rsidR="008B5743">
        <w:rPr>
          <w:noProof/>
        </w:rPr>
        <w:t xml:space="preserve"> </w:t>
      </w:r>
      <w:r w:rsidRPr="00A42D58">
        <w:rPr>
          <w:noProof/>
        </w:rPr>
        <w:t xml:space="preserve">explicitly excludes from its scope </w:t>
      </w:r>
      <w:r w:rsidR="00BB4C4E">
        <w:rPr>
          <w:noProof/>
        </w:rPr>
        <w:t xml:space="preserve">procedures </w:t>
      </w:r>
      <w:r w:rsidR="00781E1E" w:rsidRPr="00781E1E">
        <w:rPr>
          <w:noProof/>
          <w:szCs w:val="24"/>
          <w:lang w:val="en-IE"/>
        </w:rPr>
        <w:t xml:space="preserve">related to </w:t>
      </w:r>
      <w:r w:rsidR="00781E1E" w:rsidRPr="00781E1E">
        <w:rPr>
          <w:noProof/>
          <w:color w:val="333333"/>
          <w:szCs w:val="24"/>
          <w:shd w:val="clear" w:color="auto" w:fill="FFFFFF"/>
        </w:rPr>
        <w:t>the initial registration of a business activity</w:t>
      </w:r>
      <w:r w:rsidR="00781E1E">
        <w:rPr>
          <w:noProof/>
          <w:color w:val="333333"/>
          <w:szCs w:val="24"/>
          <w:shd w:val="clear" w:color="auto" w:fill="FFFFFF"/>
        </w:rPr>
        <w:t xml:space="preserve"> with the business register and </w:t>
      </w:r>
      <w:r w:rsidR="00781E1E" w:rsidRPr="00781E1E">
        <w:rPr>
          <w:noProof/>
          <w:color w:val="333333"/>
          <w:szCs w:val="24"/>
          <w:shd w:val="clear" w:color="auto" w:fill="FFFFFF"/>
        </w:rPr>
        <w:t xml:space="preserve">procedures </w:t>
      </w:r>
      <w:r w:rsidR="00781E1E">
        <w:rPr>
          <w:noProof/>
          <w:color w:val="333333"/>
          <w:szCs w:val="24"/>
          <w:shd w:val="clear" w:color="auto" w:fill="FFFFFF"/>
        </w:rPr>
        <w:t xml:space="preserve">concerning </w:t>
      </w:r>
      <w:r w:rsidR="00781E1E" w:rsidRPr="00781E1E">
        <w:rPr>
          <w:noProof/>
          <w:color w:val="333333"/>
          <w:szCs w:val="24"/>
          <w:shd w:val="clear" w:color="auto" w:fill="FFFFFF"/>
        </w:rPr>
        <w:t>the</w:t>
      </w:r>
      <w:r w:rsidR="00781E1E" w:rsidRPr="00EB154B">
        <w:rPr>
          <w:b/>
          <w:noProof/>
          <w:color w:val="333333"/>
          <w:szCs w:val="24"/>
          <w:shd w:val="clear" w:color="auto" w:fill="FFFFFF"/>
        </w:rPr>
        <w:t xml:space="preserve"> </w:t>
      </w:r>
      <w:r w:rsidR="00781E1E" w:rsidRPr="00781E1E">
        <w:rPr>
          <w:noProof/>
          <w:color w:val="333333"/>
          <w:szCs w:val="24"/>
          <w:shd w:val="clear" w:color="auto" w:fill="FFFFFF"/>
        </w:rPr>
        <w:t xml:space="preserve">constitution of or any subsequent filing </w:t>
      </w:r>
      <w:r w:rsidRPr="00A42D58">
        <w:rPr>
          <w:noProof/>
        </w:rPr>
        <w:t>by companies or firms w</w:t>
      </w:r>
      <w:r w:rsidR="00D278BF">
        <w:rPr>
          <w:noProof/>
        </w:rPr>
        <w:t>ithin the meaning of Article 54</w:t>
      </w:r>
      <w:r w:rsidR="00781E1E">
        <w:rPr>
          <w:noProof/>
        </w:rPr>
        <w:t xml:space="preserve">(2) </w:t>
      </w:r>
      <w:r w:rsidRPr="00A42D58">
        <w:rPr>
          <w:noProof/>
        </w:rPr>
        <w:t>of the Treaty on the Functioning of the European Union (TFEU)</w:t>
      </w:r>
      <w:r w:rsidR="00803B13">
        <w:rPr>
          <w:noProof/>
        </w:rPr>
        <w:t xml:space="preserve"> since such procedures necessitate a comprehensive approach aimed at facilitating digital solutions throughout a company’s lifecycle.</w:t>
      </w:r>
      <w:r w:rsidR="00803B13" w:rsidRPr="00EC6C35">
        <w:rPr>
          <w:rStyle w:val="FootnoteReference"/>
          <w:noProof/>
        </w:rPr>
        <w:footnoteReference w:id="22"/>
      </w:r>
      <w:r w:rsidRPr="00A42D58">
        <w:rPr>
          <w:noProof/>
        </w:rPr>
        <w:t xml:space="preserve"> </w:t>
      </w:r>
      <w:r w:rsidR="00A17886">
        <w:rPr>
          <w:noProof/>
        </w:rPr>
        <w:t>However,</w:t>
      </w:r>
      <w:r w:rsidRPr="00A42D58">
        <w:rPr>
          <w:noProof/>
        </w:rPr>
        <w:t xml:space="preserve"> </w:t>
      </w:r>
      <w:r w:rsidR="00F46BFF">
        <w:rPr>
          <w:noProof/>
        </w:rPr>
        <w:t>to</w:t>
      </w:r>
      <w:r w:rsidR="00F978B1">
        <w:rPr>
          <w:noProof/>
        </w:rPr>
        <w:t xml:space="preserve"> </w:t>
      </w:r>
      <w:r w:rsidR="000C695E">
        <w:rPr>
          <w:noProof/>
        </w:rPr>
        <w:t>ensure synergies with the SDG</w:t>
      </w:r>
      <w:r w:rsidR="00F46BFF">
        <w:rPr>
          <w:noProof/>
        </w:rPr>
        <w:t xml:space="preserve">, Member States will make </w:t>
      </w:r>
      <w:r w:rsidR="000C695E">
        <w:rPr>
          <w:noProof/>
        </w:rPr>
        <w:t xml:space="preserve">the </w:t>
      </w:r>
      <w:r w:rsidR="00F46BFF">
        <w:rPr>
          <w:noProof/>
        </w:rPr>
        <w:t xml:space="preserve">information </w:t>
      </w:r>
      <w:r w:rsidR="000C695E">
        <w:rPr>
          <w:noProof/>
        </w:rPr>
        <w:t xml:space="preserve">about online procedures set out in this proposal </w:t>
      </w:r>
      <w:r w:rsidR="00F46BFF">
        <w:rPr>
          <w:noProof/>
        </w:rPr>
        <w:t>available</w:t>
      </w:r>
      <w:r w:rsidR="00F978B1">
        <w:rPr>
          <w:noProof/>
        </w:rPr>
        <w:t xml:space="preserve"> on the websites accessible by means of the SDG</w:t>
      </w:r>
      <w:r w:rsidR="00F978B1" w:rsidRPr="00EC6C35">
        <w:rPr>
          <w:rStyle w:val="FootnoteReference"/>
          <w:noProof/>
        </w:rPr>
        <w:footnoteReference w:id="23"/>
      </w:r>
      <w:r w:rsidR="00F978B1">
        <w:rPr>
          <w:noProof/>
        </w:rPr>
        <w:t>.</w:t>
      </w:r>
      <w:r w:rsidRPr="00A42D58">
        <w:rPr>
          <w:noProof/>
        </w:rPr>
        <w:t xml:space="preserve"> T</w:t>
      </w:r>
      <w:r w:rsidRPr="00C407B8">
        <w:rPr>
          <w:noProof/>
        </w:rPr>
        <w:t>he European single access point</w:t>
      </w:r>
      <w:r w:rsidRPr="00A42D58">
        <w:rPr>
          <w:noProof/>
        </w:rPr>
        <w:t>, which</w:t>
      </w:r>
      <w:r w:rsidRPr="00A42D58">
        <w:rPr>
          <w:b/>
          <w:bCs/>
          <w:noProof/>
        </w:rPr>
        <w:t xml:space="preserve"> </w:t>
      </w:r>
      <w:r w:rsidRPr="00A42D58">
        <w:rPr>
          <w:noProof/>
        </w:rPr>
        <w:t xml:space="preserve">focuses mainly on entity- and product-related financial market information </w:t>
      </w:r>
      <w:r w:rsidRPr="00841932">
        <w:rPr>
          <w:noProof/>
        </w:rPr>
        <w:t xml:space="preserve">for investors and aims to serve market needs, will target different intended users, accessing and using different information in a different way than BRIS </w:t>
      </w:r>
      <w:r w:rsidR="003C7FDB">
        <w:rPr>
          <w:noProof/>
        </w:rPr>
        <w:t>that</w:t>
      </w:r>
      <w:r w:rsidRPr="00841932">
        <w:rPr>
          <w:noProof/>
        </w:rPr>
        <w:t xml:space="preserve"> this proposal relies on.</w:t>
      </w:r>
      <w:r w:rsidR="00F978B1">
        <w:rPr>
          <w:noProof/>
        </w:rPr>
        <w:t xml:space="preserve"> </w:t>
      </w:r>
    </w:p>
    <w:p w14:paraId="2EE2F3C0" w14:textId="77777777" w:rsidR="00F101D4" w:rsidRDefault="03110A91" w:rsidP="00F101D4">
      <w:pPr>
        <w:rPr>
          <w:rFonts w:eastAsia="Calibri"/>
          <w:noProof/>
        </w:rPr>
      </w:pPr>
      <w:r>
        <w:rPr>
          <w:noProof/>
        </w:rPr>
        <w:t xml:space="preserve">This proposal </w:t>
      </w:r>
      <w:r>
        <w:rPr>
          <w:rFonts w:eastAsia="Calibri"/>
          <w:noProof/>
        </w:rPr>
        <w:t xml:space="preserve">focuses on </w:t>
      </w:r>
      <w:r w:rsidR="0B09A0BA" w:rsidRPr="00683A36">
        <w:rPr>
          <w:rFonts w:eastAsia="Calibri"/>
          <w:noProof/>
        </w:rPr>
        <w:t>the needs of direct users</w:t>
      </w:r>
      <w:r w:rsidR="0B09A0BA" w:rsidRPr="00314BBB">
        <w:rPr>
          <w:rFonts w:eastAsia="Calibri"/>
          <w:noProof/>
        </w:rPr>
        <w:t xml:space="preserve"> </w:t>
      </w:r>
      <w:r w:rsidR="0B09A0BA">
        <w:rPr>
          <w:rFonts w:eastAsia="Calibri"/>
          <w:noProof/>
        </w:rPr>
        <w:t xml:space="preserve">such as </w:t>
      </w:r>
      <w:r w:rsidR="0B09A0BA" w:rsidRPr="00EA1EE4">
        <w:rPr>
          <w:rFonts w:eastAsia="Calibri"/>
          <w:noProof/>
        </w:rPr>
        <w:t>companies, other stakeholders and public authori</w:t>
      </w:r>
      <w:r w:rsidR="0B09A0BA">
        <w:rPr>
          <w:rFonts w:eastAsia="Calibri"/>
          <w:noProof/>
        </w:rPr>
        <w:t>ti</w:t>
      </w:r>
      <w:r w:rsidR="0B09A0BA" w:rsidRPr="00EA1EE4">
        <w:rPr>
          <w:rFonts w:eastAsia="Calibri"/>
          <w:noProof/>
        </w:rPr>
        <w:t xml:space="preserve">es to access and use </w:t>
      </w:r>
      <w:r w:rsidR="0B09A0BA">
        <w:rPr>
          <w:rFonts w:eastAsia="Calibri"/>
          <w:noProof/>
        </w:rPr>
        <w:t xml:space="preserve">in the </w:t>
      </w:r>
      <w:r w:rsidR="0B09A0BA" w:rsidRPr="00EA1EE4">
        <w:rPr>
          <w:rFonts w:eastAsia="Calibri"/>
          <w:noProof/>
        </w:rPr>
        <w:t xml:space="preserve">cross-border </w:t>
      </w:r>
      <w:r w:rsidR="0B09A0BA">
        <w:rPr>
          <w:rFonts w:eastAsia="Calibri"/>
          <w:noProof/>
        </w:rPr>
        <w:t xml:space="preserve">context </w:t>
      </w:r>
      <w:r w:rsidR="0B09A0BA" w:rsidRPr="00EA1EE4">
        <w:rPr>
          <w:rFonts w:eastAsia="Calibri"/>
          <w:noProof/>
        </w:rPr>
        <w:t xml:space="preserve">reliable and </w:t>
      </w:r>
      <w:r w:rsidR="0B09A0BA">
        <w:rPr>
          <w:rFonts w:eastAsia="Calibri"/>
          <w:noProof/>
        </w:rPr>
        <w:t>up-to-date</w:t>
      </w:r>
      <w:r w:rsidR="0B09A0BA" w:rsidRPr="00EA1EE4">
        <w:rPr>
          <w:rFonts w:eastAsia="Calibri"/>
          <w:noProof/>
        </w:rPr>
        <w:t xml:space="preserve"> </w:t>
      </w:r>
      <w:r w:rsidR="0B09A0BA">
        <w:rPr>
          <w:rFonts w:eastAsia="Calibri"/>
          <w:noProof/>
        </w:rPr>
        <w:t xml:space="preserve">official </w:t>
      </w:r>
      <w:r w:rsidR="0B09A0BA" w:rsidRPr="00EA1EE4">
        <w:rPr>
          <w:rFonts w:eastAsia="Calibri"/>
          <w:noProof/>
        </w:rPr>
        <w:t xml:space="preserve">company </w:t>
      </w:r>
      <w:r w:rsidR="0B09A0BA">
        <w:rPr>
          <w:rFonts w:eastAsia="Calibri"/>
          <w:noProof/>
        </w:rPr>
        <w:t>data</w:t>
      </w:r>
      <w:r w:rsidR="0B09A0BA" w:rsidRPr="00EA1EE4">
        <w:rPr>
          <w:rFonts w:eastAsia="Calibri"/>
          <w:noProof/>
        </w:rPr>
        <w:t xml:space="preserve"> </w:t>
      </w:r>
      <w:r w:rsidR="0B09A0BA">
        <w:rPr>
          <w:rFonts w:eastAsia="Calibri"/>
          <w:noProof/>
        </w:rPr>
        <w:t xml:space="preserve">based on legal obligations </w:t>
      </w:r>
      <w:r w:rsidR="0B09A0BA" w:rsidRPr="00EA1EE4">
        <w:rPr>
          <w:rFonts w:eastAsia="Calibri"/>
          <w:noProof/>
        </w:rPr>
        <w:t>from business registers</w:t>
      </w:r>
      <w:r w:rsidR="0B09A0BA">
        <w:rPr>
          <w:rFonts w:eastAsia="Calibri"/>
          <w:noProof/>
        </w:rPr>
        <w:t xml:space="preserve">. </w:t>
      </w:r>
      <w:r w:rsidR="00A42D58" w:rsidRPr="00C407B8">
        <w:rPr>
          <w:rFonts w:eastAsia="Calibri"/>
          <w:noProof/>
        </w:rPr>
        <w:t>Therefore, it does not cover the reuse of company information from business registers for commercial and non-commercial purposes, which is regulated by the Open Data Directive</w:t>
      </w:r>
      <w:r w:rsidR="00A42D58" w:rsidRPr="00EC6C35">
        <w:rPr>
          <w:rStyle w:val="FootnoteReference"/>
          <w:noProof/>
        </w:rPr>
        <w:footnoteReference w:id="24"/>
      </w:r>
      <w:r w:rsidR="00A42D58" w:rsidRPr="00C407B8">
        <w:rPr>
          <w:rFonts w:eastAsia="Calibri"/>
          <w:noProof/>
        </w:rPr>
        <w:t>. Similarly, the proposal</w:t>
      </w:r>
      <w:r w:rsidR="00A42D58" w:rsidRPr="00C407B8" w:rsidDel="00FF3CF6">
        <w:rPr>
          <w:rFonts w:eastAsia="Calibri"/>
          <w:noProof/>
        </w:rPr>
        <w:t xml:space="preserve"> </w:t>
      </w:r>
      <w:r w:rsidR="00A42D58" w:rsidRPr="00C407B8">
        <w:rPr>
          <w:rFonts w:eastAsia="Calibri"/>
          <w:noProof/>
        </w:rPr>
        <w:t>does not cover the obligation of business registers as statistical business registers, which is regulated by the Regulation on European business statistics</w:t>
      </w:r>
      <w:r w:rsidR="00A42D58" w:rsidRPr="00EC6C35">
        <w:rPr>
          <w:rStyle w:val="FootnoteReference"/>
          <w:noProof/>
        </w:rPr>
        <w:footnoteReference w:id="25"/>
      </w:r>
      <w:r w:rsidR="00A42D58" w:rsidRPr="00C407B8">
        <w:rPr>
          <w:rFonts w:eastAsia="Calibri"/>
          <w:noProof/>
        </w:rPr>
        <w:t>.</w:t>
      </w:r>
    </w:p>
    <w:p w14:paraId="53ADD6EE" w14:textId="77777777" w:rsidR="00A42D58" w:rsidRPr="00C407B8" w:rsidRDefault="00A42D58" w:rsidP="00A42D58">
      <w:pPr>
        <w:pBdr>
          <w:top w:val="nil"/>
          <w:left w:val="nil"/>
          <w:bottom w:val="nil"/>
          <w:right w:val="nil"/>
          <w:between w:val="nil"/>
          <w:bar w:val="nil"/>
        </w:pBdr>
        <w:spacing w:before="0" w:after="240"/>
        <w:rPr>
          <w:noProof/>
        </w:rPr>
      </w:pPr>
      <w:bookmarkStart w:id="12" w:name="_Toc126762658"/>
      <w:bookmarkStart w:id="13" w:name="_Toc126826570"/>
      <w:r w:rsidRPr="00C407B8">
        <w:rPr>
          <w:noProof/>
        </w:rPr>
        <w:t>Furthermore, the provisions to abolish legalisation or similar formalities such as apostille for certified company information obtained from business registers is complementary to the Public Document Regulation</w:t>
      </w:r>
      <w:r w:rsidRPr="00EC6C35">
        <w:rPr>
          <w:rStyle w:val="FootnoteReference"/>
          <w:noProof/>
        </w:rPr>
        <w:footnoteReference w:id="26"/>
      </w:r>
      <w:r w:rsidRPr="00C407B8">
        <w:rPr>
          <w:rFonts w:eastAsia="Calibri"/>
          <w:noProof/>
        </w:rPr>
        <w:t>. This</w:t>
      </w:r>
      <w:r w:rsidRPr="00C407B8">
        <w:rPr>
          <w:noProof/>
        </w:rPr>
        <w:t xml:space="preserve"> covers public documents for citizens (for example, a </w:t>
      </w:r>
      <w:r w:rsidRPr="00A42D58">
        <w:rPr>
          <w:noProof/>
        </w:rPr>
        <w:t>birth certificate, a marriage notarial act, a judgment) and</w:t>
      </w:r>
      <w:r w:rsidRPr="00C407B8">
        <w:rPr>
          <w:noProof/>
        </w:rPr>
        <w:t xml:space="preserve"> provides that their certified copies issued by the authorities of an EU Member State must be accepted as authentic by the authorities of another EU Member State without the need for an authenticity stamp (i.e. the apostille). </w:t>
      </w:r>
    </w:p>
    <w:p w14:paraId="4F1B3B8E" w14:textId="77777777" w:rsidR="00573A63" w:rsidRPr="002D5EE2" w:rsidRDefault="00573A63" w:rsidP="00660ED3">
      <w:pPr>
        <w:pStyle w:val="ManualHeading1"/>
        <w:rPr>
          <w:noProof/>
        </w:rPr>
      </w:pPr>
      <w:r w:rsidRPr="002D5EE2">
        <w:rPr>
          <w:noProof/>
        </w:rPr>
        <w:t>2.</w:t>
      </w:r>
      <w:r w:rsidRPr="002D5EE2">
        <w:rPr>
          <w:noProof/>
        </w:rPr>
        <w:tab/>
        <w:t>LEGAL BASIS, SUBSIDIARITY AND PROPORTIONALITY</w:t>
      </w:r>
      <w:bookmarkEnd w:id="12"/>
      <w:bookmarkEnd w:id="13"/>
    </w:p>
    <w:p w14:paraId="62C8A148" w14:textId="77777777" w:rsidR="00573A63" w:rsidRPr="002D5EE2" w:rsidRDefault="00573A63" w:rsidP="00660ED3">
      <w:pPr>
        <w:pStyle w:val="ManualHeading2"/>
        <w:rPr>
          <w:rFonts w:eastAsia="Arial Unicode MS"/>
          <w:noProof/>
          <w:u w:color="000000"/>
          <w:bdr w:val="nil"/>
          <w:lang w:val="en-US" w:eastAsia="en-GB"/>
        </w:rPr>
      </w:pPr>
      <w:bookmarkStart w:id="14" w:name="_Toc126762659"/>
      <w:bookmarkStart w:id="15" w:name="_Toc126826571"/>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bookmarkEnd w:id="14"/>
      <w:bookmarkEnd w:id="15"/>
    </w:p>
    <w:p w14:paraId="45E03A2C" w14:textId="77777777" w:rsidR="00095927" w:rsidRPr="00C407B8" w:rsidRDefault="00095927" w:rsidP="00095927">
      <w:pPr>
        <w:pBdr>
          <w:top w:val="nil"/>
          <w:left w:val="nil"/>
          <w:bottom w:val="nil"/>
          <w:right w:val="nil"/>
          <w:between w:val="nil"/>
          <w:bar w:val="nil"/>
        </w:pBdr>
        <w:spacing w:before="0" w:after="240"/>
        <w:rPr>
          <w:noProof/>
        </w:rPr>
      </w:pPr>
      <w:r w:rsidRPr="00C407B8">
        <w:rPr>
          <w:rFonts w:eastAsia="Arial Unicode MS"/>
          <w:noProof/>
        </w:rPr>
        <w:t xml:space="preserve">The proposal is based on </w:t>
      </w:r>
      <w:r w:rsidRPr="00C407B8">
        <w:rPr>
          <w:noProof/>
        </w:rPr>
        <w:t xml:space="preserve">Article 50(1) and (2) TFEU, </w:t>
      </w:r>
      <w:r w:rsidRPr="00C407B8">
        <w:rPr>
          <w:noProof/>
          <w:szCs w:val="24"/>
        </w:rPr>
        <w:t xml:space="preserve">which empowers the European Parliament and the Council to adopt provisions in order </w:t>
      </w:r>
      <w:r w:rsidRPr="00C407B8">
        <w:rPr>
          <w:noProof/>
          <w:color w:val="000000"/>
          <w:szCs w:val="24"/>
        </w:rPr>
        <w:t>to attain freedom of establishment</w:t>
      </w:r>
      <w:r w:rsidR="00734DD9">
        <w:rPr>
          <w:noProof/>
          <w:color w:val="000000"/>
          <w:szCs w:val="24"/>
        </w:rPr>
        <w:t>. This legal basis has already been used</w:t>
      </w:r>
      <w:r w:rsidRPr="00C407B8">
        <w:rPr>
          <w:noProof/>
          <w:color w:val="000000"/>
          <w:szCs w:val="24"/>
        </w:rPr>
        <w:t xml:space="preserve"> </w:t>
      </w:r>
      <w:r w:rsidR="00734DD9">
        <w:rPr>
          <w:noProof/>
          <w:color w:val="000000"/>
          <w:szCs w:val="24"/>
        </w:rPr>
        <w:t xml:space="preserve">by the EU legislator to act </w:t>
      </w:r>
      <w:r w:rsidRPr="00C407B8">
        <w:rPr>
          <w:noProof/>
          <w:szCs w:val="24"/>
        </w:rPr>
        <w:t>in the area of company law.</w:t>
      </w:r>
      <w:r w:rsidRPr="00C407B8">
        <w:rPr>
          <w:noProof/>
        </w:rPr>
        <w:t xml:space="preserve"> In particular, Article 50(2)(b) </w:t>
      </w:r>
      <w:r w:rsidR="00F6145C">
        <w:rPr>
          <w:noProof/>
        </w:rPr>
        <w:t xml:space="preserve">aims to </w:t>
      </w:r>
      <w:r w:rsidRPr="00C407B8">
        <w:rPr>
          <w:noProof/>
        </w:rPr>
        <w:t>ensure ‘</w:t>
      </w:r>
      <w:r w:rsidRPr="00C407B8">
        <w:rPr>
          <w:noProof/>
          <w:color w:val="000000"/>
          <w:szCs w:val="24"/>
        </w:rPr>
        <w:t xml:space="preserve">close cooperation between the competent authorities in the Member States in order to ascertain the particular situation within the Union of the various activities concerned.’ </w:t>
      </w:r>
      <w:r w:rsidRPr="00C407B8">
        <w:rPr>
          <w:noProof/>
        </w:rPr>
        <w:t>A</w:t>
      </w:r>
      <w:r w:rsidRPr="009144E1">
        <w:rPr>
          <w:noProof/>
          <w:szCs w:val="24"/>
        </w:rPr>
        <w:t xml:space="preserve">rticle 50(2)(c) </w:t>
      </w:r>
      <w:r w:rsidR="00F6145C">
        <w:rPr>
          <w:noProof/>
          <w:szCs w:val="24"/>
        </w:rPr>
        <w:t>allow</w:t>
      </w:r>
      <w:r w:rsidRPr="009144E1">
        <w:rPr>
          <w:noProof/>
          <w:szCs w:val="24"/>
        </w:rPr>
        <w:t xml:space="preserve">s for the abolition of administrative procedures and practices that form an obstacle to freedom of establishment. Article 50(2)(f) </w:t>
      </w:r>
      <w:r w:rsidR="00F6145C">
        <w:rPr>
          <w:noProof/>
          <w:szCs w:val="24"/>
        </w:rPr>
        <w:t>allow</w:t>
      </w:r>
      <w:r w:rsidRPr="009144E1">
        <w:rPr>
          <w:noProof/>
          <w:szCs w:val="24"/>
        </w:rPr>
        <w:t>s for ‘the progressive abolition of restrictions on freedom of establishment</w:t>
      </w:r>
      <w:r w:rsidR="009144E1" w:rsidRPr="009144E1">
        <w:rPr>
          <w:noProof/>
          <w:szCs w:val="24"/>
        </w:rPr>
        <w:t>’</w:t>
      </w:r>
      <w:r w:rsidRPr="00C407B8">
        <w:rPr>
          <w:noProof/>
          <w:color w:val="000000"/>
          <w:szCs w:val="24"/>
        </w:rPr>
        <w:t>, both as regards setting up branches or subsidiaries.</w:t>
      </w:r>
      <w:r w:rsidRPr="009144E1">
        <w:rPr>
          <w:noProof/>
          <w:szCs w:val="24"/>
        </w:rPr>
        <w:t xml:space="preserve"> Article 50(2)(g) </w:t>
      </w:r>
      <w:r w:rsidR="00F6145C">
        <w:rPr>
          <w:noProof/>
          <w:szCs w:val="24"/>
        </w:rPr>
        <w:t>allow</w:t>
      </w:r>
      <w:r w:rsidRPr="009144E1">
        <w:rPr>
          <w:noProof/>
          <w:szCs w:val="24"/>
        </w:rPr>
        <w:t>s for coordination measures concerning the protection of interests of companies’ members and other stakeholders. By improving cooperation between Member States’ authorities through the system of interconnection of registers, abolishing administrative barriers to the freedom of establishment, including when setting up cross-border subsidiaries and branches, and by providing new harmonised disclosure requirements, this proposal will</w:t>
      </w:r>
      <w:r w:rsidRPr="00C407B8">
        <w:rPr>
          <w:noProof/>
        </w:rPr>
        <w:t xml:space="preserve"> contribute to attaining the freedom of establishment as enshrined in Article 50 TFEU. </w:t>
      </w:r>
    </w:p>
    <w:p w14:paraId="46247CDB" w14:textId="77777777" w:rsidR="003B5E84" w:rsidRDefault="003B5E84" w:rsidP="004A564D">
      <w:pPr>
        <w:spacing w:after="160" w:line="259" w:lineRule="auto"/>
        <w:rPr>
          <w:rFonts w:eastAsia="Arial Unicode MS"/>
          <w:noProof/>
        </w:rPr>
      </w:pPr>
      <w:r>
        <w:rPr>
          <w:noProof/>
        </w:rPr>
        <w:t xml:space="preserve">Article </w:t>
      </w:r>
      <w:r w:rsidR="00560347">
        <w:rPr>
          <w:noProof/>
        </w:rPr>
        <w:t xml:space="preserve">50 TFEU </w:t>
      </w:r>
      <w:r>
        <w:rPr>
          <w:noProof/>
        </w:rPr>
        <w:t>is combined with Article 114(1) TFEU</w:t>
      </w:r>
      <w:r w:rsidR="00A345B7">
        <w:rPr>
          <w:noProof/>
        </w:rPr>
        <w:t>,</w:t>
      </w:r>
      <w:r>
        <w:rPr>
          <w:noProof/>
        </w:rPr>
        <w:t xml:space="preserve"> which </w:t>
      </w:r>
      <w:r w:rsidR="00F6145C">
        <w:rPr>
          <w:noProof/>
          <w:szCs w:val="24"/>
        </w:rPr>
        <w:t>allow</w:t>
      </w:r>
      <w:r w:rsidR="00734DD9" w:rsidRPr="00E31656">
        <w:rPr>
          <w:noProof/>
          <w:szCs w:val="24"/>
        </w:rPr>
        <w:t>s for the adoption of measures for the approximation of the provisions laid down by law, regulation or administrative action in Member States</w:t>
      </w:r>
      <w:r w:rsidR="00734DD9">
        <w:rPr>
          <w:noProof/>
        </w:rPr>
        <w:t xml:space="preserve"> </w:t>
      </w:r>
      <w:r>
        <w:rPr>
          <w:noProof/>
        </w:rPr>
        <w:t xml:space="preserve">which have as their object the establishment and </w:t>
      </w:r>
      <w:r w:rsidR="00085218">
        <w:rPr>
          <w:noProof/>
        </w:rPr>
        <w:t>functioning</w:t>
      </w:r>
      <w:r>
        <w:rPr>
          <w:noProof/>
        </w:rPr>
        <w:t xml:space="preserve"> of the internal market. </w:t>
      </w:r>
      <w:r w:rsidR="00D64957">
        <w:rPr>
          <w:noProof/>
        </w:rPr>
        <w:t>T</w:t>
      </w:r>
      <w:r w:rsidR="00734DD9" w:rsidRPr="00734DD9">
        <w:rPr>
          <w:noProof/>
        </w:rPr>
        <w:t xml:space="preserve">his proposal </w:t>
      </w:r>
      <w:r w:rsidR="00D64957">
        <w:rPr>
          <w:noProof/>
        </w:rPr>
        <w:t xml:space="preserve">also </w:t>
      </w:r>
      <w:r w:rsidR="00734DD9" w:rsidRPr="00734DD9">
        <w:rPr>
          <w:noProof/>
        </w:rPr>
        <w:t>aims to address the fragment</w:t>
      </w:r>
      <w:r w:rsidR="00F6145C">
        <w:rPr>
          <w:noProof/>
        </w:rPr>
        <w:t>ation of</w:t>
      </w:r>
      <w:r w:rsidR="00734DD9" w:rsidRPr="00734DD9">
        <w:rPr>
          <w:noProof/>
        </w:rPr>
        <w:t xml:space="preserve"> national regulatory approaches </w:t>
      </w:r>
      <w:r>
        <w:rPr>
          <w:noProof/>
        </w:rPr>
        <w:t xml:space="preserve">to the cross-border use and acceptance of </w:t>
      </w:r>
      <w:r w:rsidR="00560347">
        <w:rPr>
          <w:noProof/>
        </w:rPr>
        <w:t>company infor</w:t>
      </w:r>
      <w:r w:rsidR="00085218">
        <w:rPr>
          <w:noProof/>
        </w:rPr>
        <w:t xml:space="preserve">mation in business registers as well as </w:t>
      </w:r>
      <w:r w:rsidR="006227F5">
        <w:rPr>
          <w:noProof/>
        </w:rPr>
        <w:t xml:space="preserve">of </w:t>
      </w:r>
      <w:r w:rsidR="00085218">
        <w:rPr>
          <w:noProof/>
        </w:rPr>
        <w:t>notarial or administrative acts in the context of procedures under th</w:t>
      </w:r>
      <w:r w:rsidR="007A565C">
        <w:rPr>
          <w:noProof/>
        </w:rPr>
        <w:t>e</w:t>
      </w:r>
      <w:r w:rsidR="00085218">
        <w:rPr>
          <w:noProof/>
        </w:rPr>
        <w:t xml:space="preserve"> </w:t>
      </w:r>
      <w:r w:rsidR="009C1EA6">
        <w:rPr>
          <w:noProof/>
        </w:rPr>
        <w:t xml:space="preserve">Codified </w:t>
      </w:r>
      <w:r w:rsidR="00085218">
        <w:rPr>
          <w:noProof/>
        </w:rPr>
        <w:t xml:space="preserve">Company Law </w:t>
      </w:r>
      <w:r w:rsidR="006227F5">
        <w:rPr>
          <w:noProof/>
        </w:rPr>
        <w:t>D</w:t>
      </w:r>
      <w:r w:rsidR="00085218">
        <w:rPr>
          <w:noProof/>
        </w:rPr>
        <w:t>irective</w:t>
      </w:r>
      <w:r w:rsidR="00734DD9">
        <w:rPr>
          <w:noProof/>
        </w:rPr>
        <w:t>.</w:t>
      </w:r>
      <w:r w:rsidR="00734DD9" w:rsidRPr="00734DD9">
        <w:rPr>
          <w:rFonts w:eastAsia="Calibri"/>
          <w:noProof/>
          <w:szCs w:val="24"/>
        </w:rPr>
        <w:t xml:space="preserve"> </w:t>
      </w:r>
      <w:r w:rsidR="00734DD9" w:rsidRPr="000E4FAF">
        <w:rPr>
          <w:rFonts w:eastAsia="Calibri"/>
          <w:noProof/>
          <w:szCs w:val="24"/>
        </w:rPr>
        <w:t xml:space="preserve">By introducing </w:t>
      </w:r>
      <w:r w:rsidR="00F6145C">
        <w:rPr>
          <w:noProof/>
          <w:szCs w:val="24"/>
        </w:rPr>
        <w:t xml:space="preserve">uniform </w:t>
      </w:r>
      <w:r w:rsidR="00734DD9" w:rsidRPr="000E4FAF">
        <w:rPr>
          <w:noProof/>
          <w:szCs w:val="24"/>
        </w:rPr>
        <w:t xml:space="preserve">checks of company </w:t>
      </w:r>
      <w:r w:rsidR="00D64957">
        <w:rPr>
          <w:noProof/>
          <w:szCs w:val="24"/>
        </w:rPr>
        <w:t xml:space="preserve">information </w:t>
      </w:r>
      <w:r w:rsidR="00734DD9" w:rsidRPr="000E4FAF">
        <w:rPr>
          <w:noProof/>
          <w:szCs w:val="24"/>
        </w:rPr>
        <w:t>before it is entered into business regis</w:t>
      </w:r>
      <w:r w:rsidR="00734DD9" w:rsidRPr="00061599">
        <w:rPr>
          <w:noProof/>
          <w:szCs w:val="24"/>
        </w:rPr>
        <w:t>ters</w:t>
      </w:r>
      <w:r w:rsidR="00D64957">
        <w:rPr>
          <w:noProof/>
          <w:szCs w:val="24"/>
        </w:rPr>
        <w:t xml:space="preserve"> in order</w:t>
      </w:r>
      <w:r w:rsidR="00734DD9" w:rsidRPr="00061599">
        <w:rPr>
          <w:noProof/>
          <w:szCs w:val="24"/>
        </w:rPr>
        <w:t xml:space="preserve"> to improve its reliability, </w:t>
      </w:r>
      <w:r w:rsidR="00734DD9" w:rsidRPr="000E4FAF">
        <w:rPr>
          <w:noProof/>
          <w:szCs w:val="24"/>
        </w:rPr>
        <w:t xml:space="preserve">by </w:t>
      </w:r>
      <w:r w:rsidR="00734DD9" w:rsidRPr="00061599">
        <w:rPr>
          <w:rFonts w:eastAsia="Calibri"/>
          <w:noProof/>
          <w:szCs w:val="24"/>
          <w:lang w:val="en-IE"/>
        </w:rPr>
        <w:t xml:space="preserve">abolishing administrative barriers </w:t>
      </w:r>
      <w:r w:rsidR="00734DD9">
        <w:rPr>
          <w:rFonts w:eastAsia="Calibri"/>
          <w:noProof/>
          <w:szCs w:val="24"/>
          <w:lang w:val="en-IE"/>
        </w:rPr>
        <w:t xml:space="preserve">to the use of such information </w:t>
      </w:r>
      <w:r w:rsidR="00734DD9" w:rsidRPr="00E31656">
        <w:rPr>
          <w:noProof/>
          <w:szCs w:val="24"/>
        </w:rPr>
        <w:t xml:space="preserve">in cross-border </w:t>
      </w:r>
      <w:r w:rsidR="00D64957">
        <w:rPr>
          <w:noProof/>
          <w:szCs w:val="24"/>
        </w:rPr>
        <w:t xml:space="preserve">situations </w:t>
      </w:r>
      <w:r w:rsidR="00734DD9" w:rsidRPr="000E4FAF">
        <w:rPr>
          <w:noProof/>
          <w:szCs w:val="24"/>
        </w:rPr>
        <w:t xml:space="preserve">including administrative or court procedures </w:t>
      </w:r>
      <w:r w:rsidR="00734DD9" w:rsidRPr="00061599">
        <w:rPr>
          <w:noProof/>
          <w:szCs w:val="24"/>
        </w:rPr>
        <w:t>and by introducing</w:t>
      </w:r>
      <w:r w:rsidR="00734DD9" w:rsidRPr="00E31656">
        <w:rPr>
          <w:noProof/>
          <w:szCs w:val="24"/>
        </w:rPr>
        <w:t xml:space="preserve"> a harmonised E</w:t>
      </w:r>
      <w:r w:rsidR="00CB7696">
        <w:rPr>
          <w:noProof/>
          <w:szCs w:val="24"/>
        </w:rPr>
        <w:t>U</w:t>
      </w:r>
      <w:r w:rsidR="00734DD9" w:rsidRPr="00E31656">
        <w:rPr>
          <w:noProof/>
          <w:szCs w:val="24"/>
        </w:rPr>
        <w:t xml:space="preserve"> Company Certificate, this proposal</w:t>
      </w:r>
      <w:r w:rsidR="00085218">
        <w:rPr>
          <w:noProof/>
        </w:rPr>
        <w:t xml:space="preserve"> </w:t>
      </w:r>
      <w:r w:rsidR="00D64957" w:rsidRPr="00E31656">
        <w:rPr>
          <w:noProof/>
          <w:szCs w:val="24"/>
        </w:rPr>
        <w:t xml:space="preserve">will </w:t>
      </w:r>
      <w:r w:rsidR="00D64957">
        <w:rPr>
          <w:noProof/>
          <w:szCs w:val="24"/>
        </w:rPr>
        <w:t xml:space="preserve">contribute to </w:t>
      </w:r>
      <w:r w:rsidR="00D64957" w:rsidRPr="00E31656">
        <w:rPr>
          <w:noProof/>
          <w:szCs w:val="24"/>
        </w:rPr>
        <w:t>the</w:t>
      </w:r>
      <w:r w:rsidR="004A564D">
        <w:rPr>
          <w:noProof/>
          <w:szCs w:val="24"/>
        </w:rPr>
        <w:t xml:space="preserve"> </w:t>
      </w:r>
      <w:r w:rsidR="00D64957" w:rsidRPr="00E31656">
        <w:rPr>
          <w:noProof/>
          <w:szCs w:val="24"/>
        </w:rPr>
        <w:t xml:space="preserve">functioning of the internal </w:t>
      </w:r>
      <w:r w:rsidR="00942A14" w:rsidRPr="00E31656">
        <w:rPr>
          <w:noProof/>
          <w:szCs w:val="24"/>
        </w:rPr>
        <w:t>market</w:t>
      </w:r>
      <w:r w:rsidR="00942A14">
        <w:rPr>
          <w:noProof/>
          <w:szCs w:val="24"/>
        </w:rPr>
        <w:t xml:space="preserve"> as enshrined in Article 114 TFEU</w:t>
      </w:r>
      <w:r w:rsidR="00D64957" w:rsidRPr="00E31656">
        <w:rPr>
          <w:noProof/>
          <w:szCs w:val="24"/>
        </w:rPr>
        <w:t>.</w:t>
      </w:r>
    </w:p>
    <w:p w14:paraId="00D6B35B" w14:textId="77777777" w:rsidR="00573A63" w:rsidRPr="002D5EE2" w:rsidRDefault="00573A63" w:rsidP="00660ED3">
      <w:pPr>
        <w:pStyle w:val="ManualHeading2"/>
        <w:rPr>
          <w:rFonts w:eastAsia="Arial Unicode MS"/>
          <w:noProof/>
          <w:u w:color="000000"/>
          <w:bdr w:val="nil"/>
          <w:lang w:val="en-US" w:eastAsia="en-GB"/>
        </w:rPr>
      </w:pPr>
      <w:bookmarkStart w:id="16" w:name="_Toc126762660"/>
      <w:bookmarkStart w:id="17" w:name="_Toc126826572"/>
      <w:r w:rsidRPr="002D5EE2">
        <w:rPr>
          <w:rFonts w:eastAsia="Arial Unicode MS"/>
          <w:noProof/>
          <w:u w:color="000000"/>
          <w:bdr w:val="nil"/>
          <w:lang w:val="en-US" w:eastAsia="en-GB"/>
        </w:rPr>
        <w:t>•</w:t>
      </w:r>
      <w:r w:rsidRPr="002D5EE2">
        <w:rPr>
          <w:rFonts w:eastAsia="Arial Unicode MS"/>
          <w:noProof/>
          <w:u w:color="000000"/>
          <w:bdr w:val="nil"/>
          <w:lang w:val="en-US" w:eastAsia="en-GB"/>
        </w:rPr>
        <w:tab/>
        <w:t>Subsidiarity (for non-exclusive competence)</w:t>
      </w:r>
      <w:bookmarkEnd w:id="16"/>
      <w:bookmarkEnd w:id="17"/>
      <w:r w:rsidRPr="002D5EE2">
        <w:rPr>
          <w:rFonts w:eastAsia="Arial Unicode MS"/>
          <w:noProof/>
          <w:u w:color="000000"/>
          <w:bdr w:val="nil"/>
          <w:lang w:val="en-US" w:eastAsia="en-GB"/>
        </w:rPr>
        <w:t xml:space="preserve"> </w:t>
      </w:r>
    </w:p>
    <w:p w14:paraId="47AB5CB6" w14:textId="77777777" w:rsidR="00377A98" w:rsidRPr="00535E64" w:rsidRDefault="1BBDA31C" w:rsidP="00535E64">
      <w:pPr>
        <w:rPr>
          <w:noProof/>
          <w:lang w:val="en-IE"/>
        </w:rPr>
      </w:pPr>
      <w:r w:rsidRPr="205B3C86">
        <w:rPr>
          <w:rFonts w:eastAsia="Times New Roman"/>
          <w:noProof/>
          <w:color w:val="000000" w:themeColor="text1"/>
        </w:rPr>
        <w:t xml:space="preserve">The overall objective of this legislative proposal is to ensure the smooth functioning of the EU </w:t>
      </w:r>
      <w:r w:rsidR="00CE19EE" w:rsidRPr="205B3C86">
        <w:rPr>
          <w:rFonts w:eastAsia="Times New Roman"/>
          <w:noProof/>
          <w:color w:val="000000" w:themeColor="text1"/>
        </w:rPr>
        <w:t>s</w:t>
      </w:r>
      <w:r w:rsidRPr="205B3C86">
        <w:rPr>
          <w:rFonts w:eastAsia="Times New Roman"/>
          <w:noProof/>
          <w:color w:val="000000" w:themeColor="text1"/>
        </w:rPr>
        <w:t xml:space="preserve">ingle </w:t>
      </w:r>
      <w:r w:rsidR="00CE19EE" w:rsidRPr="205B3C86">
        <w:rPr>
          <w:rFonts w:eastAsia="Times New Roman"/>
          <w:noProof/>
          <w:color w:val="000000" w:themeColor="text1"/>
        </w:rPr>
        <w:t>m</w:t>
      </w:r>
      <w:r w:rsidRPr="205B3C86">
        <w:rPr>
          <w:rFonts w:eastAsia="Times New Roman"/>
          <w:noProof/>
          <w:color w:val="000000" w:themeColor="text1"/>
        </w:rPr>
        <w:t xml:space="preserve">arket by facilitating the cross-border access </w:t>
      </w:r>
      <w:r w:rsidR="00CE19EE" w:rsidRPr="205B3C86">
        <w:rPr>
          <w:rFonts w:eastAsia="Times New Roman"/>
          <w:noProof/>
          <w:color w:val="000000" w:themeColor="text1"/>
        </w:rPr>
        <w:t xml:space="preserve">to </w:t>
      </w:r>
      <w:r w:rsidRPr="205B3C86">
        <w:rPr>
          <w:rFonts w:eastAsia="Times New Roman"/>
          <w:noProof/>
          <w:color w:val="000000" w:themeColor="text1"/>
        </w:rPr>
        <w:t xml:space="preserve">and use </w:t>
      </w:r>
      <w:r w:rsidR="4C545412" w:rsidRPr="205B3C86">
        <w:rPr>
          <w:rFonts w:eastAsia="Times New Roman"/>
          <w:noProof/>
          <w:color w:val="000000" w:themeColor="text1"/>
        </w:rPr>
        <w:t xml:space="preserve">of </w:t>
      </w:r>
      <w:r w:rsidRPr="205B3C86">
        <w:rPr>
          <w:rFonts w:eastAsia="Times New Roman"/>
          <w:noProof/>
          <w:color w:val="000000" w:themeColor="text1"/>
        </w:rPr>
        <w:t>company information</w:t>
      </w:r>
      <w:r w:rsidR="00FF6AD8">
        <w:rPr>
          <w:rFonts w:eastAsia="Times New Roman"/>
          <w:noProof/>
          <w:color w:val="000000" w:themeColor="text1"/>
          <w:szCs w:val="24"/>
        </w:rPr>
        <w:t xml:space="preserve"> in cross-border situations.</w:t>
      </w:r>
      <w:r w:rsidR="25C926FA" w:rsidRPr="205B3C86">
        <w:rPr>
          <w:rFonts w:eastAsia="Times New Roman"/>
          <w:noProof/>
          <w:color w:val="000000" w:themeColor="text1"/>
        </w:rPr>
        <w:t xml:space="preserve"> </w:t>
      </w:r>
      <w:r w:rsidR="00FF1213" w:rsidRPr="00C407B8">
        <w:rPr>
          <w:noProof/>
        </w:rPr>
        <w:t xml:space="preserve">There is a strong value added </w:t>
      </w:r>
      <w:r w:rsidR="002D39E8">
        <w:rPr>
          <w:noProof/>
        </w:rPr>
        <w:t>by acting</w:t>
      </w:r>
      <w:r w:rsidR="00FF1213" w:rsidRPr="00C407B8">
        <w:rPr>
          <w:noProof/>
        </w:rPr>
        <w:t xml:space="preserve"> at EU level because the problems that this proposal tackles are </w:t>
      </w:r>
      <w:r w:rsidR="00FF1213" w:rsidRPr="00C407B8">
        <w:rPr>
          <w:rFonts w:eastAsia="Times New Roman"/>
          <w:noProof/>
          <w:color w:val="000000" w:themeColor="text1"/>
        </w:rPr>
        <w:t xml:space="preserve">not limited to the territory of one Member State but are of a cross-border nature, </w:t>
      </w:r>
      <w:r w:rsidR="00FF1213" w:rsidRPr="00C407B8">
        <w:rPr>
          <w:rFonts w:eastAsia="Times New Roman"/>
          <w:noProof/>
          <w:color w:val="000000" w:themeColor="text1"/>
          <w:szCs w:val="24"/>
        </w:rPr>
        <w:t xml:space="preserve">in particular </w:t>
      </w:r>
      <w:r w:rsidR="00FF1213" w:rsidRPr="00C407B8">
        <w:rPr>
          <w:rFonts w:eastAsia="Times New Roman"/>
          <w:noProof/>
          <w:color w:val="000000" w:themeColor="text1"/>
        </w:rPr>
        <w:t>due to discrepancies in national legislations.</w:t>
      </w:r>
      <w:r w:rsidR="00FF1213" w:rsidRPr="00C407B8">
        <w:rPr>
          <w:noProof/>
        </w:rPr>
        <w:t xml:space="preserve"> </w:t>
      </w:r>
      <w:r w:rsidR="00FF1213" w:rsidRPr="00E831F9">
        <w:rPr>
          <w:noProof/>
        </w:rPr>
        <w:t xml:space="preserve">Member States are unable to bring about sufficient improvement to those problems on their own. </w:t>
      </w:r>
      <w:r w:rsidR="00377A98" w:rsidRPr="00535E64">
        <w:rPr>
          <w:noProof/>
          <w:lang w:val="en-IE"/>
        </w:rPr>
        <w:t xml:space="preserve"> </w:t>
      </w:r>
    </w:p>
    <w:p w14:paraId="141083DE" w14:textId="77777777" w:rsidR="00FF1213" w:rsidRPr="00E831F9" w:rsidRDefault="00FF1213" w:rsidP="00FF1213">
      <w:pPr>
        <w:rPr>
          <w:noProof/>
        </w:rPr>
      </w:pPr>
      <w:r w:rsidRPr="00E831F9">
        <w:rPr>
          <w:noProof/>
        </w:rPr>
        <w:t>To increase the scope of available company data at EU level through BRIS, coordinated action is required to ensure that all Member States have the data in their business registers and</w:t>
      </w:r>
      <w:r w:rsidRPr="00C407B8">
        <w:rPr>
          <w:noProof/>
        </w:rPr>
        <w:t xml:space="preserve"> that the data is accessible in a comparable and multilingual format centrally at EU level through the system of interconnection of registers. This system already</w:t>
      </w:r>
      <w:r w:rsidRPr="00E831F9">
        <w:rPr>
          <w:noProof/>
        </w:rPr>
        <w:t xml:space="preserve"> exists and is operational at EU level</w:t>
      </w:r>
      <w:r w:rsidRPr="00C407B8">
        <w:rPr>
          <w:noProof/>
        </w:rPr>
        <w:t xml:space="preserve">. Similarly, coordinated action is required to ensure that there are common checks of company data before it is entered into national business registers to improve its reliability and facilitate its use in cross-border situations. Furthermore, to enable the cross-border use of company data, including the application of the once-only principle, barriers in cross-border situations need to be removed. </w:t>
      </w:r>
      <w:r w:rsidRPr="00E831F9">
        <w:rPr>
          <w:noProof/>
        </w:rPr>
        <w:t xml:space="preserve">Similarly, the value added from linking the EU-level systems of interconnection of registers can also be only achieved through EU action. </w:t>
      </w:r>
    </w:p>
    <w:p w14:paraId="589FA11B" w14:textId="77777777" w:rsidR="1BBDA31C" w:rsidRDefault="006B7BE1" w:rsidP="079501EF">
      <w:pPr>
        <w:pBdr>
          <w:top w:val="nil"/>
          <w:left w:val="nil"/>
          <w:bottom w:val="nil"/>
          <w:right w:val="nil"/>
          <w:between w:val="nil"/>
          <w:bar w:val="nil"/>
        </w:pBdr>
        <w:spacing w:before="0" w:after="240"/>
        <w:rPr>
          <w:rFonts w:eastAsia="Times New Roman"/>
          <w:noProof/>
          <w:color w:val="000000" w:themeColor="text1"/>
          <w:szCs w:val="24"/>
        </w:rPr>
      </w:pPr>
      <w:r w:rsidRPr="00C407B8">
        <w:rPr>
          <w:rFonts w:eastAsia="Times New Roman"/>
          <w:noProof/>
          <w:color w:val="000000" w:themeColor="text1"/>
          <w:szCs w:val="24"/>
        </w:rPr>
        <w:t xml:space="preserve">Member States acting individually would continue to apply their own rules in this respect, with little prospect that such rules would address the cross-border situations in a compatible manner. It therefore appears that without any action at EU level, different measures taken at national level would likely result in </w:t>
      </w:r>
      <w:r w:rsidRPr="00C407B8" w:rsidDel="006A65CF">
        <w:rPr>
          <w:rFonts w:eastAsia="Times New Roman"/>
          <w:noProof/>
          <w:color w:val="000000" w:themeColor="text1"/>
          <w:szCs w:val="24"/>
        </w:rPr>
        <w:t xml:space="preserve">divergent </w:t>
      </w:r>
      <w:r w:rsidRPr="00C407B8">
        <w:rPr>
          <w:rFonts w:eastAsia="Times New Roman"/>
          <w:noProof/>
          <w:color w:val="000000" w:themeColor="text1"/>
          <w:szCs w:val="24"/>
        </w:rPr>
        <w:t>national solutions. SMEs would also continue to face barriers, making effective exercise of the freedom of establishment more difficult and the resulting costs would affect companies in particular. In this context, the targeted EU intervention in the form of this proposal complies with the principle of subsidiarity.</w:t>
      </w:r>
    </w:p>
    <w:p w14:paraId="7EF47141" w14:textId="77777777" w:rsidR="00573A63" w:rsidRDefault="00573A63" w:rsidP="00660ED3">
      <w:pPr>
        <w:pStyle w:val="ManualHeading2"/>
        <w:rPr>
          <w:rFonts w:eastAsia="Arial Unicode MS"/>
          <w:noProof/>
          <w:u w:color="000000"/>
          <w:bdr w:val="nil"/>
          <w:lang w:val="en-US" w:eastAsia="en-GB"/>
        </w:rPr>
      </w:pPr>
      <w:bookmarkStart w:id="18" w:name="_Toc126762661"/>
      <w:bookmarkStart w:id="19" w:name="_Toc126826573"/>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bookmarkEnd w:id="18"/>
      <w:bookmarkEnd w:id="19"/>
    </w:p>
    <w:p w14:paraId="02A9D2C3" w14:textId="77777777" w:rsidR="00E76E1F" w:rsidRDefault="00B044DB" w:rsidP="00E76E1F">
      <w:pPr>
        <w:rPr>
          <w:noProof/>
        </w:rPr>
      </w:pPr>
      <w:r>
        <w:rPr>
          <w:noProof/>
        </w:rPr>
        <w:t>The measures introduced by this proposal are proportionate to its objective</w:t>
      </w:r>
      <w:r w:rsidR="00AE6EDF">
        <w:rPr>
          <w:noProof/>
        </w:rPr>
        <w:t>s</w:t>
      </w:r>
      <w:r>
        <w:rPr>
          <w:noProof/>
        </w:rPr>
        <w:t xml:space="preserve"> of </w:t>
      </w:r>
      <w:r w:rsidR="001078B6" w:rsidRPr="00B044DB">
        <w:rPr>
          <w:rFonts w:eastAsia="Calibri"/>
          <w:noProof/>
        </w:rPr>
        <w:t>increas</w:t>
      </w:r>
      <w:r w:rsidR="001078B6">
        <w:rPr>
          <w:rFonts w:eastAsia="Calibri"/>
          <w:noProof/>
        </w:rPr>
        <w:t>ing</w:t>
      </w:r>
      <w:r w:rsidR="001078B6" w:rsidRPr="00B044DB">
        <w:rPr>
          <w:rFonts w:eastAsia="Calibri"/>
          <w:noProof/>
        </w:rPr>
        <w:t xml:space="preserve"> the amount and reliability of company data available in business registers and</w:t>
      </w:r>
      <w:r w:rsidR="001078B6" w:rsidRPr="00B044DB" w:rsidDel="00937572">
        <w:rPr>
          <w:rFonts w:eastAsia="Calibri"/>
          <w:noProof/>
        </w:rPr>
        <w:t>/or</w:t>
      </w:r>
      <w:r w:rsidR="001078B6" w:rsidRPr="00B044DB">
        <w:rPr>
          <w:rFonts w:eastAsia="Calibri"/>
          <w:noProof/>
        </w:rPr>
        <w:t xml:space="preserve"> through </w:t>
      </w:r>
      <w:r w:rsidR="001078B6">
        <w:rPr>
          <w:rFonts w:eastAsia="Calibri"/>
          <w:noProof/>
        </w:rPr>
        <w:t>BRIS</w:t>
      </w:r>
      <w:r w:rsidR="001078B6" w:rsidRPr="00B044DB">
        <w:rPr>
          <w:rFonts w:eastAsia="Calibri"/>
          <w:noProof/>
        </w:rPr>
        <w:t>, and enabl</w:t>
      </w:r>
      <w:r w:rsidR="001078B6">
        <w:rPr>
          <w:rFonts w:eastAsia="Calibri"/>
          <w:noProof/>
        </w:rPr>
        <w:t>ing</w:t>
      </w:r>
      <w:r w:rsidR="001078B6" w:rsidRPr="00B044DB">
        <w:rPr>
          <w:rFonts w:eastAsia="Calibri"/>
          <w:noProof/>
        </w:rPr>
        <w:t xml:space="preserve"> </w:t>
      </w:r>
      <w:r w:rsidR="00A013A2">
        <w:rPr>
          <w:rFonts w:eastAsia="Calibri"/>
          <w:noProof/>
        </w:rPr>
        <w:t xml:space="preserve">its </w:t>
      </w:r>
      <w:r w:rsidR="001078B6" w:rsidRPr="00B044DB">
        <w:rPr>
          <w:rFonts w:eastAsia="Calibri"/>
          <w:noProof/>
        </w:rPr>
        <w:t>direct use in cross-border situations</w:t>
      </w:r>
      <w:r w:rsidR="001078B6">
        <w:rPr>
          <w:rFonts w:eastAsia="Calibri"/>
          <w:noProof/>
        </w:rPr>
        <w:t xml:space="preserve">. </w:t>
      </w:r>
      <w:r w:rsidR="00FE3776">
        <w:rPr>
          <w:rFonts w:eastAsia="Calibri"/>
          <w:noProof/>
        </w:rPr>
        <w:t xml:space="preserve">The proposed provisions are well </w:t>
      </w:r>
      <w:r w:rsidR="0072085E" w:rsidRPr="00B044DB">
        <w:rPr>
          <w:rFonts w:eastAsia="Calibri"/>
          <w:noProof/>
        </w:rPr>
        <w:t xml:space="preserve">targeted as </w:t>
      </w:r>
      <w:r w:rsidR="00FE3776">
        <w:rPr>
          <w:rFonts w:eastAsia="Calibri"/>
          <w:noProof/>
        </w:rPr>
        <w:t xml:space="preserve">they </w:t>
      </w:r>
      <w:r w:rsidR="0072085E" w:rsidRPr="00B044DB">
        <w:rPr>
          <w:rFonts w:eastAsia="Calibri"/>
          <w:noProof/>
        </w:rPr>
        <w:t xml:space="preserve">focus on </w:t>
      </w:r>
      <w:r w:rsidR="0072085E" w:rsidRPr="0030616C">
        <w:rPr>
          <w:rFonts w:eastAsia="Calibri"/>
          <w:noProof/>
        </w:rPr>
        <w:t xml:space="preserve">the needs </w:t>
      </w:r>
      <w:r w:rsidR="0072085E" w:rsidRPr="0072085E">
        <w:rPr>
          <w:rFonts w:eastAsia="Calibri"/>
          <w:noProof/>
        </w:rPr>
        <w:t>of direct users</w:t>
      </w:r>
      <w:r w:rsidR="00FE3776">
        <w:rPr>
          <w:rFonts w:eastAsia="Calibri"/>
          <w:noProof/>
        </w:rPr>
        <w:t xml:space="preserve"> (e.g. </w:t>
      </w:r>
      <w:r w:rsidR="0072085E" w:rsidRPr="0072085E">
        <w:rPr>
          <w:rFonts w:eastAsia="Calibri"/>
          <w:noProof/>
        </w:rPr>
        <w:t>companies, other stakeholders and public authorities</w:t>
      </w:r>
      <w:r w:rsidR="00FE3776">
        <w:rPr>
          <w:rFonts w:eastAsia="Calibri"/>
          <w:noProof/>
        </w:rPr>
        <w:t>)</w:t>
      </w:r>
      <w:r w:rsidR="0072085E" w:rsidRPr="0072085E">
        <w:rPr>
          <w:rFonts w:eastAsia="Calibri"/>
          <w:noProof/>
        </w:rPr>
        <w:t xml:space="preserve"> to use reliable and up-to-date official company data from business registers</w:t>
      </w:r>
      <w:r w:rsidR="0072085E">
        <w:rPr>
          <w:rFonts w:eastAsia="Calibri"/>
          <w:noProof/>
        </w:rPr>
        <w:t xml:space="preserve"> </w:t>
      </w:r>
      <w:r w:rsidR="00FE3776" w:rsidRPr="0072085E">
        <w:rPr>
          <w:rFonts w:eastAsia="Calibri"/>
          <w:noProof/>
        </w:rPr>
        <w:t>in the cross-border context</w:t>
      </w:r>
      <w:r w:rsidR="00446222">
        <w:rPr>
          <w:rFonts w:eastAsia="Calibri"/>
          <w:noProof/>
        </w:rPr>
        <w:t xml:space="preserve"> </w:t>
      </w:r>
      <w:r w:rsidR="00397956" w:rsidRPr="00C407B8">
        <w:rPr>
          <w:rFonts w:eastAsia="Calibri"/>
          <w:noProof/>
        </w:rPr>
        <w:t xml:space="preserve">(see Section 1.3 of the impact assessment). </w:t>
      </w:r>
      <w:r w:rsidR="00397956" w:rsidRPr="00C407B8">
        <w:rPr>
          <w:noProof/>
        </w:rPr>
        <w:t xml:space="preserve">The proposal focuses on cross-border aspects and introduces solutions that Member States could not achieve on their own. </w:t>
      </w:r>
      <w:r w:rsidR="00E76E1F">
        <w:rPr>
          <w:noProof/>
        </w:rPr>
        <w:t xml:space="preserve">The harmonisation elements are limited to what is necessary and proportionate to achieve </w:t>
      </w:r>
      <w:r w:rsidR="00BE1736" w:rsidRPr="00C407B8">
        <w:rPr>
          <w:noProof/>
        </w:rPr>
        <w:t xml:space="preserve">the required objectives while respecting national legal traditions, including those with notarial </w:t>
      </w:r>
      <w:r w:rsidR="00E76E1F">
        <w:rPr>
          <w:noProof/>
        </w:rPr>
        <w:t>involvement in company law procedures and, w</w:t>
      </w:r>
      <w:r w:rsidR="00E76E1F">
        <w:rPr>
          <w:noProof/>
          <w:szCs w:val="24"/>
        </w:rPr>
        <w:t>here possible, providing flexibility to Member States to achieve the requirements in line with their national laws and systems</w:t>
      </w:r>
      <w:r w:rsidR="00E76E1F">
        <w:rPr>
          <w:noProof/>
        </w:rPr>
        <w:t xml:space="preserve">. In addition, the proposal does not introduce any new systems, but builds on the use of </w:t>
      </w:r>
      <w:r w:rsidR="0020666D" w:rsidRPr="00C407B8">
        <w:rPr>
          <w:noProof/>
        </w:rPr>
        <w:t xml:space="preserve">the </w:t>
      </w:r>
      <w:r w:rsidR="00E76E1F">
        <w:rPr>
          <w:noProof/>
        </w:rPr>
        <w:t xml:space="preserve">existing and operational system of interconnection of registers </w:t>
      </w:r>
      <w:r w:rsidR="00293086">
        <w:rPr>
          <w:noProof/>
        </w:rPr>
        <w:t xml:space="preserve">as well as on </w:t>
      </w:r>
      <w:r w:rsidR="00293086" w:rsidRPr="00CE763C">
        <w:rPr>
          <w:noProof/>
          <w:lang w:val="en-IE"/>
        </w:rPr>
        <w:t>the eIDAS Regulation</w:t>
      </w:r>
      <w:r w:rsidR="00293086" w:rsidRPr="00EC6C35">
        <w:rPr>
          <w:rStyle w:val="FootnoteReference"/>
          <w:noProof/>
        </w:rPr>
        <w:footnoteReference w:id="27"/>
      </w:r>
      <w:r w:rsidR="00293086" w:rsidRPr="00CE763C">
        <w:rPr>
          <w:noProof/>
          <w:lang w:val="en-IE"/>
        </w:rPr>
        <w:t xml:space="preserve"> and </w:t>
      </w:r>
      <w:r w:rsidR="00293086">
        <w:rPr>
          <w:noProof/>
          <w:lang w:val="en-IE"/>
        </w:rPr>
        <w:t xml:space="preserve">the 2021 proposal to amend that Regulation as regards establishing a framework for </w:t>
      </w:r>
      <w:r w:rsidR="0020666D">
        <w:rPr>
          <w:noProof/>
        </w:rPr>
        <w:t>a</w:t>
      </w:r>
      <w:r w:rsidR="0020666D">
        <w:rPr>
          <w:noProof/>
          <w:lang w:val="en-IE"/>
        </w:rPr>
        <w:t xml:space="preserve"> </w:t>
      </w:r>
      <w:r w:rsidR="00293086">
        <w:rPr>
          <w:noProof/>
          <w:lang w:val="en-IE"/>
        </w:rPr>
        <w:t>European Digital Identity</w:t>
      </w:r>
      <w:r w:rsidR="00293086" w:rsidRPr="00EC6C35">
        <w:rPr>
          <w:rStyle w:val="FootnoteReference"/>
          <w:noProof/>
        </w:rPr>
        <w:footnoteReference w:id="28"/>
      </w:r>
      <w:r w:rsidR="00293086">
        <w:rPr>
          <w:noProof/>
          <w:lang w:val="en-IE"/>
        </w:rPr>
        <w:t>.</w:t>
      </w:r>
    </w:p>
    <w:p w14:paraId="480737F7" w14:textId="77777777" w:rsidR="00CF19B3" w:rsidRDefault="00CF19B3" w:rsidP="00DA261F">
      <w:pPr>
        <w:rPr>
          <w:rFonts w:cstheme="minorHAnsi"/>
          <w:noProof/>
          <w:szCs w:val="20"/>
        </w:rPr>
      </w:pPr>
      <w:r w:rsidRPr="00C407B8">
        <w:rPr>
          <w:noProof/>
        </w:rPr>
        <w:t xml:space="preserve">The package of preferred measures can best address the objectives because it will make most information available cross-border and link BRIS with two other EU systems of interconnection of registers. This will greatly increase transparency on EU companies in the single market. It will also bring significant benefits in terms of </w:t>
      </w:r>
      <w:r w:rsidRPr="00C407B8">
        <w:rPr>
          <w:rFonts w:cstheme="minorHAnsi"/>
          <w:noProof/>
          <w:szCs w:val="20"/>
        </w:rPr>
        <w:t xml:space="preserve">increased legal certainty as it will provide for </w:t>
      </w:r>
      <w:r w:rsidRPr="002E7D55">
        <w:rPr>
          <w:rFonts w:cstheme="minorHAnsi"/>
          <w:noProof/>
          <w:szCs w:val="20"/>
        </w:rPr>
        <w:t>ex</w:t>
      </w:r>
      <w:r w:rsidRPr="002E7D55" w:rsidDel="00255708">
        <w:rPr>
          <w:rFonts w:cstheme="minorHAnsi"/>
          <w:noProof/>
          <w:szCs w:val="20"/>
        </w:rPr>
        <w:t>-</w:t>
      </w:r>
      <w:r w:rsidRPr="002E7D55">
        <w:rPr>
          <w:rFonts w:cstheme="minorHAnsi"/>
          <w:noProof/>
          <w:szCs w:val="20"/>
        </w:rPr>
        <w:t>ante</w:t>
      </w:r>
      <w:r w:rsidRPr="00C407B8">
        <w:rPr>
          <w:rFonts w:cstheme="minorHAnsi"/>
          <w:noProof/>
          <w:szCs w:val="20"/>
        </w:rPr>
        <w:t xml:space="preserve"> checks and also introduce the additional common procedural requirements to keep company information up to date. In addition, it will have </w:t>
      </w:r>
      <w:r w:rsidR="00B76FA7">
        <w:rPr>
          <w:rFonts w:cstheme="minorHAnsi"/>
          <w:noProof/>
          <w:szCs w:val="20"/>
        </w:rPr>
        <w:t>the</w:t>
      </w:r>
      <w:r w:rsidRPr="00C407B8">
        <w:rPr>
          <w:rFonts w:cstheme="minorHAnsi"/>
          <w:noProof/>
          <w:szCs w:val="20"/>
        </w:rPr>
        <w:t xml:space="preserve"> strongest positive impact on enabling the direct use of company data in cross-border situations as it will not only apply the once-only principle to setting up cross-border subsidiaries and branches, but also introduce the </w:t>
      </w:r>
      <w:r w:rsidR="00B76FA7">
        <w:rPr>
          <w:rFonts w:cstheme="minorHAnsi"/>
          <w:noProof/>
          <w:szCs w:val="20"/>
        </w:rPr>
        <w:t>EU C</w:t>
      </w:r>
      <w:r w:rsidRPr="00C407B8">
        <w:rPr>
          <w:rFonts w:cstheme="minorHAnsi"/>
          <w:noProof/>
          <w:szCs w:val="20"/>
        </w:rPr>
        <w:t xml:space="preserve">ompany </w:t>
      </w:r>
      <w:r w:rsidR="00B76FA7">
        <w:rPr>
          <w:rFonts w:cstheme="minorHAnsi"/>
          <w:noProof/>
          <w:szCs w:val="20"/>
        </w:rPr>
        <w:t>Certificate</w:t>
      </w:r>
      <w:r w:rsidRPr="00C407B8">
        <w:rPr>
          <w:rFonts w:cstheme="minorHAnsi"/>
          <w:noProof/>
          <w:szCs w:val="20"/>
        </w:rPr>
        <w:t xml:space="preserve"> and abolish formalities such as the apostille (see Section 7.2 of the impact assessment). </w:t>
      </w:r>
    </w:p>
    <w:p w14:paraId="57FAD041" w14:textId="77777777" w:rsidR="00CF19B3" w:rsidRPr="00C407B8" w:rsidRDefault="00DA261F" w:rsidP="00CF19B3">
      <w:pPr>
        <w:rPr>
          <w:noProof/>
        </w:rPr>
      </w:pPr>
      <w:r>
        <w:rPr>
          <w:noProof/>
        </w:rPr>
        <w:t xml:space="preserve">The package </w:t>
      </w:r>
      <w:r w:rsidR="006A1247">
        <w:rPr>
          <w:noProof/>
        </w:rPr>
        <w:t>does not go beyond what is necessary to achieve the</w:t>
      </w:r>
      <w:r w:rsidR="00F70CD1">
        <w:rPr>
          <w:noProof/>
        </w:rPr>
        <w:t xml:space="preserve"> chosen measures</w:t>
      </w:r>
      <w:r w:rsidR="006A1247">
        <w:rPr>
          <w:noProof/>
        </w:rPr>
        <w:t>.</w:t>
      </w:r>
      <w:r w:rsidR="00983C99">
        <w:rPr>
          <w:noProof/>
        </w:rPr>
        <w:t xml:space="preserve"> The </w:t>
      </w:r>
      <w:r w:rsidR="00983C99" w:rsidRPr="00944F4B">
        <w:rPr>
          <w:noProof/>
          <w:szCs w:val="24"/>
        </w:rPr>
        <w:t xml:space="preserve">multi-criteria </w:t>
      </w:r>
      <w:r w:rsidR="00CF19B3" w:rsidRPr="00C407B8">
        <w:rPr>
          <w:noProof/>
          <w:szCs w:val="24"/>
        </w:rPr>
        <w:t xml:space="preserve">analysis carried </w:t>
      </w:r>
      <w:r w:rsidR="00983C99">
        <w:rPr>
          <w:noProof/>
          <w:szCs w:val="24"/>
        </w:rPr>
        <w:t xml:space="preserve">out for all policy options, </w:t>
      </w:r>
      <w:r w:rsidR="00F70CD1">
        <w:rPr>
          <w:noProof/>
          <w:szCs w:val="24"/>
        </w:rPr>
        <w:t>which took</w:t>
      </w:r>
      <w:r w:rsidR="00983C99" w:rsidRPr="00944F4B">
        <w:rPr>
          <w:noProof/>
          <w:szCs w:val="24"/>
        </w:rPr>
        <w:t xml:space="preserve"> into account their effectiveness, efficiency, coherence and proportionality</w:t>
      </w:r>
      <w:r w:rsidR="00983C99">
        <w:rPr>
          <w:noProof/>
          <w:szCs w:val="24"/>
        </w:rPr>
        <w:t xml:space="preserve">, showed that </w:t>
      </w:r>
      <w:r w:rsidR="002942F9">
        <w:rPr>
          <w:noProof/>
          <w:szCs w:val="24"/>
        </w:rPr>
        <w:t>a</w:t>
      </w:r>
      <w:r w:rsidR="002942F9">
        <w:rPr>
          <w:noProof/>
        </w:rPr>
        <w:t>ll options had a net positive benefit</w:t>
      </w:r>
      <w:r w:rsidR="002942F9">
        <w:rPr>
          <w:noProof/>
          <w:szCs w:val="24"/>
        </w:rPr>
        <w:t xml:space="preserve"> and that the preferred measures ranked the highest in the analysis </w:t>
      </w:r>
      <w:r w:rsidR="00CF19B3" w:rsidRPr="00C407B8">
        <w:rPr>
          <w:noProof/>
          <w:szCs w:val="24"/>
        </w:rPr>
        <w:t xml:space="preserve">(see Section 6.5 of the impact assessment and Annex 4 on methodology). </w:t>
      </w:r>
    </w:p>
    <w:p w14:paraId="4C143012" w14:textId="77777777" w:rsidR="00C74D45" w:rsidRDefault="00E76E1F" w:rsidP="00293086">
      <w:pPr>
        <w:rPr>
          <w:noProof/>
        </w:rPr>
      </w:pPr>
      <w:r>
        <w:rPr>
          <w:noProof/>
        </w:rPr>
        <w:t xml:space="preserve">In line with the principle of proportionality, the planned initiative will not go beyond what is necessary to achieve its objectives by targeting specific cross-border issues (i.e. </w:t>
      </w:r>
      <w:r w:rsidR="00CF19B3" w:rsidRPr="00C407B8">
        <w:rPr>
          <w:noProof/>
        </w:rPr>
        <w:t xml:space="preserve">the needs of direct users to </w:t>
      </w:r>
      <w:r w:rsidR="00CF19B3" w:rsidRPr="00C407B8">
        <w:rPr>
          <w:rFonts w:eastAsia="Calibri"/>
          <w:noProof/>
        </w:rPr>
        <w:t>access and use cross-border</w:t>
      </w:r>
      <w:r w:rsidR="00CF19B3" w:rsidRPr="00C407B8">
        <w:rPr>
          <w:rFonts w:eastAsia="Calibri"/>
          <w:b/>
          <w:noProof/>
        </w:rPr>
        <w:t xml:space="preserve"> </w:t>
      </w:r>
      <w:r w:rsidR="00CF19B3" w:rsidRPr="00C407B8">
        <w:rPr>
          <w:rFonts w:eastAsia="Calibri"/>
          <w:noProof/>
        </w:rPr>
        <w:t>official company data from business registers). This</w:t>
      </w:r>
      <w:r>
        <w:rPr>
          <w:noProof/>
        </w:rPr>
        <w:t xml:space="preserve"> could not be achieved by Member States on their own. </w:t>
      </w:r>
    </w:p>
    <w:p w14:paraId="3D84EFF1" w14:textId="77777777" w:rsidR="00573A63" w:rsidRDefault="00573A63" w:rsidP="00660ED3">
      <w:pPr>
        <w:pStyle w:val="ManualHeading2"/>
        <w:rPr>
          <w:rFonts w:eastAsia="Arial Unicode MS"/>
          <w:noProof/>
          <w:u w:color="000000"/>
          <w:bdr w:val="nil"/>
          <w:lang w:val="en-US" w:eastAsia="en-GB"/>
        </w:rPr>
      </w:pPr>
      <w:bookmarkStart w:id="20" w:name="_Toc126762662"/>
      <w:bookmarkStart w:id="21" w:name="_Toc126826574"/>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bookmarkEnd w:id="20"/>
      <w:bookmarkEnd w:id="21"/>
    </w:p>
    <w:p w14:paraId="2FF5BC61" w14:textId="77777777" w:rsidR="002E7C90" w:rsidRPr="00044058" w:rsidRDefault="002B1E77" w:rsidP="00660ED3">
      <w:pPr>
        <w:pBdr>
          <w:top w:val="nil"/>
          <w:left w:val="nil"/>
          <w:bottom w:val="nil"/>
          <w:right w:val="nil"/>
          <w:between w:val="nil"/>
          <w:bar w:val="nil"/>
        </w:pBdr>
        <w:spacing w:before="0" w:after="240"/>
        <w:rPr>
          <w:rFonts w:eastAsia="Arial Unicode MS"/>
          <w:noProof/>
        </w:rPr>
      </w:pPr>
      <w:r>
        <w:rPr>
          <w:noProof/>
        </w:rPr>
        <w:t xml:space="preserve">This proposal takes the form of a directive which </w:t>
      </w:r>
      <w:r w:rsidRPr="00C407B8">
        <w:rPr>
          <w:noProof/>
        </w:rPr>
        <w:t>amend</w:t>
      </w:r>
      <w:r>
        <w:rPr>
          <w:noProof/>
        </w:rPr>
        <w:t>s</w:t>
      </w:r>
      <w:r w:rsidRPr="00C407B8">
        <w:rPr>
          <w:noProof/>
        </w:rPr>
        <w:t xml:space="preserve"> Directive (EU) 2017/1132 and Directive 2009/102/EC.</w:t>
      </w:r>
      <w:r>
        <w:rPr>
          <w:noProof/>
        </w:rPr>
        <w:t xml:space="preserve"> </w:t>
      </w:r>
      <w:r w:rsidR="002E7C90">
        <w:rPr>
          <w:noProof/>
        </w:rPr>
        <w:t>Directive (EU) 2017/1132 governs company law at EU level</w:t>
      </w:r>
      <w:r w:rsidR="00E41684">
        <w:rPr>
          <w:noProof/>
        </w:rPr>
        <w:t xml:space="preserve"> and Directive 2009/102/EC complements it with specific provisions for single-member companies</w:t>
      </w:r>
      <w:r w:rsidR="002E7C90">
        <w:rPr>
          <w:noProof/>
        </w:rPr>
        <w:t xml:space="preserve">. </w:t>
      </w:r>
    </w:p>
    <w:p w14:paraId="0148A830" w14:textId="77777777" w:rsidR="00573A63" w:rsidRPr="00550536" w:rsidRDefault="00573A63" w:rsidP="00660ED3">
      <w:pPr>
        <w:pStyle w:val="ManualHeading1"/>
        <w:rPr>
          <w:noProof/>
        </w:rPr>
      </w:pPr>
      <w:bookmarkStart w:id="22" w:name="_Toc126762663"/>
      <w:bookmarkStart w:id="23" w:name="_Toc126826575"/>
      <w:r w:rsidRPr="00550536">
        <w:rPr>
          <w:noProof/>
        </w:rPr>
        <w:t>3.</w:t>
      </w:r>
      <w:r w:rsidRPr="00550536">
        <w:rPr>
          <w:noProof/>
        </w:rPr>
        <w:tab/>
        <w:t xml:space="preserve">RESULTS OF </w:t>
      </w:r>
      <w:r w:rsidR="00F3038B" w:rsidRPr="00F3038B">
        <w:rPr>
          <w:i/>
          <w:iCs/>
          <w:noProof/>
        </w:rPr>
        <w:t>EX POST</w:t>
      </w:r>
      <w:r w:rsidRPr="00550536">
        <w:rPr>
          <w:noProof/>
        </w:rPr>
        <w:t xml:space="preserve"> EVALUATIONS, STAKEHOLDER CONSULTATIONS AND IMPACT ASSESSMENTS</w:t>
      </w:r>
      <w:bookmarkEnd w:id="22"/>
      <w:bookmarkEnd w:id="23"/>
    </w:p>
    <w:p w14:paraId="5B68EFD6" w14:textId="77777777" w:rsidR="00573A63" w:rsidRDefault="00573A63" w:rsidP="00660ED3">
      <w:pPr>
        <w:pStyle w:val="ManualHeading2"/>
        <w:rPr>
          <w:rFonts w:eastAsia="Arial Unicode MS"/>
          <w:noProof/>
          <w:u w:color="000000"/>
          <w:bdr w:val="nil"/>
          <w:lang w:val="en-US" w:eastAsia="en-GB"/>
        </w:rPr>
      </w:pPr>
      <w:bookmarkStart w:id="24" w:name="_Toc126762664"/>
      <w:bookmarkStart w:id="25" w:name="_Toc126826576"/>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bookmarkEnd w:id="24"/>
      <w:bookmarkEnd w:id="25"/>
    </w:p>
    <w:p w14:paraId="63C5B9A3" w14:textId="77777777" w:rsidR="00127E6A" w:rsidRPr="00C407B8" w:rsidRDefault="00127E6A" w:rsidP="00127E6A">
      <w:pPr>
        <w:pBdr>
          <w:top w:val="nil"/>
          <w:left w:val="nil"/>
          <w:bottom w:val="nil"/>
          <w:right w:val="nil"/>
          <w:between w:val="nil"/>
          <w:bar w:val="nil"/>
        </w:pBdr>
        <w:spacing w:before="0" w:after="240"/>
        <w:rPr>
          <w:rFonts w:eastAsia="Arial Unicode MS"/>
          <w:noProof/>
        </w:rPr>
      </w:pPr>
      <w:r w:rsidRPr="00C407B8">
        <w:rPr>
          <w:noProof/>
        </w:rPr>
        <w:t xml:space="preserve">The proposal aims to introduce new provisions, and to the extent necessary complement existing ones, in order to </w:t>
      </w:r>
      <w:bookmarkStart w:id="26" w:name="_Toc113029436"/>
      <w:bookmarkStart w:id="27" w:name="_Toc113311917"/>
      <w:bookmarkStart w:id="28" w:name="_Toc113313962"/>
      <w:bookmarkStart w:id="29" w:name="_Toc113314990"/>
      <w:bookmarkStart w:id="30" w:name="_Toc113656926"/>
      <w:bookmarkStart w:id="31" w:name="_Toc113904541"/>
      <w:bookmarkStart w:id="32" w:name="_Toc113915459"/>
      <w:bookmarkStart w:id="33" w:name="_Toc113915526"/>
      <w:bookmarkStart w:id="34" w:name="_Toc113915608"/>
      <w:bookmarkStart w:id="35" w:name="_Toc114137174"/>
      <w:r w:rsidRPr="00C407B8">
        <w:rPr>
          <w:noProof/>
        </w:rPr>
        <w:t>increase the amount of company data available in business registers and</w:t>
      </w:r>
      <w:r w:rsidRPr="00C407B8" w:rsidDel="00937572">
        <w:rPr>
          <w:noProof/>
        </w:rPr>
        <w:t>/or</w:t>
      </w:r>
      <w:r w:rsidRPr="00C407B8">
        <w:rPr>
          <w:noProof/>
        </w:rPr>
        <w:t xml:space="preserve"> through BRIS and improve its reliability. It also aims</w:t>
      </w:r>
      <w:bookmarkEnd w:id="26"/>
      <w:bookmarkEnd w:id="27"/>
      <w:bookmarkEnd w:id="28"/>
      <w:bookmarkEnd w:id="29"/>
      <w:bookmarkEnd w:id="30"/>
      <w:bookmarkEnd w:id="31"/>
      <w:bookmarkEnd w:id="32"/>
      <w:bookmarkEnd w:id="33"/>
      <w:bookmarkEnd w:id="34"/>
      <w:bookmarkEnd w:id="35"/>
      <w:r w:rsidRPr="00C407B8">
        <w:rPr>
          <w:noProof/>
        </w:rPr>
        <w:t xml:space="preserve"> to </w:t>
      </w:r>
      <w:bookmarkStart w:id="36" w:name="_Toc113029437"/>
      <w:bookmarkStart w:id="37" w:name="_Toc113029525"/>
      <w:bookmarkStart w:id="38" w:name="_Toc113915460"/>
      <w:bookmarkStart w:id="39" w:name="_Toc113915527"/>
      <w:bookmarkStart w:id="40" w:name="_Toc113915609"/>
      <w:bookmarkStart w:id="41" w:name="_Toc114137175"/>
      <w:r w:rsidRPr="00C407B8">
        <w:rPr>
          <w:noProof/>
        </w:rPr>
        <w:t>enable the direct use of company data available in business registers when setting up cross-border branches and subsidiaries and in other cross-border activities and situations</w:t>
      </w:r>
      <w:bookmarkEnd w:id="36"/>
      <w:bookmarkEnd w:id="37"/>
      <w:bookmarkEnd w:id="38"/>
      <w:bookmarkEnd w:id="39"/>
      <w:bookmarkEnd w:id="40"/>
      <w:bookmarkEnd w:id="41"/>
      <w:r w:rsidRPr="00C407B8">
        <w:rPr>
          <w:noProof/>
        </w:rPr>
        <w:t xml:space="preserve">. </w:t>
      </w:r>
      <w:r w:rsidRPr="00C407B8" w:rsidDel="002C6E16">
        <w:rPr>
          <w:noProof/>
        </w:rPr>
        <w:t>Therefore</w:t>
      </w:r>
      <w:r w:rsidRPr="00C407B8">
        <w:rPr>
          <w:noProof/>
        </w:rPr>
        <w:t xml:space="preserve">, no evaluation </w:t>
      </w:r>
      <w:r w:rsidR="00B35565">
        <w:rPr>
          <w:noProof/>
        </w:rPr>
        <w:t xml:space="preserve">of the existing rules </w:t>
      </w:r>
      <w:r w:rsidRPr="00C407B8">
        <w:rPr>
          <w:noProof/>
        </w:rPr>
        <w:t>took place.</w:t>
      </w:r>
    </w:p>
    <w:p w14:paraId="336F7FCD" w14:textId="77777777" w:rsidR="00573A63" w:rsidRDefault="00573A63" w:rsidP="00660ED3">
      <w:pPr>
        <w:pStyle w:val="ManualHeading2"/>
        <w:rPr>
          <w:rFonts w:eastAsia="Arial Unicode MS"/>
          <w:noProof/>
          <w:u w:color="000000"/>
          <w:bdr w:val="nil"/>
          <w:lang w:val="en-US" w:eastAsia="en-GB"/>
        </w:rPr>
      </w:pPr>
      <w:bookmarkStart w:id="42" w:name="_Toc126762665"/>
      <w:bookmarkStart w:id="43" w:name="_Toc126826577"/>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bookmarkEnd w:id="42"/>
      <w:bookmarkEnd w:id="43"/>
    </w:p>
    <w:p w14:paraId="5786B04A" w14:textId="77777777" w:rsidR="00CE4E00" w:rsidRDefault="00C11365" w:rsidP="00660ED3">
      <w:pPr>
        <w:pBdr>
          <w:top w:val="nil"/>
          <w:left w:val="nil"/>
          <w:bottom w:val="nil"/>
          <w:right w:val="nil"/>
          <w:between w:val="nil"/>
          <w:bar w:val="nil"/>
        </w:pBdr>
        <w:spacing w:before="0" w:after="240"/>
        <w:rPr>
          <w:noProof/>
        </w:rPr>
      </w:pPr>
      <w:r w:rsidRPr="00C407B8">
        <w:rPr>
          <w:noProof/>
        </w:rPr>
        <w:t>The Commission carried out broad consultation activities as part of this initiative to gather the views of relevant stakeholder groups. This included business registers, national authorities such as tax and labour law authorities, companies, including SMEs and business associations, legal professionals involved in company law procedures, trade unions, as well as investors, creditors, citizens and academic experts. The consultation activities included</w:t>
      </w:r>
      <w:r w:rsidRPr="00C407B8" w:rsidDel="00945F92">
        <w:rPr>
          <w:noProof/>
          <w:color w:val="000000"/>
          <w:szCs w:val="24"/>
        </w:rPr>
        <w:t xml:space="preserve"> </w:t>
      </w:r>
      <w:r w:rsidRPr="00C407B8">
        <w:rPr>
          <w:noProof/>
          <w:color w:val="000000"/>
          <w:szCs w:val="24"/>
        </w:rPr>
        <w:t xml:space="preserve">an inception impact assessment, a public </w:t>
      </w:r>
      <w:r w:rsidRPr="00C407B8">
        <w:rPr>
          <w:noProof/>
          <w:szCs w:val="24"/>
        </w:rPr>
        <w:t>consultation,</w:t>
      </w:r>
      <w:r w:rsidRPr="00C407B8">
        <w:rPr>
          <w:noProof/>
          <w:color w:val="000000"/>
          <w:szCs w:val="24"/>
        </w:rPr>
        <w:t xml:space="preserve"> a specific consultation of SMEs, targeted interviews with key stakeholders, interviews with legal professionals specialised in company law, as well as discussions with company law experts from Member State ministries and business registers in the Company Law Expert Group. </w:t>
      </w:r>
      <w:r w:rsidRPr="00C407B8">
        <w:rPr>
          <w:noProof/>
        </w:rPr>
        <w:t>The information gathered fed into the proposal.</w:t>
      </w:r>
    </w:p>
    <w:p w14:paraId="6525F866" w14:textId="77777777" w:rsidR="00CE50CA" w:rsidRDefault="00C11365" w:rsidP="004A3951">
      <w:pPr>
        <w:spacing w:before="0" w:after="0"/>
        <w:rPr>
          <w:noProof/>
          <w:lang w:val="en-IE"/>
        </w:rPr>
      </w:pPr>
      <w:r w:rsidRPr="00C11365">
        <w:rPr>
          <w:noProof/>
        </w:rPr>
        <w:t xml:space="preserve">The Commission gathered feedback on the inception impact assessment in summer 2021, with </w:t>
      </w:r>
      <w:r w:rsidR="00B16FB4">
        <w:rPr>
          <w:noProof/>
        </w:rPr>
        <w:t>various</w:t>
      </w:r>
      <w:r w:rsidRPr="00C11365">
        <w:rPr>
          <w:noProof/>
        </w:rPr>
        <w:t xml:space="preserve"> stakeholder</w:t>
      </w:r>
      <w:r w:rsidRPr="00C11365" w:rsidDel="00714D42">
        <w:rPr>
          <w:noProof/>
        </w:rPr>
        <w:t>s</w:t>
      </w:r>
      <w:r w:rsidRPr="00C11365">
        <w:rPr>
          <w:noProof/>
        </w:rPr>
        <w:t xml:space="preserve"> (including public authorities (business registers), business associations, companies, citizens and legal professionals) providing feedback. The public consultation on </w:t>
      </w:r>
      <w:r w:rsidRPr="00E831F9">
        <w:rPr>
          <w:noProof/>
        </w:rPr>
        <w:t>Upgrading</w:t>
      </w:r>
      <w:r w:rsidRPr="00C11365">
        <w:rPr>
          <w:noProof/>
        </w:rPr>
        <w:t xml:space="preserve"> digital company law ran from 21 December 2021 to 8 April 2022</w:t>
      </w:r>
      <w:r w:rsidRPr="00EC6C35">
        <w:rPr>
          <w:rStyle w:val="FootnoteReference"/>
          <w:noProof/>
        </w:rPr>
        <w:footnoteReference w:id="29"/>
      </w:r>
      <w:r w:rsidRPr="00C11365">
        <w:rPr>
          <w:noProof/>
        </w:rPr>
        <w:t>. The Commission received 83 responses from business associations, EU citizens, public authorities, companies, legal professionals and notaries, academic/research institutions, non-governmental organisations as well as trade unions. The specific consultation of SMEs, through an ‘SME panel’</w:t>
      </w:r>
      <w:r w:rsidRPr="00EC6C35">
        <w:rPr>
          <w:rStyle w:val="FootnoteReference"/>
          <w:noProof/>
        </w:rPr>
        <w:footnoteReference w:id="30"/>
      </w:r>
      <w:r w:rsidRPr="00C11365">
        <w:rPr>
          <w:noProof/>
        </w:rPr>
        <w:t>, took place between 2 May and 10 June 2022. 158 stakeholders replied, with the majority of responses submitted by SMEs in the form of limited liability companies. In addition, targeted e-surveys (with business registers, public authorities, legal practitioners, business and financial organisations and individual companies) and two virtual workshops, with companies and with business registers, were organised as part of an external contractor study</w:t>
      </w:r>
      <w:r w:rsidRPr="00EC6C35">
        <w:rPr>
          <w:rStyle w:val="FootnoteReference"/>
          <w:noProof/>
        </w:rPr>
        <w:footnoteReference w:id="31"/>
      </w:r>
      <w:r w:rsidRPr="00C11365">
        <w:rPr>
          <w:noProof/>
        </w:rPr>
        <w:t xml:space="preserve"> carried out for the Commission </w:t>
      </w:r>
      <w:r w:rsidRPr="00C11365" w:rsidDel="00AE4D58">
        <w:rPr>
          <w:noProof/>
        </w:rPr>
        <w:t>in the context of</w:t>
      </w:r>
      <w:r w:rsidRPr="00C11365">
        <w:rPr>
          <w:noProof/>
        </w:rPr>
        <w:t xml:space="preserve"> this initiative.</w:t>
      </w:r>
      <w:r w:rsidR="7278953C" w:rsidRPr="4FD204E9">
        <w:rPr>
          <w:noProof/>
          <w:lang w:val="en-IE"/>
        </w:rPr>
        <w:t xml:space="preserve"> </w:t>
      </w:r>
    </w:p>
    <w:p w14:paraId="7CB74202" w14:textId="77777777" w:rsidR="00DF2E9F" w:rsidRPr="00C407B8" w:rsidRDefault="00DF2E9F" w:rsidP="00DF2E9F">
      <w:pPr>
        <w:rPr>
          <w:noProof/>
          <w:szCs w:val="20"/>
        </w:rPr>
      </w:pPr>
      <w:r w:rsidRPr="00B51D5C">
        <w:rPr>
          <w:noProof/>
        </w:rPr>
        <w:t>Across these consultation activities, a large majority of stakeholders, including SMEs, confirmed that they encountered difficulties when looking for information about companies. This included the fact that information about companies in different Member States was not comparable, that it was not possible to find relevant company information at EU level but only in the national business registers, and language difficulties. A</w:t>
      </w:r>
      <w:r w:rsidRPr="00B51D5C">
        <w:rPr>
          <w:bCs/>
          <w:noProof/>
        </w:rPr>
        <w:t>ll stakeholder groups</w:t>
      </w:r>
      <w:r w:rsidRPr="00B51D5C">
        <w:rPr>
          <w:noProof/>
        </w:rPr>
        <w:t xml:space="preserve"> </w:t>
      </w:r>
      <w:r w:rsidRPr="00B51D5C">
        <w:rPr>
          <w:bCs/>
          <w:noProof/>
        </w:rPr>
        <w:t xml:space="preserve">consulted </w:t>
      </w:r>
      <w:r w:rsidRPr="00B51D5C">
        <w:rPr>
          <w:noProof/>
        </w:rPr>
        <w:t>(companies, authorities, business organisations, business registers, trade unions, legal professionals, citizens) expressed their support for making more harmonised company information available at EU level, while business associations stressed that no additional costs should be imposed on companies. A majority of stakeholders (in particular authorities, business registers and legal professionals) also considered that</w:t>
      </w:r>
      <w:r w:rsidRPr="00B51D5C">
        <w:rPr>
          <w:b/>
          <w:noProof/>
        </w:rPr>
        <w:t xml:space="preserve"> </w:t>
      </w:r>
      <w:r w:rsidRPr="00B51D5C">
        <w:rPr>
          <w:noProof/>
        </w:rPr>
        <w:t xml:space="preserve">it would be useful to link BRIS </w:t>
      </w:r>
      <w:r w:rsidRPr="00C407B8">
        <w:rPr>
          <w:noProof/>
          <w:szCs w:val="20"/>
        </w:rPr>
        <w:t>with the EU interconnections of beneficial ownership registers and insolvency registers.</w:t>
      </w:r>
    </w:p>
    <w:p w14:paraId="1D6C4894" w14:textId="77777777" w:rsidR="00052F9F" w:rsidRPr="00615EFE" w:rsidRDefault="00D12619" w:rsidP="00615EFE">
      <w:pPr>
        <w:rPr>
          <w:noProof/>
        </w:rPr>
      </w:pPr>
      <w:r w:rsidRPr="00615EFE">
        <w:rPr>
          <w:noProof/>
        </w:rPr>
        <w:t xml:space="preserve">In the </w:t>
      </w:r>
      <w:r w:rsidR="00B51D5C" w:rsidRPr="00C407B8">
        <w:rPr>
          <w:noProof/>
        </w:rPr>
        <w:t>consultation activities, many stakeholders highlighted the importance of reliable company data. The importance of adequate checks to ensure the reliability of company data in business registers was in particular underlined by legal professionals</w:t>
      </w:r>
      <w:r w:rsidR="008F0338" w:rsidRPr="00C407B8">
        <w:rPr>
          <w:noProof/>
        </w:rPr>
        <w:t>, including notaries</w:t>
      </w:r>
      <w:r w:rsidR="00B51D5C" w:rsidRPr="00C407B8">
        <w:rPr>
          <w:noProof/>
        </w:rPr>
        <w:t xml:space="preserve">. Consultation activities also confirmed that companies, including SMEs, face difficulties when using the information that is already in their national business register, when dealing with </w:t>
      </w:r>
      <w:r w:rsidR="00B51D5C" w:rsidRPr="00B51D5C">
        <w:rPr>
          <w:noProof/>
        </w:rPr>
        <w:t>competent authorities or in court proceedings or when setting up subsidiaries or branches in</w:t>
      </w:r>
      <w:r w:rsidR="00B51D5C" w:rsidRPr="00C407B8">
        <w:rPr>
          <w:noProof/>
        </w:rPr>
        <w:t xml:space="preserve"> another Member State, in particular due to the need to provide a certified translation of company documents and get company documents legalised (apostille). Stakeholders in general expressed support for the planned measures to facilitate the cross-border use of company data. For example, many respondents, in particular SMEs, considered that not needing to resubmit information when setting up subsidiaries/branches </w:t>
      </w:r>
      <w:r w:rsidR="00E41D06">
        <w:rPr>
          <w:noProof/>
        </w:rPr>
        <w:t>in another Member State</w:t>
      </w:r>
      <w:r w:rsidR="00B51D5C" w:rsidRPr="00C407B8">
        <w:rPr>
          <w:noProof/>
        </w:rPr>
        <w:t xml:space="preserve"> or having a common company extract would reduce administrative costs. Consultations with practising lawyers specialised in company law also confirmed that the application of the once-only principle and abolishment of formalities would reduce costs and the time needed for procedures. Legal professionals, including notaries, supported the idea of a common company extract.</w:t>
      </w:r>
    </w:p>
    <w:p w14:paraId="5E29275C" w14:textId="77777777" w:rsidR="00AB631B" w:rsidRPr="00C407B8" w:rsidRDefault="00AB631B" w:rsidP="00AB631B">
      <w:pPr>
        <w:rPr>
          <w:noProof/>
        </w:rPr>
      </w:pPr>
      <w:r w:rsidRPr="00C407B8">
        <w:rPr>
          <w:noProof/>
        </w:rPr>
        <w:t xml:space="preserve">The Commission also organised a number of bilateral meetings with key stakeholders in the area of company law representing businesses, legal professionals and employees to discuss issues of most relevance to them. It also organised a number of interviews with legal professionals working in the field of company law, which yielded concrete examples of administrative burden, costs and time needed for procedures, together with practical needs for improvement. </w:t>
      </w:r>
    </w:p>
    <w:p w14:paraId="6BD7ED34" w14:textId="77777777" w:rsidR="00E76795" w:rsidRPr="00615EFE" w:rsidRDefault="22252CF5" w:rsidP="00615EFE">
      <w:pPr>
        <w:rPr>
          <w:noProof/>
        </w:rPr>
      </w:pPr>
      <w:r w:rsidRPr="00615EFE">
        <w:rPr>
          <w:noProof/>
        </w:rPr>
        <w:t>In 2021-2022</w:t>
      </w:r>
      <w:r w:rsidR="00B259B2" w:rsidRPr="00C407B8">
        <w:rPr>
          <w:noProof/>
        </w:rPr>
        <w:t>, three meetings of the Company Law Expert Group (CLEG)</w:t>
      </w:r>
      <w:r w:rsidR="00B259B2" w:rsidRPr="00EC6C35">
        <w:rPr>
          <w:rStyle w:val="FootnoteReference"/>
          <w:noProof/>
        </w:rPr>
        <w:footnoteReference w:id="32"/>
      </w:r>
      <w:r w:rsidR="00B259B2" w:rsidRPr="00C407B8">
        <w:rPr>
          <w:noProof/>
        </w:rPr>
        <w:t>, bringing together Member State representatives from ministries responsible for company law, took place to discuss the main policy issues part of the Upgrading digital company law initiative</w:t>
      </w:r>
      <w:r w:rsidR="00B259B2" w:rsidRPr="00EC6C35">
        <w:rPr>
          <w:rStyle w:val="FootnoteReference"/>
          <w:noProof/>
        </w:rPr>
        <w:footnoteReference w:id="33"/>
      </w:r>
      <w:r w:rsidR="00B259B2" w:rsidRPr="00C407B8">
        <w:rPr>
          <w:noProof/>
        </w:rPr>
        <w:t xml:space="preserve">. In general, Member States’ experts were open and expressed support for the measures planned under this proposal. Member States in general considered improving the transparency of company data important and supported the extension of company data available in BRIS. </w:t>
      </w:r>
      <w:r w:rsidR="705871AB" w:rsidRPr="00615EFE">
        <w:rPr>
          <w:noProof/>
        </w:rPr>
        <w:t xml:space="preserve">The linking of different systems of </w:t>
      </w:r>
      <w:r w:rsidR="003966F9" w:rsidRPr="00C407B8">
        <w:rPr>
          <w:noProof/>
        </w:rPr>
        <w:t xml:space="preserve">interconnection of registers with BRIS was considered useful. In discussions, Member States raised questions about the potential impact on national business registers and saw some challenges here; they also asked about the relationship between the proposed measures and existing EU and national rules. In general, Member States also acknowledged the importance of reliable company data and expressed their views on how the </w:t>
      </w:r>
      <w:r w:rsidR="003966F9" w:rsidRPr="008F0338">
        <w:rPr>
          <w:i/>
          <w:noProof/>
        </w:rPr>
        <w:t>ex</w:t>
      </w:r>
      <w:r w:rsidR="003966F9" w:rsidRPr="008F0338" w:rsidDel="00255708">
        <w:rPr>
          <w:i/>
          <w:noProof/>
        </w:rPr>
        <w:t>-</w:t>
      </w:r>
      <w:r w:rsidR="003966F9" w:rsidRPr="008F0338">
        <w:rPr>
          <w:i/>
          <w:noProof/>
        </w:rPr>
        <w:t>ante</w:t>
      </w:r>
      <w:r w:rsidR="003966F9" w:rsidRPr="00C407B8">
        <w:rPr>
          <w:noProof/>
        </w:rPr>
        <w:t xml:space="preserve"> checks of company information should look given the national checks already in place. There was support from many Member States for the measures to facilitate the cross-border use of company information (</w:t>
      </w:r>
      <w:r w:rsidR="003966F9">
        <w:rPr>
          <w:noProof/>
        </w:rPr>
        <w:t xml:space="preserve">e.g. </w:t>
      </w:r>
      <w:r w:rsidR="003966F9" w:rsidRPr="00C407B8">
        <w:rPr>
          <w:noProof/>
        </w:rPr>
        <w:t xml:space="preserve">introduction of the once-only principle for setting up cross-border subsidiaries and branches, the common company extract and abolishing legalisation formalities). Member States also provided comments on these issues, e.g. on the information to be included in the common company extract or the importance of company documents being certified by registers. </w:t>
      </w:r>
      <w:r w:rsidR="32C79B74" w:rsidRPr="00615EFE">
        <w:rPr>
          <w:noProof/>
        </w:rPr>
        <w:t xml:space="preserve"> </w:t>
      </w:r>
    </w:p>
    <w:p w14:paraId="55B3DC99" w14:textId="77777777" w:rsidR="00573A63" w:rsidRDefault="00573A63" w:rsidP="00660ED3">
      <w:pPr>
        <w:pStyle w:val="ManualHeading2"/>
        <w:rPr>
          <w:rFonts w:eastAsia="Arial Unicode MS"/>
          <w:noProof/>
          <w:u w:color="000000"/>
          <w:bdr w:val="nil"/>
          <w:lang w:val="en-US" w:eastAsia="en-GB"/>
        </w:rPr>
      </w:pPr>
      <w:bookmarkStart w:id="44" w:name="_Toc126762666"/>
      <w:bookmarkStart w:id="45" w:name="_Toc126826578"/>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bookmarkEnd w:id="44"/>
      <w:bookmarkEnd w:id="45"/>
    </w:p>
    <w:p w14:paraId="7022CB65" w14:textId="77777777" w:rsidR="00110F80" w:rsidRPr="00C407B8" w:rsidRDefault="6E101F34" w:rsidP="00110F80">
      <w:pPr>
        <w:rPr>
          <w:noProof/>
        </w:rPr>
      </w:pPr>
      <w:r w:rsidRPr="00615EFE">
        <w:rPr>
          <w:noProof/>
        </w:rPr>
        <w:t xml:space="preserve">The </w:t>
      </w:r>
      <w:bookmarkStart w:id="46" w:name="_Toc126762667"/>
      <w:bookmarkStart w:id="47" w:name="_Toc126826579"/>
      <w:r w:rsidR="00110F80" w:rsidRPr="00C407B8">
        <w:rPr>
          <w:noProof/>
        </w:rPr>
        <w:t>Commission also used the results of an external contractor study</w:t>
      </w:r>
      <w:r w:rsidR="00110F80" w:rsidRPr="00EC6C35">
        <w:rPr>
          <w:rStyle w:val="FootnoteReference"/>
          <w:noProof/>
        </w:rPr>
        <w:footnoteReference w:id="34"/>
      </w:r>
      <w:r w:rsidR="00110F80" w:rsidRPr="00C407B8">
        <w:rPr>
          <w:noProof/>
        </w:rPr>
        <w:t>, carried out to help gather evidence for this initiative. It included a legal mapping of the national company law systems of all Member States, targeted e-surveys, including two virtual workshops</w:t>
      </w:r>
      <w:r w:rsidR="00110F80" w:rsidRPr="00C407B8" w:rsidDel="00A90216">
        <w:rPr>
          <w:noProof/>
        </w:rPr>
        <w:t xml:space="preserve">, </w:t>
      </w:r>
      <w:r w:rsidR="00110F80" w:rsidRPr="00C407B8">
        <w:rPr>
          <w:noProof/>
        </w:rPr>
        <w:t xml:space="preserve">and the qualitative and quantitative assessment of the impacts of potential measures. </w:t>
      </w:r>
    </w:p>
    <w:p w14:paraId="01E1DE87" w14:textId="77777777" w:rsidR="00110F80" w:rsidRPr="00C407B8" w:rsidRDefault="00110F80" w:rsidP="00110F80">
      <w:pPr>
        <w:rPr>
          <w:noProof/>
        </w:rPr>
      </w:pPr>
      <w:r w:rsidRPr="00C407B8">
        <w:rPr>
          <w:noProof/>
        </w:rPr>
        <w:t>The Informal Company Law Expert Group consisting of 17 company law academics and practitioners from 12 Member States and European Free Trade Association countries drew up two reports on issues relevant to this initiative, on transparency of company law data and on the cross-border use of company data</w:t>
      </w:r>
      <w:r w:rsidRPr="00EC6C35">
        <w:rPr>
          <w:rStyle w:val="FootnoteReference"/>
          <w:noProof/>
        </w:rPr>
        <w:footnoteReference w:id="35"/>
      </w:r>
      <w:r w:rsidRPr="00C407B8">
        <w:rPr>
          <w:noProof/>
        </w:rPr>
        <w:t xml:space="preserve">. </w:t>
      </w:r>
    </w:p>
    <w:p w14:paraId="512285D5" w14:textId="77777777" w:rsidR="00573A63" w:rsidRDefault="00573A63" w:rsidP="00110F80">
      <w:pPr>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C20C37">
        <w:rPr>
          <w:rFonts w:eastAsia="Arial Unicode MS"/>
          <w:b/>
          <w:noProof/>
          <w:u w:color="000000"/>
          <w:bdr w:val="nil"/>
          <w:lang w:val="en-US" w:eastAsia="en-GB"/>
        </w:rPr>
        <w:t>Impact assessment</w:t>
      </w:r>
      <w:bookmarkEnd w:id="46"/>
      <w:bookmarkEnd w:id="47"/>
    </w:p>
    <w:p w14:paraId="34751D57" w14:textId="77777777" w:rsidR="004617E8" w:rsidRPr="002648F8" w:rsidRDefault="5C12CE08" w:rsidP="002648F8">
      <w:pPr>
        <w:spacing w:after="80"/>
        <w:rPr>
          <w:noProof/>
        </w:rPr>
      </w:pPr>
      <w:r>
        <w:rPr>
          <w:rFonts w:eastAsia="Arial Unicode MS"/>
          <w:noProof/>
        </w:rPr>
        <w:t xml:space="preserve">The impact assessment for this proposal was examined by the Regulatory Scrutiny Board on </w:t>
      </w:r>
      <w:r w:rsidRPr="002648F8">
        <w:rPr>
          <w:noProof/>
        </w:rPr>
        <w:t>12 October 2022</w:t>
      </w:r>
      <w:r w:rsidR="007936F3">
        <w:rPr>
          <w:noProof/>
        </w:rPr>
        <w:t>.</w:t>
      </w:r>
      <w:r w:rsidRPr="002648F8">
        <w:rPr>
          <w:noProof/>
        </w:rPr>
        <w:t xml:space="preserve"> </w:t>
      </w:r>
      <w:r w:rsidR="007936F3">
        <w:rPr>
          <w:noProof/>
        </w:rPr>
        <w:t>A</w:t>
      </w:r>
      <w:r w:rsidRPr="002648F8">
        <w:rPr>
          <w:noProof/>
        </w:rPr>
        <w:t xml:space="preserve"> positive opinion </w:t>
      </w:r>
      <w:r w:rsidR="00863348">
        <w:rPr>
          <w:noProof/>
        </w:rPr>
        <w:t xml:space="preserve">with reservations </w:t>
      </w:r>
      <w:r w:rsidRPr="002648F8">
        <w:rPr>
          <w:noProof/>
        </w:rPr>
        <w:t>was received on 14 October</w:t>
      </w:r>
      <w:r w:rsidR="00040421" w:rsidRPr="00EC6C35">
        <w:rPr>
          <w:rStyle w:val="FootnoteReference"/>
          <w:noProof/>
        </w:rPr>
        <w:footnoteReference w:id="36"/>
      </w:r>
      <w:r w:rsidR="00110F80">
        <w:rPr>
          <w:noProof/>
        </w:rPr>
        <w:t>,</w:t>
      </w:r>
      <w:r w:rsidR="00F06A60">
        <w:rPr>
          <w:noProof/>
        </w:rPr>
        <w:t xml:space="preserve"> </w:t>
      </w:r>
      <w:r w:rsidR="00863348">
        <w:rPr>
          <w:noProof/>
        </w:rPr>
        <w:t>and the recommendation</w:t>
      </w:r>
      <w:r w:rsidR="00110F80">
        <w:rPr>
          <w:noProof/>
        </w:rPr>
        <w:t>s</w:t>
      </w:r>
      <w:r w:rsidR="00863348">
        <w:rPr>
          <w:noProof/>
        </w:rPr>
        <w:t xml:space="preserve"> from the Board </w:t>
      </w:r>
      <w:r w:rsidR="00F06A60">
        <w:rPr>
          <w:noProof/>
        </w:rPr>
        <w:t>were duly addressed in the final version of the impact assessment</w:t>
      </w:r>
      <w:r w:rsidRPr="002648F8">
        <w:rPr>
          <w:noProof/>
        </w:rPr>
        <w:t xml:space="preserve">. </w:t>
      </w:r>
    </w:p>
    <w:p w14:paraId="0BF35EBC" w14:textId="77777777" w:rsidR="0013239F" w:rsidRDefault="001C43F9" w:rsidP="00C05C18">
      <w:pPr>
        <w:spacing w:after="80"/>
        <w:rPr>
          <w:noProof/>
        </w:rPr>
      </w:pPr>
      <w:r>
        <w:rPr>
          <w:noProof/>
        </w:rPr>
        <w:t>Th</w:t>
      </w:r>
      <w:r w:rsidR="00CB57FD">
        <w:rPr>
          <w:noProof/>
        </w:rPr>
        <w:t xml:space="preserve">e impact assessment analysed </w:t>
      </w:r>
      <w:r>
        <w:rPr>
          <w:noProof/>
        </w:rPr>
        <w:t xml:space="preserve">policy options </w:t>
      </w:r>
      <w:r w:rsidR="00BC5A47">
        <w:rPr>
          <w:noProof/>
        </w:rPr>
        <w:t xml:space="preserve">under </w:t>
      </w:r>
      <w:r w:rsidR="00CB57FD">
        <w:rPr>
          <w:noProof/>
        </w:rPr>
        <w:t xml:space="preserve">four </w:t>
      </w:r>
      <w:r w:rsidR="00BC5A47">
        <w:rPr>
          <w:noProof/>
        </w:rPr>
        <w:t xml:space="preserve">main </w:t>
      </w:r>
      <w:r w:rsidR="00CB57FD">
        <w:rPr>
          <w:noProof/>
        </w:rPr>
        <w:t>areas</w:t>
      </w:r>
      <w:r w:rsidR="00BC5A47">
        <w:rPr>
          <w:noProof/>
        </w:rPr>
        <w:t xml:space="preserve"> </w:t>
      </w:r>
      <w:r w:rsidR="00110F80" w:rsidRPr="00C407B8">
        <w:rPr>
          <w:noProof/>
        </w:rPr>
        <w:t xml:space="preserve">relevant to this initiative. Three policy options were assessed to </w:t>
      </w:r>
      <w:r w:rsidR="00110F80" w:rsidRPr="00036539">
        <w:rPr>
          <w:b/>
          <w:noProof/>
        </w:rPr>
        <w:t>make more company data available in business registers and/or BRIS</w:t>
      </w:r>
      <w:r w:rsidR="00110F80" w:rsidRPr="00036539">
        <w:rPr>
          <w:noProof/>
        </w:rPr>
        <w:t xml:space="preserve">, </w:t>
      </w:r>
      <w:r w:rsidR="00110F80" w:rsidRPr="00C407B8">
        <w:rPr>
          <w:noProof/>
        </w:rPr>
        <w:t>consisting of different clusters of company data and varying in terms of whether data is already available in business registers or not as well as in terms of scope, i.e. the number of companies covered. The preferred option was to m</w:t>
      </w:r>
      <w:r w:rsidR="00110F80" w:rsidRPr="00C407B8">
        <w:rPr>
          <w:rFonts w:eastAsia="Courier New"/>
          <w:noProof/>
        </w:rPr>
        <w:t xml:space="preserve">ake available information about partnerships, third country company branches, cross-border group structures and ownership, place of management and </w:t>
      </w:r>
      <w:r w:rsidR="00110F80" w:rsidRPr="00C407B8" w:rsidDel="003C338C">
        <w:rPr>
          <w:rFonts w:eastAsia="Courier New"/>
          <w:noProof/>
        </w:rPr>
        <w:t xml:space="preserve">of </w:t>
      </w:r>
      <w:r w:rsidR="00110F80" w:rsidRPr="00C407B8">
        <w:rPr>
          <w:rFonts w:eastAsia="Courier New"/>
          <w:noProof/>
        </w:rPr>
        <w:t xml:space="preserve">the main economic activity in national registers/BRIS. Two options were assessed to </w:t>
      </w:r>
      <w:r w:rsidR="00110F80" w:rsidRPr="00C407B8">
        <w:rPr>
          <w:rFonts w:eastAsia="Courier New"/>
          <w:b/>
          <w:noProof/>
        </w:rPr>
        <w:t xml:space="preserve">interconnect BRIS with other EU-level systems of interconnection of registers and enable better searches. </w:t>
      </w:r>
      <w:r w:rsidR="00110F80" w:rsidRPr="00C407B8">
        <w:rPr>
          <w:rFonts w:eastAsia="Courier New"/>
          <w:noProof/>
        </w:rPr>
        <w:t>The preferred option was to</w:t>
      </w:r>
      <w:r w:rsidR="00110F80" w:rsidRPr="00C407B8">
        <w:rPr>
          <w:rFonts w:eastAsia="Courier New"/>
          <w:b/>
          <w:noProof/>
        </w:rPr>
        <w:t xml:space="preserve"> </w:t>
      </w:r>
      <w:r w:rsidR="00110F80" w:rsidRPr="00C407B8">
        <w:rPr>
          <w:rFonts w:eastAsia="Courier New"/>
          <w:noProof/>
        </w:rPr>
        <w:t xml:space="preserve">connect BRIS with the BORIS and IRI systems, use the European unique company identifier, and introduce new search functionalities in BRIS. Two options were assessed to </w:t>
      </w:r>
      <w:r w:rsidR="00110F80" w:rsidRPr="00C407B8">
        <w:rPr>
          <w:rFonts w:eastAsia="Courier New"/>
          <w:b/>
          <w:noProof/>
        </w:rPr>
        <w:t>ensure an adequate verification of company data before it is entered into the business register</w:t>
      </w:r>
      <w:r w:rsidR="00110F80" w:rsidRPr="00C407B8">
        <w:rPr>
          <w:rFonts w:eastAsia="Courier New"/>
          <w:noProof/>
        </w:rPr>
        <w:t xml:space="preserve">. The preferred option was to introduce an obligation to check a harmonised list of elements and some common basic procedural requirements for ensuring reliable and up-to-date company data. </w:t>
      </w:r>
      <w:r w:rsidR="00036539" w:rsidRPr="00C407B8">
        <w:rPr>
          <w:rFonts w:eastAsia="Courier New"/>
          <w:noProof/>
        </w:rPr>
        <w:t xml:space="preserve">Furthermore, three options were assessed to </w:t>
      </w:r>
      <w:r w:rsidR="00036539" w:rsidRPr="00036539">
        <w:rPr>
          <w:b/>
          <w:noProof/>
        </w:rPr>
        <w:t>enable direct cross-border use of company data from business registers in cross-border situations</w:t>
      </w:r>
      <w:r w:rsidR="00036539" w:rsidRPr="00036539">
        <w:rPr>
          <w:noProof/>
        </w:rPr>
        <w:t>. The preferred option was to introduce the use of the o</w:t>
      </w:r>
      <w:r w:rsidR="00036539" w:rsidRPr="00C407B8">
        <w:rPr>
          <w:rFonts w:eastAsia="Courier New"/>
          <w:noProof/>
        </w:rPr>
        <w:t xml:space="preserve">nce-only principle for setting up subsidiaries or branches in another Member State, provide a harmonised company extract in the EU, ensure mutual recognition of certain company data, and abolish formalities (apostille). </w:t>
      </w:r>
      <w:r w:rsidR="00036539" w:rsidRPr="00C407B8">
        <w:rPr>
          <w:noProof/>
        </w:rPr>
        <w:t xml:space="preserve">The </w:t>
      </w:r>
      <w:r w:rsidR="00036539" w:rsidRPr="00C407B8">
        <w:rPr>
          <w:b/>
          <w:noProof/>
        </w:rPr>
        <w:t>overall preferred policy option</w:t>
      </w:r>
      <w:r w:rsidR="00036539" w:rsidRPr="00C407B8">
        <w:rPr>
          <w:noProof/>
        </w:rPr>
        <w:t xml:space="preserve"> consisted of a package of the chosen measures under each of the four main issues. These were seen as mutually reinforcing and are therefore all necessary to best address the objectives of this proposal. For instance, the package would not only make more company data available and more easily accessible across the EU, but would also ensure that such data is more reliable. This in turn would be the prerequisite for enabling the direct use of such data across the </w:t>
      </w:r>
      <w:r w:rsidR="004C4BCE">
        <w:rPr>
          <w:noProof/>
        </w:rPr>
        <w:t>single market</w:t>
      </w:r>
      <w:r w:rsidR="00036539" w:rsidRPr="00C407B8">
        <w:rPr>
          <w:noProof/>
        </w:rPr>
        <w:t>.</w:t>
      </w:r>
    </w:p>
    <w:p w14:paraId="12861AC1" w14:textId="77777777" w:rsidR="00BD7050" w:rsidRPr="00C407B8" w:rsidRDefault="00BD7050" w:rsidP="00BD7050">
      <w:pPr>
        <w:spacing w:after="80"/>
        <w:rPr>
          <w:noProof/>
        </w:rPr>
      </w:pPr>
      <w:r w:rsidRPr="00C407B8">
        <w:rPr>
          <w:noProof/>
        </w:rPr>
        <w:t xml:space="preserve">The package of preferred measures, by making more company data publicly available in business registers and at EU level through BRIS and improving its reliability, is expected to reduce the administrative burden on </w:t>
      </w:r>
      <w:r w:rsidRPr="00C407B8">
        <w:rPr>
          <w:b/>
          <w:noProof/>
        </w:rPr>
        <w:t>companies</w:t>
      </w:r>
      <w:r w:rsidRPr="00C407B8">
        <w:rPr>
          <w:noProof/>
        </w:rPr>
        <w:t xml:space="preserve"> overall and in turn make it easier to access finance and set up businesses. In addition, facilitation of the cross-border use of such data when setting up new subsidiaries or branches </w:t>
      </w:r>
      <w:r>
        <w:rPr>
          <w:noProof/>
        </w:rPr>
        <w:t>in another Member State</w:t>
      </w:r>
      <w:r w:rsidRPr="00C407B8">
        <w:rPr>
          <w:noProof/>
        </w:rPr>
        <w:t xml:space="preserve"> or in other cross-border situations, including administrative or court procedures, is expected to result in significant recurrent cost savings. As a result, it should make it much easier to conduct cross-border business activities and facilitate access to other Member States’ markets. </w:t>
      </w:r>
    </w:p>
    <w:p w14:paraId="3DBD2A64" w14:textId="77777777" w:rsidR="00412343" w:rsidRPr="00C407B8" w:rsidRDefault="00412343" w:rsidP="00412343">
      <w:pPr>
        <w:spacing w:after="80"/>
        <w:rPr>
          <w:noProof/>
        </w:rPr>
      </w:pPr>
      <w:r w:rsidRPr="00C407B8">
        <w:rPr>
          <w:noProof/>
        </w:rPr>
        <w:t>The recurrent cost savings (administrative burden reduction) for</w:t>
      </w:r>
      <w:r w:rsidR="00656432" w:rsidRPr="00C407B8">
        <w:rPr>
          <w:noProof/>
        </w:rPr>
        <w:t xml:space="preserve"> </w:t>
      </w:r>
      <w:r w:rsidRPr="00C407B8">
        <w:rPr>
          <w:noProof/>
        </w:rPr>
        <w:t xml:space="preserve">companies setting up new cross-border subsidiaries or branches and for all companies engaging in cross-border business activities is estimated at </w:t>
      </w:r>
      <w:r w:rsidR="007844C9">
        <w:rPr>
          <w:noProof/>
        </w:rPr>
        <w:t>around</w:t>
      </w:r>
      <w:r w:rsidRPr="00C407B8">
        <w:rPr>
          <w:noProof/>
        </w:rPr>
        <w:t xml:space="preserve"> EUR 437 million per year. At the same time, the package will result in one-off costs for certain companies, i.e. for those that currently do not file specific information with a register, estimated at around EUR 311 million. These will be limited by the fact that Member States for example should not apply the filing</w:t>
      </w:r>
      <w:r w:rsidR="00656432" w:rsidRPr="00C407B8">
        <w:rPr>
          <w:noProof/>
        </w:rPr>
        <w:t xml:space="preserve"> </w:t>
      </w:r>
      <w:r w:rsidR="005A7A75">
        <w:rPr>
          <w:noProof/>
        </w:rPr>
        <w:t>fees</w:t>
      </w:r>
      <w:r w:rsidRPr="00C407B8">
        <w:rPr>
          <w:noProof/>
        </w:rPr>
        <w:t xml:space="preserve"> separately for each </w:t>
      </w:r>
      <w:r w:rsidR="000E3BEF">
        <w:rPr>
          <w:noProof/>
        </w:rPr>
        <w:t xml:space="preserve">new item </w:t>
      </w:r>
      <w:r w:rsidRPr="00C407B8">
        <w:rPr>
          <w:noProof/>
        </w:rPr>
        <w:t xml:space="preserve">of </w:t>
      </w:r>
      <w:r w:rsidR="000E3BEF">
        <w:rPr>
          <w:noProof/>
        </w:rPr>
        <w:t xml:space="preserve">company </w:t>
      </w:r>
      <w:r w:rsidRPr="00C407B8">
        <w:rPr>
          <w:noProof/>
        </w:rPr>
        <w:t>data</w:t>
      </w:r>
      <w:r w:rsidR="000E3BEF">
        <w:rPr>
          <w:noProof/>
        </w:rPr>
        <w:t xml:space="preserve"> filed</w:t>
      </w:r>
      <w:r w:rsidRPr="00C407B8">
        <w:rPr>
          <w:noProof/>
        </w:rPr>
        <w:t xml:space="preserve">. The expected recurrent benefits for companies would therefore far outweigh the one-off costs, and the initiative will significantly reduce the administrative burden for companies in the single market. </w:t>
      </w:r>
    </w:p>
    <w:p w14:paraId="1D1014B9" w14:textId="77777777" w:rsidR="00C75799" w:rsidRPr="007F2427" w:rsidRDefault="00336BE1" w:rsidP="00C75799">
      <w:pPr>
        <w:rPr>
          <w:rFonts w:cstheme="minorHAnsi"/>
          <w:noProof/>
        </w:rPr>
      </w:pPr>
      <w:r w:rsidRPr="00C407B8">
        <w:rPr>
          <w:rFonts w:cstheme="minorHAnsi"/>
          <w:noProof/>
        </w:rPr>
        <w:t xml:space="preserve">This package is a continuation of developments related to digitalisation that have been taking place in company law up to now. </w:t>
      </w:r>
      <w:r w:rsidRPr="00C407B8">
        <w:rPr>
          <w:noProof/>
        </w:rPr>
        <w:t xml:space="preserve">The increased accessibility and reliability of company data, and better connections between </w:t>
      </w:r>
      <w:r w:rsidRPr="00C407B8">
        <w:rPr>
          <w:b/>
          <w:noProof/>
        </w:rPr>
        <w:t>business registers</w:t>
      </w:r>
      <w:r w:rsidRPr="00C407B8">
        <w:rPr>
          <w:noProof/>
        </w:rPr>
        <w:t xml:space="preserve"> thanks to the once-only principle and also connecting </w:t>
      </w:r>
      <w:r w:rsidRPr="00C407B8">
        <w:rPr>
          <w:rFonts w:eastAsia="Calibri"/>
          <w:noProof/>
        </w:rPr>
        <w:t xml:space="preserve">other EU-level </w:t>
      </w:r>
      <w:r w:rsidR="00D22454">
        <w:rPr>
          <w:rFonts w:eastAsia="Calibri"/>
          <w:noProof/>
        </w:rPr>
        <w:t xml:space="preserve">inter-connection </w:t>
      </w:r>
      <w:r w:rsidRPr="00C407B8">
        <w:rPr>
          <w:rFonts w:eastAsia="Calibri"/>
          <w:noProof/>
        </w:rPr>
        <w:t xml:space="preserve">systems </w:t>
      </w:r>
      <w:r w:rsidR="00D22454">
        <w:rPr>
          <w:rFonts w:eastAsia="Calibri"/>
          <w:noProof/>
        </w:rPr>
        <w:t xml:space="preserve">with </w:t>
      </w:r>
      <w:r w:rsidRPr="00C407B8">
        <w:rPr>
          <w:rFonts w:eastAsia="Calibri"/>
          <w:noProof/>
        </w:rPr>
        <w:t xml:space="preserve">BRIS, </w:t>
      </w:r>
      <w:r w:rsidRPr="00C407B8">
        <w:rPr>
          <w:noProof/>
        </w:rPr>
        <w:t xml:space="preserve">should facilitate the work of registers due to an easier search for company data from other Member States and less need to request </w:t>
      </w:r>
      <w:r w:rsidRPr="00FB5586">
        <w:rPr>
          <w:noProof/>
        </w:rPr>
        <w:t>documents from companies</w:t>
      </w:r>
      <w:r w:rsidRPr="00C407B8">
        <w:rPr>
          <w:rFonts w:cstheme="minorHAnsi"/>
          <w:noProof/>
        </w:rPr>
        <w:t xml:space="preserve">. Due to the need for business registers to adapt IT systems, the one-off costs of the package are estimated at around EUR 5.4 million for all business registers together. Recurrent costs, e.g. to carry out the </w:t>
      </w:r>
      <w:r w:rsidRPr="002E7D55">
        <w:rPr>
          <w:rFonts w:cstheme="minorHAnsi"/>
          <w:noProof/>
        </w:rPr>
        <w:t>ex</w:t>
      </w:r>
      <w:r w:rsidRPr="002E7D55" w:rsidDel="00255708">
        <w:rPr>
          <w:rFonts w:cstheme="minorHAnsi"/>
          <w:noProof/>
        </w:rPr>
        <w:t>-</w:t>
      </w:r>
      <w:r w:rsidRPr="002E7D55">
        <w:rPr>
          <w:rFonts w:cstheme="minorHAnsi"/>
          <w:noProof/>
        </w:rPr>
        <w:t>ante</w:t>
      </w:r>
      <w:r w:rsidRPr="00C407B8">
        <w:rPr>
          <w:rFonts w:cstheme="minorHAnsi"/>
          <w:noProof/>
        </w:rPr>
        <w:t xml:space="preserve"> verification of company data, are estimated at around EUR 4 million per year for all registers. However, Member States would be able to build on IT investments already done for BRIS in recent</w:t>
      </w:r>
      <w:r w:rsidR="00C75799" w:rsidRPr="007F2427">
        <w:rPr>
          <w:rFonts w:cstheme="minorHAnsi"/>
          <w:noProof/>
        </w:rPr>
        <w:t xml:space="preserve"> years</w:t>
      </w:r>
      <w:r w:rsidR="00C75799">
        <w:rPr>
          <w:rFonts w:cstheme="minorHAnsi"/>
          <w:noProof/>
        </w:rPr>
        <w:t>, and a</w:t>
      </w:r>
      <w:r w:rsidR="00C75799" w:rsidRPr="00ED51CD">
        <w:rPr>
          <w:rFonts w:cstheme="minorHAnsi"/>
          <w:noProof/>
        </w:rPr>
        <w:t xml:space="preserve">djustment costs </w:t>
      </w:r>
      <w:r w:rsidR="00C75799">
        <w:rPr>
          <w:rFonts w:cstheme="minorHAnsi"/>
          <w:noProof/>
        </w:rPr>
        <w:t xml:space="preserve">for verification should </w:t>
      </w:r>
      <w:r w:rsidR="00C75799" w:rsidRPr="00ED51CD">
        <w:rPr>
          <w:rFonts w:cstheme="minorHAnsi"/>
          <w:noProof/>
        </w:rPr>
        <w:t xml:space="preserve">be limited </w:t>
      </w:r>
      <w:r w:rsidR="00C75799">
        <w:rPr>
          <w:rFonts w:cstheme="minorHAnsi"/>
          <w:noProof/>
        </w:rPr>
        <w:t>given the ex-ante checks already in place</w:t>
      </w:r>
      <w:r w:rsidR="006C5E05">
        <w:rPr>
          <w:rFonts w:cstheme="minorHAnsi"/>
          <w:noProof/>
        </w:rPr>
        <w:t xml:space="preserve"> in many Member States</w:t>
      </w:r>
      <w:r w:rsidR="00C75799" w:rsidRPr="00ED51CD">
        <w:rPr>
          <w:rFonts w:cstheme="minorHAnsi"/>
          <w:noProof/>
        </w:rPr>
        <w:t>. It is also likely that there will be some loss of revenue for registers, which charge fees for company extracts</w:t>
      </w:r>
      <w:r w:rsidR="00C75799">
        <w:rPr>
          <w:rFonts w:cstheme="minorHAnsi"/>
          <w:noProof/>
        </w:rPr>
        <w:t xml:space="preserve"> for cross-border use</w:t>
      </w:r>
      <w:r w:rsidR="00C75799" w:rsidRPr="00ED51CD">
        <w:rPr>
          <w:rFonts w:cstheme="minorHAnsi"/>
          <w:noProof/>
        </w:rPr>
        <w:t xml:space="preserve">, estimated at around EUR 7.9 million for all registers. </w:t>
      </w:r>
    </w:p>
    <w:p w14:paraId="0CF7C13F" w14:textId="77777777" w:rsidR="000740C4" w:rsidRPr="00C407B8" w:rsidRDefault="000740C4" w:rsidP="000740C4">
      <w:pPr>
        <w:spacing w:after="80"/>
        <w:rPr>
          <w:rFonts w:cstheme="minorHAnsi"/>
          <w:noProof/>
        </w:rPr>
      </w:pPr>
      <w:r w:rsidRPr="00C407B8">
        <w:rPr>
          <w:rFonts w:eastAsia="Calibri" w:cstheme="minorHAnsi"/>
          <w:noProof/>
        </w:rPr>
        <w:t xml:space="preserve">As to the other </w:t>
      </w:r>
      <w:r w:rsidRPr="00C407B8">
        <w:rPr>
          <w:rFonts w:eastAsia="Calibri" w:cstheme="minorHAnsi"/>
          <w:b/>
          <w:noProof/>
        </w:rPr>
        <w:t>authorities</w:t>
      </w:r>
      <w:r w:rsidRPr="00C407B8">
        <w:rPr>
          <w:rFonts w:eastAsia="Calibri" w:cstheme="minorHAnsi"/>
          <w:noProof/>
        </w:rPr>
        <w:t xml:space="preserve">, </w:t>
      </w:r>
      <w:r w:rsidRPr="00C407B8">
        <w:rPr>
          <w:rFonts w:cstheme="minorHAnsi"/>
          <w:noProof/>
        </w:rPr>
        <w:t xml:space="preserve">easier access to more sets of reliable company data would </w:t>
      </w:r>
      <w:r w:rsidR="00920D3C">
        <w:rPr>
          <w:rFonts w:cstheme="minorHAnsi"/>
          <w:noProof/>
        </w:rPr>
        <w:t xml:space="preserve">facilitate also their work </w:t>
      </w:r>
      <w:r w:rsidRPr="00C407B8">
        <w:rPr>
          <w:rFonts w:cstheme="minorHAnsi"/>
          <w:noProof/>
        </w:rPr>
        <w:t>as t</w:t>
      </w:r>
      <w:r w:rsidRPr="00C407B8">
        <w:rPr>
          <w:rFonts w:eastAsia="Calibri" w:cstheme="minorHAnsi"/>
          <w:noProof/>
        </w:rPr>
        <w:t xml:space="preserve">hey </w:t>
      </w:r>
      <w:r w:rsidRPr="00C407B8" w:rsidDel="00B7603C">
        <w:rPr>
          <w:rFonts w:eastAsia="Calibri" w:cstheme="minorHAnsi"/>
          <w:noProof/>
        </w:rPr>
        <w:t xml:space="preserve">could </w:t>
      </w:r>
      <w:r w:rsidRPr="00C407B8" w:rsidDel="00B7603C">
        <w:rPr>
          <w:rFonts w:cstheme="minorHAnsi"/>
          <w:noProof/>
        </w:rPr>
        <w:t>consult</w:t>
      </w:r>
      <w:r w:rsidRPr="00C407B8" w:rsidDel="00B7603C">
        <w:rPr>
          <w:rFonts w:eastAsia="Calibri" w:cstheme="minorHAnsi"/>
          <w:noProof/>
        </w:rPr>
        <w:t xml:space="preserve"> company </w:t>
      </w:r>
      <w:r w:rsidRPr="00C407B8">
        <w:rPr>
          <w:rFonts w:eastAsia="Calibri" w:cstheme="minorHAnsi"/>
          <w:noProof/>
        </w:rPr>
        <w:t xml:space="preserve">data </w:t>
      </w:r>
      <w:r w:rsidRPr="00C407B8" w:rsidDel="00B7603C">
        <w:rPr>
          <w:rFonts w:eastAsia="Calibri" w:cstheme="minorHAnsi"/>
          <w:noProof/>
        </w:rPr>
        <w:t>directly in business register</w:t>
      </w:r>
      <w:r w:rsidRPr="00C407B8">
        <w:rPr>
          <w:rFonts w:eastAsia="Calibri" w:cstheme="minorHAnsi"/>
          <w:noProof/>
        </w:rPr>
        <w:t>s</w:t>
      </w:r>
      <w:r w:rsidRPr="00C407B8" w:rsidDel="00B7603C">
        <w:rPr>
          <w:rFonts w:eastAsia="Calibri" w:cstheme="minorHAnsi"/>
          <w:noProof/>
        </w:rPr>
        <w:t xml:space="preserve"> and BRIS</w:t>
      </w:r>
      <w:r w:rsidRPr="00C407B8">
        <w:rPr>
          <w:rFonts w:eastAsia="Calibri" w:cstheme="minorHAnsi"/>
          <w:noProof/>
        </w:rPr>
        <w:t xml:space="preserve"> and require fewer documents from companies, resulting in some savings. Although </w:t>
      </w:r>
      <w:r w:rsidRPr="00FB5586">
        <w:rPr>
          <w:rFonts w:cstheme="minorHAnsi"/>
          <w:noProof/>
        </w:rPr>
        <w:t xml:space="preserve">authorities in charge of issuing apostilles will lose revenue, estimated at EUR 9.5 million per year, </w:t>
      </w:r>
      <w:r w:rsidRPr="00C407B8">
        <w:rPr>
          <w:rFonts w:cstheme="minorHAnsi"/>
          <w:noProof/>
        </w:rPr>
        <w:t xml:space="preserve">abolishing the apostille is expected to reduce the overall administrative burden given the current legal uncertainty and </w:t>
      </w:r>
      <w:r w:rsidR="00714D42">
        <w:rPr>
          <w:rFonts w:cstheme="minorHAnsi"/>
          <w:noProof/>
        </w:rPr>
        <w:t>the related human resources and time needed</w:t>
      </w:r>
      <w:r w:rsidRPr="00C407B8">
        <w:rPr>
          <w:rFonts w:cstheme="minorHAnsi"/>
          <w:noProof/>
        </w:rPr>
        <w:t xml:space="preserve"> to issu</w:t>
      </w:r>
      <w:r w:rsidR="00E0075F">
        <w:rPr>
          <w:rFonts w:cstheme="minorHAnsi"/>
          <w:noProof/>
        </w:rPr>
        <w:t>e</w:t>
      </w:r>
      <w:r w:rsidRPr="00C407B8">
        <w:rPr>
          <w:rFonts w:cstheme="minorHAnsi"/>
          <w:noProof/>
        </w:rPr>
        <w:t xml:space="preserve"> it.</w:t>
      </w:r>
    </w:p>
    <w:p w14:paraId="17BD3EAB" w14:textId="77777777" w:rsidR="000740C4" w:rsidRPr="00FB5586" w:rsidRDefault="000740C4" w:rsidP="000740C4">
      <w:pPr>
        <w:spacing w:after="80"/>
        <w:rPr>
          <w:noProof/>
        </w:rPr>
      </w:pPr>
      <w:bookmarkStart w:id="48" w:name="_Toc126762668"/>
      <w:bookmarkStart w:id="49" w:name="_Toc126826580"/>
      <w:r w:rsidRPr="00C407B8">
        <w:rPr>
          <w:noProof/>
        </w:rPr>
        <w:t xml:space="preserve">The package is also expected to be highly beneficial for </w:t>
      </w:r>
      <w:r w:rsidRPr="00C407B8">
        <w:rPr>
          <w:b/>
          <w:noProof/>
        </w:rPr>
        <w:t>society in general</w:t>
      </w:r>
      <w:r w:rsidRPr="00C407B8">
        <w:rPr>
          <w:noProof/>
        </w:rPr>
        <w:t xml:space="preserve">, including consumers, due to its expected positive impact on providing more accessible and reliable company data across the EU. It will therefore allow consumers to make more informed choices when buying </w:t>
      </w:r>
      <w:r w:rsidR="00FB5586">
        <w:rPr>
          <w:noProof/>
        </w:rPr>
        <w:t xml:space="preserve">from </w:t>
      </w:r>
      <w:r w:rsidRPr="00C407B8">
        <w:rPr>
          <w:noProof/>
        </w:rPr>
        <w:t xml:space="preserve">or </w:t>
      </w:r>
      <w:r w:rsidR="00FB5586">
        <w:rPr>
          <w:noProof/>
        </w:rPr>
        <w:t xml:space="preserve">entering </w:t>
      </w:r>
      <w:r w:rsidRPr="00C407B8">
        <w:rPr>
          <w:noProof/>
        </w:rPr>
        <w:t>contract</w:t>
      </w:r>
      <w:r w:rsidR="00FB5586">
        <w:rPr>
          <w:noProof/>
        </w:rPr>
        <w:t>s</w:t>
      </w:r>
      <w:r w:rsidRPr="00C407B8">
        <w:rPr>
          <w:noProof/>
        </w:rPr>
        <w:t xml:space="preserve"> with companies from other Member States. More available, accessible and reliable cross-border company data will also facilitate the fight against abuse and fraud. This initiative will therefore help create a fairer single market.</w:t>
      </w:r>
    </w:p>
    <w:p w14:paraId="5219E31D" w14:textId="77777777" w:rsidR="00573A63" w:rsidRDefault="00573A63" w:rsidP="00660ED3">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bookmarkEnd w:id="48"/>
      <w:bookmarkEnd w:id="49"/>
    </w:p>
    <w:p w14:paraId="462AA3D4" w14:textId="77777777" w:rsidR="000D4032" w:rsidRDefault="009B5F10" w:rsidP="0016589C">
      <w:pPr>
        <w:pBdr>
          <w:top w:val="nil"/>
          <w:left w:val="nil"/>
          <w:bottom w:val="nil"/>
          <w:right w:val="nil"/>
          <w:between w:val="nil"/>
          <w:bar w:val="nil"/>
        </w:pBdr>
        <w:spacing w:before="0" w:after="240"/>
        <w:rPr>
          <w:noProof/>
          <w:szCs w:val="24"/>
        </w:rPr>
      </w:pPr>
      <w:r w:rsidRPr="00C407B8">
        <w:rPr>
          <w:noProof/>
        </w:rPr>
        <w:t xml:space="preserve">The proposal is expected to deliver considerable </w:t>
      </w:r>
      <w:r w:rsidRPr="009B5F10">
        <w:rPr>
          <w:b/>
          <w:bCs/>
          <w:noProof/>
        </w:rPr>
        <w:t>simplification</w:t>
      </w:r>
      <w:r w:rsidRPr="00C407B8">
        <w:rPr>
          <w:noProof/>
        </w:rPr>
        <w:t xml:space="preserve"> </w:t>
      </w:r>
      <w:r w:rsidRPr="00C407B8">
        <w:rPr>
          <w:b/>
          <w:bCs/>
          <w:noProof/>
        </w:rPr>
        <w:t>benefits to companies, and in particular SMEs</w:t>
      </w:r>
      <w:r w:rsidRPr="00C407B8">
        <w:rPr>
          <w:noProof/>
        </w:rPr>
        <w:t>. Easier access to company data and the removal of administrative and financial barriers</w:t>
      </w:r>
      <w:r w:rsidRPr="00C407B8">
        <w:rPr>
          <w:noProof/>
          <w:sz w:val="28"/>
          <w:szCs w:val="28"/>
        </w:rPr>
        <w:t xml:space="preserve"> </w:t>
      </w:r>
      <w:r w:rsidRPr="00C407B8">
        <w:rPr>
          <w:noProof/>
        </w:rPr>
        <w:t xml:space="preserve">for its cross-border use will benefit SMEs in particular as they do not have the financial and administrative resources of large companies. SMEs will also benefit considerably from greater legal certainty as they are more affected by unclear and complex rules than bigger companies. </w:t>
      </w:r>
      <w:r w:rsidR="0A49F027" w:rsidRPr="4FD204E9">
        <w:rPr>
          <w:noProof/>
        </w:rPr>
        <w:t>The initiative will also benefit start-ups, as it responds to the calls to facilitate the expansion of start-ups in the EU Start-up Nations Standard</w:t>
      </w:r>
      <w:r w:rsidR="0016589C" w:rsidRPr="00EC6C35">
        <w:rPr>
          <w:rStyle w:val="FootnoteReference"/>
          <w:noProof/>
        </w:rPr>
        <w:footnoteReference w:id="37"/>
      </w:r>
      <w:r w:rsidR="0A49F027" w:rsidRPr="0016589C">
        <w:rPr>
          <w:noProof/>
          <w:szCs w:val="24"/>
        </w:rPr>
        <w:t>.</w:t>
      </w:r>
      <w:r w:rsidR="3F70FDF0">
        <w:rPr>
          <w:noProof/>
          <w:szCs w:val="24"/>
        </w:rPr>
        <w:t xml:space="preserve"> </w:t>
      </w:r>
    </w:p>
    <w:p w14:paraId="6CDBE31D" w14:textId="77777777" w:rsidR="0016589C" w:rsidRDefault="00694695" w:rsidP="0016589C">
      <w:pPr>
        <w:pBdr>
          <w:top w:val="nil"/>
          <w:left w:val="nil"/>
          <w:bottom w:val="nil"/>
          <w:right w:val="nil"/>
          <w:between w:val="nil"/>
          <w:bar w:val="nil"/>
        </w:pBdr>
        <w:spacing w:before="0" w:after="240"/>
        <w:rPr>
          <w:noProof/>
        </w:rPr>
      </w:pPr>
      <w:r w:rsidRPr="00C407B8">
        <w:rPr>
          <w:noProof/>
        </w:rPr>
        <w:t xml:space="preserve">By increasing transparency and trust in the market as well as making it easier to set up companies in another Member State and having a positive impact on cross-border activities, the proposal should stimulate cross-border trade, services and investment flows and therefore contribute to competitiveness and growth in the single market. </w:t>
      </w:r>
      <w:r w:rsidR="005C1816">
        <w:rPr>
          <w:noProof/>
        </w:rPr>
        <w:t>These measures will apply to around 16 million limited liability companies and 2 million partnerships in the EU.</w:t>
      </w:r>
    </w:p>
    <w:p w14:paraId="4AA4CD57" w14:textId="77777777" w:rsidR="001E54BF" w:rsidRPr="00C407B8" w:rsidRDefault="008E11BE" w:rsidP="001E54BF">
      <w:pPr>
        <w:pBdr>
          <w:top w:val="nil"/>
          <w:left w:val="nil"/>
          <w:bottom w:val="nil"/>
          <w:right w:val="nil"/>
          <w:between w:val="nil"/>
          <w:bar w:val="nil"/>
        </w:pBdr>
        <w:spacing w:before="0" w:after="240"/>
        <w:rPr>
          <w:rFonts w:eastAsia="Calibri"/>
          <w:noProof/>
        </w:rPr>
      </w:pPr>
      <w:r>
        <w:rPr>
          <w:noProof/>
          <w:szCs w:val="24"/>
        </w:rPr>
        <w:t>Th</w:t>
      </w:r>
      <w:r w:rsidR="00234C6F">
        <w:rPr>
          <w:noProof/>
          <w:szCs w:val="24"/>
        </w:rPr>
        <w:t xml:space="preserve">e proposal is expected to </w:t>
      </w:r>
      <w:r w:rsidR="00234C6F">
        <w:rPr>
          <w:noProof/>
        </w:rPr>
        <w:t xml:space="preserve">bring a strong positive recurrent administrative costs saving for companies, of </w:t>
      </w:r>
      <w:r w:rsidR="00E758C7">
        <w:rPr>
          <w:noProof/>
        </w:rPr>
        <w:t>around</w:t>
      </w:r>
      <w:r w:rsidR="00234C6F">
        <w:rPr>
          <w:noProof/>
        </w:rPr>
        <w:t xml:space="preserve"> EUR </w:t>
      </w:r>
      <w:r w:rsidR="00234C6F" w:rsidRPr="00723104">
        <w:rPr>
          <w:noProof/>
        </w:rPr>
        <w:t>437</w:t>
      </w:r>
      <w:r w:rsidR="00234C6F">
        <w:rPr>
          <w:noProof/>
        </w:rPr>
        <w:t xml:space="preserve"> million per year. </w:t>
      </w:r>
      <w:r w:rsidR="00F019B8">
        <w:rPr>
          <w:noProof/>
        </w:rPr>
        <w:t>At the same time, it may result in some new one-off costs on companies for filing information to the register, estimated to amount to around EUR 311 million.</w:t>
      </w:r>
      <w:r w:rsidR="00F019B8" w:rsidRPr="00F019B8">
        <w:rPr>
          <w:noProof/>
          <w:lang w:val="en-IE"/>
        </w:rPr>
        <w:t xml:space="preserve"> </w:t>
      </w:r>
      <w:r w:rsidR="00F019B8">
        <w:rPr>
          <w:noProof/>
          <w:lang w:val="en-IE"/>
        </w:rPr>
        <w:t xml:space="preserve">Overall, </w:t>
      </w:r>
      <w:r w:rsidR="00F019B8" w:rsidRPr="00F50E69">
        <w:rPr>
          <w:noProof/>
          <w:lang w:val="en-IE"/>
        </w:rPr>
        <w:t xml:space="preserve">the </w:t>
      </w:r>
      <w:r w:rsidR="00F019B8">
        <w:rPr>
          <w:noProof/>
          <w:lang w:val="en-IE"/>
        </w:rPr>
        <w:t xml:space="preserve">recurrent savings for companies are </w:t>
      </w:r>
      <w:r w:rsidR="00F019B8">
        <w:rPr>
          <w:noProof/>
        </w:rPr>
        <w:t xml:space="preserve">expected to much outweigh the one-off costs related to filing of additional company </w:t>
      </w:r>
      <w:r w:rsidR="00F019B8" w:rsidRPr="008E11BE">
        <w:rPr>
          <w:noProof/>
        </w:rPr>
        <w:t>data</w:t>
      </w:r>
      <w:r w:rsidRPr="008E11BE">
        <w:rPr>
          <w:noProof/>
        </w:rPr>
        <w:t>.</w:t>
      </w:r>
    </w:p>
    <w:p w14:paraId="2F665B8C" w14:textId="77777777" w:rsidR="001E54BF" w:rsidRPr="00C407B8" w:rsidRDefault="001E54BF" w:rsidP="001E54BF">
      <w:pPr>
        <w:pBdr>
          <w:top w:val="nil"/>
          <w:left w:val="nil"/>
          <w:bottom w:val="nil"/>
          <w:right w:val="nil"/>
          <w:between w:val="nil"/>
          <w:bar w:val="nil"/>
        </w:pBdr>
        <w:spacing w:before="0" w:after="240"/>
        <w:rPr>
          <w:rFonts w:eastAsia="Calibri"/>
          <w:noProof/>
        </w:rPr>
      </w:pPr>
      <w:r w:rsidRPr="00C407B8">
        <w:rPr>
          <w:noProof/>
        </w:rPr>
        <w:t xml:space="preserve">This proposal </w:t>
      </w:r>
      <w:r w:rsidRPr="00C407B8">
        <w:rPr>
          <w:rFonts w:eastAsia="Calibri"/>
          <w:noProof/>
          <w:szCs w:val="24"/>
        </w:rPr>
        <w:t xml:space="preserve">upgrades EU digital company law further </w:t>
      </w:r>
      <w:r w:rsidRPr="00C407B8">
        <w:rPr>
          <w:rFonts w:eastAsia="Calibri"/>
          <w:b/>
          <w:noProof/>
          <w:szCs w:val="24"/>
        </w:rPr>
        <w:t>through the use of digital tools and processes</w:t>
      </w:r>
      <w:r w:rsidRPr="00C407B8">
        <w:rPr>
          <w:rFonts w:eastAsia="Calibri"/>
          <w:noProof/>
          <w:szCs w:val="24"/>
        </w:rPr>
        <w:t xml:space="preserve">. For instance, it aims to increase the availability of company information, in particular at cross-border level, by making more company data available online through BRIS on the e-Justice portal. To further increase transparency, it will </w:t>
      </w:r>
      <w:r w:rsidRPr="00C407B8">
        <w:rPr>
          <w:noProof/>
        </w:rPr>
        <w:t>l</w:t>
      </w:r>
      <w:r w:rsidRPr="00C407B8">
        <w:rPr>
          <w:rFonts w:cstheme="minorHAnsi"/>
          <w:noProof/>
        </w:rPr>
        <w:t xml:space="preserve">ink BRIS with other EU-level systems of interconnection of registers, which are all available via the e-Justice portal. This will in turn </w:t>
      </w:r>
      <w:r w:rsidRPr="005901CC">
        <w:rPr>
          <w:rFonts w:cstheme="minorHAnsi"/>
          <w:noProof/>
        </w:rPr>
        <w:t>strongly contribute to</w:t>
      </w:r>
      <w:r w:rsidRPr="00C407B8">
        <w:rPr>
          <w:rFonts w:cstheme="minorHAnsi"/>
          <w:noProof/>
        </w:rPr>
        <w:t xml:space="preserve"> create more connected public </w:t>
      </w:r>
      <w:r w:rsidRPr="00C407B8">
        <w:rPr>
          <w:noProof/>
        </w:rPr>
        <w:t xml:space="preserve">administrations </w:t>
      </w:r>
      <w:r w:rsidRPr="00C407B8">
        <w:rPr>
          <w:rFonts w:cstheme="minorHAnsi"/>
          <w:noProof/>
        </w:rPr>
        <w:t>at EU level</w:t>
      </w:r>
      <w:r w:rsidRPr="00C407B8">
        <w:rPr>
          <w:rFonts w:eastAsia="Calibri"/>
          <w:noProof/>
          <w:szCs w:val="24"/>
        </w:rPr>
        <w:t xml:space="preserve">. To remove the administrative burden when companies and public authorities use company information across the EU, it introduces the </w:t>
      </w:r>
      <w:r w:rsidRPr="005901CC">
        <w:rPr>
          <w:rFonts w:eastAsia="Calibri"/>
          <w:noProof/>
          <w:szCs w:val="24"/>
        </w:rPr>
        <w:t>digital EU Company Certificate</w:t>
      </w:r>
      <w:r w:rsidRPr="00C407B8">
        <w:rPr>
          <w:rFonts w:eastAsia="Calibri"/>
          <w:noProof/>
          <w:szCs w:val="24"/>
        </w:rPr>
        <w:t xml:space="preserve"> and digital EU power of attorney </w:t>
      </w:r>
      <w:r w:rsidRPr="00C407B8">
        <w:rPr>
          <w:rFonts w:cstheme="minorHAnsi"/>
          <w:noProof/>
        </w:rPr>
        <w:t xml:space="preserve">and </w:t>
      </w:r>
      <w:r w:rsidRPr="00C407B8">
        <w:rPr>
          <w:rFonts w:eastAsia="Calibri"/>
          <w:noProof/>
          <w:szCs w:val="24"/>
        </w:rPr>
        <w:t>applies the once-only principle for</w:t>
      </w:r>
      <w:r w:rsidRPr="00C407B8">
        <w:rPr>
          <w:noProof/>
        </w:rPr>
        <w:t xml:space="preserve"> setting up cross-border subsidiaries and branches, the latter thanks to secure electronic exchanges of information between </w:t>
      </w:r>
      <w:r w:rsidRPr="00C407B8">
        <w:rPr>
          <w:rFonts w:eastAsia="Calibri"/>
          <w:noProof/>
        </w:rPr>
        <w:t xml:space="preserve">registers via BRIS. The proposal focuses on electronic copies and extracts of company documents or information and stresses the importance of their certification in line with the </w:t>
      </w:r>
      <w:r w:rsidRPr="001E54BF">
        <w:rPr>
          <w:noProof/>
        </w:rPr>
        <w:t xml:space="preserve">eIDAS Regulation. It is therefore digital ready as it relies heavily on the use of </w:t>
      </w:r>
      <w:r w:rsidRPr="00C407B8">
        <w:rPr>
          <w:noProof/>
        </w:rPr>
        <w:t xml:space="preserve">digital technologies and data. It also provides ‘digital by default’ solutions to increase transparency on EU companies and ‘digital by default’ company law procedures to facilitate the use of company data across the </w:t>
      </w:r>
      <w:r w:rsidR="001523A0">
        <w:rPr>
          <w:noProof/>
        </w:rPr>
        <w:t>single market</w:t>
      </w:r>
      <w:r w:rsidRPr="00C407B8">
        <w:rPr>
          <w:noProof/>
        </w:rPr>
        <w:t xml:space="preserve">. </w:t>
      </w:r>
    </w:p>
    <w:p w14:paraId="04D2D4A4" w14:textId="77777777" w:rsidR="00517463" w:rsidRDefault="00D0243D" w:rsidP="0016589C">
      <w:pPr>
        <w:pBdr>
          <w:top w:val="nil"/>
          <w:left w:val="nil"/>
          <w:bottom w:val="nil"/>
          <w:right w:val="nil"/>
          <w:between w:val="nil"/>
          <w:bar w:val="nil"/>
        </w:pBdr>
        <w:spacing w:before="0" w:after="240"/>
        <w:rPr>
          <w:rFonts w:eastAsia="Times New Roman"/>
          <w:noProof/>
          <w:szCs w:val="24"/>
        </w:rPr>
      </w:pPr>
      <w:r w:rsidRPr="00CF360E">
        <w:rPr>
          <w:rFonts w:eastAsia="Calibri"/>
          <w:noProof/>
        </w:rPr>
        <w:t xml:space="preserve">While </w:t>
      </w:r>
      <w:r w:rsidR="0016771A" w:rsidRPr="00C407B8">
        <w:rPr>
          <w:rFonts w:eastAsia="Calibri"/>
          <w:noProof/>
        </w:rPr>
        <w:t>the proposal focuses primarily</w:t>
      </w:r>
      <w:r w:rsidRPr="00CF360E">
        <w:rPr>
          <w:rFonts w:eastAsia="Calibri"/>
          <w:noProof/>
        </w:rPr>
        <w:t xml:space="preserve"> on online procedures and electronic copies </w:t>
      </w:r>
      <w:r w:rsidR="00D86825">
        <w:rPr>
          <w:rFonts w:eastAsia="Calibri"/>
          <w:noProof/>
        </w:rPr>
        <w:t xml:space="preserve">and extracts </w:t>
      </w:r>
      <w:r w:rsidRPr="00CF360E">
        <w:rPr>
          <w:rFonts w:eastAsia="Calibri"/>
          <w:noProof/>
        </w:rPr>
        <w:t xml:space="preserve">of company documents or information, </w:t>
      </w:r>
      <w:r w:rsidR="004607C9">
        <w:rPr>
          <w:rFonts w:eastAsia="Calibri"/>
          <w:noProof/>
        </w:rPr>
        <w:t>its</w:t>
      </w:r>
      <w:r w:rsidRPr="00CF360E">
        <w:rPr>
          <w:rFonts w:eastAsia="Calibri"/>
          <w:noProof/>
        </w:rPr>
        <w:t xml:space="preserve"> provisions </w:t>
      </w:r>
      <w:r w:rsidR="00281387">
        <w:rPr>
          <w:rFonts w:eastAsia="Calibri"/>
          <w:noProof/>
        </w:rPr>
        <w:t>take into account</w:t>
      </w:r>
      <w:r>
        <w:rPr>
          <w:rFonts w:eastAsia="Calibri"/>
          <w:noProof/>
        </w:rPr>
        <w:t xml:space="preserve"> </w:t>
      </w:r>
      <w:r w:rsidRPr="00CD09AF">
        <w:rPr>
          <w:noProof/>
        </w:rPr>
        <w:t xml:space="preserve">both the physical and digital environment </w:t>
      </w:r>
      <w:r w:rsidR="00281387" w:rsidRPr="00CD09AF">
        <w:rPr>
          <w:noProof/>
        </w:rPr>
        <w:t xml:space="preserve">and </w:t>
      </w:r>
      <w:r w:rsidRPr="00CD09AF">
        <w:rPr>
          <w:noProof/>
        </w:rPr>
        <w:t xml:space="preserve">also </w:t>
      </w:r>
      <w:r w:rsidRPr="00CF360E">
        <w:rPr>
          <w:rFonts w:eastAsia="Calibri"/>
          <w:noProof/>
        </w:rPr>
        <w:t xml:space="preserve">address physical procedures, e.g. </w:t>
      </w:r>
      <w:r w:rsidRPr="00CF360E">
        <w:rPr>
          <w:rFonts w:eastAsia="Times New Roman"/>
          <w:noProof/>
          <w:szCs w:val="24"/>
        </w:rPr>
        <w:t xml:space="preserve">any other forms of formation of companies than fully online, and paper copies </w:t>
      </w:r>
      <w:r w:rsidR="00D86825">
        <w:rPr>
          <w:rFonts w:eastAsia="Times New Roman"/>
          <w:noProof/>
          <w:szCs w:val="24"/>
        </w:rPr>
        <w:t>and extracts</w:t>
      </w:r>
      <w:r w:rsidRPr="00CF360E">
        <w:rPr>
          <w:rFonts w:eastAsia="Times New Roman"/>
          <w:noProof/>
          <w:szCs w:val="24"/>
        </w:rPr>
        <w:t>.</w:t>
      </w:r>
      <w:r w:rsidR="00D86825">
        <w:rPr>
          <w:rFonts w:eastAsia="Times New Roman"/>
          <w:noProof/>
          <w:szCs w:val="24"/>
        </w:rPr>
        <w:t xml:space="preserve"> </w:t>
      </w:r>
    </w:p>
    <w:p w14:paraId="273455B2" w14:textId="77777777" w:rsidR="00B20EB7" w:rsidRDefault="0007416B" w:rsidP="0007416B">
      <w:pPr>
        <w:rPr>
          <w:rFonts w:cstheme="minorHAnsi"/>
          <w:noProof/>
        </w:rPr>
      </w:pPr>
      <w:r>
        <w:rPr>
          <w:noProof/>
        </w:rPr>
        <w:t xml:space="preserve">Thanks to the increased possibility to use digital procedures and tools between business registers and companies, and also between business registers, </w:t>
      </w:r>
      <w:r w:rsidRPr="00AE5AA9">
        <w:rPr>
          <w:noProof/>
          <w:szCs w:val="24"/>
        </w:rPr>
        <w:t>and an increased application of the once-only principle</w:t>
      </w:r>
      <w:r>
        <w:rPr>
          <w:noProof/>
        </w:rPr>
        <w:t xml:space="preserve">, this proposal is likely to have </w:t>
      </w:r>
      <w:r w:rsidRPr="000C1A83">
        <w:rPr>
          <w:noProof/>
        </w:rPr>
        <w:t>some small positive environmental impacts</w:t>
      </w:r>
      <w:r w:rsidRPr="00B20EB7">
        <w:rPr>
          <w:noProof/>
        </w:rPr>
        <w:t>. Therefore, it is seen as consistent with the ‘do no significant harm’</w:t>
      </w:r>
      <w:r>
        <w:rPr>
          <w:noProof/>
        </w:rPr>
        <w:t xml:space="preserve"> principle, with the climate-neutrality objective set out in Article 2(1) of European Climate Law</w:t>
      </w:r>
      <w:r w:rsidRPr="00EC6C35">
        <w:rPr>
          <w:rStyle w:val="FootnoteReference"/>
          <w:noProof/>
        </w:rPr>
        <w:footnoteReference w:id="38"/>
      </w:r>
      <w:r>
        <w:rPr>
          <w:noProof/>
        </w:rPr>
        <w:t xml:space="preserve"> and the 2030 and 2040 targets. </w:t>
      </w:r>
      <w:r w:rsidR="00C63D19">
        <w:rPr>
          <w:noProof/>
        </w:rPr>
        <w:t xml:space="preserve">This proposal will also contribute indirectly to the </w:t>
      </w:r>
      <w:r w:rsidR="00C63D19" w:rsidRPr="007866D5">
        <w:rPr>
          <w:rFonts w:eastAsia="Calibri"/>
          <w:noProof/>
          <w:szCs w:val="24"/>
        </w:rPr>
        <w:t>Sustainable Development Goal</w:t>
      </w:r>
      <w:r w:rsidR="00C63D19">
        <w:rPr>
          <w:rFonts w:eastAsia="Calibri"/>
          <w:noProof/>
          <w:szCs w:val="24"/>
        </w:rPr>
        <w:t xml:space="preserve"> 8 on decent work and</w:t>
      </w:r>
      <w:r w:rsidR="00C63D19" w:rsidRPr="00C63D19">
        <w:rPr>
          <w:noProof/>
        </w:rPr>
        <w:t xml:space="preserve"> economic growth as it will enhance the business environment in the </w:t>
      </w:r>
      <w:r w:rsidR="00D572A0">
        <w:rPr>
          <w:noProof/>
        </w:rPr>
        <w:t>s</w:t>
      </w:r>
      <w:r w:rsidR="00C63D19" w:rsidRPr="00C63D19">
        <w:rPr>
          <w:noProof/>
        </w:rPr>
        <w:t xml:space="preserve">ingle </w:t>
      </w:r>
      <w:r w:rsidR="00D572A0">
        <w:rPr>
          <w:noProof/>
        </w:rPr>
        <w:t>m</w:t>
      </w:r>
      <w:r w:rsidR="00C63D19" w:rsidRPr="00C63D19">
        <w:rPr>
          <w:noProof/>
        </w:rPr>
        <w:t>arket.</w:t>
      </w:r>
      <w:r w:rsidR="000C1A83">
        <w:rPr>
          <w:noProof/>
        </w:rPr>
        <w:t xml:space="preserve"> </w:t>
      </w:r>
    </w:p>
    <w:p w14:paraId="1DC85765" w14:textId="77777777" w:rsidR="00573A63" w:rsidRDefault="00573A63" w:rsidP="00660ED3">
      <w:pPr>
        <w:pStyle w:val="ManualHeading2"/>
        <w:rPr>
          <w:rFonts w:eastAsia="Arial Unicode MS"/>
          <w:noProof/>
          <w:u w:color="000000"/>
          <w:bdr w:val="nil"/>
          <w:lang w:val="en-US" w:eastAsia="en-GB"/>
        </w:rPr>
      </w:pPr>
      <w:bookmarkStart w:id="50" w:name="_Toc126762669"/>
      <w:bookmarkStart w:id="51" w:name="_Toc126826581"/>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bookmarkEnd w:id="50"/>
      <w:bookmarkEnd w:id="51"/>
    </w:p>
    <w:p w14:paraId="29CD8D58" w14:textId="77777777" w:rsidR="0033154D" w:rsidRDefault="005901CC" w:rsidP="008B39C4">
      <w:pPr>
        <w:pBdr>
          <w:top w:val="nil"/>
          <w:left w:val="nil"/>
          <w:bottom w:val="nil"/>
          <w:right w:val="nil"/>
          <w:between w:val="nil"/>
          <w:bar w:val="nil"/>
        </w:pBdr>
        <w:spacing w:before="0" w:after="240"/>
        <w:rPr>
          <w:noProof/>
        </w:rPr>
      </w:pPr>
      <w:r w:rsidRPr="00C407B8">
        <w:rPr>
          <w:noProof/>
        </w:rPr>
        <w:t>The proposal will facilitate the implementation of the right of establishment in a</w:t>
      </w:r>
      <w:r w:rsidR="007F162C">
        <w:rPr>
          <w:noProof/>
        </w:rPr>
        <w:t>ll</w:t>
      </w:r>
      <w:r w:rsidRPr="00C407B8">
        <w:rPr>
          <w:noProof/>
        </w:rPr>
        <w:t xml:space="preserve"> Member State</w:t>
      </w:r>
      <w:r w:rsidR="007F162C">
        <w:rPr>
          <w:noProof/>
        </w:rPr>
        <w:t>s</w:t>
      </w:r>
      <w:r w:rsidRPr="00C407B8">
        <w:rPr>
          <w:noProof/>
        </w:rPr>
        <w:t xml:space="preserve">, as prescribed by Article 15(2) of the EU Charter of Fundamental Rights. There should be a positive impact on companies benefiting from the opportunities offered by the single market, in particular concerning the freedom to conduct business set out in Article 16 of the Charter. </w:t>
      </w:r>
      <w:r w:rsidR="00D22454">
        <w:rPr>
          <w:noProof/>
        </w:rPr>
        <w:t>The proposal will require certain processing, including disclosure of personal data that will interfere with the right to protection of personal life as laid down in Article 7 and right to personal data protection as laid down in Article 8 of the EU Charter of Fundamental Rights. Most notably, t</w:t>
      </w:r>
      <w:r w:rsidRPr="00C407B8">
        <w:rPr>
          <w:noProof/>
        </w:rPr>
        <w:t>he proposal will require the disclosure of and cross-border access to certain information in relation to legal entities (e.g. partnerships), including certain personal data such as information about partners and single-member shareholders.</w:t>
      </w:r>
      <w:r>
        <w:rPr>
          <w:noProof/>
        </w:rPr>
        <w:t xml:space="preserve"> </w:t>
      </w:r>
      <w:r w:rsidR="7B7C4FFB" w:rsidRPr="008B39C4">
        <w:rPr>
          <w:noProof/>
        </w:rPr>
        <w:t>This data is</w:t>
      </w:r>
      <w:r w:rsidR="7B7C4FFB" w:rsidRPr="008B39C4" w:rsidDel="00D22454">
        <w:rPr>
          <w:noProof/>
        </w:rPr>
        <w:t xml:space="preserve"> </w:t>
      </w:r>
      <w:r w:rsidR="00D22454">
        <w:rPr>
          <w:noProof/>
        </w:rPr>
        <w:t>usually</w:t>
      </w:r>
      <w:r w:rsidR="7B7C4FFB" w:rsidRPr="008B39C4">
        <w:rPr>
          <w:noProof/>
        </w:rPr>
        <w:t xml:space="preserve"> already publicly disclosed in Member States</w:t>
      </w:r>
      <w:r>
        <w:rPr>
          <w:noProof/>
        </w:rPr>
        <w:t>,</w:t>
      </w:r>
      <w:r w:rsidR="7B7C4FFB" w:rsidRPr="008B39C4">
        <w:rPr>
          <w:noProof/>
        </w:rPr>
        <w:t xml:space="preserve"> and this proposal makes such data available cross-borde</w:t>
      </w:r>
      <w:r w:rsidR="009F4B6D">
        <w:rPr>
          <w:noProof/>
        </w:rPr>
        <w:t>r</w:t>
      </w:r>
      <w:r w:rsidR="00191B7A">
        <w:rPr>
          <w:noProof/>
        </w:rPr>
        <w:t xml:space="preserve"> through BRIS</w:t>
      </w:r>
      <w:r w:rsidR="7B7C4FFB" w:rsidRPr="008B39C4">
        <w:rPr>
          <w:noProof/>
        </w:rPr>
        <w:t xml:space="preserve">. </w:t>
      </w:r>
      <w:r w:rsidRPr="00C407B8">
        <w:rPr>
          <w:noProof/>
        </w:rPr>
        <w:t>Member States may also process some personal data to verify the company data, which is already the case</w:t>
      </w:r>
      <w:r w:rsidR="7B7C4FFB" w:rsidRPr="008B39C4">
        <w:rPr>
          <w:noProof/>
        </w:rPr>
        <w:t xml:space="preserve"> in Member States. </w:t>
      </w:r>
      <w:r w:rsidRPr="00C407B8">
        <w:rPr>
          <w:noProof/>
        </w:rPr>
        <w:t xml:space="preserve">Linking BRIS with other EU interconnection systems will not impact the protection of personal data as each system will keep its rules and requirements related to access. The proposed solutions are necessary and proportionate to improve transparency, create trust between Member States </w:t>
      </w:r>
      <w:r w:rsidR="00D22454">
        <w:rPr>
          <w:noProof/>
        </w:rPr>
        <w:t xml:space="preserve">and ensure legal certainty and protection of third parties </w:t>
      </w:r>
      <w:r w:rsidRPr="00C407B8">
        <w:rPr>
          <w:noProof/>
        </w:rPr>
        <w:t>when using company information cross-</w:t>
      </w:r>
      <w:r w:rsidRPr="00C407B8" w:rsidDel="00B579F0">
        <w:rPr>
          <w:noProof/>
        </w:rPr>
        <w:t xml:space="preserve">border </w:t>
      </w:r>
      <w:r w:rsidRPr="00C407B8">
        <w:rPr>
          <w:noProof/>
        </w:rPr>
        <w:t>and contribute to the fight against fraud and abuse</w:t>
      </w:r>
      <w:r w:rsidR="00012FCC">
        <w:rPr>
          <w:noProof/>
        </w:rPr>
        <w:t xml:space="preserve"> and thus contribute to well-functioning of </w:t>
      </w:r>
      <w:r w:rsidR="00BC5AAE">
        <w:rPr>
          <w:noProof/>
        </w:rPr>
        <w:t>s</w:t>
      </w:r>
      <w:r w:rsidR="00012FCC">
        <w:rPr>
          <w:noProof/>
        </w:rPr>
        <w:t xml:space="preserve">ingle </w:t>
      </w:r>
      <w:r w:rsidR="00BC5AAE">
        <w:rPr>
          <w:noProof/>
        </w:rPr>
        <w:t>m</w:t>
      </w:r>
      <w:r w:rsidR="00012FCC">
        <w:rPr>
          <w:noProof/>
        </w:rPr>
        <w:t>arket</w:t>
      </w:r>
      <w:r w:rsidRPr="00C407B8">
        <w:rPr>
          <w:noProof/>
        </w:rPr>
        <w:t>. The</w:t>
      </w:r>
      <w:r w:rsidR="00012FCC">
        <w:rPr>
          <w:noProof/>
        </w:rPr>
        <w:t xml:space="preserve"> Member States</w:t>
      </w:r>
      <w:r w:rsidRPr="00C407B8">
        <w:rPr>
          <w:noProof/>
        </w:rPr>
        <w:t xml:space="preserve"> will also ensure</w:t>
      </w:r>
      <w:r w:rsidR="7B7C4FFB">
        <w:rPr>
          <w:noProof/>
        </w:rPr>
        <w:t xml:space="preserve"> the protection of personal data in line with Article 8 of the Charter, the EU law on data protection including the relevant case-</w:t>
      </w:r>
      <w:r w:rsidR="7B7C4FFB" w:rsidRPr="004607C9">
        <w:rPr>
          <w:noProof/>
        </w:rPr>
        <w:t>law</w:t>
      </w:r>
      <w:r w:rsidR="001349A7" w:rsidRPr="00EC6C35">
        <w:rPr>
          <w:rStyle w:val="FootnoteReference"/>
          <w:noProof/>
        </w:rPr>
        <w:footnoteReference w:id="39"/>
      </w:r>
      <w:r w:rsidR="7B7C4FFB" w:rsidRPr="004607C9">
        <w:rPr>
          <w:noProof/>
        </w:rPr>
        <w:t>.</w:t>
      </w:r>
      <w:r w:rsidR="7B7C4FFB">
        <w:rPr>
          <w:noProof/>
        </w:rPr>
        <w:t xml:space="preserve">  </w:t>
      </w:r>
    </w:p>
    <w:p w14:paraId="4DB41FAA" w14:textId="77777777" w:rsidR="00ED172D" w:rsidDel="00A12F1E" w:rsidRDefault="00ED172D" w:rsidP="008B39C4">
      <w:pPr>
        <w:pBdr>
          <w:top w:val="nil"/>
          <w:left w:val="nil"/>
          <w:bottom w:val="nil"/>
          <w:right w:val="nil"/>
          <w:between w:val="nil"/>
          <w:bar w:val="nil"/>
        </w:pBdr>
        <w:spacing w:before="0" w:after="240"/>
        <w:rPr>
          <w:noProof/>
        </w:rPr>
      </w:pPr>
      <w:r w:rsidRPr="00ED172D">
        <w:rPr>
          <w:noProof/>
        </w:rPr>
        <w:t>This proposal will increase the availability of company information in business registers, in par</w:t>
      </w:r>
      <w:r>
        <w:rPr>
          <w:noProof/>
        </w:rPr>
        <w:t xml:space="preserve">ticular at cross-border level. </w:t>
      </w:r>
      <w:r w:rsidRPr="00ED172D">
        <w:rPr>
          <w:noProof/>
        </w:rPr>
        <w:t>In this context, specific attention must be paid to its accessibility for persons with disabilities, given the extra barriers they face. The Union’s policies regarding persons with disabilities are grounded in EU primary law, including Article 26 of the Charter of Fundamental Rights of the European Union (on the right of persons with disabilities to benefit from measures designed to ensure their independence, social and occupational integration and participation in the life of the community) and the UN Convention on the Rights of Persons with Disabilities (UN CRPD). Among others, the UN CRPD, to which both the Union and its Member States are parties, requires State Parties to take appropriate measures to ensure that persons with disabilities have access, on an equal basis with others, to information and communications, including information and communications technologies and systems, and to other facilities and services open or provided to the public. In line with this, the Strategy for the Rights of Persons with Disabilities 2021-2030 underlines that accessibility to the built and virtual environments, to information and communication technologies (ICT), goods and services, including transport and infrastructure, is an enabler of rights and a prerequisite for the full participation of persons with disabilities on an equal basis with others. Consequently, the access to company information in business registers should be granted in accordance with accessibility requirements for persons with disabilities provided in applicable Union and national law. In addition, to ensure access to company information provided by the business registers in all the Member States on an equal basis with other users, the review should include an assessment of whether additional measures should be taken to fully address the needs of persons with disabilities.</w:t>
      </w:r>
    </w:p>
    <w:p w14:paraId="122FAD87" w14:textId="77777777" w:rsidR="00573A63" w:rsidRDefault="00573A63" w:rsidP="00660ED3">
      <w:pPr>
        <w:pStyle w:val="ManualHeading1"/>
        <w:rPr>
          <w:noProof/>
        </w:rPr>
      </w:pPr>
      <w:bookmarkStart w:id="52" w:name="_Toc126762670"/>
      <w:bookmarkStart w:id="53" w:name="_Toc126826582"/>
      <w:r w:rsidRPr="00550536">
        <w:rPr>
          <w:noProof/>
        </w:rPr>
        <w:t>4.</w:t>
      </w:r>
      <w:r w:rsidRPr="00550536">
        <w:rPr>
          <w:noProof/>
        </w:rPr>
        <w:tab/>
        <w:t>BUDGETARY IMPLICATIONS</w:t>
      </w:r>
      <w:bookmarkEnd w:id="52"/>
      <w:bookmarkEnd w:id="53"/>
    </w:p>
    <w:p w14:paraId="4A20D5AE" w14:textId="77777777" w:rsidR="0065274F" w:rsidRPr="00C407B8" w:rsidRDefault="0065274F" w:rsidP="0065274F">
      <w:pPr>
        <w:pBdr>
          <w:top w:val="nil"/>
          <w:left w:val="nil"/>
          <w:bottom w:val="nil"/>
          <w:right w:val="nil"/>
          <w:between w:val="nil"/>
          <w:bar w:val="nil"/>
        </w:pBdr>
        <w:spacing w:before="0" w:after="240"/>
        <w:rPr>
          <w:noProof/>
        </w:rPr>
      </w:pPr>
      <w:r w:rsidRPr="00C407B8">
        <w:rPr>
          <w:noProof/>
        </w:rPr>
        <w:t xml:space="preserve">The proposal is expected to have some budgetary impact for Member States, which was estimated in the impact assessment for this proposal and is described in the section above about the impact assessment. </w:t>
      </w:r>
    </w:p>
    <w:p w14:paraId="68B2528B" w14:textId="77777777" w:rsidR="0065274F" w:rsidRPr="00C407B8" w:rsidRDefault="0065274F" w:rsidP="0065274F">
      <w:pPr>
        <w:pBdr>
          <w:top w:val="nil"/>
          <w:left w:val="nil"/>
          <w:bottom w:val="nil"/>
          <w:right w:val="nil"/>
          <w:between w:val="nil"/>
          <w:bar w:val="nil"/>
        </w:pBdr>
        <w:spacing w:before="0" w:after="240"/>
        <w:rPr>
          <w:noProof/>
        </w:rPr>
      </w:pPr>
      <w:bookmarkStart w:id="54" w:name="_Toc126762671"/>
      <w:bookmarkStart w:id="55" w:name="_Toc126826583"/>
      <w:r w:rsidRPr="00C407B8">
        <w:rPr>
          <w:noProof/>
        </w:rPr>
        <w:t xml:space="preserve">As regards the impact on the EU budget, this proposal enlarges the scope of the BRIS system. This will require the further development of existing technical specifications and standards, further software development work on the system and coordination of the activities undertaken by national authorities to put the required IT developments into place at national level. To carry out these tasks, it will not be necessary to increase the current resources in the Commission working on BRIS business management (1 full-time equivalent/FTE) and project management (1.25 FTEs). Furthermore, the funds provided for regular maintenance of the BRIS system (currently around 2 million EUR per year, provided by the Digital Europe programme) will also be sufficient to carry out the tasks required under this proposal. </w:t>
      </w:r>
    </w:p>
    <w:p w14:paraId="1C1592A3" w14:textId="77777777" w:rsidR="00573A63" w:rsidRPr="00550536" w:rsidRDefault="00573A63" w:rsidP="00660ED3">
      <w:pPr>
        <w:pStyle w:val="ManualHeading1"/>
        <w:rPr>
          <w:noProof/>
        </w:rPr>
      </w:pPr>
      <w:r w:rsidRPr="00550536">
        <w:rPr>
          <w:noProof/>
        </w:rPr>
        <w:t>5.</w:t>
      </w:r>
      <w:r w:rsidRPr="00550536">
        <w:rPr>
          <w:noProof/>
        </w:rPr>
        <w:tab/>
        <w:t>OTHER ELEMENTS</w:t>
      </w:r>
      <w:bookmarkEnd w:id="54"/>
      <w:bookmarkEnd w:id="55"/>
    </w:p>
    <w:p w14:paraId="02A73F86" w14:textId="77777777" w:rsidR="00573A63" w:rsidRDefault="00573A63" w:rsidP="00660ED3">
      <w:pPr>
        <w:pStyle w:val="ManualHeading2"/>
        <w:rPr>
          <w:rFonts w:eastAsia="Arial Unicode MS"/>
          <w:noProof/>
          <w:u w:color="000000"/>
          <w:bdr w:val="nil"/>
          <w:lang w:val="en-US" w:eastAsia="en-GB"/>
        </w:rPr>
      </w:pPr>
      <w:bookmarkStart w:id="56" w:name="_Toc126762672"/>
      <w:bookmarkStart w:id="57" w:name="_Toc126826584"/>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bookmarkEnd w:id="56"/>
      <w:bookmarkEnd w:id="57"/>
    </w:p>
    <w:p w14:paraId="653CB605" w14:textId="4EB77424" w:rsidR="00210CE6" w:rsidRDefault="00F63337" w:rsidP="00660ED3">
      <w:pPr>
        <w:pBdr>
          <w:top w:val="nil"/>
          <w:left w:val="nil"/>
          <w:bottom w:val="nil"/>
          <w:right w:val="nil"/>
          <w:between w:val="nil"/>
          <w:bar w:val="nil"/>
        </w:pBdr>
        <w:spacing w:before="0" w:after="240"/>
        <w:rPr>
          <w:noProof/>
        </w:rPr>
      </w:pPr>
      <w:r>
        <w:rPr>
          <w:noProof/>
        </w:rPr>
        <w:t xml:space="preserve">The Commission will </w:t>
      </w:r>
      <w:r w:rsidR="0065274F" w:rsidRPr="00C407B8">
        <w:rPr>
          <w:noProof/>
        </w:rPr>
        <w:t>help</w:t>
      </w:r>
      <w:r>
        <w:rPr>
          <w:noProof/>
        </w:rPr>
        <w:t xml:space="preserve"> Member States </w:t>
      </w:r>
      <w:r w:rsidR="0065274F" w:rsidRPr="00C407B8">
        <w:rPr>
          <w:noProof/>
        </w:rPr>
        <w:t xml:space="preserve">transpose the provisions under this proposal through close cooperation with national company law experts in the CLEG and by providing guidance as necessary (e.g. by organising transposition workshops, providing </w:t>
      </w:r>
      <w:r w:rsidR="0065274F">
        <w:rPr>
          <w:noProof/>
        </w:rPr>
        <w:t xml:space="preserve">bilateral </w:t>
      </w:r>
      <w:r w:rsidR="0065274F" w:rsidRPr="00C407B8">
        <w:rPr>
          <w:noProof/>
        </w:rPr>
        <w:t>advice</w:t>
      </w:r>
      <w:r>
        <w:rPr>
          <w:noProof/>
        </w:rPr>
        <w:t>)</w:t>
      </w:r>
      <w:r w:rsidR="00284A23" w:rsidRPr="00EC6C35">
        <w:rPr>
          <w:rStyle w:val="FootnoteReference"/>
          <w:noProof/>
        </w:rPr>
        <w:footnoteReference w:id="40"/>
      </w:r>
      <w:r>
        <w:rPr>
          <w:noProof/>
        </w:rPr>
        <w:t>.</w:t>
      </w:r>
      <w:r w:rsidR="009614F0">
        <w:rPr>
          <w:noProof/>
        </w:rPr>
        <w:t xml:space="preserve"> </w:t>
      </w:r>
      <w:r w:rsidR="0065274F" w:rsidRPr="00C407B8">
        <w:rPr>
          <w:noProof/>
        </w:rPr>
        <w:t>The Commission will also monitor implementation of the proposed measures</w:t>
      </w:r>
      <w:r w:rsidR="00C46EF5">
        <w:rPr>
          <w:noProof/>
        </w:rPr>
        <w:t xml:space="preserve"> and </w:t>
      </w:r>
      <w:r w:rsidR="00C46EF5">
        <w:rPr>
          <w:rFonts w:eastAsia="Calibri"/>
          <w:noProof/>
        </w:rPr>
        <w:t xml:space="preserve">ensure that it is in line with the </w:t>
      </w:r>
      <w:r w:rsidR="00C46EF5" w:rsidRPr="0008782A">
        <w:rPr>
          <w:rFonts w:eastAsia="Calibri"/>
          <w:noProof/>
        </w:rPr>
        <w:t>Interoperable Europe Act proposal</w:t>
      </w:r>
      <w:r w:rsidR="003D217C" w:rsidRPr="00EC6C35">
        <w:rPr>
          <w:rStyle w:val="FootnoteReference"/>
          <w:noProof/>
        </w:rPr>
        <w:footnoteReference w:id="41"/>
      </w:r>
      <w:r w:rsidR="00C46EF5">
        <w:rPr>
          <w:rFonts w:eastAsia="Calibri"/>
          <w:noProof/>
        </w:rPr>
        <w:t xml:space="preserve"> and the </w:t>
      </w:r>
      <w:r w:rsidR="00C46EF5" w:rsidRPr="0008782A">
        <w:rPr>
          <w:rFonts w:eastAsia="Calibri"/>
          <w:noProof/>
        </w:rPr>
        <w:t>European Interoperability Framework</w:t>
      </w:r>
      <w:r w:rsidR="00A95639" w:rsidRPr="00EC6C35">
        <w:rPr>
          <w:rStyle w:val="FootnoteReference"/>
          <w:noProof/>
        </w:rPr>
        <w:footnoteReference w:id="42"/>
      </w:r>
      <w:r w:rsidR="00656432">
        <w:rPr>
          <w:rFonts w:eastAsia="Calibri"/>
          <w:noProof/>
        </w:rPr>
        <w:t>,</w:t>
      </w:r>
      <w:r w:rsidR="00C46EF5">
        <w:rPr>
          <w:rFonts w:eastAsia="Calibri"/>
          <w:noProof/>
        </w:rPr>
        <w:t xml:space="preserve"> thus fostering cross-border and cross-sector interoperability in Europe</w:t>
      </w:r>
      <w:r w:rsidR="0065274F" w:rsidRPr="00C407B8">
        <w:rPr>
          <w:noProof/>
        </w:rPr>
        <w:t>. Monitoring w</w:t>
      </w:r>
      <w:r w:rsidR="007F162C">
        <w:rPr>
          <w:noProof/>
        </w:rPr>
        <w:t>ill</w:t>
      </w:r>
      <w:r w:rsidR="0065274F" w:rsidRPr="00C407B8">
        <w:rPr>
          <w:noProof/>
        </w:rPr>
        <w:t xml:space="preserve"> consist of analysing the impact of the proposal on the accessibility and reliability of company data in business registers and through BRIS via targeted contacts with relevant stakeholders, discussions with business registers within the CLEG and on the basis of information that could be gathered through BRIS or other EU systems of interconnection of registers such as BORIS or IRI. Monitoring </w:t>
      </w:r>
      <w:r w:rsidR="001C7356">
        <w:rPr>
          <w:noProof/>
        </w:rPr>
        <w:t>would also include a</w:t>
      </w:r>
      <w:r w:rsidR="00B753EB">
        <w:rPr>
          <w:noProof/>
        </w:rPr>
        <w:t xml:space="preserve">nalysing to what extent the direct use of company data cross-border has been facilitated and to what extent the measures introduced by this proposal are being used by stakeholders, e.g. by analysing the trends in setting up cross-border subsidiaries and branches across the EU or checking the numbers of </w:t>
      </w:r>
      <w:r w:rsidR="00BA0819">
        <w:rPr>
          <w:noProof/>
        </w:rPr>
        <w:t>EU Company C</w:t>
      </w:r>
      <w:r w:rsidR="001B40E8">
        <w:rPr>
          <w:noProof/>
        </w:rPr>
        <w:t>ertificates</w:t>
      </w:r>
      <w:r w:rsidR="0065274F">
        <w:rPr>
          <w:noProof/>
        </w:rPr>
        <w:t xml:space="preserve"> </w:t>
      </w:r>
      <w:r w:rsidR="0065274F" w:rsidRPr="00C407B8">
        <w:rPr>
          <w:noProof/>
        </w:rPr>
        <w:t>issued</w:t>
      </w:r>
      <w:r w:rsidR="00B753EB">
        <w:rPr>
          <w:noProof/>
        </w:rPr>
        <w:t xml:space="preserve">. Some of the relevant information could be </w:t>
      </w:r>
      <w:r w:rsidR="00210CE6">
        <w:rPr>
          <w:noProof/>
        </w:rPr>
        <w:t xml:space="preserve">obtained from </w:t>
      </w:r>
      <w:r w:rsidR="00B753EB">
        <w:rPr>
          <w:noProof/>
        </w:rPr>
        <w:t xml:space="preserve">BRIS and </w:t>
      </w:r>
      <w:r w:rsidR="00210CE6">
        <w:rPr>
          <w:noProof/>
        </w:rPr>
        <w:t xml:space="preserve">the Commission could gather other information through </w:t>
      </w:r>
      <w:r w:rsidR="00B753EB" w:rsidRPr="00B753EB">
        <w:rPr>
          <w:noProof/>
        </w:rPr>
        <w:t xml:space="preserve">targeted </w:t>
      </w:r>
      <w:r w:rsidR="0065274F" w:rsidRPr="00C407B8">
        <w:rPr>
          <w:noProof/>
        </w:rPr>
        <w:t xml:space="preserve">contacts with relevant stakeholders, surveys and if necessary targeted studies. An evaluation report should be drawn up to assess the impact of this proposal once sufficient experience has been gained on the application of the proposed provisions. </w:t>
      </w:r>
      <w:r w:rsidR="00F279EE">
        <w:rPr>
          <w:noProof/>
        </w:rPr>
        <w:t xml:space="preserve">It would also analyse the potential of </w:t>
      </w:r>
      <w:r w:rsidR="00395ABF" w:rsidRPr="0040568D">
        <w:rPr>
          <w:noProof/>
          <w:color w:val="000000"/>
          <w:szCs w:val="24"/>
          <w:shd w:val="clear" w:color="auto" w:fill="FFFFFF"/>
        </w:rPr>
        <w:t xml:space="preserve">cross-sector interoperability </w:t>
      </w:r>
      <w:r w:rsidR="00395ABF">
        <w:rPr>
          <w:noProof/>
          <w:color w:val="000000"/>
          <w:szCs w:val="24"/>
          <w:shd w:val="clear" w:color="auto" w:fill="FFFFFF"/>
        </w:rPr>
        <w:t xml:space="preserve">with other EU level systems providing mechanisms for cooperation between competent authorities, e.g. in the areas of taxation or social security or </w:t>
      </w:r>
      <w:r w:rsidR="00395ABF" w:rsidRPr="00570701">
        <w:rPr>
          <w:bCs/>
          <w:noProof/>
          <w:lang w:val="en-US"/>
        </w:rPr>
        <w:t>the Once-only Technical System under the SDG Regulation</w:t>
      </w:r>
      <w:r w:rsidR="00F279EE" w:rsidRPr="00570701">
        <w:rPr>
          <w:bCs/>
          <w:noProof/>
          <w:lang w:val="en-US"/>
        </w:rPr>
        <w:t>, to</w:t>
      </w:r>
      <w:r w:rsidR="00F279EE">
        <w:rPr>
          <w:bCs/>
          <w:noProof/>
          <w:color w:val="1F497D"/>
          <w:lang w:val="en-US"/>
        </w:rPr>
        <w:t xml:space="preserve"> </w:t>
      </w:r>
      <w:r w:rsidR="00F279EE">
        <w:rPr>
          <w:rFonts w:eastAsia="Calibri"/>
          <w:noProof/>
        </w:rPr>
        <w:t xml:space="preserve">build on the “first hand” information about companies in business registers, their interconnection at EU level and the </w:t>
      </w:r>
      <w:r w:rsidR="00F279EE" w:rsidRPr="005C4BC3">
        <w:rPr>
          <w:rFonts w:cstheme="minorHAnsi"/>
          <w:noProof/>
          <w:szCs w:val="20"/>
        </w:rPr>
        <w:t xml:space="preserve">use of EUID to </w:t>
      </w:r>
      <w:r w:rsidR="00F279EE" w:rsidRPr="005C4BC3">
        <w:rPr>
          <w:rFonts w:cstheme="minorHAnsi"/>
          <w:noProof/>
          <w:szCs w:val="20"/>
          <w:lang w:val="en-US"/>
        </w:rPr>
        <w:t xml:space="preserve">link the information available about a particular company across </w:t>
      </w:r>
      <w:r w:rsidR="00F279EE">
        <w:rPr>
          <w:rFonts w:cstheme="minorHAnsi"/>
          <w:noProof/>
          <w:szCs w:val="20"/>
          <w:lang w:val="en-US"/>
        </w:rPr>
        <w:t xml:space="preserve">different EU </w:t>
      </w:r>
      <w:r w:rsidR="00F279EE" w:rsidRPr="005C4BC3">
        <w:rPr>
          <w:rFonts w:cstheme="minorHAnsi"/>
          <w:noProof/>
          <w:szCs w:val="20"/>
          <w:lang w:val="en-US"/>
        </w:rPr>
        <w:t>systems</w:t>
      </w:r>
      <w:r w:rsidR="00F279EE">
        <w:rPr>
          <w:rFonts w:cstheme="minorHAnsi"/>
          <w:noProof/>
          <w:szCs w:val="20"/>
          <w:lang w:val="en-US"/>
        </w:rPr>
        <w:t xml:space="preserve">, and to avoid duplication and contribute to creating </w:t>
      </w:r>
      <w:r w:rsidR="00F279EE" w:rsidRPr="00CB6208">
        <w:rPr>
          <w:rFonts w:eastAsia="Calibri"/>
          <w:noProof/>
        </w:rPr>
        <w:t xml:space="preserve">more connected public administrations cross-border in the </w:t>
      </w:r>
      <w:r w:rsidR="00F279EE">
        <w:rPr>
          <w:rFonts w:eastAsia="Calibri"/>
          <w:noProof/>
        </w:rPr>
        <w:t>s</w:t>
      </w:r>
      <w:r w:rsidR="00F279EE" w:rsidRPr="00CB6208">
        <w:rPr>
          <w:rFonts w:eastAsia="Calibri"/>
          <w:noProof/>
        </w:rPr>
        <w:t xml:space="preserve">ingle </w:t>
      </w:r>
      <w:r w:rsidR="00F279EE">
        <w:rPr>
          <w:rFonts w:eastAsia="Calibri"/>
          <w:noProof/>
        </w:rPr>
        <w:t>m</w:t>
      </w:r>
      <w:r w:rsidR="00F279EE" w:rsidRPr="00CB6208">
        <w:rPr>
          <w:rFonts w:eastAsia="Calibri"/>
          <w:noProof/>
        </w:rPr>
        <w:t>arket</w:t>
      </w:r>
      <w:r w:rsidR="00395ABF">
        <w:rPr>
          <w:noProof/>
          <w:color w:val="000000"/>
          <w:szCs w:val="24"/>
          <w:shd w:val="clear" w:color="auto" w:fill="FFFFFF"/>
        </w:rPr>
        <w:t>.</w:t>
      </w:r>
      <w:r w:rsidR="00395ABF" w:rsidRPr="00C407B8">
        <w:rPr>
          <w:noProof/>
        </w:rPr>
        <w:t xml:space="preserve"> </w:t>
      </w:r>
      <w:r w:rsidR="0065274F" w:rsidRPr="00C407B8">
        <w:rPr>
          <w:noProof/>
        </w:rPr>
        <w:t>The provision of information for monitoring and evaluation should not impose any unnecessary administrative burden on the stakeholders concerned.</w:t>
      </w:r>
      <w:r w:rsidR="00A033EA">
        <w:rPr>
          <w:noProof/>
        </w:rPr>
        <w:t xml:space="preserve"> </w:t>
      </w:r>
    </w:p>
    <w:p w14:paraId="651FBC74" w14:textId="77777777" w:rsidR="00573A63" w:rsidRDefault="00573A63" w:rsidP="00660ED3">
      <w:pPr>
        <w:pStyle w:val="ManualHeading2"/>
        <w:rPr>
          <w:rFonts w:eastAsia="Arial Unicode MS"/>
          <w:noProof/>
          <w:u w:color="000000"/>
          <w:bdr w:val="nil"/>
          <w:lang w:val="en-US" w:eastAsia="en-GB"/>
        </w:rPr>
      </w:pPr>
      <w:bookmarkStart w:id="58" w:name="_Toc126762673"/>
      <w:bookmarkStart w:id="59" w:name="_Toc126826585"/>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Explanatory documents (for </w:t>
      </w:r>
      <w:r w:rsidR="0065274F" w:rsidRPr="002F037C">
        <w:rPr>
          <w:rFonts w:eastAsia="Arial Unicode MS"/>
          <w:noProof/>
          <w:u w:color="000000"/>
          <w:bdr w:val="nil"/>
          <w:lang w:eastAsia="en-GB"/>
        </w:rPr>
        <w:t>D</w:t>
      </w:r>
      <w:r w:rsidRPr="007718A8">
        <w:rPr>
          <w:rFonts w:eastAsia="Arial Unicode MS"/>
          <w:noProof/>
          <w:u w:color="000000"/>
          <w:bdr w:val="nil"/>
          <w:lang w:val="en-US" w:eastAsia="en-GB"/>
        </w:rPr>
        <w:t>irectives)</w:t>
      </w:r>
      <w:bookmarkEnd w:id="58"/>
      <w:bookmarkEnd w:id="59"/>
    </w:p>
    <w:p w14:paraId="0D8D886F" w14:textId="77777777" w:rsidR="0065274F" w:rsidRPr="00C407B8" w:rsidRDefault="0065274F" w:rsidP="0065274F">
      <w:pPr>
        <w:pBdr>
          <w:top w:val="nil"/>
          <w:left w:val="nil"/>
          <w:bottom w:val="nil"/>
          <w:right w:val="nil"/>
          <w:between w:val="nil"/>
          <w:bar w:val="nil"/>
        </w:pBdr>
        <w:spacing w:before="0" w:after="240"/>
        <w:rPr>
          <w:rFonts w:eastAsia="Arial Unicode MS"/>
          <w:noProof/>
        </w:rPr>
      </w:pPr>
      <w:bookmarkStart w:id="60" w:name="_Toc126762674"/>
      <w:bookmarkStart w:id="61" w:name="_Toc126826586"/>
      <w:r w:rsidRPr="00C407B8">
        <w:rPr>
          <w:noProof/>
        </w:rPr>
        <w:t xml:space="preserve">The proposal is an amendment to </w:t>
      </w:r>
      <w:r w:rsidRPr="002F037C">
        <w:rPr>
          <w:rFonts w:eastAsia="Calibri"/>
          <w:noProof/>
          <w:szCs w:val="24"/>
        </w:rPr>
        <w:t xml:space="preserve">Directive 2009/102/EC </w:t>
      </w:r>
      <w:r w:rsidRPr="0065274F">
        <w:rPr>
          <w:bCs/>
          <w:noProof/>
          <w:szCs w:val="24"/>
          <w:shd w:val="clear" w:color="auto" w:fill="FFFFFF"/>
        </w:rPr>
        <w:t xml:space="preserve">on single-member private limited liability and to </w:t>
      </w:r>
      <w:r w:rsidRPr="00C407B8">
        <w:rPr>
          <w:noProof/>
        </w:rPr>
        <w:t>Directive (EU) 2017/1132 relating to certain aspects of company law. To ensure the proper implementation of this complex Directive, the explanatory document, e.g. in the form of correlation tables, would be necessary.</w:t>
      </w:r>
    </w:p>
    <w:p w14:paraId="09B7B915" w14:textId="77777777" w:rsidR="00573A63" w:rsidRDefault="00573A63" w:rsidP="00660ED3">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bookmarkEnd w:id="60"/>
      <w:bookmarkEnd w:id="61"/>
    </w:p>
    <w:p w14:paraId="68441B4A" w14:textId="77777777" w:rsidR="00F174F8" w:rsidRPr="008523EF" w:rsidRDefault="000A4CB4" w:rsidP="00F174F8">
      <w:pPr>
        <w:shd w:val="clear" w:color="auto" w:fill="FFFFFF"/>
        <w:spacing w:before="0" w:after="0"/>
        <w:textAlignment w:val="baseline"/>
        <w:rPr>
          <w:rFonts w:eastAsia="Times New Roman"/>
          <w:i/>
          <w:noProof/>
          <w:szCs w:val="24"/>
          <w:highlight w:val="yellow"/>
          <w:bdr w:val="none" w:sz="0" w:space="0" w:color="auto" w:frame="1"/>
          <w:lang w:val="en-US"/>
        </w:rPr>
      </w:pPr>
      <w:r w:rsidRPr="008523EF">
        <w:rPr>
          <w:rFonts w:eastAsia="Times New Roman"/>
          <w:i/>
          <w:noProof/>
          <w:szCs w:val="24"/>
          <w:bdr w:val="none" w:sz="0" w:space="0" w:color="auto" w:frame="1"/>
          <w:lang w:val="en-US"/>
        </w:rPr>
        <w:t xml:space="preserve">Amendment to </w:t>
      </w:r>
      <w:r w:rsidRPr="008523EF">
        <w:rPr>
          <w:rFonts w:eastAsia="Calibri"/>
          <w:i/>
          <w:noProof/>
          <w:szCs w:val="24"/>
          <w:lang w:val="en-US"/>
        </w:rPr>
        <w:t xml:space="preserve">Directive 2009/102/EC </w:t>
      </w:r>
    </w:p>
    <w:p w14:paraId="17D7DCB9" w14:textId="77777777" w:rsidR="000A4CB4" w:rsidRPr="008523EF" w:rsidRDefault="000A4CB4" w:rsidP="00F174F8">
      <w:pPr>
        <w:shd w:val="clear" w:color="auto" w:fill="FFFFFF"/>
        <w:spacing w:before="0" w:after="0"/>
        <w:textAlignment w:val="baseline"/>
        <w:rPr>
          <w:rFonts w:eastAsia="Times New Roman"/>
          <w:noProof/>
          <w:szCs w:val="24"/>
          <w:highlight w:val="yellow"/>
          <w:bdr w:val="none" w:sz="0" w:space="0" w:color="auto" w:frame="1"/>
          <w:lang w:val="en-US"/>
        </w:rPr>
      </w:pPr>
    </w:p>
    <w:p w14:paraId="4F3B5BD4" w14:textId="77777777" w:rsidR="00B86718" w:rsidRPr="008523EF" w:rsidRDefault="00B86718" w:rsidP="00B86718">
      <w:pPr>
        <w:shd w:val="clear" w:color="auto" w:fill="FFFFFF"/>
        <w:spacing w:before="0" w:after="0"/>
        <w:textAlignment w:val="baseline"/>
        <w:rPr>
          <w:rFonts w:eastAsia="Calibri"/>
          <w:noProof/>
          <w:szCs w:val="24"/>
          <w:lang w:val="en-US"/>
        </w:rPr>
      </w:pPr>
      <w:r w:rsidRPr="008523EF">
        <w:rPr>
          <w:rFonts w:eastAsia="Times New Roman"/>
          <w:noProof/>
          <w:szCs w:val="24"/>
          <w:u w:val="single"/>
          <w:lang w:val="en-US"/>
        </w:rPr>
        <w:t>Article 3</w:t>
      </w:r>
      <w:r w:rsidRPr="008523EF">
        <w:rPr>
          <w:rFonts w:eastAsia="Times New Roman"/>
          <w:noProof/>
          <w:szCs w:val="24"/>
          <w:lang w:val="en-US"/>
        </w:rPr>
        <w:t xml:space="preserve"> of </w:t>
      </w:r>
      <w:r w:rsidRPr="008523EF">
        <w:rPr>
          <w:rFonts w:eastAsia="Calibri"/>
          <w:noProof/>
          <w:szCs w:val="24"/>
          <w:lang w:val="en-US"/>
        </w:rPr>
        <w:t xml:space="preserve">Directive 2009/102/EC is replaced. The new provision aims to ensure that the identity of the single member is </w:t>
      </w:r>
      <w:r w:rsidR="00B16FB4">
        <w:rPr>
          <w:rFonts w:eastAsia="Calibri"/>
          <w:noProof/>
          <w:szCs w:val="24"/>
          <w:lang w:val="en-US"/>
        </w:rPr>
        <w:t xml:space="preserve">always </w:t>
      </w:r>
      <w:r w:rsidRPr="008523EF">
        <w:rPr>
          <w:rFonts w:eastAsia="Calibri"/>
          <w:noProof/>
          <w:szCs w:val="24"/>
          <w:lang w:val="en-US"/>
        </w:rPr>
        <w:t xml:space="preserve">disclosed in </w:t>
      </w:r>
      <w:r w:rsidR="00B16FB4">
        <w:rPr>
          <w:rFonts w:eastAsia="Calibri"/>
          <w:noProof/>
          <w:szCs w:val="24"/>
          <w:lang w:val="en-US"/>
        </w:rPr>
        <w:t xml:space="preserve">national business </w:t>
      </w:r>
      <w:r w:rsidRPr="008523EF">
        <w:rPr>
          <w:rFonts w:eastAsia="Calibri"/>
          <w:noProof/>
          <w:szCs w:val="24"/>
          <w:lang w:val="en-US"/>
        </w:rPr>
        <w:t>register</w:t>
      </w:r>
      <w:r w:rsidR="00B23AE1" w:rsidRPr="008523EF">
        <w:rPr>
          <w:rFonts w:eastAsia="Calibri"/>
          <w:noProof/>
          <w:szCs w:val="24"/>
          <w:lang w:val="en-US"/>
        </w:rPr>
        <w:t xml:space="preserve">s and made accessible through the system of interconnection of registers. </w:t>
      </w:r>
    </w:p>
    <w:p w14:paraId="333EBDD1" w14:textId="77777777" w:rsidR="008A5F8D" w:rsidRDefault="008A5F8D" w:rsidP="00B86718">
      <w:pPr>
        <w:shd w:val="clear" w:color="auto" w:fill="FFFFFF"/>
        <w:spacing w:before="0" w:after="0"/>
        <w:textAlignment w:val="baseline"/>
        <w:rPr>
          <w:rFonts w:eastAsia="Calibri"/>
          <w:noProof/>
          <w:color w:val="00B050"/>
          <w:szCs w:val="24"/>
          <w:lang w:val="en-US"/>
        </w:rPr>
      </w:pPr>
    </w:p>
    <w:p w14:paraId="0904C0B0" w14:textId="77777777" w:rsidR="008A5F8D" w:rsidRPr="000A4CB4" w:rsidRDefault="000A4CB4" w:rsidP="00B86718">
      <w:pPr>
        <w:shd w:val="clear" w:color="auto" w:fill="FFFFFF"/>
        <w:spacing w:before="0" w:after="0"/>
        <w:textAlignment w:val="baseline"/>
        <w:rPr>
          <w:rFonts w:eastAsia="Times New Roman"/>
          <w:i/>
          <w:noProof/>
          <w:color w:val="000000"/>
          <w:szCs w:val="24"/>
          <w:lang w:val="en-US"/>
        </w:rPr>
      </w:pPr>
      <w:r w:rsidRPr="000A4CB4">
        <w:rPr>
          <w:rFonts w:eastAsia="Times New Roman"/>
          <w:i/>
          <w:noProof/>
          <w:color w:val="000000"/>
          <w:szCs w:val="24"/>
          <w:lang w:val="en-US"/>
        </w:rPr>
        <w:t xml:space="preserve">Amendments to </w:t>
      </w:r>
      <w:r w:rsidR="008A5F8D" w:rsidRPr="000A4CB4">
        <w:rPr>
          <w:rFonts w:eastAsia="Times New Roman"/>
          <w:i/>
          <w:noProof/>
          <w:color w:val="000000"/>
          <w:szCs w:val="24"/>
          <w:lang w:val="en-US"/>
        </w:rPr>
        <w:t xml:space="preserve">Directive </w:t>
      </w:r>
      <w:r w:rsidRPr="000A4CB4">
        <w:rPr>
          <w:rFonts w:eastAsia="Times New Roman"/>
          <w:i/>
          <w:noProof/>
          <w:color w:val="000000"/>
          <w:szCs w:val="24"/>
          <w:shd w:val="clear" w:color="auto" w:fill="FFFFFF"/>
          <w:lang w:val="en-US"/>
        </w:rPr>
        <w:t>(EU) 2017/1132</w:t>
      </w:r>
    </w:p>
    <w:p w14:paraId="1660D78A" w14:textId="77777777" w:rsidR="00B86718" w:rsidRDefault="00B86718" w:rsidP="00F174F8">
      <w:pPr>
        <w:shd w:val="clear" w:color="auto" w:fill="FFFFFF"/>
        <w:spacing w:before="0" w:after="0"/>
        <w:textAlignment w:val="baseline"/>
        <w:rPr>
          <w:rFonts w:eastAsia="Times New Roman"/>
          <w:noProof/>
          <w:color w:val="000000"/>
          <w:szCs w:val="24"/>
          <w:highlight w:val="yellow"/>
          <w:bdr w:val="none" w:sz="0" w:space="0" w:color="auto" w:frame="1"/>
          <w:lang w:val="en-US"/>
        </w:rPr>
      </w:pPr>
    </w:p>
    <w:p w14:paraId="1C397412" w14:textId="77777777" w:rsidR="00F174F8" w:rsidRDefault="0065274F" w:rsidP="00F174F8">
      <w:pPr>
        <w:shd w:val="clear" w:color="auto" w:fill="FFFFFF"/>
        <w:spacing w:before="0" w:after="0"/>
        <w:textAlignment w:val="baseline"/>
        <w:rPr>
          <w:rFonts w:eastAsia="Times New Roman"/>
          <w:noProof/>
          <w:color w:val="000000"/>
          <w:szCs w:val="24"/>
          <w:bdr w:val="none" w:sz="0" w:space="0" w:color="auto" w:frame="1"/>
        </w:rPr>
      </w:pPr>
      <w:r w:rsidRPr="00F84668">
        <w:rPr>
          <w:rFonts w:eastAsia="Times New Roman"/>
          <w:noProof/>
          <w:color w:val="000000"/>
          <w:szCs w:val="24"/>
          <w:u w:val="single"/>
          <w:bdr w:val="none" w:sz="0" w:space="0" w:color="auto" w:frame="1"/>
        </w:rPr>
        <w:t>Article 1</w:t>
      </w:r>
      <w:r w:rsidRPr="00F84668">
        <w:rPr>
          <w:rFonts w:eastAsia="Times New Roman"/>
          <w:noProof/>
          <w:color w:val="000000"/>
          <w:szCs w:val="24"/>
          <w:bdr w:val="none" w:sz="0" w:space="0" w:color="auto" w:frame="1"/>
        </w:rPr>
        <w:t> extends the subject matter falling under Directive (EU) 2017/1132 to those new areas to which this proposal adds measures.</w:t>
      </w:r>
    </w:p>
    <w:p w14:paraId="63268D16" w14:textId="77777777" w:rsidR="0065274F" w:rsidRPr="00F174F8" w:rsidRDefault="0065274F" w:rsidP="00F174F8">
      <w:pPr>
        <w:shd w:val="clear" w:color="auto" w:fill="FFFFFF"/>
        <w:spacing w:before="0" w:after="0"/>
        <w:textAlignment w:val="baseline"/>
        <w:rPr>
          <w:rFonts w:eastAsia="Times New Roman"/>
          <w:noProof/>
          <w:color w:val="000000"/>
          <w:szCs w:val="24"/>
          <w:highlight w:val="yellow"/>
          <w:bdr w:val="none" w:sz="0" w:space="0" w:color="auto" w:frame="1"/>
          <w:lang w:val="en-US"/>
        </w:rPr>
      </w:pPr>
    </w:p>
    <w:p w14:paraId="58FF67D2" w14:textId="77777777" w:rsidR="00F174F8" w:rsidRPr="00F174F8" w:rsidRDefault="00F174F8" w:rsidP="00F174F8">
      <w:pPr>
        <w:spacing w:before="0" w:after="0"/>
        <w:textAlignment w:val="baseline"/>
        <w:rPr>
          <w:rFonts w:eastAsia="Times New Roman"/>
          <w:noProof/>
          <w:color w:val="000000"/>
          <w:szCs w:val="24"/>
          <w:bdr w:val="none" w:sz="0" w:space="0" w:color="auto" w:frame="1"/>
          <w:lang w:val="en-US"/>
        </w:rPr>
      </w:pPr>
      <w:r w:rsidRPr="008523EF">
        <w:rPr>
          <w:rFonts w:eastAsia="Times New Roman"/>
          <w:noProof/>
          <w:color w:val="000000"/>
          <w:szCs w:val="24"/>
          <w:u w:val="single"/>
          <w:bdr w:val="none" w:sz="0" w:space="0" w:color="auto" w:frame="1"/>
          <w:lang w:val="en-US"/>
        </w:rPr>
        <w:t xml:space="preserve">Article </w:t>
      </w:r>
      <w:r w:rsidR="00E44D64" w:rsidRPr="008523EF">
        <w:rPr>
          <w:rFonts w:eastAsia="Times New Roman"/>
          <w:noProof/>
          <w:color w:val="000000"/>
          <w:szCs w:val="24"/>
          <w:u w:val="single"/>
          <w:bdr w:val="none" w:sz="0" w:space="0" w:color="auto" w:frame="1"/>
          <w:lang w:val="en-US"/>
        </w:rPr>
        <w:t>7</w:t>
      </w:r>
      <w:r w:rsidRPr="00F174F8">
        <w:rPr>
          <w:rFonts w:eastAsia="Times New Roman"/>
          <w:noProof/>
          <w:color w:val="000000"/>
          <w:szCs w:val="24"/>
          <w:bdr w:val="none" w:sz="0" w:space="0" w:color="auto" w:frame="1"/>
          <w:lang w:val="en-US"/>
        </w:rPr>
        <w:t> </w:t>
      </w:r>
      <w:r w:rsidR="00E44D64">
        <w:rPr>
          <w:rFonts w:eastAsia="Times New Roman"/>
          <w:noProof/>
          <w:color w:val="000000"/>
          <w:szCs w:val="24"/>
          <w:bdr w:val="none" w:sz="0" w:space="0" w:color="auto" w:frame="1"/>
          <w:lang w:val="en-US"/>
        </w:rPr>
        <w:t xml:space="preserve">is extended to cover </w:t>
      </w:r>
      <w:r w:rsidRPr="00F174F8">
        <w:rPr>
          <w:rFonts w:eastAsia="Times New Roman"/>
          <w:noProof/>
          <w:color w:val="000000"/>
          <w:szCs w:val="24"/>
          <w:bdr w:val="none" w:sz="0" w:space="0" w:color="auto" w:frame="1"/>
          <w:lang w:val="en-US"/>
        </w:rPr>
        <w:t>partnership</w:t>
      </w:r>
      <w:r w:rsidR="00E44D64">
        <w:rPr>
          <w:rFonts w:eastAsia="Times New Roman"/>
          <w:noProof/>
          <w:color w:val="000000"/>
          <w:szCs w:val="24"/>
          <w:bdr w:val="none" w:sz="0" w:space="0" w:color="auto" w:frame="1"/>
          <w:lang w:val="en-US"/>
        </w:rPr>
        <w:t>s</w:t>
      </w:r>
      <w:r w:rsidRPr="00F174F8">
        <w:rPr>
          <w:rFonts w:eastAsia="Times New Roman"/>
          <w:noProof/>
          <w:color w:val="000000"/>
          <w:szCs w:val="24"/>
          <w:bdr w:val="none" w:sz="0" w:space="0" w:color="auto" w:frame="1"/>
          <w:lang w:val="en-US"/>
        </w:rPr>
        <w:t xml:space="preserve"> </w:t>
      </w:r>
      <w:r w:rsidR="00E44D64">
        <w:rPr>
          <w:rFonts w:eastAsia="Times New Roman"/>
          <w:noProof/>
          <w:color w:val="000000"/>
          <w:szCs w:val="24"/>
          <w:bdr w:val="none" w:sz="0" w:space="0" w:color="auto" w:frame="1"/>
          <w:lang w:val="en-US"/>
        </w:rPr>
        <w:t>in line with Article 10</w:t>
      </w:r>
      <w:r w:rsidRPr="00F174F8">
        <w:rPr>
          <w:rFonts w:eastAsia="Times New Roman"/>
          <w:noProof/>
          <w:color w:val="000000"/>
          <w:szCs w:val="24"/>
          <w:bdr w:val="none" w:sz="0" w:space="0" w:color="auto" w:frame="1"/>
          <w:lang w:val="en-US"/>
        </w:rPr>
        <w:t>.</w:t>
      </w:r>
    </w:p>
    <w:p w14:paraId="593ED388" w14:textId="77777777" w:rsidR="00F174F8" w:rsidRPr="00F174F8" w:rsidRDefault="00F174F8" w:rsidP="00F174F8">
      <w:pPr>
        <w:spacing w:before="0" w:after="0"/>
        <w:textAlignment w:val="baseline"/>
        <w:rPr>
          <w:rFonts w:eastAsia="Times New Roman"/>
          <w:noProof/>
          <w:color w:val="000000"/>
          <w:szCs w:val="24"/>
          <w:bdr w:val="none" w:sz="0" w:space="0" w:color="auto" w:frame="1"/>
          <w:lang w:val="en-US"/>
        </w:rPr>
      </w:pPr>
    </w:p>
    <w:p w14:paraId="5A45E5FE" w14:textId="77777777" w:rsidR="00F174F8" w:rsidRPr="00F174F8" w:rsidRDefault="00F174F8" w:rsidP="00F174F8">
      <w:pPr>
        <w:spacing w:before="0" w:after="0"/>
        <w:textAlignment w:val="baseline"/>
        <w:rPr>
          <w:rFonts w:eastAsia="Times New Roman"/>
          <w:noProof/>
          <w:color w:val="000000"/>
          <w:szCs w:val="24"/>
          <w:bdr w:val="none" w:sz="0" w:space="0" w:color="auto" w:frame="1"/>
          <w:shd w:val="clear" w:color="auto" w:fill="FFFFFF"/>
          <w:lang w:val="en-US"/>
        </w:rPr>
      </w:pPr>
      <w:r w:rsidRPr="008523EF">
        <w:rPr>
          <w:rFonts w:eastAsia="Times New Roman"/>
          <w:noProof/>
          <w:color w:val="000000"/>
          <w:szCs w:val="24"/>
          <w:u w:val="single"/>
          <w:bdr w:val="none" w:sz="0" w:space="0" w:color="auto" w:frame="1"/>
          <w:lang w:val="en-US"/>
        </w:rPr>
        <w:t>Article 10</w:t>
      </w:r>
      <w:r w:rsidRPr="00F174F8">
        <w:rPr>
          <w:rFonts w:eastAsia="Times New Roman"/>
          <w:noProof/>
          <w:color w:val="000000"/>
          <w:szCs w:val="24"/>
          <w:bdr w:val="none" w:sz="0" w:space="0" w:color="auto" w:frame="1"/>
          <w:shd w:val="clear" w:color="auto" w:fill="FFFFFF"/>
          <w:lang w:val="en-US"/>
        </w:rPr>
        <w:t> is replaced</w:t>
      </w:r>
      <w:r w:rsidR="00E44D64">
        <w:rPr>
          <w:rFonts w:eastAsia="Times New Roman"/>
          <w:noProof/>
          <w:color w:val="000000"/>
          <w:szCs w:val="24"/>
          <w:bdr w:val="none" w:sz="0" w:space="0" w:color="auto" w:frame="1"/>
          <w:shd w:val="clear" w:color="auto" w:fill="FFFFFF"/>
          <w:lang w:val="en-US"/>
        </w:rPr>
        <w:t xml:space="preserve"> by a </w:t>
      </w:r>
      <w:r w:rsidRPr="00F174F8">
        <w:rPr>
          <w:rFonts w:eastAsia="Times New Roman"/>
          <w:noProof/>
          <w:color w:val="000000"/>
          <w:szCs w:val="24"/>
          <w:bdr w:val="none" w:sz="0" w:space="0" w:color="auto" w:frame="1"/>
          <w:shd w:val="clear" w:color="auto" w:fill="FFFFFF"/>
          <w:lang w:val="en-US"/>
        </w:rPr>
        <w:t>new provision introduc</w:t>
      </w:r>
      <w:r w:rsidR="00E44D64">
        <w:rPr>
          <w:rFonts w:eastAsia="Times New Roman"/>
          <w:noProof/>
          <w:color w:val="000000"/>
          <w:szCs w:val="24"/>
          <w:bdr w:val="none" w:sz="0" w:space="0" w:color="auto" w:frame="1"/>
          <w:shd w:val="clear" w:color="auto" w:fill="FFFFFF"/>
          <w:lang w:val="en-US"/>
        </w:rPr>
        <w:t>ing the requirement to have</w:t>
      </w:r>
      <w:r w:rsidRPr="00F174F8">
        <w:rPr>
          <w:rFonts w:eastAsia="Times New Roman"/>
          <w:noProof/>
          <w:color w:val="000000"/>
          <w:szCs w:val="24"/>
          <w:bdr w:val="none" w:sz="0" w:space="0" w:color="auto" w:frame="1"/>
          <w:shd w:val="clear" w:color="auto" w:fill="FFFFFF"/>
          <w:lang w:val="en-US"/>
        </w:rPr>
        <w:t xml:space="preserve"> a </w:t>
      </w:r>
      <w:r w:rsidR="00A140CA">
        <w:rPr>
          <w:rFonts w:eastAsia="Times New Roman"/>
          <w:noProof/>
          <w:color w:val="000000"/>
          <w:szCs w:val="24"/>
          <w:bdr w:val="none" w:sz="0" w:space="0" w:color="auto" w:frame="1"/>
          <w:shd w:val="clear" w:color="auto" w:fill="FFFFFF"/>
          <w:lang w:val="en-US"/>
        </w:rPr>
        <w:t xml:space="preserve">preventive administrative or judicial control </w:t>
      </w:r>
      <w:r w:rsidR="00A4203C">
        <w:rPr>
          <w:rFonts w:eastAsia="Times New Roman"/>
          <w:noProof/>
          <w:color w:val="000000"/>
          <w:szCs w:val="24"/>
          <w:bdr w:val="none" w:sz="0" w:space="0" w:color="auto" w:frame="1"/>
          <w:shd w:val="clear" w:color="auto" w:fill="FFFFFF"/>
          <w:lang w:val="en-US"/>
        </w:rPr>
        <w:t>and a</w:t>
      </w:r>
      <w:r w:rsidRPr="00F174F8">
        <w:rPr>
          <w:rFonts w:eastAsia="Times New Roman"/>
          <w:noProof/>
          <w:color w:val="000000"/>
          <w:szCs w:val="24"/>
          <w:bdr w:val="none" w:sz="0" w:space="0" w:color="auto" w:frame="1"/>
          <w:shd w:val="clear" w:color="auto" w:fill="FFFFFF"/>
          <w:lang w:val="en-US"/>
        </w:rPr>
        <w:t xml:space="preserve"> </w:t>
      </w:r>
      <w:r w:rsidR="00A4203C">
        <w:rPr>
          <w:rFonts w:eastAsia="Times New Roman"/>
          <w:noProof/>
          <w:color w:val="000000"/>
          <w:szCs w:val="24"/>
          <w:bdr w:val="none" w:sz="0" w:space="0" w:color="auto" w:frame="1"/>
          <w:shd w:val="clear" w:color="auto" w:fill="FFFFFF"/>
          <w:lang w:val="en-US"/>
        </w:rPr>
        <w:t xml:space="preserve">procedure for </w:t>
      </w:r>
      <w:r w:rsidR="00D35BE2">
        <w:rPr>
          <w:rFonts w:eastAsia="Times New Roman"/>
          <w:noProof/>
          <w:color w:val="000000"/>
          <w:szCs w:val="24"/>
          <w:bdr w:val="none" w:sz="0" w:space="0" w:color="auto" w:frame="1"/>
          <w:shd w:val="clear" w:color="auto" w:fill="FFFFFF"/>
          <w:lang w:val="en-US"/>
        </w:rPr>
        <w:t>the</w:t>
      </w:r>
      <w:r w:rsidRPr="00F174F8">
        <w:rPr>
          <w:rFonts w:eastAsia="Times New Roman"/>
          <w:noProof/>
          <w:color w:val="000000"/>
          <w:szCs w:val="24"/>
          <w:bdr w:val="none" w:sz="0" w:space="0" w:color="auto" w:frame="1"/>
          <w:shd w:val="clear" w:color="auto" w:fill="FFFFFF"/>
          <w:lang w:val="en-US"/>
        </w:rPr>
        <w:t xml:space="preserve"> legality check </w:t>
      </w:r>
      <w:r w:rsidR="00A140CA">
        <w:rPr>
          <w:rFonts w:eastAsia="Times New Roman"/>
          <w:noProof/>
          <w:color w:val="000000"/>
          <w:szCs w:val="24"/>
          <w:bdr w:val="none" w:sz="0" w:space="0" w:color="auto" w:frame="1"/>
          <w:shd w:val="clear" w:color="auto" w:fill="FFFFFF"/>
          <w:lang w:val="en-US"/>
        </w:rPr>
        <w:t>o</w:t>
      </w:r>
      <w:r w:rsidRPr="00F174F8">
        <w:rPr>
          <w:rFonts w:eastAsia="Times New Roman"/>
          <w:noProof/>
          <w:color w:val="000000"/>
          <w:szCs w:val="24"/>
          <w:bdr w:val="none" w:sz="0" w:space="0" w:color="auto" w:frame="1"/>
          <w:shd w:val="clear" w:color="auto" w:fill="FFFFFF"/>
          <w:lang w:val="en-US"/>
        </w:rPr>
        <w:t xml:space="preserve">f the instrument of constitution of both limited liability companies and partnerships in a fully online, hybrid or offline mode of formation. </w:t>
      </w:r>
      <w:r w:rsidR="0065274F" w:rsidRPr="00F84668">
        <w:rPr>
          <w:rFonts w:eastAsia="Times New Roman"/>
          <w:noProof/>
          <w:color w:val="000000"/>
          <w:szCs w:val="24"/>
          <w:bdr w:val="none" w:sz="0" w:space="0" w:color="auto" w:frame="1"/>
          <w:shd w:val="clear" w:color="auto" w:fill="FFFFFF"/>
        </w:rPr>
        <w:t xml:space="preserve">If a </w:t>
      </w:r>
      <w:r w:rsidRPr="00F174F8">
        <w:rPr>
          <w:rFonts w:eastAsia="Times New Roman"/>
          <w:noProof/>
          <w:color w:val="000000"/>
          <w:szCs w:val="24"/>
          <w:bdr w:val="none" w:sz="0" w:space="0" w:color="auto" w:frame="1"/>
          <w:shd w:val="clear" w:color="auto" w:fill="FFFFFF"/>
          <w:lang w:val="en-US"/>
        </w:rPr>
        <w:t xml:space="preserve">partnership does not have an instrument of constitution, the legality check applies to any document that provides the same information as the instrument of constitution. </w:t>
      </w:r>
    </w:p>
    <w:p w14:paraId="46951618" w14:textId="77777777" w:rsidR="00F174F8" w:rsidRPr="00F174F8" w:rsidRDefault="00F174F8" w:rsidP="00F174F8">
      <w:pPr>
        <w:spacing w:before="0" w:after="0"/>
        <w:textAlignment w:val="baseline"/>
        <w:rPr>
          <w:rFonts w:eastAsia="Times New Roman"/>
          <w:noProof/>
          <w:color w:val="000000"/>
          <w:szCs w:val="24"/>
          <w:bdr w:val="none" w:sz="0" w:space="0" w:color="auto" w:frame="1"/>
          <w:shd w:val="clear" w:color="auto" w:fill="FFFFFF"/>
          <w:lang w:val="en-US"/>
        </w:rPr>
      </w:pPr>
    </w:p>
    <w:p w14:paraId="607D61DF" w14:textId="77777777" w:rsidR="002C4F0F" w:rsidRPr="002C4F0F" w:rsidRDefault="002C4F0F" w:rsidP="002C4F0F">
      <w:pPr>
        <w:shd w:val="clear" w:color="auto" w:fill="FFFFFF"/>
        <w:spacing w:before="0" w:after="0"/>
        <w:textAlignment w:val="baseline"/>
        <w:rPr>
          <w:rFonts w:eastAsia="Times New Roman"/>
          <w:noProof/>
          <w:color w:val="000000"/>
          <w:szCs w:val="24"/>
          <w:lang w:val="en-US"/>
        </w:rPr>
      </w:pPr>
      <w:r w:rsidRPr="008523EF">
        <w:rPr>
          <w:rFonts w:eastAsia="Times New Roman"/>
          <w:noProof/>
          <w:color w:val="000000"/>
          <w:szCs w:val="24"/>
          <w:u w:val="single"/>
          <w:bdr w:val="none" w:sz="0" w:space="0" w:color="auto" w:frame="1"/>
          <w:shd w:val="clear" w:color="auto" w:fill="FFFFFF"/>
          <w:lang w:val="en-US"/>
        </w:rPr>
        <w:t xml:space="preserve">Amended </w:t>
      </w:r>
      <w:r w:rsidR="00F174F8" w:rsidRPr="008523EF">
        <w:rPr>
          <w:rFonts w:eastAsia="Times New Roman"/>
          <w:noProof/>
          <w:color w:val="000000"/>
          <w:szCs w:val="24"/>
          <w:u w:val="single"/>
          <w:bdr w:val="none" w:sz="0" w:space="0" w:color="auto" w:frame="1"/>
          <w:shd w:val="clear" w:color="auto" w:fill="FFFFFF"/>
          <w:lang w:val="en-US"/>
        </w:rPr>
        <w:t>Article 13</w:t>
      </w:r>
      <w:r w:rsidR="00F174F8" w:rsidRPr="00F174F8">
        <w:rPr>
          <w:rFonts w:eastAsia="Times New Roman"/>
          <w:noProof/>
          <w:color w:val="000000"/>
          <w:szCs w:val="24"/>
          <w:bdr w:val="none" w:sz="0" w:space="0" w:color="auto" w:frame="1"/>
          <w:shd w:val="clear" w:color="auto" w:fill="FFFFFF"/>
          <w:lang w:val="en-US"/>
        </w:rPr>
        <w:t xml:space="preserve"> </w:t>
      </w:r>
      <w:r>
        <w:rPr>
          <w:rFonts w:eastAsia="Times New Roman"/>
          <w:noProof/>
          <w:color w:val="000000"/>
          <w:szCs w:val="24"/>
          <w:shd w:val="clear" w:color="auto" w:fill="FFFFFF"/>
          <w:lang w:val="en-US"/>
        </w:rPr>
        <w:t>includes</w:t>
      </w:r>
      <w:r w:rsidR="00F84668" w:rsidRPr="00F84668">
        <w:rPr>
          <w:rFonts w:eastAsia="Times New Roman"/>
          <w:noProof/>
          <w:color w:val="000000"/>
          <w:szCs w:val="24"/>
          <w:shd w:val="clear" w:color="auto" w:fill="FFFFFF"/>
        </w:rPr>
        <w:t xml:space="preserve">, where specified in the relevant provisions, </w:t>
      </w:r>
      <w:r w:rsidR="00F174F8" w:rsidRPr="00F174F8">
        <w:rPr>
          <w:rFonts w:eastAsia="Times New Roman"/>
          <w:noProof/>
          <w:color w:val="000000"/>
          <w:szCs w:val="24"/>
          <w:shd w:val="clear" w:color="auto" w:fill="FFFFFF"/>
          <w:lang w:val="en-US"/>
        </w:rPr>
        <w:t>partnerships</w:t>
      </w:r>
      <w:r w:rsidR="009C2B5E">
        <w:rPr>
          <w:rFonts w:eastAsia="Times New Roman"/>
          <w:noProof/>
          <w:color w:val="000000"/>
          <w:szCs w:val="24"/>
          <w:shd w:val="clear" w:color="auto" w:fill="FFFFFF"/>
          <w:lang w:val="en-US"/>
        </w:rPr>
        <w:t xml:space="preserve"> </w:t>
      </w:r>
      <w:r>
        <w:rPr>
          <w:rFonts w:eastAsia="Times New Roman"/>
          <w:noProof/>
          <w:color w:val="000000"/>
          <w:szCs w:val="24"/>
          <w:shd w:val="clear" w:color="auto" w:fill="FFFFFF"/>
          <w:lang w:val="en-US"/>
        </w:rPr>
        <w:t xml:space="preserve">under the scope of </w:t>
      </w:r>
      <w:r w:rsidR="00F84668" w:rsidRPr="00F84668">
        <w:rPr>
          <w:rFonts w:eastAsia="Times New Roman"/>
          <w:noProof/>
          <w:color w:val="000000"/>
          <w:szCs w:val="24"/>
          <w:shd w:val="clear" w:color="auto" w:fill="FFFFFF"/>
        </w:rPr>
        <w:t>Sections</w:t>
      </w:r>
      <w:r>
        <w:rPr>
          <w:rFonts w:eastAsia="Times New Roman"/>
          <w:noProof/>
          <w:color w:val="000000"/>
          <w:szCs w:val="24"/>
          <w:shd w:val="clear" w:color="auto" w:fill="FFFFFF"/>
          <w:lang w:val="en-US"/>
        </w:rPr>
        <w:t xml:space="preserve"> 1 and 1A of </w:t>
      </w:r>
      <w:r w:rsidRPr="002C4F0F">
        <w:rPr>
          <w:rFonts w:eastAsia="Times New Roman"/>
          <w:noProof/>
          <w:color w:val="000000"/>
          <w:szCs w:val="24"/>
          <w:lang w:val="en-US"/>
        </w:rPr>
        <w:t xml:space="preserve">Directive </w:t>
      </w:r>
      <w:r w:rsidRPr="002C4F0F">
        <w:rPr>
          <w:rFonts w:eastAsia="Times New Roman"/>
          <w:noProof/>
          <w:color w:val="000000"/>
          <w:szCs w:val="24"/>
          <w:shd w:val="clear" w:color="auto" w:fill="FFFFFF"/>
          <w:lang w:val="en-US"/>
        </w:rPr>
        <w:t>(EU) 2017/1132</w:t>
      </w:r>
      <w:r>
        <w:rPr>
          <w:rFonts w:eastAsia="Times New Roman"/>
          <w:noProof/>
          <w:color w:val="000000"/>
          <w:szCs w:val="24"/>
          <w:shd w:val="clear" w:color="auto" w:fill="FFFFFF"/>
          <w:lang w:val="en-US"/>
        </w:rPr>
        <w:t xml:space="preserve">. </w:t>
      </w:r>
    </w:p>
    <w:p w14:paraId="452088F8" w14:textId="77777777" w:rsidR="00F174F8" w:rsidRPr="00F174F8" w:rsidRDefault="00F174F8" w:rsidP="00F174F8">
      <w:pPr>
        <w:spacing w:before="0" w:after="0"/>
        <w:textAlignment w:val="baseline"/>
        <w:rPr>
          <w:rFonts w:eastAsia="Times New Roman"/>
          <w:noProof/>
          <w:color w:val="000000"/>
          <w:szCs w:val="24"/>
          <w:shd w:val="clear" w:color="auto" w:fill="FFFFFF"/>
          <w:lang w:val="en-US"/>
        </w:rPr>
      </w:pPr>
    </w:p>
    <w:p w14:paraId="0C336D96" w14:textId="77777777" w:rsidR="00F174F8" w:rsidRDefault="00F174F8" w:rsidP="00F174F8">
      <w:pPr>
        <w:shd w:val="clear" w:color="auto" w:fill="FFFFFF"/>
        <w:spacing w:before="0" w:after="0"/>
        <w:textAlignment w:val="baseline"/>
        <w:rPr>
          <w:rFonts w:eastAsia="Times New Roman"/>
          <w:noProof/>
          <w:color w:val="000000"/>
          <w:szCs w:val="24"/>
          <w:bdr w:val="none" w:sz="0" w:space="0" w:color="auto" w:frame="1"/>
          <w:lang w:val="en-US"/>
        </w:rPr>
      </w:pPr>
      <w:r w:rsidRPr="008523EF">
        <w:rPr>
          <w:rFonts w:eastAsia="Times New Roman"/>
          <w:noProof/>
          <w:color w:val="000000"/>
          <w:szCs w:val="24"/>
          <w:u w:val="single"/>
          <w:bdr w:val="none" w:sz="0" w:space="0" w:color="auto" w:frame="1"/>
          <w:lang w:val="en-US"/>
        </w:rPr>
        <w:t>Article 13a</w:t>
      </w:r>
      <w:r w:rsidRPr="00F174F8">
        <w:rPr>
          <w:rFonts w:eastAsia="Times New Roman"/>
          <w:noProof/>
          <w:color w:val="000000"/>
          <w:szCs w:val="24"/>
          <w:bdr w:val="none" w:sz="0" w:space="0" w:color="auto" w:frame="1"/>
          <w:lang w:val="en-US"/>
        </w:rPr>
        <w:t> </w:t>
      </w:r>
      <w:r w:rsidR="002C4F0F">
        <w:rPr>
          <w:rFonts w:eastAsia="Times New Roman"/>
          <w:noProof/>
          <w:color w:val="000000"/>
          <w:szCs w:val="24"/>
          <w:bdr w:val="none" w:sz="0" w:space="0" w:color="auto" w:frame="1"/>
          <w:lang w:val="en-US"/>
        </w:rPr>
        <w:t xml:space="preserve">includes </w:t>
      </w:r>
      <w:r w:rsidRPr="00F174F8">
        <w:rPr>
          <w:rFonts w:eastAsia="Times New Roman"/>
          <w:noProof/>
          <w:color w:val="000000"/>
          <w:szCs w:val="24"/>
          <w:bdr w:val="none" w:sz="0" w:space="0" w:color="auto" w:frame="1"/>
          <w:lang w:val="en-US"/>
        </w:rPr>
        <w:t>definitions</w:t>
      </w:r>
      <w:r w:rsidR="009C2B5E">
        <w:rPr>
          <w:rFonts w:eastAsia="Times New Roman"/>
          <w:noProof/>
          <w:color w:val="000000"/>
          <w:szCs w:val="24"/>
          <w:bdr w:val="none" w:sz="0" w:space="0" w:color="auto" w:frame="1"/>
          <w:lang w:val="en-US"/>
        </w:rPr>
        <w:t xml:space="preserve"> related </w:t>
      </w:r>
      <w:r w:rsidRPr="00F174F8">
        <w:rPr>
          <w:rFonts w:eastAsia="Times New Roman"/>
          <w:noProof/>
          <w:color w:val="000000"/>
          <w:szCs w:val="24"/>
          <w:bdr w:val="none" w:sz="0" w:space="0" w:color="auto" w:frame="1"/>
          <w:lang w:val="en-US"/>
        </w:rPr>
        <w:t xml:space="preserve">to the new </w:t>
      </w:r>
      <w:r w:rsidR="009C2B5E">
        <w:rPr>
          <w:rFonts w:eastAsia="Times New Roman"/>
          <w:noProof/>
          <w:color w:val="000000"/>
          <w:szCs w:val="24"/>
          <w:bdr w:val="none" w:sz="0" w:space="0" w:color="auto" w:frame="1"/>
          <w:lang w:val="en-US"/>
        </w:rPr>
        <w:t>A</w:t>
      </w:r>
      <w:r w:rsidRPr="00F174F8">
        <w:rPr>
          <w:rFonts w:eastAsia="Times New Roman"/>
          <w:noProof/>
          <w:color w:val="000000"/>
          <w:szCs w:val="24"/>
          <w:bdr w:val="none" w:sz="0" w:space="0" w:color="auto" w:frame="1"/>
          <w:lang w:val="en-US"/>
        </w:rPr>
        <w:t xml:space="preserve">rticle </w:t>
      </w:r>
      <w:r w:rsidR="002C4F0F">
        <w:rPr>
          <w:rFonts w:eastAsia="Times New Roman"/>
          <w:noProof/>
          <w:color w:val="000000"/>
          <w:szCs w:val="24"/>
          <w:bdr w:val="none" w:sz="0" w:space="0" w:color="auto" w:frame="1"/>
          <w:lang w:val="en-US"/>
        </w:rPr>
        <w:t>14b</w:t>
      </w:r>
      <w:r w:rsidRPr="00F174F8">
        <w:rPr>
          <w:rFonts w:eastAsia="Times New Roman"/>
          <w:noProof/>
          <w:color w:val="000000"/>
          <w:szCs w:val="24"/>
          <w:bdr w:val="none" w:sz="0" w:space="0" w:color="auto" w:frame="1"/>
          <w:lang w:val="en-US"/>
        </w:rPr>
        <w:t xml:space="preserve"> </w:t>
      </w:r>
      <w:r w:rsidR="009C2B5E">
        <w:rPr>
          <w:rFonts w:eastAsia="Times New Roman"/>
          <w:noProof/>
          <w:color w:val="000000"/>
          <w:szCs w:val="24"/>
          <w:bdr w:val="none" w:sz="0" w:space="0" w:color="auto" w:frame="1"/>
          <w:lang w:val="en-US"/>
        </w:rPr>
        <w:t xml:space="preserve">on </w:t>
      </w:r>
      <w:r w:rsidRPr="00F174F8">
        <w:rPr>
          <w:rFonts w:eastAsia="Times New Roman"/>
          <w:noProof/>
          <w:color w:val="000000"/>
          <w:szCs w:val="24"/>
          <w:bdr w:val="none" w:sz="0" w:space="0" w:color="auto" w:frame="1"/>
          <w:lang w:val="en-US"/>
        </w:rPr>
        <w:t>group</w:t>
      </w:r>
      <w:r w:rsidR="00F84668" w:rsidRPr="00F84668">
        <w:rPr>
          <w:rFonts w:eastAsia="Times New Roman"/>
          <w:noProof/>
          <w:color w:val="000000"/>
          <w:szCs w:val="24"/>
          <w:bdr w:val="none" w:sz="0" w:space="0" w:color="auto" w:frame="1"/>
        </w:rPr>
        <w:t>s</w:t>
      </w:r>
      <w:r w:rsidRPr="00F174F8">
        <w:rPr>
          <w:rFonts w:eastAsia="Times New Roman"/>
          <w:noProof/>
          <w:color w:val="000000"/>
          <w:szCs w:val="24"/>
          <w:bdr w:val="none" w:sz="0" w:space="0" w:color="auto" w:frame="1"/>
          <w:lang w:val="en-US"/>
        </w:rPr>
        <w:t xml:space="preserve"> of companies</w:t>
      </w:r>
      <w:r w:rsidR="009C2B5E">
        <w:rPr>
          <w:rFonts w:eastAsia="Times New Roman"/>
          <w:noProof/>
          <w:color w:val="000000"/>
          <w:szCs w:val="24"/>
          <w:bdr w:val="none" w:sz="0" w:space="0" w:color="auto" w:frame="1"/>
          <w:lang w:val="en-US"/>
        </w:rPr>
        <w:t xml:space="preserve"> </w:t>
      </w:r>
      <w:r w:rsidRPr="00F174F8">
        <w:rPr>
          <w:rFonts w:eastAsia="Times New Roman"/>
          <w:noProof/>
          <w:color w:val="000000"/>
          <w:szCs w:val="24"/>
          <w:bdr w:val="none" w:sz="0" w:space="0" w:color="auto" w:frame="1"/>
          <w:lang w:val="en-US"/>
        </w:rPr>
        <w:t xml:space="preserve">and </w:t>
      </w:r>
      <w:r w:rsidR="002C4F0F">
        <w:rPr>
          <w:rFonts w:eastAsia="Times New Roman"/>
          <w:noProof/>
          <w:color w:val="000000"/>
          <w:szCs w:val="24"/>
          <w:bdr w:val="none" w:sz="0" w:space="0" w:color="auto" w:frame="1"/>
          <w:lang w:val="en-US"/>
        </w:rPr>
        <w:t xml:space="preserve">to the new Article 16d on </w:t>
      </w:r>
      <w:r w:rsidRPr="00F174F8">
        <w:rPr>
          <w:rFonts w:eastAsia="Times New Roman"/>
          <w:noProof/>
          <w:color w:val="000000"/>
          <w:szCs w:val="24"/>
          <w:bdr w:val="none" w:sz="0" w:space="0" w:color="auto" w:frame="1"/>
          <w:lang w:val="en-US"/>
        </w:rPr>
        <w:t xml:space="preserve">exemption of </w:t>
      </w:r>
      <w:r w:rsidRPr="00F174F8" w:rsidDel="009C2B5E">
        <w:rPr>
          <w:rFonts w:eastAsia="Times New Roman"/>
          <w:noProof/>
          <w:color w:val="000000"/>
          <w:szCs w:val="24"/>
          <w:bdr w:val="none" w:sz="0" w:space="0" w:color="auto" w:frame="1"/>
          <w:lang w:val="en-US"/>
        </w:rPr>
        <w:t>legalisation</w:t>
      </w:r>
      <w:r w:rsidRPr="00F174F8">
        <w:rPr>
          <w:rFonts w:eastAsia="Times New Roman"/>
          <w:noProof/>
          <w:color w:val="000000"/>
          <w:szCs w:val="24"/>
          <w:bdr w:val="none" w:sz="0" w:space="0" w:color="auto" w:frame="1"/>
          <w:lang w:val="en-US"/>
        </w:rPr>
        <w:t>.</w:t>
      </w:r>
    </w:p>
    <w:p w14:paraId="2BFFBEA7" w14:textId="77777777" w:rsidR="00E57164" w:rsidRDefault="00E57164" w:rsidP="00F174F8">
      <w:pPr>
        <w:shd w:val="clear" w:color="auto" w:fill="FFFFFF"/>
        <w:spacing w:before="0" w:after="0"/>
        <w:textAlignment w:val="baseline"/>
        <w:rPr>
          <w:rFonts w:eastAsia="Times New Roman"/>
          <w:noProof/>
          <w:color w:val="000000"/>
          <w:szCs w:val="24"/>
          <w:bdr w:val="none" w:sz="0" w:space="0" w:color="auto" w:frame="1"/>
          <w:lang w:val="en-US"/>
        </w:rPr>
      </w:pPr>
    </w:p>
    <w:p w14:paraId="0D41D820" w14:textId="77777777" w:rsidR="00E57164" w:rsidRPr="00F174F8" w:rsidRDefault="00E57164" w:rsidP="00F174F8">
      <w:pPr>
        <w:shd w:val="clear" w:color="auto" w:fill="FFFFFF"/>
        <w:spacing w:before="0" w:after="0"/>
        <w:textAlignment w:val="baseline"/>
        <w:rPr>
          <w:rFonts w:eastAsia="Times New Roman"/>
          <w:noProof/>
          <w:color w:val="000000"/>
          <w:szCs w:val="24"/>
          <w:bdr w:val="none" w:sz="0" w:space="0" w:color="auto" w:frame="1"/>
          <w:lang w:val="en-US"/>
        </w:rPr>
      </w:pPr>
      <w:r w:rsidRPr="00570701">
        <w:rPr>
          <w:rFonts w:eastAsia="Times New Roman"/>
          <w:noProof/>
          <w:color w:val="000000"/>
          <w:szCs w:val="24"/>
          <w:u w:val="single"/>
          <w:bdr w:val="none" w:sz="0" w:space="0" w:color="auto" w:frame="1"/>
          <w:lang w:val="en-US"/>
        </w:rPr>
        <w:t>Article 13b</w:t>
      </w:r>
      <w:r>
        <w:rPr>
          <w:rFonts w:eastAsia="Times New Roman"/>
          <w:noProof/>
          <w:color w:val="000000"/>
          <w:szCs w:val="24"/>
          <w:bdr w:val="none" w:sz="0" w:space="0" w:color="auto" w:frame="1"/>
          <w:lang w:val="en-US"/>
        </w:rPr>
        <w:t xml:space="preserve"> is amended to align it with the revision of the eIDAS Regulation in respect to the </w:t>
      </w:r>
      <w:r w:rsidRPr="00F174F8">
        <w:rPr>
          <w:rFonts w:eastAsia="Times New Roman"/>
          <w:noProof/>
          <w:color w:val="000000"/>
          <w:szCs w:val="24"/>
          <w:shd w:val="clear" w:color="auto" w:fill="FFFFFF"/>
          <w:lang w:val="en-US"/>
        </w:rPr>
        <w:t>European Digital Identity Wallet</w:t>
      </w:r>
      <w:r>
        <w:rPr>
          <w:rFonts w:eastAsia="Times New Roman"/>
          <w:noProof/>
          <w:color w:val="000000"/>
          <w:szCs w:val="24"/>
          <w:shd w:val="clear" w:color="auto" w:fill="FFFFFF"/>
          <w:lang w:val="en-US"/>
        </w:rPr>
        <w:t>.</w:t>
      </w:r>
    </w:p>
    <w:p w14:paraId="320CF3BB"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35EF17F0" w14:textId="77777777" w:rsidR="00F174F8" w:rsidRPr="00F174F8" w:rsidRDefault="00F174F8" w:rsidP="00F174F8">
      <w:pPr>
        <w:shd w:val="clear" w:color="auto" w:fill="FFFFFF"/>
        <w:spacing w:before="0" w:after="0"/>
        <w:textAlignment w:val="baseline"/>
        <w:rPr>
          <w:rFonts w:eastAsia="Calibri"/>
          <w:noProof/>
          <w:szCs w:val="24"/>
          <w:lang w:val="en-US"/>
        </w:rPr>
      </w:pPr>
      <w:r w:rsidRPr="007746A4">
        <w:rPr>
          <w:rFonts w:eastAsia="Times New Roman"/>
          <w:noProof/>
          <w:color w:val="000000"/>
          <w:szCs w:val="24"/>
          <w:u w:val="single"/>
          <w:lang w:val="en-US"/>
        </w:rPr>
        <w:t>Article 13c</w:t>
      </w:r>
      <w:r w:rsidRPr="00F174F8">
        <w:rPr>
          <w:rFonts w:eastAsia="Times New Roman"/>
          <w:noProof/>
          <w:color w:val="000000"/>
          <w:szCs w:val="24"/>
          <w:lang w:val="en-US"/>
        </w:rPr>
        <w:t xml:space="preserve"> </w:t>
      </w:r>
      <w:r w:rsidRPr="00F174F8">
        <w:rPr>
          <w:rFonts w:eastAsia="Times New Roman"/>
          <w:noProof/>
          <w:color w:val="000000"/>
          <w:szCs w:val="24"/>
          <w:shd w:val="clear" w:color="auto" w:fill="FFFFFF"/>
          <w:lang w:val="en-US"/>
        </w:rPr>
        <w:t>is amended </w:t>
      </w:r>
      <w:r w:rsidR="007746A4">
        <w:rPr>
          <w:rFonts w:eastAsia="Times New Roman"/>
          <w:noProof/>
          <w:color w:val="000000"/>
          <w:szCs w:val="24"/>
          <w:shd w:val="clear" w:color="auto" w:fill="FFFFFF"/>
          <w:lang w:val="en-US"/>
        </w:rPr>
        <w:t xml:space="preserve">to ensure that the </w:t>
      </w:r>
      <w:r w:rsidR="007746A4">
        <w:rPr>
          <w:rFonts w:eastAsia="Calibri"/>
          <w:noProof/>
          <w:szCs w:val="24"/>
          <w:lang w:val="en-US"/>
        </w:rPr>
        <w:t xml:space="preserve">national rules on </w:t>
      </w:r>
      <w:r w:rsidR="007746A4" w:rsidRPr="00F84668">
        <w:rPr>
          <w:rFonts w:eastAsia="Times New Roman"/>
          <w:noProof/>
          <w:szCs w:val="24"/>
        </w:rPr>
        <w:t>the authenticity, accuracy, reliability, trustworthiness and appropriate legal form of documents or information will not prevent the application of the</w:t>
      </w:r>
      <w:r w:rsidR="007746A4">
        <w:rPr>
          <w:rFonts w:eastAsia="Times New Roman"/>
          <w:noProof/>
          <w:color w:val="333333"/>
          <w:szCs w:val="24"/>
        </w:rPr>
        <w:t xml:space="preserve"> </w:t>
      </w:r>
      <w:r w:rsidR="007746A4">
        <w:rPr>
          <w:rFonts w:eastAsia="Times New Roman"/>
          <w:noProof/>
          <w:color w:val="000000"/>
          <w:szCs w:val="24"/>
          <w:shd w:val="clear" w:color="auto" w:fill="FFFFFF"/>
          <w:lang w:val="en-US"/>
        </w:rPr>
        <w:t xml:space="preserve">new provisions on </w:t>
      </w:r>
      <w:r w:rsidR="007746A4" w:rsidRPr="00F174F8">
        <w:rPr>
          <w:rFonts w:eastAsia="Times New Roman"/>
          <w:noProof/>
          <w:color w:val="000000"/>
          <w:szCs w:val="24"/>
          <w:shd w:val="clear" w:color="auto" w:fill="FFFFFF"/>
          <w:lang w:val="en-US"/>
        </w:rPr>
        <w:t xml:space="preserve">the </w:t>
      </w:r>
      <w:r w:rsidR="007746A4" w:rsidRPr="00F174F8">
        <w:rPr>
          <w:rFonts w:eastAsia="Calibri"/>
          <w:noProof/>
          <w:szCs w:val="24"/>
          <w:lang w:val="en-US"/>
        </w:rPr>
        <w:t xml:space="preserve">EU Company Certificate, digital EU power of attorney, documents exempted from </w:t>
      </w:r>
      <w:r w:rsidR="007746A4">
        <w:rPr>
          <w:rFonts w:eastAsia="Calibri"/>
          <w:noProof/>
          <w:szCs w:val="24"/>
          <w:lang w:val="en-US"/>
        </w:rPr>
        <w:t>legali</w:t>
      </w:r>
      <w:r w:rsidR="00F84668" w:rsidRPr="00F84668">
        <w:rPr>
          <w:rFonts w:eastAsia="Calibri"/>
          <w:noProof/>
          <w:szCs w:val="24"/>
        </w:rPr>
        <w:t>s</w:t>
      </w:r>
      <w:r w:rsidR="007746A4">
        <w:rPr>
          <w:rFonts w:eastAsia="Calibri"/>
          <w:noProof/>
          <w:szCs w:val="24"/>
          <w:lang w:val="en-US"/>
        </w:rPr>
        <w:t>ation/apostille</w:t>
      </w:r>
      <w:r w:rsidR="007746A4" w:rsidRPr="00F174F8">
        <w:rPr>
          <w:rFonts w:eastAsia="Calibri"/>
          <w:noProof/>
          <w:szCs w:val="24"/>
          <w:lang w:val="en-US"/>
        </w:rPr>
        <w:t xml:space="preserve"> and the translation of these documents</w:t>
      </w:r>
      <w:r w:rsidRPr="00F174F8">
        <w:rPr>
          <w:rFonts w:eastAsia="Calibri"/>
          <w:noProof/>
          <w:szCs w:val="24"/>
          <w:lang w:val="en-US"/>
        </w:rPr>
        <w:t xml:space="preserve">.  </w:t>
      </w:r>
    </w:p>
    <w:p w14:paraId="30762536" w14:textId="77777777" w:rsidR="00F174F8" w:rsidRPr="00F174F8" w:rsidRDefault="00F174F8" w:rsidP="00F174F8">
      <w:pPr>
        <w:shd w:val="clear" w:color="auto" w:fill="FFFFFF"/>
        <w:spacing w:before="0" w:after="0"/>
        <w:textAlignment w:val="baseline"/>
        <w:rPr>
          <w:rFonts w:eastAsia="Calibri"/>
          <w:noProof/>
          <w:szCs w:val="24"/>
          <w:lang w:val="en-US"/>
        </w:rPr>
      </w:pPr>
    </w:p>
    <w:p w14:paraId="3F7E45FC" w14:textId="77777777" w:rsidR="00F174F8" w:rsidRPr="00F174F8" w:rsidRDefault="00017FBE" w:rsidP="00F174F8">
      <w:pPr>
        <w:shd w:val="clear" w:color="auto" w:fill="FFFFFF"/>
        <w:spacing w:before="0" w:after="0"/>
        <w:textAlignment w:val="baseline"/>
        <w:rPr>
          <w:rFonts w:eastAsia="Calibri"/>
          <w:noProof/>
          <w:color w:val="000000"/>
          <w:szCs w:val="24"/>
          <w:shd w:val="clear" w:color="auto" w:fill="FFFFFF"/>
          <w:lang w:val="en-US"/>
        </w:rPr>
      </w:pPr>
      <w:r w:rsidRPr="008523EF">
        <w:rPr>
          <w:rFonts w:eastAsia="Calibri"/>
          <w:noProof/>
          <w:szCs w:val="24"/>
          <w:u w:val="single"/>
          <w:lang w:val="en-US"/>
        </w:rPr>
        <w:t xml:space="preserve">Amended </w:t>
      </w:r>
      <w:r w:rsidR="00F174F8" w:rsidRPr="008523EF">
        <w:rPr>
          <w:rFonts w:eastAsia="Calibri"/>
          <w:noProof/>
          <w:szCs w:val="24"/>
          <w:u w:val="single"/>
          <w:lang w:val="en-US"/>
        </w:rPr>
        <w:t>Article 13f</w:t>
      </w:r>
      <w:r w:rsidR="00F174F8" w:rsidRPr="00F174F8">
        <w:rPr>
          <w:rFonts w:eastAsia="Times New Roman"/>
          <w:noProof/>
          <w:color w:val="000000"/>
          <w:szCs w:val="24"/>
          <w:shd w:val="clear" w:color="auto" w:fill="FFFFFF"/>
          <w:lang w:val="en-US"/>
        </w:rPr>
        <w:t xml:space="preserve"> </w:t>
      </w:r>
      <w:r>
        <w:rPr>
          <w:rFonts w:eastAsia="Times New Roman"/>
          <w:noProof/>
          <w:color w:val="000000"/>
          <w:szCs w:val="24"/>
          <w:shd w:val="clear" w:color="auto" w:fill="FFFFFF"/>
          <w:lang w:val="en-US"/>
        </w:rPr>
        <w:t xml:space="preserve">on </w:t>
      </w:r>
      <w:r w:rsidR="00F174F8" w:rsidRPr="00F174F8">
        <w:rPr>
          <w:rFonts w:eastAsia="Times New Roman"/>
          <w:noProof/>
          <w:color w:val="000000"/>
          <w:szCs w:val="24"/>
          <w:shd w:val="clear" w:color="auto" w:fill="FFFFFF"/>
          <w:lang w:val="en-US"/>
        </w:rPr>
        <w:t xml:space="preserve">information </w:t>
      </w:r>
      <w:r>
        <w:rPr>
          <w:rFonts w:eastAsia="Times New Roman"/>
          <w:noProof/>
          <w:color w:val="000000"/>
          <w:szCs w:val="24"/>
          <w:shd w:val="clear" w:color="auto" w:fill="FFFFFF"/>
          <w:lang w:val="en-US"/>
        </w:rPr>
        <w:t xml:space="preserve">requirements includes information about rules related to partnerships </w:t>
      </w:r>
      <w:r w:rsidRPr="00F174F8">
        <w:rPr>
          <w:rFonts w:eastAsia="Calibri"/>
          <w:noProof/>
          <w:color w:val="000000"/>
          <w:szCs w:val="24"/>
          <w:shd w:val="clear" w:color="auto" w:fill="FFFFFF"/>
          <w:lang w:val="en-US"/>
        </w:rPr>
        <w:t xml:space="preserve">and </w:t>
      </w:r>
      <w:r>
        <w:rPr>
          <w:rFonts w:eastAsia="Calibri"/>
          <w:noProof/>
          <w:color w:val="000000"/>
          <w:szCs w:val="24"/>
          <w:shd w:val="clear" w:color="auto" w:fill="FFFFFF"/>
          <w:lang w:val="en-US"/>
        </w:rPr>
        <w:t xml:space="preserve">information about the rules and procedures </w:t>
      </w:r>
      <w:r w:rsidRPr="00F174F8">
        <w:rPr>
          <w:rFonts w:eastAsia="Calibri"/>
          <w:noProof/>
          <w:color w:val="000000"/>
          <w:szCs w:val="24"/>
          <w:shd w:val="clear" w:color="auto" w:fill="FFFFFF"/>
          <w:lang w:val="en-US"/>
        </w:rPr>
        <w:t xml:space="preserve">related to </w:t>
      </w:r>
      <w:r>
        <w:rPr>
          <w:rFonts w:eastAsia="Calibri"/>
          <w:noProof/>
          <w:color w:val="000000"/>
          <w:szCs w:val="24"/>
          <w:shd w:val="clear" w:color="auto" w:fill="FFFFFF"/>
          <w:lang w:val="en-US"/>
        </w:rPr>
        <w:t xml:space="preserve">filing </w:t>
      </w:r>
      <w:r w:rsidRPr="00F174F8">
        <w:rPr>
          <w:rFonts w:eastAsia="Calibri"/>
          <w:noProof/>
          <w:color w:val="000000"/>
          <w:szCs w:val="24"/>
          <w:shd w:val="clear" w:color="auto" w:fill="FFFFFF"/>
          <w:lang w:val="en-US"/>
        </w:rPr>
        <w:t>deadlines</w:t>
      </w:r>
      <w:r>
        <w:rPr>
          <w:rFonts w:eastAsia="Calibri"/>
          <w:noProof/>
          <w:color w:val="000000"/>
          <w:szCs w:val="24"/>
          <w:shd w:val="clear" w:color="auto" w:fill="FFFFFF"/>
          <w:lang w:val="en-US"/>
        </w:rPr>
        <w:t xml:space="preserve"> and other rules on keeping the register information </w:t>
      </w:r>
      <w:r w:rsidR="00F84668" w:rsidRPr="00F84668">
        <w:rPr>
          <w:rFonts w:eastAsia="Calibri"/>
          <w:noProof/>
          <w:color w:val="000000"/>
          <w:szCs w:val="24"/>
          <w:shd w:val="clear" w:color="auto" w:fill="FFFFFF"/>
        </w:rPr>
        <w:t>up to date</w:t>
      </w:r>
      <w:r w:rsidRPr="00F174F8">
        <w:rPr>
          <w:rFonts w:eastAsia="Calibri"/>
          <w:noProof/>
          <w:color w:val="000000"/>
          <w:szCs w:val="24"/>
          <w:shd w:val="clear" w:color="auto" w:fill="FFFFFF"/>
          <w:lang w:val="en-US"/>
        </w:rPr>
        <w:t>.</w:t>
      </w:r>
      <w:r>
        <w:rPr>
          <w:rFonts w:eastAsia="Calibri"/>
          <w:noProof/>
          <w:color w:val="000000"/>
          <w:szCs w:val="24"/>
          <w:shd w:val="clear" w:color="auto" w:fill="FFFFFF"/>
          <w:lang w:val="en-US"/>
        </w:rPr>
        <w:t xml:space="preserve"> </w:t>
      </w:r>
      <w:r w:rsidR="00F174F8" w:rsidRPr="00F174F8">
        <w:rPr>
          <w:rFonts w:eastAsia="Times New Roman"/>
          <w:noProof/>
          <w:color w:val="000000"/>
          <w:szCs w:val="24"/>
          <w:shd w:val="clear" w:color="auto" w:fill="FFFFFF"/>
          <w:lang w:val="en-US"/>
        </w:rPr>
        <w:t xml:space="preserve"> </w:t>
      </w:r>
    </w:p>
    <w:p w14:paraId="6A4FA551" w14:textId="77777777" w:rsidR="00F174F8" w:rsidRPr="00F174F8" w:rsidRDefault="00F174F8" w:rsidP="00F174F8">
      <w:pPr>
        <w:shd w:val="clear" w:color="auto" w:fill="FFFFFF"/>
        <w:spacing w:before="0" w:after="0"/>
        <w:textAlignment w:val="baseline"/>
        <w:rPr>
          <w:rFonts w:eastAsia="Calibri"/>
          <w:noProof/>
          <w:color w:val="000000"/>
          <w:szCs w:val="24"/>
          <w:shd w:val="clear" w:color="auto" w:fill="FFFFFF"/>
          <w:lang w:val="en-US"/>
        </w:rPr>
      </w:pPr>
    </w:p>
    <w:p w14:paraId="0C860D4A" w14:textId="77777777" w:rsidR="00F84668" w:rsidRPr="00F84668" w:rsidRDefault="00F84668" w:rsidP="00F84668">
      <w:pPr>
        <w:shd w:val="clear" w:color="auto" w:fill="FFFFFF"/>
        <w:spacing w:before="0" w:after="0"/>
        <w:textAlignment w:val="baseline"/>
        <w:rPr>
          <w:rFonts w:eastAsia="Times New Roman"/>
          <w:noProof/>
          <w:color w:val="000000"/>
          <w:szCs w:val="24"/>
        </w:rPr>
      </w:pPr>
      <w:r w:rsidRPr="00F84668">
        <w:rPr>
          <w:rFonts w:eastAsia="Times New Roman"/>
          <w:noProof/>
          <w:color w:val="000000"/>
          <w:szCs w:val="24"/>
          <w:u w:val="single"/>
        </w:rPr>
        <w:t>Article 13g</w:t>
      </w:r>
      <w:r w:rsidRPr="00F84668">
        <w:rPr>
          <w:rFonts w:eastAsia="Times New Roman"/>
          <w:noProof/>
          <w:color w:val="000000"/>
          <w:szCs w:val="24"/>
        </w:rPr>
        <w:t xml:space="preserve"> is amended to include the once-only principle whereby a company does not need to resubmit information that is in its own registers when forming a company in another Member State. Instead, the registers exchange this information, whereby the register where the company is to be formed retrieves this information from the register of the company. </w:t>
      </w:r>
    </w:p>
    <w:p w14:paraId="0DB882D6" w14:textId="77777777" w:rsidR="008523EF" w:rsidRPr="00F84668" w:rsidRDefault="008523EF" w:rsidP="00F174F8">
      <w:pPr>
        <w:shd w:val="clear" w:color="auto" w:fill="FFFFFF"/>
        <w:spacing w:before="0" w:after="0"/>
        <w:textAlignment w:val="baseline"/>
        <w:rPr>
          <w:rFonts w:eastAsia="Times New Roman"/>
          <w:noProof/>
          <w:color w:val="000000"/>
          <w:szCs w:val="24"/>
        </w:rPr>
      </w:pPr>
    </w:p>
    <w:p w14:paraId="7A8012FF"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r w:rsidRPr="007746A4">
        <w:rPr>
          <w:rFonts w:eastAsia="Times New Roman"/>
          <w:noProof/>
          <w:color w:val="000000"/>
          <w:szCs w:val="24"/>
          <w:u w:val="single"/>
          <w:lang w:val="en-US"/>
        </w:rPr>
        <w:t>Article 13h</w:t>
      </w:r>
      <w:r w:rsidRPr="00F174F8">
        <w:rPr>
          <w:rFonts w:eastAsia="Times New Roman"/>
          <w:noProof/>
          <w:color w:val="000000"/>
          <w:szCs w:val="24"/>
          <w:lang w:val="en-US"/>
        </w:rPr>
        <w:t xml:space="preserve"> is amended to </w:t>
      </w:r>
      <w:r w:rsidR="007746A4">
        <w:rPr>
          <w:rFonts w:eastAsia="Times New Roman"/>
          <w:noProof/>
          <w:color w:val="000000"/>
          <w:szCs w:val="24"/>
          <w:lang w:val="en-US"/>
        </w:rPr>
        <w:t>be in line with the amended Article 10</w:t>
      </w:r>
      <w:r w:rsidRPr="00F174F8">
        <w:rPr>
          <w:rFonts w:eastAsia="Times New Roman"/>
          <w:noProof/>
          <w:color w:val="000000"/>
          <w:szCs w:val="24"/>
          <w:lang w:val="en-US"/>
        </w:rPr>
        <w:t>.</w:t>
      </w:r>
    </w:p>
    <w:p w14:paraId="1E65B6E0"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3F257B21"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r w:rsidRPr="00361DC7">
        <w:rPr>
          <w:rFonts w:eastAsia="Times New Roman"/>
          <w:noProof/>
          <w:color w:val="000000"/>
          <w:szCs w:val="24"/>
          <w:u w:val="single"/>
          <w:lang w:val="en-US"/>
        </w:rPr>
        <w:t>Article 13j</w:t>
      </w:r>
      <w:r w:rsidRPr="00F174F8">
        <w:rPr>
          <w:rFonts w:eastAsia="Times New Roman"/>
          <w:noProof/>
          <w:color w:val="000000"/>
          <w:szCs w:val="24"/>
          <w:lang w:val="en-US"/>
        </w:rPr>
        <w:t xml:space="preserve"> is </w:t>
      </w:r>
      <w:r w:rsidR="00361DC7">
        <w:rPr>
          <w:rFonts w:eastAsia="Times New Roman"/>
          <w:noProof/>
          <w:color w:val="000000"/>
          <w:szCs w:val="24"/>
          <w:lang w:val="en-US"/>
        </w:rPr>
        <w:t xml:space="preserve">aligned with amended </w:t>
      </w:r>
      <w:r w:rsidR="00F84668" w:rsidRPr="00F84668">
        <w:rPr>
          <w:rFonts w:eastAsia="Times New Roman"/>
          <w:noProof/>
          <w:color w:val="000000"/>
          <w:szCs w:val="24"/>
        </w:rPr>
        <w:t>A</w:t>
      </w:r>
      <w:r w:rsidRPr="00F174F8">
        <w:rPr>
          <w:rFonts w:eastAsia="Times New Roman"/>
          <w:noProof/>
          <w:color w:val="000000"/>
          <w:szCs w:val="24"/>
          <w:lang w:val="en-US"/>
        </w:rPr>
        <w:t>rticle</w:t>
      </w:r>
      <w:r w:rsidR="00361DC7">
        <w:rPr>
          <w:rFonts w:eastAsia="Times New Roman"/>
          <w:noProof/>
          <w:color w:val="000000"/>
          <w:szCs w:val="24"/>
          <w:lang w:val="en-US"/>
        </w:rPr>
        <w:t>s</w:t>
      </w:r>
      <w:r w:rsidRPr="00F174F8">
        <w:rPr>
          <w:rFonts w:eastAsia="Times New Roman"/>
          <w:noProof/>
          <w:color w:val="000000"/>
          <w:szCs w:val="24"/>
          <w:lang w:val="en-US"/>
        </w:rPr>
        <w:t xml:space="preserve"> 10 and 15. </w:t>
      </w:r>
    </w:p>
    <w:p w14:paraId="1BF16CF8"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17EE209E" w14:textId="77777777" w:rsidR="00F84668" w:rsidRPr="00F84668" w:rsidRDefault="00F84668" w:rsidP="00F84668">
      <w:pPr>
        <w:shd w:val="clear" w:color="auto" w:fill="FFFFFF"/>
        <w:spacing w:before="0" w:after="0"/>
        <w:textAlignment w:val="baseline"/>
        <w:rPr>
          <w:rFonts w:eastAsia="Times New Roman"/>
          <w:noProof/>
          <w:color w:val="000000"/>
          <w:szCs w:val="24"/>
        </w:rPr>
      </w:pPr>
      <w:r w:rsidRPr="00F84668">
        <w:rPr>
          <w:rFonts w:eastAsia="Times New Roman"/>
          <w:noProof/>
          <w:color w:val="000000"/>
          <w:szCs w:val="24"/>
          <w:u w:val="single"/>
        </w:rPr>
        <w:t>Article 14</w:t>
      </w:r>
      <w:r w:rsidRPr="00F84668">
        <w:rPr>
          <w:rFonts w:eastAsia="Times New Roman"/>
          <w:noProof/>
          <w:color w:val="000000"/>
          <w:szCs w:val="24"/>
        </w:rPr>
        <w:t xml:space="preserve"> is amended to include in the list of documents and </w:t>
      </w:r>
      <w:r w:rsidR="00B45594">
        <w:rPr>
          <w:noProof/>
        </w:rPr>
        <w:t>information</w:t>
      </w:r>
      <w:r w:rsidRPr="00F84668">
        <w:rPr>
          <w:rFonts w:eastAsia="Times New Roman"/>
          <w:noProof/>
          <w:color w:val="000000"/>
          <w:szCs w:val="24"/>
        </w:rPr>
        <w:t xml:space="preserve"> to be disclosed in the business register the place of central administration and the principal place of business in case these are not in the same Member State as the place of the registered office. </w:t>
      </w:r>
    </w:p>
    <w:p w14:paraId="2565FB8E" w14:textId="77777777" w:rsidR="00F174F8" w:rsidRPr="00F84668" w:rsidRDefault="00F174F8" w:rsidP="00F174F8">
      <w:pPr>
        <w:shd w:val="clear" w:color="auto" w:fill="FFFFFF"/>
        <w:spacing w:before="0" w:after="0"/>
        <w:textAlignment w:val="baseline"/>
        <w:rPr>
          <w:rFonts w:eastAsia="Times New Roman"/>
          <w:noProof/>
          <w:color w:val="000000"/>
          <w:szCs w:val="24"/>
        </w:rPr>
      </w:pPr>
    </w:p>
    <w:p w14:paraId="54704C3A" w14:textId="77777777" w:rsidR="00F174F8" w:rsidRPr="00F174F8" w:rsidRDefault="001A2107" w:rsidP="00F174F8">
      <w:pPr>
        <w:shd w:val="clear" w:color="auto" w:fill="FFFFFF"/>
        <w:spacing w:before="0" w:after="0"/>
        <w:textAlignment w:val="baseline"/>
        <w:rPr>
          <w:rFonts w:eastAsia="Times New Roman"/>
          <w:noProof/>
          <w:color w:val="000000"/>
          <w:szCs w:val="24"/>
          <w:lang w:val="en-US"/>
        </w:rPr>
      </w:pPr>
      <w:r w:rsidRPr="001A2107">
        <w:rPr>
          <w:rFonts w:eastAsia="Times New Roman"/>
          <w:noProof/>
          <w:color w:val="000000"/>
          <w:szCs w:val="24"/>
          <w:u w:val="single"/>
          <w:lang w:val="en-US"/>
        </w:rPr>
        <w:t xml:space="preserve">New </w:t>
      </w:r>
      <w:r w:rsidR="00F174F8" w:rsidRPr="001A2107">
        <w:rPr>
          <w:rFonts w:eastAsia="Times New Roman"/>
          <w:noProof/>
          <w:color w:val="000000"/>
          <w:szCs w:val="24"/>
          <w:u w:val="single"/>
          <w:lang w:val="en-US"/>
        </w:rPr>
        <w:t>Article 14a</w:t>
      </w:r>
      <w:r w:rsidR="00F174F8" w:rsidRPr="00F174F8">
        <w:rPr>
          <w:rFonts w:eastAsia="Times New Roman"/>
          <w:noProof/>
          <w:color w:val="000000"/>
          <w:szCs w:val="24"/>
          <w:lang w:val="en-US"/>
        </w:rPr>
        <w:t xml:space="preserve"> introduces a list of documents and </w:t>
      </w:r>
      <w:r w:rsidR="00B45594">
        <w:rPr>
          <w:rFonts w:eastAsia="Times New Roman"/>
          <w:noProof/>
          <w:color w:val="000000"/>
          <w:szCs w:val="24"/>
          <w:lang w:val="en-US"/>
        </w:rPr>
        <w:t>information</w:t>
      </w:r>
      <w:r w:rsidR="00B45594" w:rsidRPr="00F174F8">
        <w:rPr>
          <w:rFonts w:eastAsia="Times New Roman"/>
          <w:noProof/>
          <w:color w:val="000000"/>
          <w:szCs w:val="24"/>
          <w:lang w:val="en-US"/>
        </w:rPr>
        <w:t xml:space="preserve"> </w:t>
      </w:r>
      <w:r w:rsidR="00F174F8" w:rsidRPr="00F174F8">
        <w:rPr>
          <w:rFonts w:eastAsia="Times New Roman"/>
          <w:noProof/>
          <w:color w:val="000000"/>
          <w:szCs w:val="24"/>
          <w:lang w:val="en-US"/>
        </w:rPr>
        <w:t>to be mandatorily disclosed to the business register by partnerships.</w:t>
      </w:r>
    </w:p>
    <w:p w14:paraId="73293E82"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10500195" w14:textId="77777777" w:rsidR="007D21A0" w:rsidRPr="00F174F8" w:rsidRDefault="001A2107" w:rsidP="007D21A0">
      <w:pPr>
        <w:shd w:val="clear" w:color="auto" w:fill="FFFFFF"/>
        <w:spacing w:before="0" w:after="0"/>
        <w:textAlignment w:val="baseline"/>
        <w:rPr>
          <w:rFonts w:eastAsia="Times New Roman"/>
          <w:noProof/>
          <w:color w:val="000000"/>
          <w:szCs w:val="24"/>
          <w:lang w:val="en-US"/>
        </w:rPr>
      </w:pPr>
      <w:r w:rsidRPr="00361DC7">
        <w:rPr>
          <w:rFonts w:eastAsia="Times New Roman"/>
          <w:noProof/>
          <w:color w:val="000000"/>
          <w:szCs w:val="24"/>
          <w:u w:val="single"/>
          <w:lang w:val="en-US"/>
        </w:rPr>
        <w:t xml:space="preserve">New </w:t>
      </w:r>
      <w:r w:rsidR="00F174F8" w:rsidRPr="00361DC7">
        <w:rPr>
          <w:rFonts w:eastAsia="Times New Roman"/>
          <w:noProof/>
          <w:color w:val="000000"/>
          <w:szCs w:val="24"/>
          <w:u w:val="single"/>
          <w:lang w:val="en-US"/>
        </w:rPr>
        <w:t>Article 14b</w:t>
      </w:r>
      <w:r w:rsidR="00F174F8" w:rsidRPr="00F174F8">
        <w:rPr>
          <w:rFonts w:eastAsia="Times New Roman"/>
          <w:noProof/>
          <w:color w:val="000000"/>
          <w:szCs w:val="24"/>
          <w:lang w:val="en-US"/>
        </w:rPr>
        <w:t xml:space="preserve"> introduces a disclosure requirement for </w:t>
      </w:r>
      <w:r w:rsidR="00F84668" w:rsidRPr="0004690E">
        <w:rPr>
          <w:rFonts w:eastAsia="Times New Roman"/>
          <w:noProof/>
          <w:color w:val="000000"/>
          <w:szCs w:val="24"/>
        </w:rPr>
        <w:t>group-related information</w:t>
      </w:r>
      <w:r w:rsidR="00F174F8" w:rsidRPr="00F174F8">
        <w:rPr>
          <w:rFonts w:eastAsia="Times New Roman"/>
          <w:noProof/>
          <w:color w:val="000000"/>
          <w:szCs w:val="24"/>
          <w:lang w:val="en-US"/>
        </w:rPr>
        <w:t>. This requirement should be fulfilled by both the ultimate parent company and the subsidiary.</w:t>
      </w:r>
      <w:r w:rsidR="00C44C28">
        <w:rPr>
          <w:rFonts w:eastAsia="Times New Roman"/>
          <w:noProof/>
          <w:color w:val="000000"/>
          <w:szCs w:val="24"/>
          <w:lang w:val="en-US"/>
        </w:rPr>
        <w:t xml:space="preserve"> </w:t>
      </w:r>
      <w:r w:rsidR="00F174F8" w:rsidRPr="00F174F8">
        <w:rPr>
          <w:rFonts w:eastAsia="Times New Roman"/>
          <w:noProof/>
          <w:color w:val="000000"/>
          <w:szCs w:val="24"/>
          <w:lang w:val="en-US"/>
        </w:rPr>
        <w:t>If the ultimate parent is established outside the EU, then the EU</w:t>
      </w:r>
      <w:r w:rsidR="00147A2F">
        <w:rPr>
          <w:rFonts w:eastAsia="Times New Roman"/>
          <w:noProof/>
          <w:color w:val="000000"/>
          <w:szCs w:val="24"/>
          <w:lang w:val="en-US"/>
        </w:rPr>
        <w:t xml:space="preserve"> intermediate parent</w:t>
      </w:r>
      <w:r w:rsidR="00F174F8" w:rsidRPr="00F174F8">
        <w:rPr>
          <w:rFonts w:eastAsia="Times New Roman"/>
          <w:noProof/>
          <w:color w:val="000000"/>
          <w:szCs w:val="24"/>
          <w:lang w:val="en-US"/>
        </w:rPr>
        <w:t xml:space="preserve"> company </w:t>
      </w:r>
      <w:r w:rsidR="00147A2F">
        <w:rPr>
          <w:rFonts w:eastAsia="Times New Roman"/>
          <w:noProof/>
          <w:color w:val="000000"/>
          <w:szCs w:val="24"/>
          <w:lang w:val="en-US"/>
        </w:rPr>
        <w:t xml:space="preserve">should carry out </w:t>
      </w:r>
      <w:r w:rsidR="00F174F8" w:rsidRPr="00F174F8">
        <w:rPr>
          <w:rFonts w:eastAsia="Times New Roman"/>
          <w:noProof/>
          <w:color w:val="000000"/>
          <w:szCs w:val="24"/>
          <w:lang w:val="en-US"/>
        </w:rPr>
        <w:t xml:space="preserve">the relevant disclosure </w:t>
      </w:r>
      <w:r w:rsidR="00147A2F" w:rsidRPr="00F174F8">
        <w:rPr>
          <w:rFonts w:eastAsia="Times New Roman"/>
          <w:noProof/>
          <w:color w:val="000000"/>
          <w:szCs w:val="24"/>
          <w:lang w:val="en-US"/>
        </w:rPr>
        <w:t>requirement</w:t>
      </w:r>
      <w:r w:rsidR="00F174F8" w:rsidRPr="00F174F8">
        <w:rPr>
          <w:rFonts w:eastAsia="Times New Roman"/>
          <w:noProof/>
          <w:color w:val="000000"/>
          <w:szCs w:val="24"/>
          <w:lang w:val="en-US"/>
        </w:rPr>
        <w:t xml:space="preserve">. </w:t>
      </w:r>
      <w:r w:rsidR="007D21A0" w:rsidRPr="00283E33">
        <w:rPr>
          <w:noProof/>
          <w:shd w:val="clear" w:color="auto" w:fill="FFFFFF"/>
        </w:rPr>
        <w:t xml:space="preserve">In case no intermediate parent company is governed by the law of a Member State, the subsidiary </w:t>
      </w:r>
      <w:r w:rsidR="007D21A0" w:rsidRPr="00C05644">
        <w:rPr>
          <w:noProof/>
          <w:shd w:val="clear" w:color="auto" w:fill="FFFFFF"/>
        </w:rPr>
        <w:t>company governed by the law of a Member State sh</w:t>
      </w:r>
      <w:r w:rsidR="007D21A0">
        <w:rPr>
          <w:noProof/>
          <w:shd w:val="clear" w:color="auto" w:fill="FFFFFF"/>
        </w:rPr>
        <w:t>ould</w:t>
      </w:r>
      <w:r w:rsidR="007D21A0" w:rsidRPr="00C05644">
        <w:rPr>
          <w:noProof/>
          <w:shd w:val="clear" w:color="auto" w:fill="FFFFFF"/>
        </w:rPr>
        <w:t xml:space="preserve"> disclose the </w:t>
      </w:r>
      <w:r w:rsidR="007D21A0">
        <w:rPr>
          <w:noProof/>
          <w:shd w:val="clear" w:color="auto" w:fill="FFFFFF"/>
        </w:rPr>
        <w:t>required information</w:t>
      </w:r>
      <w:r w:rsidR="007D21A0" w:rsidRPr="00C05644">
        <w:rPr>
          <w:noProof/>
          <w:shd w:val="clear" w:color="auto" w:fill="FFFFFF"/>
        </w:rPr>
        <w:t xml:space="preserve">. </w:t>
      </w:r>
      <w:r w:rsidR="00C44C28">
        <w:rPr>
          <w:rFonts w:eastAsia="Times New Roman"/>
          <w:noProof/>
          <w:color w:val="000000"/>
          <w:szCs w:val="24"/>
          <w:lang w:val="en-US"/>
        </w:rPr>
        <w:t>T</w:t>
      </w:r>
      <w:r w:rsidR="00C44C28" w:rsidRPr="00F174F8">
        <w:rPr>
          <w:rFonts w:eastAsia="Times New Roman"/>
          <w:noProof/>
          <w:color w:val="000000"/>
          <w:szCs w:val="24"/>
          <w:lang w:val="en-US"/>
        </w:rPr>
        <w:t xml:space="preserve">he </w:t>
      </w:r>
      <w:r w:rsidR="00C44C28">
        <w:rPr>
          <w:rFonts w:eastAsia="Times New Roman"/>
          <w:noProof/>
          <w:color w:val="000000"/>
          <w:szCs w:val="24"/>
          <w:lang w:val="en-US"/>
        </w:rPr>
        <w:t xml:space="preserve">EU </w:t>
      </w:r>
      <w:r w:rsidR="00C44C28" w:rsidRPr="00F174F8">
        <w:rPr>
          <w:rFonts w:eastAsia="Times New Roman"/>
          <w:noProof/>
          <w:color w:val="000000"/>
          <w:szCs w:val="24"/>
          <w:lang w:val="en-US"/>
        </w:rPr>
        <w:t xml:space="preserve">ultimate parent </w:t>
      </w:r>
      <w:r w:rsidR="00147A2F">
        <w:rPr>
          <w:rFonts w:eastAsia="Times New Roman"/>
          <w:noProof/>
          <w:color w:val="000000"/>
          <w:szCs w:val="24"/>
          <w:lang w:val="en-US"/>
        </w:rPr>
        <w:t xml:space="preserve">or the EU intermediate parent company </w:t>
      </w:r>
      <w:r w:rsidR="007D21A0">
        <w:rPr>
          <w:rFonts w:eastAsia="Times New Roman"/>
          <w:noProof/>
          <w:color w:val="000000"/>
          <w:szCs w:val="24"/>
          <w:lang w:val="en-US"/>
        </w:rPr>
        <w:t xml:space="preserve">or the subsidiary </w:t>
      </w:r>
      <w:r w:rsidR="00C44C28" w:rsidRPr="00F174F8">
        <w:rPr>
          <w:rFonts w:eastAsia="Times New Roman"/>
          <w:noProof/>
          <w:color w:val="000000"/>
          <w:szCs w:val="24"/>
          <w:lang w:val="en-US"/>
        </w:rPr>
        <w:t xml:space="preserve">needs </w:t>
      </w:r>
      <w:r w:rsidR="00C44C28">
        <w:rPr>
          <w:rFonts w:eastAsia="Times New Roman"/>
          <w:noProof/>
          <w:color w:val="000000"/>
          <w:szCs w:val="24"/>
          <w:lang w:val="en-US"/>
        </w:rPr>
        <w:t xml:space="preserve">to </w:t>
      </w:r>
      <w:r w:rsidR="00C44C28" w:rsidRPr="00F174F8">
        <w:rPr>
          <w:rFonts w:eastAsia="Times New Roman"/>
          <w:noProof/>
          <w:color w:val="000000"/>
          <w:szCs w:val="24"/>
          <w:lang w:val="en-US"/>
        </w:rPr>
        <w:t>disclos</w:t>
      </w:r>
      <w:r w:rsidR="00C44C28">
        <w:rPr>
          <w:rFonts w:eastAsia="Times New Roman"/>
          <w:noProof/>
          <w:color w:val="000000"/>
          <w:szCs w:val="24"/>
          <w:lang w:val="en-US"/>
        </w:rPr>
        <w:t xml:space="preserve">e </w:t>
      </w:r>
      <w:r w:rsidR="00C44C28" w:rsidRPr="00F174F8">
        <w:rPr>
          <w:rFonts w:eastAsia="Times New Roman"/>
          <w:noProof/>
          <w:color w:val="000000"/>
          <w:szCs w:val="24"/>
          <w:lang w:val="en-US"/>
        </w:rPr>
        <w:t xml:space="preserve">information related to the EU and non-EU subsidiaries of the group. This information should </w:t>
      </w:r>
      <w:r w:rsidR="00C44C28">
        <w:rPr>
          <w:rFonts w:eastAsia="Times New Roman"/>
          <w:noProof/>
          <w:color w:val="000000"/>
          <w:szCs w:val="24"/>
          <w:lang w:val="en-US"/>
        </w:rPr>
        <w:t>also be shared with the registers of the subsidiaries</w:t>
      </w:r>
      <w:r w:rsidR="00C44C28" w:rsidRPr="00F174F8">
        <w:rPr>
          <w:rFonts w:eastAsia="Times New Roman"/>
          <w:noProof/>
          <w:color w:val="000000"/>
          <w:szCs w:val="24"/>
          <w:lang w:val="en-US"/>
        </w:rPr>
        <w:t>.</w:t>
      </w:r>
      <w:r w:rsidR="00147A2F">
        <w:rPr>
          <w:rFonts w:eastAsia="Times New Roman"/>
          <w:noProof/>
          <w:color w:val="000000"/>
          <w:szCs w:val="24"/>
          <w:lang w:val="en-US"/>
        </w:rPr>
        <w:t xml:space="preserve"> A visualisation of the group is made available through the system of interconnection of registers. </w:t>
      </w:r>
    </w:p>
    <w:p w14:paraId="68596A72"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495595E5" w14:textId="77777777" w:rsidR="00F174F8" w:rsidRPr="00F174F8" w:rsidRDefault="00F174F8" w:rsidP="00F174F8">
      <w:pPr>
        <w:shd w:val="clear" w:color="auto" w:fill="FFFFFF"/>
        <w:spacing w:before="0" w:after="0"/>
        <w:textAlignment w:val="baseline"/>
        <w:rPr>
          <w:rFonts w:eastAsia="Times New Roman"/>
          <w:noProof/>
          <w:color w:val="000000"/>
          <w:szCs w:val="24"/>
          <w:shd w:val="clear" w:color="auto" w:fill="FFFFFF"/>
          <w:lang w:val="en-US"/>
        </w:rPr>
      </w:pPr>
      <w:r w:rsidRPr="00361DC7">
        <w:rPr>
          <w:rFonts w:eastAsia="Times New Roman"/>
          <w:noProof/>
          <w:color w:val="000000"/>
          <w:szCs w:val="24"/>
          <w:u w:val="single"/>
          <w:lang w:val="en-US"/>
        </w:rPr>
        <w:t>Article 15</w:t>
      </w:r>
      <w:r w:rsidRPr="00F174F8">
        <w:rPr>
          <w:rFonts w:eastAsia="Times New Roman"/>
          <w:noProof/>
          <w:color w:val="000000"/>
          <w:szCs w:val="24"/>
          <w:lang w:val="en-US"/>
        </w:rPr>
        <w:t xml:space="preserve"> </w:t>
      </w:r>
      <w:r w:rsidRPr="00F174F8">
        <w:rPr>
          <w:rFonts w:eastAsia="Times New Roman"/>
          <w:noProof/>
          <w:color w:val="000000"/>
          <w:szCs w:val="24"/>
          <w:shd w:val="clear" w:color="auto" w:fill="FFFFFF"/>
          <w:lang w:val="en-US"/>
        </w:rPr>
        <w:t xml:space="preserve">is replaced. The new provision introduces a time limit for the filing of changes to documents and information in the register and </w:t>
      </w:r>
      <w:r w:rsidR="00361DC7">
        <w:rPr>
          <w:rFonts w:eastAsia="Times New Roman"/>
          <w:noProof/>
          <w:color w:val="000000"/>
          <w:szCs w:val="24"/>
          <w:shd w:val="clear" w:color="auto" w:fill="FFFFFF"/>
          <w:lang w:val="en-US"/>
        </w:rPr>
        <w:t xml:space="preserve">those </w:t>
      </w:r>
      <w:r w:rsidRPr="00F174F8">
        <w:rPr>
          <w:rFonts w:eastAsia="Times New Roman"/>
          <w:noProof/>
          <w:color w:val="000000"/>
          <w:szCs w:val="24"/>
          <w:shd w:val="clear" w:color="auto" w:fill="FFFFFF"/>
          <w:lang w:val="en-US"/>
        </w:rPr>
        <w:t xml:space="preserve">to be made publicly available </w:t>
      </w:r>
      <w:r w:rsidR="00361DC7">
        <w:rPr>
          <w:rFonts w:eastAsia="Times New Roman"/>
          <w:noProof/>
          <w:color w:val="000000"/>
          <w:szCs w:val="24"/>
          <w:shd w:val="clear" w:color="auto" w:fill="FFFFFF"/>
          <w:lang w:val="en-US"/>
        </w:rPr>
        <w:t xml:space="preserve">by the register. It also requires Member States to have </w:t>
      </w:r>
      <w:r w:rsidR="00F84668" w:rsidRPr="0004690E">
        <w:rPr>
          <w:rFonts w:eastAsia="Times New Roman"/>
          <w:noProof/>
          <w:color w:val="000000"/>
          <w:szCs w:val="24"/>
          <w:shd w:val="clear" w:color="auto" w:fill="FFFFFF"/>
        </w:rPr>
        <w:t>in</w:t>
      </w:r>
      <w:r w:rsidR="00F84668">
        <w:rPr>
          <w:rFonts w:eastAsia="Times New Roman"/>
          <w:noProof/>
          <w:color w:val="000000"/>
          <w:szCs w:val="24"/>
          <w:shd w:val="clear" w:color="auto" w:fill="FFFFFF"/>
          <w:lang w:val="en-US"/>
        </w:rPr>
        <w:t xml:space="preserve"> </w:t>
      </w:r>
      <w:r w:rsidR="00361DC7">
        <w:rPr>
          <w:rFonts w:eastAsia="Times New Roman"/>
          <w:noProof/>
          <w:color w:val="000000"/>
          <w:szCs w:val="24"/>
          <w:shd w:val="clear" w:color="auto" w:fill="FFFFFF"/>
          <w:lang w:val="en-US"/>
        </w:rPr>
        <w:t xml:space="preserve">place procedures </w:t>
      </w:r>
      <w:r w:rsidRPr="00F174F8">
        <w:rPr>
          <w:rFonts w:eastAsia="Times New Roman"/>
          <w:noProof/>
          <w:color w:val="000000"/>
          <w:szCs w:val="24"/>
          <w:shd w:val="clear" w:color="auto" w:fill="FFFFFF"/>
          <w:lang w:val="en-US"/>
        </w:rPr>
        <w:t>to keep the information in the business register up-to-date, including</w:t>
      </w:r>
      <w:r w:rsidR="00361DC7">
        <w:rPr>
          <w:rFonts w:eastAsia="Times New Roman"/>
          <w:noProof/>
          <w:color w:val="000000"/>
          <w:szCs w:val="24"/>
          <w:shd w:val="clear" w:color="auto" w:fill="FFFFFF"/>
          <w:lang w:val="en-US"/>
        </w:rPr>
        <w:t xml:space="preserve"> the status of companies</w:t>
      </w:r>
      <w:r w:rsidRPr="00F174F8">
        <w:rPr>
          <w:rFonts w:eastAsia="Times New Roman"/>
          <w:noProof/>
          <w:color w:val="000000"/>
          <w:szCs w:val="24"/>
          <w:shd w:val="clear" w:color="auto" w:fill="FFFFFF"/>
          <w:lang w:val="en-US"/>
        </w:rPr>
        <w:t xml:space="preserve">. </w:t>
      </w:r>
    </w:p>
    <w:p w14:paraId="73643D0B" w14:textId="77777777" w:rsidR="00F174F8" w:rsidRPr="00F174F8" w:rsidRDefault="00F174F8" w:rsidP="00F174F8">
      <w:pPr>
        <w:shd w:val="clear" w:color="auto" w:fill="FFFFFF"/>
        <w:spacing w:before="0" w:after="0"/>
        <w:textAlignment w:val="baseline"/>
        <w:rPr>
          <w:rFonts w:eastAsia="Times New Roman"/>
          <w:noProof/>
          <w:color w:val="000000"/>
          <w:szCs w:val="24"/>
          <w:shd w:val="clear" w:color="auto" w:fill="FFFFFF"/>
          <w:lang w:val="en-US"/>
        </w:rPr>
      </w:pPr>
    </w:p>
    <w:p w14:paraId="6786BA71" w14:textId="77777777" w:rsidR="00F84668" w:rsidRPr="0004690E" w:rsidRDefault="00F84668" w:rsidP="00F84668">
      <w:pPr>
        <w:shd w:val="clear" w:color="auto" w:fill="FFFFFF"/>
        <w:spacing w:before="0" w:after="0"/>
        <w:textAlignment w:val="baseline"/>
        <w:rPr>
          <w:rFonts w:eastAsia="Times New Roman"/>
          <w:noProof/>
          <w:color w:val="000000"/>
          <w:szCs w:val="24"/>
          <w:shd w:val="clear" w:color="auto" w:fill="FFFFFF"/>
        </w:rPr>
      </w:pPr>
      <w:r w:rsidRPr="0004690E">
        <w:rPr>
          <w:rFonts w:eastAsia="Times New Roman"/>
          <w:noProof/>
          <w:color w:val="000000"/>
          <w:szCs w:val="24"/>
          <w:u w:val="single"/>
          <w:shd w:val="clear" w:color="auto" w:fill="FFFFFF"/>
        </w:rPr>
        <w:t>Article 16</w:t>
      </w:r>
      <w:r w:rsidRPr="0004690E">
        <w:rPr>
          <w:rFonts w:eastAsia="Times New Roman"/>
          <w:noProof/>
          <w:color w:val="000000"/>
          <w:szCs w:val="24"/>
          <w:shd w:val="clear" w:color="auto" w:fill="FFFFFF"/>
        </w:rPr>
        <w:t xml:space="preserve"> is amended to include partnerships and disclosed information related to partnerships in its scope, and the group information in line with Article 14b to be recorded in the business register.  </w:t>
      </w:r>
    </w:p>
    <w:p w14:paraId="36AB6D2C" w14:textId="77777777" w:rsidR="00F174F8" w:rsidRPr="00F84668" w:rsidRDefault="00F174F8" w:rsidP="00F174F8">
      <w:pPr>
        <w:shd w:val="clear" w:color="auto" w:fill="FFFFFF"/>
        <w:spacing w:before="0" w:after="0"/>
        <w:textAlignment w:val="baseline"/>
        <w:rPr>
          <w:rFonts w:eastAsia="Times New Roman"/>
          <w:noProof/>
          <w:color w:val="000000"/>
          <w:szCs w:val="24"/>
          <w:shd w:val="clear" w:color="auto" w:fill="FFFFFF"/>
        </w:rPr>
      </w:pPr>
    </w:p>
    <w:p w14:paraId="69880EF1" w14:textId="77777777" w:rsidR="00F174F8" w:rsidRPr="00F174F8" w:rsidRDefault="00F174F8" w:rsidP="00F174F8">
      <w:pPr>
        <w:shd w:val="clear" w:color="auto" w:fill="FFFFFF"/>
        <w:spacing w:before="0" w:after="0"/>
        <w:textAlignment w:val="baseline"/>
        <w:rPr>
          <w:rFonts w:eastAsia="Times New Roman"/>
          <w:noProof/>
          <w:color w:val="000000"/>
          <w:szCs w:val="24"/>
          <w:shd w:val="clear" w:color="auto" w:fill="FFFFFF"/>
          <w:lang w:val="en-US"/>
        </w:rPr>
      </w:pPr>
      <w:r w:rsidRPr="00BA5032">
        <w:rPr>
          <w:rFonts w:eastAsia="Times New Roman"/>
          <w:noProof/>
          <w:color w:val="000000"/>
          <w:szCs w:val="24"/>
          <w:u w:val="single"/>
          <w:shd w:val="clear" w:color="auto" w:fill="FFFFFF"/>
          <w:lang w:val="en-US"/>
        </w:rPr>
        <w:t>Article 16a</w:t>
      </w:r>
      <w:r w:rsidRPr="00F174F8">
        <w:rPr>
          <w:rFonts w:eastAsia="Times New Roman"/>
          <w:noProof/>
          <w:color w:val="000000"/>
          <w:szCs w:val="24"/>
          <w:shd w:val="clear" w:color="auto" w:fill="FFFFFF"/>
          <w:lang w:val="en-US"/>
        </w:rPr>
        <w:t xml:space="preserve"> is amended to include </w:t>
      </w:r>
      <w:r w:rsidR="00147A2F">
        <w:rPr>
          <w:rFonts w:eastAsia="Times New Roman"/>
          <w:noProof/>
          <w:color w:val="000000"/>
          <w:szCs w:val="24"/>
          <w:shd w:val="clear" w:color="auto" w:fill="FFFFFF"/>
          <w:lang w:val="en-US"/>
        </w:rPr>
        <w:t xml:space="preserve">information about </w:t>
      </w:r>
      <w:r w:rsidRPr="00F174F8">
        <w:rPr>
          <w:rFonts w:eastAsia="Times New Roman"/>
          <w:noProof/>
          <w:color w:val="000000"/>
          <w:szCs w:val="24"/>
          <w:shd w:val="clear" w:color="auto" w:fill="FFFFFF"/>
          <w:lang w:val="en-US"/>
        </w:rPr>
        <w:t xml:space="preserve">partnerships </w:t>
      </w:r>
      <w:r w:rsidR="00147A2F">
        <w:rPr>
          <w:rFonts w:eastAsia="Times New Roman"/>
          <w:noProof/>
          <w:color w:val="000000"/>
          <w:szCs w:val="24"/>
          <w:shd w:val="clear" w:color="auto" w:fill="FFFFFF"/>
          <w:lang w:val="en-US"/>
        </w:rPr>
        <w:t xml:space="preserve">and groups </w:t>
      </w:r>
      <w:r w:rsidR="00F84668" w:rsidRPr="0004690E">
        <w:rPr>
          <w:rFonts w:eastAsia="Times New Roman"/>
          <w:noProof/>
          <w:color w:val="000000"/>
          <w:szCs w:val="24"/>
          <w:shd w:val="clear" w:color="auto" w:fill="FFFFFF"/>
        </w:rPr>
        <w:t>in</w:t>
      </w:r>
      <w:r w:rsidR="00147A2F">
        <w:rPr>
          <w:rFonts w:eastAsia="Times New Roman"/>
          <w:noProof/>
          <w:color w:val="000000"/>
          <w:szCs w:val="24"/>
          <w:shd w:val="clear" w:color="auto" w:fill="FFFFFF"/>
          <w:lang w:val="en-US"/>
        </w:rPr>
        <w:t xml:space="preserve"> the scope and to ensure compatibility with </w:t>
      </w:r>
      <w:r w:rsidRPr="00F174F8">
        <w:rPr>
          <w:rFonts w:eastAsia="Times New Roman"/>
          <w:noProof/>
          <w:color w:val="000000"/>
          <w:szCs w:val="24"/>
          <w:shd w:val="clear" w:color="auto" w:fill="FFFFFF"/>
          <w:lang w:val="en-US"/>
        </w:rPr>
        <w:t xml:space="preserve">the </w:t>
      </w:r>
      <w:r w:rsidR="00147A2F">
        <w:rPr>
          <w:rFonts w:eastAsia="Times New Roman"/>
          <w:noProof/>
          <w:color w:val="000000"/>
          <w:szCs w:val="24"/>
          <w:shd w:val="clear" w:color="auto" w:fill="FFFFFF"/>
          <w:lang w:val="en-US"/>
        </w:rPr>
        <w:t xml:space="preserve">proposal xxx </w:t>
      </w:r>
      <w:r w:rsidRPr="00F174F8">
        <w:rPr>
          <w:rFonts w:eastAsia="Times New Roman"/>
          <w:noProof/>
          <w:color w:val="000000"/>
          <w:szCs w:val="24"/>
          <w:shd w:val="clear" w:color="auto" w:fill="FFFFFF"/>
          <w:lang w:val="en-US"/>
        </w:rPr>
        <w:t>European Digital Identity Wallet.</w:t>
      </w:r>
    </w:p>
    <w:p w14:paraId="23B22B37" w14:textId="77777777" w:rsidR="00F174F8" w:rsidRPr="00F174F8" w:rsidRDefault="00F174F8" w:rsidP="00F174F8">
      <w:pPr>
        <w:shd w:val="clear" w:color="auto" w:fill="FFFFFF"/>
        <w:spacing w:before="0" w:after="0"/>
        <w:textAlignment w:val="baseline"/>
        <w:rPr>
          <w:rFonts w:eastAsia="Times New Roman"/>
          <w:noProof/>
          <w:color w:val="000000"/>
          <w:szCs w:val="24"/>
          <w:shd w:val="clear" w:color="auto" w:fill="FFFFFF"/>
          <w:lang w:val="en-US"/>
        </w:rPr>
      </w:pPr>
    </w:p>
    <w:p w14:paraId="05309388" w14:textId="77777777" w:rsidR="00F174F8" w:rsidRPr="00F174F8" w:rsidRDefault="001A2107" w:rsidP="00F174F8">
      <w:pPr>
        <w:shd w:val="clear" w:color="auto" w:fill="FFFFFF"/>
        <w:spacing w:before="0" w:after="0"/>
        <w:textAlignment w:val="baseline"/>
        <w:rPr>
          <w:rFonts w:eastAsia="Times New Roman"/>
          <w:noProof/>
          <w:color w:val="000000"/>
          <w:szCs w:val="24"/>
          <w:shd w:val="clear" w:color="auto" w:fill="FFFFFF"/>
          <w:lang w:val="en-US"/>
        </w:rPr>
      </w:pPr>
      <w:r w:rsidRPr="00147A2F">
        <w:rPr>
          <w:rFonts w:eastAsia="Times New Roman"/>
          <w:noProof/>
          <w:color w:val="000000"/>
          <w:szCs w:val="24"/>
          <w:u w:val="single"/>
          <w:shd w:val="clear" w:color="auto" w:fill="FFFFFF"/>
          <w:lang w:val="en-US"/>
        </w:rPr>
        <w:t xml:space="preserve">New </w:t>
      </w:r>
      <w:r w:rsidR="00F174F8" w:rsidRPr="00147A2F">
        <w:rPr>
          <w:rFonts w:eastAsia="Times New Roman"/>
          <w:noProof/>
          <w:color w:val="000000"/>
          <w:szCs w:val="24"/>
          <w:u w:val="single"/>
          <w:shd w:val="clear" w:color="auto" w:fill="FFFFFF"/>
          <w:lang w:val="en-US"/>
        </w:rPr>
        <w:t>Article 16b</w:t>
      </w:r>
      <w:r w:rsidR="00F174F8" w:rsidRPr="00F174F8">
        <w:rPr>
          <w:rFonts w:eastAsia="Times New Roman"/>
          <w:noProof/>
          <w:color w:val="000000"/>
          <w:szCs w:val="24"/>
          <w:shd w:val="clear" w:color="auto" w:fill="FFFFFF"/>
          <w:lang w:val="en-US"/>
        </w:rPr>
        <w:t xml:space="preserve"> introduces the </w:t>
      </w:r>
      <w:r w:rsidR="00147A2F">
        <w:rPr>
          <w:rFonts w:eastAsia="Times New Roman"/>
          <w:noProof/>
          <w:color w:val="000000"/>
          <w:szCs w:val="24"/>
          <w:shd w:val="clear" w:color="auto" w:fill="FFFFFF"/>
          <w:lang w:val="en-US"/>
        </w:rPr>
        <w:t>harmoni</w:t>
      </w:r>
      <w:r w:rsidR="00F84668" w:rsidRPr="00E41D06">
        <w:rPr>
          <w:rFonts w:eastAsia="Times New Roman"/>
          <w:noProof/>
          <w:color w:val="000000"/>
          <w:szCs w:val="24"/>
          <w:shd w:val="clear" w:color="auto" w:fill="FFFFFF"/>
        </w:rPr>
        <w:t>s</w:t>
      </w:r>
      <w:r w:rsidR="00147A2F">
        <w:rPr>
          <w:rFonts w:eastAsia="Times New Roman"/>
          <w:noProof/>
          <w:color w:val="000000"/>
          <w:szCs w:val="24"/>
          <w:shd w:val="clear" w:color="auto" w:fill="FFFFFF"/>
          <w:lang w:val="en-US"/>
        </w:rPr>
        <w:t xml:space="preserve">ed </w:t>
      </w:r>
      <w:r w:rsidR="00F174F8" w:rsidRPr="00F174F8">
        <w:rPr>
          <w:rFonts w:eastAsia="Times New Roman"/>
          <w:noProof/>
          <w:color w:val="000000"/>
          <w:szCs w:val="24"/>
          <w:shd w:val="clear" w:color="auto" w:fill="FFFFFF"/>
          <w:lang w:val="en-US"/>
        </w:rPr>
        <w:t xml:space="preserve">EU Company Certificate. </w:t>
      </w:r>
    </w:p>
    <w:p w14:paraId="339884E0" w14:textId="77777777" w:rsidR="00F174F8" w:rsidRPr="00F174F8" w:rsidRDefault="00F174F8" w:rsidP="00F174F8">
      <w:pPr>
        <w:shd w:val="clear" w:color="auto" w:fill="FFFFFF"/>
        <w:spacing w:before="0" w:after="0"/>
        <w:textAlignment w:val="baseline"/>
        <w:rPr>
          <w:rFonts w:eastAsia="Times New Roman"/>
          <w:noProof/>
          <w:color w:val="000000"/>
          <w:szCs w:val="24"/>
          <w:shd w:val="clear" w:color="auto" w:fill="FFFFFF"/>
          <w:lang w:val="en-US"/>
        </w:rPr>
      </w:pPr>
    </w:p>
    <w:p w14:paraId="7D2E4F40" w14:textId="77777777" w:rsidR="00F174F8" w:rsidRPr="00F174F8" w:rsidRDefault="001A2107" w:rsidP="00F174F8">
      <w:pPr>
        <w:shd w:val="clear" w:color="auto" w:fill="FFFFFF"/>
        <w:spacing w:before="0" w:after="0"/>
        <w:textAlignment w:val="baseline"/>
        <w:rPr>
          <w:rFonts w:eastAsia="Times New Roman"/>
          <w:noProof/>
          <w:color w:val="000000"/>
          <w:szCs w:val="24"/>
          <w:shd w:val="clear" w:color="auto" w:fill="FFFFFF"/>
          <w:lang w:val="en-US"/>
        </w:rPr>
      </w:pPr>
      <w:r w:rsidRPr="00147A2F">
        <w:rPr>
          <w:rFonts w:eastAsia="Times New Roman"/>
          <w:noProof/>
          <w:color w:val="000000"/>
          <w:szCs w:val="24"/>
          <w:u w:val="single"/>
          <w:shd w:val="clear" w:color="auto" w:fill="FFFFFF"/>
          <w:lang w:val="en-US"/>
        </w:rPr>
        <w:t xml:space="preserve">New </w:t>
      </w:r>
      <w:r w:rsidR="00F174F8" w:rsidRPr="00147A2F">
        <w:rPr>
          <w:rFonts w:eastAsia="Times New Roman"/>
          <w:noProof/>
          <w:color w:val="000000"/>
          <w:szCs w:val="24"/>
          <w:u w:val="single"/>
          <w:shd w:val="clear" w:color="auto" w:fill="FFFFFF"/>
          <w:lang w:val="en-US"/>
        </w:rPr>
        <w:t>Article 16c</w:t>
      </w:r>
      <w:r w:rsidR="00B86718" w:rsidRPr="00B86718">
        <w:rPr>
          <w:rFonts w:eastAsia="Times New Roman"/>
          <w:noProof/>
          <w:color w:val="000000"/>
          <w:szCs w:val="24"/>
          <w:shd w:val="clear" w:color="auto" w:fill="FFFFFF"/>
          <w:lang w:val="en-US"/>
        </w:rPr>
        <w:t xml:space="preserve"> </w:t>
      </w:r>
      <w:r w:rsidR="00147A2F">
        <w:rPr>
          <w:rFonts w:eastAsia="Times New Roman"/>
          <w:noProof/>
          <w:color w:val="000000"/>
          <w:szCs w:val="24"/>
          <w:shd w:val="clear" w:color="auto" w:fill="FFFFFF"/>
          <w:lang w:val="en-US"/>
        </w:rPr>
        <w:t>provides a standard model</w:t>
      </w:r>
      <w:r w:rsidR="00F84668" w:rsidRPr="00F84668">
        <w:rPr>
          <w:rFonts w:eastAsia="Times New Roman"/>
          <w:noProof/>
          <w:color w:val="000000"/>
          <w:szCs w:val="24"/>
          <w:shd w:val="clear" w:color="auto" w:fill="FFFFFF"/>
        </w:rPr>
        <w:t xml:space="preserve"> </w:t>
      </w:r>
      <w:r w:rsidR="00F84668" w:rsidRPr="00E41D06">
        <w:rPr>
          <w:rFonts w:eastAsia="Times New Roman"/>
          <w:noProof/>
          <w:color w:val="000000"/>
          <w:szCs w:val="24"/>
          <w:shd w:val="clear" w:color="auto" w:fill="FFFFFF"/>
        </w:rPr>
        <w:t xml:space="preserve">for the </w:t>
      </w:r>
      <w:r w:rsidR="00F174F8" w:rsidRPr="00F174F8">
        <w:rPr>
          <w:rFonts w:eastAsia="Times New Roman"/>
          <w:noProof/>
          <w:color w:val="000000"/>
          <w:szCs w:val="24"/>
          <w:shd w:val="clear" w:color="auto" w:fill="FFFFFF"/>
          <w:lang w:val="en-US"/>
        </w:rPr>
        <w:t xml:space="preserve">Digital EU power of attorney </w:t>
      </w:r>
      <w:r w:rsidR="00147A2F">
        <w:rPr>
          <w:rFonts w:eastAsia="Times New Roman"/>
          <w:noProof/>
          <w:color w:val="000000"/>
          <w:szCs w:val="24"/>
          <w:shd w:val="clear" w:color="auto" w:fill="FFFFFF"/>
          <w:lang w:val="en-US"/>
        </w:rPr>
        <w:t>t</w:t>
      </w:r>
      <w:r w:rsidR="005974B0">
        <w:rPr>
          <w:rFonts w:eastAsia="Times New Roman"/>
          <w:noProof/>
          <w:color w:val="000000"/>
          <w:szCs w:val="24"/>
          <w:shd w:val="clear" w:color="auto" w:fill="FFFFFF"/>
          <w:lang w:val="en-US"/>
        </w:rPr>
        <w:t>hat can</w:t>
      </w:r>
      <w:r w:rsidR="00147A2F">
        <w:rPr>
          <w:rFonts w:eastAsia="Times New Roman"/>
          <w:noProof/>
          <w:color w:val="000000"/>
          <w:szCs w:val="24"/>
          <w:shd w:val="clear" w:color="auto" w:fill="FFFFFF"/>
          <w:lang w:val="en-US"/>
        </w:rPr>
        <w:t xml:space="preserve"> be used in cross-border procedures in the context of Directive 2017/1132. While the power of attorney should be drawn up and revoked in accordance with national law, the provision introduces some mandatory </w:t>
      </w:r>
      <w:r w:rsidR="00F84668" w:rsidRPr="00E41D06">
        <w:rPr>
          <w:rFonts w:eastAsia="Times New Roman"/>
          <w:noProof/>
          <w:color w:val="000000"/>
          <w:szCs w:val="24"/>
          <w:shd w:val="clear" w:color="auto" w:fill="FFFFFF"/>
        </w:rPr>
        <w:t>verifications for when it is being drawn up</w:t>
      </w:r>
      <w:r w:rsidR="00147A2F">
        <w:rPr>
          <w:rFonts w:eastAsia="Times New Roman"/>
          <w:noProof/>
          <w:color w:val="000000"/>
          <w:szCs w:val="24"/>
          <w:shd w:val="clear" w:color="auto" w:fill="FFFFFF"/>
          <w:lang w:val="en-US"/>
        </w:rPr>
        <w:t xml:space="preserve">. </w:t>
      </w:r>
      <w:r w:rsidR="00F84668" w:rsidRPr="00E41D06">
        <w:rPr>
          <w:rFonts w:eastAsia="Times New Roman"/>
          <w:noProof/>
          <w:color w:val="000000"/>
          <w:szCs w:val="24"/>
          <w:shd w:val="clear" w:color="auto" w:fill="FFFFFF"/>
        </w:rPr>
        <w:t>The power of attorney should be filed in the business register of the company, and third persons with a legitimate interest should have access to it.</w:t>
      </w:r>
    </w:p>
    <w:p w14:paraId="74A34E32"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37FBCF6C" w14:textId="77777777" w:rsidR="00F174F8" w:rsidRPr="00F174F8" w:rsidRDefault="001A2107" w:rsidP="00F174F8">
      <w:pPr>
        <w:shd w:val="clear" w:color="auto" w:fill="FFFFFF"/>
        <w:spacing w:before="0" w:after="0"/>
        <w:textAlignment w:val="baseline"/>
        <w:rPr>
          <w:rFonts w:eastAsia="Times New Roman"/>
          <w:noProof/>
          <w:color w:val="000000"/>
          <w:szCs w:val="24"/>
          <w:lang w:val="en-US"/>
        </w:rPr>
      </w:pPr>
      <w:r w:rsidRPr="003F4597">
        <w:rPr>
          <w:rFonts w:eastAsia="Times New Roman"/>
          <w:noProof/>
          <w:color w:val="000000"/>
          <w:szCs w:val="24"/>
          <w:u w:val="single"/>
          <w:lang w:val="en-US"/>
        </w:rPr>
        <w:t xml:space="preserve">New </w:t>
      </w:r>
      <w:r w:rsidR="00F174F8" w:rsidRPr="003F4597">
        <w:rPr>
          <w:rFonts w:eastAsia="Times New Roman"/>
          <w:noProof/>
          <w:color w:val="000000"/>
          <w:szCs w:val="24"/>
          <w:u w:val="single"/>
          <w:lang w:val="en-US"/>
        </w:rPr>
        <w:t>Article 16d</w:t>
      </w:r>
      <w:r w:rsidR="00F174F8" w:rsidRPr="00F174F8">
        <w:rPr>
          <w:rFonts w:eastAsia="Times New Roman"/>
          <w:noProof/>
          <w:color w:val="000000"/>
          <w:szCs w:val="24"/>
          <w:lang w:val="en-US"/>
        </w:rPr>
        <w:t xml:space="preserve"> </w:t>
      </w:r>
      <w:r w:rsidR="00E41D06" w:rsidRPr="00E41D06">
        <w:rPr>
          <w:rFonts w:eastAsia="Times New Roman"/>
          <w:noProof/>
          <w:color w:val="000000"/>
          <w:szCs w:val="24"/>
        </w:rPr>
        <w:t xml:space="preserve">requires Member States to ensure that copies and extracts of documents of information provided, </w:t>
      </w:r>
      <w:r w:rsidR="00E41D06" w:rsidRPr="00E41D06" w:rsidDel="00F65FAC">
        <w:rPr>
          <w:rFonts w:eastAsia="Times New Roman"/>
          <w:noProof/>
          <w:color w:val="000000"/>
          <w:szCs w:val="24"/>
        </w:rPr>
        <w:t xml:space="preserve">and </w:t>
      </w:r>
      <w:r w:rsidR="00E41D06" w:rsidRPr="00E41D06">
        <w:rPr>
          <w:rFonts w:eastAsia="Times New Roman"/>
          <w:noProof/>
          <w:color w:val="000000"/>
          <w:szCs w:val="24"/>
        </w:rPr>
        <w:t>certified true copies by business registers</w:t>
      </w:r>
      <w:r w:rsidR="00E41D06" w:rsidRPr="00E41D06">
        <w:rPr>
          <w:rFonts w:eastAsia="Times New Roman"/>
          <w:noProof/>
          <w:color w:val="000000"/>
          <w:szCs w:val="24"/>
          <w:lang w:val="en-US"/>
        </w:rPr>
        <w:t xml:space="preserve"> </w:t>
      </w:r>
      <w:r w:rsidR="00E41D06" w:rsidRPr="00E41D06">
        <w:rPr>
          <w:rFonts w:eastAsia="Times New Roman"/>
          <w:noProof/>
          <w:color w:val="000000"/>
          <w:szCs w:val="24"/>
        </w:rPr>
        <w:t xml:space="preserve">as well as notarial acts and administrative documents and their certified copies, as well as certified translations are exempted from any form of legalisation or </w:t>
      </w:r>
      <w:r w:rsidR="00DA0F29">
        <w:rPr>
          <w:rFonts w:eastAsia="Times New Roman"/>
          <w:noProof/>
          <w:color w:val="000000"/>
          <w:szCs w:val="24"/>
        </w:rPr>
        <w:t>similar</w:t>
      </w:r>
      <w:r w:rsidR="00DA0F29" w:rsidRPr="00E41D06">
        <w:rPr>
          <w:rFonts w:eastAsia="Times New Roman"/>
          <w:noProof/>
          <w:color w:val="000000"/>
          <w:szCs w:val="24"/>
        </w:rPr>
        <w:t xml:space="preserve"> </w:t>
      </w:r>
      <w:r w:rsidR="00E41D06" w:rsidRPr="00E41D06">
        <w:rPr>
          <w:rFonts w:eastAsia="Times New Roman"/>
          <w:noProof/>
          <w:color w:val="000000"/>
          <w:szCs w:val="24"/>
        </w:rPr>
        <w:t>formality as long as they meet certain minimum requirements related to the origin of the document.</w:t>
      </w:r>
    </w:p>
    <w:p w14:paraId="5251346E"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105543C5" w14:textId="77777777" w:rsidR="00E41D06" w:rsidRPr="00E41D06" w:rsidRDefault="00E41D06" w:rsidP="00E41D06">
      <w:pPr>
        <w:shd w:val="clear" w:color="auto" w:fill="FFFFFF"/>
        <w:spacing w:before="0" w:after="0"/>
        <w:textAlignment w:val="baseline"/>
        <w:rPr>
          <w:rFonts w:eastAsia="Times New Roman"/>
          <w:noProof/>
          <w:color w:val="000000"/>
          <w:szCs w:val="24"/>
        </w:rPr>
      </w:pPr>
      <w:r w:rsidRPr="00E41D06">
        <w:rPr>
          <w:rFonts w:eastAsia="Times New Roman"/>
          <w:noProof/>
          <w:color w:val="000000"/>
          <w:szCs w:val="24"/>
          <w:u w:val="single"/>
        </w:rPr>
        <w:t>New Article 16e</w:t>
      </w:r>
      <w:r w:rsidRPr="00E41D06">
        <w:rPr>
          <w:rFonts w:eastAsia="Times New Roman"/>
          <w:noProof/>
          <w:color w:val="000000"/>
          <w:szCs w:val="24"/>
        </w:rPr>
        <w:t xml:space="preserve"> provides for safeguards in case the authorities to which the copies and extracts of documents of information provided</w:t>
      </w:r>
      <w:r w:rsidR="00233A41">
        <w:rPr>
          <w:rFonts w:eastAsia="Times New Roman"/>
          <w:noProof/>
          <w:color w:val="000000"/>
          <w:szCs w:val="24"/>
        </w:rPr>
        <w:t>,</w:t>
      </w:r>
      <w:r w:rsidRPr="00E41D06">
        <w:rPr>
          <w:rFonts w:eastAsia="Times New Roman"/>
          <w:noProof/>
          <w:color w:val="000000"/>
          <w:szCs w:val="24"/>
        </w:rPr>
        <w:t xml:space="preserve"> and certified true copies by business registers are presented have doubts about the </w:t>
      </w:r>
      <w:r w:rsidR="00233A41">
        <w:rPr>
          <w:rFonts w:eastAsia="Times New Roman"/>
          <w:noProof/>
          <w:color w:val="000000"/>
          <w:szCs w:val="24"/>
        </w:rPr>
        <w:t>origin and authenticity</w:t>
      </w:r>
      <w:r w:rsidRPr="00E41D06">
        <w:rPr>
          <w:rFonts w:eastAsia="Times New Roman"/>
          <w:noProof/>
          <w:color w:val="000000"/>
          <w:szCs w:val="24"/>
        </w:rPr>
        <w:t xml:space="preserve"> of the documents. In case of doubt, a procedure to verify the origin of the documents through registers is introduced. </w:t>
      </w:r>
    </w:p>
    <w:p w14:paraId="32158DF2" w14:textId="77777777" w:rsidR="00F174F8" w:rsidRPr="00E41D06" w:rsidRDefault="00F174F8" w:rsidP="00F174F8">
      <w:pPr>
        <w:shd w:val="clear" w:color="auto" w:fill="FFFFFF"/>
        <w:spacing w:before="0" w:after="0"/>
        <w:textAlignment w:val="baseline"/>
        <w:rPr>
          <w:rFonts w:eastAsia="Times New Roman"/>
          <w:noProof/>
          <w:color w:val="000000"/>
          <w:szCs w:val="24"/>
        </w:rPr>
      </w:pPr>
    </w:p>
    <w:p w14:paraId="7FF34B49" w14:textId="77777777" w:rsidR="00F174F8" w:rsidRPr="00FC68DC" w:rsidRDefault="001A2107" w:rsidP="00F174F8">
      <w:pPr>
        <w:shd w:val="clear" w:color="auto" w:fill="FFFFFF"/>
        <w:spacing w:before="0" w:after="0"/>
        <w:textAlignment w:val="baseline"/>
        <w:rPr>
          <w:rFonts w:eastAsia="Times New Roman"/>
          <w:noProof/>
          <w:color w:val="00B050"/>
          <w:szCs w:val="24"/>
          <w:lang w:eastAsia="en-GB"/>
        </w:rPr>
      </w:pPr>
      <w:r w:rsidRPr="003F4597">
        <w:rPr>
          <w:rFonts w:eastAsia="Times New Roman"/>
          <w:noProof/>
          <w:color w:val="000000"/>
          <w:szCs w:val="24"/>
          <w:u w:val="single"/>
          <w:lang w:val="en-US"/>
        </w:rPr>
        <w:t xml:space="preserve">New </w:t>
      </w:r>
      <w:r w:rsidR="00F174F8" w:rsidRPr="003F4597">
        <w:rPr>
          <w:rFonts w:eastAsia="Times New Roman"/>
          <w:noProof/>
          <w:color w:val="000000"/>
          <w:szCs w:val="24"/>
          <w:u w:val="single"/>
          <w:lang w:val="en-US"/>
        </w:rPr>
        <w:t>Article</w:t>
      </w:r>
      <w:r w:rsidR="00233A41">
        <w:rPr>
          <w:rFonts w:eastAsia="Times New Roman"/>
          <w:noProof/>
          <w:color w:val="000000"/>
          <w:szCs w:val="24"/>
          <w:u w:val="single"/>
          <w:lang w:val="en-US"/>
        </w:rPr>
        <w:t xml:space="preserve"> 16f</w:t>
      </w:r>
      <w:r w:rsidR="00F174F8" w:rsidRPr="003F4597">
        <w:rPr>
          <w:rFonts w:eastAsia="Times New Roman"/>
          <w:noProof/>
          <w:color w:val="000000"/>
          <w:szCs w:val="24"/>
          <w:u w:val="single"/>
          <w:lang w:val="en-US"/>
        </w:rPr>
        <w:t xml:space="preserve"> </w:t>
      </w:r>
      <w:r w:rsidR="00E41D06" w:rsidRPr="00E41D06">
        <w:rPr>
          <w:rFonts w:eastAsia="Times New Roman"/>
          <w:noProof/>
          <w:color w:val="000000"/>
          <w:szCs w:val="24"/>
        </w:rPr>
        <w:t xml:space="preserve">requires Member States to exempt from </w:t>
      </w:r>
      <w:r w:rsidR="00E41D06" w:rsidRPr="00E41D06">
        <w:rPr>
          <w:rFonts w:eastAsia="Times New Roman"/>
          <w:noProof/>
          <w:szCs w:val="24"/>
        </w:rPr>
        <w:t xml:space="preserve">translation </w:t>
      </w:r>
      <w:r w:rsidR="00E41D06" w:rsidRPr="00C407B8">
        <w:rPr>
          <w:noProof/>
          <w:szCs w:val="24"/>
        </w:rPr>
        <w:t>copies of documents and information</w:t>
      </w:r>
      <w:r w:rsidR="00E41D06" w:rsidRPr="00E41D06">
        <w:rPr>
          <w:rFonts w:eastAsia="Times New Roman"/>
          <w:noProof/>
          <w:szCs w:val="24"/>
        </w:rPr>
        <w:t xml:space="preserve"> provided by business registers and that are used in cross-border situations where </w:t>
      </w:r>
      <w:r w:rsidR="00E41D06" w:rsidRPr="00C407B8">
        <w:rPr>
          <w:rFonts w:eastAsia="Times New Roman"/>
          <w:noProof/>
          <w:szCs w:val="24"/>
          <w:lang w:eastAsia="en-GB"/>
        </w:rPr>
        <w:t>the information is accessible through the system of interconnection of registers via explanatory labels</w:t>
      </w:r>
      <w:r w:rsidR="00FC68DC" w:rsidRPr="00FC68DC">
        <w:rPr>
          <w:rFonts w:eastAsia="Times New Roman"/>
          <w:noProof/>
          <w:szCs w:val="24"/>
          <w:lang w:eastAsia="en-GB"/>
        </w:rPr>
        <w:t xml:space="preserve"> referred to in Article 18 or </w:t>
      </w:r>
      <w:r w:rsidR="00FC68DC" w:rsidRPr="00FC68DC">
        <w:rPr>
          <w:noProof/>
          <w:szCs w:val="24"/>
        </w:rPr>
        <w:t xml:space="preserve">where the specific information is included in </w:t>
      </w:r>
      <w:r w:rsidR="00FC68DC" w:rsidRPr="00FC68DC">
        <w:rPr>
          <w:rFonts w:eastAsia="Times New Roman"/>
          <w:noProof/>
          <w:szCs w:val="24"/>
          <w:lang w:eastAsia="en-GB"/>
        </w:rPr>
        <w:t xml:space="preserve">the EU </w:t>
      </w:r>
      <w:r w:rsidR="00BA0819">
        <w:rPr>
          <w:noProof/>
          <w:szCs w:val="24"/>
        </w:rPr>
        <w:t>Company C</w:t>
      </w:r>
      <w:r w:rsidR="00FC68DC" w:rsidRPr="00FC68DC">
        <w:rPr>
          <w:noProof/>
          <w:szCs w:val="24"/>
        </w:rPr>
        <w:t>ertificate referred to in Article 16b.</w:t>
      </w:r>
      <w:r w:rsidR="00FC68DC" w:rsidRPr="00FC68DC">
        <w:rPr>
          <w:rFonts w:eastAsia="Times New Roman"/>
          <w:noProof/>
          <w:szCs w:val="24"/>
          <w:lang w:eastAsia="en-GB"/>
        </w:rPr>
        <w:t xml:space="preserve"> The provision also limits the </w:t>
      </w:r>
      <w:r w:rsidR="00FC68DC">
        <w:rPr>
          <w:rFonts w:eastAsia="Times New Roman"/>
          <w:noProof/>
          <w:szCs w:val="24"/>
          <w:lang w:eastAsia="en-GB"/>
        </w:rPr>
        <w:t xml:space="preserve">certified </w:t>
      </w:r>
      <w:r w:rsidR="00FC68DC" w:rsidRPr="00FC68DC">
        <w:rPr>
          <w:rFonts w:eastAsia="Times New Roman"/>
          <w:noProof/>
          <w:szCs w:val="24"/>
          <w:lang w:eastAsia="en-GB"/>
        </w:rPr>
        <w:t>translation</w:t>
      </w:r>
      <w:r w:rsidR="00FC68DC">
        <w:rPr>
          <w:rFonts w:eastAsia="Times New Roman"/>
          <w:noProof/>
          <w:szCs w:val="24"/>
          <w:lang w:eastAsia="en-GB"/>
        </w:rPr>
        <w:t>s</w:t>
      </w:r>
      <w:r w:rsidR="00FC68DC" w:rsidRPr="00FC68DC">
        <w:rPr>
          <w:rFonts w:eastAsia="Times New Roman"/>
          <w:noProof/>
          <w:szCs w:val="24"/>
          <w:lang w:eastAsia="en-GB"/>
        </w:rPr>
        <w:t xml:space="preserve"> of </w:t>
      </w:r>
      <w:r w:rsidR="00F174F8" w:rsidRPr="00FC68DC">
        <w:rPr>
          <w:rFonts w:eastAsia="Times New Roman"/>
          <w:noProof/>
          <w:szCs w:val="24"/>
          <w:lang w:val="en-US"/>
        </w:rPr>
        <w:t xml:space="preserve">the instrument </w:t>
      </w:r>
      <w:r w:rsidR="00F174F8" w:rsidRPr="00F174F8">
        <w:rPr>
          <w:rFonts w:eastAsia="Times New Roman"/>
          <w:noProof/>
          <w:color w:val="000000"/>
          <w:szCs w:val="24"/>
          <w:lang w:val="en-US"/>
        </w:rPr>
        <w:t>of constitution and the statutes</w:t>
      </w:r>
      <w:r w:rsidR="00FC68DC">
        <w:rPr>
          <w:rFonts w:eastAsia="Times New Roman"/>
          <w:noProof/>
          <w:color w:val="000000"/>
          <w:szCs w:val="24"/>
          <w:lang w:val="en-US"/>
        </w:rPr>
        <w:t xml:space="preserve"> or other documents provided by the business registers to </w:t>
      </w:r>
      <w:r w:rsidR="00E41D06" w:rsidRPr="00E41D06">
        <w:rPr>
          <w:rFonts w:eastAsia="Times New Roman"/>
          <w:noProof/>
          <w:color w:val="000000"/>
          <w:szCs w:val="24"/>
        </w:rPr>
        <w:t>strictly</w:t>
      </w:r>
      <w:r w:rsidR="00E41D06">
        <w:rPr>
          <w:rFonts w:eastAsia="Times New Roman"/>
          <w:noProof/>
          <w:color w:val="000000"/>
          <w:szCs w:val="24"/>
          <w:lang w:val="en-US"/>
        </w:rPr>
        <w:t xml:space="preserve"> </w:t>
      </w:r>
      <w:r w:rsidR="00FC68DC">
        <w:rPr>
          <w:rFonts w:eastAsia="Times New Roman"/>
          <w:noProof/>
          <w:color w:val="000000"/>
          <w:szCs w:val="24"/>
          <w:lang w:val="en-US"/>
        </w:rPr>
        <w:t>necessary</w:t>
      </w:r>
      <w:r w:rsidR="00F174F8" w:rsidRPr="00F174F8">
        <w:rPr>
          <w:rFonts w:eastAsia="Times New Roman"/>
          <w:noProof/>
          <w:color w:val="000000"/>
          <w:szCs w:val="24"/>
          <w:lang w:val="en-US"/>
        </w:rPr>
        <w:t xml:space="preserve">.    </w:t>
      </w:r>
    </w:p>
    <w:p w14:paraId="339C2F93" w14:textId="77777777" w:rsidR="00FC68DC" w:rsidRPr="00F174F8" w:rsidRDefault="00FC68DC" w:rsidP="00F174F8">
      <w:pPr>
        <w:shd w:val="clear" w:color="auto" w:fill="FFFFFF"/>
        <w:spacing w:before="0" w:after="0"/>
        <w:textAlignment w:val="baseline"/>
        <w:rPr>
          <w:rFonts w:eastAsia="Times New Roman"/>
          <w:noProof/>
          <w:color w:val="000000"/>
          <w:szCs w:val="24"/>
          <w:lang w:val="en-US"/>
        </w:rPr>
      </w:pPr>
    </w:p>
    <w:p w14:paraId="09D9DE37" w14:textId="77777777" w:rsidR="00F174F8" w:rsidRDefault="00F174F8" w:rsidP="00F174F8">
      <w:pPr>
        <w:shd w:val="clear" w:color="auto" w:fill="FFFFFF"/>
        <w:spacing w:before="0" w:after="0"/>
        <w:textAlignment w:val="baseline"/>
        <w:rPr>
          <w:rFonts w:eastAsia="Times New Roman"/>
          <w:noProof/>
          <w:color w:val="000000"/>
          <w:szCs w:val="24"/>
          <w:lang w:val="en-US"/>
        </w:rPr>
      </w:pPr>
      <w:r w:rsidRPr="003F4597">
        <w:rPr>
          <w:rFonts w:eastAsia="Times New Roman"/>
          <w:noProof/>
          <w:color w:val="000000"/>
          <w:szCs w:val="24"/>
          <w:u w:val="single"/>
          <w:lang w:val="en-US"/>
        </w:rPr>
        <w:t>Article 17</w:t>
      </w:r>
      <w:r w:rsidRPr="00F174F8">
        <w:rPr>
          <w:rFonts w:eastAsia="Times New Roman"/>
          <w:noProof/>
          <w:color w:val="000000"/>
          <w:szCs w:val="24"/>
          <w:lang w:val="en-US"/>
        </w:rPr>
        <w:t xml:space="preserve"> is </w:t>
      </w:r>
      <w:r w:rsidR="003F4597">
        <w:rPr>
          <w:rFonts w:eastAsia="Times New Roman"/>
          <w:noProof/>
          <w:color w:val="000000"/>
          <w:szCs w:val="24"/>
          <w:lang w:val="en-US"/>
        </w:rPr>
        <w:t xml:space="preserve">extended to apply to the information to be disclosed about partnerships. </w:t>
      </w:r>
    </w:p>
    <w:p w14:paraId="062EA639" w14:textId="77777777" w:rsidR="003F4597" w:rsidRDefault="003F4597" w:rsidP="00F174F8">
      <w:pPr>
        <w:shd w:val="clear" w:color="auto" w:fill="FFFFFF"/>
        <w:spacing w:before="0" w:after="0"/>
        <w:textAlignment w:val="baseline"/>
        <w:rPr>
          <w:rFonts w:eastAsia="Times New Roman"/>
          <w:noProof/>
          <w:color w:val="000000"/>
          <w:szCs w:val="24"/>
          <w:lang w:val="en-US"/>
        </w:rPr>
      </w:pPr>
    </w:p>
    <w:p w14:paraId="46AB7BB3" w14:textId="77777777" w:rsidR="000B414B" w:rsidRPr="00D9494D" w:rsidRDefault="003F4597" w:rsidP="000B414B">
      <w:pPr>
        <w:shd w:val="clear" w:color="auto" w:fill="FFFFFF"/>
        <w:spacing w:before="0" w:after="0"/>
        <w:textAlignment w:val="baseline"/>
        <w:rPr>
          <w:noProof/>
          <w:color w:val="00B050"/>
          <w:szCs w:val="24"/>
        </w:rPr>
      </w:pPr>
      <w:r w:rsidRPr="003F4597">
        <w:rPr>
          <w:rFonts w:eastAsia="Times New Roman"/>
          <w:noProof/>
          <w:color w:val="000000"/>
          <w:szCs w:val="24"/>
          <w:u w:val="single"/>
          <w:lang w:val="en-US"/>
        </w:rPr>
        <w:t xml:space="preserve">Article 18 </w:t>
      </w:r>
      <w:r w:rsidRPr="003F4597">
        <w:rPr>
          <w:rFonts w:eastAsia="Times New Roman"/>
          <w:noProof/>
          <w:color w:val="000000"/>
          <w:szCs w:val="24"/>
          <w:lang w:val="en-US"/>
        </w:rPr>
        <w:t>is extend</w:t>
      </w:r>
      <w:r>
        <w:rPr>
          <w:rFonts w:eastAsia="Times New Roman"/>
          <w:noProof/>
          <w:color w:val="000000"/>
          <w:szCs w:val="24"/>
          <w:lang w:val="en-US"/>
        </w:rPr>
        <w:t>ed</w:t>
      </w:r>
      <w:r w:rsidRPr="003F4597">
        <w:rPr>
          <w:rFonts w:eastAsia="Times New Roman"/>
          <w:noProof/>
          <w:color w:val="000000"/>
          <w:szCs w:val="24"/>
          <w:lang w:val="en-US"/>
        </w:rPr>
        <w:t xml:space="preserve"> to apply </w:t>
      </w:r>
      <w:r>
        <w:rPr>
          <w:rFonts w:eastAsia="Times New Roman"/>
          <w:noProof/>
          <w:color w:val="000000"/>
          <w:szCs w:val="24"/>
          <w:lang w:val="en-US"/>
        </w:rPr>
        <w:t>to information about partnerships and groups</w:t>
      </w:r>
      <w:r w:rsidR="000B414B">
        <w:rPr>
          <w:rFonts w:eastAsia="Times New Roman"/>
          <w:noProof/>
          <w:color w:val="000000"/>
          <w:szCs w:val="24"/>
          <w:lang w:val="en-US"/>
        </w:rPr>
        <w:t xml:space="preserve">. In addition, amended Article 18 specifies which personal data should be made </w:t>
      </w:r>
      <w:r w:rsidR="00E41D06" w:rsidRPr="00E41D06">
        <w:rPr>
          <w:rFonts w:eastAsia="Times New Roman"/>
          <w:noProof/>
          <w:color w:val="000000"/>
          <w:szCs w:val="24"/>
        </w:rPr>
        <w:t xml:space="preserve">available through the system of </w:t>
      </w:r>
      <w:r w:rsidR="00E41D06" w:rsidRPr="00E41D06">
        <w:rPr>
          <w:rFonts w:eastAsia="Times New Roman"/>
          <w:noProof/>
          <w:szCs w:val="24"/>
        </w:rPr>
        <w:t xml:space="preserve">interconnection of registers. It also clarifies that Member States should not store personal data </w:t>
      </w:r>
      <w:r w:rsidR="00E41D06" w:rsidRPr="00C407B8">
        <w:rPr>
          <w:rFonts w:eastAsia="Times New Roman"/>
          <w:noProof/>
          <w:szCs w:val="24"/>
        </w:rPr>
        <w:t xml:space="preserve">transmitted through the system of interconnection of registers for specific purposes </w:t>
      </w:r>
      <w:r w:rsidR="00E41D06" w:rsidRPr="00C407B8">
        <w:rPr>
          <w:noProof/>
          <w:szCs w:val="24"/>
        </w:rPr>
        <w:t xml:space="preserve">unless otherwise provided by </w:t>
      </w:r>
      <w:r w:rsidR="00E41D06" w:rsidRPr="00C407B8" w:rsidDel="007A0AA8">
        <w:rPr>
          <w:noProof/>
          <w:szCs w:val="24"/>
        </w:rPr>
        <w:t xml:space="preserve">Union </w:t>
      </w:r>
      <w:r w:rsidR="00E41D06" w:rsidRPr="00C407B8">
        <w:rPr>
          <w:noProof/>
          <w:szCs w:val="24"/>
        </w:rPr>
        <w:t>or national law.</w:t>
      </w:r>
    </w:p>
    <w:p w14:paraId="3BB55533"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369250D5" w14:textId="77777777" w:rsidR="00F174F8" w:rsidRPr="00F174F8" w:rsidRDefault="001A2107" w:rsidP="00F174F8">
      <w:pPr>
        <w:shd w:val="clear" w:color="auto" w:fill="FFFFFF"/>
        <w:spacing w:before="0" w:after="0"/>
        <w:textAlignment w:val="baseline"/>
        <w:rPr>
          <w:rFonts w:eastAsia="Times New Roman"/>
          <w:noProof/>
          <w:color w:val="000000"/>
          <w:szCs w:val="24"/>
          <w:lang w:val="en-US"/>
        </w:rPr>
      </w:pPr>
      <w:r w:rsidRPr="000B414B">
        <w:rPr>
          <w:rFonts w:eastAsia="Times New Roman"/>
          <w:noProof/>
          <w:color w:val="000000"/>
          <w:szCs w:val="24"/>
          <w:u w:val="single"/>
          <w:lang w:val="en-US"/>
        </w:rPr>
        <w:t xml:space="preserve">New </w:t>
      </w:r>
      <w:r w:rsidR="00F174F8" w:rsidRPr="000B414B">
        <w:rPr>
          <w:rFonts w:eastAsia="Times New Roman"/>
          <w:noProof/>
          <w:color w:val="000000"/>
          <w:szCs w:val="24"/>
          <w:u w:val="single"/>
          <w:lang w:val="en-US"/>
        </w:rPr>
        <w:t>Article 19a</w:t>
      </w:r>
      <w:r w:rsidR="00F174F8" w:rsidRPr="00F174F8">
        <w:rPr>
          <w:rFonts w:eastAsia="Times New Roman"/>
          <w:noProof/>
          <w:color w:val="000000"/>
          <w:szCs w:val="24"/>
          <w:lang w:val="en-US"/>
        </w:rPr>
        <w:t xml:space="preserve"> introduces</w:t>
      </w:r>
      <w:r w:rsidR="000B414B">
        <w:rPr>
          <w:rFonts w:eastAsia="Times New Roman"/>
          <w:noProof/>
          <w:color w:val="000000"/>
          <w:szCs w:val="24"/>
          <w:lang w:val="en-US"/>
        </w:rPr>
        <w:t xml:space="preserve"> rules on fees to be charged </w:t>
      </w:r>
      <w:r w:rsidR="00E41D06" w:rsidRPr="00E41D06">
        <w:rPr>
          <w:rFonts w:eastAsia="Times New Roman"/>
          <w:noProof/>
          <w:color w:val="000000"/>
          <w:szCs w:val="24"/>
        </w:rPr>
        <w:t xml:space="preserve">for information on partnerships available through the system of interconnection of registers </w:t>
      </w:r>
      <w:r w:rsidR="00497A88">
        <w:rPr>
          <w:rFonts w:eastAsia="Times New Roman"/>
          <w:noProof/>
          <w:color w:val="000000"/>
          <w:szCs w:val="24"/>
        </w:rPr>
        <w:t>similarly</w:t>
      </w:r>
      <w:r w:rsidR="00E41D06" w:rsidRPr="00E41D06">
        <w:rPr>
          <w:rFonts w:eastAsia="Times New Roman"/>
          <w:noProof/>
          <w:color w:val="000000"/>
          <w:szCs w:val="24"/>
        </w:rPr>
        <w:t xml:space="preserve"> with the existing rules for information on limited liability companies (i.e. the current Article 19).  </w:t>
      </w:r>
      <w:r w:rsidR="000B414B">
        <w:rPr>
          <w:rFonts w:eastAsia="Times New Roman"/>
          <w:noProof/>
          <w:color w:val="000000"/>
          <w:szCs w:val="24"/>
          <w:lang w:val="en-US"/>
        </w:rPr>
        <w:t xml:space="preserve">  </w:t>
      </w:r>
    </w:p>
    <w:p w14:paraId="2633C3E9"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2AEF94E4" w14:textId="77777777" w:rsidR="00F174F8" w:rsidRPr="00F174F8" w:rsidRDefault="000B414B" w:rsidP="00F174F8">
      <w:pPr>
        <w:shd w:val="clear" w:color="auto" w:fill="FFFFFF"/>
        <w:spacing w:before="0" w:after="0"/>
        <w:textAlignment w:val="baseline"/>
        <w:rPr>
          <w:rFonts w:eastAsia="Times New Roman"/>
          <w:noProof/>
          <w:color w:val="000000"/>
          <w:szCs w:val="24"/>
          <w:lang w:val="en-US"/>
        </w:rPr>
      </w:pPr>
      <w:r w:rsidRPr="000B414B">
        <w:rPr>
          <w:rFonts w:eastAsia="Times New Roman"/>
          <w:noProof/>
          <w:color w:val="000000"/>
          <w:szCs w:val="24"/>
          <w:u w:val="single"/>
          <w:lang w:val="en-US"/>
        </w:rPr>
        <w:t xml:space="preserve">Amended </w:t>
      </w:r>
      <w:r w:rsidR="00F174F8" w:rsidRPr="000B414B">
        <w:rPr>
          <w:rFonts w:eastAsia="Times New Roman"/>
          <w:noProof/>
          <w:color w:val="000000"/>
          <w:szCs w:val="24"/>
          <w:u w:val="single"/>
          <w:lang w:val="en-US"/>
        </w:rPr>
        <w:t>Article 21</w:t>
      </w:r>
      <w:r w:rsidR="00F174F8" w:rsidRPr="00F174F8">
        <w:rPr>
          <w:rFonts w:eastAsia="Times New Roman"/>
          <w:noProof/>
          <w:color w:val="000000"/>
          <w:szCs w:val="24"/>
          <w:lang w:val="en-US"/>
        </w:rPr>
        <w:t xml:space="preserve"> </w:t>
      </w:r>
      <w:r w:rsidR="00E41D06" w:rsidRPr="00E41D06">
        <w:rPr>
          <w:rFonts w:eastAsia="Times New Roman"/>
          <w:noProof/>
          <w:color w:val="000000"/>
          <w:szCs w:val="24"/>
        </w:rPr>
        <w:t xml:space="preserve">also applies </w:t>
      </w:r>
      <w:r>
        <w:rPr>
          <w:rFonts w:eastAsia="Times New Roman"/>
          <w:noProof/>
          <w:color w:val="000000"/>
          <w:szCs w:val="24"/>
          <w:lang w:val="en-US"/>
        </w:rPr>
        <w:t xml:space="preserve">to information to be disclosed about partnerships and groups. </w:t>
      </w:r>
    </w:p>
    <w:p w14:paraId="442FC119"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770FC6DA" w14:textId="77777777" w:rsidR="000B414B" w:rsidRPr="000B414B" w:rsidRDefault="00F174F8" w:rsidP="000B414B">
      <w:pPr>
        <w:rPr>
          <w:noProof/>
          <w:szCs w:val="24"/>
        </w:rPr>
      </w:pPr>
      <w:r w:rsidRPr="000B414B">
        <w:rPr>
          <w:rFonts w:eastAsia="Times New Roman"/>
          <w:noProof/>
          <w:szCs w:val="24"/>
          <w:u w:val="single"/>
          <w:lang w:val="en-US"/>
        </w:rPr>
        <w:t>Article 22</w:t>
      </w:r>
      <w:r w:rsidRPr="000B414B">
        <w:rPr>
          <w:rFonts w:eastAsia="Times New Roman"/>
          <w:noProof/>
          <w:szCs w:val="24"/>
          <w:lang w:val="en-US"/>
        </w:rPr>
        <w:t xml:space="preserve"> is amended to provide for the access links between </w:t>
      </w:r>
      <w:r w:rsidR="000B414B" w:rsidRPr="000B414B">
        <w:rPr>
          <w:noProof/>
          <w:szCs w:val="24"/>
        </w:rPr>
        <w:t>the system of interconnection of registers, the beneficial ownership registers interconnection</w:t>
      </w:r>
      <w:r w:rsidR="000B414B" w:rsidRPr="00EC6C35">
        <w:rPr>
          <w:rStyle w:val="FootnoteReference"/>
          <w:noProof/>
        </w:rPr>
        <w:footnoteReference w:id="43"/>
      </w:r>
      <w:r w:rsidR="000B414B" w:rsidRPr="000B414B">
        <w:rPr>
          <w:noProof/>
          <w:szCs w:val="24"/>
        </w:rPr>
        <w:t xml:space="preserve"> and the insolvency registers interconnection</w:t>
      </w:r>
      <w:r w:rsidR="000B414B" w:rsidRPr="00EC6C35">
        <w:rPr>
          <w:rStyle w:val="FootnoteReference"/>
          <w:noProof/>
        </w:rPr>
        <w:footnoteReference w:id="44"/>
      </w:r>
      <w:r w:rsidR="000B414B" w:rsidRPr="000B414B">
        <w:rPr>
          <w:noProof/>
          <w:szCs w:val="24"/>
        </w:rPr>
        <w:t>.</w:t>
      </w:r>
    </w:p>
    <w:p w14:paraId="334C932E"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1BB71A77" w14:textId="77777777" w:rsidR="00F174F8" w:rsidRPr="00F174F8" w:rsidRDefault="000B414B" w:rsidP="00F174F8">
      <w:pPr>
        <w:shd w:val="clear" w:color="auto" w:fill="FFFFFF"/>
        <w:spacing w:before="0" w:after="0"/>
        <w:textAlignment w:val="baseline"/>
        <w:rPr>
          <w:rFonts w:eastAsia="Times New Roman"/>
          <w:noProof/>
          <w:color w:val="000000"/>
          <w:szCs w:val="24"/>
          <w:lang w:val="en-US"/>
        </w:rPr>
      </w:pPr>
      <w:r w:rsidRPr="000B414B">
        <w:rPr>
          <w:rFonts w:eastAsia="Times New Roman"/>
          <w:noProof/>
          <w:color w:val="000000"/>
          <w:szCs w:val="24"/>
          <w:u w:val="single"/>
          <w:lang w:val="en-US"/>
        </w:rPr>
        <w:t xml:space="preserve">Amended </w:t>
      </w:r>
      <w:r w:rsidR="00F174F8" w:rsidRPr="000B414B">
        <w:rPr>
          <w:rFonts w:eastAsia="Times New Roman"/>
          <w:noProof/>
          <w:color w:val="000000"/>
          <w:szCs w:val="24"/>
          <w:u w:val="single"/>
          <w:lang w:val="en-US"/>
        </w:rPr>
        <w:t>Article 24</w:t>
      </w:r>
      <w:r w:rsidR="00F174F8" w:rsidRPr="00F174F8">
        <w:rPr>
          <w:rFonts w:eastAsia="Times New Roman"/>
          <w:noProof/>
          <w:color w:val="000000"/>
          <w:szCs w:val="24"/>
          <w:lang w:val="en-US"/>
        </w:rPr>
        <w:t xml:space="preserve"> include</w:t>
      </w:r>
      <w:r>
        <w:rPr>
          <w:rFonts w:eastAsia="Times New Roman"/>
          <w:noProof/>
          <w:color w:val="000000"/>
          <w:szCs w:val="24"/>
          <w:lang w:val="en-US"/>
        </w:rPr>
        <w:t>s</w:t>
      </w:r>
      <w:r w:rsidR="00F174F8" w:rsidRPr="00F174F8">
        <w:rPr>
          <w:rFonts w:eastAsia="Times New Roman"/>
          <w:noProof/>
          <w:color w:val="000000"/>
          <w:szCs w:val="24"/>
          <w:lang w:val="en-US"/>
        </w:rPr>
        <w:t xml:space="preserve"> </w:t>
      </w:r>
      <w:r>
        <w:rPr>
          <w:rFonts w:eastAsia="Times New Roman"/>
          <w:noProof/>
          <w:color w:val="000000"/>
          <w:szCs w:val="24"/>
          <w:lang w:val="en-US"/>
        </w:rPr>
        <w:t xml:space="preserve">the relevant new </w:t>
      </w:r>
      <w:r w:rsidR="00F174F8" w:rsidRPr="00F174F8">
        <w:rPr>
          <w:rFonts w:eastAsia="Times New Roman"/>
          <w:noProof/>
          <w:color w:val="000000"/>
          <w:szCs w:val="24"/>
          <w:lang w:val="en-US"/>
        </w:rPr>
        <w:t>implementing acts</w:t>
      </w:r>
      <w:r>
        <w:rPr>
          <w:rFonts w:eastAsia="Times New Roman"/>
          <w:noProof/>
          <w:color w:val="000000"/>
          <w:szCs w:val="24"/>
          <w:lang w:val="en-US"/>
        </w:rPr>
        <w:t xml:space="preserve"> required to implement the specific provisions</w:t>
      </w:r>
      <w:r w:rsidR="00F174F8" w:rsidRPr="00F174F8">
        <w:rPr>
          <w:rFonts w:eastAsia="Times New Roman"/>
          <w:noProof/>
          <w:color w:val="000000"/>
          <w:szCs w:val="24"/>
          <w:lang w:val="en-US"/>
        </w:rPr>
        <w:t>.</w:t>
      </w:r>
    </w:p>
    <w:p w14:paraId="5A7EF709"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53D7E9C3"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r w:rsidRPr="00877F13">
        <w:rPr>
          <w:rFonts w:eastAsia="Times New Roman"/>
          <w:noProof/>
          <w:color w:val="000000"/>
          <w:szCs w:val="24"/>
          <w:u w:val="single"/>
          <w:lang w:val="en-US"/>
        </w:rPr>
        <w:t>Article 26</w:t>
      </w:r>
      <w:r w:rsidRPr="00F174F8">
        <w:rPr>
          <w:rFonts w:eastAsia="Times New Roman"/>
          <w:noProof/>
          <w:color w:val="000000"/>
          <w:szCs w:val="24"/>
          <w:lang w:val="en-US"/>
        </w:rPr>
        <w:t xml:space="preserve"> is amended to </w:t>
      </w:r>
      <w:r w:rsidR="00877F13">
        <w:rPr>
          <w:rFonts w:eastAsia="Times New Roman"/>
          <w:noProof/>
          <w:color w:val="000000"/>
          <w:szCs w:val="24"/>
          <w:lang w:val="en-US"/>
        </w:rPr>
        <w:t xml:space="preserve">apply to </w:t>
      </w:r>
      <w:r w:rsidRPr="00F174F8">
        <w:rPr>
          <w:rFonts w:eastAsia="Times New Roman"/>
          <w:noProof/>
          <w:color w:val="000000"/>
          <w:szCs w:val="24"/>
          <w:lang w:val="en-US"/>
        </w:rPr>
        <w:t>partnerships.</w:t>
      </w:r>
    </w:p>
    <w:p w14:paraId="1D2FC159"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4C192F33" w14:textId="77777777" w:rsidR="00877F13" w:rsidRPr="00877F13" w:rsidRDefault="00877F13" w:rsidP="00877F13">
      <w:pPr>
        <w:shd w:val="clear" w:color="auto" w:fill="FFFFFF"/>
        <w:spacing w:before="0" w:after="0"/>
        <w:textAlignment w:val="baseline"/>
        <w:rPr>
          <w:rFonts w:eastAsia="Times New Roman"/>
          <w:noProof/>
          <w:szCs w:val="24"/>
          <w:lang w:val="en-US"/>
        </w:rPr>
      </w:pPr>
      <w:r w:rsidRPr="00877F13">
        <w:rPr>
          <w:rFonts w:eastAsia="Times New Roman"/>
          <w:noProof/>
          <w:szCs w:val="24"/>
          <w:u w:val="single"/>
          <w:lang w:val="en-US"/>
        </w:rPr>
        <w:t xml:space="preserve">Amended </w:t>
      </w:r>
      <w:r w:rsidR="00F174F8" w:rsidRPr="00877F13">
        <w:rPr>
          <w:rFonts w:eastAsia="Times New Roman"/>
          <w:noProof/>
          <w:szCs w:val="24"/>
          <w:u w:val="single"/>
          <w:lang w:val="en-US"/>
        </w:rPr>
        <w:t>Article 28</w:t>
      </w:r>
      <w:r w:rsidR="00F174F8" w:rsidRPr="00877F13">
        <w:rPr>
          <w:rFonts w:eastAsia="Times New Roman"/>
          <w:noProof/>
          <w:szCs w:val="24"/>
          <w:lang w:val="en-US"/>
        </w:rPr>
        <w:t xml:space="preserve"> </w:t>
      </w:r>
      <w:r w:rsidRPr="00877F13">
        <w:rPr>
          <w:rFonts w:eastAsia="Times New Roman"/>
          <w:noProof/>
          <w:szCs w:val="24"/>
          <w:lang w:val="en-US"/>
        </w:rPr>
        <w:t xml:space="preserve">specifies that penalties should be </w:t>
      </w:r>
      <w:r w:rsidRPr="00877F13">
        <w:rPr>
          <w:rFonts w:eastAsia="Calibri"/>
          <w:noProof/>
          <w:szCs w:val="24"/>
          <w:shd w:val="clear" w:color="auto" w:fill="FFFFFF"/>
        </w:rPr>
        <w:t>effective, proportionate and dissuasive</w:t>
      </w:r>
      <w:r w:rsidRPr="00877F13">
        <w:rPr>
          <w:rFonts w:eastAsia="Times New Roman"/>
          <w:noProof/>
          <w:szCs w:val="24"/>
        </w:rPr>
        <w:t xml:space="preserve"> and lists the mandatory cases where penalties should be applied. </w:t>
      </w:r>
    </w:p>
    <w:p w14:paraId="7D349662"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657A2C27" w14:textId="77777777" w:rsidR="00F174F8" w:rsidRDefault="00F174F8" w:rsidP="00F174F8">
      <w:pPr>
        <w:shd w:val="clear" w:color="auto" w:fill="FFFFFF"/>
        <w:spacing w:before="0" w:after="0"/>
        <w:textAlignment w:val="baseline"/>
        <w:rPr>
          <w:rFonts w:eastAsia="Times New Roman"/>
          <w:noProof/>
          <w:szCs w:val="24"/>
          <w:lang w:val="en-US"/>
        </w:rPr>
      </w:pPr>
      <w:r w:rsidRPr="00E57164">
        <w:rPr>
          <w:rFonts w:eastAsia="Times New Roman"/>
          <w:noProof/>
          <w:szCs w:val="24"/>
          <w:u w:val="single"/>
          <w:lang w:val="en-US"/>
        </w:rPr>
        <w:t>Article 28a</w:t>
      </w:r>
      <w:r w:rsidRPr="00877F13">
        <w:rPr>
          <w:rFonts w:eastAsia="Times New Roman"/>
          <w:noProof/>
          <w:szCs w:val="24"/>
          <w:lang w:val="en-US"/>
        </w:rPr>
        <w:t xml:space="preserve"> is amended to </w:t>
      </w:r>
      <w:r w:rsidR="002B2FE8">
        <w:rPr>
          <w:rFonts w:eastAsia="Times New Roman"/>
          <w:noProof/>
          <w:szCs w:val="24"/>
          <w:lang w:val="en-US"/>
        </w:rPr>
        <w:t>specify details for the application of</w:t>
      </w:r>
      <w:r w:rsidR="002B2FE8" w:rsidRPr="00877F13">
        <w:rPr>
          <w:rFonts w:eastAsia="Times New Roman"/>
          <w:noProof/>
          <w:szCs w:val="24"/>
          <w:lang w:val="en-US"/>
        </w:rPr>
        <w:t xml:space="preserve"> </w:t>
      </w:r>
      <w:r w:rsidR="00877F13" w:rsidRPr="00877F13">
        <w:rPr>
          <w:rFonts w:eastAsia="Times New Roman"/>
          <w:noProof/>
          <w:szCs w:val="24"/>
          <w:lang w:val="en-US"/>
        </w:rPr>
        <w:t>the once-only principle</w:t>
      </w:r>
      <w:r w:rsidR="00877F13">
        <w:rPr>
          <w:rFonts w:eastAsia="Times New Roman"/>
          <w:noProof/>
          <w:szCs w:val="24"/>
          <w:lang w:val="en-US"/>
        </w:rPr>
        <w:t xml:space="preserve"> </w:t>
      </w:r>
      <w:r w:rsidR="002B2FE8">
        <w:rPr>
          <w:rFonts w:eastAsia="Times New Roman"/>
          <w:noProof/>
          <w:szCs w:val="24"/>
          <w:lang w:val="en-US"/>
        </w:rPr>
        <w:t xml:space="preserve">for </w:t>
      </w:r>
      <w:r w:rsidR="002B2FE8" w:rsidRPr="00877F13">
        <w:rPr>
          <w:rFonts w:eastAsia="Times New Roman"/>
          <w:noProof/>
          <w:szCs w:val="24"/>
          <w:lang w:val="en-US"/>
        </w:rPr>
        <w:t>filing</w:t>
      </w:r>
      <w:r w:rsidR="002B2FE8">
        <w:rPr>
          <w:rFonts w:eastAsia="Times New Roman"/>
          <w:noProof/>
          <w:szCs w:val="24"/>
          <w:lang w:val="en-US"/>
        </w:rPr>
        <w:t xml:space="preserve"> for branches </w:t>
      </w:r>
      <w:r w:rsidR="00877F13">
        <w:rPr>
          <w:rFonts w:eastAsia="Times New Roman"/>
          <w:noProof/>
          <w:szCs w:val="24"/>
          <w:lang w:val="en-US"/>
        </w:rPr>
        <w:t>(</w:t>
      </w:r>
      <w:r w:rsidR="002B2FE8">
        <w:rPr>
          <w:rFonts w:eastAsia="Times New Roman"/>
          <w:noProof/>
          <w:szCs w:val="24"/>
          <w:lang w:val="en-US"/>
        </w:rPr>
        <w:t xml:space="preserve">to align it with the rules </w:t>
      </w:r>
      <w:r w:rsidR="00E41D06" w:rsidRPr="00E41D06">
        <w:rPr>
          <w:rFonts w:eastAsia="Times New Roman"/>
          <w:noProof/>
          <w:szCs w:val="24"/>
        </w:rPr>
        <w:t xml:space="preserve">in </w:t>
      </w:r>
      <w:r w:rsidR="002B2FE8">
        <w:rPr>
          <w:rFonts w:eastAsia="Times New Roman"/>
          <w:noProof/>
          <w:szCs w:val="24"/>
          <w:lang w:val="en-US"/>
        </w:rPr>
        <w:t>Article</w:t>
      </w:r>
      <w:r w:rsidR="00877F13">
        <w:rPr>
          <w:rFonts w:eastAsia="Times New Roman"/>
          <w:noProof/>
          <w:szCs w:val="24"/>
          <w:lang w:val="en-US"/>
        </w:rPr>
        <w:t xml:space="preserve"> 13g </w:t>
      </w:r>
      <w:r w:rsidR="002B2FE8">
        <w:rPr>
          <w:rFonts w:eastAsia="Times New Roman"/>
          <w:noProof/>
          <w:szCs w:val="24"/>
          <w:lang w:val="en-US"/>
        </w:rPr>
        <w:t xml:space="preserve">(as amended) </w:t>
      </w:r>
      <w:r w:rsidR="00877F13">
        <w:rPr>
          <w:rFonts w:eastAsia="Times New Roman"/>
          <w:noProof/>
          <w:szCs w:val="24"/>
          <w:lang w:val="en-US"/>
        </w:rPr>
        <w:t xml:space="preserve">for setting up cross-border subsidiaries) </w:t>
      </w:r>
      <w:r w:rsidR="00877F13" w:rsidRPr="00877F13">
        <w:rPr>
          <w:rFonts w:eastAsia="Times New Roman"/>
          <w:noProof/>
          <w:szCs w:val="24"/>
          <w:lang w:val="en-US"/>
        </w:rPr>
        <w:t xml:space="preserve">when a company registers a branch in another Member States. </w:t>
      </w:r>
    </w:p>
    <w:p w14:paraId="1AFCCC6E" w14:textId="77777777" w:rsidR="00877F13" w:rsidRDefault="00877F13" w:rsidP="00F174F8">
      <w:pPr>
        <w:shd w:val="clear" w:color="auto" w:fill="FFFFFF"/>
        <w:spacing w:before="0" w:after="0"/>
        <w:textAlignment w:val="baseline"/>
        <w:rPr>
          <w:rFonts w:eastAsia="Times New Roman"/>
          <w:noProof/>
          <w:szCs w:val="24"/>
          <w:lang w:val="en-US"/>
        </w:rPr>
      </w:pPr>
    </w:p>
    <w:p w14:paraId="6F3B5FE4" w14:textId="77777777" w:rsidR="00877F13" w:rsidRPr="00E41D06" w:rsidRDefault="00877F13" w:rsidP="00F174F8">
      <w:pPr>
        <w:shd w:val="clear" w:color="auto" w:fill="FFFFFF"/>
        <w:spacing w:before="0" w:after="0"/>
        <w:textAlignment w:val="baseline"/>
        <w:rPr>
          <w:rFonts w:eastAsia="Times New Roman"/>
          <w:noProof/>
          <w:szCs w:val="24"/>
          <w:u w:val="single"/>
          <w:lang w:val="en-US"/>
        </w:rPr>
      </w:pPr>
      <w:r w:rsidRPr="00E41D06">
        <w:rPr>
          <w:rFonts w:eastAsia="Times New Roman"/>
          <w:iCs/>
          <w:noProof/>
          <w:szCs w:val="24"/>
          <w:u w:val="single"/>
        </w:rPr>
        <w:t xml:space="preserve">Article 28b </w:t>
      </w:r>
      <w:r w:rsidRPr="00E41D06">
        <w:rPr>
          <w:rFonts w:eastAsia="Times New Roman"/>
          <w:iCs/>
          <w:noProof/>
          <w:szCs w:val="24"/>
        </w:rPr>
        <w:t>is amended in line with the amended Article 15.</w:t>
      </w:r>
      <w:r w:rsidRPr="00E41D06">
        <w:rPr>
          <w:rFonts w:eastAsia="Times New Roman"/>
          <w:iCs/>
          <w:noProof/>
          <w:szCs w:val="24"/>
          <w:u w:val="single"/>
        </w:rPr>
        <w:t xml:space="preserve"> </w:t>
      </w:r>
    </w:p>
    <w:p w14:paraId="53DA960D" w14:textId="77777777" w:rsidR="00F174F8" w:rsidRPr="00F174F8" w:rsidRDefault="00F174F8" w:rsidP="00F174F8">
      <w:pPr>
        <w:shd w:val="clear" w:color="auto" w:fill="FFFFFF"/>
        <w:spacing w:before="0" w:after="0"/>
        <w:textAlignment w:val="baseline"/>
        <w:rPr>
          <w:rFonts w:eastAsia="Times New Roman"/>
          <w:noProof/>
          <w:color w:val="000000"/>
          <w:szCs w:val="24"/>
          <w:lang w:val="en-US"/>
        </w:rPr>
      </w:pPr>
    </w:p>
    <w:p w14:paraId="03BB640B" w14:textId="77777777" w:rsidR="002D5E19" w:rsidRDefault="00F174F8" w:rsidP="00F174F8">
      <w:pPr>
        <w:shd w:val="clear" w:color="auto" w:fill="FFFFFF"/>
        <w:spacing w:before="0" w:after="0"/>
        <w:textAlignment w:val="baseline"/>
        <w:rPr>
          <w:rFonts w:eastAsia="Times New Roman"/>
          <w:noProof/>
          <w:color w:val="000000"/>
          <w:szCs w:val="24"/>
          <w:lang w:val="en-US"/>
        </w:rPr>
      </w:pPr>
      <w:r w:rsidRPr="00877F13">
        <w:rPr>
          <w:rFonts w:eastAsia="Times New Roman"/>
          <w:noProof/>
          <w:color w:val="000000"/>
          <w:szCs w:val="24"/>
          <w:u w:val="single"/>
          <w:lang w:val="en-US"/>
        </w:rPr>
        <w:t>Article 30</w:t>
      </w:r>
      <w:r w:rsidR="00B86718" w:rsidRPr="00B86718">
        <w:rPr>
          <w:rFonts w:eastAsia="Times New Roman"/>
          <w:noProof/>
          <w:color w:val="000000"/>
          <w:szCs w:val="24"/>
          <w:shd w:val="clear" w:color="auto" w:fill="FFFFFF"/>
          <w:lang w:val="en-US"/>
        </w:rPr>
        <w:t xml:space="preserve"> </w:t>
      </w:r>
      <w:r w:rsidRPr="00F174F8">
        <w:rPr>
          <w:rFonts w:eastAsia="Times New Roman"/>
          <w:noProof/>
          <w:color w:val="000000"/>
          <w:szCs w:val="24"/>
          <w:lang w:val="en-US"/>
        </w:rPr>
        <w:t xml:space="preserve">is amended by deleting point b of paragraph 2 as this is now covered by the </w:t>
      </w:r>
      <w:r w:rsidR="00877F13">
        <w:rPr>
          <w:rFonts w:eastAsia="Times New Roman"/>
          <w:noProof/>
          <w:color w:val="000000"/>
          <w:szCs w:val="24"/>
          <w:lang w:val="en-US"/>
        </w:rPr>
        <w:t>A</w:t>
      </w:r>
      <w:r w:rsidRPr="00F174F8">
        <w:rPr>
          <w:rFonts w:eastAsia="Times New Roman"/>
          <w:noProof/>
          <w:color w:val="000000"/>
          <w:szCs w:val="24"/>
          <w:lang w:val="en-US"/>
        </w:rPr>
        <w:t xml:space="preserve">rticle </w:t>
      </w:r>
      <w:r w:rsidR="00877F13">
        <w:rPr>
          <w:rFonts w:eastAsia="Times New Roman"/>
          <w:noProof/>
          <w:color w:val="000000"/>
          <w:szCs w:val="24"/>
          <w:lang w:val="en-US"/>
        </w:rPr>
        <w:t xml:space="preserve">16b </w:t>
      </w:r>
      <w:r w:rsidR="00BA0819">
        <w:rPr>
          <w:rFonts w:eastAsia="Times New Roman"/>
          <w:noProof/>
          <w:color w:val="000000"/>
          <w:szCs w:val="24"/>
          <w:lang w:val="en-US"/>
        </w:rPr>
        <w:t>on the EU Company C</w:t>
      </w:r>
      <w:r w:rsidRPr="00F174F8">
        <w:rPr>
          <w:rFonts w:eastAsia="Times New Roman"/>
          <w:noProof/>
          <w:color w:val="000000"/>
          <w:szCs w:val="24"/>
          <w:lang w:val="en-US"/>
        </w:rPr>
        <w:t xml:space="preserve">ertificate. </w:t>
      </w:r>
    </w:p>
    <w:p w14:paraId="46F99C03" w14:textId="77777777" w:rsidR="00615EFE" w:rsidRPr="00F174F8" w:rsidRDefault="00615EFE" w:rsidP="00F174F8">
      <w:pPr>
        <w:shd w:val="clear" w:color="auto" w:fill="FFFFFF"/>
        <w:spacing w:before="0" w:after="0"/>
        <w:textAlignment w:val="baseline"/>
        <w:rPr>
          <w:rFonts w:eastAsia="Times New Roman"/>
          <w:noProof/>
          <w:color w:val="000000"/>
          <w:szCs w:val="24"/>
          <w:lang w:val="en-US"/>
        </w:rPr>
      </w:pPr>
    </w:p>
    <w:p w14:paraId="70E30AC2" w14:textId="77777777" w:rsidR="002D5E19" w:rsidRDefault="00877F13" w:rsidP="00615EFE">
      <w:pPr>
        <w:rPr>
          <w:noProof/>
          <w:bdr w:val="none" w:sz="0" w:space="0" w:color="auto" w:frame="1"/>
        </w:rPr>
      </w:pPr>
      <w:r w:rsidRPr="00877F13">
        <w:rPr>
          <w:noProof/>
          <w:color w:val="000000"/>
          <w:u w:val="single"/>
          <w:bdr w:val="none" w:sz="0" w:space="0" w:color="auto" w:frame="1"/>
        </w:rPr>
        <w:t xml:space="preserve">Amended </w:t>
      </w:r>
      <w:r w:rsidR="00BB20A2" w:rsidRPr="00877F13">
        <w:rPr>
          <w:noProof/>
          <w:u w:val="single"/>
          <w:bdr w:val="none" w:sz="0" w:space="0" w:color="auto" w:frame="1"/>
        </w:rPr>
        <w:t>Article 36</w:t>
      </w:r>
      <w:r w:rsidR="00BB20A2" w:rsidRPr="00877F13">
        <w:rPr>
          <w:noProof/>
          <w:bdr w:val="none" w:sz="0" w:space="0" w:color="auto" w:frame="1"/>
        </w:rPr>
        <w:t xml:space="preserve"> </w:t>
      </w:r>
      <w:r>
        <w:rPr>
          <w:noProof/>
          <w:bdr w:val="none" w:sz="0" w:space="0" w:color="auto" w:frame="1"/>
        </w:rPr>
        <w:t xml:space="preserve">provides that information about third country branches should be made </w:t>
      </w:r>
      <w:r w:rsidR="009B3B29" w:rsidRPr="00877F13">
        <w:rPr>
          <w:noProof/>
          <w:bdr w:val="none" w:sz="0" w:space="0" w:color="auto" w:frame="1"/>
        </w:rPr>
        <w:t xml:space="preserve">publicly available through </w:t>
      </w:r>
      <w:r>
        <w:rPr>
          <w:noProof/>
          <w:bdr w:val="none" w:sz="0" w:space="0" w:color="auto" w:frame="1"/>
        </w:rPr>
        <w:t xml:space="preserve">the system of interconnection of registers </w:t>
      </w:r>
      <w:r w:rsidR="00AC460A">
        <w:rPr>
          <w:noProof/>
          <w:bdr w:val="none" w:sz="0" w:space="0" w:color="auto" w:frame="1"/>
        </w:rPr>
        <w:t>and specifies which</w:t>
      </w:r>
      <w:r w:rsidR="00FC68DC">
        <w:rPr>
          <w:noProof/>
          <w:bdr w:val="none" w:sz="0" w:space="0" w:color="auto" w:frame="1"/>
        </w:rPr>
        <w:t xml:space="preserve"> information should be </w:t>
      </w:r>
      <w:r w:rsidR="00BB20A2" w:rsidRPr="00877F13">
        <w:rPr>
          <w:noProof/>
          <w:bdr w:val="none" w:sz="0" w:space="0" w:color="auto" w:frame="1"/>
        </w:rPr>
        <w:t xml:space="preserve">accessed free of charge. </w:t>
      </w:r>
    </w:p>
    <w:p w14:paraId="5120B55A" w14:textId="77777777" w:rsidR="00615EFE" w:rsidRPr="00615EFE" w:rsidRDefault="00615EFE" w:rsidP="00615EFE">
      <w:pPr>
        <w:rPr>
          <w:noProof/>
          <w:bdr w:val="none" w:sz="0" w:space="0" w:color="auto" w:frame="1"/>
        </w:rPr>
      </w:pPr>
    </w:p>
    <w:p w14:paraId="6EDA27B7" w14:textId="77777777" w:rsidR="009B3B29" w:rsidRDefault="009B3B29" w:rsidP="009B3B29">
      <w:pPr>
        <w:shd w:val="clear" w:color="auto" w:fill="FFFFFF"/>
        <w:spacing w:before="0" w:after="0"/>
        <w:textAlignment w:val="baseline"/>
        <w:rPr>
          <w:rFonts w:eastAsia="Times New Roman"/>
          <w:noProof/>
          <w:color w:val="000000"/>
          <w:szCs w:val="24"/>
          <w:lang w:val="en-US"/>
        </w:rPr>
      </w:pPr>
      <w:r w:rsidRPr="00877F13">
        <w:rPr>
          <w:noProof/>
          <w:u w:val="single"/>
          <w:lang w:val="en-US"/>
        </w:rPr>
        <w:t>Article 40</w:t>
      </w:r>
      <w:r w:rsidR="00B86718" w:rsidRPr="00B86718">
        <w:rPr>
          <w:rFonts w:eastAsia="Times New Roman"/>
          <w:noProof/>
          <w:color w:val="000000"/>
          <w:szCs w:val="24"/>
          <w:shd w:val="clear" w:color="auto" w:fill="FFFFFF"/>
          <w:lang w:val="en-US"/>
        </w:rPr>
        <w:t xml:space="preserve"> </w:t>
      </w:r>
      <w:r>
        <w:rPr>
          <w:noProof/>
          <w:lang w:val="en-US"/>
        </w:rPr>
        <w:t xml:space="preserve">is amended </w:t>
      </w:r>
      <w:r w:rsidRPr="00F174F8">
        <w:rPr>
          <w:rFonts w:eastAsia="Times New Roman"/>
          <w:noProof/>
          <w:color w:val="000000"/>
          <w:szCs w:val="24"/>
          <w:lang w:val="en-US"/>
        </w:rPr>
        <w:t xml:space="preserve">to require that </w:t>
      </w:r>
      <w:r w:rsidR="00877F13" w:rsidRPr="00877F13">
        <w:rPr>
          <w:rFonts w:eastAsia="Times New Roman"/>
          <w:noProof/>
          <w:szCs w:val="24"/>
          <w:lang w:val="en-US"/>
        </w:rPr>
        <w:t xml:space="preserve">penalties should be </w:t>
      </w:r>
      <w:r w:rsidR="00877F13" w:rsidRPr="00877F13">
        <w:rPr>
          <w:rFonts w:eastAsia="Calibri"/>
          <w:noProof/>
          <w:szCs w:val="24"/>
          <w:shd w:val="clear" w:color="auto" w:fill="FFFFFF"/>
        </w:rPr>
        <w:t>effective, proportionate and dissuasive</w:t>
      </w:r>
      <w:r w:rsidRPr="00F174F8">
        <w:rPr>
          <w:rFonts w:eastAsia="Times New Roman"/>
          <w:noProof/>
          <w:color w:val="000000"/>
          <w:szCs w:val="24"/>
          <w:lang w:val="en-US"/>
        </w:rPr>
        <w:t>.</w:t>
      </w:r>
    </w:p>
    <w:p w14:paraId="42329882" w14:textId="77777777" w:rsidR="00097DFE" w:rsidRDefault="00097DFE" w:rsidP="009B3B29">
      <w:pPr>
        <w:shd w:val="clear" w:color="auto" w:fill="FFFFFF"/>
        <w:spacing w:before="0" w:after="0"/>
        <w:textAlignment w:val="baseline"/>
        <w:rPr>
          <w:rFonts w:eastAsia="Times New Roman"/>
          <w:noProof/>
          <w:color w:val="000000"/>
          <w:szCs w:val="24"/>
          <w:lang w:val="en-US"/>
        </w:rPr>
      </w:pPr>
    </w:p>
    <w:p w14:paraId="2A1184FA" w14:textId="77777777" w:rsidR="00097DFE" w:rsidRDefault="00097DFE" w:rsidP="009B3B29">
      <w:pPr>
        <w:shd w:val="clear" w:color="auto" w:fill="FFFFFF"/>
        <w:spacing w:before="0" w:after="0"/>
        <w:textAlignment w:val="baseline"/>
        <w:rPr>
          <w:rFonts w:eastAsia="Times New Roman"/>
          <w:noProof/>
          <w:color w:val="000000"/>
          <w:szCs w:val="24"/>
          <w:lang w:val="en-US"/>
        </w:rPr>
      </w:pPr>
      <w:r>
        <w:rPr>
          <w:rFonts w:eastAsia="Times New Roman"/>
          <w:noProof/>
          <w:color w:val="000000"/>
          <w:szCs w:val="24"/>
          <w:lang w:val="en-US"/>
        </w:rPr>
        <w:t>Annex IIB introduce</w:t>
      </w:r>
      <w:r w:rsidR="00656432">
        <w:rPr>
          <w:rFonts w:eastAsia="Times New Roman"/>
          <w:noProof/>
          <w:color w:val="000000"/>
          <w:szCs w:val="24"/>
          <w:lang w:val="en-US"/>
        </w:rPr>
        <w:t>s</w:t>
      </w:r>
      <w:r>
        <w:rPr>
          <w:rFonts w:eastAsia="Times New Roman"/>
          <w:noProof/>
          <w:color w:val="000000"/>
          <w:szCs w:val="24"/>
          <w:lang w:val="en-US"/>
        </w:rPr>
        <w:t xml:space="preserve"> the list of partnerships in the Member States covered by the Directive.</w:t>
      </w:r>
    </w:p>
    <w:p w14:paraId="7D2724D0" w14:textId="77777777" w:rsidR="009B3B29" w:rsidRDefault="009B3B29" w:rsidP="009B3B29">
      <w:pPr>
        <w:shd w:val="clear" w:color="auto" w:fill="FFFFFF"/>
        <w:spacing w:before="0" w:after="0"/>
        <w:textAlignment w:val="baseline"/>
        <w:rPr>
          <w:rFonts w:eastAsia="Times New Roman"/>
          <w:noProof/>
          <w:color w:val="000000"/>
          <w:szCs w:val="24"/>
          <w:lang w:val="en-US"/>
        </w:rPr>
      </w:pPr>
    </w:p>
    <w:p w14:paraId="61BC3007" w14:textId="77777777" w:rsidR="00573A63" w:rsidRPr="0086350E" w:rsidRDefault="00573A63" w:rsidP="00660ED3">
      <w:pPr>
        <w:spacing w:before="0" w:after="0"/>
        <w:jc w:val="left"/>
        <w:rPr>
          <w:noProof/>
          <w:lang w:val="en-US"/>
        </w:rPr>
        <w:sectPr w:rsidR="00573A63" w:rsidRPr="0086350E" w:rsidSect="00B21379">
          <w:footerReference w:type="default" r:id="rId15"/>
          <w:footerReference w:type="first" r:id="rId16"/>
          <w:pgSz w:w="11907" w:h="16839"/>
          <w:pgMar w:top="1134" w:right="1417" w:bottom="1134" w:left="1417" w:header="709" w:footer="709" w:gutter="0"/>
          <w:cols w:space="708"/>
          <w:docGrid w:linePitch="360"/>
        </w:sectPr>
      </w:pPr>
    </w:p>
    <w:p w14:paraId="7DEE52BF" w14:textId="2A0F5BCB" w:rsidR="00531BA1" w:rsidRDefault="007B4C73" w:rsidP="007B4C73">
      <w:pPr>
        <w:pStyle w:val="Rfrenceinterinstitutionnelle"/>
        <w:rPr>
          <w:noProof/>
        </w:rPr>
      </w:pPr>
      <w:r w:rsidRPr="007B4C73">
        <w:t>2023/0089 (COD)</w:t>
      </w:r>
    </w:p>
    <w:p w14:paraId="0B8B6F1D" w14:textId="4E0A4FB1" w:rsidR="00573A63" w:rsidRPr="00AC7E92" w:rsidRDefault="009C21CE" w:rsidP="009C21CE">
      <w:pPr>
        <w:pStyle w:val="Statut"/>
        <w:rPr>
          <w:noProof/>
        </w:rPr>
      </w:pPr>
      <w:r w:rsidRPr="009C21CE">
        <w:rPr>
          <w:noProof/>
        </w:rPr>
        <w:t>Proposal for a</w:t>
      </w:r>
    </w:p>
    <w:p w14:paraId="7F325498" w14:textId="247B38B5" w:rsidR="00573A63" w:rsidRPr="00AC7E92" w:rsidRDefault="009C21CE" w:rsidP="009C21CE">
      <w:pPr>
        <w:pStyle w:val="Typedudocument"/>
        <w:rPr>
          <w:noProof/>
        </w:rPr>
      </w:pPr>
      <w:r w:rsidRPr="009C21CE">
        <w:rPr>
          <w:noProof/>
        </w:rPr>
        <w:t>DIRECTIVE OF THE EUROPEAN PARLIAMENT AND OF THE COUNCIL</w:t>
      </w:r>
    </w:p>
    <w:p w14:paraId="48E439BD" w14:textId="4B90D315" w:rsidR="00FD087E" w:rsidRPr="00FD087E" w:rsidRDefault="009C21CE" w:rsidP="009C21CE">
      <w:pPr>
        <w:pStyle w:val="Titreobjet"/>
        <w:rPr>
          <w:noProof/>
        </w:rPr>
      </w:pPr>
      <w:r w:rsidRPr="009C21CE">
        <w:rPr>
          <w:noProof/>
        </w:rPr>
        <w:t>amending Directives 2009/102/EC and (EU) 2017/1132 as regards further expanding and upgrading the use of digital tools and processes in company law</w:t>
      </w:r>
    </w:p>
    <w:p w14:paraId="7687DE80" w14:textId="7CF49EE2" w:rsidR="00D3484A" w:rsidRDefault="009C21CE" w:rsidP="009C21CE">
      <w:pPr>
        <w:pStyle w:val="IntrtEEE"/>
        <w:rPr>
          <w:noProof/>
        </w:rPr>
      </w:pPr>
      <w:r w:rsidRPr="009C21CE">
        <w:rPr>
          <w:noProof/>
        </w:rPr>
        <w:t>(Text with EEA relevance)</w:t>
      </w:r>
    </w:p>
    <w:p w14:paraId="556FC258" w14:textId="77777777" w:rsidR="00FD087E" w:rsidRPr="00FD087E" w:rsidRDefault="00FD087E" w:rsidP="00FD087E">
      <w:pPr>
        <w:pStyle w:val="Institutionquiagit"/>
        <w:rPr>
          <w:noProof/>
          <w:color w:val="000000" w:themeColor="text1"/>
          <w:szCs w:val="24"/>
        </w:rPr>
      </w:pPr>
      <w:r w:rsidRPr="00FD087E">
        <w:rPr>
          <w:noProof/>
          <w:color w:val="000000" w:themeColor="text1"/>
          <w:szCs w:val="24"/>
        </w:rPr>
        <w:t>THE EUROPEAN PARLIAMENT AND THE COUNCIL OF THE EUROPEAN UNION,</w:t>
      </w:r>
    </w:p>
    <w:p w14:paraId="3B7F8EE6" w14:textId="77777777" w:rsidR="00FD087E" w:rsidRPr="00FD087E" w:rsidRDefault="00FD087E" w:rsidP="00FD087E">
      <w:pPr>
        <w:rPr>
          <w:noProof/>
          <w:color w:val="000000" w:themeColor="text1"/>
          <w:szCs w:val="24"/>
        </w:rPr>
      </w:pPr>
      <w:r w:rsidRPr="00FD087E">
        <w:rPr>
          <w:noProof/>
          <w:color w:val="000000" w:themeColor="text1"/>
          <w:szCs w:val="24"/>
        </w:rPr>
        <w:t xml:space="preserve">Having regard to the Treaty on the Functioning of the European Union, and in particular Article 50(1), Article 50(2) and </w:t>
      </w:r>
      <w:r w:rsidRPr="00FD087E">
        <w:rPr>
          <w:noProof/>
          <w:color w:val="000000" w:themeColor="text1"/>
          <w:szCs w:val="24"/>
          <w:lang w:val="en-IE"/>
        </w:rPr>
        <w:t xml:space="preserve">Article 114 </w:t>
      </w:r>
      <w:r w:rsidRPr="00FD087E">
        <w:rPr>
          <w:noProof/>
          <w:color w:val="000000" w:themeColor="text1"/>
          <w:szCs w:val="24"/>
        </w:rPr>
        <w:t>thereof,</w:t>
      </w:r>
    </w:p>
    <w:p w14:paraId="2799DABC" w14:textId="77777777" w:rsidR="00FD087E" w:rsidRPr="00FD087E" w:rsidRDefault="00FD087E" w:rsidP="00FD087E">
      <w:pPr>
        <w:rPr>
          <w:noProof/>
          <w:color w:val="000000" w:themeColor="text1"/>
          <w:szCs w:val="24"/>
        </w:rPr>
      </w:pPr>
      <w:r w:rsidRPr="00FD087E">
        <w:rPr>
          <w:noProof/>
          <w:color w:val="000000" w:themeColor="text1"/>
          <w:szCs w:val="24"/>
        </w:rPr>
        <w:t>Having regard to the proposal from the European Commission,</w:t>
      </w:r>
    </w:p>
    <w:p w14:paraId="54691538" w14:textId="77777777" w:rsidR="00FD087E" w:rsidRPr="00FD087E" w:rsidRDefault="00FD087E" w:rsidP="00FD087E">
      <w:pPr>
        <w:rPr>
          <w:noProof/>
          <w:color w:val="000000" w:themeColor="text1"/>
          <w:szCs w:val="24"/>
        </w:rPr>
      </w:pPr>
      <w:r w:rsidRPr="00FD087E">
        <w:rPr>
          <w:noProof/>
          <w:color w:val="000000" w:themeColor="text1"/>
          <w:szCs w:val="24"/>
        </w:rPr>
        <w:t>After transmission of the draft legislative act to the national parliaments,</w:t>
      </w:r>
    </w:p>
    <w:p w14:paraId="5E5FE4A7" w14:textId="77777777" w:rsidR="00FD087E" w:rsidRPr="00FD087E" w:rsidRDefault="00FD087E" w:rsidP="00FD087E">
      <w:pPr>
        <w:rPr>
          <w:noProof/>
          <w:color w:val="000000" w:themeColor="text1"/>
          <w:szCs w:val="24"/>
        </w:rPr>
      </w:pPr>
      <w:r w:rsidRPr="00FD087E">
        <w:rPr>
          <w:noProof/>
          <w:color w:val="000000" w:themeColor="text1"/>
          <w:szCs w:val="24"/>
        </w:rPr>
        <w:t>Having regard to the opinion of the European Economic and Social Committee</w:t>
      </w:r>
      <w:r w:rsidRPr="00EC6C35">
        <w:rPr>
          <w:rStyle w:val="FootnoteReference"/>
          <w:noProof/>
        </w:rPr>
        <w:footnoteReference w:id="45"/>
      </w:r>
      <w:r w:rsidRPr="00FD087E">
        <w:rPr>
          <w:noProof/>
          <w:color w:val="000000" w:themeColor="text1"/>
          <w:szCs w:val="24"/>
        </w:rPr>
        <w:t xml:space="preserve">, </w:t>
      </w:r>
    </w:p>
    <w:p w14:paraId="1FD3B64F" w14:textId="77777777" w:rsidR="00FD087E" w:rsidRPr="00FD087E" w:rsidRDefault="00FD087E" w:rsidP="00FD087E">
      <w:pPr>
        <w:rPr>
          <w:noProof/>
          <w:color w:val="000000" w:themeColor="text1"/>
          <w:szCs w:val="24"/>
        </w:rPr>
      </w:pPr>
      <w:r w:rsidRPr="00FD087E">
        <w:rPr>
          <w:noProof/>
          <w:color w:val="000000" w:themeColor="text1"/>
          <w:szCs w:val="24"/>
        </w:rPr>
        <w:t>Having regard to the opinion of the Committee of the Regions</w:t>
      </w:r>
      <w:r w:rsidRPr="00EC6C35">
        <w:rPr>
          <w:rStyle w:val="FootnoteReference"/>
          <w:noProof/>
        </w:rPr>
        <w:footnoteReference w:id="46"/>
      </w:r>
      <w:r w:rsidRPr="00FD087E">
        <w:rPr>
          <w:noProof/>
          <w:color w:val="000000" w:themeColor="text1"/>
          <w:szCs w:val="24"/>
        </w:rPr>
        <w:t xml:space="preserve">, </w:t>
      </w:r>
    </w:p>
    <w:p w14:paraId="1805ADCC" w14:textId="77777777" w:rsidR="00FD087E" w:rsidRPr="00FD087E" w:rsidRDefault="00FD087E" w:rsidP="00FD087E">
      <w:pPr>
        <w:rPr>
          <w:noProof/>
          <w:color w:val="000000" w:themeColor="text1"/>
          <w:szCs w:val="24"/>
        </w:rPr>
      </w:pPr>
      <w:r w:rsidRPr="00FD087E">
        <w:rPr>
          <w:noProof/>
          <w:color w:val="000000" w:themeColor="text1"/>
          <w:szCs w:val="24"/>
        </w:rPr>
        <w:t>Acting in accordance with the ordinary legislative procedure,</w:t>
      </w:r>
    </w:p>
    <w:p w14:paraId="2CE92E52" w14:textId="77777777" w:rsidR="00FD087E" w:rsidRPr="00FD087E" w:rsidRDefault="00FD087E" w:rsidP="00FD087E">
      <w:pPr>
        <w:rPr>
          <w:rFonts w:eastAsia="Times New Roman"/>
          <w:b/>
          <w:i/>
          <w:iCs/>
          <w:noProof/>
          <w:color w:val="000000" w:themeColor="text1"/>
          <w:szCs w:val="24"/>
        </w:rPr>
      </w:pPr>
      <w:r w:rsidRPr="00FD087E">
        <w:rPr>
          <w:noProof/>
          <w:color w:val="000000" w:themeColor="text1"/>
          <w:szCs w:val="24"/>
        </w:rPr>
        <w:t>Whereas:</w:t>
      </w:r>
    </w:p>
    <w:p w14:paraId="08A2D702" w14:textId="2E3E6FEE" w:rsidR="00FD087E" w:rsidRPr="00A030F7" w:rsidRDefault="001969F8" w:rsidP="001969F8">
      <w:pPr>
        <w:pStyle w:val="Point0"/>
        <w:rPr>
          <w:noProof/>
        </w:rPr>
      </w:pPr>
      <w:r w:rsidRPr="001969F8">
        <w:t>(1)</w:t>
      </w:r>
      <w:r w:rsidRPr="001969F8">
        <w:tab/>
      </w:r>
      <w:r w:rsidR="00FD087E" w:rsidRPr="00A030F7">
        <w:rPr>
          <w:noProof/>
        </w:rPr>
        <w:t xml:space="preserve">Directive (EU) 2017/1132 </w:t>
      </w:r>
      <w:r w:rsidR="00A14890" w:rsidRPr="00C271CF">
        <w:rPr>
          <w:noProof/>
        </w:rPr>
        <w:t>of the European Parliament and of the Council</w:t>
      </w:r>
      <w:r w:rsidR="00FD087E" w:rsidRPr="00EC6C35">
        <w:rPr>
          <w:rStyle w:val="FootnoteReference"/>
          <w:noProof/>
        </w:rPr>
        <w:footnoteReference w:id="47"/>
      </w:r>
      <w:r w:rsidR="00FD087E" w:rsidRPr="00A030F7">
        <w:rPr>
          <w:noProof/>
        </w:rPr>
        <w:t xml:space="preserve"> lays down inter alia rules on disclosure of company information in business registers of Member States and </w:t>
      </w:r>
      <w:r w:rsidR="000A0265">
        <w:rPr>
          <w:noProof/>
        </w:rPr>
        <w:t xml:space="preserve">a </w:t>
      </w:r>
      <w:r w:rsidR="00FD087E" w:rsidRPr="00A030F7">
        <w:rPr>
          <w:noProof/>
        </w:rPr>
        <w:t>system of interconnection of registers</w:t>
      </w:r>
      <w:r w:rsidR="000A0265">
        <w:rPr>
          <w:noProof/>
        </w:rPr>
        <w:t>.</w:t>
      </w:r>
      <w:r w:rsidR="00FD087E" w:rsidRPr="00A030F7">
        <w:rPr>
          <w:noProof/>
        </w:rPr>
        <w:t xml:space="preserve"> </w:t>
      </w:r>
      <w:r w:rsidR="000A0265">
        <w:rPr>
          <w:noProof/>
        </w:rPr>
        <w:t>That system</w:t>
      </w:r>
      <w:r w:rsidR="00FD087E" w:rsidRPr="00A030F7">
        <w:rPr>
          <w:noProof/>
        </w:rPr>
        <w:t xml:space="preserve"> has been operational since June 2017 and currently connects all Member States’ registers. In response to digital developments, Directive (EU) 2017/1132 was amended by Directive (EU) 2019/1151</w:t>
      </w:r>
      <w:r w:rsidR="000A0265">
        <w:rPr>
          <w:noProof/>
        </w:rPr>
        <w:t xml:space="preserve"> </w:t>
      </w:r>
      <w:r w:rsidR="000A0265" w:rsidRPr="00C271CF">
        <w:rPr>
          <w:noProof/>
        </w:rPr>
        <w:t>of the European Parliament and of the Council</w:t>
      </w:r>
      <w:r w:rsidR="00FD087E" w:rsidRPr="00EC6C35">
        <w:rPr>
          <w:rStyle w:val="FootnoteReference"/>
          <w:noProof/>
        </w:rPr>
        <w:footnoteReference w:id="48"/>
      </w:r>
      <w:r w:rsidR="00FD087E" w:rsidRPr="00A030F7">
        <w:rPr>
          <w:noProof/>
        </w:rPr>
        <w:t xml:space="preserve"> to provide rules for </w:t>
      </w:r>
      <w:r w:rsidR="00C41A0B">
        <w:rPr>
          <w:noProof/>
        </w:rPr>
        <w:t xml:space="preserve">the </w:t>
      </w:r>
      <w:r w:rsidR="00FD087E" w:rsidRPr="00A030F7">
        <w:rPr>
          <w:noProof/>
        </w:rPr>
        <w:t xml:space="preserve">fully online formation of limited liability companies, registration of cross-border branches and submission of documents </w:t>
      </w:r>
      <w:r w:rsidR="00C41A0B">
        <w:rPr>
          <w:noProof/>
        </w:rPr>
        <w:t>to</w:t>
      </w:r>
      <w:r w:rsidR="00FD087E" w:rsidRPr="00A030F7">
        <w:rPr>
          <w:noProof/>
        </w:rPr>
        <w:t xml:space="preserve"> business registers.</w:t>
      </w:r>
    </w:p>
    <w:p w14:paraId="6A1F2BAF" w14:textId="055F25EC" w:rsidR="00FD087E" w:rsidRPr="00A030F7" w:rsidRDefault="001969F8" w:rsidP="001969F8">
      <w:pPr>
        <w:pStyle w:val="Point0"/>
        <w:rPr>
          <w:noProof/>
        </w:rPr>
      </w:pPr>
      <w:r w:rsidRPr="001969F8">
        <w:t>(2)</w:t>
      </w:r>
      <w:r w:rsidRPr="001969F8">
        <w:tab/>
      </w:r>
      <w:r w:rsidR="00FD087E" w:rsidRPr="00A030F7">
        <w:rPr>
          <w:noProof/>
        </w:rPr>
        <w:t>In a</w:t>
      </w:r>
      <w:r w:rsidR="000A0265">
        <w:rPr>
          <w:noProof/>
        </w:rPr>
        <w:t>n increasingly</w:t>
      </w:r>
      <w:r w:rsidR="00FD087E" w:rsidRPr="00A030F7">
        <w:rPr>
          <w:noProof/>
        </w:rPr>
        <w:t xml:space="preserve"> digitalised world, digital tools are essential to ensure the continuity of business operations and companies’ interactions with business registers and authorities. In order to increase trust and transparency in the business environment and facilitate </w:t>
      </w:r>
      <w:r w:rsidR="00CC3208" w:rsidRPr="00A030F7">
        <w:rPr>
          <w:noProof/>
        </w:rPr>
        <w:t>companies</w:t>
      </w:r>
      <w:r w:rsidR="00CC3208">
        <w:rPr>
          <w:noProof/>
        </w:rPr>
        <w:t xml:space="preserve">’ operations and activities </w:t>
      </w:r>
      <w:r w:rsidR="00CC3208" w:rsidRPr="00A030F7">
        <w:rPr>
          <w:noProof/>
        </w:rPr>
        <w:t xml:space="preserve">in the single market, </w:t>
      </w:r>
      <w:r w:rsidR="00FD087E" w:rsidRPr="00A030F7">
        <w:rPr>
          <w:noProof/>
        </w:rPr>
        <w:t xml:space="preserve">in particular </w:t>
      </w:r>
      <w:r w:rsidR="0075495F">
        <w:rPr>
          <w:noProof/>
        </w:rPr>
        <w:t xml:space="preserve">in relation to </w:t>
      </w:r>
      <w:r w:rsidR="00FD087E" w:rsidRPr="00A030F7">
        <w:rPr>
          <w:noProof/>
        </w:rPr>
        <w:t xml:space="preserve">micro, small and medium-sized enterprises (‘SMEs’), as </w:t>
      </w:r>
      <w:r w:rsidR="000A0265">
        <w:rPr>
          <w:noProof/>
        </w:rPr>
        <w:t>specified</w:t>
      </w:r>
      <w:r w:rsidR="000A0265" w:rsidRPr="00A030F7">
        <w:rPr>
          <w:noProof/>
        </w:rPr>
        <w:t xml:space="preserve"> </w:t>
      </w:r>
      <w:r w:rsidR="00FD087E" w:rsidRPr="00A030F7">
        <w:rPr>
          <w:noProof/>
        </w:rPr>
        <w:t>in Commission Recommendation 2003/361/EC</w:t>
      </w:r>
      <w:r w:rsidR="000A0265" w:rsidRPr="00EC6C35">
        <w:rPr>
          <w:rStyle w:val="FootnoteReference"/>
          <w:noProof/>
        </w:rPr>
        <w:footnoteReference w:id="49"/>
      </w:r>
      <w:r w:rsidR="00FD087E" w:rsidRPr="00A030F7">
        <w:rPr>
          <w:noProof/>
        </w:rPr>
        <w:t xml:space="preserve">, it is crucial that companies, authorities and other stakeholders have access to reliable information about companies </w:t>
      </w:r>
      <w:r w:rsidR="00C41A0B">
        <w:rPr>
          <w:noProof/>
        </w:rPr>
        <w:t>that</w:t>
      </w:r>
      <w:r w:rsidR="00FD087E" w:rsidRPr="00A030F7">
        <w:rPr>
          <w:noProof/>
        </w:rPr>
        <w:t xml:space="preserve"> can be used</w:t>
      </w:r>
      <w:r w:rsidR="00FD087E" w:rsidRPr="00A030F7" w:rsidDel="006C7436">
        <w:rPr>
          <w:noProof/>
        </w:rPr>
        <w:t xml:space="preserve"> </w:t>
      </w:r>
      <w:r w:rsidR="00FD087E" w:rsidRPr="00A030F7">
        <w:rPr>
          <w:noProof/>
        </w:rPr>
        <w:t xml:space="preserve">without </w:t>
      </w:r>
      <w:r w:rsidR="00601528">
        <w:rPr>
          <w:noProof/>
        </w:rPr>
        <w:t>burdensome</w:t>
      </w:r>
      <w:r w:rsidR="00601528" w:rsidRPr="00A030F7">
        <w:rPr>
          <w:noProof/>
        </w:rPr>
        <w:t xml:space="preserve"> </w:t>
      </w:r>
      <w:r w:rsidR="00FD087E" w:rsidRPr="00A030F7">
        <w:rPr>
          <w:noProof/>
        </w:rPr>
        <w:t xml:space="preserve">formalities in a cross-border context. </w:t>
      </w:r>
    </w:p>
    <w:p w14:paraId="48DBCF1C" w14:textId="77BC142E" w:rsidR="00FD087E" w:rsidRPr="00A030F7" w:rsidRDefault="001969F8" w:rsidP="001969F8">
      <w:pPr>
        <w:pStyle w:val="Point0"/>
        <w:rPr>
          <w:noProof/>
        </w:rPr>
      </w:pPr>
      <w:r w:rsidRPr="001969F8">
        <w:t>(3)</w:t>
      </w:r>
      <w:r w:rsidRPr="001969F8">
        <w:tab/>
      </w:r>
      <w:r w:rsidR="00FD087E" w:rsidRPr="00A030F7">
        <w:rPr>
          <w:noProof/>
        </w:rPr>
        <w:t>This Directive respond</w:t>
      </w:r>
      <w:r w:rsidR="00C41A0B">
        <w:rPr>
          <w:noProof/>
        </w:rPr>
        <w:t>s</w:t>
      </w:r>
      <w:r w:rsidR="00FD087E" w:rsidRPr="00A030F7">
        <w:rPr>
          <w:noProof/>
        </w:rPr>
        <w:t xml:space="preserve"> to the digitalisation objectives set out by the Communications “2030 Digital Compass”</w:t>
      </w:r>
      <w:r w:rsidR="00FD087E" w:rsidRPr="00EC6C35">
        <w:rPr>
          <w:rStyle w:val="FootnoteReference"/>
          <w:noProof/>
        </w:rPr>
        <w:footnoteReference w:id="50"/>
      </w:r>
      <w:r w:rsidR="00FD087E" w:rsidRPr="00A030F7">
        <w:rPr>
          <w:noProof/>
        </w:rPr>
        <w:t xml:space="preserve"> and “Digitalisation of justice in the European Union”</w:t>
      </w:r>
      <w:r w:rsidR="00FD087E" w:rsidRPr="00EC6C35">
        <w:rPr>
          <w:rStyle w:val="FootnoteReference"/>
          <w:noProof/>
        </w:rPr>
        <w:footnoteReference w:id="51"/>
      </w:r>
      <w:r w:rsidR="00FD087E" w:rsidRPr="00A030F7">
        <w:rPr>
          <w:noProof/>
        </w:rPr>
        <w:t xml:space="preserve">, and to the need to facilitate </w:t>
      </w:r>
      <w:r w:rsidR="00C41A0B">
        <w:rPr>
          <w:noProof/>
        </w:rPr>
        <w:t xml:space="preserve">the </w:t>
      </w:r>
      <w:r w:rsidR="00FD087E" w:rsidRPr="00A030F7">
        <w:rPr>
          <w:noProof/>
        </w:rPr>
        <w:t xml:space="preserve">cross-border expansion </w:t>
      </w:r>
      <w:r w:rsidR="00C41A0B">
        <w:rPr>
          <w:noProof/>
        </w:rPr>
        <w:t>of</w:t>
      </w:r>
      <w:r w:rsidR="00FD087E" w:rsidRPr="00A030F7">
        <w:rPr>
          <w:noProof/>
        </w:rPr>
        <w:t xml:space="preserve"> SMEs underlined in the Communications “Updating the 2020 New Industrial Strategy”</w:t>
      </w:r>
      <w:r w:rsidR="00FD087E" w:rsidRPr="00EC6C35">
        <w:rPr>
          <w:rStyle w:val="FootnoteReference"/>
          <w:noProof/>
        </w:rPr>
        <w:footnoteReference w:id="52"/>
      </w:r>
      <w:r w:rsidR="00FD087E" w:rsidRPr="00A030F7">
        <w:rPr>
          <w:noProof/>
        </w:rPr>
        <w:t xml:space="preserve"> and “SME Strategy for a sustainable and digital Europe”</w:t>
      </w:r>
      <w:r w:rsidR="00FD087E" w:rsidRPr="00EC6C35">
        <w:rPr>
          <w:rStyle w:val="FootnoteReference"/>
          <w:noProof/>
        </w:rPr>
        <w:footnoteReference w:id="53"/>
      </w:r>
      <w:r w:rsidR="00FD087E" w:rsidRPr="00A030F7">
        <w:rPr>
          <w:noProof/>
        </w:rPr>
        <w:t xml:space="preserve">. </w:t>
      </w:r>
    </w:p>
    <w:p w14:paraId="33A54CA6" w14:textId="42B6BEA2" w:rsidR="00FD087E" w:rsidRPr="00A030F7" w:rsidRDefault="001969F8" w:rsidP="001969F8">
      <w:pPr>
        <w:pStyle w:val="Point0"/>
        <w:rPr>
          <w:noProof/>
        </w:rPr>
      </w:pPr>
      <w:r w:rsidRPr="001969F8">
        <w:t>(4)</w:t>
      </w:r>
      <w:r w:rsidRPr="001969F8">
        <w:tab/>
      </w:r>
      <w:r w:rsidR="000A0265">
        <w:rPr>
          <w:noProof/>
        </w:rPr>
        <w:t>A</w:t>
      </w:r>
      <w:r w:rsidR="00FD087E" w:rsidRPr="00A030F7" w:rsidDel="00E95AB6">
        <w:rPr>
          <w:noProof/>
        </w:rPr>
        <w:t xml:space="preserve">ccess </w:t>
      </w:r>
      <w:r w:rsidR="00FD087E" w:rsidRPr="00A030F7">
        <w:rPr>
          <w:noProof/>
        </w:rPr>
        <w:t>to</w:t>
      </w:r>
      <w:r w:rsidR="000A0265">
        <w:rPr>
          <w:noProof/>
        </w:rPr>
        <w:t>,</w:t>
      </w:r>
      <w:r w:rsidR="00FD087E" w:rsidRPr="00A030F7">
        <w:rPr>
          <w:noProof/>
        </w:rPr>
        <w:t xml:space="preserve"> </w:t>
      </w:r>
      <w:r w:rsidR="00FD087E" w:rsidRPr="00A030F7" w:rsidDel="00E95AB6">
        <w:rPr>
          <w:noProof/>
        </w:rPr>
        <w:t>and use of</w:t>
      </w:r>
      <w:r w:rsidR="00A0347F">
        <w:rPr>
          <w:noProof/>
        </w:rPr>
        <w:t>,</w:t>
      </w:r>
      <w:r w:rsidR="00FD087E" w:rsidRPr="00A030F7" w:rsidDel="00E95AB6">
        <w:rPr>
          <w:noProof/>
        </w:rPr>
        <w:t xml:space="preserve"> </w:t>
      </w:r>
      <w:r w:rsidR="00FD087E" w:rsidRPr="00A030F7">
        <w:rPr>
          <w:noProof/>
        </w:rPr>
        <w:t xml:space="preserve">reliable </w:t>
      </w:r>
      <w:r w:rsidR="00FD087E" w:rsidRPr="00A030F7" w:rsidDel="00E95AB6">
        <w:rPr>
          <w:noProof/>
        </w:rPr>
        <w:t xml:space="preserve">company information </w:t>
      </w:r>
      <w:r w:rsidR="00FD087E" w:rsidRPr="00A030F7">
        <w:rPr>
          <w:noProof/>
        </w:rPr>
        <w:t xml:space="preserve">from the registers are </w:t>
      </w:r>
      <w:r w:rsidR="00FD087E" w:rsidRPr="00A030F7" w:rsidDel="00B91A40">
        <w:rPr>
          <w:noProof/>
        </w:rPr>
        <w:t xml:space="preserve">still </w:t>
      </w:r>
      <w:r w:rsidR="00FD087E" w:rsidRPr="00A030F7">
        <w:rPr>
          <w:noProof/>
        </w:rPr>
        <w:t>hindered by</w:t>
      </w:r>
      <w:r w:rsidR="00FD087E" w:rsidRPr="00A030F7" w:rsidDel="00E95AB6">
        <w:rPr>
          <w:noProof/>
        </w:rPr>
        <w:t xml:space="preserve"> barriers</w:t>
      </w:r>
      <w:r w:rsidR="00FD087E" w:rsidRPr="00A030F7">
        <w:rPr>
          <w:noProof/>
        </w:rPr>
        <w:t xml:space="preserve"> in cross-border </w:t>
      </w:r>
      <w:r w:rsidR="00FD087E" w:rsidRPr="00A030F7" w:rsidDel="00E95AB6">
        <w:rPr>
          <w:noProof/>
        </w:rPr>
        <w:t>situations</w:t>
      </w:r>
      <w:r w:rsidR="00FD087E" w:rsidRPr="00A030F7">
        <w:rPr>
          <w:noProof/>
        </w:rPr>
        <w:t>. Firstly, c</w:t>
      </w:r>
      <w:r w:rsidR="00FD087E" w:rsidRPr="00A030F7" w:rsidDel="00E95AB6">
        <w:rPr>
          <w:noProof/>
        </w:rPr>
        <w:t xml:space="preserve">ompany </w:t>
      </w:r>
      <w:r w:rsidR="00FD087E" w:rsidRPr="00A030F7">
        <w:rPr>
          <w:noProof/>
        </w:rPr>
        <w:t xml:space="preserve">information </w:t>
      </w:r>
      <w:r w:rsidR="00FD087E" w:rsidRPr="00A030F7" w:rsidDel="00E95AB6">
        <w:rPr>
          <w:noProof/>
        </w:rPr>
        <w:t xml:space="preserve">that </w:t>
      </w:r>
      <w:r w:rsidR="00FD087E" w:rsidRPr="00A030F7">
        <w:rPr>
          <w:noProof/>
        </w:rPr>
        <w:t>users</w:t>
      </w:r>
      <w:r w:rsidR="00FD087E" w:rsidRPr="00A030F7" w:rsidDel="00E95AB6">
        <w:rPr>
          <w:noProof/>
        </w:rPr>
        <w:t xml:space="preserve">, including </w:t>
      </w:r>
      <w:r w:rsidR="00FD087E" w:rsidRPr="00A030F7">
        <w:rPr>
          <w:noProof/>
        </w:rPr>
        <w:t xml:space="preserve">companies and </w:t>
      </w:r>
      <w:r w:rsidR="00FD087E" w:rsidRPr="00A030F7" w:rsidDel="00E95AB6">
        <w:rPr>
          <w:noProof/>
        </w:rPr>
        <w:t xml:space="preserve">authorities, are looking for is not yet sufficiently available in national registers </w:t>
      </w:r>
      <w:r w:rsidR="00FD087E" w:rsidRPr="00A030F7">
        <w:rPr>
          <w:noProof/>
        </w:rPr>
        <w:t>and/or</w:t>
      </w:r>
      <w:r w:rsidR="00FD087E" w:rsidRPr="00A030F7" w:rsidDel="00E95AB6">
        <w:rPr>
          <w:noProof/>
        </w:rPr>
        <w:t xml:space="preserve"> cross-border through </w:t>
      </w:r>
      <w:r w:rsidR="00FD087E" w:rsidRPr="00A030F7">
        <w:rPr>
          <w:noProof/>
        </w:rPr>
        <w:t>the system of interconnection of registers</w:t>
      </w:r>
      <w:r w:rsidR="00FD087E" w:rsidRPr="00A030F7" w:rsidDel="00E95AB6">
        <w:rPr>
          <w:noProof/>
        </w:rPr>
        <w:t xml:space="preserve">. </w:t>
      </w:r>
      <w:r w:rsidR="00FD087E" w:rsidRPr="00A030F7">
        <w:rPr>
          <w:noProof/>
        </w:rPr>
        <w:t>Secondly, the use of such company information in cross-border situations, including administrative procedures</w:t>
      </w:r>
      <w:r w:rsidR="00451BA2">
        <w:rPr>
          <w:noProof/>
        </w:rPr>
        <w:t xml:space="preserve"> before national authorities or EU institutions and bodies</w:t>
      </w:r>
      <w:r w:rsidR="00FD087E" w:rsidRPr="00A030F7">
        <w:rPr>
          <w:noProof/>
        </w:rPr>
        <w:t xml:space="preserve">, court proceedings or </w:t>
      </w:r>
      <w:r w:rsidR="001F15A9">
        <w:rPr>
          <w:noProof/>
        </w:rPr>
        <w:t xml:space="preserve">the </w:t>
      </w:r>
      <w:r w:rsidR="00FD087E" w:rsidRPr="00A030F7">
        <w:rPr>
          <w:noProof/>
        </w:rPr>
        <w:t>setting</w:t>
      </w:r>
      <w:r w:rsidR="001F15A9">
        <w:rPr>
          <w:noProof/>
        </w:rPr>
        <w:t>-</w:t>
      </w:r>
      <w:r w:rsidR="00FD087E" w:rsidRPr="00A030F7">
        <w:rPr>
          <w:noProof/>
        </w:rPr>
        <w:t>up of cross-border subsidiaries or branches, is still hindered by time</w:t>
      </w:r>
      <w:r w:rsidR="000A0265">
        <w:rPr>
          <w:noProof/>
        </w:rPr>
        <w:t>-</w:t>
      </w:r>
      <w:r w:rsidR="00FD087E" w:rsidRPr="00A030F7">
        <w:rPr>
          <w:noProof/>
        </w:rPr>
        <w:t xml:space="preserve">consuming and costly procedures and requirements, including the need for apostille or translation of company documents.  </w:t>
      </w:r>
    </w:p>
    <w:p w14:paraId="677A5039" w14:textId="12EA5475" w:rsidR="00FD087E" w:rsidRPr="00A030F7" w:rsidRDefault="001969F8" w:rsidP="001969F8">
      <w:pPr>
        <w:pStyle w:val="Point0"/>
        <w:rPr>
          <w:noProof/>
        </w:rPr>
      </w:pPr>
      <w:r w:rsidRPr="001969F8">
        <w:t>(5)</w:t>
      </w:r>
      <w:r w:rsidRPr="001969F8">
        <w:tab/>
      </w:r>
      <w:r w:rsidR="00FD087E" w:rsidRPr="00A030F7">
        <w:rPr>
          <w:noProof/>
        </w:rPr>
        <w:t xml:space="preserve">All stakeholders, including companies themselves, authorities and the public at large need to be able to rely on information about companies for their business purposes or in administrative procedures or court proceedings. Therefore, it is necessary that company data, which is entered into business registers and accessible through the system of interconnection of registers, is accurate, up-to-date and reliable. </w:t>
      </w:r>
    </w:p>
    <w:p w14:paraId="5A648554" w14:textId="718B9544" w:rsidR="00FD087E" w:rsidRPr="00A030F7" w:rsidRDefault="001969F8" w:rsidP="001969F8">
      <w:pPr>
        <w:pStyle w:val="Point0"/>
        <w:rPr>
          <w:noProof/>
        </w:rPr>
      </w:pPr>
      <w:r w:rsidRPr="001969F8">
        <w:t>(6)</w:t>
      </w:r>
      <w:r w:rsidRPr="001969F8">
        <w:tab/>
      </w:r>
      <w:r w:rsidR="00FD087E" w:rsidRPr="00A030F7">
        <w:rPr>
          <w:noProof/>
        </w:rPr>
        <w:t xml:space="preserve">The introduction, by Directive (EU) 2019/1151, of standards for controls on the identity and legal capacity of persons </w:t>
      </w:r>
      <w:r w:rsidR="001A3A6E">
        <w:rPr>
          <w:noProof/>
        </w:rPr>
        <w:t>that</w:t>
      </w:r>
      <w:r w:rsidR="001A3A6E" w:rsidRPr="00A030F7">
        <w:rPr>
          <w:noProof/>
        </w:rPr>
        <w:t xml:space="preserve"> </w:t>
      </w:r>
      <w:r w:rsidR="00FD087E" w:rsidRPr="00A030F7">
        <w:rPr>
          <w:noProof/>
        </w:rPr>
        <w:t xml:space="preserve">form a company, register a branch or file documents or information online was an important first step. It is now essential to take further steps to improve the reliability and trustworthiness </w:t>
      </w:r>
      <w:r w:rsidR="00FD087E" w:rsidRPr="00A030F7" w:rsidDel="00614B33">
        <w:rPr>
          <w:noProof/>
        </w:rPr>
        <w:t xml:space="preserve">of </w:t>
      </w:r>
      <w:r w:rsidR="00FD087E" w:rsidRPr="00A030F7">
        <w:rPr>
          <w:noProof/>
        </w:rPr>
        <w:t xml:space="preserve">company information in registers in order to facilitate its use in cross-border administrative procedures and court proceedings. </w:t>
      </w:r>
    </w:p>
    <w:p w14:paraId="5D5BD390" w14:textId="3932EBC4" w:rsidR="00FD087E" w:rsidRPr="00A030F7" w:rsidRDefault="001969F8" w:rsidP="001969F8">
      <w:pPr>
        <w:pStyle w:val="Point0"/>
        <w:rPr>
          <w:noProof/>
        </w:rPr>
      </w:pPr>
      <w:r w:rsidRPr="001969F8">
        <w:t>(7)</w:t>
      </w:r>
      <w:r w:rsidRPr="001969F8">
        <w:tab/>
      </w:r>
      <w:r w:rsidR="00FD087E" w:rsidRPr="00A030F7">
        <w:rPr>
          <w:noProof/>
        </w:rPr>
        <w:t>While all Member States carry out, to a certain extent, an ex</w:t>
      </w:r>
      <w:r w:rsidR="001A3A6E">
        <w:rPr>
          <w:noProof/>
        </w:rPr>
        <w:t>-</w:t>
      </w:r>
      <w:r w:rsidR="00FD087E" w:rsidRPr="00A030F7">
        <w:rPr>
          <w:noProof/>
        </w:rPr>
        <w:t xml:space="preserve">ante scrutiny of company documents and information before they are entered in the business register, there are different approaches in Member States </w:t>
      </w:r>
      <w:r w:rsidR="00080CDB">
        <w:rPr>
          <w:noProof/>
        </w:rPr>
        <w:t>as regards</w:t>
      </w:r>
      <w:r w:rsidR="00FD087E" w:rsidRPr="00A030F7">
        <w:rPr>
          <w:noProof/>
        </w:rPr>
        <w:t xml:space="preserve"> the intensity of checks, </w:t>
      </w:r>
      <w:r w:rsidR="00080CDB">
        <w:rPr>
          <w:noProof/>
        </w:rPr>
        <w:t xml:space="preserve">applicable </w:t>
      </w:r>
      <w:r w:rsidR="00FD087E" w:rsidRPr="00A030F7">
        <w:rPr>
          <w:noProof/>
        </w:rPr>
        <w:t>procedures or also the person or body in charge of verifying the information. This results in insufficient trust in company documents or information on a cross-border basis and in situation</w:t>
      </w:r>
      <w:r w:rsidR="00080CDB">
        <w:rPr>
          <w:noProof/>
        </w:rPr>
        <w:t>s</w:t>
      </w:r>
      <w:r w:rsidR="00FD087E" w:rsidRPr="00A030F7">
        <w:rPr>
          <w:noProof/>
        </w:rPr>
        <w:t xml:space="preserve"> where company documents or information from a business register in one Member State are sometimes not accepted as evidence in another Member State.</w:t>
      </w:r>
    </w:p>
    <w:p w14:paraId="26D0124E" w14:textId="34018408" w:rsidR="00FD087E" w:rsidRPr="00A030F7" w:rsidRDefault="001969F8" w:rsidP="001969F8">
      <w:pPr>
        <w:pStyle w:val="Point0"/>
        <w:rPr>
          <w:noProof/>
        </w:rPr>
      </w:pPr>
      <w:r w:rsidRPr="001969F8">
        <w:t>(8)</w:t>
      </w:r>
      <w:r w:rsidRPr="001969F8">
        <w:tab/>
      </w:r>
      <w:r w:rsidR="00FD087E" w:rsidRPr="00A030F7">
        <w:rPr>
          <w:noProof/>
        </w:rPr>
        <w:t>Therefore, while respecting Member State traditions, it is important to ensure that certain checks are carried out in all Member States according to the same standards</w:t>
      </w:r>
      <w:r w:rsidR="001D1D0C">
        <w:rPr>
          <w:noProof/>
        </w:rPr>
        <w:t xml:space="preserve"> that </w:t>
      </w:r>
      <w:r w:rsidR="00656432">
        <w:rPr>
          <w:noProof/>
        </w:rPr>
        <w:t xml:space="preserve">guarantee </w:t>
      </w:r>
      <w:r w:rsidR="001D1D0C">
        <w:rPr>
          <w:noProof/>
        </w:rPr>
        <w:t>a high level of accuracy and reliability of the information</w:t>
      </w:r>
      <w:r w:rsidR="00FD087E" w:rsidRPr="00A030F7">
        <w:rPr>
          <w:noProof/>
        </w:rPr>
        <w:t xml:space="preserve">. For this purpose, it is necessary to extend the current standards by making them mandatory in general, </w:t>
      </w:r>
      <w:r w:rsidR="002A68AD">
        <w:rPr>
          <w:noProof/>
        </w:rPr>
        <w:t xml:space="preserve">not only for </w:t>
      </w:r>
      <w:r w:rsidR="009E6E0E">
        <w:rPr>
          <w:noProof/>
        </w:rPr>
        <w:t xml:space="preserve">fully </w:t>
      </w:r>
      <w:r w:rsidR="002A68AD">
        <w:rPr>
          <w:noProof/>
        </w:rPr>
        <w:t xml:space="preserve">online </w:t>
      </w:r>
      <w:r w:rsidR="00FD087E" w:rsidRPr="00A030F7">
        <w:rPr>
          <w:noProof/>
        </w:rPr>
        <w:t>formation of companies</w:t>
      </w:r>
      <w:r w:rsidR="002A68AD">
        <w:rPr>
          <w:noProof/>
        </w:rPr>
        <w:t>, but also for any other forms of formation of companies</w:t>
      </w:r>
      <w:r w:rsidR="00FD087E" w:rsidRPr="00A030F7">
        <w:rPr>
          <w:noProof/>
        </w:rPr>
        <w:t xml:space="preserve">. Similarly, where Member States still allow other filing methods in addition to online filing, the same standards should apply in order to subject all information entered into the register to the same standard.  </w:t>
      </w:r>
    </w:p>
    <w:p w14:paraId="175B0FC2" w14:textId="14203E44" w:rsidR="0074419A" w:rsidRPr="00FD087E" w:rsidRDefault="001969F8" w:rsidP="001969F8">
      <w:pPr>
        <w:pStyle w:val="Point0"/>
        <w:rPr>
          <w:noProof/>
          <w:lang w:val="en-IE"/>
        </w:rPr>
      </w:pPr>
      <w:r w:rsidRPr="001969F8">
        <w:t>(9)</w:t>
      </w:r>
      <w:r w:rsidRPr="001969F8">
        <w:tab/>
      </w:r>
      <w:r w:rsidR="0074419A" w:rsidRPr="00FD087E">
        <w:rPr>
          <w:noProof/>
          <w:lang w:val="en-IE"/>
        </w:rPr>
        <w:t>A preventive administrative or judicial control</w:t>
      </w:r>
      <w:r w:rsidR="00BA79B3">
        <w:rPr>
          <w:noProof/>
          <w:lang w:val="en-IE"/>
        </w:rPr>
        <w:t>,</w:t>
      </w:r>
      <w:r w:rsidR="0074419A" w:rsidRPr="00FD087E">
        <w:rPr>
          <w:noProof/>
          <w:lang w:val="en-IE"/>
        </w:rPr>
        <w:t xml:space="preserve"> respecting Member States traditions in</w:t>
      </w:r>
      <w:r w:rsidR="0074419A">
        <w:rPr>
          <w:noProof/>
          <w:lang w:val="en-IE"/>
        </w:rPr>
        <w:t>cluding the possible involvement</w:t>
      </w:r>
      <w:r w:rsidR="0074419A" w:rsidRPr="00FD087E">
        <w:rPr>
          <w:noProof/>
          <w:lang w:val="en-IE"/>
        </w:rPr>
        <w:t xml:space="preserve"> of notaries</w:t>
      </w:r>
      <w:r w:rsidR="00BA79B3">
        <w:rPr>
          <w:noProof/>
          <w:lang w:val="en-IE"/>
        </w:rPr>
        <w:t>,</w:t>
      </w:r>
      <w:r w:rsidR="0074419A" w:rsidRPr="00FD087E">
        <w:rPr>
          <w:noProof/>
          <w:lang w:val="en-IE"/>
        </w:rPr>
        <w:t xml:space="preserve"> should be </w:t>
      </w:r>
      <w:r w:rsidR="0074419A">
        <w:rPr>
          <w:noProof/>
          <w:lang w:val="en-IE"/>
        </w:rPr>
        <w:t>ensured</w:t>
      </w:r>
      <w:r w:rsidR="0074419A" w:rsidRPr="00FD087E">
        <w:rPr>
          <w:noProof/>
          <w:lang w:val="en-IE"/>
        </w:rPr>
        <w:t xml:space="preserve"> in all Member States</w:t>
      </w:r>
      <w:r w:rsidR="001A3A6E">
        <w:rPr>
          <w:noProof/>
          <w:lang w:val="en-IE"/>
        </w:rPr>
        <w:t xml:space="preserve"> in order to ensure reliability of cross-border company data</w:t>
      </w:r>
      <w:r w:rsidR="0074419A">
        <w:rPr>
          <w:noProof/>
          <w:lang w:val="en-IE"/>
        </w:rPr>
        <w:t>.</w:t>
      </w:r>
      <w:r w:rsidR="0074419A" w:rsidRPr="00FD087E">
        <w:rPr>
          <w:noProof/>
          <w:lang w:val="en-IE"/>
        </w:rPr>
        <w:t xml:space="preserve"> </w:t>
      </w:r>
      <w:r w:rsidR="0074419A">
        <w:rPr>
          <w:noProof/>
          <w:lang w:val="en-IE"/>
        </w:rPr>
        <w:t>A</w:t>
      </w:r>
      <w:r w:rsidR="0074419A" w:rsidRPr="00FD087E">
        <w:rPr>
          <w:noProof/>
          <w:lang w:val="en-IE"/>
        </w:rPr>
        <w:t xml:space="preserve"> legality check of the company</w:t>
      </w:r>
      <w:r w:rsidR="001A3A6E">
        <w:rPr>
          <w:noProof/>
          <w:lang w:val="en-IE"/>
        </w:rPr>
        <w:t>’s</w:t>
      </w:r>
      <w:r w:rsidR="0074419A" w:rsidRPr="00FD087E">
        <w:rPr>
          <w:noProof/>
          <w:lang w:val="en-IE"/>
        </w:rPr>
        <w:t xml:space="preserve"> instrument of constitution, the company statutes if contained in a separate instrument</w:t>
      </w:r>
      <w:r w:rsidR="00C14F27">
        <w:rPr>
          <w:noProof/>
          <w:lang w:val="en-IE"/>
        </w:rPr>
        <w:t>,</w:t>
      </w:r>
      <w:r w:rsidR="0074419A" w:rsidRPr="00FD087E">
        <w:rPr>
          <w:noProof/>
          <w:lang w:val="en-IE"/>
        </w:rPr>
        <w:t xml:space="preserve"> and of any amendment of </w:t>
      </w:r>
      <w:r w:rsidR="00C14F27">
        <w:rPr>
          <w:noProof/>
          <w:lang w:val="en-IE"/>
        </w:rPr>
        <w:t>such instruments and statutes</w:t>
      </w:r>
      <w:r w:rsidR="00327B6F">
        <w:rPr>
          <w:noProof/>
          <w:lang w:val="en-IE"/>
        </w:rPr>
        <w:t>,</w:t>
      </w:r>
      <w:r w:rsidR="0074419A" w:rsidRPr="00FD087E">
        <w:rPr>
          <w:noProof/>
          <w:lang w:val="en-IE"/>
        </w:rPr>
        <w:t xml:space="preserve"> </w:t>
      </w:r>
      <w:r w:rsidR="0074419A" w:rsidRPr="00DC0FBA">
        <w:rPr>
          <w:noProof/>
          <w:lang w:val="en-IE"/>
        </w:rPr>
        <w:t>should be carried out</w:t>
      </w:r>
      <w:r w:rsidR="00080CDB">
        <w:rPr>
          <w:noProof/>
          <w:lang w:val="en-IE"/>
        </w:rPr>
        <w:t>,</w:t>
      </w:r>
      <w:r w:rsidR="0074419A" w:rsidRPr="00DC0FBA">
        <w:rPr>
          <w:noProof/>
          <w:lang w:val="en-IE"/>
        </w:rPr>
        <w:t xml:space="preserve"> </w:t>
      </w:r>
      <w:r w:rsidR="0074419A" w:rsidRPr="00FD087E">
        <w:rPr>
          <w:noProof/>
          <w:lang w:val="en-IE"/>
        </w:rPr>
        <w:t xml:space="preserve">given that these are the most important documents </w:t>
      </w:r>
      <w:r w:rsidR="00C14F27">
        <w:rPr>
          <w:noProof/>
          <w:lang w:val="en-IE"/>
        </w:rPr>
        <w:t>concerning</w:t>
      </w:r>
      <w:r w:rsidR="00C14F27" w:rsidRPr="00FD087E">
        <w:rPr>
          <w:noProof/>
          <w:lang w:val="en-IE"/>
        </w:rPr>
        <w:t xml:space="preserve"> </w:t>
      </w:r>
      <w:r w:rsidR="0074419A" w:rsidRPr="00FD087E">
        <w:rPr>
          <w:noProof/>
          <w:lang w:val="en-IE"/>
        </w:rPr>
        <w:t xml:space="preserve">the company. </w:t>
      </w:r>
    </w:p>
    <w:p w14:paraId="1B783BA7" w14:textId="408D9F2C" w:rsidR="00BA6365" w:rsidRPr="00FD087E" w:rsidRDefault="001969F8" w:rsidP="001969F8">
      <w:pPr>
        <w:pStyle w:val="Point0"/>
        <w:rPr>
          <w:noProof/>
          <w:lang w:val="en-IE"/>
        </w:rPr>
      </w:pPr>
      <w:r w:rsidRPr="001969F8">
        <w:t>(10)</w:t>
      </w:r>
      <w:r w:rsidRPr="001969F8">
        <w:tab/>
      </w:r>
      <w:r w:rsidR="00BA6365">
        <w:rPr>
          <w:noProof/>
          <w:lang w:val="en-IE"/>
        </w:rPr>
        <w:t xml:space="preserve">In order </w:t>
      </w:r>
      <w:r w:rsidR="00BA6365" w:rsidRPr="00A030F7">
        <w:rPr>
          <w:noProof/>
        </w:rPr>
        <w:t>to further cut costs and reduce administrative burden</w:t>
      </w:r>
      <w:r w:rsidR="003142D6">
        <w:rPr>
          <w:noProof/>
        </w:rPr>
        <w:t>s</w:t>
      </w:r>
      <w:r w:rsidR="00BA6365" w:rsidRPr="00A030F7">
        <w:rPr>
          <w:noProof/>
        </w:rPr>
        <w:t xml:space="preserve"> relating to the formation of companies, including the length of procedures, and to facilitate </w:t>
      </w:r>
      <w:r w:rsidR="00BA6365">
        <w:rPr>
          <w:noProof/>
        </w:rPr>
        <w:t xml:space="preserve">the </w:t>
      </w:r>
      <w:r w:rsidR="00BA6365" w:rsidRPr="00A030F7">
        <w:rPr>
          <w:noProof/>
        </w:rPr>
        <w:t xml:space="preserve">expansion of companies in the single market, in particular SMEs, the use of the ‘once-only’ principle should be further extended in the area of company law. </w:t>
      </w:r>
      <w:r w:rsidR="00BA6365">
        <w:rPr>
          <w:noProof/>
        </w:rPr>
        <w:t xml:space="preserve">This principle </w:t>
      </w:r>
      <w:r w:rsidR="00BA6365" w:rsidRPr="00A030F7">
        <w:rPr>
          <w:noProof/>
        </w:rPr>
        <w:t xml:space="preserve">is already well </w:t>
      </w:r>
      <w:r w:rsidR="003142D6">
        <w:rPr>
          <w:noProof/>
        </w:rPr>
        <w:t>recognised</w:t>
      </w:r>
      <w:r w:rsidR="00BA6365" w:rsidRPr="00A030F7">
        <w:rPr>
          <w:noProof/>
        </w:rPr>
        <w:t xml:space="preserve"> in the Union</w:t>
      </w:r>
      <w:r w:rsidR="00BA6365">
        <w:rPr>
          <w:noProof/>
        </w:rPr>
        <w:t xml:space="preserve">, including under the </w:t>
      </w:r>
      <w:r w:rsidR="00BA6365" w:rsidRPr="00DF4BC2">
        <w:rPr>
          <w:rFonts w:eastAsia="Calibri"/>
          <w:noProof/>
        </w:rPr>
        <w:t>2030 Digital Compass</w:t>
      </w:r>
      <w:r w:rsidR="00BA6365">
        <w:rPr>
          <w:rFonts w:eastAsia="Calibri"/>
          <w:noProof/>
        </w:rPr>
        <w:t xml:space="preserve"> Communication</w:t>
      </w:r>
      <w:r w:rsidR="00BA6365">
        <w:rPr>
          <w:noProof/>
        </w:rPr>
        <w:t xml:space="preserve"> </w:t>
      </w:r>
      <w:r w:rsidR="00954A74">
        <w:rPr>
          <w:noProof/>
        </w:rPr>
        <w:t xml:space="preserve">as a means </w:t>
      </w:r>
      <w:r w:rsidR="00BA6365">
        <w:rPr>
          <w:noProof/>
        </w:rPr>
        <w:t>to allow public administrations</w:t>
      </w:r>
      <w:r w:rsidR="00BA6365" w:rsidRPr="006A71BA">
        <w:rPr>
          <w:noProof/>
        </w:rPr>
        <w:t xml:space="preserve"> </w:t>
      </w:r>
      <w:r w:rsidR="00522632">
        <w:rPr>
          <w:noProof/>
        </w:rPr>
        <w:t xml:space="preserve">to </w:t>
      </w:r>
      <w:r w:rsidR="00BA6365">
        <w:rPr>
          <w:noProof/>
        </w:rPr>
        <w:t>exchange data and evidence across borders</w:t>
      </w:r>
      <w:r w:rsidR="003142D6">
        <w:rPr>
          <w:noProof/>
        </w:rPr>
        <w:t>,</w:t>
      </w:r>
      <w:r w:rsidR="00BA6365">
        <w:rPr>
          <w:noProof/>
        </w:rPr>
        <w:t xml:space="preserve"> </w:t>
      </w:r>
      <w:r w:rsidR="003142D6">
        <w:rPr>
          <w:noProof/>
        </w:rPr>
        <w:t>and used in different areas, such as for instance</w:t>
      </w:r>
      <w:r w:rsidR="00BA6365">
        <w:rPr>
          <w:noProof/>
        </w:rPr>
        <w:t xml:space="preserve"> </w:t>
      </w:r>
      <w:r w:rsidR="003142D6">
        <w:rPr>
          <w:noProof/>
        </w:rPr>
        <w:t xml:space="preserve">the </w:t>
      </w:r>
      <w:r w:rsidR="00BA6365">
        <w:rPr>
          <w:noProof/>
        </w:rPr>
        <w:t xml:space="preserve">once-only technical system for cross-border automated </w:t>
      </w:r>
      <w:r w:rsidR="00BA6365">
        <w:rPr>
          <w:noProof/>
          <w:color w:val="000000" w:themeColor="text1"/>
          <w:szCs w:val="24"/>
        </w:rPr>
        <w:t>exchange of evidence under the Single Digital Gateway</w:t>
      </w:r>
      <w:r w:rsidR="00BA6365" w:rsidRPr="00EC6C35">
        <w:rPr>
          <w:rStyle w:val="FootnoteReference"/>
          <w:noProof/>
        </w:rPr>
        <w:footnoteReference w:id="54"/>
      </w:r>
      <w:r w:rsidR="00BA6365">
        <w:rPr>
          <w:noProof/>
          <w:color w:val="000000" w:themeColor="text1"/>
          <w:szCs w:val="24"/>
        </w:rPr>
        <w:t>.</w:t>
      </w:r>
    </w:p>
    <w:p w14:paraId="6E9535A7" w14:textId="54CC66B9" w:rsidR="00FD087E" w:rsidRPr="00A030F7" w:rsidRDefault="001969F8" w:rsidP="001969F8">
      <w:pPr>
        <w:pStyle w:val="Point0"/>
        <w:rPr>
          <w:noProof/>
        </w:rPr>
      </w:pPr>
      <w:r w:rsidRPr="001969F8">
        <w:t>(11)</w:t>
      </w:r>
      <w:r w:rsidRPr="001969F8">
        <w:tab/>
      </w:r>
      <w:r w:rsidR="00FD087E" w:rsidRPr="00A030F7">
        <w:rPr>
          <w:noProof/>
        </w:rPr>
        <w:t>Applying the ‘once-only’ principle entails that companies are not asked to submit the same information to public authorities more than once. For example, companies should not have to resubmit the company documents or information already submitted to the register where the company is registered when creating a subsidiary in another Member State. Instead, information about the company should be exchanged electronically, between the register where the company is registered and the register where a subsidiary is to be registered, using the system of interconnection of registers.</w:t>
      </w:r>
      <w:r w:rsidR="0074419A">
        <w:rPr>
          <w:noProof/>
        </w:rPr>
        <w:t xml:space="preserve"> </w:t>
      </w:r>
      <w:r w:rsidR="0074419A" w:rsidRPr="00DC0FBA">
        <w:rPr>
          <w:noProof/>
          <w:color w:val="000000" w:themeColor="text1"/>
          <w:szCs w:val="24"/>
        </w:rPr>
        <w:t>Such information should be made available by the business register to any authority, body or person mandated under national law to deal with any aspect of the formation of a company.</w:t>
      </w:r>
    </w:p>
    <w:p w14:paraId="6D384C83" w14:textId="4355FCB4" w:rsidR="00FD087E" w:rsidRPr="00A030F7" w:rsidRDefault="001969F8" w:rsidP="001969F8">
      <w:pPr>
        <w:pStyle w:val="Point0"/>
        <w:rPr>
          <w:noProof/>
        </w:rPr>
      </w:pPr>
      <w:r w:rsidRPr="001969F8">
        <w:t>(12)</w:t>
      </w:r>
      <w:r w:rsidRPr="001969F8">
        <w:tab/>
      </w:r>
      <w:r w:rsidR="00FD087E" w:rsidRPr="00A030F7">
        <w:rPr>
          <w:noProof/>
        </w:rPr>
        <w:t xml:space="preserve">In order to increase transparency and trust </w:t>
      </w:r>
      <w:r w:rsidR="00BF50F8">
        <w:rPr>
          <w:noProof/>
        </w:rPr>
        <w:t>with respect to</w:t>
      </w:r>
      <w:r w:rsidR="00BF50F8" w:rsidRPr="00A030F7">
        <w:rPr>
          <w:noProof/>
        </w:rPr>
        <w:t xml:space="preserve"> </w:t>
      </w:r>
      <w:r w:rsidR="00FD087E" w:rsidRPr="00A030F7">
        <w:rPr>
          <w:noProof/>
        </w:rPr>
        <w:t>companies in the single market</w:t>
      </w:r>
      <w:r w:rsidR="00BF50F8">
        <w:rPr>
          <w:noProof/>
        </w:rPr>
        <w:t>,</w:t>
      </w:r>
      <w:r w:rsidR="00FD087E" w:rsidRPr="00A030F7">
        <w:rPr>
          <w:noProof/>
        </w:rPr>
        <w:t xml:space="preserve"> and to </w:t>
      </w:r>
      <w:r w:rsidR="00BB79B1">
        <w:rPr>
          <w:noProof/>
        </w:rPr>
        <w:t xml:space="preserve">facilitate </w:t>
      </w:r>
      <w:r w:rsidR="00FD087E" w:rsidRPr="00A030F7">
        <w:rPr>
          <w:noProof/>
        </w:rPr>
        <w:t>companies</w:t>
      </w:r>
      <w:r w:rsidR="00BB79B1">
        <w:rPr>
          <w:noProof/>
        </w:rPr>
        <w:t>’</w:t>
      </w:r>
      <w:r w:rsidR="00FD087E" w:rsidRPr="00A030F7">
        <w:rPr>
          <w:noProof/>
        </w:rPr>
        <w:t xml:space="preserve"> cross-border</w:t>
      </w:r>
      <w:r w:rsidR="00BB79B1">
        <w:rPr>
          <w:noProof/>
        </w:rPr>
        <w:t xml:space="preserve"> operations and activities</w:t>
      </w:r>
      <w:r w:rsidR="00FD087E" w:rsidRPr="00A030F7">
        <w:rPr>
          <w:noProof/>
        </w:rPr>
        <w:t xml:space="preserve">, it is essential to make more company information available across the Union and to ensure that it is comparable and more easily accessible. This should be done by building on the company information </w:t>
      </w:r>
      <w:r w:rsidR="00BF50F8">
        <w:rPr>
          <w:noProof/>
        </w:rPr>
        <w:t>that</w:t>
      </w:r>
      <w:r w:rsidR="00FD087E" w:rsidRPr="00A030F7">
        <w:rPr>
          <w:noProof/>
        </w:rPr>
        <w:t xml:space="preserve"> already </w:t>
      </w:r>
      <w:r w:rsidR="00E97234">
        <w:rPr>
          <w:noProof/>
        </w:rPr>
        <w:t xml:space="preserve">exists </w:t>
      </w:r>
      <w:r w:rsidR="00FD087E" w:rsidRPr="00A030F7">
        <w:rPr>
          <w:noProof/>
        </w:rPr>
        <w:t xml:space="preserve">in national registers and making it available at Union level through the system of interconnection of registers, as well as by providing access to more information both in the national registers and through the system of interconnection of registers. </w:t>
      </w:r>
    </w:p>
    <w:p w14:paraId="23DC3FBE" w14:textId="6B3DF7BD" w:rsidR="00FD087E" w:rsidRPr="00A030F7" w:rsidRDefault="001969F8" w:rsidP="001969F8">
      <w:pPr>
        <w:pStyle w:val="Point0"/>
        <w:rPr>
          <w:noProof/>
        </w:rPr>
      </w:pPr>
      <w:r w:rsidRPr="001969F8">
        <w:t>(13)</w:t>
      </w:r>
      <w:r w:rsidRPr="001969F8">
        <w:tab/>
      </w:r>
      <w:r w:rsidR="009C727C">
        <w:rPr>
          <w:noProof/>
        </w:rPr>
        <w:t>I</w:t>
      </w:r>
      <w:r w:rsidR="00FD087E" w:rsidRPr="00A030F7">
        <w:rPr>
          <w:noProof/>
        </w:rPr>
        <w:t xml:space="preserve">nformation about the place of central administration and the principal place of business is important to </w:t>
      </w:r>
      <w:r w:rsidR="009C727C">
        <w:rPr>
          <w:noProof/>
        </w:rPr>
        <w:t xml:space="preserve">increase transparency, and thus </w:t>
      </w:r>
      <w:r w:rsidR="00FD087E" w:rsidRPr="00A030F7">
        <w:rPr>
          <w:noProof/>
        </w:rPr>
        <w:t xml:space="preserve">reinforce legal certainty </w:t>
      </w:r>
      <w:r w:rsidR="001D09B9">
        <w:rPr>
          <w:noProof/>
        </w:rPr>
        <w:t>with respect to</w:t>
      </w:r>
      <w:r w:rsidR="00FD087E" w:rsidRPr="00A030F7">
        <w:rPr>
          <w:noProof/>
        </w:rPr>
        <w:t xml:space="preserve"> the business relationships of </w:t>
      </w:r>
      <w:r w:rsidR="00C14F27">
        <w:rPr>
          <w:noProof/>
        </w:rPr>
        <w:t>Union</w:t>
      </w:r>
      <w:r w:rsidR="00C14F27" w:rsidRPr="00A030F7">
        <w:rPr>
          <w:noProof/>
        </w:rPr>
        <w:t xml:space="preserve"> </w:t>
      </w:r>
      <w:r w:rsidR="00FD087E" w:rsidRPr="00A030F7">
        <w:rPr>
          <w:noProof/>
        </w:rPr>
        <w:t xml:space="preserve">companies, including when investing in those companies. This information is also relevant in different contexts such as </w:t>
      </w:r>
      <w:r w:rsidR="009C727C">
        <w:rPr>
          <w:noProof/>
        </w:rPr>
        <w:t>in cases of</w:t>
      </w:r>
      <w:r w:rsidR="00FD087E" w:rsidRPr="00A030F7">
        <w:rPr>
          <w:noProof/>
        </w:rPr>
        <w:t xml:space="preserve"> insolvency</w:t>
      </w:r>
      <w:r w:rsidR="009C727C">
        <w:rPr>
          <w:noProof/>
        </w:rPr>
        <w:t xml:space="preserve"> or</w:t>
      </w:r>
      <w:r w:rsidR="00FD087E" w:rsidRPr="00A030F7">
        <w:rPr>
          <w:noProof/>
        </w:rPr>
        <w:t xml:space="preserve"> restructuring</w:t>
      </w:r>
      <w:r w:rsidR="009C727C">
        <w:rPr>
          <w:noProof/>
        </w:rPr>
        <w:t>,</w:t>
      </w:r>
      <w:r w:rsidR="00FD087E" w:rsidRPr="00A030F7">
        <w:rPr>
          <w:noProof/>
        </w:rPr>
        <w:t xml:space="preserve"> competition law, tax or social security purposes</w:t>
      </w:r>
      <w:r w:rsidR="009C727C">
        <w:rPr>
          <w:noProof/>
        </w:rPr>
        <w:t>,</w:t>
      </w:r>
      <w:r w:rsidR="00FD087E" w:rsidRPr="00A030F7">
        <w:rPr>
          <w:noProof/>
        </w:rPr>
        <w:t xml:space="preserve"> or for authorities when tackling fraud or abuse</w:t>
      </w:r>
      <w:r w:rsidR="00C14F27">
        <w:rPr>
          <w:noProof/>
        </w:rPr>
        <w:t>,</w:t>
      </w:r>
      <w:r w:rsidR="00FD087E" w:rsidRPr="00A030F7">
        <w:rPr>
          <w:noProof/>
        </w:rPr>
        <w:t xml:space="preserve"> as it can contribute to the identification of fraudulent or abusive letterbox companies. These elements may provide useful information on how companies are conducting business and to what extent companies are connected to the Union. </w:t>
      </w:r>
      <w:r w:rsidR="00FD087E" w:rsidRPr="00A030F7" w:rsidDel="00454285">
        <w:rPr>
          <w:noProof/>
        </w:rPr>
        <w:t xml:space="preserve"> </w:t>
      </w:r>
      <w:r w:rsidR="00FD087E" w:rsidRPr="00A030F7">
        <w:rPr>
          <w:noProof/>
        </w:rPr>
        <w:t xml:space="preserve"> </w:t>
      </w:r>
    </w:p>
    <w:p w14:paraId="53862321" w14:textId="5730190D" w:rsidR="00FD087E" w:rsidRPr="00A030F7" w:rsidRDefault="001969F8" w:rsidP="001969F8">
      <w:pPr>
        <w:pStyle w:val="Point0"/>
        <w:rPr>
          <w:noProof/>
        </w:rPr>
      </w:pPr>
      <w:r w:rsidRPr="001969F8">
        <w:t>(14)</w:t>
      </w:r>
      <w:r w:rsidRPr="001969F8">
        <w:tab/>
      </w:r>
      <w:r w:rsidR="00FD087E" w:rsidRPr="00A030F7">
        <w:rPr>
          <w:noProof/>
        </w:rPr>
        <w:t xml:space="preserve">Article 54 of the Treaty </w:t>
      </w:r>
      <w:r w:rsidR="003D4BFD">
        <w:rPr>
          <w:noProof/>
        </w:rPr>
        <w:t>on</w:t>
      </w:r>
      <w:r w:rsidR="00FD087E" w:rsidRPr="00A030F7">
        <w:rPr>
          <w:noProof/>
        </w:rPr>
        <w:t xml:space="preserve"> the Functioning of the European Union refers to the central administration and the principal place of business together with the registered office as decisive links with the Union</w:t>
      </w:r>
      <w:r w:rsidR="00CB7386">
        <w:rPr>
          <w:noProof/>
        </w:rPr>
        <w:t>,</w:t>
      </w:r>
      <w:r w:rsidR="00FD087E" w:rsidRPr="00A030F7">
        <w:rPr>
          <w:noProof/>
        </w:rPr>
        <w:t xml:space="preserve"> and it is common that they are located in the same Member State. However, freedom of establishment, as clarified by the Court of Justice of the European Union, entails the right </w:t>
      </w:r>
      <w:r w:rsidR="00DB48C5">
        <w:rPr>
          <w:noProof/>
        </w:rPr>
        <w:t xml:space="preserve">of </w:t>
      </w:r>
      <w:r w:rsidR="00FD087E" w:rsidRPr="00A030F7">
        <w:rPr>
          <w:noProof/>
        </w:rPr>
        <w:t xml:space="preserve">a company to have its central administration or principal place of business in a different Member State than the Member State where the registered office is located. In this case, stakeholders should </w:t>
      </w:r>
      <w:r w:rsidR="00453103">
        <w:rPr>
          <w:noProof/>
        </w:rPr>
        <w:t xml:space="preserve">have access to this information </w:t>
      </w:r>
      <w:r w:rsidR="00FD087E" w:rsidRPr="00A030F7">
        <w:rPr>
          <w:noProof/>
        </w:rPr>
        <w:t>in order to take informed decisions and protect their interests. Therefore, in order to provide easier access to this information and reduce administrative burden</w:t>
      </w:r>
      <w:r w:rsidR="00CB7386">
        <w:rPr>
          <w:noProof/>
        </w:rPr>
        <w:t>s</w:t>
      </w:r>
      <w:r w:rsidR="00FD087E" w:rsidRPr="00A030F7">
        <w:rPr>
          <w:noProof/>
        </w:rPr>
        <w:t xml:space="preserve"> for companies and authorities, information about the Member State or third country where the central administration or the principal place of business is situated, </w:t>
      </w:r>
      <w:r w:rsidR="00453103">
        <w:rPr>
          <w:noProof/>
        </w:rPr>
        <w:t>when</w:t>
      </w:r>
      <w:r w:rsidR="00FD087E" w:rsidRPr="00A030F7">
        <w:rPr>
          <w:noProof/>
        </w:rPr>
        <w:t xml:space="preserve"> it is not in the Member State of the registered office, should be disclosed in national business registers and made publicly available through the system of interconnection of registers. </w:t>
      </w:r>
    </w:p>
    <w:p w14:paraId="5BFE9149" w14:textId="2D1D46C1" w:rsidR="00FD087E" w:rsidRPr="00A030F7" w:rsidRDefault="001969F8" w:rsidP="001969F8">
      <w:pPr>
        <w:pStyle w:val="Point0"/>
        <w:rPr>
          <w:noProof/>
        </w:rPr>
      </w:pPr>
      <w:r w:rsidRPr="001969F8">
        <w:t>(15)</w:t>
      </w:r>
      <w:r w:rsidRPr="001969F8">
        <w:tab/>
      </w:r>
      <w:r w:rsidR="00FD087E" w:rsidRPr="00A030F7">
        <w:rPr>
          <w:noProof/>
        </w:rPr>
        <w:t xml:space="preserve">In order to protect the interests of third parties and enhance trust in business transactions with different types of companies in the single market, it is important to enhance transparency and provide easier access on a cross-border basis to information about </w:t>
      </w:r>
      <w:r w:rsidR="00AC6766">
        <w:rPr>
          <w:noProof/>
        </w:rPr>
        <w:t xml:space="preserve">so-called </w:t>
      </w:r>
      <w:r w:rsidR="00FD087E" w:rsidRPr="00A030F7">
        <w:rPr>
          <w:noProof/>
        </w:rPr>
        <w:t xml:space="preserve">‘commercial partnerships’. These play an important role in the economy of Member States and are registered in all national business registers, yet there are differences between the types of partnerships and types of information made available about them across the </w:t>
      </w:r>
      <w:r w:rsidR="00AC6766">
        <w:rPr>
          <w:noProof/>
        </w:rPr>
        <w:t>Union</w:t>
      </w:r>
      <w:r w:rsidR="00FD087E" w:rsidRPr="00A030F7">
        <w:rPr>
          <w:noProof/>
        </w:rPr>
        <w:t xml:space="preserve">, </w:t>
      </w:r>
      <w:r w:rsidR="00453103">
        <w:rPr>
          <w:noProof/>
        </w:rPr>
        <w:t xml:space="preserve">which </w:t>
      </w:r>
      <w:r w:rsidR="00FD087E" w:rsidRPr="00A030F7">
        <w:rPr>
          <w:noProof/>
        </w:rPr>
        <w:t>result</w:t>
      </w:r>
      <w:r w:rsidR="00453103">
        <w:rPr>
          <w:noProof/>
        </w:rPr>
        <w:t>s</w:t>
      </w:r>
      <w:r w:rsidR="00FD087E" w:rsidRPr="00A030F7">
        <w:rPr>
          <w:noProof/>
        </w:rPr>
        <w:t xml:space="preserve"> in difficulties in </w:t>
      </w:r>
      <w:r w:rsidR="008E7FD9">
        <w:rPr>
          <w:noProof/>
        </w:rPr>
        <w:t xml:space="preserve">the </w:t>
      </w:r>
      <w:r w:rsidR="00FD087E" w:rsidRPr="00A030F7">
        <w:rPr>
          <w:noProof/>
        </w:rPr>
        <w:t xml:space="preserve">cross-border access to this information. </w:t>
      </w:r>
      <w:r w:rsidR="008E7FD9">
        <w:rPr>
          <w:noProof/>
        </w:rPr>
        <w:t>To address this</w:t>
      </w:r>
      <w:r w:rsidR="00FD087E" w:rsidRPr="00A030F7">
        <w:rPr>
          <w:noProof/>
        </w:rPr>
        <w:t xml:space="preserve">, the same basic information about ‘commercial partnerships’ should be disclosed in all Member States. The disclosure requirements for partnerships should mirror the existing disclosure requirements for limited liability companies but be adapted to </w:t>
      </w:r>
      <w:r w:rsidR="008E7FD9">
        <w:rPr>
          <w:noProof/>
        </w:rPr>
        <w:t xml:space="preserve">the </w:t>
      </w:r>
      <w:r w:rsidR="00FD087E" w:rsidRPr="00A030F7">
        <w:rPr>
          <w:noProof/>
        </w:rPr>
        <w:t xml:space="preserve">specific characteristics of partnerships. For instance, the disclosure requirements should also cover information about partners, including those </w:t>
      </w:r>
      <w:r w:rsidR="00453103">
        <w:rPr>
          <w:noProof/>
        </w:rPr>
        <w:t>that</w:t>
      </w:r>
      <w:r w:rsidR="00453103" w:rsidRPr="00A030F7">
        <w:rPr>
          <w:noProof/>
        </w:rPr>
        <w:t xml:space="preserve"> </w:t>
      </w:r>
      <w:r w:rsidR="00FD087E" w:rsidRPr="00A030F7">
        <w:rPr>
          <w:noProof/>
        </w:rPr>
        <w:t>are authorised to represent the partnership.</w:t>
      </w:r>
      <w:r w:rsidR="002547F9">
        <w:rPr>
          <w:noProof/>
        </w:rPr>
        <w:t xml:space="preserve"> </w:t>
      </w:r>
      <w:r w:rsidR="00C23155">
        <w:rPr>
          <w:noProof/>
        </w:rPr>
        <w:t xml:space="preserve">As in the case of limited liability companies, Member States should be allowed to require that partnerships disclose documents or information </w:t>
      </w:r>
      <w:r w:rsidR="008E7FD9">
        <w:rPr>
          <w:noProof/>
        </w:rPr>
        <w:t>beyond what is</w:t>
      </w:r>
      <w:r w:rsidR="00C23155">
        <w:rPr>
          <w:noProof/>
        </w:rPr>
        <w:t xml:space="preserve"> required by this Directive. Where such additional documents or information contain personal data, Member States should process </w:t>
      </w:r>
      <w:r w:rsidR="008E7FD9">
        <w:rPr>
          <w:noProof/>
        </w:rPr>
        <w:t>such</w:t>
      </w:r>
      <w:r w:rsidR="00C23155">
        <w:rPr>
          <w:noProof/>
        </w:rPr>
        <w:t xml:space="preserve"> personal data in accordance with Regulation (EU) 2016/679</w:t>
      </w:r>
      <w:r w:rsidR="00AC6766">
        <w:rPr>
          <w:noProof/>
        </w:rPr>
        <w:t xml:space="preserve"> of the European Parliament and of the Council</w:t>
      </w:r>
      <w:r w:rsidR="007B4A88" w:rsidRPr="00EC6C35">
        <w:rPr>
          <w:rStyle w:val="FootnoteReference"/>
          <w:noProof/>
        </w:rPr>
        <w:footnoteReference w:id="55"/>
      </w:r>
      <w:r w:rsidR="00C23155">
        <w:rPr>
          <w:noProof/>
        </w:rPr>
        <w:t xml:space="preserve">. </w:t>
      </w:r>
    </w:p>
    <w:p w14:paraId="501897BA" w14:textId="3872F492" w:rsidR="00FD087E" w:rsidRPr="00A030F7" w:rsidRDefault="001969F8" w:rsidP="001969F8">
      <w:pPr>
        <w:pStyle w:val="Point0"/>
        <w:rPr>
          <w:noProof/>
        </w:rPr>
      </w:pPr>
      <w:r w:rsidRPr="001969F8">
        <w:t>(16)</w:t>
      </w:r>
      <w:r w:rsidRPr="001969F8">
        <w:tab/>
      </w:r>
      <w:r w:rsidR="00453103">
        <w:rPr>
          <w:noProof/>
        </w:rPr>
        <w:t>I</w:t>
      </w:r>
      <w:r w:rsidR="00FD087E" w:rsidRPr="00A030F7">
        <w:rPr>
          <w:noProof/>
        </w:rPr>
        <w:t xml:space="preserve">nformation about ‘commercial partnerships’ should </w:t>
      </w:r>
      <w:r w:rsidR="00453103">
        <w:rPr>
          <w:noProof/>
        </w:rPr>
        <w:t xml:space="preserve">also </w:t>
      </w:r>
      <w:r w:rsidR="00FD087E" w:rsidRPr="00A030F7">
        <w:rPr>
          <w:noProof/>
        </w:rPr>
        <w:t xml:space="preserve">be accessible at </w:t>
      </w:r>
      <w:r w:rsidR="008F0976">
        <w:rPr>
          <w:noProof/>
        </w:rPr>
        <w:t>Union</w:t>
      </w:r>
      <w:r w:rsidR="008F0976" w:rsidRPr="00A030F7">
        <w:rPr>
          <w:noProof/>
        </w:rPr>
        <w:t xml:space="preserve"> </w:t>
      </w:r>
      <w:r w:rsidR="00FD087E" w:rsidRPr="00A030F7">
        <w:rPr>
          <w:noProof/>
        </w:rPr>
        <w:t xml:space="preserve">level through the system of interconnection of registers in the same way as for limited liability companies, with certain information </w:t>
      </w:r>
      <w:r w:rsidR="008E7FD9">
        <w:rPr>
          <w:noProof/>
        </w:rPr>
        <w:t xml:space="preserve">to </w:t>
      </w:r>
      <w:r w:rsidR="00FD087E" w:rsidRPr="00A030F7">
        <w:rPr>
          <w:noProof/>
        </w:rPr>
        <w:t xml:space="preserve">be </w:t>
      </w:r>
      <w:r w:rsidR="00453103">
        <w:rPr>
          <w:noProof/>
        </w:rPr>
        <w:t xml:space="preserve">made </w:t>
      </w:r>
      <w:r w:rsidR="00FD087E" w:rsidRPr="00A030F7">
        <w:rPr>
          <w:noProof/>
        </w:rPr>
        <w:t xml:space="preserve">available free of charge, and they should be unequivocally identified through the European unique identifier (“EUID”). </w:t>
      </w:r>
      <w:r w:rsidR="00FD087E" w:rsidRPr="00A030F7" w:rsidDel="00756C6F">
        <w:rPr>
          <w:noProof/>
        </w:rPr>
        <w:t xml:space="preserve"> </w:t>
      </w:r>
    </w:p>
    <w:p w14:paraId="5A819E39" w14:textId="25408D21" w:rsidR="00E627A6" w:rsidRDefault="001969F8" w:rsidP="001969F8">
      <w:pPr>
        <w:pStyle w:val="Point0"/>
        <w:rPr>
          <w:noProof/>
        </w:rPr>
      </w:pPr>
      <w:r w:rsidRPr="001969F8">
        <w:t>(17)</w:t>
      </w:r>
      <w:r w:rsidRPr="001969F8">
        <w:tab/>
      </w:r>
      <w:r w:rsidR="00FD087E" w:rsidRPr="00A030F7">
        <w:rPr>
          <w:noProof/>
        </w:rPr>
        <w:t xml:space="preserve">Shareholders, potential investors, creditors, authorities, employees and civil society associations have a legitimate interest in having access to information related to the structure of the group to which a company belongs. Information about company groups is important to promote transparency and enhance trust in the business environment as well as to contribute to the effective detection of fraudulent </w:t>
      </w:r>
      <w:r w:rsidR="0074419A">
        <w:rPr>
          <w:noProof/>
        </w:rPr>
        <w:t xml:space="preserve">or </w:t>
      </w:r>
      <w:r w:rsidR="00FD087E" w:rsidRPr="00A030F7">
        <w:rPr>
          <w:noProof/>
        </w:rPr>
        <w:t>abusive schemes that could affect public revenues and the credibility of the single market. Therefore, information about group structure</w:t>
      </w:r>
      <w:r w:rsidR="008E7FD9">
        <w:rPr>
          <w:noProof/>
        </w:rPr>
        <w:t>s</w:t>
      </w:r>
      <w:r w:rsidR="00FD087E" w:rsidRPr="00A030F7">
        <w:rPr>
          <w:noProof/>
        </w:rPr>
        <w:t xml:space="preserve"> should be disclosed in business registers and through the system of interconnection of registers for both domestic and cross-border groups.</w:t>
      </w:r>
    </w:p>
    <w:p w14:paraId="399FE0E0" w14:textId="2199D301" w:rsidR="00D9615B" w:rsidRDefault="001969F8" w:rsidP="001969F8">
      <w:pPr>
        <w:pStyle w:val="Point0"/>
        <w:rPr>
          <w:noProof/>
        </w:rPr>
      </w:pPr>
      <w:r w:rsidRPr="001969F8">
        <w:t>(18)</w:t>
      </w:r>
      <w:r w:rsidRPr="001969F8">
        <w:tab/>
      </w:r>
      <w:r w:rsidR="00D9615B">
        <w:rPr>
          <w:noProof/>
        </w:rPr>
        <w:t>U</w:t>
      </w:r>
      <w:r w:rsidR="00D9615B" w:rsidRPr="00A030F7">
        <w:rPr>
          <w:noProof/>
        </w:rPr>
        <w:t xml:space="preserve">ltimate parent companies </w:t>
      </w:r>
      <w:r w:rsidR="00D9615B">
        <w:rPr>
          <w:noProof/>
        </w:rPr>
        <w:t xml:space="preserve">governed by the law of a Member State </w:t>
      </w:r>
      <w:r w:rsidR="00D9615B" w:rsidRPr="00A030F7">
        <w:rPr>
          <w:noProof/>
        </w:rPr>
        <w:t xml:space="preserve">should disclose to their national registers basic information about all their subsidiary companies as they are in the best position to provide such information. </w:t>
      </w:r>
      <w:r w:rsidR="00D9615B">
        <w:rPr>
          <w:noProof/>
        </w:rPr>
        <w:t>Where</w:t>
      </w:r>
      <w:r w:rsidR="00D9615B" w:rsidRPr="00A030F7">
        <w:rPr>
          <w:noProof/>
        </w:rPr>
        <w:t xml:space="preserve"> the ultimate parent company is governed by the law of a third country, this disclosure obligation should be met by the subsidiary company </w:t>
      </w:r>
      <w:r w:rsidR="00D9615B">
        <w:rPr>
          <w:noProof/>
        </w:rPr>
        <w:t xml:space="preserve">closest to the ultimate parent company </w:t>
      </w:r>
      <w:r w:rsidR="00D9615B" w:rsidRPr="00A030F7">
        <w:rPr>
          <w:noProof/>
        </w:rPr>
        <w:t xml:space="preserve">in the chain of control </w:t>
      </w:r>
      <w:r w:rsidR="00D9615B">
        <w:rPr>
          <w:noProof/>
        </w:rPr>
        <w:t xml:space="preserve">but </w:t>
      </w:r>
      <w:r w:rsidR="00D9615B" w:rsidRPr="00A030F7">
        <w:rPr>
          <w:noProof/>
        </w:rPr>
        <w:t>established in the Union</w:t>
      </w:r>
      <w:r w:rsidR="00D9615B">
        <w:rPr>
          <w:noProof/>
        </w:rPr>
        <w:t xml:space="preserve"> and governed by the law of a Member State</w:t>
      </w:r>
      <w:r w:rsidR="00D9615B" w:rsidRPr="0C9B23B2">
        <w:rPr>
          <w:noProof/>
        </w:rPr>
        <w:t xml:space="preserve">. </w:t>
      </w:r>
      <w:r w:rsidR="00D9615B">
        <w:rPr>
          <w:noProof/>
        </w:rPr>
        <w:t xml:space="preserve">Where </w:t>
      </w:r>
      <w:r w:rsidR="00AC6766">
        <w:rPr>
          <w:noProof/>
        </w:rPr>
        <w:t xml:space="preserve">such </w:t>
      </w:r>
      <w:r w:rsidR="00656432">
        <w:rPr>
          <w:noProof/>
        </w:rPr>
        <w:t>a</w:t>
      </w:r>
      <w:r w:rsidR="00AC6766" w:rsidRPr="00AC6766">
        <w:rPr>
          <w:noProof/>
        </w:rPr>
        <w:t xml:space="preserve"> </w:t>
      </w:r>
      <w:r w:rsidR="00AC6766" w:rsidRPr="00A030F7">
        <w:rPr>
          <w:noProof/>
        </w:rPr>
        <w:t>subsidiary company</w:t>
      </w:r>
      <w:r w:rsidR="00D9615B" w:rsidRPr="00A030F7">
        <w:rPr>
          <w:noProof/>
        </w:rPr>
        <w:t xml:space="preserve"> </w:t>
      </w:r>
      <w:r w:rsidR="00D9615B">
        <w:rPr>
          <w:noProof/>
        </w:rPr>
        <w:t>i</w:t>
      </w:r>
      <w:r w:rsidR="00D9615B" w:rsidRPr="00A030F7">
        <w:rPr>
          <w:noProof/>
        </w:rPr>
        <w:t>s an intermediate parent company</w:t>
      </w:r>
      <w:r w:rsidR="00D9615B" w:rsidRPr="0C9B23B2">
        <w:rPr>
          <w:noProof/>
        </w:rPr>
        <w:t xml:space="preserve">, </w:t>
      </w:r>
      <w:r w:rsidR="00D9615B">
        <w:rPr>
          <w:noProof/>
        </w:rPr>
        <w:t>this intermediate parent company should provide information about</w:t>
      </w:r>
      <w:r w:rsidR="00D9615B" w:rsidRPr="0C9B23B2">
        <w:rPr>
          <w:noProof/>
        </w:rPr>
        <w:t xml:space="preserve"> </w:t>
      </w:r>
      <w:r w:rsidR="00D9615B">
        <w:rPr>
          <w:noProof/>
        </w:rPr>
        <w:t>the entire group, i.e. the ultimate parent company and all its subsidiary companies</w:t>
      </w:r>
      <w:r w:rsidR="00D9615B" w:rsidRPr="0C9B23B2">
        <w:rPr>
          <w:noProof/>
        </w:rPr>
        <w:t xml:space="preserve">. </w:t>
      </w:r>
      <w:r w:rsidR="00AC6766">
        <w:rPr>
          <w:noProof/>
        </w:rPr>
        <w:t>Where</w:t>
      </w:r>
      <w:r w:rsidR="00D9615B">
        <w:rPr>
          <w:noProof/>
        </w:rPr>
        <w:t xml:space="preserve"> the group</w:t>
      </w:r>
      <w:r w:rsidR="00D9615B" w:rsidRPr="0C9B23B2">
        <w:rPr>
          <w:noProof/>
        </w:rPr>
        <w:t xml:space="preserve"> </w:t>
      </w:r>
      <w:r w:rsidR="00D9615B">
        <w:rPr>
          <w:noProof/>
        </w:rPr>
        <w:t>includes several intermediate parent companies</w:t>
      </w:r>
      <w:r w:rsidR="00D9615B" w:rsidRPr="0C9B23B2">
        <w:rPr>
          <w:noProof/>
        </w:rPr>
        <w:t xml:space="preserve"> </w:t>
      </w:r>
      <w:r w:rsidR="00D9615B">
        <w:rPr>
          <w:noProof/>
        </w:rPr>
        <w:t>established in the Union</w:t>
      </w:r>
      <w:r w:rsidR="00D9615B" w:rsidRPr="0C9B23B2">
        <w:rPr>
          <w:noProof/>
        </w:rPr>
        <w:t xml:space="preserve">, </w:t>
      </w:r>
      <w:r w:rsidR="00D9615B">
        <w:rPr>
          <w:noProof/>
        </w:rPr>
        <w:t xml:space="preserve">the </w:t>
      </w:r>
      <w:r w:rsidR="00D9615B" w:rsidRPr="00D40C2E">
        <w:rPr>
          <w:noProof/>
        </w:rPr>
        <w:t>group</w:t>
      </w:r>
      <w:r w:rsidR="00D9615B">
        <w:rPr>
          <w:noProof/>
        </w:rPr>
        <w:t xml:space="preserve"> should select which intermediate parent company sh</w:t>
      </w:r>
      <w:r w:rsidR="00D9615B" w:rsidRPr="00E627A6">
        <w:rPr>
          <w:noProof/>
        </w:rPr>
        <w:t xml:space="preserve">ould fulfil the disclosure requirement. </w:t>
      </w:r>
      <w:r w:rsidR="00D9615B">
        <w:rPr>
          <w:noProof/>
        </w:rPr>
        <w:t>Where</w:t>
      </w:r>
      <w:r w:rsidR="00D9615B" w:rsidRPr="001D5D8A">
        <w:rPr>
          <w:noProof/>
          <w:lang w:val="en-IE"/>
        </w:rPr>
        <w:t xml:space="preserve"> no intermediate parent company is governed by the law of a Member State, the group should select a subsidiary company governed by the law of a Member State to fulfil this disclosure requirement.</w:t>
      </w:r>
    </w:p>
    <w:p w14:paraId="4582C7FE" w14:textId="7971E637" w:rsidR="00D9615B" w:rsidRPr="00D9615B" w:rsidRDefault="001969F8" w:rsidP="001969F8">
      <w:pPr>
        <w:pStyle w:val="Point0"/>
        <w:rPr>
          <w:noProof/>
        </w:rPr>
      </w:pPr>
      <w:r w:rsidRPr="001969F8">
        <w:t>(19)</w:t>
      </w:r>
      <w:r w:rsidRPr="001969F8">
        <w:tab/>
      </w:r>
      <w:r w:rsidR="00D9615B" w:rsidRPr="00A030F7">
        <w:rPr>
          <w:noProof/>
        </w:rPr>
        <w:t xml:space="preserve">In order to provide enhanced transparency about the subsidiaries belonging to a group, the group information and in particular the information about </w:t>
      </w:r>
      <w:r w:rsidR="00D9615B" w:rsidRPr="00A030F7" w:rsidDel="0090673D">
        <w:rPr>
          <w:noProof/>
        </w:rPr>
        <w:t>the</w:t>
      </w:r>
      <w:r w:rsidR="00D9615B" w:rsidRPr="00A030F7">
        <w:rPr>
          <w:noProof/>
        </w:rPr>
        <w:t xml:space="preserve"> ultimate</w:t>
      </w:r>
      <w:r w:rsidR="00D9615B" w:rsidRPr="0C9B23B2">
        <w:rPr>
          <w:noProof/>
        </w:rPr>
        <w:t xml:space="preserve"> </w:t>
      </w:r>
      <w:r w:rsidR="00D9615B">
        <w:rPr>
          <w:noProof/>
        </w:rPr>
        <w:t>parent company and any</w:t>
      </w:r>
      <w:r w:rsidR="00D9615B" w:rsidRPr="0C9B23B2">
        <w:rPr>
          <w:noProof/>
        </w:rPr>
        <w:t xml:space="preserve"> </w:t>
      </w:r>
      <w:r w:rsidR="00D9615B" w:rsidRPr="00A030F7">
        <w:rPr>
          <w:noProof/>
        </w:rPr>
        <w:t>intermediate parent company</w:t>
      </w:r>
      <w:r w:rsidR="00D9615B">
        <w:rPr>
          <w:noProof/>
        </w:rPr>
        <w:t xml:space="preserve"> governed by the law of a Member State</w:t>
      </w:r>
      <w:r w:rsidR="00D9615B" w:rsidRPr="00A030F7">
        <w:rPr>
          <w:noProof/>
        </w:rPr>
        <w:t xml:space="preserve"> should also be available in the registers of the subsidiaries and</w:t>
      </w:r>
      <w:r w:rsidR="00D9615B" w:rsidRPr="0C9B23B2">
        <w:rPr>
          <w:noProof/>
        </w:rPr>
        <w:t>,</w:t>
      </w:r>
      <w:r w:rsidR="00D9615B" w:rsidRPr="00A030F7">
        <w:rPr>
          <w:noProof/>
        </w:rPr>
        <w:t xml:space="preserve"> to that end, should be shared with the registers of the </w:t>
      </w:r>
      <w:r w:rsidR="00D9615B" w:rsidRPr="00D9615B">
        <w:rPr>
          <w:noProof/>
        </w:rPr>
        <w:t xml:space="preserve">subsidiary companies through the system of the interconnection of registers. In addition, Member States where business registers are based on a decentralised structure may also decide to transfer the necessary information between national registers through the system of interconnection of registers. </w:t>
      </w:r>
    </w:p>
    <w:p w14:paraId="453F3437" w14:textId="5F69D088" w:rsidR="00D9615B" w:rsidRPr="00A030F7" w:rsidRDefault="001969F8" w:rsidP="001969F8">
      <w:pPr>
        <w:pStyle w:val="Point0"/>
        <w:rPr>
          <w:noProof/>
        </w:rPr>
      </w:pPr>
      <w:r w:rsidRPr="001969F8">
        <w:t>(20)</w:t>
      </w:r>
      <w:r w:rsidRPr="001969F8">
        <w:tab/>
      </w:r>
      <w:r w:rsidR="00D9615B" w:rsidRPr="00A030F7">
        <w:rPr>
          <w:noProof/>
        </w:rPr>
        <w:t xml:space="preserve">In order to avoid unnecessary burden, the obligation to update the group information, at least once per year, should be on the ultimate </w:t>
      </w:r>
      <w:r w:rsidR="00D9615B">
        <w:rPr>
          <w:noProof/>
        </w:rPr>
        <w:t xml:space="preserve">parent </w:t>
      </w:r>
      <w:r w:rsidR="00D9615B" w:rsidRPr="00A030F7">
        <w:rPr>
          <w:noProof/>
        </w:rPr>
        <w:t>or</w:t>
      </w:r>
      <w:r w:rsidR="00D9615B" w:rsidRPr="0C9B23B2">
        <w:rPr>
          <w:noProof/>
        </w:rPr>
        <w:t xml:space="preserve">, </w:t>
      </w:r>
      <w:r w:rsidR="00D9615B">
        <w:rPr>
          <w:noProof/>
        </w:rPr>
        <w:t>where applicable</w:t>
      </w:r>
      <w:r w:rsidR="00D9615B" w:rsidRPr="0C9B23B2">
        <w:rPr>
          <w:noProof/>
        </w:rPr>
        <w:t xml:space="preserve">, </w:t>
      </w:r>
      <w:r w:rsidR="00D9615B">
        <w:rPr>
          <w:noProof/>
        </w:rPr>
        <w:t>on</w:t>
      </w:r>
      <w:r w:rsidR="00D9615B" w:rsidRPr="0C9B23B2">
        <w:rPr>
          <w:noProof/>
        </w:rPr>
        <w:t xml:space="preserve"> </w:t>
      </w:r>
      <w:r w:rsidR="00D9615B" w:rsidRPr="00A030F7">
        <w:rPr>
          <w:noProof/>
        </w:rPr>
        <w:t>the intermediate parent</w:t>
      </w:r>
      <w:r w:rsidR="00D9615B" w:rsidRPr="0C9B23B2">
        <w:rPr>
          <w:noProof/>
        </w:rPr>
        <w:t xml:space="preserve"> </w:t>
      </w:r>
      <w:r w:rsidR="00D9615B" w:rsidDel="005C0310">
        <w:rPr>
          <w:noProof/>
        </w:rPr>
        <w:t xml:space="preserve">or </w:t>
      </w:r>
      <w:r w:rsidR="00AC6766">
        <w:rPr>
          <w:noProof/>
        </w:rPr>
        <w:t xml:space="preserve">on </w:t>
      </w:r>
      <w:r w:rsidR="00D9615B">
        <w:rPr>
          <w:noProof/>
        </w:rPr>
        <w:t>the subsidiary</w:t>
      </w:r>
      <w:r w:rsidR="00D9615B" w:rsidRPr="00A030F7">
        <w:rPr>
          <w:noProof/>
        </w:rPr>
        <w:t xml:space="preserve"> company</w:t>
      </w:r>
      <w:r w:rsidR="00D9615B">
        <w:rPr>
          <w:noProof/>
        </w:rPr>
        <w:t xml:space="preserve"> governed by the law of a Member State</w:t>
      </w:r>
      <w:r w:rsidR="00D9615B" w:rsidRPr="00A030F7">
        <w:rPr>
          <w:noProof/>
        </w:rPr>
        <w:t xml:space="preserve">. If no change </w:t>
      </w:r>
      <w:r w:rsidR="00D9615B">
        <w:rPr>
          <w:noProof/>
        </w:rPr>
        <w:t xml:space="preserve">has </w:t>
      </w:r>
      <w:r w:rsidR="00D9615B" w:rsidRPr="00A030F7">
        <w:rPr>
          <w:noProof/>
        </w:rPr>
        <w:t xml:space="preserve">occurred within a year, </w:t>
      </w:r>
      <w:r w:rsidR="00496E30">
        <w:rPr>
          <w:noProof/>
        </w:rPr>
        <w:t xml:space="preserve">such parent </w:t>
      </w:r>
      <w:r w:rsidR="00656432">
        <w:rPr>
          <w:noProof/>
        </w:rPr>
        <w:t xml:space="preserve">company </w:t>
      </w:r>
      <w:r w:rsidR="00496E30">
        <w:rPr>
          <w:noProof/>
        </w:rPr>
        <w:t xml:space="preserve">or </w:t>
      </w:r>
      <w:r w:rsidR="00656432">
        <w:rPr>
          <w:noProof/>
        </w:rPr>
        <w:t xml:space="preserve">subsidiary </w:t>
      </w:r>
      <w:r w:rsidR="00496E30">
        <w:rPr>
          <w:noProof/>
        </w:rPr>
        <w:t xml:space="preserve">company </w:t>
      </w:r>
      <w:r w:rsidR="00D9615B" w:rsidRPr="00A030F7">
        <w:rPr>
          <w:noProof/>
        </w:rPr>
        <w:t xml:space="preserve">should confirm this to </w:t>
      </w:r>
      <w:r w:rsidR="00D9615B">
        <w:rPr>
          <w:noProof/>
        </w:rPr>
        <w:t>its</w:t>
      </w:r>
      <w:r w:rsidR="00D9615B" w:rsidRPr="0C9B23B2">
        <w:rPr>
          <w:noProof/>
        </w:rPr>
        <w:t xml:space="preserve"> </w:t>
      </w:r>
      <w:r w:rsidR="00D9615B" w:rsidRPr="00A030F7">
        <w:rPr>
          <w:noProof/>
        </w:rPr>
        <w:t xml:space="preserve">register, which should record and make </w:t>
      </w:r>
      <w:r w:rsidR="00D9615B">
        <w:rPr>
          <w:noProof/>
        </w:rPr>
        <w:t>this information</w:t>
      </w:r>
      <w:r w:rsidR="00D9615B" w:rsidRPr="00A030F7">
        <w:rPr>
          <w:noProof/>
        </w:rPr>
        <w:t xml:space="preserve"> publicly available. </w:t>
      </w:r>
      <w:r w:rsidR="0077056D">
        <w:rPr>
          <w:noProof/>
        </w:rPr>
        <w:t>In addition, e</w:t>
      </w:r>
      <w:r w:rsidR="00D9615B" w:rsidRPr="00A030F7">
        <w:rPr>
          <w:noProof/>
        </w:rPr>
        <w:t xml:space="preserve">ach subsidiary company should be responsible </w:t>
      </w:r>
      <w:r w:rsidR="00D9615B">
        <w:rPr>
          <w:noProof/>
        </w:rPr>
        <w:t>for</w:t>
      </w:r>
      <w:r w:rsidR="00D9615B" w:rsidRPr="0C9B23B2">
        <w:rPr>
          <w:noProof/>
        </w:rPr>
        <w:t xml:space="preserve"> </w:t>
      </w:r>
      <w:r w:rsidR="00D9615B" w:rsidRPr="00A030F7">
        <w:rPr>
          <w:noProof/>
        </w:rPr>
        <w:t>keep</w:t>
      </w:r>
      <w:r w:rsidR="00D9615B">
        <w:rPr>
          <w:noProof/>
        </w:rPr>
        <w:t>ing</w:t>
      </w:r>
      <w:r w:rsidR="00D9615B" w:rsidRPr="0C9B23B2">
        <w:rPr>
          <w:noProof/>
        </w:rPr>
        <w:t xml:space="preserve"> </w:t>
      </w:r>
      <w:r w:rsidR="00D9615B">
        <w:rPr>
          <w:noProof/>
        </w:rPr>
        <w:t>the information</w:t>
      </w:r>
      <w:r w:rsidR="004E7E74">
        <w:rPr>
          <w:noProof/>
        </w:rPr>
        <w:t xml:space="preserve"> </w:t>
      </w:r>
      <w:r w:rsidR="00AD30FA">
        <w:rPr>
          <w:noProof/>
        </w:rPr>
        <w:t xml:space="preserve">related to its affiliation to the group </w:t>
      </w:r>
      <w:r w:rsidR="00D9615B">
        <w:rPr>
          <w:noProof/>
        </w:rPr>
        <w:t xml:space="preserve">in its register </w:t>
      </w:r>
      <w:r w:rsidR="00D9615B" w:rsidRPr="00A030F7">
        <w:rPr>
          <w:noProof/>
        </w:rPr>
        <w:t>up</w:t>
      </w:r>
      <w:r w:rsidR="00D9615B" w:rsidRPr="0C9B23B2">
        <w:rPr>
          <w:noProof/>
        </w:rPr>
        <w:t xml:space="preserve"> </w:t>
      </w:r>
      <w:r w:rsidR="00D9615B" w:rsidRPr="00A030F7">
        <w:rPr>
          <w:noProof/>
        </w:rPr>
        <w:t>to</w:t>
      </w:r>
      <w:r w:rsidR="00D9615B" w:rsidRPr="0C9B23B2">
        <w:rPr>
          <w:noProof/>
        </w:rPr>
        <w:t xml:space="preserve"> </w:t>
      </w:r>
      <w:r w:rsidR="00D9615B" w:rsidRPr="00A030F7">
        <w:rPr>
          <w:noProof/>
        </w:rPr>
        <w:t xml:space="preserve">date. In this regard, the ultimate </w:t>
      </w:r>
      <w:r w:rsidR="00D9615B">
        <w:rPr>
          <w:noProof/>
        </w:rPr>
        <w:t xml:space="preserve">parent </w:t>
      </w:r>
      <w:r w:rsidR="00D9615B" w:rsidRPr="00A030F7">
        <w:rPr>
          <w:noProof/>
        </w:rPr>
        <w:t>or</w:t>
      </w:r>
      <w:r w:rsidR="00D9615B" w:rsidRPr="0C9B23B2">
        <w:rPr>
          <w:noProof/>
        </w:rPr>
        <w:t xml:space="preserve">, </w:t>
      </w:r>
      <w:r w:rsidR="00D9615B">
        <w:rPr>
          <w:noProof/>
        </w:rPr>
        <w:t>where applicable</w:t>
      </w:r>
      <w:r w:rsidR="00D9615B" w:rsidRPr="0C9B23B2">
        <w:rPr>
          <w:noProof/>
        </w:rPr>
        <w:t xml:space="preserve">, </w:t>
      </w:r>
      <w:r w:rsidR="00D9615B" w:rsidRPr="00A030F7">
        <w:rPr>
          <w:noProof/>
        </w:rPr>
        <w:t>the</w:t>
      </w:r>
      <w:r w:rsidR="00D9615B" w:rsidRPr="0C9B23B2" w:rsidDel="00C9333C">
        <w:rPr>
          <w:noProof/>
        </w:rPr>
        <w:t xml:space="preserve"> </w:t>
      </w:r>
      <w:r w:rsidR="00D9615B" w:rsidRPr="00A030F7">
        <w:rPr>
          <w:noProof/>
        </w:rPr>
        <w:t xml:space="preserve">intermediate parent </w:t>
      </w:r>
      <w:r w:rsidR="00D9615B">
        <w:rPr>
          <w:noProof/>
        </w:rPr>
        <w:t>or the subsidiary</w:t>
      </w:r>
      <w:r w:rsidR="00D9615B" w:rsidRPr="0C9B23B2">
        <w:rPr>
          <w:noProof/>
        </w:rPr>
        <w:t xml:space="preserve"> </w:t>
      </w:r>
      <w:r w:rsidR="00D9615B" w:rsidRPr="00A030F7">
        <w:rPr>
          <w:noProof/>
        </w:rPr>
        <w:t xml:space="preserve">company </w:t>
      </w:r>
      <w:r w:rsidR="00D9615B">
        <w:rPr>
          <w:noProof/>
        </w:rPr>
        <w:t>governed by the law of a Member State</w:t>
      </w:r>
      <w:r w:rsidR="00D9615B" w:rsidRPr="0C9B23B2">
        <w:rPr>
          <w:noProof/>
        </w:rPr>
        <w:t xml:space="preserve"> </w:t>
      </w:r>
      <w:r w:rsidR="00D9615B" w:rsidRPr="00A030F7">
        <w:rPr>
          <w:noProof/>
        </w:rPr>
        <w:t xml:space="preserve">should provide any changes </w:t>
      </w:r>
      <w:r w:rsidR="00D9615B">
        <w:rPr>
          <w:noProof/>
        </w:rPr>
        <w:t>in</w:t>
      </w:r>
      <w:r w:rsidR="00D9615B" w:rsidRPr="0C9B23B2">
        <w:rPr>
          <w:noProof/>
        </w:rPr>
        <w:t xml:space="preserve"> </w:t>
      </w:r>
      <w:r w:rsidR="00D9615B">
        <w:rPr>
          <w:noProof/>
        </w:rPr>
        <w:t xml:space="preserve">the </w:t>
      </w:r>
      <w:r w:rsidR="00D9615B" w:rsidRPr="00A030F7">
        <w:rPr>
          <w:noProof/>
        </w:rPr>
        <w:t xml:space="preserve">group </w:t>
      </w:r>
      <w:r w:rsidR="00D9615B" w:rsidRPr="00A030F7" w:rsidDel="00FB3E58">
        <w:rPr>
          <w:noProof/>
        </w:rPr>
        <w:t xml:space="preserve">information </w:t>
      </w:r>
      <w:r w:rsidR="00D9615B" w:rsidRPr="00A030F7">
        <w:rPr>
          <w:noProof/>
        </w:rPr>
        <w:t xml:space="preserve">to the </w:t>
      </w:r>
      <w:r w:rsidR="00D9615B">
        <w:rPr>
          <w:noProof/>
        </w:rPr>
        <w:t xml:space="preserve">(other) </w:t>
      </w:r>
      <w:r w:rsidR="00D9615B" w:rsidRPr="00A030F7">
        <w:rPr>
          <w:noProof/>
        </w:rPr>
        <w:t>subsidiaries without delay in order for the subsidiaries to fulfil in time the obligation to keep the group</w:t>
      </w:r>
      <w:r w:rsidR="00D9615B" w:rsidRPr="0C9B23B2">
        <w:rPr>
          <w:noProof/>
        </w:rPr>
        <w:t>-</w:t>
      </w:r>
      <w:r w:rsidR="00D9615B" w:rsidRPr="00A030F7">
        <w:rPr>
          <w:noProof/>
        </w:rPr>
        <w:t>related information in their register</w:t>
      </w:r>
      <w:r w:rsidR="00D9615B">
        <w:rPr>
          <w:noProof/>
        </w:rPr>
        <w:t xml:space="preserve"> up to date</w:t>
      </w:r>
      <w:r w:rsidR="00D9615B" w:rsidRPr="0C9B23B2">
        <w:rPr>
          <w:noProof/>
        </w:rPr>
        <w:t xml:space="preserve">. </w:t>
      </w:r>
    </w:p>
    <w:p w14:paraId="24C2ECC3" w14:textId="4E564A36" w:rsidR="00D9615B" w:rsidRDefault="001969F8" w:rsidP="001969F8">
      <w:pPr>
        <w:pStyle w:val="Point0"/>
        <w:rPr>
          <w:noProof/>
        </w:rPr>
      </w:pPr>
      <w:r w:rsidRPr="001969F8">
        <w:t>(21)</w:t>
      </w:r>
      <w:r w:rsidRPr="001969F8">
        <w:tab/>
      </w:r>
      <w:r w:rsidR="00D9615B" w:rsidRPr="00A030F7">
        <w:rPr>
          <w:noProof/>
        </w:rPr>
        <w:t>Groups of companies may have complex structures. Therefore, a visualisation of the group structure based on the chain of control should be made available through the system of interconnection of registers to provide a comprehensive overview of the group and facilitate a better understanding of the group’s method of operation. This would be drawn up bas</w:t>
      </w:r>
      <w:r w:rsidR="00D9615B">
        <w:rPr>
          <w:noProof/>
        </w:rPr>
        <w:t>ed</w:t>
      </w:r>
      <w:r w:rsidR="00D9615B" w:rsidRPr="00A030F7">
        <w:rPr>
          <w:noProof/>
        </w:rPr>
        <w:t xml:space="preserve"> o</w:t>
      </w:r>
      <w:r w:rsidR="00D9615B">
        <w:rPr>
          <w:noProof/>
        </w:rPr>
        <w:t>n</w:t>
      </w:r>
      <w:r w:rsidR="00D9615B" w:rsidRPr="00A030F7">
        <w:rPr>
          <w:noProof/>
        </w:rPr>
        <w:t xml:space="preserve"> information about the position of each subsidiary in the group structure submitted by the ultimate or</w:t>
      </w:r>
      <w:r w:rsidR="00D9615B" w:rsidRPr="0C9B23B2">
        <w:rPr>
          <w:noProof/>
        </w:rPr>
        <w:t xml:space="preserve">, </w:t>
      </w:r>
      <w:r w:rsidR="00D9615B">
        <w:rPr>
          <w:noProof/>
        </w:rPr>
        <w:t>where applicable</w:t>
      </w:r>
      <w:r w:rsidR="00D9615B" w:rsidRPr="0C9B23B2">
        <w:rPr>
          <w:noProof/>
        </w:rPr>
        <w:t>,</w:t>
      </w:r>
      <w:r w:rsidR="00D9615B">
        <w:rPr>
          <w:noProof/>
        </w:rPr>
        <w:t xml:space="preserve"> the </w:t>
      </w:r>
      <w:r w:rsidR="00D9615B" w:rsidRPr="00A030F7">
        <w:rPr>
          <w:noProof/>
        </w:rPr>
        <w:t xml:space="preserve">intermediate parent </w:t>
      </w:r>
      <w:r w:rsidR="00D9615B">
        <w:rPr>
          <w:noProof/>
        </w:rPr>
        <w:t xml:space="preserve">or the subsidiary </w:t>
      </w:r>
      <w:r w:rsidR="00D9615B" w:rsidRPr="00A030F7">
        <w:rPr>
          <w:noProof/>
        </w:rPr>
        <w:t>company</w:t>
      </w:r>
      <w:r w:rsidR="00D9615B">
        <w:rPr>
          <w:noProof/>
        </w:rPr>
        <w:t xml:space="preserve"> governed by the law of a Member State</w:t>
      </w:r>
      <w:r w:rsidR="00D9615B" w:rsidRPr="0C9B23B2">
        <w:rPr>
          <w:noProof/>
        </w:rPr>
        <w:t xml:space="preserve">. </w:t>
      </w:r>
    </w:p>
    <w:p w14:paraId="6501B2F4" w14:textId="29416F44" w:rsidR="00026874" w:rsidRDefault="001969F8" w:rsidP="001969F8">
      <w:pPr>
        <w:pStyle w:val="Point0"/>
        <w:rPr>
          <w:noProof/>
        </w:rPr>
      </w:pPr>
      <w:r w:rsidRPr="001969F8">
        <w:t>(22)</w:t>
      </w:r>
      <w:r w:rsidRPr="001969F8">
        <w:tab/>
      </w:r>
      <w:r w:rsidR="00026874">
        <w:rPr>
          <w:noProof/>
        </w:rPr>
        <w:t xml:space="preserve">In addition </w:t>
      </w:r>
      <w:r w:rsidR="00026874" w:rsidRPr="00A030F7">
        <w:rPr>
          <w:noProof/>
        </w:rPr>
        <w:t>to common standards for checking company information before it is entered into the register, it is necessary to ensure that the information in the register is kept up</w:t>
      </w:r>
      <w:r w:rsidR="00C15CB3">
        <w:rPr>
          <w:noProof/>
        </w:rPr>
        <w:t xml:space="preserve"> </w:t>
      </w:r>
      <w:r w:rsidR="00026874" w:rsidRPr="00A030F7">
        <w:rPr>
          <w:noProof/>
        </w:rPr>
        <w:t>to</w:t>
      </w:r>
      <w:r w:rsidR="00C15CB3">
        <w:rPr>
          <w:noProof/>
        </w:rPr>
        <w:t xml:space="preserve"> </w:t>
      </w:r>
      <w:r w:rsidR="00026874" w:rsidRPr="00A030F7">
        <w:rPr>
          <w:noProof/>
        </w:rPr>
        <w:t>date.</w:t>
      </w:r>
      <w:r w:rsidR="00026874" w:rsidRPr="00026874">
        <w:rPr>
          <w:noProof/>
        </w:rPr>
        <w:t xml:space="preserve"> </w:t>
      </w:r>
      <w:r w:rsidR="00026874" w:rsidRPr="00A030F7">
        <w:rPr>
          <w:noProof/>
        </w:rPr>
        <w:t>The Financial Action Task Force recommendation 24</w:t>
      </w:r>
      <w:r w:rsidR="00026874">
        <w:rPr>
          <w:noProof/>
        </w:rPr>
        <w:t xml:space="preserve"> </w:t>
      </w:r>
      <w:r w:rsidR="003E76E7">
        <w:rPr>
          <w:noProof/>
        </w:rPr>
        <w:t>‘</w:t>
      </w:r>
      <w:r w:rsidR="00026874">
        <w:rPr>
          <w:noProof/>
        </w:rPr>
        <w:t>Transparency and beneficial ownership of legal persons</w:t>
      </w:r>
      <w:r w:rsidR="003E76E7">
        <w:rPr>
          <w:noProof/>
        </w:rPr>
        <w:t>’</w:t>
      </w:r>
      <w:r w:rsidR="00026874" w:rsidRPr="00A030F7">
        <w:rPr>
          <w:noProof/>
        </w:rPr>
        <w:t xml:space="preserve">, as revised in March 2022, includes requirements that company information in business registers </w:t>
      </w:r>
      <w:r w:rsidR="00C15CB3">
        <w:rPr>
          <w:noProof/>
        </w:rPr>
        <w:t>be</w:t>
      </w:r>
      <w:r w:rsidR="00026874" w:rsidRPr="00A030F7">
        <w:rPr>
          <w:noProof/>
        </w:rPr>
        <w:t xml:space="preserve"> kept accurate and up</w:t>
      </w:r>
      <w:r w:rsidR="00C15CB3">
        <w:rPr>
          <w:noProof/>
        </w:rPr>
        <w:t xml:space="preserve"> </w:t>
      </w:r>
      <w:r w:rsidR="00026874" w:rsidRPr="00A030F7">
        <w:rPr>
          <w:noProof/>
        </w:rPr>
        <w:t>to</w:t>
      </w:r>
      <w:r w:rsidR="00C15CB3">
        <w:rPr>
          <w:noProof/>
        </w:rPr>
        <w:t xml:space="preserve"> </w:t>
      </w:r>
      <w:r w:rsidR="00026874" w:rsidRPr="00A030F7">
        <w:rPr>
          <w:noProof/>
        </w:rPr>
        <w:t>date.</w:t>
      </w:r>
      <w:r w:rsidR="00A455C9">
        <w:rPr>
          <w:noProof/>
        </w:rPr>
        <w:t xml:space="preserve"> It is also in compan</w:t>
      </w:r>
      <w:r w:rsidR="00C15CB3">
        <w:rPr>
          <w:noProof/>
        </w:rPr>
        <w:t>ies</w:t>
      </w:r>
      <w:r w:rsidR="00A455C9">
        <w:rPr>
          <w:noProof/>
        </w:rPr>
        <w:t xml:space="preserve">’ interest to </w:t>
      </w:r>
      <w:r w:rsidR="00EF4114">
        <w:rPr>
          <w:noProof/>
        </w:rPr>
        <w:t xml:space="preserve">make sure that </w:t>
      </w:r>
      <w:r w:rsidR="00C15CB3">
        <w:rPr>
          <w:noProof/>
        </w:rPr>
        <w:t>their</w:t>
      </w:r>
      <w:r w:rsidR="00A455C9">
        <w:rPr>
          <w:noProof/>
        </w:rPr>
        <w:t xml:space="preserve"> information </w:t>
      </w:r>
      <w:r w:rsidR="00EF4114">
        <w:rPr>
          <w:noProof/>
        </w:rPr>
        <w:t xml:space="preserve">is updated in the register </w:t>
      </w:r>
      <w:r w:rsidR="008F1B13">
        <w:rPr>
          <w:noProof/>
        </w:rPr>
        <w:t>because</w:t>
      </w:r>
      <w:r w:rsidR="00EF4114">
        <w:rPr>
          <w:noProof/>
        </w:rPr>
        <w:t xml:space="preserve"> </w:t>
      </w:r>
      <w:r w:rsidR="00360F9E">
        <w:rPr>
          <w:noProof/>
        </w:rPr>
        <w:t>this information</w:t>
      </w:r>
      <w:r w:rsidR="003E76E7">
        <w:rPr>
          <w:noProof/>
        </w:rPr>
        <w:t>, including the</w:t>
      </w:r>
      <w:r w:rsidR="00360F9E">
        <w:rPr>
          <w:noProof/>
        </w:rPr>
        <w:t xml:space="preserve"> </w:t>
      </w:r>
      <w:r w:rsidR="003E76E7">
        <w:rPr>
          <w:noProof/>
        </w:rPr>
        <w:t>EU Company Certificate</w:t>
      </w:r>
      <w:r w:rsidR="001E503D">
        <w:rPr>
          <w:noProof/>
        </w:rPr>
        <w:t>,</w:t>
      </w:r>
      <w:r w:rsidR="003E76E7">
        <w:rPr>
          <w:noProof/>
        </w:rPr>
        <w:t xml:space="preserve"> can be relied on by third parties. </w:t>
      </w:r>
      <w:r w:rsidR="00026874" w:rsidRPr="00A030F7">
        <w:rPr>
          <w:noProof/>
        </w:rPr>
        <w:t>Therefore, companies should be required to disclose changes to company information without unnecessary delay and the registers should record and make available such changes in a timely manner. While the deadline for the publication of accounting documents is regulated by Directive 2013/34/EU</w:t>
      </w:r>
      <w:r w:rsidR="00026874">
        <w:rPr>
          <w:noProof/>
        </w:rPr>
        <w:t xml:space="preserve"> </w:t>
      </w:r>
      <w:r w:rsidR="00026874" w:rsidRPr="00E33E2B">
        <w:rPr>
          <w:noProof/>
        </w:rPr>
        <w:t>of the European Parliament and of the Council</w:t>
      </w:r>
      <w:r w:rsidR="00026874" w:rsidRPr="00EC6C35">
        <w:rPr>
          <w:rStyle w:val="FootnoteReference"/>
          <w:noProof/>
        </w:rPr>
        <w:footnoteReference w:id="56"/>
      </w:r>
      <w:r w:rsidR="00026874" w:rsidRPr="00A030F7">
        <w:rPr>
          <w:noProof/>
        </w:rPr>
        <w:t>, the registers should also make them publicly available without unnecessary delay. In addition, in order to further enhance the reliability of company data, companies should confirm once per calendar year that their information in the business register is up</w:t>
      </w:r>
      <w:r w:rsidR="00C15CB3">
        <w:rPr>
          <w:noProof/>
        </w:rPr>
        <w:t xml:space="preserve"> </w:t>
      </w:r>
      <w:r w:rsidR="00026874" w:rsidRPr="00A030F7">
        <w:rPr>
          <w:noProof/>
        </w:rPr>
        <w:t>to</w:t>
      </w:r>
      <w:r w:rsidR="00C15CB3">
        <w:rPr>
          <w:noProof/>
        </w:rPr>
        <w:t xml:space="preserve"> </w:t>
      </w:r>
      <w:r w:rsidR="00026874" w:rsidRPr="00A030F7">
        <w:rPr>
          <w:noProof/>
        </w:rPr>
        <w:t>date, including when no change occurred. Companies may do this together with the filing of other changes or when filing accounting documents.</w:t>
      </w:r>
    </w:p>
    <w:p w14:paraId="0D3B2ABD" w14:textId="31B5DF3A" w:rsidR="00FD087E" w:rsidRPr="00901684" w:rsidRDefault="001969F8" w:rsidP="001969F8">
      <w:pPr>
        <w:pStyle w:val="Point0"/>
        <w:rPr>
          <w:rFonts w:eastAsia="Calibri"/>
          <w:noProof/>
        </w:rPr>
      </w:pPr>
      <w:r w:rsidRPr="001969F8">
        <w:t>(23)</w:t>
      </w:r>
      <w:r w:rsidRPr="001969F8">
        <w:tab/>
      </w:r>
      <w:r w:rsidR="00901684" w:rsidRPr="005E528E">
        <w:rPr>
          <w:noProof/>
        </w:rPr>
        <w:t>In order to keep company information in registers updated, it is also important to identify companies which no longer fulfil</w:t>
      </w:r>
      <w:r w:rsidR="00901684" w:rsidRPr="005E528E">
        <w:rPr>
          <w:rFonts w:ascii="inherit" w:eastAsia="Calibri" w:hAnsi="inherit" w:cs="Calibri"/>
          <w:noProof/>
        </w:rPr>
        <w:t xml:space="preserve"> the requirements to continue to be registered</w:t>
      </w:r>
      <w:r w:rsidR="00901684" w:rsidRPr="00DC0FBA">
        <w:rPr>
          <w:rFonts w:ascii="inherit" w:eastAsia="Calibri" w:hAnsi="inherit" w:cs="Calibri"/>
          <w:noProof/>
        </w:rPr>
        <w:t xml:space="preserve"> </w:t>
      </w:r>
      <w:r w:rsidR="00901684" w:rsidRPr="005E528E">
        <w:rPr>
          <w:rFonts w:ascii="inherit" w:eastAsia="Calibri" w:hAnsi="inherit" w:cs="Calibri"/>
          <w:noProof/>
        </w:rPr>
        <w:t xml:space="preserve">in </w:t>
      </w:r>
      <w:r w:rsidR="002440B1">
        <w:rPr>
          <w:rFonts w:ascii="inherit" w:eastAsia="Calibri" w:hAnsi="inherit" w:cs="Calibri"/>
          <w:noProof/>
        </w:rPr>
        <w:t xml:space="preserve">the </w:t>
      </w:r>
      <w:r w:rsidR="00901684" w:rsidRPr="005E528E">
        <w:rPr>
          <w:rFonts w:ascii="inherit" w:eastAsia="Calibri" w:hAnsi="inherit" w:cs="Calibri"/>
          <w:noProof/>
        </w:rPr>
        <w:t>business register</w:t>
      </w:r>
      <w:r w:rsidR="00901684" w:rsidRPr="005E528E">
        <w:rPr>
          <w:noProof/>
        </w:rPr>
        <w:t xml:space="preserve">. </w:t>
      </w:r>
      <w:r w:rsidR="00901684" w:rsidRPr="005E528E">
        <w:rPr>
          <w:iCs/>
          <w:noProof/>
        </w:rPr>
        <w:t xml:space="preserve">Member States should have transparent procedures in place to verify, where doubts exists, the status of such companies. </w:t>
      </w:r>
      <w:r w:rsidR="00DB4644" w:rsidRPr="005E528E">
        <w:rPr>
          <w:iCs/>
          <w:noProof/>
        </w:rPr>
        <w:t xml:space="preserve">While companies may temporarily suspend their activity for valid reasons, it is important that their status in the business register is updated accordingly. </w:t>
      </w:r>
      <w:r w:rsidR="00901684" w:rsidRPr="005E528E">
        <w:rPr>
          <w:noProof/>
        </w:rPr>
        <w:t xml:space="preserve">For example, indicators could be the fact that a company does not </w:t>
      </w:r>
      <w:r w:rsidR="00901684" w:rsidRPr="005E528E">
        <w:rPr>
          <w:rFonts w:eastAsia="Calibri"/>
          <w:noProof/>
        </w:rPr>
        <w:t xml:space="preserve">have a </w:t>
      </w:r>
      <w:r w:rsidR="003D3B58">
        <w:rPr>
          <w:rFonts w:eastAsia="Calibri"/>
          <w:noProof/>
        </w:rPr>
        <w:t>functioning</w:t>
      </w:r>
      <w:r w:rsidR="00901684" w:rsidRPr="005E528E">
        <w:rPr>
          <w:rFonts w:eastAsia="Calibri"/>
          <w:noProof/>
        </w:rPr>
        <w:t xml:space="preserve"> board of directors as required by national law</w:t>
      </w:r>
      <w:r w:rsidR="005F4D92">
        <w:rPr>
          <w:rFonts w:eastAsia="Calibri"/>
          <w:noProof/>
        </w:rPr>
        <w:t>,</w:t>
      </w:r>
      <w:r w:rsidR="00901684" w:rsidRPr="005E528E">
        <w:rPr>
          <w:rFonts w:eastAsia="Calibri"/>
          <w:noProof/>
        </w:rPr>
        <w:t xml:space="preserve"> has not filed accounting documents</w:t>
      </w:r>
      <w:r w:rsidR="005F4D92">
        <w:rPr>
          <w:rFonts w:eastAsia="Calibri"/>
          <w:noProof/>
        </w:rPr>
        <w:t>,</w:t>
      </w:r>
      <w:r w:rsidR="00901684" w:rsidRPr="005E528E">
        <w:rPr>
          <w:rFonts w:eastAsia="Calibri"/>
          <w:noProof/>
        </w:rPr>
        <w:t xml:space="preserve"> or </w:t>
      </w:r>
      <w:r w:rsidR="00901684" w:rsidRPr="005E528E">
        <w:rPr>
          <w:noProof/>
        </w:rPr>
        <w:t>lack of any economic activity for some years</w:t>
      </w:r>
      <w:r w:rsidR="00901684" w:rsidRPr="005E528E">
        <w:rPr>
          <w:rFonts w:eastAsia="Calibri"/>
          <w:noProof/>
        </w:rPr>
        <w:t xml:space="preserve">. Similarly, the fact that a large number of companies are registered at the same address could indicate that some of these companies may have been set up for abusive purposes. </w:t>
      </w:r>
      <w:r w:rsidR="005F4D92">
        <w:rPr>
          <w:iCs/>
          <w:noProof/>
        </w:rPr>
        <w:t>Such</w:t>
      </w:r>
      <w:r w:rsidR="00901684" w:rsidRPr="005E528E">
        <w:rPr>
          <w:iCs/>
          <w:noProof/>
        </w:rPr>
        <w:t xml:space="preserve"> procedures should include the possibility for companies to </w:t>
      </w:r>
      <w:r w:rsidR="008E3C90">
        <w:rPr>
          <w:iCs/>
          <w:noProof/>
        </w:rPr>
        <w:t>explain their situation</w:t>
      </w:r>
      <w:r w:rsidR="00925AF5">
        <w:rPr>
          <w:iCs/>
          <w:noProof/>
        </w:rPr>
        <w:t xml:space="preserve"> and </w:t>
      </w:r>
      <w:r w:rsidR="008E3C90">
        <w:rPr>
          <w:iCs/>
          <w:noProof/>
        </w:rPr>
        <w:t xml:space="preserve">provide </w:t>
      </w:r>
      <w:r w:rsidR="00901684" w:rsidRPr="005E528E">
        <w:rPr>
          <w:iCs/>
          <w:noProof/>
        </w:rPr>
        <w:t>the necessary data</w:t>
      </w:r>
      <w:r w:rsidR="008E3C90">
        <w:rPr>
          <w:iCs/>
          <w:noProof/>
        </w:rPr>
        <w:t>,</w:t>
      </w:r>
      <w:r w:rsidR="00901684" w:rsidRPr="005E528E">
        <w:rPr>
          <w:iCs/>
          <w:noProof/>
        </w:rPr>
        <w:t xml:space="preserve"> within reasonable deadlines</w:t>
      </w:r>
      <w:r w:rsidR="008E3C90">
        <w:rPr>
          <w:iCs/>
          <w:noProof/>
        </w:rPr>
        <w:t>,</w:t>
      </w:r>
      <w:r w:rsidR="00901684" w:rsidRPr="005E528E">
        <w:rPr>
          <w:iCs/>
          <w:noProof/>
        </w:rPr>
        <w:t xml:space="preserve"> and should ensure that the status of the company, </w:t>
      </w:r>
      <w:r w:rsidR="008E3C90">
        <w:rPr>
          <w:iCs/>
          <w:noProof/>
        </w:rPr>
        <w:t>for example</w:t>
      </w:r>
      <w:r w:rsidR="00901684" w:rsidRPr="005E528E">
        <w:rPr>
          <w:iCs/>
          <w:noProof/>
        </w:rPr>
        <w:t xml:space="preserve"> whether it is closed, wound up, dissolved, economically active or inactive, is updated accordingly. The procedures should also include a possibility, as a last resort, to strike off a company from the register </w:t>
      </w:r>
      <w:r w:rsidR="00312CD5">
        <w:rPr>
          <w:iCs/>
          <w:noProof/>
        </w:rPr>
        <w:t xml:space="preserve">in accordance with the procedures set by </w:t>
      </w:r>
      <w:r w:rsidR="00901684" w:rsidRPr="005E528E">
        <w:rPr>
          <w:iCs/>
          <w:noProof/>
        </w:rPr>
        <w:t xml:space="preserve"> </w:t>
      </w:r>
      <w:r w:rsidR="00312CD5" w:rsidRPr="005E528E">
        <w:rPr>
          <w:iCs/>
          <w:noProof/>
        </w:rPr>
        <w:t>national</w:t>
      </w:r>
      <w:r w:rsidR="00901684" w:rsidRPr="005E528E">
        <w:rPr>
          <w:iCs/>
          <w:noProof/>
        </w:rPr>
        <w:t xml:space="preserve"> law. Information about these procedures should be publicly available in accordance with this Directive. </w:t>
      </w:r>
      <w:r w:rsidR="008228B1">
        <w:rPr>
          <w:iCs/>
          <w:noProof/>
        </w:rPr>
        <w:t xml:space="preserve"> </w:t>
      </w:r>
    </w:p>
    <w:p w14:paraId="31E33DF2" w14:textId="394546B2" w:rsidR="00FD087E" w:rsidRPr="00A030F7" w:rsidRDefault="001969F8" w:rsidP="001969F8">
      <w:pPr>
        <w:pStyle w:val="Point0"/>
        <w:rPr>
          <w:noProof/>
        </w:rPr>
      </w:pPr>
      <w:r w:rsidRPr="001969F8">
        <w:t>(24)</w:t>
      </w:r>
      <w:r w:rsidRPr="001969F8">
        <w:tab/>
      </w:r>
      <w:r w:rsidR="00FD087E" w:rsidRPr="00A030F7">
        <w:rPr>
          <w:noProof/>
        </w:rPr>
        <w:t>In the single market, companies should be able to prove that their company is legally incorporated in a Member State through simple and reliable means, which are recognised cross-border by other Member Stat</w:t>
      </w:r>
      <w:r w:rsidR="00901684">
        <w:rPr>
          <w:noProof/>
        </w:rPr>
        <w:t>es. Therefore, a harmonised EU Company C</w:t>
      </w:r>
      <w:r w:rsidR="00FD087E" w:rsidRPr="00A030F7">
        <w:rPr>
          <w:noProof/>
        </w:rPr>
        <w:t xml:space="preserve">ertificate should be established. Companies </w:t>
      </w:r>
      <w:r w:rsidR="00132462">
        <w:rPr>
          <w:noProof/>
        </w:rPr>
        <w:t xml:space="preserve">could </w:t>
      </w:r>
      <w:r w:rsidR="00FD087E" w:rsidRPr="00A030F7">
        <w:rPr>
          <w:noProof/>
        </w:rPr>
        <w:t>apply for such</w:t>
      </w:r>
      <w:r w:rsidR="00901684">
        <w:rPr>
          <w:noProof/>
        </w:rPr>
        <w:t xml:space="preserve"> an EU Company C</w:t>
      </w:r>
      <w:r w:rsidR="00FD087E" w:rsidRPr="00A030F7">
        <w:rPr>
          <w:noProof/>
        </w:rPr>
        <w:t>ertificate to use it for different purposes, including for administrative procedures</w:t>
      </w:r>
      <w:r w:rsidR="00D470F9" w:rsidRPr="00D470F9">
        <w:rPr>
          <w:noProof/>
        </w:rPr>
        <w:t xml:space="preserve"> </w:t>
      </w:r>
      <w:r w:rsidR="00D470F9">
        <w:rPr>
          <w:noProof/>
        </w:rPr>
        <w:t xml:space="preserve">before national authorities </w:t>
      </w:r>
      <w:r w:rsidR="00FD087E" w:rsidRPr="00A030F7">
        <w:rPr>
          <w:noProof/>
        </w:rPr>
        <w:t>and court proceedings i</w:t>
      </w:r>
      <w:r w:rsidR="00901684">
        <w:rPr>
          <w:noProof/>
        </w:rPr>
        <w:t>n other Member States</w:t>
      </w:r>
      <w:r w:rsidR="00084193">
        <w:rPr>
          <w:noProof/>
        </w:rPr>
        <w:t xml:space="preserve"> or before EU institutions and bodies</w:t>
      </w:r>
      <w:r w:rsidR="00901684">
        <w:rPr>
          <w:noProof/>
        </w:rPr>
        <w:t>. Such EU Company C</w:t>
      </w:r>
      <w:r w:rsidR="00FD087E" w:rsidRPr="00A030F7">
        <w:rPr>
          <w:noProof/>
        </w:rPr>
        <w:t>ertificate should be issued and certified by the national business registers, should include essential company information used by companies in cross-border situations, including the company name, its registered office and legal representatives, and should be available in all official l</w:t>
      </w:r>
      <w:r w:rsidR="00901684">
        <w:rPr>
          <w:noProof/>
        </w:rPr>
        <w:t xml:space="preserve">anguages of the Union. </w:t>
      </w:r>
      <w:r w:rsidR="008B60E9">
        <w:rPr>
          <w:noProof/>
        </w:rPr>
        <w:t xml:space="preserve">The electronic </w:t>
      </w:r>
      <w:r w:rsidR="008B60E9">
        <w:rPr>
          <w:noProof/>
          <w:szCs w:val="24"/>
        </w:rPr>
        <w:t>EU Company C</w:t>
      </w:r>
      <w:r w:rsidR="008B60E9" w:rsidRPr="00E53545">
        <w:rPr>
          <w:noProof/>
          <w:szCs w:val="24"/>
        </w:rPr>
        <w:t xml:space="preserve">ertificate </w:t>
      </w:r>
      <w:r w:rsidR="008B60E9" w:rsidRPr="00A030F7">
        <w:rPr>
          <w:noProof/>
        </w:rPr>
        <w:t xml:space="preserve">should be </w:t>
      </w:r>
      <w:r w:rsidR="008B60E9">
        <w:rPr>
          <w:noProof/>
        </w:rPr>
        <w:t>authenticated</w:t>
      </w:r>
      <w:r w:rsidR="008B60E9" w:rsidRPr="00A030F7">
        <w:rPr>
          <w:noProof/>
        </w:rPr>
        <w:t xml:space="preserve"> by using trust services as referred to in Regulation (EU) No 910/2014</w:t>
      </w:r>
      <w:r w:rsidR="003C05D5" w:rsidRPr="00EC6C35">
        <w:rPr>
          <w:rStyle w:val="FootnoteReference"/>
          <w:noProof/>
        </w:rPr>
        <w:footnoteReference w:id="57"/>
      </w:r>
      <w:r w:rsidR="0066528C">
        <w:rPr>
          <w:noProof/>
          <w:szCs w:val="24"/>
        </w:rPr>
        <w:t>.</w:t>
      </w:r>
      <w:r w:rsidR="0066528C">
        <w:rPr>
          <w:noProof/>
        </w:rPr>
        <w:t xml:space="preserve"> </w:t>
      </w:r>
      <w:r w:rsidR="00901684">
        <w:rPr>
          <w:noProof/>
        </w:rPr>
        <w:t>This EU Company C</w:t>
      </w:r>
      <w:r w:rsidR="00FD087E" w:rsidRPr="00A030F7">
        <w:rPr>
          <w:noProof/>
        </w:rPr>
        <w:t>ertificate would also be accessible to third parties</w:t>
      </w:r>
      <w:r w:rsidR="00FD2748">
        <w:rPr>
          <w:noProof/>
        </w:rPr>
        <w:t>,</w:t>
      </w:r>
      <w:r w:rsidR="00FD087E" w:rsidRPr="00A030F7">
        <w:rPr>
          <w:noProof/>
        </w:rPr>
        <w:t xml:space="preserve"> including authorities, which need reliable essential information about companies. While Member States should be allowed to ch</w:t>
      </w:r>
      <w:r w:rsidR="00901684">
        <w:rPr>
          <w:noProof/>
        </w:rPr>
        <w:t>arge a fee for obtaining an EU Company C</w:t>
      </w:r>
      <w:r w:rsidR="00FD087E" w:rsidRPr="00A030F7">
        <w:rPr>
          <w:noProof/>
        </w:rPr>
        <w:t xml:space="preserve">ertificate, registers should be </w:t>
      </w:r>
      <w:r w:rsidR="00FD2748">
        <w:rPr>
          <w:noProof/>
        </w:rPr>
        <w:t>required</w:t>
      </w:r>
      <w:r w:rsidR="00FD2748" w:rsidRPr="00A030F7">
        <w:rPr>
          <w:noProof/>
        </w:rPr>
        <w:t xml:space="preserve"> </w:t>
      </w:r>
      <w:r w:rsidR="00FD087E" w:rsidRPr="00A030F7">
        <w:rPr>
          <w:noProof/>
        </w:rPr>
        <w:t xml:space="preserve">to provide, upon request, each company registered </w:t>
      </w:r>
      <w:r w:rsidR="00901684">
        <w:rPr>
          <w:noProof/>
        </w:rPr>
        <w:t xml:space="preserve">in that register with </w:t>
      </w:r>
      <w:r w:rsidR="00E7790C">
        <w:rPr>
          <w:noProof/>
        </w:rPr>
        <w:t xml:space="preserve">its own </w:t>
      </w:r>
      <w:r w:rsidR="00901684">
        <w:rPr>
          <w:noProof/>
        </w:rPr>
        <w:t>EU Company C</w:t>
      </w:r>
      <w:r w:rsidR="00FD087E" w:rsidRPr="00A030F7">
        <w:rPr>
          <w:noProof/>
        </w:rPr>
        <w:t xml:space="preserve">ertificate free of charge at least once a year. Registers and authorities in other Member States should accept </w:t>
      </w:r>
      <w:r w:rsidR="00E7790C">
        <w:rPr>
          <w:noProof/>
        </w:rPr>
        <w:t xml:space="preserve">an EU Company </w:t>
      </w:r>
      <w:r w:rsidR="008F1B13">
        <w:rPr>
          <w:noProof/>
        </w:rPr>
        <w:t>C</w:t>
      </w:r>
      <w:r w:rsidR="00E7790C">
        <w:rPr>
          <w:noProof/>
        </w:rPr>
        <w:t>ertificate</w:t>
      </w:r>
      <w:r w:rsidR="00E7790C" w:rsidRPr="00A030F7">
        <w:rPr>
          <w:noProof/>
        </w:rPr>
        <w:t xml:space="preserve"> </w:t>
      </w:r>
      <w:r w:rsidR="00C86E81">
        <w:rPr>
          <w:noProof/>
        </w:rPr>
        <w:t xml:space="preserve">in accordance with </w:t>
      </w:r>
      <w:r w:rsidR="00E7790C">
        <w:rPr>
          <w:noProof/>
        </w:rPr>
        <w:t>this Directive</w:t>
      </w:r>
      <w:r w:rsidR="00FD087E" w:rsidRPr="00A030F7">
        <w:rPr>
          <w:noProof/>
        </w:rPr>
        <w:t xml:space="preserve">. </w:t>
      </w:r>
    </w:p>
    <w:p w14:paraId="75CC49F9" w14:textId="7F74A75B" w:rsidR="00FD087E" w:rsidRPr="00A030F7" w:rsidRDefault="001969F8" w:rsidP="001969F8">
      <w:pPr>
        <w:pStyle w:val="Point0"/>
        <w:rPr>
          <w:noProof/>
        </w:rPr>
      </w:pPr>
      <w:r w:rsidRPr="001969F8">
        <w:t>(25)</w:t>
      </w:r>
      <w:r w:rsidRPr="001969F8">
        <w:tab/>
      </w:r>
      <w:r w:rsidR="00FD087E" w:rsidRPr="00A030F7">
        <w:rPr>
          <w:noProof/>
        </w:rPr>
        <w:t>In order to further facilitate cross-border procedures for companies and simplify and reduce formalities, such as apostille</w:t>
      </w:r>
      <w:r w:rsidR="00595837" w:rsidRPr="00595837">
        <w:rPr>
          <w:noProof/>
        </w:rPr>
        <w:t xml:space="preserve"> </w:t>
      </w:r>
      <w:r w:rsidR="00595837" w:rsidRPr="00A030F7">
        <w:rPr>
          <w:noProof/>
        </w:rPr>
        <w:t>or</w:t>
      </w:r>
      <w:r w:rsidR="00595837" w:rsidRPr="00595837">
        <w:rPr>
          <w:noProof/>
        </w:rPr>
        <w:t xml:space="preserve"> </w:t>
      </w:r>
      <w:r w:rsidR="00595837" w:rsidRPr="00A030F7">
        <w:rPr>
          <w:noProof/>
        </w:rPr>
        <w:t>translation</w:t>
      </w:r>
      <w:r w:rsidR="00FD087E" w:rsidRPr="00A030F7">
        <w:rPr>
          <w:noProof/>
        </w:rPr>
        <w:t>, a digital EU power of attorney should be established. The digital EU power of attorney w</w:t>
      </w:r>
      <w:r w:rsidR="003A6BE6">
        <w:rPr>
          <w:noProof/>
        </w:rPr>
        <w:t>ill</w:t>
      </w:r>
      <w:r w:rsidR="00FD087E" w:rsidRPr="00A030F7">
        <w:rPr>
          <w:noProof/>
        </w:rPr>
        <w:t xml:space="preserve"> be a multilingual standard</w:t>
      </w:r>
      <w:r w:rsidR="00C411CE" w:rsidRPr="00A030F7">
        <w:rPr>
          <w:noProof/>
        </w:rPr>
        <w:t xml:space="preserve"> model</w:t>
      </w:r>
      <w:r w:rsidR="00901684" w:rsidRPr="005442FD">
        <w:rPr>
          <w:iCs/>
          <w:noProof/>
          <w:color w:val="000000" w:themeColor="text1"/>
          <w:szCs w:val="24"/>
          <w:lang w:val="en-IE"/>
        </w:rPr>
        <w:t xml:space="preserve"> based on a common European template</w:t>
      </w:r>
      <w:r w:rsidR="009A604B" w:rsidRPr="005442FD">
        <w:rPr>
          <w:iCs/>
          <w:noProof/>
          <w:color w:val="000000" w:themeColor="text1"/>
          <w:szCs w:val="24"/>
          <w:lang w:val="en-IE"/>
        </w:rPr>
        <w:t xml:space="preserve"> which companies may choose to use in cross-border situations</w:t>
      </w:r>
      <w:r w:rsidR="00901684" w:rsidRPr="005442FD">
        <w:rPr>
          <w:iCs/>
          <w:noProof/>
          <w:color w:val="000000" w:themeColor="text1"/>
          <w:szCs w:val="24"/>
          <w:lang w:val="en-IE"/>
        </w:rPr>
        <w:t>. It should have a minimum mandatory content</w:t>
      </w:r>
      <w:r w:rsidR="00901684">
        <w:rPr>
          <w:noProof/>
        </w:rPr>
        <w:t>, while it</w:t>
      </w:r>
      <w:r w:rsidR="00FD087E" w:rsidRPr="00A030F7">
        <w:rPr>
          <w:noProof/>
        </w:rPr>
        <w:t xml:space="preserve"> would be drawn up in accordance with</w:t>
      </w:r>
      <w:r w:rsidR="00901684" w:rsidRPr="005442FD">
        <w:rPr>
          <w:iCs/>
          <w:noProof/>
          <w:color w:val="000000" w:themeColor="text1"/>
          <w:szCs w:val="24"/>
          <w:lang w:val="en-IE"/>
        </w:rPr>
        <w:t xml:space="preserve"> national legal and formal requirements</w:t>
      </w:r>
      <w:r w:rsidR="00FD087E" w:rsidRPr="00A030F7">
        <w:rPr>
          <w:noProof/>
        </w:rPr>
        <w:t xml:space="preserve">. The standard digital EU power of attorney would only exist in digital form and it should be </w:t>
      </w:r>
      <w:r w:rsidR="002A2194">
        <w:rPr>
          <w:noProof/>
        </w:rPr>
        <w:t>authenticated</w:t>
      </w:r>
      <w:r w:rsidR="002A2194" w:rsidRPr="00A030F7">
        <w:rPr>
          <w:noProof/>
        </w:rPr>
        <w:t xml:space="preserve"> </w:t>
      </w:r>
      <w:r w:rsidR="00FD087E" w:rsidRPr="00A030F7">
        <w:rPr>
          <w:noProof/>
        </w:rPr>
        <w:t xml:space="preserve">by using trust services as referred to in Regulation (EU) No 910/2014. In addition, in order to contribute to higher security of transactions, the digital EU power of attorney should be filed in the register of the company where third parties </w:t>
      </w:r>
      <w:r w:rsidR="00E7790C">
        <w:rPr>
          <w:noProof/>
        </w:rPr>
        <w:t>that</w:t>
      </w:r>
      <w:r w:rsidR="00E7790C" w:rsidRPr="00A030F7">
        <w:rPr>
          <w:noProof/>
        </w:rPr>
        <w:t xml:space="preserve"> </w:t>
      </w:r>
      <w:r w:rsidR="00FD087E" w:rsidRPr="00A030F7">
        <w:rPr>
          <w:noProof/>
        </w:rPr>
        <w:t>can demonstrate legitimate interest can consult it. In particular, third parties, such as lawyers, notaries, credit and financial institutions or competent authorities to whom the digital EU power of attorney is presented</w:t>
      </w:r>
      <w:r w:rsidR="007D7250">
        <w:rPr>
          <w:noProof/>
        </w:rPr>
        <w:t>,</w:t>
      </w:r>
      <w:r w:rsidR="00FD087E" w:rsidRPr="00A030F7">
        <w:rPr>
          <w:noProof/>
        </w:rPr>
        <w:t xml:space="preserve"> could thus verify the existence of these powers in the register of the company. Member States may also require that the digital EU power of attorney is filed, in addition, in another register in</w:t>
      </w:r>
      <w:r w:rsidR="005442FD">
        <w:rPr>
          <w:noProof/>
        </w:rPr>
        <w:t xml:space="preserve"> accordance with national law. </w:t>
      </w:r>
      <w:r w:rsidR="00FD087E" w:rsidRPr="00A030F7">
        <w:rPr>
          <w:noProof/>
        </w:rPr>
        <w:t>In order to overcome language barriers and facilitate the</w:t>
      </w:r>
      <w:r w:rsidR="00901684">
        <w:rPr>
          <w:noProof/>
        </w:rPr>
        <w:t xml:space="preserve">ir use, the template for an EU Company Certificate </w:t>
      </w:r>
      <w:r w:rsidR="00FD087E" w:rsidRPr="00A030F7">
        <w:rPr>
          <w:noProof/>
        </w:rPr>
        <w:t xml:space="preserve">and a standard model of the digital EU power of attorney </w:t>
      </w:r>
      <w:r w:rsidR="002C5E41">
        <w:rPr>
          <w:noProof/>
        </w:rPr>
        <w:t>should</w:t>
      </w:r>
      <w:r w:rsidR="00FD087E" w:rsidRPr="00A030F7">
        <w:rPr>
          <w:noProof/>
        </w:rPr>
        <w:t xml:space="preserve"> be available on the E-justice portal in all </w:t>
      </w:r>
      <w:r w:rsidR="00B11D58">
        <w:rPr>
          <w:noProof/>
        </w:rPr>
        <w:t>Union</w:t>
      </w:r>
      <w:r w:rsidR="00FD087E" w:rsidRPr="00A030F7">
        <w:rPr>
          <w:noProof/>
        </w:rPr>
        <w:t xml:space="preserve"> languages. </w:t>
      </w:r>
    </w:p>
    <w:p w14:paraId="393EC63A" w14:textId="0DF808C2" w:rsidR="00FD087E" w:rsidRPr="00A030F7" w:rsidRDefault="001969F8" w:rsidP="001969F8">
      <w:pPr>
        <w:pStyle w:val="Point0"/>
        <w:rPr>
          <w:noProof/>
        </w:rPr>
      </w:pPr>
      <w:r w:rsidRPr="001969F8">
        <w:t>(26)</w:t>
      </w:r>
      <w:r w:rsidRPr="001969F8">
        <w:tab/>
      </w:r>
      <w:r w:rsidR="00FD087E" w:rsidRPr="00A030F7">
        <w:rPr>
          <w:noProof/>
        </w:rPr>
        <w:t xml:space="preserve">Companies often face difficulties and administrative barriers to use company information, which is already available in their national business register, in cross-border situations, including when dealing with competent authorities or in court proceedings in another Member State. The company data available in the business register of one Member State is often not accepted in another Member State without burdensome formalities </w:t>
      </w:r>
      <w:r w:rsidR="002C5E41">
        <w:rPr>
          <w:noProof/>
        </w:rPr>
        <w:t xml:space="preserve">that </w:t>
      </w:r>
      <w:r w:rsidR="00FD087E" w:rsidRPr="00A030F7">
        <w:rPr>
          <w:noProof/>
        </w:rPr>
        <w:t>generat</w:t>
      </w:r>
      <w:r w:rsidR="002C5E41">
        <w:rPr>
          <w:noProof/>
        </w:rPr>
        <w:t>e</w:t>
      </w:r>
      <w:r w:rsidR="00FD087E" w:rsidRPr="00A030F7">
        <w:rPr>
          <w:noProof/>
        </w:rPr>
        <w:t xml:space="preserve"> costs and delays. Therefore, in order to facilitate cross-border activities in the single market, Member States should ensure that no legalisation or similar formality, such as apostille, be required in respect of certified copies of documents and information related to companies obtained from registers. The same approach should also </w:t>
      </w:r>
      <w:r w:rsidR="009E1E6B" w:rsidRPr="00A030F7">
        <w:rPr>
          <w:noProof/>
        </w:rPr>
        <w:t>be</w:t>
      </w:r>
      <w:r w:rsidR="009E1E6B">
        <w:rPr>
          <w:noProof/>
        </w:rPr>
        <w:t xml:space="preserve"> </w:t>
      </w:r>
      <w:r w:rsidR="00FD087E" w:rsidRPr="00A030F7">
        <w:rPr>
          <w:noProof/>
        </w:rPr>
        <w:t>applied for documents and information exchanged through the system of interconnection of registers (</w:t>
      </w:r>
      <w:r w:rsidR="00AC6766">
        <w:rPr>
          <w:noProof/>
        </w:rPr>
        <w:t>for example</w:t>
      </w:r>
      <w:r w:rsidR="00656432">
        <w:rPr>
          <w:noProof/>
        </w:rPr>
        <w:t>,</w:t>
      </w:r>
      <w:r w:rsidR="00AC6766">
        <w:rPr>
          <w:noProof/>
        </w:rPr>
        <w:t xml:space="preserve"> </w:t>
      </w:r>
      <w:r w:rsidR="00FD087E" w:rsidRPr="00A030F7">
        <w:rPr>
          <w:noProof/>
        </w:rPr>
        <w:t xml:space="preserve">pre-operation certificates) as well as for notarial acts or administrative documents in the context of the procedures </w:t>
      </w:r>
      <w:r w:rsidR="003041D0">
        <w:rPr>
          <w:noProof/>
        </w:rPr>
        <w:t>under</w:t>
      </w:r>
      <w:r w:rsidR="00FD087E" w:rsidRPr="00A030F7">
        <w:rPr>
          <w:noProof/>
        </w:rPr>
        <w:t xml:space="preserve"> this Directive which are used in cross-border context. Such procedures include the formation of companies and </w:t>
      </w:r>
      <w:r w:rsidR="009E1E6B">
        <w:rPr>
          <w:noProof/>
        </w:rPr>
        <w:t xml:space="preserve">the </w:t>
      </w:r>
      <w:r w:rsidR="00FD087E" w:rsidRPr="00A030F7">
        <w:rPr>
          <w:noProof/>
        </w:rPr>
        <w:t>registration of branches in another Member State, cross-border conversions, mergers and divisions.</w:t>
      </w:r>
    </w:p>
    <w:p w14:paraId="384760C9" w14:textId="7EAEAB8C" w:rsidR="00FD087E" w:rsidRDefault="001969F8" w:rsidP="001969F8">
      <w:pPr>
        <w:pStyle w:val="Point0"/>
        <w:rPr>
          <w:noProof/>
        </w:rPr>
      </w:pPr>
      <w:r w:rsidRPr="001969F8">
        <w:t>(27)</w:t>
      </w:r>
      <w:r w:rsidRPr="001969F8">
        <w:tab/>
      </w:r>
      <w:r w:rsidR="00FD087E" w:rsidRPr="00A030F7">
        <w:rPr>
          <w:noProof/>
        </w:rPr>
        <w:t>At the same time, in order to prevent fraud or forgery, it should be possible for the authorities of the Member State in which the company document or information is presented</w:t>
      </w:r>
      <w:r w:rsidR="002C5E41">
        <w:rPr>
          <w:noProof/>
        </w:rPr>
        <w:t xml:space="preserve">, where they </w:t>
      </w:r>
      <w:r w:rsidR="00FD087E" w:rsidRPr="00A030F7">
        <w:rPr>
          <w:noProof/>
        </w:rPr>
        <w:t xml:space="preserve">have a reasonable doubt as to its authenticity, to verify the document or information </w:t>
      </w:r>
      <w:r w:rsidR="009E1E6B">
        <w:rPr>
          <w:noProof/>
        </w:rPr>
        <w:t>via</w:t>
      </w:r>
      <w:r w:rsidR="00FD087E" w:rsidRPr="00A030F7">
        <w:rPr>
          <w:noProof/>
        </w:rPr>
        <w:t xml:space="preserve"> the issuing register or the register in its own Member State, which could exchange information about the authenticity of the document through the system of interconnection of registers. Such exchange of information should contribute to the mutual trust and cooperation between Member States within the single market. </w:t>
      </w:r>
    </w:p>
    <w:p w14:paraId="2558BDF6" w14:textId="1CE0FF4B" w:rsidR="009E6E0E" w:rsidRPr="00A030F7" w:rsidRDefault="001969F8" w:rsidP="001969F8">
      <w:pPr>
        <w:pStyle w:val="Point0"/>
        <w:rPr>
          <w:noProof/>
        </w:rPr>
      </w:pPr>
      <w:r w:rsidRPr="001969F8">
        <w:t>(28)</w:t>
      </w:r>
      <w:r w:rsidRPr="001969F8">
        <w:tab/>
      </w:r>
      <w:r w:rsidR="009E6E0E" w:rsidRPr="00A030F7">
        <w:rPr>
          <w:noProof/>
        </w:rPr>
        <w:t xml:space="preserve">The companies’ instruments of constitution are sometimes drawn up in two or more languages, one of them </w:t>
      </w:r>
      <w:r w:rsidR="009E6E0E">
        <w:rPr>
          <w:noProof/>
        </w:rPr>
        <w:t xml:space="preserve">often </w:t>
      </w:r>
      <w:r w:rsidR="009E6E0E" w:rsidRPr="00A030F7">
        <w:rPr>
          <w:noProof/>
        </w:rPr>
        <w:t>being an official Union language broadly understood by the largest possible number of cross-border users</w:t>
      </w:r>
      <w:r w:rsidR="009E6E0E">
        <w:rPr>
          <w:noProof/>
        </w:rPr>
        <w:t>. C</w:t>
      </w:r>
      <w:r w:rsidR="009E6E0E" w:rsidRPr="00A030F7">
        <w:rPr>
          <w:noProof/>
        </w:rPr>
        <w:t xml:space="preserve">ompanies </w:t>
      </w:r>
      <w:r w:rsidR="009E6E0E">
        <w:rPr>
          <w:noProof/>
        </w:rPr>
        <w:t xml:space="preserve">also </w:t>
      </w:r>
      <w:r w:rsidR="009E6E0E" w:rsidRPr="00A030F7">
        <w:rPr>
          <w:noProof/>
        </w:rPr>
        <w:t xml:space="preserve">often voluntarily publish a translation of their instrument of constitution into such a language on their websites. In addition, an increasing amount of company information contained in the instrument of constitution is separately available and easily identifiable with the assistance of multilingual labels through the system of interconnection of registers. Company information will also need to be stored in business registers in a machine-readable and searchable format or as structured data, in line with Directive (EU) 2019/1151, which will facilitate machine translation of such data. </w:t>
      </w:r>
      <w:r w:rsidR="009E6E0E">
        <w:rPr>
          <w:noProof/>
        </w:rPr>
        <w:t>These developments</w:t>
      </w:r>
      <w:r w:rsidR="009E6E0E" w:rsidRPr="00A030F7">
        <w:rPr>
          <w:noProof/>
        </w:rPr>
        <w:t xml:space="preserve"> make it easier to consult and use such company information in cross-border situations without the need for official translation. Therefore, </w:t>
      </w:r>
      <w:r w:rsidR="009E6E0E">
        <w:rPr>
          <w:noProof/>
        </w:rPr>
        <w:t>legal requirements for</w:t>
      </w:r>
      <w:r w:rsidR="009E6E0E" w:rsidRPr="00A030F7">
        <w:rPr>
          <w:noProof/>
        </w:rPr>
        <w:t xml:space="preserve"> certified translations of the instrument of constitution and</w:t>
      </w:r>
      <w:r w:rsidR="009E6E0E">
        <w:rPr>
          <w:noProof/>
        </w:rPr>
        <w:t>,</w:t>
      </w:r>
      <w:r w:rsidR="009E6E0E" w:rsidRPr="00A030F7">
        <w:rPr>
          <w:noProof/>
        </w:rPr>
        <w:t xml:space="preserve"> similarly, of other documents provided by the business register should be limited to what is strictly necessary and </w:t>
      </w:r>
      <w:r w:rsidR="009E6E0E">
        <w:rPr>
          <w:noProof/>
        </w:rPr>
        <w:t xml:space="preserve">their imposition </w:t>
      </w:r>
      <w:r w:rsidR="009E6E0E" w:rsidRPr="00A030F7">
        <w:rPr>
          <w:noProof/>
        </w:rPr>
        <w:t xml:space="preserve">should be allowed only in </w:t>
      </w:r>
      <w:r w:rsidR="009E6E0E">
        <w:rPr>
          <w:noProof/>
        </w:rPr>
        <w:t xml:space="preserve">specific </w:t>
      </w:r>
      <w:r w:rsidR="009E6E0E" w:rsidRPr="00A030F7">
        <w:rPr>
          <w:noProof/>
        </w:rPr>
        <w:t>cases such as where the</w:t>
      </w:r>
      <w:r w:rsidR="009E6E0E">
        <w:rPr>
          <w:noProof/>
        </w:rPr>
        <w:t>re is a requirement for</w:t>
      </w:r>
      <w:r w:rsidR="009E6E0E" w:rsidRPr="00A030F7">
        <w:rPr>
          <w:noProof/>
        </w:rPr>
        <w:t xml:space="preserve"> certified translations of the documents to be disclosed or whe</w:t>
      </w:r>
      <w:r w:rsidR="009E6E0E">
        <w:rPr>
          <w:noProof/>
        </w:rPr>
        <w:t>re</w:t>
      </w:r>
      <w:r w:rsidR="009E6E0E" w:rsidRPr="00A030F7">
        <w:rPr>
          <w:noProof/>
        </w:rPr>
        <w:t xml:space="preserve"> certified translation is required by other areas of law, such as in the conte</w:t>
      </w:r>
      <w:r w:rsidR="00EA4B8A">
        <w:rPr>
          <w:noProof/>
        </w:rPr>
        <w:t>x</w:t>
      </w:r>
      <w:r w:rsidR="009E6E0E" w:rsidRPr="00A030F7">
        <w:rPr>
          <w:noProof/>
        </w:rPr>
        <w:t xml:space="preserve">t of judicial proceedings.  </w:t>
      </w:r>
    </w:p>
    <w:p w14:paraId="587C5005" w14:textId="3E63FCAB" w:rsidR="008702AA" w:rsidRPr="008702AA" w:rsidRDefault="001969F8" w:rsidP="001969F8">
      <w:pPr>
        <w:pStyle w:val="Point0"/>
        <w:rPr>
          <w:noProof/>
        </w:rPr>
      </w:pPr>
      <w:r w:rsidRPr="001969F8">
        <w:t>(29)</w:t>
      </w:r>
      <w:r w:rsidRPr="001969F8">
        <w:tab/>
      </w:r>
      <w:r w:rsidR="00FD087E" w:rsidRPr="00A030F7">
        <w:rPr>
          <w:noProof/>
        </w:rPr>
        <w:t xml:space="preserve">In order to increase transparency, </w:t>
      </w:r>
      <w:r w:rsidR="00FD087E" w:rsidRPr="00A030F7" w:rsidDel="00604143">
        <w:rPr>
          <w:noProof/>
        </w:rPr>
        <w:t xml:space="preserve">facilitate access to company information and </w:t>
      </w:r>
      <w:r w:rsidR="00FD087E" w:rsidRPr="00A030F7">
        <w:rPr>
          <w:noProof/>
        </w:rPr>
        <w:t xml:space="preserve">create more connected public administrations on a cross-border basis in the single market, it is important to connect the already functioning </w:t>
      </w:r>
      <w:r w:rsidR="00AC6766">
        <w:rPr>
          <w:noProof/>
        </w:rPr>
        <w:t>Union</w:t>
      </w:r>
      <w:r w:rsidR="00AC6766" w:rsidRPr="00A030F7">
        <w:rPr>
          <w:noProof/>
        </w:rPr>
        <w:t xml:space="preserve"> </w:t>
      </w:r>
      <w:r w:rsidR="00FD087E" w:rsidRPr="00A030F7">
        <w:rPr>
          <w:noProof/>
        </w:rPr>
        <w:t xml:space="preserve">level systems of interconnection </w:t>
      </w:r>
      <w:r w:rsidR="009E1E6B">
        <w:rPr>
          <w:noProof/>
        </w:rPr>
        <w:t>that</w:t>
      </w:r>
      <w:r w:rsidR="00FD087E" w:rsidRPr="00A030F7">
        <w:rPr>
          <w:noProof/>
        </w:rPr>
        <w:t xml:space="preserve"> hold important information about companies. Therefore, the system of interconnection of registers</w:t>
      </w:r>
      <w:r w:rsidR="008702AA">
        <w:rPr>
          <w:noProof/>
        </w:rPr>
        <w:t xml:space="preserve"> (BRIS)</w:t>
      </w:r>
      <w:r w:rsidR="00FD087E" w:rsidRPr="00A030F7">
        <w:rPr>
          <w:noProof/>
        </w:rPr>
        <w:t xml:space="preserve"> should be connected with the EU Beneficial Ownership Registers Interconnection System (BORIS), established by Directive (EU) 2015/849</w:t>
      </w:r>
      <w:r w:rsidR="002C5E41" w:rsidRPr="00EC6C35">
        <w:rPr>
          <w:rStyle w:val="FootnoteReference"/>
          <w:noProof/>
        </w:rPr>
        <w:footnoteReference w:id="58"/>
      </w:r>
      <w:r w:rsidR="00FD087E" w:rsidRPr="00A030F7">
        <w:rPr>
          <w:noProof/>
        </w:rPr>
        <w:t xml:space="preserve"> as amended by Directive (EU) 2018/843</w:t>
      </w:r>
      <w:r w:rsidR="00FD087E" w:rsidRPr="00EC6C35">
        <w:rPr>
          <w:rStyle w:val="FootnoteReference"/>
          <w:noProof/>
        </w:rPr>
        <w:footnoteReference w:id="59"/>
      </w:r>
      <w:r w:rsidR="009E1E6B">
        <w:rPr>
          <w:noProof/>
        </w:rPr>
        <w:t>,</w:t>
      </w:r>
      <w:r w:rsidR="00FD087E" w:rsidRPr="00A030F7">
        <w:rPr>
          <w:noProof/>
        </w:rPr>
        <w:t xml:space="preserve"> which links national central registers containing information on the beneficial owners of companies and other legal entities, trusts and other types of legal arrangements, and </w:t>
      </w:r>
      <w:r w:rsidR="008702AA">
        <w:rPr>
          <w:noProof/>
        </w:rPr>
        <w:t xml:space="preserve">with </w:t>
      </w:r>
      <w:r w:rsidR="00FD087E" w:rsidRPr="00A030F7">
        <w:rPr>
          <w:noProof/>
        </w:rPr>
        <w:t>the EU Insolvency Registers Interconnection system (IRI) established in accordance with Regulation (EU) 2015/848</w:t>
      </w:r>
      <w:r w:rsidR="00FD087E" w:rsidRPr="00EC6C35">
        <w:rPr>
          <w:rStyle w:val="FootnoteReference"/>
          <w:noProof/>
        </w:rPr>
        <w:footnoteReference w:id="60"/>
      </w:r>
      <w:r w:rsidR="00FD087E" w:rsidRPr="00A030F7">
        <w:rPr>
          <w:noProof/>
        </w:rPr>
        <w:t>. The EUID should be used to link the information about a particular company across the</w:t>
      </w:r>
      <w:r w:rsidR="009E1E6B">
        <w:rPr>
          <w:noProof/>
        </w:rPr>
        <w:t>se</w:t>
      </w:r>
      <w:r w:rsidR="00FD087E" w:rsidRPr="00A030F7">
        <w:rPr>
          <w:noProof/>
        </w:rPr>
        <w:t xml:space="preserve"> systems. </w:t>
      </w:r>
      <w:r w:rsidR="00F705F9" w:rsidRPr="00A030F7">
        <w:rPr>
          <w:noProof/>
        </w:rPr>
        <w:t>However, such connection between the systems should not affect the rules and requirements regarding the access to information</w:t>
      </w:r>
      <w:r w:rsidR="00F705F9">
        <w:rPr>
          <w:noProof/>
        </w:rPr>
        <w:t xml:space="preserve"> </w:t>
      </w:r>
      <w:r w:rsidR="00F705F9" w:rsidRPr="00F705F9">
        <w:rPr>
          <w:noProof/>
          <w:szCs w:val="24"/>
        </w:rPr>
        <w:t>set out under the relevant frameworks establishing those registers and interconnections</w:t>
      </w:r>
      <w:r w:rsidR="00F705F9" w:rsidRPr="00A030F7">
        <w:rPr>
          <w:noProof/>
        </w:rPr>
        <w:t>.</w:t>
      </w:r>
      <w:r w:rsidR="00F705F9">
        <w:rPr>
          <w:noProof/>
        </w:rPr>
        <w:t xml:space="preserve"> </w:t>
      </w:r>
      <w:r w:rsidR="008702AA" w:rsidRPr="008702AA">
        <w:rPr>
          <w:noProof/>
        </w:rPr>
        <w:t xml:space="preserve">For example, this means that a user of BRIS should only be able to access BORIS if that user is entitled to access BORIS under its respective rules and requirements. </w:t>
      </w:r>
    </w:p>
    <w:p w14:paraId="3416BEDC" w14:textId="23102B90" w:rsidR="00FD087E" w:rsidRPr="00A030F7" w:rsidRDefault="001969F8" w:rsidP="001969F8">
      <w:pPr>
        <w:pStyle w:val="Point0"/>
        <w:rPr>
          <w:noProof/>
        </w:rPr>
      </w:pPr>
      <w:r w:rsidRPr="001969F8">
        <w:t>(30)</w:t>
      </w:r>
      <w:r w:rsidRPr="001969F8">
        <w:tab/>
      </w:r>
      <w:r w:rsidR="00FD087E" w:rsidRPr="00A030F7">
        <w:rPr>
          <w:noProof/>
        </w:rPr>
        <w:t xml:space="preserve">In order to help companies, and in particular SMEs, to expand their business activities cross-border more easily, the ‘once-only’ principle should be further developed in cases where companies register branches in another Member State. The information about the company registering the cross-border branch should be </w:t>
      </w:r>
      <w:r w:rsidR="00FD087E" w:rsidRPr="00A030F7" w:rsidDel="00B75140">
        <w:rPr>
          <w:noProof/>
        </w:rPr>
        <w:t xml:space="preserve">retrieved </w:t>
      </w:r>
      <w:r w:rsidR="00FD087E" w:rsidRPr="00A030F7">
        <w:rPr>
          <w:noProof/>
        </w:rPr>
        <w:t xml:space="preserve">electronically from the register of the company by the register of </w:t>
      </w:r>
      <w:r w:rsidR="00E503AE">
        <w:rPr>
          <w:noProof/>
        </w:rPr>
        <w:t>the</w:t>
      </w:r>
      <w:r w:rsidR="00FD087E" w:rsidRPr="00A030F7">
        <w:rPr>
          <w:noProof/>
        </w:rPr>
        <w:t xml:space="preserve"> branch through the system of interconnection of registers. This exchange of information, as any other exchange of information between registers through the system of interconnection of registers, </w:t>
      </w:r>
      <w:r w:rsidR="00E503AE">
        <w:rPr>
          <w:noProof/>
        </w:rPr>
        <w:t>will be</w:t>
      </w:r>
      <w:r w:rsidR="00FD087E" w:rsidRPr="00A030F7">
        <w:rPr>
          <w:noProof/>
        </w:rPr>
        <w:t xml:space="preserve"> carried out </w:t>
      </w:r>
      <w:r w:rsidR="00E503AE">
        <w:rPr>
          <w:noProof/>
        </w:rPr>
        <w:t>via</w:t>
      </w:r>
      <w:r w:rsidR="00FD087E" w:rsidRPr="00A030F7">
        <w:rPr>
          <w:noProof/>
        </w:rPr>
        <w:t xml:space="preserve"> secure transmission between national registers</w:t>
      </w:r>
      <w:r w:rsidR="00E503AE">
        <w:rPr>
          <w:noProof/>
        </w:rPr>
        <w:t>,</w:t>
      </w:r>
      <w:r w:rsidR="00FD087E" w:rsidRPr="00A030F7">
        <w:rPr>
          <w:noProof/>
        </w:rPr>
        <w:t xml:space="preserve"> </w:t>
      </w:r>
      <w:r w:rsidR="00E503AE">
        <w:rPr>
          <w:noProof/>
        </w:rPr>
        <w:t>which ensures that</w:t>
      </w:r>
      <w:r w:rsidR="00FD087E" w:rsidRPr="00A030F7">
        <w:rPr>
          <w:noProof/>
        </w:rPr>
        <w:t xml:space="preserve"> the information can be trusted and should not be required to be certified or subject to any legalisation or similar formality.</w:t>
      </w:r>
    </w:p>
    <w:p w14:paraId="67A4DF1A" w14:textId="1823736F" w:rsidR="00DC2BD7" w:rsidRPr="00A030F7" w:rsidRDefault="001969F8" w:rsidP="001969F8">
      <w:pPr>
        <w:pStyle w:val="Point0"/>
        <w:rPr>
          <w:noProof/>
        </w:rPr>
      </w:pPr>
      <w:r w:rsidRPr="001969F8">
        <w:t>(31)</w:t>
      </w:r>
      <w:r w:rsidRPr="001969F8">
        <w:tab/>
      </w:r>
      <w:r w:rsidR="00FD087E" w:rsidRPr="00A030F7">
        <w:rPr>
          <w:noProof/>
        </w:rPr>
        <w:t xml:space="preserve">While information about cross-border branches of EU limited liability companies is already available through the system of interconnection of registers, information about branches of non-EU companies is not, even if it is already disclosed in national registers in line with Directive (EU) 2017/1132. In order to facilitate access to this information at </w:t>
      </w:r>
      <w:r w:rsidR="00DD5183">
        <w:rPr>
          <w:noProof/>
        </w:rPr>
        <w:t>Union</w:t>
      </w:r>
      <w:r w:rsidR="00DD5183" w:rsidRPr="00A030F7">
        <w:rPr>
          <w:noProof/>
        </w:rPr>
        <w:t xml:space="preserve"> </w:t>
      </w:r>
      <w:r w:rsidR="00FD087E" w:rsidRPr="00A030F7">
        <w:rPr>
          <w:noProof/>
        </w:rPr>
        <w:t xml:space="preserve">level for stakeholders, information about such third country company branches should be </w:t>
      </w:r>
      <w:r w:rsidR="008C4369">
        <w:rPr>
          <w:noProof/>
        </w:rPr>
        <w:t xml:space="preserve">made </w:t>
      </w:r>
      <w:r w:rsidR="00FD087E" w:rsidRPr="00A030F7">
        <w:rPr>
          <w:noProof/>
        </w:rPr>
        <w:t>available through the system of interconnection of registers and some of this information should be free of charge</w:t>
      </w:r>
      <w:r w:rsidR="00E503AE">
        <w:rPr>
          <w:noProof/>
        </w:rPr>
        <w:t>,</w:t>
      </w:r>
      <w:r w:rsidR="00FD087E" w:rsidRPr="00A030F7">
        <w:rPr>
          <w:noProof/>
        </w:rPr>
        <w:t xml:space="preserve"> as is already the case for cross-border branches of EU limited liability companies.</w:t>
      </w:r>
    </w:p>
    <w:p w14:paraId="3B0FD8D7" w14:textId="3411562B" w:rsidR="008702AA" w:rsidRDefault="001969F8" w:rsidP="001969F8">
      <w:pPr>
        <w:pStyle w:val="Point0"/>
        <w:rPr>
          <w:noProof/>
        </w:rPr>
      </w:pPr>
      <w:r w:rsidRPr="001969F8">
        <w:t>(32)</w:t>
      </w:r>
      <w:r w:rsidRPr="001969F8">
        <w:tab/>
      </w:r>
      <w:r w:rsidR="00DC2BD7">
        <w:rPr>
          <w:noProof/>
        </w:rPr>
        <w:t xml:space="preserve">The documents and information about the company, including information about legal representatives, partners in partnerships and other persons that can lawfully represent a company, should be made publicly available in business registers in order to ensure legal certainty in dealings between companies and third parties. In particular, third parties, such as creditors, investors and business partners, but also authorities and courts, should have full legal certainty about the person </w:t>
      </w:r>
      <w:r w:rsidR="00BC5AAE">
        <w:rPr>
          <w:noProof/>
        </w:rPr>
        <w:t xml:space="preserve">that </w:t>
      </w:r>
      <w:r w:rsidR="00DC2BD7">
        <w:rPr>
          <w:noProof/>
        </w:rPr>
        <w:t xml:space="preserve">is </w:t>
      </w:r>
      <w:r w:rsidR="00DC2BD7">
        <w:rPr>
          <w:noProof/>
          <w:color w:val="000000"/>
          <w:shd w:val="clear" w:color="auto" w:fill="FFFFFF"/>
          <w:lang w:val="en-IE"/>
        </w:rPr>
        <w:t xml:space="preserve">appointed to act on behalf of the company and has the </w:t>
      </w:r>
      <w:r w:rsidR="00DC2BD7">
        <w:rPr>
          <w:noProof/>
          <w:color w:val="000000"/>
          <w:shd w:val="clear" w:color="auto" w:fill="FFFFFF"/>
        </w:rPr>
        <w:t>power to</w:t>
      </w:r>
      <w:r w:rsidR="00DC2BD7">
        <w:rPr>
          <w:noProof/>
          <w:color w:val="000000"/>
          <w:shd w:val="clear" w:color="auto" w:fill="FFFFFF"/>
          <w:lang w:val="en-IE"/>
        </w:rPr>
        <w:t xml:space="preserve"> enter into contracts or conduct business on behalf of the company. </w:t>
      </w:r>
      <w:r w:rsidR="00DC2BD7">
        <w:rPr>
          <w:noProof/>
          <w:color w:val="000000"/>
          <w:shd w:val="clear" w:color="auto" w:fill="FFFFFF"/>
        </w:rPr>
        <w:t xml:space="preserve">In a partnership, partners are often </w:t>
      </w:r>
      <w:r w:rsidR="00DC2BD7">
        <w:rPr>
          <w:noProof/>
        </w:rPr>
        <w:t xml:space="preserve">authorised to represent the partnership in dealings with third parties and in legal proceedings. Similarly, with a view to </w:t>
      </w:r>
      <w:r w:rsidR="00BC5AAE">
        <w:rPr>
          <w:noProof/>
        </w:rPr>
        <w:t xml:space="preserve">protecting </w:t>
      </w:r>
      <w:r w:rsidR="00DC2BD7">
        <w:rPr>
          <w:noProof/>
        </w:rPr>
        <w:t xml:space="preserve">third parties, it is necessary that, where all the shares of a private limited liability company are held by a single shareholder, the identity of that single shareholder, which may be a natural or legal person, is made accessible to the public in the business register. </w:t>
      </w:r>
      <w:r w:rsidR="00DC2BD7">
        <w:rPr>
          <w:noProof/>
          <w:color w:val="000000"/>
        </w:rPr>
        <w:t>Given that a single shareholder may for example exercise the powers of the general meeting of the company or conclude contracts between him or herself and the company as represented by him or her, third parties should be able to identify the sole member</w:t>
      </w:r>
      <w:r w:rsidR="00DC2BD7">
        <w:rPr>
          <w:noProof/>
        </w:rPr>
        <w:t xml:space="preserve"> in order to know </w:t>
      </w:r>
      <w:r w:rsidR="00DC2BD7">
        <w:rPr>
          <w:noProof/>
          <w:lang w:val="en-IE"/>
        </w:rPr>
        <w:t xml:space="preserve">the identity of the person </w:t>
      </w:r>
      <w:r w:rsidR="00DC2BD7">
        <w:rPr>
          <w:noProof/>
        </w:rPr>
        <w:t xml:space="preserve">exercising control of the company or </w:t>
      </w:r>
      <w:r w:rsidR="00DC2BD7">
        <w:rPr>
          <w:noProof/>
          <w:lang w:val="en-IE"/>
        </w:rPr>
        <w:t>representing the company</w:t>
      </w:r>
      <w:r w:rsidR="00656432">
        <w:rPr>
          <w:noProof/>
          <w:lang w:val="en-IE"/>
        </w:rPr>
        <w:t>.</w:t>
      </w:r>
      <w:r w:rsidR="00DC2BD7" w:rsidRPr="00492B68">
        <w:rPr>
          <w:noProof/>
        </w:rPr>
        <w:t>.</w:t>
      </w:r>
      <w:r w:rsidR="00DC2BD7">
        <w:rPr>
          <w:noProof/>
        </w:rPr>
        <w:t xml:space="preserve"> </w:t>
      </w:r>
      <w:r w:rsidR="00656432">
        <w:rPr>
          <w:noProof/>
        </w:rPr>
        <w:t xml:space="preserve"> </w:t>
      </w:r>
      <w:r w:rsidR="00DC2BD7">
        <w:rPr>
          <w:noProof/>
        </w:rPr>
        <w:t>Therefore, such persons should be unequivocally identified.</w:t>
      </w:r>
    </w:p>
    <w:p w14:paraId="69FE7543" w14:textId="651364DD" w:rsidR="00FD087E" w:rsidRPr="00A030F7" w:rsidDel="00AD4980" w:rsidRDefault="001969F8" w:rsidP="001969F8">
      <w:pPr>
        <w:pStyle w:val="Point0"/>
        <w:rPr>
          <w:noProof/>
        </w:rPr>
      </w:pPr>
      <w:r w:rsidRPr="001969F8">
        <w:t>(33)</w:t>
      </w:r>
      <w:r w:rsidRPr="001969F8">
        <w:tab/>
      </w:r>
      <w:r w:rsidR="00DC2BD7">
        <w:rPr>
          <w:noProof/>
        </w:rPr>
        <w:t xml:space="preserve">In order to enhance the functioning of the </w:t>
      </w:r>
      <w:r w:rsidR="00BC5AAE">
        <w:rPr>
          <w:noProof/>
        </w:rPr>
        <w:t>s</w:t>
      </w:r>
      <w:r w:rsidR="00DC2BD7">
        <w:rPr>
          <w:noProof/>
        </w:rPr>
        <w:t xml:space="preserve">ingle </w:t>
      </w:r>
      <w:r w:rsidR="00BC5AAE">
        <w:rPr>
          <w:noProof/>
        </w:rPr>
        <w:t>m</w:t>
      </w:r>
      <w:r w:rsidR="00DC2BD7">
        <w:rPr>
          <w:noProof/>
        </w:rPr>
        <w:t>arket, third parties do not only need to have access to information about companies in their own Member State, but also about companies in another Member State. Similarly to a domestic situation, third parties need to have legal certainty about the legal representatives, partners in partnerships and other persons that can lawfully represent a company</w:t>
      </w:r>
      <w:r w:rsidR="000F4334">
        <w:rPr>
          <w:noProof/>
        </w:rPr>
        <w:t>,</w:t>
      </w:r>
      <w:r w:rsidR="00BC5AAE">
        <w:rPr>
          <w:noProof/>
        </w:rPr>
        <w:t xml:space="preserve"> and</w:t>
      </w:r>
      <w:r w:rsidR="00DC2BD7">
        <w:rPr>
          <w:noProof/>
        </w:rPr>
        <w:t xml:space="preserve"> about the single shareholders of companies in other Member State. Therefore, such information should be made available at Union level through the system of interconnection of registers which provides access to such information in a multilingual and comparable way, thereby ensuring the same level of protection of third parties in cross-border situations. In order to ensure legal certainty as to the identity of the legal representatives, partners in partnerships, and other persons that can lawfully represent a company, as well as single shareholders, it is necessary that such persons can be unequivocally identif</w:t>
      </w:r>
      <w:r w:rsidR="00AC460A">
        <w:rPr>
          <w:noProof/>
        </w:rPr>
        <w:t xml:space="preserve">ied. </w:t>
      </w:r>
      <w:r w:rsidR="00DC2BD7">
        <w:rPr>
          <w:noProof/>
        </w:rPr>
        <w:t xml:space="preserve">The need for ensuring certainty about the exact identity of such persons is particularly high in cross-border situations where the system of interconnection of registers provides access to such information on all limited liability companies and “commercial partnerships”. Given that national systems have divergent approaches to the identification of such persons, it is necessary to harmonise the personal data categories </w:t>
      </w:r>
      <w:r w:rsidR="002D7331">
        <w:rPr>
          <w:noProof/>
        </w:rPr>
        <w:t xml:space="preserve">that can be accessed </w:t>
      </w:r>
      <w:r w:rsidR="00DC2BD7">
        <w:rPr>
          <w:noProof/>
        </w:rPr>
        <w:t xml:space="preserve">at Union level. While </w:t>
      </w:r>
      <w:r w:rsidR="006021F9">
        <w:rPr>
          <w:noProof/>
        </w:rPr>
        <w:t xml:space="preserve">the </w:t>
      </w:r>
      <w:r w:rsidR="00DC2BD7">
        <w:rPr>
          <w:noProof/>
        </w:rPr>
        <w:t xml:space="preserve">name and surname </w:t>
      </w:r>
      <w:r w:rsidR="006021F9">
        <w:rPr>
          <w:noProof/>
        </w:rPr>
        <w:t xml:space="preserve">of such persons </w:t>
      </w:r>
      <w:r w:rsidR="00DC2BD7">
        <w:rPr>
          <w:noProof/>
        </w:rPr>
        <w:t>constitute</w:t>
      </w:r>
      <w:r w:rsidR="00DC2BD7" w:rsidDel="003951FC">
        <w:rPr>
          <w:noProof/>
        </w:rPr>
        <w:t xml:space="preserve"> </w:t>
      </w:r>
      <w:r w:rsidR="00DC2BD7">
        <w:rPr>
          <w:noProof/>
        </w:rPr>
        <w:t xml:space="preserve">personal data </w:t>
      </w:r>
      <w:r w:rsidR="00B11BD7">
        <w:rPr>
          <w:noProof/>
        </w:rPr>
        <w:t xml:space="preserve">that serve </w:t>
      </w:r>
      <w:r w:rsidR="00DC2BD7">
        <w:rPr>
          <w:noProof/>
        </w:rPr>
        <w:t xml:space="preserve">to identify </w:t>
      </w:r>
      <w:r w:rsidR="002B4470">
        <w:rPr>
          <w:noProof/>
        </w:rPr>
        <w:t>them</w:t>
      </w:r>
      <w:r w:rsidR="00DC2BD7">
        <w:rPr>
          <w:noProof/>
        </w:rPr>
        <w:t>, the</w:t>
      </w:r>
      <w:r w:rsidR="002B4470">
        <w:rPr>
          <w:noProof/>
        </w:rPr>
        <w:t xml:space="preserve"> name and surname</w:t>
      </w:r>
      <w:r w:rsidR="00DC2BD7">
        <w:rPr>
          <w:noProof/>
        </w:rPr>
        <w:t xml:space="preserve"> do not guarantee unique identification</w:t>
      </w:r>
      <w:r w:rsidR="00246977">
        <w:rPr>
          <w:noProof/>
        </w:rPr>
        <w:t xml:space="preserve"> in all cases</w:t>
      </w:r>
      <w:r w:rsidR="00DC2BD7">
        <w:rPr>
          <w:noProof/>
        </w:rPr>
        <w:t xml:space="preserve"> and thus need to be complemented by additional information. </w:t>
      </w:r>
      <w:r w:rsidR="002B4470">
        <w:rPr>
          <w:noProof/>
        </w:rPr>
        <w:t xml:space="preserve">Nor would adding </w:t>
      </w:r>
      <w:r w:rsidR="00DC2BD7">
        <w:rPr>
          <w:noProof/>
        </w:rPr>
        <w:t>only the year of birth be sufficient in this regard given the prevalence of certain names, both first name and surname and their combination, in Member States and the fact that popular names often follow yearly cycles, with the effect that many persons with identical names are born in the same year. It is therefore necessary and proportionate to require registers to make available the full date of birth of legal representatives, partners in partnerships, and other persons that can lawfully represent a company, as well as single shareholders.</w:t>
      </w:r>
      <w:r w:rsidR="00DC2BD7" w:rsidDel="00293A78">
        <w:rPr>
          <w:noProof/>
        </w:rPr>
        <w:t xml:space="preserve"> </w:t>
      </w:r>
    </w:p>
    <w:p w14:paraId="61E57E47" w14:textId="015CED97" w:rsidR="00012FCC" w:rsidRPr="00012FCC" w:rsidRDefault="001969F8" w:rsidP="001969F8">
      <w:pPr>
        <w:pStyle w:val="Point0"/>
        <w:rPr>
          <w:noProof/>
        </w:rPr>
      </w:pPr>
      <w:r w:rsidRPr="001969F8">
        <w:t>(34)</w:t>
      </w:r>
      <w:r w:rsidRPr="001969F8">
        <w:tab/>
      </w:r>
      <w:r w:rsidR="00AD4980">
        <w:rPr>
          <w:noProof/>
        </w:rPr>
        <w:t>Member States should process any personal data about legal representatives, partners in partnerships and other persons that can lawfully represent a company, and about single shareholders, including the personal data which is to be made publicly available in the registers, in accordance with Regulation (EU) 2016/679. The Commission should process personal data in the context of this Directive in accordance with Regulation (EU) 2018/1725 of the European Parliament and of the Council</w:t>
      </w:r>
      <w:r w:rsidR="00AD4980" w:rsidRPr="00EC6C35">
        <w:rPr>
          <w:rStyle w:val="FootnoteReference"/>
          <w:noProof/>
        </w:rPr>
        <w:footnoteReference w:id="61"/>
      </w:r>
      <w:r w:rsidR="00AD4980" w:rsidRPr="00A030F7">
        <w:rPr>
          <w:noProof/>
        </w:rPr>
        <w:t xml:space="preserve">. </w:t>
      </w:r>
      <w:r w:rsidR="00AD4980" w:rsidRPr="00EA514E">
        <w:rPr>
          <w:rStyle w:val="s1"/>
          <w:noProof/>
          <w:szCs w:val="24"/>
        </w:rPr>
        <w:t>In particular, Member States and the Commission</w:t>
      </w:r>
      <w:r w:rsidR="00AD4980" w:rsidRPr="00EA514E">
        <w:rPr>
          <w:rStyle w:val="s1"/>
          <w:rFonts w:hint="eastAsia"/>
          <w:noProof/>
          <w:szCs w:val="24"/>
        </w:rPr>
        <w:t> </w:t>
      </w:r>
      <w:r w:rsidR="00AD4980" w:rsidRPr="00EA514E">
        <w:rPr>
          <w:rStyle w:val="s1"/>
          <w:noProof/>
          <w:szCs w:val="24"/>
        </w:rPr>
        <w:t xml:space="preserve">should implement appropriate data protection safeguards in order to ensure that the processing of personal data for the purposes of this Directive </w:t>
      </w:r>
      <w:r w:rsidR="00AD4980">
        <w:rPr>
          <w:rStyle w:val="s1"/>
          <w:noProof/>
          <w:szCs w:val="24"/>
        </w:rPr>
        <w:t xml:space="preserve">is </w:t>
      </w:r>
      <w:r w:rsidR="00AD4980" w:rsidRPr="00EA514E">
        <w:rPr>
          <w:rStyle w:val="s1"/>
          <w:noProof/>
          <w:szCs w:val="24"/>
        </w:rPr>
        <w:t>limited to what is necessary to achieve its objectives.</w:t>
      </w:r>
    </w:p>
    <w:p w14:paraId="3C2A5C0F" w14:textId="46E6050F" w:rsidR="006A4834" w:rsidRPr="006A4834" w:rsidRDefault="001969F8" w:rsidP="001969F8">
      <w:pPr>
        <w:pStyle w:val="Point0"/>
        <w:rPr>
          <w:noProof/>
        </w:rPr>
      </w:pPr>
      <w:r w:rsidRPr="001969F8">
        <w:t>(35)</w:t>
      </w:r>
      <w:r w:rsidRPr="001969F8">
        <w:tab/>
      </w:r>
      <w:r w:rsidR="006A4834" w:rsidRPr="006A4834">
        <w:rPr>
          <w:noProof/>
        </w:rPr>
        <w:t xml:space="preserve">To ensure that all Union citizens can enjoy the benefits of making more company information available in business registers, it is essential that such information is provided </w:t>
      </w:r>
      <w:r w:rsidR="00253B22" w:rsidRPr="006A4834">
        <w:rPr>
          <w:noProof/>
        </w:rPr>
        <w:t xml:space="preserve">to persons with disabilities </w:t>
      </w:r>
      <w:r w:rsidR="006A4834" w:rsidRPr="006A4834">
        <w:rPr>
          <w:noProof/>
        </w:rPr>
        <w:t xml:space="preserve">in accessible formats. According to Article 9 of the UN Convention on the Rights of Persons with Disabilities, State parties </w:t>
      </w:r>
      <w:r w:rsidR="00253B22">
        <w:rPr>
          <w:noProof/>
        </w:rPr>
        <w:t xml:space="preserve">are to </w:t>
      </w:r>
      <w:r w:rsidR="006A4834" w:rsidRPr="006A4834">
        <w:rPr>
          <w:noProof/>
        </w:rPr>
        <w:t xml:space="preserve">take appropriate measures to ensure </w:t>
      </w:r>
      <w:r w:rsidR="00BA1412">
        <w:rPr>
          <w:noProof/>
        </w:rPr>
        <w:t>that</w:t>
      </w:r>
      <w:r w:rsidR="006A4834" w:rsidRPr="006A4834">
        <w:rPr>
          <w:noProof/>
        </w:rPr>
        <w:t xml:space="preserve"> persons with disabilities </w:t>
      </w:r>
      <w:r w:rsidR="00BA1412">
        <w:rPr>
          <w:noProof/>
        </w:rPr>
        <w:t xml:space="preserve">can </w:t>
      </w:r>
      <w:r w:rsidR="006A4834" w:rsidRPr="006A4834">
        <w:rPr>
          <w:noProof/>
        </w:rPr>
        <w:t xml:space="preserve">access, on an equal basis with others, inter alia information and communications, including information and communications technologies and systems, and to other facilities and services open or provided to the public. In this regard, the Directive (EU) 2016/2102 </w:t>
      </w:r>
      <w:r w:rsidR="00253B22" w:rsidRPr="00253B22">
        <w:rPr>
          <w:noProof/>
        </w:rPr>
        <w:t>of the European Parliament and of the Council</w:t>
      </w:r>
      <w:r w:rsidR="00253B22" w:rsidRPr="00EC6C35">
        <w:rPr>
          <w:rStyle w:val="FootnoteReference"/>
          <w:noProof/>
        </w:rPr>
        <w:footnoteReference w:id="62"/>
      </w:r>
      <w:r w:rsidR="00253B22" w:rsidRPr="00253B22">
        <w:rPr>
          <w:noProof/>
        </w:rPr>
        <w:t xml:space="preserve"> </w:t>
      </w:r>
      <w:r w:rsidR="00253B22">
        <w:rPr>
          <w:noProof/>
        </w:rPr>
        <w:t>sets out</w:t>
      </w:r>
      <w:r w:rsidR="00253B22" w:rsidRPr="006A4834">
        <w:rPr>
          <w:noProof/>
        </w:rPr>
        <w:t xml:space="preserve"> </w:t>
      </w:r>
      <w:r w:rsidR="006A4834" w:rsidRPr="006A4834">
        <w:rPr>
          <w:noProof/>
        </w:rPr>
        <w:t xml:space="preserve">general accessibility requirements for websites and mobile applications of public sector bodies with a view to make them more accessible to users, in particular persons with disabilities, and to foster interoperability. </w:t>
      </w:r>
      <w:r w:rsidR="005A263D" w:rsidRPr="005A263D">
        <w:rPr>
          <w:noProof/>
        </w:rPr>
        <w:t>Directive (EU) 2</w:t>
      </w:r>
      <w:r w:rsidR="000F4334">
        <w:rPr>
          <w:noProof/>
        </w:rPr>
        <w:t>0</w:t>
      </w:r>
      <w:r w:rsidR="005A263D" w:rsidRPr="005A263D">
        <w:rPr>
          <w:noProof/>
        </w:rPr>
        <w:t>16/2102</w:t>
      </w:r>
      <w:r w:rsidR="005A263D" w:rsidRPr="006A4834">
        <w:rPr>
          <w:noProof/>
        </w:rPr>
        <w:t xml:space="preserve"> </w:t>
      </w:r>
      <w:r w:rsidR="006A4834" w:rsidRPr="006A4834">
        <w:rPr>
          <w:noProof/>
        </w:rPr>
        <w:t xml:space="preserve"> encourages Member States to extend its application to private entities offering facilities and services that are open or provided to the public. Furthermore, Directive </w:t>
      </w:r>
      <w:r w:rsidR="006A4834">
        <w:rPr>
          <w:noProof/>
        </w:rPr>
        <w:t xml:space="preserve">(EU) </w:t>
      </w:r>
      <w:r w:rsidR="006A4834" w:rsidRPr="006A4834">
        <w:rPr>
          <w:noProof/>
        </w:rPr>
        <w:t>2019/882</w:t>
      </w:r>
      <w:r w:rsidR="005A263D">
        <w:rPr>
          <w:noProof/>
        </w:rPr>
        <w:t xml:space="preserve"> </w:t>
      </w:r>
      <w:r w:rsidR="005A263D" w:rsidRPr="00253B22">
        <w:rPr>
          <w:noProof/>
        </w:rPr>
        <w:t>of the European Parliament and of the Council</w:t>
      </w:r>
      <w:r w:rsidR="006A4834" w:rsidRPr="00EC6C35">
        <w:rPr>
          <w:rStyle w:val="FootnoteReference"/>
          <w:noProof/>
        </w:rPr>
        <w:footnoteReference w:id="63"/>
      </w:r>
      <w:r w:rsidR="006A4834" w:rsidRPr="006A4834">
        <w:rPr>
          <w:noProof/>
        </w:rPr>
        <w:t xml:space="preserve"> contains accessibility requirements for certain products and services including their websites and related information. Given the diversity of bodies responsible for the management of business registers, ranging from courts and administrative authorities to private entities, and the diverse activities performed by business registers, it should be assessed whether specific measures are needed to ensure that persons with disabilities are able to access company information provided by the business registers in all the Member States on an equal basis with other users. </w:t>
      </w:r>
    </w:p>
    <w:p w14:paraId="401A855D" w14:textId="196EB36C" w:rsidR="00FD087E" w:rsidRPr="00A030F7" w:rsidRDefault="001969F8" w:rsidP="001969F8">
      <w:pPr>
        <w:pStyle w:val="Point0"/>
        <w:rPr>
          <w:noProof/>
        </w:rPr>
      </w:pPr>
      <w:r w:rsidRPr="001969F8">
        <w:t>(36)</w:t>
      </w:r>
      <w:r w:rsidRPr="001969F8">
        <w:tab/>
      </w:r>
      <w:r w:rsidR="00FD087E" w:rsidRPr="00A030F7">
        <w:rPr>
          <w:noProof/>
        </w:rPr>
        <w:t>The objective</w:t>
      </w:r>
      <w:r w:rsidR="00B144B4">
        <w:rPr>
          <w:noProof/>
        </w:rPr>
        <w:t>s</w:t>
      </w:r>
      <w:r w:rsidR="00FD087E" w:rsidRPr="00A030F7">
        <w:rPr>
          <w:noProof/>
        </w:rPr>
        <w:t xml:space="preserve"> of this Directive, namely to increase the amount and improve the reliability of company data available in business registers or through the system of interconnection of registers, and to enable direct use of company data available in business registers when setting up cross-border branches and subsidiaries and in other cross-border activities and situations, cannot be sufficiently achieved by Member States, but can rather, by reason of their scale and effects, be better achieved at Union level. Therefore, the Union may adopt measures, in accordance with the principle of subsidiarity as set out in Article 5 of the Treaty on European Union. In accordance with the principle of proportionality, as set out in that Article, this Directive does not go beyond what is necessary to achieve those objectives.</w:t>
      </w:r>
    </w:p>
    <w:p w14:paraId="547B196D" w14:textId="3F361920" w:rsidR="00FD087E" w:rsidRDefault="001969F8" w:rsidP="001969F8">
      <w:pPr>
        <w:pStyle w:val="Point0"/>
        <w:rPr>
          <w:noProof/>
        </w:rPr>
      </w:pPr>
      <w:r w:rsidRPr="001969F8">
        <w:t>(37)</w:t>
      </w:r>
      <w:r w:rsidRPr="001969F8">
        <w:tab/>
      </w:r>
      <w:r w:rsidR="00FD087E" w:rsidRPr="00A030F7">
        <w:rPr>
          <w:noProof/>
        </w:rPr>
        <w:t>In accordance with the Joint Political Declaration of 28 September 2011 of Member States and the Commission on explanatory documents</w:t>
      </w:r>
      <w:r w:rsidR="00FD087E" w:rsidRPr="00EC6C35">
        <w:rPr>
          <w:rStyle w:val="FootnoteReference"/>
          <w:noProof/>
        </w:rPr>
        <w:footnoteReference w:id="64"/>
      </w:r>
      <w:r w:rsidR="00FD087E" w:rsidRPr="00A030F7">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14:paraId="118B3FDF" w14:textId="10B9B3DF" w:rsidR="006A4834" w:rsidRDefault="001969F8" w:rsidP="001969F8">
      <w:pPr>
        <w:pStyle w:val="Point0"/>
        <w:rPr>
          <w:noProof/>
        </w:rPr>
      </w:pPr>
      <w:r w:rsidRPr="001969F8">
        <w:t>(38)</w:t>
      </w:r>
      <w:r w:rsidRPr="001969F8">
        <w:tab/>
      </w:r>
      <w:r w:rsidR="006A4834" w:rsidRPr="00F51F11">
        <w:rPr>
          <w:noProof/>
        </w:rPr>
        <w:t xml:space="preserve">The Commission should carry out an evaluation of this Directive. Pursuant to paragraph 22 of the Interinstitutional Agreement of 13 April 2016 on Better Law-Making, that evaluation should be based on the five criteria of efficiency, effectiveness, relevance, coherence and value added and should provide the basis for impact assessments of possible further measures. </w:t>
      </w:r>
      <w:r w:rsidR="006A4834">
        <w:rPr>
          <w:noProof/>
        </w:rPr>
        <w:t>The evaluation should cover</w:t>
      </w:r>
      <w:r w:rsidR="006A4834" w:rsidRPr="00F51F11">
        <w:rPr>
          <w:noProof/>
        </w:rPr>
        <w:t xml:space="preserve"> the practical experience with the EU Company Certificate, </w:t>
      </w:r>
      <w:r w:rsidR="006A4834">
        <w:rPr>
          <w:noProof/>
        </w:rPr>
        <w:t>d</w:t>
      </w:r>
      <w:r w:rsidR="006A4834" w:rsidRPr="00F51F11">
        <w:rPr>
          <w:noProof/>
        </w:rPr>
        <w:t xml:space="preserve">igital EU power of attorney and the </w:t>
      </w:r>
      <w:r w:rsidR="006A4834" w:rsidRPr="00F85E46">
        <w:rPr>
          <w:noProof/>
        </w:rPr>
        <w:t>reduc</w:t>
      </w:r>
      <w:r w:rsidR="006A4834">
        <w:rPr>
          <w:noProof/>
        </w:rPr>
        <w:t>ed</w:t>
      </w:r>
      <w:r w:rsidR="006A4834" w:rsidRPr="00F51F11">
        <w:rPr>
          <w:noProof/>
        </w:rPr>
        <w:t xml:space="preserve"> formalities in cross-border situations for companies</w:t>
      </w:r>
      <w:r w:rsidR="006A4834">
        <w:rPr>
          <w:noProof/>
        </w:rPr>
        <w:t xml:space="preserve">. In addition, the Commission </w:t>
      </w:r>
      <w:r w:rsidR="006A4834" w:rsidRPr="00826721">
        <w:rPr>
          <w:noProof/>
        </w:rPr>
        <w:t>should assess the potential for cross-sector interoperability between the system of interconnection of registers</w:t>
      </w:r>
      <w:r w:rsidR="00697C6E">
        <w:rPr>
          <w:noProof/>
        </w:rPr>
        <w:t xml:space="preserve"> (</w:t>
      </w:r>
      <w:r w:rsidR="00393F70">
        <w:rPr>
          <w:noProof/>
        </w:rPr>
        <w:t>BRIS</w:t>
      </w:r>
      <w:r w:rsidR="00697C6E">
        <w:rPr>
          <w:noProof/>
        </w:rPr>
        <w:t>)</w:t>
      </w:r>
      <w:r w:rsidR="006A4834" w:rsidRPr="00826721">
        <w:rPr>
          <w:noProof/>
        </w:rPr>
        <w:t xml:space="preserve"> and other systems providing mechanisms for cooperation between competent authorities, such as in the areas of taxation or social security or the Once-only Technical System established under Regulation (EU) 2018/1724</w:t>
      </w:r>
      <w:r w:rsidR="00393F70">
        <w:rPr>
          <w:noProof/>
        </w:rPr>
        <w:t xml:space="preserve"> of the European Parliament and of the Council</w:t>
      </w:r>
      <w:r w:rsidR="00393F70" w:rsidRPr="00EC6C35">
        <w:rPr>
          <w:rStyle w:val="FootnoteReference"/>
          <w:noProof/>
        </w:rPr>
        <w:footnoteReference w:id="65"/>
      </w:r>
      <w:r w:rsidR="00452839">
        <w:rPr>
          <w:noProof/>
        </w:rPr>
        <w:t>,</w:t>
      </w:r>
      <w:r w:rsidR="00393F70" w:rsidRPr="00826721">
        <w:rPr>
          <w:noProof/>
        </w:rPr>
        <w:t xml:space="preserve"> </w:t>
      </w:r>
      <w:r w:rsidR="006A4834" w:rsidRPr="00826721">
        <w:rPr>
          <w:noProof/>
        </w:rPr>
        <w:t>with the aim of creating more connected public administrations cross-border in the single market</w:t>
      </w:r>
      <w:r w:rsidR="00452839">
        <w:rPr>
          <w:rStyle w:val="FootnoteReference"/>
          <w:noProof/>
        </w:rPr>
        <w:footnoteReference w:id="66"/>
      </w:r>
      <w:r w:rsidR="006A4834" w:rsidRPr="00826721">
        <w:rPr>
          <w:noProof/>
        </w:rPr>
        <w:t xml:space="preserve">. Finally, the Commission should also assess the need to introduce additional measures to </w:t>
      </w:r>
      <w:bookmarkStart w:id="62" w:name="_Hlk129698012"/>
      <w:r w:rsidR="006A4834" w:rsidRPr="00826721">
        <w:rPr>
          <w:noProof/>
        </w:rPr>
        <w:t>fully address the needs of persons with disabilities when they access company information provided by the business registers</w:t>
      </w:r>
      <w:bookmarkEnd w:id="62"/>
      <w:r w:rsidR="006A4834" w:rsidRPr="00826721">
        <w:rPr>
          <w:noProof/>
        </w:rPr>
        <w:t xml:space="preserve">. </w:t>
      </w:r>
    </w:p>
    <w:p w14:paraId="261DF640" w14:textId="0A9EFF6D" w:rsidR="00CC393A" w:rsidRDefault="001969F8" w:rsidP="001969F8">
      <w:pPr>
        <w:pStyle w:val="Point0"/>
        <w:rPr>
          <w:noProof/>
        </w:rPr>
      </w:pPr>
      <w:r w:rsidRPr="001969F8">
        <w:t>(39)</w:t>
      </w:r>
      <w:r w:rsidRPr="001969F8">
        <w:tab/>
      </w:r>
      <w:r w:rsidR="00CC393A" w:rsidRPr="00A030F7">
        <w:rPr>
          <w:noProof/>
        </w:rPr>
        <w:t>The European Data Protection Supervisor was consulted in accordance with Article 42(1) of Regulation (EU) 2018/1725 and delivered an opinion on [XX XX 2022/2023]</w:t>
      </w:r>
      <w:r w:rsidR="00CC393A" w:rsidRPr="00EC6C35">
        <w:rPr>
          <w:rStyle w:val="FootnoteReference"/>
          <w:noProof/>
        </w:rPr>
        <w:footnoteReference w:id="67"/>
      </w:r>
      <w:r w:rsidR="00CC393A">
        <w:rPr>
          <w:noProof/>
        </w:rPr>
        <w:t>.</w:t>
      </w:r>
    </w:p>
    <w:p w14:paraId="667CBD7B" w14:textId="0A2A0F70" w:rsidR="00FD087E" w:rsidRPr="00175EBD" w:rsidRDefault="001969F8" w:rsidP="001969F8">
      <w:pPr>
        <w:pStyle w:val="Point0"/>
        <w:rPr>
          <w:noProof/>
        </w:rPr>
      </w:pPr>
      <w:r w:rsidRPr="001969F8">
        <w:t>(40)</w:t>
      </w:r>
      <w:r w:rsidRPr="001969F8">
        <w:tab/>
      </w:r>
      <w:r w:rsidR="00FD087E" w:rsidRPr="00A030F7">
        <w:rPr>
          <w:noProof/>
        </w:rPr>
        <w:t>Directive</w:t>
      </w:r>
      <w:r w:rsidR="00393F70">
        <w:rPr>
          <w:noProof/>
        </w:rPr>
        <w:t>s</w:t>
      </w:r>
      <w:r w:rsidR="00FD087E" w:rsidRPr="00A030F7">
        <w:rPr>
          <w:noProof/>
        </w:rPr>
        <w:t xml:space="preserve"> </w:t>
      </w:r>
      <w:r w:rsidR="00BC426D" w:rsidRPr="00A030F7">
        <w:rPr>
          <w:noProof/>
        </w:rPr>
        <w:t xml:space="preserve">2009/102/EC and </w:t>
      </w:r>
      <w:r w:rsidR="00FD087E" w:rsidRPr="00A030F7">
        <w:rPr>
          <w:noProof/>
        </w:rPr>
        <w:t>(EU) 2017/1132 should therefore be amended accordingly.</w:t>
      </w:r>
    </w:p>
    <w:p w14:paraId="5A7DF56B" w14:textId="77777777" w:rsidR="003C7CCF" w:rsidRDefault="003C7CCF" w:rsidP="00E619E2">
      <w:pPr>
        <w:pStyle w:val="Formuledadoption"/>
        <w:rPr>
          <w:noProof/>
        </w:rPr>
      </w:pPr>
    </w:p>
    <w:p w14:paraId="2D3CECA1" w14:textId="77777777" w:rsidR="003146E6" w:rsidRPr="003146E6" w:rsidRDefault="00573A63" w:rsidP="00AF3A32">
      <w:pPr>
        <w:rPr>
          <w:noProof/>
        </w:rPr>
      </w:pPr>
      <w:r w:rsidRPr="00AC7E92">
        <w:rPr>
          <w:noProof/>
        </w:rPr>
        <w:t>HAVE ADOPTED THIS DIRECTIVE:</w:t>
      </w:r>
    </w:p>
    <w:p w14:paraId="154E9F67" w14:textId="77777777" w:rsidR="003C7CCF" w:rsidRDefault="003C7CCF" w:rsidP="00175EBD">
      <w:pPr>
        <w:pStyle w:val="Titrearticle"/>
        <w:spacing w:before="0"/>
        <w:rPr>
          <w:noProof/>
        </w:rPr>
      </w:pPr>
    </w:p>
    <w:p w14:paraId="0445EDC4" w14:textId="77777777" w:rsidR="00B234B8" w:rsidRPr="00AC7E92" w:rsidRDefault="001203CB" w:rsidP="00175EBD">
      <w:pPr>
        <w:pStyle w:val="Titrearticle"/>
        <w:spacing w:before="0"/>
        <w:rPr>
          <w:noProof/>
        </w:rPr>
      </w:pPr>
      <w:r>
        <w:rPr>
          <w:noProof/>
        </w:rPr>
        <w:t>‘</w:t>
      </w:r>
      <w:r w:rsidR="00B234B8">
        <w:rPr>
          <w:noProof/>
        </w:rPr>
        <w:t>Article 1</w:t>
      </w:r>
    </w:p>
    <w:p w14:paraId="09BF264A" w14:textId="77777777" w:rsidR="00B234B8" w:rsidRPr="00175EBD" w:rsidRDefault="00B234B8" w:rsidP="00604CD6">
      <w:pPr>
        <w:pStyle w:val="Articletitre"/>
        <w:rPr>
          <w:noProof/>
          <w:lang w:eastAsia="en-GB"/>
        </w:rPr>
      </w:pPr>
      <w:r w:rsidRPr="00175EBD">
        <w:rPr>
          <w:noProof/>
          <w:lang w:eastAsia="en-GB"/>
        </w:rPr>
        <w:t xml:space="preserve">Amendments to </w:t>
      </w:r>
      <w:r w:rsidR="00EE13C3" w:rsidRPr="00175EBD">
        <w:rPr>
          <w:noProof/>
          <w:lang w:eastAsia="en-GB"/>
        </w:rPr>
        <w:t xml:space="preserve">Directive 2009/102/EC </w:t>
      </w:r>
    </w:p>
    <w:p w14:paraId="052C8D33" w14:textId="77777777" w:rsidR="00B234B8" w:rsidRPr="00FE15AC" w:rsidRDefault="00B234B8" w:rsidP="00B234B8">
      <w:pPr>
        <w:rPr>
          <w:noProof/>
          <w:szCs w:val="24"/>
        </w:rPr>
      </w:pPr>
      <w:r w:rsidRPr="00FE15AC">
        <w:rPr>
          <w:noProof/>
          <w:szCs w:val="24"/>
        </w:rPr>
        <w:t xml:space="preserve">Article 3 </w:t>
      </w:r>
      <w:r w:rsidR="0021701F" w:rsidRPr="00FE15AC">
        <w:rPr>
          <w:noProof/>
          <w:szCs w:val="24"/>
        </w:rPr>
        <w:t xml:space="preserve">of Directive 2009/102/EC </w:t>
      </w:r>
      <w:r w:rsidRPr="00FE15AC">
        <w:rPr>
          <w:noProof/>
          <w:szCs w:val="24"/>
        </w:rPr>
        <w:t xml:space="preserve">is replaced by the following: </w:t>
      </w:r>
    </w:p>
    <w:p w14:paraId="1931865E" w14:textId="77777777" w:rsidR="00B234B8" w:rsidRPr="00DE68AE" w:rsidRDefault="00B234B8" w:rsidP="00B234B8">
      <w:pPr>
        <w:jc w:val="center"/>
        <w:rPr>
          <w:noProof/>
          <w:szCs w:val="24"/>
        </w:rPr>
      </w:pPr>
      <w:r w:rsidRPr="00DE68AE">
        <w:rPr>
          <w:noProof/>
          <w:szCs w:val="24"/>
        </w:rPr>
        <w:t>Article 3</w:t>
      </w:r>
    </w:p>
    <w:p w14:paraId="1BFC7767" w14:textId="77777777" w:rsidR="00B234B8" w:rsidRDefault="00B234B8" w:rsidP="00B234B8">
      <w:pPr>
        <w:rPr>
          <w:noProof/>
          <w:szCs w:val="24"/>
        </w:rPr>
      </w:pPr>
      <w:r w:rsidRPr="00DE68AE">
        <w:rPr>
          <w:noProof/>
          <w:szCs w:val="24"/>
        </w:rPr>
        <w:t>Where a company becomes a single-member company because all its shares come to be held by a single person, that fact, together with the identity of the sole member, must be recorded in the file or entered in the register as referred to in Article 3(1) and (2) of Directive 68/151/EEC</w:t>
      </w:r>
      <w:r w:rsidR="0026769C">
        <w:rPr>
          <w:noProof/>
          <w:szCs w:val="24"/>
        </w:rPr>
        <w:t>,</w:t>
      </w:r>
      <w:r w:rsidRPr="00DE68AE">
        <w:rPr>
          <w:noProof/>
          <w:szCs w:val="24"/>
        </w:rPr>
        <w:t xml:space="preserve"> </w:t>
      </w:r>
      <w:r w:rsidRPr="00CC4DBF">
        <w:rPr>
          <w:noProof/>
          <w:szCs w:val="24"/>
        </w:rPr>
        <w:t xml:space="preserve">and made publicly available through the system of interconnection of registers referred to </w:t>
      </w:r>
      <w:r w:rsidR="003C7CCF">
        <w:rPr>
          <w:noProof/>
          <w:szCs w:val="24"/>
        </w:rPr>
        <w:t xml:space="preserve">in </w:t>
      </w:r>
      <w:r w:rsidRPr="00CC4DBF">
        <w:rPr>
          <w:noProof/>
          <w:szCs w:val="24"/>
        </w:rPr>
        <w:t xml:space="preserve">Article 16(1) of Directive (EU) 2017/1132. </w:t>
      </w:r>
    </w:p>
    <w:p w14:paraId="3F7D672F" w14:textId="77777777" w:rsidR="00175EBD" w:rsidRDefault="00B234B8" w:rsidP="00175EBD">
      <w:pPr>
        <w:rPr>
          <w:noProof/>
          <w:szCs w:val="24"/>
        </w:rPr>
      </w:pPr>
      <w:r w:rsidRPr="00CC4DBF">
        <w:rPr>
          <w:noProof/>
          <w:szCs w:val="24"/>
        </w:rPr>
        <w:t>Article 18 and Article 19(1) of Directive (EU) 2017/1132 shall apply </w:t>
      </w:r>
      <w:r w:rsidRPr="008B670A">
        <w:rPr>
          <w:i/>
          <w:noProof/>
          <w:szCs w:val="24"/>
        </w:rPr>
        <w:t>mutatis mutandis</w:t>
      </w:r>
      <w:r w:rsidRPr="00CC4DBF">
        <w:rPr>
          <w:noProof/>
          <w:szCs w:val="24"/>
        </w:rPr>
        <w:t>.</w:t>
      </w:r>
      <w:r w:rsidR="00466A5A">
        <w:rPr>
          <w:noProof/>
          <w:szCs w:val="24"/>
        </w:rPr>
        <w:t>’</w:t>
      </w:r>
      <w:r w:rsidR="002D3975" w:rsidRPr="00CC4DBF">
        <w:rPr>
          <w:noProof/>
          <w:szCs w:val="24"/>
        </w:rPr>
        <w:t>;</w:t>
      </w:r>
    </w:p>
    <w:p w14:paraId="48EC5BD4" w14:textId="77777777" w:rsidR="00573A63" w:rsidRPr="00AC7E92" w:rsidRDefault="00B234B8" w:rsidP="00175EBD">
      <w:pPr>
        <w:pStyle w:val="Titrearticle"/>
        <w:rPr>
          <w:noProof/>
        </w:rPr>
      </w:pPr>
      <w:r>
        <w:rPr>
          <w:noProof/>
        </w:rPr>
        <w:t>Article 2</w:t>
      </w:r>
    </w:p>
    <w:p w14:paraId="2E8BA11E" w14:textId="77777777" w:rsidR="00882ACB" w:rsidRPr="00175EBD" w:rsidRDefault="00882ACB" w:rsidP="00604CD6">
      <w:pPr>
        <w:pStyle w:val="Articletitre"/>
        <w:rPr>
          <w:noProof/>
          <w:lang w:eastAsia="en-GB"/>
        </w:rPr>
      </w:pPr>
      <w:r w:rsidRPr="00175EBD">
        <w:rPr>
          <w:noProof/>
          <w:lang w:eastAsia="en-GB"/>
        </w:rPr>
        <w:t>Amendments to Directive (EU) 2017/1132</w:t>
      </w:r>
    </w:p>
    <w:p w14:paraId="3DB0D237" w14:textId="77777777" w:rsidR="00882ACB" w:rsidRPr="00882ACB" w:rsidRDefault="00882ACB" w:rsidP="00882ACB">
      <w:pPr>
        <w:rPr>
          <w:noProof/>
          <w:lang w:eastAsia="en-GB"/>
        </w:rPr>
      </w:pPr>
    </w:p>
    <w:p w14:paraId="437D6B69" w14:textId="77777777" w:rsidR="00882ACB" w:rsidRDefault="00882ACB" w:rsidP="00882ACB">
      <w:pPr>
        <w:keepNext/>
        <w:rPr>
          <w:noProof/>
          <w:lang w:val="en-IE" w:eastAsia="en-GB"/>
        </w:rPr>
      </w:pPr>
      <w:r w:rsidRPr="00936217">
        <w:rPr>
          <w:noProof/>
          <w:lang w:val="en-IE" w:eastAsia="en-GB"/>
        </w:rPr>
        <w:t>Directive (EU) 2017/1132 is amended as follows:</w:t>
      </w:r>
    </w:p>
    <w:p w14:paraId="3D8E7668" w14:textId="77777777" w:rsidR="00882ACB" w:rsidRPr="00936217" w:rsidRDefault="00882ACB" w:rsidP="00882ACB">
      <w:pPr>
        <w:keepNext/>
        <w:rPr>
          <w:noProof/>
          <w:lang w:val="en-IE" w:eastAsia="en-GB"/>
        </w:rPr>
      </w:pPr>
    </w:p>
    <w:p w14:paraId="1D6156C4" w14:textId="383952CB" w:rsidR="00FE15AC" w:rsidRDefault="001969F8" w:rsidP="001969F8">
      <w:pPr>
        <w:pStyle w:val="Point0"/>
        <w:rPr>
          <w:noProof/>
        </w:rPr>
      </w:pPr>
      <w:r w:rsidRPr="001969F8">
        <w:t>(1)</w:t>
      </w:r>
      <w:r w:rsidRPr="001969F8">
        <w:tab/>
      </w:r>
      <w:r w:rsidR="00FE15AC">
        <w:rPr>
          <w:noProof/>
        </w:rPr>
        <w:t xml:space="preserve">The title of Title I </w:t>
      </w:r>
      <w:r w:rsidR="00FE15AC" w:rsidRPr="00CF48EC">
        <w:rPr>
          <w:noProof/>
        </w:rPr>
        <w:t>is replaced by the following:</w:t>
      </w:r>
    </w:p>
    <w:p w14:paraId="3A4A4EA8" w14:textId="77777777" w:rsidR="00FE15AC" w:rsidRDefault="002265EE" w:rsidP="00FE15AC">
      <w:pPr>
        <w:pStyle w:val="title-division-2"/>
        <w:shd w:val="clear" w:color="auto" w:fill="FFFFFF"/>
        <w:spacing w:before="0" w:beforeAutospacing="0" w:after="120" w:afterAutospacing="0" w:line="312" w:lineRule="atLeast"/>
        <w:jc w:val="center"/>
        <w:rPr>
          <w:noProof/>
          <w:lang w:val="en-IE" w:eastAsia="en-GB"/>
        </w:rPr>
      </w:pPr>
      <w:r>
        <w:rPr>
          <w:noProof/>
          <w:lang w:val="en-IE" w:eastAsia="en-GB"/>
        </w:rPr>
        <w:t>‘</w:t>
      </w:r>
      <w:r w:rsidR="00FE15AC" w:rsidRPr="0028567B">
        <w:rPr>
          <w:rStyle w:val="boldface"/>
          <w:b/>
          <w:bCs/>
          <w:noProof/>
          <w:color w:val="333333"/>
        </w:rPr>
        <w:t>GENERAL PROVISIONS AND THE ESTABLISHMENT AND FUNCTIONING OF COMPANIES</w:t>
      </w:r>
      <w:r>
        <w:rPr>
          <w:rStyle w:val="boldface"/>
          <w:b/>
          <w:bCs/>
          <w:noProof/>
          <w:color w:val="333333"/>
        </w:rPr>
        <w:t>’</w:t>
      </w:r>
      <w:r w:rsidR="00FE15AC">
        <w:rPr>
          <w:noProof/>
          <w:lang w:val="en-IE" w:eastAsia="en-GB"/>
        </w:rPr>
        <w:t>;</w:t>
      </w:r>
    </w:p>
    <w:p w14:paraId="4FB85860" w14:textId="77777777" w:rsidR="00FE15AC" w:rsidRDefault="00FE15AC" w:rsidP="002F0EBD">
      <w:pPr>
        <w:rPr>
          <w:noProof/>
        </w:rPr>
      </w:pPr>
    </w:p>
    <w:p w14:paraId="6E233071" w14:textId="41AA2AD0" w:rsidR="0026769C" w:rsidRDefault="001969F8" w:rsidP="001969F8">
      <w:pPr>
        <w:pStyle w:val="Point0"/>
        <w:rPr>
          <w:noProof/>
        </w:rPr>
      </w:pPr>
      <w:r w:rsidRPr="001969F8">
        <w:t>(2)</w:t>
      </w:r>
      <w:r w:rsidRPr="001969F8">
        <w:tab/>
      </w:r>
      <w:r w:rsidR="00882ACB" w:rsidRPr="00936217">
        <w:rPr>
          <w:noProof/>
        </w:rPr>
        <w:t>Article 1</w:t>
      </w:r>
      <w:r w:rsidR="0026769C">
        <w:rPr>
          <w:noProof/>
        </w:rPr>
        <w:t xml:space="preserve"> is amended as follows:</w:t>
      </w:r>
      <w:r w:rsidR="00882ACB" w:rsidRPr="00936217">
        <w:rPr>
          <w:noProof/>
        </w:rPr>
        <w:t xml:space="preserve"> </w:t>
      </w:r>
    </w:p>
    <w:p w14:paraId="57064986" w14:textId="031116F3" w:rsidR="00882ACB" w:rsidRPr="00936217" w:rsidRDefault="001969F8" w:rsidP="001969F8">
      <w:pPr>
        <w:pStyle w:val="Point0"/>
        <w:rPr>
          <w:noProof/>
        </w:rPr>
      </w:pPr>
      <w:r w:rsidRPr="001969F8">
        <w:t>(a)</w:t>
      </w:r>
      <w:r w:rsidRPr="001969F8">
        <w:tab/>
      </w:r>
      <w:r w:rsidR="00882ACB">
        <w:rPr>
          <w:noProof/>
        </w:rPr>
        <w:t xml:space="preserve">the </w:t>
      </w:r>
      <w:r w:rsidR="00882ACB" w:rsidRPr="00936217">
        <w:rPr>
          <w:noProof/>
        </w:rPr>
        <w:t>following indent is inserted</w:t>
      </w:r>
      <w:r w:rsidR="00882ACB" w:rsidRPr="00357407">
        <w:rPr>
          <w:noProof/>
        </w:rPr>
        <w:t xml:space="preserve"> </w:t>
      </w:r>
      <w:r w:rsidR="00882ACB" w:rsidRPr="00936217">
        <w:rPr>
          <w:noProof/>
        </w:rPr>
        <w:t xml:space="preserve">after the </w:t>
      </w:r>
      <w:r w:rsidR="006136C6">
        <w:rPr>
          <w:noProof/>
        </w:rPr>
        <w:t xml:space="preserve">second </w:t>
      </w:r>
      <w:r w:rsidR="00882ACB" w:rsidRPr="00936217">
        <w:rPr>
          <w:noProof/>
        </w:rPr>
        <w:t>indent</w:t>
      </w:r>
      <w:r w:rsidR="00882ACB">
        <w:rPr>
          <w:noProof/>
        </w:rPr>
        <w:t>:</w:t>
      </w:r>
      <w:r w:rsidR="00882ACB" w:rsidRPr="00936217">
        <w:rPr>
          <w:noProof/>
        </w:rPr>
        <w:t xml:space="preserve"> </w:t>
      </w:r>
    </w:p>
    <w:p w14:paraId="273F77DE" w14:textId="77777777" w:rsidR="00882ACB" w:rsidRDefault="002265EE" w:rsidP="006136C6">
      <w:pPr>
        <w:pStyle w:val="Text1"/>
        <w:rPr>
          <w:noProof/>
        </w:rPr>
      </w:pPr>
      <w:r>
        <w:rPr>
          <w:noProof/>
        </w:rPr>
        <w:t>‘</w:t>
      </w:r>
      <w:r w:rsidR="00F16047">
        <w:rPr>
          <w:noProof/>
        </w:rPr>
        <w:t>- c</w:t>
      </w:r>
      <w:r w:rsidR="006136C6">
        <w:rPr>
          <w:noProof/>
        </w:rPr>
        <w:t xml:space="preserve">ommon set of rules on </w:t>
      </w:r>
      <w:r w:rsidR="00916097">
        <w:rPr>
          <w:noProof/>
        </w:rPr>
        <w:t>preventive</w:t>
      </w:r>
      <w:r w:rsidR="006136C6">
        <w:rPr>
          <w:noProof/>
        </w:rPr>
        <w:t xml:space="preserve"> control of company information</w:t>
      </w:r>
      <w:r w:rsidR="00882ACB">
        <w:rPr>
          <w:noProof/>
        </w:rPr>
        <w:t>,</w:t>
      </w:r>
      <w:r>
        <w:rPr>
          <w:noProof/>
        </w:rPr>
        <w:t>’</w:t>
      </w:r>
      <w:r w:rsidR="00882ACB">
        <w:rPr>
          <w:noProof/>
        </w:rPr>
        <w:t>;</w:t>
      </w:r>
    </w:p>
    <w:p w14:paraId="48E63F7D" w14:textId="77777777" w:rsidR="006136C6" w:rsidRDefault="006136C6" w:rsidP="006136C6">
      <w:pPr>
        <w:pStyle w:val="Text1"/>
        <w:ind w:firstLine="590"/>
        <w:rPr>
          <w:noProof/>
        </w:rPr>
      </w:pPr>
    </w:p>
    <w:p w14:paraId="441E6EF5" w14:textId="3F538B3A" w:rsidR="00882ACB" w:rsidRDefault="001969F8" w:rsidP="001969F8">
      <w:pPr>
        <w:pStyle w:val="Point0"/>
        <w:rPr>
          <w:noProof/>
        </w:rPr>
      </w:pPr>
      <w:r w:rsidRPr="001969F8">
        <w:t>(b)</w:t>
      </w:r>
      <w:r w:rsidRPr="001969F8">
        <w:tab/>
      </w:r>
      <w:r w:rsidR="006136C6">
        <w:rPr>
          <w:noProof/>
        </w:rPr>
        <w:t xml:space="preserve">the </w:t>
      </w:r>
      <w:r w:rsidR="006136C6" w:rsidRPr="00936217">
        <w:rPr>
          <w:noProof/>
        </w:rPr>
        <w:t>following indent is inserted</w:t>
      </w:r>
      <w:r w:rsidR="006136C6" w:rsidRPr="00357407">
        <w:rPr>
          <w:noProof/>
        </w:rPr>
        <w:t xml:space="preserve"> </w:t>
      </w:r>
      <w:r w:rsidR="006136C6" w:rsidRPr="00936217">
        <w:rPr>
          <w:noProof/>
        </w:rPr>
        <w:t xml:space="preserve">after the </w:t>
      </w:r>
      <w:r w:rsidR="006136C6">
        <w:rPr>
          <w:noProof/>
        </w:rPr>
        <w:t xml:space="preserve">third </w:t>
      </w:r>
      <w:r w:rsidR="006136C6" w:rsidRPr="00936217">
        <w:rPr>
          <w:noProof/>
        </w:rPr>
        <w:t>indent</w:t>
      </w:r>
      <w:r w:rsidR="006136C6">
        <w:rPr>
          <w:noProof/>
        </w:rPr>
        <w:t>:</w:t>
      </w:r>
      <w:r w:rsidR="006136C6" w:rsidRPr="00936217">
        <w:rPr>
          <w:noProof/>
        </w:rPr>
        <w:t xml:space="preserve"> </w:t>
      </w:r>
    </w:p>
    <w:p w14:paraId="5E9390F5" w14:textId="77777777" w:rsidR="006136C6" w:rsidRDefault="002265EE" w:rsidP="00546F59">
      <w:pPr>
        <w:ind w:left="851"/>
        <w:rPr>
          <w:noProof/>
        </w:rPr>
      </w:pPr>
      <w:r>
        <w:rPr>
          <w:noProof/>
        </w:rPr>
        <w:t>‘</w:t>
      </w:r>
      <w:r w:rsidR="006136C6">
        <w:rPr>
          <w:noProof/>
        </w:rPr>
        <w:t>- disclosure requireme</w:t>
      </w:r>
      <w:r>
        <w:rPr>
          <w:noProof/>
        </w:rPr>
        <w:t>nts in respect of partnerships,’</w:t>
      </w:r>
      <w:r w:rsidR="007333BA">
        <w:rPr>
          <w:noProof/>
        </w:rPr>
        <w:t>;</w:t>
      </w:r>
    </w:p>
    <w:p w14:paraId="5E2CECAE" w14:textId="77777777" w:rsidR="006136C6" w:rsidRDefault="006136C6" w:rsidP="00882ACB">
      <w:pPr>
        <w:pStyle w:val="Text1"/>
        <w:rPr>
          <w:noProof/>
        </w:rPr>
      </w:pPr>
    </w:p>
    <w:p w14:paraId="7C80BBB4" w14:textId="1F2A92EF" w:rsidR="00C93C34" w:rsidRDefault="001969F8" w:rsidP="001969F8">
      <w:pPr>
        <w:pStyle w:val="Point0"/>
        <w:rPr>
          <w:noProof/>
        </w:rPr>
      </w:pPr>
      <w:r w:rsidRPr="001969F8">
        <w:t>(3)</w:t>
      </w:r>
      <w:r w:rsidRPr="001969F8">
        <w:tab/>
      </w:r>
      <w:r w:rsidR="00071BA0">
        <w:rPr>
          <w:noProof/>
        </w:rPr>
        <w:t>in Title I, Chapter II, Section 2, t</w:t>
      </w:r>
      <w:r w:rsidR="00C93C34">
        <w:rPr>
          <w:noProof/>
        </w:rPr>
        <w:t xml:space="preserve">he title </w:t>
      </w:r>
      <w:r w:rsidR="00C93C34" w:rsidRPr="00CF48EC">
        <w:rPr>
          <w:noProof/>
        </w:rPr>
        <w:t>is replaced by the following:</w:t>
      </w:r>
    </w:p>
    <w:p w14:paraId="71ADE931" w14:textId="77777777" w:rsidR="00C93C34" w:rsidRPr="00C93C34" w:rsidRDefault="002265EE" w:rsidP="00C93C34">
      <w:pPr>
        <w:shd w:val="clear" w:color="auto" w:fill="FFFFFF"/>
        <w:spacing w:line="312" w:lineRule="atLeast"/>
        <w:jc w:val="center"/>
        <w:rPr>
          <w:rFonts w:eastAsia="Times New Roman"/>
          <w:b/>
          <w:bCs/>
          <w:noProof/>
          <w:color w:val="333333"/>
          <w:szCs w:val="24"/>
        </w:rPr>
      </w:pPr>
      <w:r>
        <w:rPr>
          <w:noProof/>
          <w:lang w:val="en-IE" w:eastAsia="en-GB"/>
        </w:rPr>
        <w:t>‘</w:t>
      </w:r>
      <w:r w:rsidR="00C93C34" w:rsidRPr="00346EE1">
        <w:rPr>
          <w:rFonts w:eastAsia="Times New Roman"/>
          <w:b/>
          <w:bCs/>
          <w:noProof/>
          <w:color w:val="333333"/>
          <w:spacing w:val="40"/>
          <w:szCs w:val="24"/>
        </w:rPr>
        <w:t>Nullity of the company and validity of its obligations</w:t>
      </w:r>
      <w:r>
        <w:rPr>
          <w:noProof/>
          <w:lang w:val="en-IE" w:eastAsia="en-GB"/>
        </w:rPr>
        <w:t>’</w:t>
      </w:r>
      <w:r w:rsidR="00C93C34">
        <w:rPr>
          <w:noProof/>
          <w:lang w:val="en-IE" w:eastAsia="en-GB"/>
        </w:rPr>
        <w:t>;</w:t>
      </w:r>
    </w:p>
    <w:p w14:paraId="37D7DFEF" w14:textId="77777777" w:rsidR="00C93C34" w:rsidRPr="007333BA" w:rsidRDefault="00C93C34" w:rsidP="007333BA">
      <w:pPr>
        <w:pStyle w:val="title-division-2"/>
        <w:shd w:val="clear" w:color="auto" w:fill="FFFFFF"/>
        <w:spacing w:before="0" w:beforeAutospacing="0" w:after="120" w:afterAutospacing="0" w:line="312" w:lineRule="atLeast"/>
        <w:jc w:val="center"/>
        <w:rPr>
          <w:b/>
          <w:bCs/>
          <w:noProof/>
          <w:color w:val="333333"/>
        </w:rPr>
      </w:pPr>
    </w:p>
    <w:p w14:paraId="6FB69349" w14:textId="1295FD7E" w:rsidR="00882ACB" w:rsidRPr="002B04A5" w:rsidRDefault="001969F8" w:rsidP="001969F8">
      <w:pPr>
        <w:pStyle w:val="Point0"/>
        <w:rPr>
          <w:noProof/>
        </w:rPr>
      </w:pPr>
      <w:r w:rsidRPr="001969F8">
        <w:t>(4)</w:t>
      </w:r>
      <w:r w:rsidRPr="001969F8">
        <w:tab/>
      </w:r>
      <w:r w:rsidR="00A2746D">
        <w:rPr>
          <w:noProof/>
        </w:rPr>
        <w:t>i</w:t>
      </w:r>
      <w:r w:rsidR="00AE388D">
        <w:rPr>
          <w:noProof/>
        </w:rPr>
        <w:t xml:space="preserve">n </w:t>
      </w:r>
      <w:r w:rsidR="00882ACB">
        <w:rPr>
          <w:noProof/>
        </w:rPr>
        <w:t>Article 7</w:t>
      </w:r>
      <w:r w:rsidR="00FE15AC">
        <w:rPr>
          <w:noProof/>
        </w:rPr>
        <w:t>,</w:t>
      </w:r>
      <w:r w:rsidR="00882ACB" w:rsidRPr="002B04A5">
        <w:rPr>
          <w:noProof/>
        </w:rPr>
        <w:t xml:space="preserve"> </w:t>
      </w:r>
      <w:r w:rsidR="00AE388D">
        <w:rPr>
          <w:noProof/>
        </w:rPr>
        <w:t xml:space="preserve">paragraph 1 is replaced by </w:t>
      </w:r>
      <w:r w:rsidR="00882ACB" w:rsidRPr="002B04A5">
        <w:rPr>
          <w:noProof/>
        </w:rPr>
        <w:t>the following:</w:t>
      </w:r>
    </w:p>
    <w:p w14:paraId="4A3D51F4" w14:textId="77777777" w:rsidR="00882ACB" w:rsidRDefault="002265EE" w:rsidP="00A93D5D">
      <w:pPr>
        <w:pStyle w:val="Text1"/>
        <w:ind w:left="851"/>
        <w:rPr>
          <w:noProof/>
          <w:lang w:val="en-IE"/>
        </w:rPr>
      </w:pPr>
      <w:r>
        <w:rPr>
          <w:noProof/>
          <w:lang w:val="en-IE"/>
        </w:rPr>
        <w:t>‘</w:t>
      </w:r>
      <w:r w:rsidR="00A2746D">
        <w:rPr>
          <w:noProof/>
          <w:lang w:val="en-IE"/>
        </w:rPr>
        <w:t>1</w:t>
      </w:r>
      <w:r w:rsidR="00D7685F">
        <w:rPr>
          <w:noProof/>
          <w:lang w:val="en-IE"/>
        </w:rPr>
        <w:t>.</w:t>
      </w:r>
      <w:r w:rsidR="00A2746D">
        <w:rPr>
          <w:noProof/>
          <w:lang w:val="en-IE"/>
        </w:rPr>
        <w:t xml:space="preserve"> </w:t>
      </w:r>
      <w:r w:rsidR="00882ACB" w:rsidRPr="00882ACB">
        <w:rPr>
          <w:noProof/>
          <w:lang w:val="en-IE"/>
        </w:rPr>
        <w:t>The coordination measures prescribed by this Section shall apply to the laws, regulations and administrative provisions of the Member States relating to the types of compan</w:t>
      </w:r>
      <w:r w:rsidR="003C7CCF">
        <w:rPr>
          <w:noProof/>
          <w:lang w:val="en-IE"/>
        </w:rPr>
        <w:t>ies</w:t>
      </w:r>
      <w:r w:rsidR="00882ACB" w:rsidRPr="00882ACB">
        <w:rPr>
          <w:noProof/>
          <w:lang w:val="en-IE"/>
        </w:rPr>
        <w:t xml:space="preserve"> listed in Annex II </w:t>
      </w:r>
      <w:r w:rsidR="00882ACB" w:rsidRPr="008D4AC2">
        <w:rPr>
          <w:noProof/>
          <w:color w:val="000000" w:themeColor="text1"/>
          <w:lang w:val="en-IE"/>
        </w:rPr>
        <w:t>and</w:t>
      </w:r>
      <w:r w:rsidR="003C7CCF">
        <w:rPr>
          <w:noProof/>
          <w:color w:val="000000" w:themeColor="text1"/>
          <w:lang w:val="en-IE"/>
        </w:rPr>
        <w:t>,</w:t>
      </w:r>
      <w:r w:rsidR="00882ACB" w:rsidRPr="008D4AC2">
        <w:rPr>
          <w:noProof/>
          <w:color w:val="000000" w:themeColor="text1"/>
          <w:lang w:val="en-IE"/>
        </w:rPr>
        <w:t xml:space="preserve"> where specified, to the types of companies listed in Annex IIB.</w:t>
      </w:r>
      <w:r>
        <w:rPr>
          <w:noProof/>
          <w:lang w:val="en-IE"/>
        </w:rPr>
        <w:t>’</w:t>
      </w:r>
      <w:r w:rsidR="00882ACB" w:rsidRPr="002B04A5">
        <w:rPr>
          <w:noProof/>
          <w:lang w:val="en-IE"/>
        </w:rPr>
        <w:t>;</w:t>
      </w:r>
    </w:p>
    <w:p w14:paraId="2D7DCFFD" w14:textId="77777777" w:rsidR="00AE388D" w:rsidRPr="002B04A5" w:rsidRDefault="00AE388D" w:rsidP="00882ACB">
      <w:pPr>
        <w:pStyle w:val="Text1"/>
        <w:rPr>
          <w:noProof/>
          <w:lang w:val="en-IE"/>
        </w:rPr>
      </w:pPr>
    </w:p>
    <w:p w14:paraId="4EA0E84A" w14:textId="52FEC345" w:rsidR="00AE388D" w:rsidRDefault="001969F8" w:rsidP="001969F8">
      <w:pPr>
        <w:pStyle w:val="Point0"/>
        <w:rPr>
          <w:noProof/>
        </w:rPr>
      </w:pPr>
      <w:r w:rsidRPr="001969F8">
        <w:t>(5)</w:t>
      </w:r>
      <w:r w:rsidRPr="001969F8">
        <w:tab/>
      </w:r>
      <w:r w:rsidR="00AE388D">
        <w:rPr>
          <w:noProof/>
        </w:rPr>
        <w:t xml:space="preserve">Article 10 is replaced by </w:t>
      </w:r>
      <w:r w:rsidR="00AE388D" w:rsidRPr="002B04A5">
        <w:rPr>
          <w:noProof/>
        </w:rPr>
        <w:t>the following:</w:t>
      </w:r>
    </w:p>
    <w:p w14:paraId="0DFC2E63" w14:textId="77777777" w:rsidR="00AE388D" w:rsidRDefault="002265EE" w:rsidP="002F0EBD">
      <w:pPr>
        <w:jc w:val="center"/>
        <w:rPr>
          <w:noProof/>
        </w:rPr>
      </w:pPr>
      <w:r>
        <w:rPr>
          <w:noProof/>
        </w:rPr>
        <w:t>‘</w:t>
      </w:r>
      <w:r w:rsidR="00AE388D" w:rsidRPr="002265EE">
        <w:rPr>
          <w:noProof/>
        </w:rPr>
        <w:t>Article 10</w:t>
      </w:r>
    </w:p>
    <w:p w14:paraId="1E8C34BA" w14:textId="77777777" w:rsidR="002265EE" w:rsidRPr="008D4AC2" w:rsidRDefault="002265EE" w:rsidP="00546F59">
      <w:pPr>
        <w:shd w:val="clear" w:color="auto" w:fill="FFFFFF"/>
        <w:spacing w:before="240" w:line="312" w:lineRule="atLeast"/>
        <w:jc w:val="center"/>
        <w:rPr>
          <w:noProof/>
        </w:rPr>
      </w:pPr>
      <w:r w:rsidRPr="002265EE">
        <w:rPr>
          <w:rFonts w:eastAsia="Times New Roman"/>
          <w:b/>
          <w:bCs/>
          <w:noProof/>
          <w:szCs w:val="24"/>
        </w:rPr>
        <w:t>Preventive control</w:t>
      </w:r>
    </w:p>
    <w:p w14:paraId="03CF9638" w14:textId="15CC2045" w:rsidR="008D4AC2" w:rsidRPr="008D4AC2" w:rsidRDefault="001969F8" w:rsidP="001969F8">
      <w:pPr>
        <w:pStyle w:val="ManualNumPar1"/>
        <w:rPr>
          <w:noProof/>
        </w:rPr>
      </w:pPr>
      <w:r w:rsidRPr="001969F8">
        <w:t>1.</w:t>
      </w:r>
      <w:r w:rsidRPr="001969F8">
        <w:tab/>
      </w:r>
      <w:r w:rsidR="009C46BD">
        <w:rPr>
          <w:noProof/>
        </w:rPr>
        <w:t>Member States shall</w:t>
      </w:r>
      <w:r w:rsidR="008D4AC2" w:rsidRPr="008D4AC2">
        <w:rPr>
          <w:noProof/>
        </w:rPr>
        <w:t xml:space="preserve"> provide for preventive administrative or judicial control</w:t>
      </w:r>
      <w:r w:rsidR="00BC7FDE">
        <w:rPr>
          <w:noProof/>
        </w:rPr>
        <w:t>,</w:t>
      </w:r>
      <w:r w:rsidR="008D4AC2" w:rsidRPr="008D4AC2">
        <w:rPr>
          <w:noProof/>
        </w:rPr>
        <w:t xml:space="preserve"> at the time of </w:t>
      </w:r>
      <w:r w:rsidR="00BC7FDE">
        <w:rPr>
          <w:noProof/>
        </w:rPr>
        <w:t xml:space="preserve">the </w:t>
      </w:r>
      <w:r w:rsidR="008D4AC2" w:rsidRPr="008D4AC2">
        <w:rPr>
          <w:noProof/>
        </w:rPr>
        <w:t>formation of a company</w:t>
      </w:r>
      <w:r w:rsidR="008B36F7">
        <w:rPr>
          <w:noProof/>
        </w:rPr>
        <w:t>,</w:t>
      </w:r>
      <w:r w:rsidR="008D4AC2" w:rsidRPr="008D4AC2">
        <w:rPr>
          <w:noProof/>
        </w:rPr>
        <w:t xml:space="preserve"> of the instrument of constitution, the company statutes and any amendments to those documents. Member States may provide that those documents shall be drawn up and certified in due legal form.  </w:t>
      </w:r>
    </w:p>
    <w:p w14:paraId="4DC2A33B" w14:textId="2293A921" w:rsidR="008D4AC2" w:rsidRPr="0065439E" w:rsidRDefault="001969F8" w:rsidP="001969F8">
      <w:pPr>
        <w:pStyle w:val="ManualNumPar1"/>
        <w:rPr>
          <w:noProof/>
        </w:rPr>
      </w:pPr>
      <w:r w:rsidRPr="001969F8">
        <w:t>2.</w:t>
      </w:r>
      <w:r w:rsidRPr="001969F8">
        <w:tab/>
      </w:r>
      <w:r w:rsidR="008D4AC2" w:rsidRPr="0065439E">
        <w:rPr>
          <w:noProof/>
        </w:rPr>
        <w:t xml:space="preserve">Member States shall ensure that their laws for the formation of companies listed in </w:t>
      </w:r>
      <w:r w:rsidR="00A2746D">
        <w:rPr>
          <w:noProof/>
        </w:rPr>
        <w:t>A</w:t>
      </w:r>
      <w:r w:rsidR="008D4AC2" w:rsidRPr="0065439E">
        <w:rPr>
          <w:noProof/>
        </w:rPr>
        <w:t xml:space="preserve">nnexes II and IIB </w:t>
      </w:r>
      <w:r w:rsidR="00A2746D">
        <w:rPr>
          <w:noProof/>
        </w:rPr>
        <w:t xml:space="preserve">lay down </w:t>
      </w:r>
      <w:r w:rsidR="008D4AC2" w:rsidRPr="0065439E">
        <w:rPr>
          <w:noProof/>
        </w:rPr>
        <w:t xml:space="preserve">a procedure </w:t>
      </w:r>
      <w:r w:rsidR="00A2746D">
        <w:rPr>
          <w:noProof/>
        </w:rPr>
        <w:t xml:space="preserve">for the legality check </w:t>
      </w:r>
      <w:r w:rsidR="008D4AC2" w:rsidRPr="0065439E">
        <w:rPr>
          <w:noProof/>
        </w:rPr>
        <w:t xml:space="preserve">of </w:t>
      </w:r>
      <w:r w:rsidR="00A2746D">
        <w:rPr>
          <w:noProof/>
        </w:rPr>
        <w:t>a</w:t>
      </w:r>
      <w:r w:rsidR="008D4AC2" w:rsidRPr="0065439E">
        <w:rPr>
          <w:noProof/>
        </w:rPr>
        <w:t xml:space="preserve"> company</w:t>
      </w:r>
      <w:r w:rsidR="00A2746D">
        <w:rPr>
          <w:noProof/>
        </w:rPr>
        <w:t>’s</w:t>
      </w:r>
      <w:r w:rsidR="008D4AC2" w:rsidRPr="0065439E">
        <w:rPr>
          <w:noProof/>
        </w:rPr>
        <w:t xml:space="preserve"> instrument of constitution</w:t>
      </w:r>
      <w:r w:rsidR="003C7CCF">
        <w:rPr>
          <w:noProof/>
        </w:rPr>
        <w:t>,</w:t>
      </w:r>
      <w:r w:rsidR="008D4AC2" w:rsidRPr="0065439E">
        <w:rPr>
          <w:noProof/>
        </w:rPr>
        <w:t xml:space="preserve"> and </w:t>
      </w:r>
      <w:r w:rsidR="003C7CCF">
        <w:rPr>
          <w:noProof/>
        </w:rPr>
        <w:t>for its</w:t>
      </w:r>
      <w:r w:rsidR="008D4AC2" w:rsidRPr="0065439E">
        <w:rPr>
          <w:noProof/>
        </w:rPr>
        <w:t xml:space="preserve"> statutes if they are contained in a separate instrument. Member States shall ensure that such check is </w:t>
      </w:r>
      <w:r w:rsidR="00A2746D">
        <w:rPr>
          <w:noProof/>
        </w:rPr>
        <w:t xml:space="preserve">also </w:t>
      </w:r>
      <w:r w:rsidR="008D4AC2" w:rsidRPr="0065439E">
        <w:rPr>
          <w:noProof/>
        </w:rPr>
        <w:t xml:space="preserve">carried out in case of any amendment of those documents. </w:t>
      </w:r>
    </w:p>
    <w:p w14:paraId="3EFCF3D0" w14:textId="77777777" w:rsidR="008D4AC2" w:rsidRPr="009E4CE7" w:rsidRDefault="008D4AC2" w:rsidP="00A93D5D">
      <w:pPr>
        <w:shd w:val="clear" w:color="auto" w:fill="FFFFFF"/>
        <w:tabs>
          <w:tab w:val="num" w:pos="851"/>
        </w:tabs>
        <w:spacing w:after="0"/>
        <w:ind w:left="851"/>
        <w:rPr>
          <w:noProof/>
          <w:color w:val="000000" w:themeColor="text1"/>
          <w:szCs w:val="24"/>
        </w:rPr>
      </w:pPr>
      <w:r w:rsidRPr="008D4AC2">
        <w:rPr>
          <w:rFonts w:eastAsia="Times New Roman"/>
          <w:noProof/>
          <w:color w:val="000000" w:themeColor="text1"/>
          <w:szCs w:val="24"/>
        </w:rPr>
        <w:t>Th</w:t>
      </w:r>
      <w:r w:rsidR="00862EEF">
        <w:rPr>
          <w:rFonts w:eastAsia="Times New Roman"/>
          <w:noProof/>
          <w:color w:val="000000" w:themeColor="text1"/>
          <w:szCs w:val="24"/>
        </w:rPr>
        <w:t>rough</w:t>
      </w:r>
      <w:r w:rsidRPr="008D4AC2">
        <w:rPr>
          <w:rFonts w:eastAsia="Times New Roman"/>
          <w:noProof/>
          <w:color w:val="000000" w:themeColor="text1"/>
          <w:szCs w:val="24"/>
        </w:rPr>
        <w:t xml:space="preserve"> </w:t>
      </w:r>
      <w:r w:rsidR="00862EEF">
        <w:rPr>
          <w:rFonts w:eastAsia="Times New Roman"/>
          <w:noProof/>
          <w:color w:val="000000" w:themeColor="text1"/>
          <w:szCs w:val="24"/>
        </w:rPr>
        <w:t>the</w:t>
      </w:r>
      <w:r w:rsidRPr="008D4AC2">
        <w:rPr>
          <w:rFonts w:eastAsia="Times New Roman"/>
          <w:noProof/>
          <w:color w:val="000000" w:themeColor="text1"/>
          <w:szCs w:val="24"/>
        </w:rPr>
        <w:t xml:space="preserve"> legality check</w:t>
      </w:r>
      <w:r w:rsidR="001203CB">
        <w:rPr>
          <w:rFonts w:eastAsia="Times New Roman"/>
          <w:noProof/>
          <w:color w:val="000000" w:themeColor="text1"/>
          <w:szCs w:val="24"/>
        </w:rPr>
        <w:t>,</w:t>
      </w:r>
      <w:r w:rsidRPr="008D4AC2">
        <w:rPr>
          <w:rFonts w:eastAsia="Times New Roman"/>
          <w:noProof/>
          <w:color w:val="000000" w:themeColor="text1"/>
          <w:szCs w:val="24"/>
        </w:rPr>
        <w:t xml:space="preserve"> </w:t>
      </w:r>
      <w:r w:rsidR="00862EEF">
        <w:rPr>
          <w:rFonts w:eastAsia="Times New Roman"/>
          <w:noProof/>
          <w:color w:val="000000" w:themeColor="text1"/>
          <w:szCs w:val="24"/>
        </w:rPr>
        <w:t xml:space="preserve">it </w:t>
      </w:r>
      <w:r w:rsidRPr="008D4AC2">
        <w:rPr>
          <w:rFonts w:eastAsia="Times New Roman"/>
          <w:noProof/>
          <w:color w:val="000000" w:themeColor="text1"/>
          <w:szCs w:val="24"/>
        </w:rPr>
        <w:t xml:space="preserve">shall </w:t>
      </w:r>
      <w:r w:rsidR="00862EEF">
        <w:rPr>
          <w:rFonts w:eastAsia="Times New Roman"/>
          <w:noProof/>
          <w:color w:val="000000" w:themeColor="text1"/>
          <w:szCs w:val="24"/>
        </w:rPr>
        <w:t xml:space="preserve">be ascertained </w:t>
      </w:r>
      <w:r w:rsidRPr="008D4AC2">
        <w:rPr>
          <w:rFonts w:eastAsia="Times New Roman"/>
          <w:noProof/>
          <w:color w:val="000000" w:themeColor="text1"/>
          <w:szCs w:val="24"/>
        </w:rPr>
        <w:t>at least</w:t>
      </w:r>
      <w:r w:rsidR="00F3584A">
        <w:rPr>
          <w:rFonts w:eastAsia="Times New Roman"/>
          <w:noProof/>
          <w:color w:val="000000" w:themeColor="text1"/>
          <w:szCs w:val="24"/>
        </w:rPr>
        <w:t xml:space="preserve"> that</w:t>
      </w:r>
      <w:r w:rsidRPr="008D4AC2">
        <w:rPr>
          <w:noProof/>
          <w:color w:val="000000" w:themeColor="text1"/>
          <w:szCs w:val="24"/>
        </w:rPr>
        <w:t xml:space="preserve">: </w:t>
      </w:r>
    </w:p>
    <w:p w14:paraId="09224330" w14:textId="60A7DB44" w:rsidR="008D4AC2" w:rsidRPr="009E4CE7" w:rsidRDefault="001969F8" w:rsidP="001969F8">
      <w:pPr>
        <w:pStyle w:val="Point2"/>
        <w:rPr>
          <w:noProof/>
        </w:rPr>
      </w:pPr>
      <w:r w:rsidRPr="001969F8">
        <w:t>(a)</w:t>
      </w:r>
      <w:r w:rsidRPr="001969F8">
        <w:tab/>
      </w:r>
      <w:r w:rsidR="008D4AC2" w:rsidRPr="009E4CE7">
        <w:rPr>
          <w:noProof/>
        </w:rPr>
        <w:t>the formal requirements for the instrument of constitution</w:t>
      </w:r>
      <w:r w:rsidR="003C7CCF">
        <w:rPr>
          <w:noProof/>
        </w:rPr>
        <w:t>,</w:t>
      </w:r>
      <w:r w:rsidR="008D4AC2" w:rsidRPr="009E4CE7">
        <w:rPr>
          <w:noProof/>
        </w:rPr>
        <w:t xml:space="preserve"> and for the statutes if they are contained in a separate instrument, are fulfilled and that the correct use of templates </w:t>
      </w:r>
      <w:r w:rsidR="00320B07">
        <w:rPr>
          <w:noProof/>
        </w:rPr>
        <w:t xml:space="preserve">referred to in Article 13h </w:t>
      </w:r>
      <w:r w:rsidR="008D4AC2" w:rsidRPr="009E4CE7">
        <w:rPr>
          <w:noProof/>
        </w:rPr>
        <w:t xml:space="preserve">is verified; </w:t>
      </w:r>
    </w:p>
    <w:p w14:paraId="02784D00" w14:textId="104FCE3E" w:rsidR="008D4AC2" w:rsidRPr="005800C8" w:rsidRDefault="001969F8" w:rsidP="001969F8">
      <w:pPr>
        <w:pStyle w:val="Point2"/>
        <w:rPr>
          <w:rFonts w:eastAsia="Times New Roman"/>
          <w:noProof/>
        </w:rPr>
      </w:pPr>
      <w:r w:rsidRPr="001969F8">
        <w:t>(b)</w:t>
      </w:r>
      <w:r w:rsidRPr="001969F8">
        <w:tab/>
      </w:r>
      <w:r w:rsidR="008D4AC2" w:rsidRPr="009E4CE7">
        <w:rPr>
          <w:noProof/>
        </w:rPr>
        <w:t xml:space="preserve">the mandatory minimum content is included; </w:t>
      </w:r>
    </w:p>
    <w:p w14:paraId="5C2EB431" w14:textId="3175D3EC" w:rsidR="008D4AC2" w:rsidRPr="005800C8" w:rsidRDefault="001969F8" w:rsidP="001969F8">
      <w:pPr>
        <w:pStyle w:val="Point2"/>
        <w:rPr>
          <w:rFonts w:eastAsia="Times New Roman"/>
          <w:noProof/>
        </w:rPr>
      </w:pPr>
      <w:r w:rsidRPr="001969F8">
        <w:t>(c)</w:t>
      </w:r>
      <w:r w:rsidRPr="001969F8">
        <w:tab/>
      </w:r>
      <w:r w:rsidR="008D4AC2" w:rsidRPr="009E4CE7">
        <w:rPr>
          <w:noProof/>
        </w:rPr>
        <w:t>there are no evident substantive legal irregularities; and</w:t>
      </w:r>
    </w:p>
    <w:p w14:paraId="06C3A8AE" w14:textId="34F4E159" w:rsidR="008D4AC2" w:rsidRPr="005800C8" w:rsidDel="00714A7C" w:rsidRDefault="001969F8" w:rsidP="001969F8">
      <w:pPr>
        <w:pStyle w:val="Point2"/>
        <w:rPr>
          <w:rFonts w:eastAsia="Times New Roman"/>
          <w:noProof/>
        </w:rPr>
      </w:pPr>
      <w:r w:rsidRPr="001969F8">
        <w:t>(d)</w:t>
      </w:r>
      <w:r w:rsidRPr="001969F8">
        <w:tab/>
      </w:r>
      <w:r w:rsidR="008D4AC2" w:rsidRPr="009E4CE7">
        <w:rPr>
          <w:noProof/>
        </w:rPr>
        <w:t>the contribution, whether payment in cash or contribution in kind, has been paid, in accordance with national law.</w:t>
      </w:r>
    </w:p>
    <w:p w14:paraId="1B2ABC68" w14:textId="77777777" w:rsidR="008D4AC2" w:rsidRPr="003628C3" w:rsidRDefault="008D4AC2" w:rsidP="00A93D5D">
      <w:pPr>
        <w:shd w:val="clear" w:color="auto" w:fill="FFFFFF"/>
        <w:tabs>
          <w:tab w:val="num" w:pos="851"/>
        </w:tabs>
        <w:spacing w:after="0"/>
        <w:ind w:left="851"/>
        <w:rPr>
          <w:rFonts w:eastAsia="Times New Roman"/>
          <w:noProof/>
          <w:color w:val="000000" w:themeColor="text1"/>
          <w:szCs w:val="24"/>
        </w:rPr>
      </w:pPr>
      <w:r w:rsidRPr="008D4AC2">
        <w:rPr>
          <w:rFonts w:eastAsia="Times New Roman"/>
          <w:noProof/>
          <w:color w:val="000000" w:themeColor="text1"/>
          <w:szCs w:val="24"/>
        </w:rPr>
        <w:t xml:space="preserve">Where, for the formation of companies listed in </w:t>
      </w:r>
      <w:r w:rsidR="0002794B">
        <w:rPr>
          <w:rFonts w:eastAsia="Times New Roman"/>
          <w:noProof/>
          <w:color w:val="000000" w:themeColor="text1"/>
          <w:szCs w:val="24"/>
        </w:rPr>
        <w:t>A</w:t>
      </w:r>
      <w:r w:rsidRPr="008D4AC2">
        <w:rPr>
          <w:rFonts w:eastAsia="Times New Roman"/>
          <w:noProof/>
          <w:color w:val="000000" w:themeColor="text1"/>
          <w:szCs w:val="24"/>
        </w:rPr>
        <w:t xml:space="preserve">nnex IIB, </w:t>
      </w:r>
      <w:r w:rsidR="0002794B">
        <w:rPr>
          <w:rFonts w:eastAsia="Times New Roman"/>
          <w:noProof/>
          <w:color w:val="000000" w:themeColor="text1"/>
          <w:szCs w:val="24"/>
        </w:rPr>
        <w:t>national</w:t>
      </w:r>
      <w:r w:rsidRPr="008D4AC2">
        <w:rPr>
          <w:rFonts w:eastAsia="Times New Roman"/>
          <w:noProof/>
          <w:color w:val="000000" w:themeColor="text1"/>
          <w:szCs w:val="24"/>
        </w:rPr>
        <w:t xml:space="preserve"> law does not require the drawing up of instruments of constitution and statutes, the </w:t>
      </w:r>
      <w:r w:rsidR="0002794B">
        <w:rPr>
          <w:rFonts w:eastAsia="Times New Roman"/>
          <w:noProof/>
          <w:color w:val="000000" w:themeColor="text1"/>
          <w:szCs w:val="24"/>
        </w:rPr>
        <w:t>procedure for the</w:t>
      </w:r>
      <w:r w:rsidRPr="008D4AC2">
        <w:rPr>
          <w:rFonts w:eastAsia="Times New Roman"/>
          <w:noProof/>
          <w:color w:val="000000" w:themeColor="text1"/>
          <w:szCs w:val="24"/>
        </w:rPr>
        <w:t xml:space="preserve"> legality check shall include the formal and substantive control of the documents required under national law for the formation of such companies.</w:t>
      </w:r>
    </w:p>
    <w:p w14:paraId="518AA72A" w14:textId="77777777" w:rsidR="009739DE" w:rsidRDefault="008D4AC2" w:rsidP="00A93D5D">
      <w:pPr>
        <w:shd w:val="clear" w:color="auto" w:fill="FFFFFF"/>
        <w:tabs>
          <w:tab w:val="num" w:pos="851"/>
        </w:tabs>
        <w:spacing w:after="0" w:line="312" w:lineRule="atLeast"/>
        <w:ind w:left="851"/>
        <w:rPr>
          <w:rFonts w:eastAsia="Times New Roman"/>
          <w:noProof/>
          <w:color w:val="000000" w:themeColor="text1"/>
          <w:szCs w:val="24"/>
        </w:rPr>
      </w:pPr>
      <w:r w:rsidRPr="008D4AC2">
        <w:rPr>
          <w:rFonts w:eastAsia="Times New Roman"/>
          <w:noProof/>
          <w:color w:val="000000" w:themeColor="text1"/>
          <w:szCs w:val="24"/>
        </w:rPr>
        <w:t xml:space="preserve">3. </w:t>
      </w:r>
      <w:r w:rsidR="001A5497">
        <w:rPr>
          <w:rFonts w:eastAsia="Times New Roman"/>
          <w:noProof/>
          <w:color w:val="000000" w:themeColor="text1"/>
          <w:szCs w:val="24"/>
        </w:rPr>
        <w:tab/>
      </w:r>
      <w:r w:rsidRPr="008D4AC2">
        <w:rPr>
          <w:rFonts w:eastAsia="Times New Roman"/>
          <w:noProof/>
          <w:color w:val="000000" w:themeColor="text1"/>
          <w:szCs w:val="24"/>
        </w:rPr>
        <w:t xml:space="preserve">Member States may waive the obligation to perform the legality check under </w:t>
      </w:r>
      <w:r w:rsidR="0002794B">
        <w:rPr>
          <w:rFonts w:eastAsia="Times New Roman"/>
          <w:noProof/>
          <w:color w:val="000000" w:themeColor="text1"/>
          <w:szCs w:val="24"/>
        </w:rPr>
        <w:t xml:space="preserve">paragraph 2, </w:t>
      </w:r>
      <w:r w:rsidRPr="008D4AC2">
        <w:rPr>
          <w:rFonts w:eastAsia="Times New Roman"/>
          <w:noProof/>
          <w:color w:val="000000" w:themeColor="text1"/>
          <w:szCs w:val="24"/>
        </w:rPr>
        <w:t>poin</w:t>
      </w:r>
      <w:r w:rsidR="002265EE">
        <w:rPr>
          <w:rFonts w:eastAsia="Times New Roman"/>
          <w:noProof/>
          <w:color w:val="000000" w:themeColor="text1"/>
          <w:szCs w:val="24"/>
        </w:rPr>
        <w:t>ts (</w:t>
      </w:r>
      <w:r w:rsidR="0002794B">
        <w:rPr>
          <w:rFonts w:eastAsia="Times New Roman"/>
          <w:noProof/>
          <w:color w:val="000000" w:themeColor="text1"/>
          <w:szCs w:val="24"/>
        </w:rPr>
        <w:t>b</w:t>
      </w:r>
      <w:r w:rsidR="002265EE">
        <w:rPr>
          <w:rFonts w:eastAsia="Times New Roman"/>
          <w:noProof/>
          <w:color w:val="000000" w:themeColor="text1"/>
          <w:szCs w:val="24"/>
        </w:rPr>
        <w:t>) and (</w:t>
      </w:r>
      <w:r w:rsidR="0002794B">
        <w:rPr>
          <w:rFonts w:eastAsia="Times New Roman"/>
          <w:noProof/>
          <w:color w:val="000000" w:themeColor="text1"/>
          <w:szCs w:val="24"/>
        </w:rPr>
        <w:t>c</w:t>
      </w:r>
      <w:r w:rsidR="002265EE">
        <w:rPr>
          <w:rFonts w:eastAsia="Times New Roman"/>
          <w:noProof/>
          <w:color w:val="000000" w:themeColor="text1"/>
          <w:szCs w:val="24"/>
        </w:rPr>
        <w:t>)</w:t>
      </w:r>
      <w:r w:rsidR="00C57CCC">
        <w:rPr>
          <w:rFonts w:eastAsia="Times New Roman"/>
          <w:noProof/>
          <w:color w:val="000000" w:themeColor="text1"/>
          <w:szCs w:val="24"/>
        </w:rPr>
        <w:t>,</w:t>
      </w:r>
      <w:r w:rsidR="002265EE">
        <w:rPr>
          <w:rFonts w:eastAsia="Times New Roman"/>
          <w:noProof/>
          <w:color w:val="000000" w:themeColor="text1"/>
          <w:szCs w:val="24"/>
        </w:rPr>
        <w:t xml:space="preserve"> </w:t>
      </w:r>
      <w:r w:rsidRPr="008D4AC2">
        <w:rPr>
          <w:rFonts w:eastAsia="Times New Roman"/>
          <w:noProof/>
          <w:color w:val="000000" w:themeColor="text1"/>
          <w:szCs w:val="24"/>
        </w:rPr>
        <w:t>of this Article where templates referred to in Article 13h are used by applicants.</w:t>
      </w:r>
    </w:p>
    <w:p w14:paraId="4F3BD7BD" w14:textId="77777777" w:rsidR="008D4AC2" w:rsidRPr="008D4AC2" w:rsidRDefault="008D4AC2" w:rsidP="00A93D5D">
      <w:pPr>
        <w:shd w:val="clear" w:color="auto" w:fill="FFFFFF"/>
        <w:tabs>
          <w:tab w:val="num" w:pos="851"/>
        </w:tabs>
        <w:spacing w:after="0" w:line="312" w:lineRule="atLeast"/>
        <w:ind w:left="851"/>
        <w:rPr>
          <w:rFonts w:eastAsia="Times New Roman"/>
          <w:noProof/>
          <w:color w:val="000000" w:themeColor="text1"/>
          <w:szCs w:val="24"/>
        </w:rPr>
      </w:pPr>
      <w:r w:rsidRPr="008D4AC2">
        <w:rPr>
          <w:rFonts w:eastAsia="Times New Roman"/>
          <w:noProof/>
          <w:color w:val="000000" w:themeColor="text1"/>
          <w:szCs w:val="24"/>
        </w:rPr>
        <w:t xml:space="preserve">4. </w:t>
      </w:r>
      <w:r w:rsidR="001A5497">
        <w:rPr>
          <w:rFonts w:eastAsia="Times New Roman"/>
          <w:noProof/>
          <w:color w:val="000000" w:themeColor="text1"/>
          <w:szCs w:val="24"/>
        </w:rPr>
        <w:tab/>
      </w:r>
      <w:r w:rsidR="009739DE">
        <w:rPr>
          <w:rFonts w:eastAsia="Times New Roman"/>
          <w:noProof/>
          <w:color w:val="000000" w:themeColor="text1"/>
          <w:szCs w:val="24"/>
        </w:rPr>
        <w:t>The rules laid down in Article 13(</w:t>
      </w:r>
      <w:r w:rsidRPr="008D4AC2">
        <w:rPr>
          <w:rFonts w:eastAsia="Times New Roman"/>
          <w:noProof/>
          <w:color w:val="000000" w:themeColor="text1"/>
          <w:szCs w:val="24"/>
        </w:rPr>
        <w:t>4</w:t>
      </w:r>
      <w:r w:rsidR="009739DE">
        <w:rPr>
          <w:rFonts w:eastAsia="Times New Roman"/>
          <w:noProof/>
          <w:color w:val="000000" w:themeColor="text1"/>
          <w:szCs w:val="24"/>
        </w:rPr>
        <w:t>),</w:t>
      </w:r>
      <w:r w:rsidRPr="008D4AC2">
        <w:rPr>
          <w:rFonts w:eastAsia="Times New Roman"/>
          <w:noProof/>
          <w:color w:val="000000" w:themeColor="text1"/>
          <w:szCs w:val="24"/>
        </w:rPr>
        <w:t xml:space="preserve"> points </w:t>
      </w:r>
      <w:r w:rsidR="009739DE">
        <w:rPr>
          <w:rFonts w:eastAsia="Times New Roman"/>
          <w:noProof/>
          <w:color w:val="000000" w:themeColor="text1"/>
          <w:szCs w:val="24"/>
        </w:rPr>
        <w:t>(</w:t>
      </w:r>
      <w:r w:rsidRPr="008D4AC2">
        <w:rPr>
          <w:rFonts w:eastAsia="Times New Roman"/>
          <w:noProof/>
          <w:color w:val="000000" w:themeColor="text1"/>
          <w:szCs w:val="24"/>
        </w:rPr>
        <w:t>b</w:t>
      </w:r>
      <w:r w:rsidR="009739DE">
        <w:rPr>
          <w:rFonts w:eastAsia="Times New Roman"/>
          <w:noProof/>
          <w:color w:val="000000" w:themeColor="text1"/>
          <w:szCs w:val="24"/>
        </w:rPr>
        <w:t>)</w:t>
      </w:r>
      <w:r w:rsidRPr="008D4AC2">
        <w:rPr>
          <w:rFonts w:eastAsia="Times New Roman"/>
          <w:noProof/>
          <w:color w:val="000000" w:themeColor="text1"/>
          <w:szCs w:val="24"/>
        </w:rPr>
        <w:t xml:space="preserve"> and </w:t>
      </w:r>
      <w:r w:rsidR="009739DE">
        <w:rPr>
          <w:rFonts w:eastAsia="Times New Roman"/>
          <w:noProof/>
          <w:color w:val="000000" w:themeColor="text1"/>
          <w:szCs w:val="24"/>
        </w:rPr>
        <w:t>(</w:t>
      </w:r>
      <w:r w:rsidRPr="008D4AC2">
        <w:rPr>
          <w:rFonts w:eastAsia="Times New Roman"/>
          <w:noProof/>
          <w:color w:val="000000" w:themeColor="text1"/>
          <w:szCs w:val="24"/>
        </w:rPr>
        <w:t>c</w:t>
      </w:r>
      <w:r w:rsidR="009739DE">
        <w:rPr>
          <w:rFonts w:eastAsia="Times New Roman"/>
          <w:noProof/>
          <w:color w:val="000000" w:themeColor="text1"/>
          <w:szCs w:val="24"/>
        </w:rPr>
        <w:t>)</w:t>
      </w:r>
      <w:r w:rsidRPr="008D4AC2">
        <w:rPr>
          <w:rFonts w:eastAsia="Times New Roman"/>
          <w:noProof/>
          <w:color w:val="000000" w:themeColor="text1"/>
          <w:szCs w:val="24"/>
        </w:rPr>
        <w:t xml:space="preserve">, </w:t>
      </w:r>
      <w:r w:rsidR="009739DE">
        <w:rPr>
          <w:rFonts w:eastAsia="Times New Roman"/>
          <w:noProof/>
          <w:color w:val="000000" w:themeColor="text1"/>
          <w:szCs w:val="24"/>
        </w:rPr>
        <w:t>Article 13(</w:t>
      </w:r>
      <w:r w:rsidRPr="008D4AC2">
        <w:rPr>
          <w:rFonts w:eastAsia="Times New Roman"/>
          <w:noProof/>
          <w:color w:val="000000" w:themeColor="text1"/>
          <w:szCs w:val="24"/>
        </w:rPr>
        <w:t>5</w:t>
      </w:r>
      <w:r w:rsidR="009739DE">
        <w:rPr>
          <w:rFonts w:eastAsia="Times New Roman"/>
          <w:noProof/>
          <w:color w:val="000000" w:themeColor="text1"/>
          <w:szCs w:val="24"/>
        </w:rPr>
        <w:t>)</w:t>
      </w:r>
      <w:r w:rsidRPr="008D4AC2">
        <w:rPr>
          <w:rFonts w:eastAsia="Times New Roman"/>
          <w:noProof/>
          <w:color w:val="000000" w:themeColor="text1"/>
          <w:szCs w:val="24"/>
        </w:rPr>
        <w:t xml:space="preserve"> and </w:t>
      </w:r>
      <w:r w:rsidR="009739DE">
        <w:rPr>
          <w:rFonts w:eastAsia="Times New Roman"/>
          <w:noProof/>
          <w:color w:val="000000" w:themeColor="text1"/>
          <w:szCs w:val="24"/>
        </w:rPr>
        <w:t>(</w:t>
      </w:r>
      <w:r w:rsidRPr="008D4AC2">
        <w:rPr>
          <w:rFonts w:eastAsia="Times New Roman"/>
          <w:noProof/>
          <w:color w:val="000000" w:themeColor="text1"/>
          <w:szCs w:val="24"/>
        </w:rPr>
        <w:t>7</w:t>
      </w:r>
      <w:r w:rsidR="009739DE">
        <w:rPr>
          <w:rFonts w:eastAsia="Times New Roman"/>
          <w:noProof/>
          <w:color w:val="000000" w:themeColor="text1"/>
          <w:szCs w:val="24"/>
        </w:rPr>
        <w:t>)</w:t>
      </w:r>
      <w:r w:rsidR="00D90346">
        <w:rPr>
          <w:rFonts w:eastAsia="Times New Roman"/>
          <w:noProof/>
          <w:color w:val="000000" w:themeColor="text1"/>
          <w:szCs w:val="24"/>
        </w:rPr>
        <w:t>, and</w:t>
      </w:r>
      <w:r w:rsidRPr="008D4AC2">
        <w:rPr>
          <w:rFonts w:eastAsia="Times New Roman"/>
          <w:noProof/>
          <w:color w:val="000000" w:themeColor="text1"/>
          <w:szCs w:val="24"/>
        </w:rPr>
        <w:t xml:space="preserve"> </w:t>
      </w:r>
      <w:r w:rsidR="00D90346" w:rsidRPr="008D4AC2">
        <w:rPr>
          <w:rFonts w:eastAsia="Times New Roman"/>
          <w:noProof/>
          <w:color w:val="000000" w:themeColor="text1"/>
          <w:szCs w:val="24"/>
        </w:rPr>
        <w:t>Article 13g</w:t>
      </w:r>
      <w:r w:rsidR="00D90346">
        <w:rPr>
          <w:rFonts w:eastAsia="Times New Roman"/>
          <w:noProof/>
          <w:color w:val="000000" w:themeColor="text1"/>
          <w:szCs w:val="24"/>
        </w:rPr>
        <w:t>(</w:t>
      </w:r>
      <w:r w:rsidR="00D90346" w:rsidRPr="008D4AC2">
        <w:rPr>
          <w:rFonts w:eastAsia="Times New Roman"/>
          <w:noProof/>
          <w:color w:val="000000" w:themeColor="text1"/>
          <w:szCs w:val="24"/>
        </w:rPr>
        <w:t>3</w:t>
      </w:r>
      <w:r w:rsidR="00D90346">
        <w:rPr>
          <w:rFonts w:eastAsia="Times New Roman"/>
          <w:noProof/>
          <w:color w:val="000000" w:themeColor="text1"/>
          <w:szCs w:val="24"/>
        </w:rPr>
        <w:t>),</w:t>
      </w:r>
      <w:r w:rsidR="00D90346" w:rsidRPr="008D4AC2">
        <w:rPr>
          <w:rFonts w:eastAsia="Times New Roman"/>
          <w:noProof/>
          <w:color w:val="000000" w:themeColor="text1"/>
          <w:szCs w:val="24"/>
        </w:rPr>
        <w:t xml:space="preserve"> points </w:t>
      </w:r>
      <w:r w:rsidR="00D90346">
        <w:rPr>
          <w:rFonts w:eastAsia="Times New Roman"/>
          <w:noProof/>
          <w:color w:val="000000" w:themeColor="text1"/>
          <w:szCs w:val="24"/>
        </w:rPr>
        <w:t>(</w:t>
      </w:r>
      <w:r w:rsidR="00D90346" w:rsidRPr="008D4AC2">
        <w:rPr>
          <w:rFonts w:eastAsia="Times New Roman"/>
          <w:noProof/>
          <w:color w:val="000000" w:themeColor="text1"/>
          <w:szCs w:val="24"/>
        </w:rPr>
        <w:t>a</w:t>
      </w:r>
      <w:r w:rsidR="00D90346">
        <w:rPr>
          <w:rFonts w:eastAsia="Times New Roman"/>
          <w:noProof/>
          <w:color w:val="000000" w:themeColor="text1"/>
          <w:szCs w:val="24"/>
        </w:rPr>
        <w:t>)</w:t>
      </w:r>
      <w:r w:rsidR="00D90346" w:rsidRPr="008D4AC2">
        <w:rPr>
          <w:rFonts w:eastAsia="Times New Roman"/>
          <w:noProof/>
          <w:color w:val="000000" w:themeColor="text1"/>
          <w:szCs w:val="24"/>
        </w:rPr>
        <w:t xml:space="preserve">, </w:t>
      </w:r>
      <w:r w:rsidR="00D90346">
        <w:rPr>
          <w:rFonts w:eastAsia="Times New Roman"/>
          <w:noProof/>
          <w:color w:val="000000" w:themeColor="text1"/>
          <w:szCs w:val="24"/>
        </w:rPr>
        <w:t>(</w:t>
      </w:r>
      <w:r w:rsidR="00D90346" w:rsidRPr="008D4AC2">
        <w:rPr>
          <w:rFonts w:eastAsia="Times New Roman"/>
          <w:noProof/>
          <w:color w:val="000000" w:themeColor="text1"/>
          <w:szCs w:val="24"/>
        </w:rPr>
        <w:t>d</w:t>
      </w:r>
      <w:r w:rsidR="00D90346">
        <w:rPr>
          <w:rFonts w:eastAsia="Times New Roman"/>
          <w:noProof/>
          <w:color w:val="000000" w:themeColor="text1"/>
          <w:szCs w:val="24"/>
        </w:rPr>
        <w:t>)</w:t>
      </w:r>
      <w:r w:rsidR="00D90346" w:rsidRPr="008D4AC2">
        <w:rPr>
          <w:rFonts w:eastAsia="Times New Roman"/>
          <w:noProof/>
          <w:color w:val="000000" w:themeColor="text1"/>
          <w:szCs w:val="24"/>
        </w:rPr>
        <w:t xml:space="preserve">, </w:t>
      </w:r>
      <w:r w:rsidR="00D90346">
        <w:rPr>
          <w:rFonts w:eastAsia="Times New Roman"/>
          <w:noProof/>
          <w:color w:val="000000" w:themeColor="text1"/>
          <w:szCs w:val="24"/>
        </w:rPr>
        <w:t>(</w:t>
      </w:r>
      <w:r w:rsidR="00D90346" w:rsidRPr="008D4AC2">
        <w:rPr>
          <w:rFonts w:eastAsia="Times New Roman"/>
          <w:noProof/>
          <w:color w:val="000000" w:themeColor="text1"/>
          <w:szCs w:val="24"/>
        </w:rPr>
        <w:t>e</w:t>
      </w:r>
      <w:r w:rsidR="00D90346">
        <w:rPr>
          <w:rFonts w:eastAsia="Times New Roman"/>
          <w:noProof/>
          <w:color w:val="000000" w:themeColor="text1"/>
          <w:szCs w:val="24"/>
        </w:rPr>
        <w:t>)</w:t>
      </w:r>
      <w:r w:rsidR="00D90346" w:rsidRPr="008D4AC2">
        <w:rPr>
          <w:rFonts w:eastAsia="Times New Roman"/>
          <w:noProof/>
          <w:color w:val="000000" w:themeColor="text1"/>
          <w:szCs w:val="24"/>
        </w:rPr>
        <w:t xml:space="preserve">, </w:t>
      </w:r>
      <w:r w:rsidR="00D90346">
        <w:rPr>
          <w:rFonts w:eastAsia="Times New Roman"/>
          <w:noProof/>
          <w:color w:val="000000" w:themeColor="text1"/>
          <w:szCs w:val="24"/>
        </w:rPr>
        <w:t>(</w:t>
      </w:r>
      <w:r w:rsidR="00D90346" w:rsidRPr="008D4AC2">
        <w:rPr>
          <w:rFonts w:eastAsia="Times New Roman"/>
          <w:noProof/>
          <w:color w:val="000000" w:themeColor="text1"/>
          <w:szCs w:val="24"/>
        </w:rPr>
        <w:t>f</w:t>
      </w:r>
      <w:r w:rsidR="00D90346">
        <w:rPr>
          <w:rFonts w:eastAsia="Times New Roman"/>
          <w:noProof/>
          <w:color w:val="000000" w:themeColor="text1"/>
          <w:szCs w:val="24"/>
        </w:rPr>
        <w:t>)</w:t>
      </w:r>
      <w:r w:rsidR="00C57CCC">
        <w:rPr>
          <w:rFonts w:eastAsia="Times New Roman"/>
          <w:noProof/>
          <w:color w:val="000000" w:themeColor="text1"/>
          <w:szCs w:val="24"/>
        </w:rPr>
        <w:t>,</w:t>
      </w:r>
      <w:r w:rsidRPr="008D4AC2">
        <w:rPr>
          <w:rFonts w:eastAsia="Times New Roman"/>
          <w:noProof/>
          <w:color w:val="000000" w:themeColor="text1"/>
          <w:szCs w:val="24"/>
        </w:rPr>
        <w:t xml:space="preserve"> </w:t>
      </w:r>
      <w:r w:rsidR="009739DE" w:rsidRPr="008D4AC2">
        <w:rPr>
          <w:rFonts w:eastAsia="Times New Roman"/>
          <w:noProof/>
          <w:color w:val="000000" w:themeColor="text1"/>
          <w:szCs w:val="24"/>
        </w:rPr>
        <w:t xml:space="preserve">shall apply </w:t>
      </w:r>
      <w:r w:rsidR="009739DE" w:rsidRPr="008D4AC2">
        <w:rPr>
          <w:rFonts w:eastAsia="Times New Roman"/>
          <w:i/>
          <w:noProof/>
          <w:color w:val="000000" w:themeColor="text1"/>
          <w:szCs w:val="24"/>
        </w:rPr>
        <w:t>mutatis mutandis</w:t>
      </w:r>
      <w:r w:rsidRPr="008D4AC2">
        <w:rPr>
          <w:rFonts w:eastAsia="Times New Roman"/>
          <w:noProof/>
          <w:color w:val="000000" w:themeColor="text1"/>
          <w:szCs w:val="24"/>
        </w:rPr>
        <w:t xml:space="preserve"> to other forms of formation of </w:t>
      </w:r>
      <w:r w:rsidR="00023DB1">
        <w:rPr>
          <w:rFonts w:eastAsia="Times New Roman"/>
          <w:noProof/>
          <w:color w:val="000000" w:themeColor="text1"/>
          <w:szCs w:val="24"/>
        </w:rPr>
        <w:t xml:space="preserve">the </w:t>
      </w:r>
      <w:r w:rsidRPr="008D4AC2">
        <w:rPr>
          <w:rFonts w:eastAsia="Times New Roman"/>
          <w:noProof/>
          <w:color w:val="000000" w:themeColor="text1"/>
          <w:szCs w:val="24"/>
        </w:rPr>
        <w:t>compa</w:t>
      </w:r>
      <w:r w:rsidR="003628C3">
        <w:rPr>
          <w:rFonts w:eastAsia="Times New Roman"/>
          <w:noProof/>
          <w:color w:val="000000" w:themeColor="text1"/>
          <w:szCs w:val="24"/>
        </w:rPr>
        <w:t xml:space="preserve">nies </w:t>
      </w:r>
      <w:r w:rsidR="00752FF7" w:rsidRPr="00E57164">
        <w:rPr>
          <w:rFonts w:eastAsia="Times New Roman"/>
          <w:noProof/>
          <w:szCs w:val="24"/>
        </w:rPr>
        <w:t xml:space="preserve">listed in </w:t>
      </w:r>
      <w:r w:rsidR="00273462">
        <w:rPr>
          <w:rFonts w:eastAsia="Times New Roman"/>
          <w:noProof/>
          <w:szCs w:val="24"/>
        </w:rPr>
        <w:t>A</w:t>
      </w:r>
      <w:r w:rsidR="00752FF7" w:rsidRPr="00E57164">
        <w:rPr>
          <w:rFonts w:eastAsia="Times New Roman"/>
          <w:noProof/>
          <w:szCs w:val="24"/>
        </w:rPr>
        <w:t>nnex</w:t>
      </w:r>
      <w:r w:rsidR="00F01829">
        <w:rPr>
          <w:rFonts w:eastAsia="Times New Roman"/>
          <w:noProof/>
          <w:szCs w:val="24"/>
        </w:rPr>
        <w:t>es</w:t>
      </w:r>
      <w:r w:rsidR="00752FF7" w:rsidRPr="00E57164">
        <w:rPr>
          <w:rFonts w:eastAsia="Times New Roman"/>
          <w:noProof/>
          <w:szCs w:val="24"/>
        </w:rPr>
        <w:t xml:space="preserve"> II and IIB</w:t>
      </w:r>
      <w:r w:rsidR="00752FF7" w:rsidRPr="00752FF7">
        <w:rPr>
          <w:rFonts w:eastAsia="Times New Roman"/>
          <w:noProof/>
          <w:szCs w:val="24"/>
        </w:rPr>
        <w:t xml:space="preserve"> </w:t>
      </w:r>
      <w:r w:rsidR="003628C3">
        <w:rPr>
          <w:rFonts w:eastAsia="Times New Roman"/>
          <w:noProof/>
          <w:color w:val="000000" w:themeColor="text1"/>
          <w:szCs w:val="24"/>
        </w:rPr>
        <w:t>tha</w:t>
      </w:r>
      <w:r w:rsidR="00023DB1">
        <w:rPr>
          <w:rFonts w:eastAsia="Times New Roman"/>
          <w:noProof/>
          <w:color w:val="000000" w:themeColor="text1"/>
          <w:szCs w:val="24"/>
        </w:rPr>
        <w:t>t are not</w:t>
      </w:r>
      <w:r w:rsidR="003628C3">
        <w:rPr>
          <w:rFonts w:eastAsia="Times New Roman"/>
          <w:noProof/>
          <w:color w:val="000000" w:themeColor="text1"/>
          <w:szCs w:val="24"/>
        </w:rPr>
        <w:t xml:space="preserve"> fully online. </w:t>
      </w:r>
    </w:p>
    <w:p w14:paraId="45D05390" w14:textId="77777777" w:rsidR="008D4AC2" w:rsidRDefault="008D4AC2" w:rsidP="00A93D5D">
      <w:pPr>
        <w:shd w:val="clear" w:color="auto" w:fill="FFFFFF"/>
        <w:tabs>
          <w:tab w:val="num" w:pos="851"/>
        </w:tabs>
        <w:spacing w:after="0"/>
        <w:ind w:left="851"/>
        <w:rPr>
          <w:rFonts w:eastAsia="Times New Roman"/>
          <w:noProof/>
          <w:color w:val="000000" w:themeColor="text1"/>
          <w:szCs w:val="24"/>
        </w:rPr>
      </w:pPr>
      <w:r w:rsidRPr="008D4AC2">
        <w:rPr>
          <w:rFonts w:eastAsia="Times New Roman"/>
          <w:noProof/>
          <w:color w:val="000000" w:themeColor="text1"/>
          <w:szCs w:val="24"/>
        </w:rPr>
        <w:t xml:space="preserve">Member States shall ensure that rules are laid down to verify the identity of applicants in case of </w:t>
      </w:r>
      <w:r w:rsidR="00023DB1">
        <w:rPr>
          <w:rFonts w:eastAsia="Times New Roman"/>
          <w:noProof/>
          <w:color w:val="000000" w:themeColor="text1"/>
          <w:szCs w:val="24"/>
        </w:rPr>
        <w:t>such</w:t>
      </w:r>
      <w:r w:rsidRPr="008D4AC2">
        <w:rPr>
          <w:rFonts w:eastAsia="Times New Roman"/>
          <w:noProof/>
          <w:color w:val="000000" w:themeColor="text1"/>
          <w:szCs w:val="24"/>
        </w:rPr>
        <w:t xml:space="preserve"> other forms of formation of companies. </w:t>
      </w:r>
    </w:p>
    <w:p w14:paraId="64229659" w14:textId="77777777" w:rsidR="008D0BC7" w:rsidRDefault="008D0BC7" w:rsidP="00A93D5D">
      <w:pPr>
        <w:shd w:val="clear" w:color="auto" w:fill="FFFFFF"/>
        <w:tabs>
          <w:tab w:val="num" w:pos="851"/>
        </w:tabs>
        <w:spacing w:after="0"/>
        <w:ind w:left="851"/>
        <w:rPr>
          <w:rFonts w:eastAsia="Times New Roman"/>
          <w:noProof/>
          <w:color w:val="000000" w:themeColor="text1"/>
          <w:szCs w:val="24"/>
        </w:rPr>
      </w:pPr>
      <w:r>
        <w:rPr>
          <w:rFonts w:eastAsia="Times New Roman"/>
          <w:noProof/>
          <w:color w:val="000000" w:themeColor="text1"/>
          <w:szCs w:val="24"/>
        </w:rPr>
        <w:t xml:space="preserve">5. </w:t>
      </w:r>
      <w:r w:rsidR="001A5497">
        <w:rPr>
          <w:rFonts w:eastAsia="Times New Roman"/>
          <w:noProof/>
          <w:color w:val="000000" w:themeColor="text1"/>
          <w:szCs w:val="24"/>
        </w:rPr>
        <w:tab/>
      </w:r>
      <w:r>
        <w:rPr>
          <w:rFonts w:eastAsia="Times New Roman"/>
          <w:noProof/>
          <w:color w:val="000000" w:themeColor="text1"/>
          <w:szCs w:val="24"/>
        </w:rPr>
        <w:t>Paragraphs 1</w:t>
      </w:r>
      <w:r w:rsidR="009739DE">
        <w:rPr>
          <w:rFonts w:eastAsia="Times New Roman"/>
          <w:noProof/>
          <w:color w:val="000000" w:themeColor="text1"/>
          <w:szCs w:val="24"/>
        </w:rPr>
        <w:t xml:space="preserve">, 2 and </w:t>
      </w:r>
      <w:r>
        <w:rPr>
          <w:rFonts w:eastAsia="Times New Roman"/>
          <w:noProof/>
          <w:color w:val="000000" w:themeColor="text1"/>
          <w:szCs w:val="24"/>
        </w:rPr>
        <w:t>3</w:t>
      </w:r>
      <w:r w:rsidR="009739DE">
        <w:rPr>
          <w:rFonts w:eastAsia="Times New Roman"/>
          <w:noProof/>
          <w:color w:val="000000" w:themeColor="text1"/>
          <w:szCs w:val="24"/>
        </w:rPr>
        <w:t xml:space="preserve"> shall</w:t>
      </w:r>
      <w:r>
        <w:rPr>
          <w:rFonts w:eastAsia="Times New Roman"/>
          <w:noProof/>
          <w:color w:val="000000" w:themeColor="text1"/>
          <w:szCs w:val="24"/>
        </w:rPr>
        <w:t xml:space="preserve"> apply to fully online a</w:t>
      </w:r>
      <w:r w:rsidR="00023DB1">
        <w:rPr>
          <w:rFonts w:eastAsia="Times New Roman"/>
          <w:noProof/>
          <w:color w:val="000000" w:themeColor="text1"/>
          <w:szCs w:val="24"/>
        </w:rPr>
        <w:t>s</w:t>
      </w:r>
      <w:r>
        <w:rPr>
          <w:rFonts w:eastAsia="Times New Roman"/>
          <w:noProof/>
          <w:color w:val="000000" w:themeColor="text1"/>
          <w:szCs w:val="24"/>
        </w:rPr>
        <w:t xml:space="preserve"> </w:t>
      </w:r>
      <w:r w:rsidR="00023DB1">
        <w:rPr>
          <w:rFonts w:eastAsia="Times New Roman"/>
          <w:noProof/>
          <w:color w:val="000000" w:themeColor="text1"/>
          <w:szCs w:val="24"/>
        </w:rPr>
        <w:t xml:space="preserve">well as </w:t>
      </w:r>
      <w:r>
        <w:rPr>
          <w:rFonts w:eastAsia="Times New Roman"/>
          <w:noProof/>
          <w:color w:val="000000" w:themeColor="text1"/>
          <w:szCs w:val="24"/>
        </w:rPr>
        <w:t>other procedures.</w:t>
      </w:r>
      <w:r w:rsidR="002265EE">
        <w:rPr>
          <w:rFonts w:eastAsia="Times New Roman"/>
          <w:noProof/>
          <w:color w:val="000000" w:themeColor="text1"/>
          <w:szCs w:val="24"/>
        </w:rPr>
        <w:t>’</w:t>
      </w:r>
    </w:p>
    <w:p w14:paraId="1DEEC8C6" w14:textId="77777777" w:rsidR="003628C3" w:rsidRDefault="003628C3" w:rsidP="008D4AC2">
      <w:pPr>
        <w:shd w:val="clear" w:color="auto" w:fill="FFFFFF"/>
        <w:spacing w:after="0"/>
        <w:rPr>
          <w:rFonts w:eastAsia="Times New Roman"/>
          <w:noProof/>
          <w:color w:val="000000" w:themeColor="text1"/>
          <w:szCs w:val="24"/>
        </w:rPr>
      </w:pPr>
    </w:p>
    <w:p w14:paraId="6C9911BE" w14:textId="0771D494" w:rsidR="00C323D3" w:rsidRDefault="001969F8" w:rsidP="001969F8">
      <w:pPr>
        <w:pStyle w:val="Point0"/>
        <w:rPr>
          <w:noProof/>
        </w:rPr>
      </w:pPr>
      <w:r w:rsidRPr="001969F8">
        <w:t>(6)</w:t>
      </w:r>
      <w:r w:rsidRPr="001969F8">
        <w:tab/>
      </w:r>
      <w:r w:rsidR="009739DE">
        <w:rPr>
          <w:rFonts w:eastAsia="Times New Roman"/>
          <w:noProof/>
          <w:color w:val="000000" w:themeColor="text1"/>
          <w:szCs w:val="24"/>
        </w:rPr>
        <w:t>in T</w:t>
      </w:r>
      <w:r w:rsidR="00C323D3">
        <w:rPr>
          <w:rFonts w:eastAsia="Times New Roman"/>
          <w:noProof/>
          <w:color w:val="000000" w:themeColor="text1"/>
          <w:szCs w:val="24"/>
        </w:rPr>
        <w:t xml:space="preserve">itle </w:t>
      </w:r>
      <w:r w:rsidR="009739DE">
        <w:rPr>
          <w:noProof/>
        </w:rPr>
        <w:t>I,</w:t>
      </w:r>
      <w:r w:rsidR="00C323D3">
        <w:rPr>
          <w:noProof/>
        </w:rPr>
        <w:t xml:space="preserve"> Chapter III</w:t>
      </w:r>
      <w:r w:rsidR="009739DE">
        <w:rPr>
          <w:noProof/>
        </w:rPr>
        <w:t>, the</w:t>
      </w:r>
      <w:r w:rsidR="00147B2E">
        <w:rPr>
          <w:noProof/>
        </w:rPr>
        <w:t xml:space="preserve"> </w:t>
      </w:r>
      <w:r w:rsidR="009739DE">
        <w:rPr>
          <w:noProof/>
        </w:rPr>
        <w:t>t</w:t>
      </w:r>
      <w:r w:rsidR="00C323D3">
        <w:rPr>
          <w:noProof/>
        </w:rPr>
        <w:t>itle is replaced by the following:</w:t>
      </w:r>
    </w:p>
    <w:p w14:paraId="474AA09B" w14:textId="77777777" w:rsidR="00C323D3" w:rsidRPr="00C323D3" w:rsidRDefault="002265EE" w:rsidP="00A93D5D">
      <w:pPr>
        <w:ind w:left="851"/>
        <w:rPr>
          <w:noProof/>
        </w:rPr>
      </w:pPr>
      <w:r>
        <w:rPr>
          <w:noProof/>
        </w:rPr>
        <w:t>‘</w:t>
      </w:r>
      <w:r w:rsidR="00C323D3" w:rsidRPr="00147B2E">
        <w:rPr>
          <w:noProof/>
        </w:rPr>
        <w:t xml:space="preserve">Online and other </w:t>
      </w:r>
      <w:r w:rsidR="00C323D3">
        <w:rPr>
          <w:noProof/>
        </w:rPr>
        <w:t>procedures (formation, registration and fi</w:t>
      </w:r>
      <w:r>
        <w:rPr>
          <w:noProof/>
        </w:rPr>
        <w:t>ling), disclosure and registers’</w:t>
      </w:r>
      <w:r w:rsidR="00C323D3">
        <w:rPr>
          <w:noProof/>
        </w:rPr>
        <w:t>;</w:t>
      </w:r>
    </w:p>
    <w:p w14:paraId="15003A72" w14:textId="77777777" w:rsidR="00C323D3" w:rsidRPr="008D4AC2" w:rsidRDefault="00C323D3" w:rsidP="008D4AC2">
      <w:pPr>
        <w:shd w:val="clear" w:color="auto" w:fill="FFFFFF"/>
        <w:spacing w:after="0"/>
        <w:rPr>
          <w:rFonts w:eastAsia="Times New Roman"/>
          <w:noProof/>
          <w:color w:val="000000" w:themeColor="text1"/>
          <w:szCs w:val="24"/>
        </w:rPr>
      </w:pPr>
    </w:p>
    <w:p w14:paraId="44CEDC9D" w14:textId="6D80F632" w:rsidR="00AE388D" w:rsidRPr="002B04A5" w:rsidRDefault="001969F8" w:rsidP="001969F8">
      <w:pPr>
        <w:pStyle w:val="Point0"/>
        <w:rPr>
          <w:noProof/>
        </w:rPr>
      </w:pPr>
      <w:r w:rsidRPr="001969F8">
        <w:t>(7)</w:t>
      </w:r>
      <w:r w:rsidRPr="001969F8">
        <w:tab/>
      </w:r>
      <w:r w:rsidR="003146E6">
        <w:rPr>
          <w:noProof/>
        </w:rPr>
        <w:t>Article 13 is replaced by the following:</w:t>
      </w:r>
    </w:p>
    <w:p w14:paraId="4EF24B86" w14:textId="77777777" w:rsidR="003146E6" w:rsidRPr="00323F1E" w:rsidRDefault="002265EE" w:rsidP="000668F5">
      <w:pPr>
        <w:shd w:val="clear" w:color="auto" w:fill="FFFFFF"/>
        <w:tabs>
          <w:tab w:val="num" w:pos="709"/>
        </w:tabs>
        <w:spacing w:before="240" w:line="312" w:lineRule="atLeast"/>
        <w:jc w:val="center"/>
        <w:rPr>
          <w:rFonts w:eastAsia="Times New Roman"/>
          <w:iCs/>
          <w:noProof/>
          <w:color w:val="00B050"/>
          <w:szCs w:val="24"/>
        </w:rPr>
      </w:pPr>
      <w:r w:rsidRPr="00323F1E">
        <w:rPr>
          <w:rFonts w:eastAsia="Times New Roman"/>
          <w:iCs/>
          <w:noProof/>
          <w:color w:val="333333"/>
          <w:szCs w:val="24"/>
        </w:rPr>
        <w:t>‘</w:t>
      </w:r>
      <w:r w:rsidR="003146E6" w:rsidRPr="00323F1E">
        <w:rPr>
          <w:rFonts w:eastAsia="Times New Roman"/>
          <w:iCs/>
          <w:noProof/>
          <w:color w:val="333333"/>
          <w:szCs w:val="24"/>
        </w:rPr>
        <w:t xml:space="preserve">Article 13 </w:t>
      </w:r>
    </w:p>
    <w:p w14:paraId="40484160" w14:textId="77777777" w:rsidR="003146E6" w:rsidRPr="00D63622" w:rsidRDefault="003146E6" w:rsidP="000668F5">
      <w:pPr>
        <w:shd w:val="clear" w:color="auto" w:fill="FFFFFF"/>
        <w:tabs>
          <w:tab w:val="num" w:pos="709"/>
        </w:tabs>
        <w:spacing w:before="240" w:line="312" w:lineRule="atLeast"/>
        <w:jc w:val="center"/>
        <w:rPr>
          <w:rFonts w:eastAsia="Times New Roman"/>
          <w:b/>
          <w:bCs/>
          <w:noProof/>
          <w:color w:val="333333"/>
          <w:szCs w:val="24"/>
        </w:rPr>
      </w:pPr>
      <w:r w:rsidRPr="00D63622">
        <w:rPr>
          <w:rFonts w:eastAsia="Times New Roman"/>
          <w:b/>
          <w:bCs/>
          <w:noProof/>
          <w:color w:val="333333"/>
          <w:szCs w:val="24"/>
        </w:rPr>
        <w:t>Scope</w:t>
      </w:r>
    </w:p>
    <w:p w14:paraId="2F00D6B8" w14:textId="77777777" w:rsidR="003146E6" w:rsidRDefault="003146E6" w:rsidP="00A93D5D">
      <w:pPr>
        <w:shd w:val="clear" w:color="auto" w:fill="FFFFFF"/>
        <w:tabs>
          <w:tab w:val="num" w:pos="851"/>
        </w:tabs>
        <w:spacing w:after="0" w:line="312" w:lineRule="atLeast"/>
        <w:ind w:left="851"/>
        <w:rPr>
          <w:rFonts w:eastAsia="Times New Roman"/>
          <w:noProof/>
          <w:color w:val="00B050"/>
          <w:szCs w:val="24"/>
        </w:rPr>
      </w:pPr>
      <w:r w:rsidRPr="00D63622">
        <w:rPr>
          <w:rFonts w:eastAsia="Times New Roman"/>
          <w:noProof/>
          <w:color w:val="333333"/>
          <w:szCs w:val="24"/>
        </w:rPr>
        <w:t>The coordination measures prescribed by this Section and by Section 1A shall apply to the laws, regulations and administrative provisions of the Member States relating to the types of companies listed in Annex II and, where specified, to the types of companies listed in Annexes I</w:t>
      </w:r>
      <w:r w:rsidRPr="00FA45C9">
        <w:rPr>
          <w:rFonts w:eastAsia="Times New Roman"/>
          <w:noProof/>
          <w:szCs w:val="24"/>
        </w:rPr>
        <w:t>, IIA and IIB.</w:t>
      </w:r>
      <w:r w:rsidR="002265EE">
        <w:rPr>
          <w:rFonts w:eastAsia="Times New Roman"/>
          <w:noProof/>
          <w:szCs w:val="24"/>
        </w:rPr>
        <w:t>’;</w:t>
      </w:r>
    </w:p>
    <w:p w14:paraId="4E3A1853" w14:textId="77777777" w:rsidR="003146E6" w:rsidRDefault="003146E6" w:rsidP="003146E6">
      <w:pPr>
        <w:shd w:val="clear" w:color="auto" w:fill="FFFFFF"/>
        <w:spacing w:after="0" w:line="312" w:lineRule="atLeast"/>
        <w:rPr>
          <w:rFonts w:eastAsia="Times New Roman"/>
          <w:noProof/>
          <w:color w:val="00B050"/>
          <w:szCs w:val="24"/>
        </w:rPr>
      </w:pPr>
    </w:p>
    <w:p w14:paraId="25C40CEF" w14:textId="731E53C7" w:rsidR="003146E6" w:rsidRDefault="001969F8" w:rsidP="001969F8">
      <w:pPr>
        <w:pStyle w:val="Point0"/>
        <w:rPr>
          <w:noProof/>
        </w:rPr>
      </w:pPr>
      <w:r w:rsidRPr="001969F8">
        <w:t>(8)</w:t>
      </w:r>
      <w:r w:rsidRPr="001969F8">
        <w:tab/>
      </w:r>
      <w:r w:rsidR="001203CB">
        <w:rPr>
          <w:noProof/>
        </w:rPr>
        <w:t>i</w:t>
      </w:r>
      <w:r w:rsidR="00FE15AC">
        <w:rPr>
          <w:noProof/>
        </w:rPr>
        <w:t xml:space="preserve">n </w:t>
      </w:r>
      <w:r w:rsidR="003146E6">
        <w:rPr>
          <w:noProof/>
        </w:rPr>
        <w:t>Article 13a</w:t>
      </w:r>
      <w:r w:rsidR="00FE15AC">
        <w:rPr>
          <w:noProof/>
        </w:rPr>
        <w:t>,</w:t>
      </w:r>
      <w:r w:rsidR="003146E6">
        <w:rPr>
          <w:noProof/>
        </w:rPr>
        <w:t xml:space="preserve"> t</w:t>
      </w:r>
      <w:r w:rsidR="003146E6" w:rsidRPr="003146E6">
        <w:rPr>
          <w:noProof/>
        </w:rPr>
        <w:t>he following point</w:t>
      </w:r>
      <w:r w:rsidR="003146E6">
        <w:rPr>
          <w:noProof/>
        </w:rPr>
        <w:t>s</w:t>
      </w:r>
      <w:r w:rsidR="003146E6" w:rsidRPr="003146E6">
        <w:rPr>
          <w:noProof/>
        </w:rPr>
        <w:t xml:space="preserve"> </w:t>
      </w:r>
      <w:r w:rsidR="003146E6">
        <w:rPr>
          <w:noProof/>
        </w:rPr>
        <w:t>are</w:t>
      </w:r>
      <w:r w:rsidR="003146E6" w:rsidRPr="003146E6">
        <w:rPr>
          <w:noProof/>
        </w:rPr>
        <w:t xml:space="preserve"> added:</w:t>
      </w:r>
    </w:p>
    <w:p w14:paraId="6D30EC10" w14:textId="77777777" w:rsidR="009B3D3E" w:rsidRPr="009B3D3E" w:rsidRDefault="002265EE" w:rsidP="00840075">
      <w:pPr>
        <w:tabs>
          <w:tab w:val="left" w:pos="1276"/>
        </w:tabs>
        <w:ind w:left="1560" w:hanging="567"/>
        <w:rPr>
          <w:noProof/>
          <w:shd w:val="clear" w:color="auto" w:fill="FFFFFF"/>
        </w:rPr>
      </w:pPr>
      <w:r>
        <w:rPr>
          <w:noProof/>
          <w:shd w:val="clear" w:color="auto" w:fill="FFFFFF"/>
        </w:rPr>
        <w:t>‘</w:t>
      </w:r>
      <w:r w:rsidR="009B3D3E" w:rsidRPr="00752FF7">
        <w:rPr>
          <w:noProof/>
          <w:shd w:val="clear" w:color="auto" w:fill="FFFFFF"/>
        </w:rPr>
        <w:t>(7)</w:t>
      </w:r>
      <w:r w:rsidR="000668F5">
        <w:rPr>
          <w:noProof/>
          <w:shd w:val="clear" w:color="auto" w:fill="FFFFFF"/>
        </w:rPr>
        <w:t xml:space="preserve"> </w:t>
      </w:r>
      <w:r w:rsidR="009B3D3E" w:rsidRPr="00752FF7">
        <w:rPr>
          <w:noProof/>
          <w:shd w:val="clear" w:color="auto" w:fill="FFFFFF"/>
        </w:rPr>
        <w:t xml:space="preserve"> ‘group’ </w:t>
      </w:r>
      <w:r w:rsidR="009B3D3E" w:rsidRPr="009B3D3E">
        <w:rPr>
          <w:noProof/>
          <w:shd w:val="clear" w:color="auto" w:fill="FFFFFF"/>
        </w:rPr>
        <w:t>means a parent company an</w:t>
      </w:r>
      <w:r w:rsidR="00752FF7">
        <w:rPr>
          <w:noProof/>
          <w:shd w:val="clear" w:color="auto" w:fill="FFFFFF"/>
        </w:rPr>
        <w:t>d all its subsidiary companies;</w:t>
      </w:r>
    </w:p>
    <w:p w14:paraId="08DD0758" w14:textId="77777777" w:rsidR="009B3D3E" w:rsidRPr="009B3D3E" w:rsidRDefault="009B3D3E" w:rsidP="000668F5">
      <w:pPr>
        <w:pStyle w:val="Text1"/>
        <w:tabs>
          <w:tab w:val="left" w:pos="993"/>
          <w:tab w:val="left" w:pos="1276"/>
        </w:tabs>
        <w:ind w:left="1560" w:hanging="709"/>
        <w:rPr>
          <w:noProof/>
          <w:shd w:val="clear" w:color="auto" w:fill="FFFFFF"/>
        </w:rPr>
      </w:pPr>
      <w:r w:rsidRPr="009B3D3E">
        <w:rPr>
          <w:noProof/>
          <w:shd w:val="clear" w:color="auto" w:fill="FFFFFF"/>
        </w:rPr>
        <w:tab/>
        <w:t>(8) ‘subsidiary company’ means a company controlled by a parent company;</w:t>
      </w:r>
    </w:p>
    <w:p w14:paraId="226F733E" w14:textId="77777777" w:rsidR="009B3D3E" w:rsidRPr="009B3D3E" w:rsidRDefault="009B3D3E" w:rsidP="000668F5">
      <w:pPr>
        <w:pStyle w:val="Text1"/>
        <w:tabs>
          <w:tab w:val="left" w:pos="993"/>
        </w:tabs>
        <w:ind w:left="993" w:hanging="142"/>
        <w:rPr>
          <w:noProof/>
          <w:shd w:val="clear" w:color="auto" w:fill="FFFFFF"/>
        </w:rPr>
      </w:pPr>
      <w:r w:rsidRPr="009B3D3E">
        <w:rPr>
          <w:noProof/>
          <w:shd w:val="clear" w:color="auto" w:fill="FFFFFF"/>
        </w:rPr>
        <w:tab/>
      </w:r>
      <w:r w:rsidR="001B0E85">
        <w:rPr>
          <w:noProof/>
          <w:shd w:val="clear" w:color="auto" w:fill="FFFFFF"/>
        </w:rPr>
        <w:t>(9</w:t>
      </w:r>
      <w:r w:rsidRPr="009B3D3E">
        <w:rPr>
          <w:noProof/>
          <w:shd w:val="clear" w:color="auto" w:fill="FFFFFF"/>
        </w:rPr>
        <w:t xml:space="preserve">) ‘ultimate parent company’ means a parent company </w:t>
      </w:r>
      <w:r w:rsidR="00660F3C" w:rsidRPr="009B3D3E">
        <w:rPr>
          <w:noProof/>
          <w:shd w:val="clear" w:color="auto" w:fill="FFFFFF"/>
        </w:rPr>
        <w:t>which controls, either directly or indirectly</w:t>
      </w:r>
      <w:r w:rsidR="00660F3C" w:rsidRPr="00660F3C">
        <w:rPr>
          <w:noProof/>
          <w:shd w:val="clear" w:color="auto" w:fill="FFFFFF"/>
        </w:rPr>
        <w:t xml:space="preserve"> </w:t>
      </w:r>
      <w:r w:rsidR="00660F3C" w:rsidRPr="009B3D3E">
        <w:rPr>
          <w:noProof/>
          <w:shd w:val="clear" w:color="auto" w:fill="FFFFFF"/>
        </w:rPr>
        <w:t>in accordance with the criteria set out in Article 22</w:t>
      </w:r>
      <w:r w:rsidR="001203CB">
        <w:rPr>
          <w:noProof/>
          <w:shd w:val="clear" w:color="auto" w:fill="FFFFFF"/>
        </w:rPr>
        <w:t>(1) to (5)</w:t>
      </w:r>
      <w:r w:rsidR="00660F3C" w:rsidRPr="009B3D3E">
        <w:rPr>
          <w:noProof/>
          <w:shd w:val="clear" w:color="auto" w:fill="FFFFFF"/>
        </w:rPr>
        <w:t xml:space="preserve"> of Directive 2013/34/</w:t>
      </w:r>
      <w:r w:rsidR="00660F3C" w:rsidRPr="001203CB">
        <w:rPr>
          <w:noProof/>
          <w:shd w:val="clear" w:color="auto" w:fill="FFFFFF"/>
        </w:rPr>
        <w:t>EU</w:t>
      </w:r>
      <w:r w:rsidR="001203CB" w:rsidRPr="001203CB">
        <w:rPr>
          <w:noProof/>
          <w:shd w:val="clear" w:color="auto" w:fill="FFFFFF"/>
        </w:rPr>
        <w:t xml:space="preserve"> of the European Parliament and of the Council</w:t>
      </w:r>
      <w:r w:rsidR="004A359A">
        <w:rPr>
          <w:noProof/>
          <w:shd w:val="clear" w:color="auto" w:fill="FFFFFF"/>
        </w:rPr>
        <w:t>*</w:t>
      </w:r>
      <w:r w:rsidR="00660F3C" w:rsidRPr="009B3D3E">
        <w:rPr>
          <w:noProof/>
          <w:shd w:val="clear" w:color="auto" w:fill="FFFFFF"/>
        </w:rPr>
        <w:t xml:space="preserve">, one or more subsidiary companies </w:t>
      </w:r>
      <w:r w:rsidR="00660F3C">
        <w:rPr>
          <w:noProof/>
          <w:shd w:val="clear" w:color="auto" w:fill="FFFFFF"/>
        </w:rPr>
        <w:t xml:space="preserve">and is </w:t>
      </w:r>
      <w:r w:rsidRPr="009B3D3E">
        <w:rPr>
          <w:noProof/>
          <w:shd w:val="clear" w:color="auto" w:fill="FFFFFF"/>
        </w:rPr>
        <w:t xml:space="preserve">not controlled by another company; </w:t>
      </w:r>
    </w:p>
    <w:p w14:paraId="28A4D4D0" w14:textId="77777777" w:rsidR="009B3D3E" w:rsidRPr="009B3D3E" w:rsidRDefault="001B0E85" w:rsidP="000668F5">
      <w:pPr>
        <w:pStyle w:val="Text1"/>
        <w:tabs>
          <w:tab w:val="left" w:pos="993"/>
        </w:tabs>
        <w:ind w:left="993" w:hanging="142"/>
        <w:rPr>
          <w:noProof/>
          <w:shd w:val="clear" w:color="auto" w:fill="FFFFFF"/>
        </w:rPr>
      </w:pPr>
      <w:r>
        <w:rPr>
          <w:noProof/>
          <w:shd w:val="clear" w:color="auto" w:fill="FFFFFF"/>
        </w:rPr>
        <w:tab/>
        <w:t>(10</w:t>
      </w:r>
      <w:r w:rsidR="009B3D3E" w:rsidRPr="009B3D3E">
        <w:rPr>
          <w:noProof/>
          <w:shd w:val="clear" w:color="auto" w:fill="FFFFFF"/>
        </w:rPr>
        <w:t>) ‘intermediate parent company’ means a parent company governed by the law of a Member State which is not controlled by another company governed by the law of a Member State;</w:t>
      </w:r>
    </w:p>
    <w:p w14:paraId="5684E762" w14:textId="77777777" w:rsidR="009B3D3E" w:rsidRPr="009B3D3E" w:rsidRDefault="009B3D3E" w:rsidP="000668F5">
      <w:pPr>
        <w:pStyle w:val="Text1"/>
        <w:tabs>
          <w:tab w:val="left" w:pos="993"/>
        </w:tabs>
        <w:ind w:left="993" w:hanging="142"/>
        <w:rPr>
          <w:noProof/>
          <w:shd w:val="clear" w:color="auto" w:fill="FFFFFF"/>
        </w:rPr>
      </w:pPr>
      <w:r w:rsidRPr="009B3D3E">
        <w:rPr>
          <w:noProof/>
          <w:shd w:val="clear" w:color="auto" w:fill="FFFFFF"/>
        </w:rPr>
        <w:tab/>
      </w:r>
      <w:r w:rsidR="001B0E85">
        <w:rPr>
          <w:noProof/>
          <w:shd w:val="clear" w:color="auto" w:fill="FFFFFF"/>
        </w:rPr>
        <w:t>(11</w:t>
      </w:r>
      <w:r w:rsidRPr="009B3D3E">
        <w:rPr>
          <w:noProof/>
          <w:shd w:val="clear" w:color="auto" w:fill="FFFFFF"/>
        </w:rPr>
        <w:t>) ‘legalisation’ means the formality for certifying the authenticity of a public office holder</w:t>
      </w:r>
      <w:r w:rsidR="00F27015">
        <w:rPr>
          <w:noProof/>
          <w:shd w:val="clear" w:color="auto" w:fill="FFFFFF"/>
        </w:rPr>
        <w:t>’</w:t>
      </w:r>
      <w:r w:rsidRPr="009B3D3E">
        <w:rPr>
          <w:noProof/>
          <w:shd w:val="clear" w:color="auto" w:fill="FFFFFF"/>
        </w:rPr>
        <w:t xml:space="preserve">s signature, the capacity in which the person signing the document has acted and, where appropriate, the identity of the seal or stamp which it bears; </w:t>
      </w:r>
    </w:p>
    <w:p w14:paraId="43AD80CE" w14:textId="77777777" w:rsidR="004A359A" w:rsidRDefault="001B0E85" w:rsidP="000668F5">
      <w:pPr>
        <w:pStyle w:val="Text1"/>
        <w:tabs>
          <w:tab w:val="left" w:pos="993"/>
        </w:tabs>
        <w:ind w:left="993" w:hanging="709"/>
        <w:rPr>
          <w:noProof/>
          <w:shd w:val="clear" w:color="auto" w:fill="FFFFFF"/>
        </w:rPr>
      </w:pPr>
      <w:r>
        <w:rPr>
          <w:noProof/>
          <w:shd w:val="clear" w:color="auto" w:fill="FFFFFF"/>
        </w:rPr>
        <w:tab/>
        <w:t>(12</w:t>
      </w:r>
      <w:r w:rsidR="009B3D3E" w:rsidRPr="009B3D3E">
        <w:rPr>
          <w:noProof/>
          <w:shd w:val="clear" w:color="auto" w:fill="FFFFFF"/>
        </w:rPr>
        <w:t>) ‘similar formality’ means the addition of the certificate provided for by th</w:t>
      </w:r>
      <w:r w:rsidR="002265EE">
        <w:rPr>
          <w:noProof/>
          <w:shd w:val="clear" w:color="auto" w:fill="FFFFFF"/>
        </w:rPr>
        <w:t>e Apostille Convention.</w:t>
      </w:r>
    </w:p>
    <w:p w14:paraId="72332F62" w14:textId="77777777" w:rsidR="004A359A" w:rsidRDefault="004A359A" w:rsidP="000668F5">
      <w:pPr>
        <w:pStyle w:val="Text1"/>
        <w:tabs>
          <w:tab w:val="left" w:pos="993"/>
        </w:tabs>
        <w:ind w:left="993" w:hanging="709"/>
        <w:rPr>
          <w:noProof/>
          <w:shd w:val="clear" w:color="auto" w:fill="FFFFFF"/>
        </w:rPr>
      </w:pPr>
      <w:r>
        <w:rPr>
          <w:noProof/>
          <w:shd w:val="clear" w:color="auto" w:fill="FFFFFF"/>
        </w:rPr>
        <w:t>________________________</w:t>
      </w:r>
    </w:p>
    <w:p w14:paraId="30ADA68F" w14:textId="77777777" w:rsidR="003146E6" w:rsidRDefault="004A359A" w:rsidP="000668F5">
      <w:pPr>
        <w:pStyle w:val="Text1"/>
        <w:tabs>
          <w:tab w:val="left" w:pos="993"/>
        </w:tabs>
        <w:ind w:left="993" w:hanging="709"/>
        <w:rPr>
          <w:noProof/>
          <w:shd w:val="clear" w:color="auto" w:fill="FFFFFF"/>
        </w:rPr>
      </w:pPr>
      <w:r w:rsidRPr="001203CB">
        <w:rPr>
          <w:noProof/>
        </w:rPr>
        <w:t>*</w:t>
      </w:r>
      <w:r>
        <w:rPr>
          <w:noProof/>
        </w:rPr>
        <w:tab/>
      </w:r>
      <w:r w:rsidRPr="001203CB">
        <w:rPr>
          <w:noProof/>
          <w:color w:val="000000" w:themeColor="text1"/>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w:t>
      </w:r>
      <w:r w:rsidRPr="001203CB">
        <w:rPr>
          <w:noProof/>
        </w:rPr>
        <w:t>OJ L 182, 29.6.2013, p. 19).</w:t>
      </w:r>
      <w:r w:rsidR="002265EE">
        <w:rPr>
          <w:noProof/>
          <w:shd w:val="clear" w:color="auto" w:fill="FFFFFF"/>
        </w:rPr>
        <w:t>’</w:t>
      </w:r>
      <w:r w:rsidR="009B3D3E">
        <w:rPr>
          <w:noProof/>
          <w:shd w:val="clear" w:color="auto" w:fill="FFFFFF"/>
        </w:rPr>
        <w:t>;</w:t>
      </w:r>
    </w:p>
    <w:p w14:paraId="10DB7B6B" w14:textId="77777777" w:rsidR="00DE0DD3" w:rsidRPr="009B3D3E" w:rsidRDefault="00DE0DD3" w:rsidP="002F0EBD">
      <w:pPr>
        <w:rPr>
          <w:noProof/>
          <w:shd w:val="clear" w:color="auto" w:fill="FFFFFF"/>
        </w:rPr>
      </w:pPr>
    </w:p>
    <w:p w14:paraId="4F1A6594" w14:textId="794BFC63" w:rsidR="00FE15AC" w:rsidRDefault="001969F8" w:rsidP="001969F8">
      <w:pPr>
        <w:pStyle w:val="Point0"/>
        <w:rPr>
          <w:noProof/>
        </w:rPr>
      </w:pPr>
      <w:r w:rsidRPr="001969F8">
        <w:t>(9)</w:t>
      </w:r>
      <w:r w:rsidRPr="001969F8">
        <w:tab/>
      </w:r>
      <w:r w:rsidR="004926FA" w:rsidRPr="00F01829">
        <w:rPr>
          <w:noProof/>
        </w:rPr>
        <w:t>Article 13b</w:t>
      </w:r>
      <w:r w:rsidR="00497947">
        <w:rPr>
          <w:noProof/>
        </w:rPr>
        <w:t xml:space="preserve"> is amended as follows</w:t>
      </w:r>
      <w:r w:rsidR="00FE15AC" w:rsidRPr="00F01829">
        <w:rPr>
          <w:noProof/>
        </w:rPr>
        <w:t>:</w:t>
      </w:r>
    </w:p>
    <w:p w14:paraId="42B7B0F6" w14:textId="6193AC75" w:rsidR="00497947" w:rsidRPr="00F01829" w:rsidRDefault="001969F8" w:rsidP="001969F8">
      <w:pPr>
        <w:pStyle w:val="Point0"/>
        <w:rPr>
          <w:noProof/>
        </w:rPr>
      </w:pPr>
      <w:r w:rsidRPr="001969F8">
        <w:t>(a)</w:t>
      </w:r>
      <w:r w:rsidRPr="001969F8">
        <w:tab/>
      </w:r>
      <w:r w:rsidR="00337783">
        <w:rPr>
          <w:noProof/>
        </w:rPr>
        <w:t>i</w:t>
      </w:r>
      <w:r w:rsidR="00497947">
        <w:rPr>
          <w:noProof/>
        </w:rPr>
        <w:t xml:space="preserve">n paragraph </w:t>
      </w:r>
      <w:r w:rsidR="00497947" w:rsidRPr="00F01829">
        <w:rPr>
          <w:noProof/>
        </w:rPr>
        <w:t>1, point (b) is replaced by the following</w:t>
      </w:r>
      <w:r w:rsidR="00F27015">
        <w:rPr>
          <w:noProof/>
        </w:rPr>
        <w:t>:</w:t>
      </w:r>
    </w:p>
    <w:p w14:paraId="1C0CB12D" w14:textId="77777777" w:rsidR="00FE15AC" w:rsidRPr="00F01829" w:rsidRDefault="002265EE" w:rsidP="00926ACD">
      <w:pPr>
        <w:shd w:val="clear" w:color="auto" w:fill="FFFFFF"/>
        <w:spacing w:after="0"/>
        <w:ind w:left="1418"/>
        <w:rPr>
          <w:rFonts w:eastAsia="Times New Roman"/>
          <w:noProof/>
          <w:color w:val="333333"/>
          <w:szCs w:val="24"/>
        </w:rPr>
      </w:pPr>
      <w:r>
        <w:rPr>
          <w:rFonts w:eastAsia="Times New Roman"/>
          <w:noProof/>
          <w:color w:val="333333"/>
          <w:szCs w:val="24"/>
        </w:rPr>
        <w:t>‘</w:t>
      </w:r>
      <w:r w:rsidR="00F01829">
        <w:rPr>
          <w:rFonts w:eastAsia="Times New Roman"/>
          <w:noProof/>
          <w:color w:val="333333"/>
          <w:szCs w:val="24"/>
        </w:rPr>
        <w:t>(</w:t>
      </w:r>
      <w:r w:rsidR="00FE15AC" w:rsidRPr="00F01829">
        <w:rPr>
          <w:rFonts w:eastAsia="Times New Roman"/>
          <w:noProof/>
          <w:color w:val="333333"/>
          <w:szCs w:val="24"/>
        </w:rPr>
        <w:t xml:space="preserve">b) an electronic identification means </w:t>
      </w:r>
      <w:r w:rsidR="00497947">
        <w:rPr>
          <w:rFonts w:eastAsia="Times New Roman"/>
          <w:noProof/>
          <w:color w:val="333333"/>
          <w:szCs w:val="24"/>
        </w:rPr>
        <w:t xml:space="preserve">issued in another Member State </w:t>
      </w:r>
      <w:r w:rsidR="00FE15AC" w:rsidRPr="00F01829">
        <w:rPr>
          <w:rFonts w:eastAsia="Times New Roman"/>
          <w:noProof/>
          <w:color w:val="333333"/>
          <w:szCs w:val="24"/>
        </w:rPr>
        <w:t>in accordance with Regulation (EU) No 910/2014.</w:t>
      </w:r>
      <w:r>
        <w:rPr>
          <w:rFonts w:eastAsia="Times New Roman"/>
          <w:noProof/>
          <w:color w:val="333333"/>
          <w:szCs w:val="24"/>
        </w:rPr>
        <w:t>’</w:t>
      </w:r>
      <w:r w:rsidR="00F01829" w:rsidRPr="00F01829">
        <w:rPr>
          <w:rFonts w:eastAsia="Times New Roman"/>
          <w:noProof/>
          <w:color w:val="333333"/>
          <w:szCs w:val="24"/>
        </w:rPr>
        <w:t>;</w:t>
      </w:r>
    </w:p>
    <w:p w14:paraId="2DF5BCBA" w14:textId="77777777" w:rsidR="00FE15AC" w:rsidRPr="00F01829" w:rsidRDefault="00FE15AC" w:rsidP="00FE15AC">
      <w:pPr>
        <w:shd w:val="clear" w:color="auto" w:fill="FFFFFF"/>
        <w:spacing w:after="0"/>
        <w:rPr>
          <w:rFonts w:eastAsia="Times New Roman"/>
          <w:noProof/>
          <w:color w:val="333333"/>
          <w:szCs w:val="24"/>
        </w:rPr>
      </w:pPr>
    </w:p>
    <w:p w14:paraId="4755F9F2" w14:textId="4745F34D" w:rsidR="00E57164" w:rsidRPr="00F01829" w:rsidRDefault="001969F8" w:rsidP="001969F8">
      <w:pPr>
        <w:pStyle w:val="Point0"/>
        <w:rPr>
          <w:rFonts w:eastAsia="Times New Roman"/>
          <w:noProof/>
          <w:color w:val="333333"/>
          <w:szCs w:val="24"/>
        </w:rPr>
      </w:pPr>
      <w:r w:rsidRPr="001969F8">
        <w:t>(b)</w:t>
      </w:r>
      <w:r w:rsidRPr="001969F8">
        <w:tab/>
      </w:r>
      <w:r w:rsidR="00E57164" w:rsidRPr="00F01829">
        <w:rPr>
          <w:noProof/>
        </w:rPr>
        <w:t>paragraph 2 is replaced by the following:</w:t>
      </w:r>
    </w:p>
    <w:p w14:paraId="4862929A" w14:textId="77777777" w:rsidR="00FE15AC" w:rsidRPr="00E32E9C" w:rsidRDefault="002265EE" w:rsidP="000668F5">
      <w:pPr>
        <w:shd w:val="clear" w:color="auto" w:fill="FFFFFF"/>
        <w:tabs>
          <w:tab w:val="left" w:pos="1843"/>
        </w:tabs>
        <w:spacing w:after="0"/>
        <w:ind w:left="1418"/>
        <w:rPr>
          <w:rFonts w:eastAsia="Times New Roman"/>
          <w:noProof/>
          <w:color w:val="000000" w:themeColor="text1"/>
          <w:szCs w:val="24"/>
        </w:rPr>
      </w:pPr>
      <w:r w:rsidRPr="00E32E9C">
        <w:rPr>
          <w:rFonts w:eastAsia="Times New Roman"/>
          <w:noProof/>
          <w:color w:val="000000" w:themeColor="text1"/>
          <w:szCs w:val="24"/>
        </w:rPr>
        <w:t>‘</w:t>
      </w:r>
      <w:r w:rsidR="00AC460A">
        <w:rPr>
          <w:rFonts w:eastAsia="Times New Roman"/>
          <w:noProof/>
          <w:color w:val="000000" w:themeColor="text1"/>
          <w:szCs w:val="24"/>
        </w:rPr>
        <w:t>2. </w:t>
      </w:r>
      <w:r w:rsidR="00EE0E1B">
        <w:rPr>
          <w:rFonts w:eastAsia="Times New Roman"/>
          <w:noProof/>
          <w:color w:val="000000" w:themeColor="text1"/>
          <w:szCs w:val="24"/>
        </w:rPr>
        <w:tab/>
      </w:r>
      <w:r w:rsidR="00FE15AC" w:rsidRPr="00E32E9C">
        <w:rPr>
          <w:rFonts w:eastAsia="Times New Roman"/>
          <w:noProof/>
          <w:color w:val="000000" w:themeColor="text1"/>
          <w:szCs w:val="24"/>
        </w:rPr>
        <w:t>Member States may refuse to recognise electronic identification means where the assurance levels of those electronic identification means do not comply with the conditions set out in Regulation (EU) No 910/2014.</w:t>
      </w:r>
      <w:r w:rsidRPr="00E32E9C">
        <w:rPr>
          <w:rFonts w:eastAsia="Times New Roman"/>
          <w:noProof/>
          <w:color w:val="000000" w:themeColor="text1"/>
          <w:szCs w:val="24"/>
        </w:rPr>
        <w:t>’</w:t>
      </w:r>
      <w:r w:rsidR="00EC7302" w:rsidRPr="00E32E9C">
        <w:rPr>
          <w:rFonts w:eastAsia="Times New Roman"/>
          <w:noProof/>
          <w:color w:val="000000" w:themeColor="text1"/>
          <w:szCs w:val="24"/>
        </w:rPr>
        <w:t>;</w:t>
      </w:r>
    </w:p>
    <w:p w14:paraId="089F080C" w14:textId="77777777" w:rsidR="00FE15AC" w:rsidRDefault="00FE15AC" w:rsidP="00EE0E1B">
      <w:pPr>
        <w:ind w:left="1418" w:hanging="414"/>
        <w:rPr>
          <w:noProof/>
          <w:highlight w:val="yellow"/>
        </w:rPr>
      </w:pPr>
    </w:p>
    <w:p w14:paraId="58046FA0" w14:textId="3ECC8638" w:rsidR="00497947" w:rsidRDefault="001969F8" w:rsidP="001969F8">
      <w:pPr>
        <w:pStyle w:val="Point0"/>
        <w:rPr>
          <w:noProof/>
        </w:rPr>
      </w:pPr>
      <w:r w:rsidRPr="001969F8">
        <w:t>(10)</w:t>
      </w:r>
      <w:r w:rsidRPr="001969F8">
        <w:tab/>
      </w:r>
      <w:r w:rsidR="00FE15AC" w:rsidRPr="009B3D3E">
        <w:rPr>
          <w:noProof/>
        </w:rPr>
        <w:t>Article 13c</w:t>
      </w:r>
      <w:r w:rsidR="00497947">
        <w:rPr>
          <w:noProof/>
        </w:rPr>
        <w:t xml:space="preserve"> is amended as follows:</w:t>
      </w:r>
    </w:p>
    <w:p w14:paraId="3D3B40F7" w14:textId="27ECB445" w:rsidR="00FE15AC" w:rsidRPr="009B3D3E" w:rsidRDefault="001969F8" w:rsidP="001969F8">
      <w:pPr>
        <w:pStyle w:val="Point1"/>
        <w:rPr>
          <w:noProof/>
        </w:rPr>
      </w:pPr>
      <w:r w:rsidRPr="001969F8">
        <w:t>(a)</w:t>
      </w:r>
      <w:r w:rsidRPr="001969F8">
        <w:tab/>
      </w:r>
      <w:r w:rsidR="00337783">
        <w:rPr>
          <w:noProof/>
        </w:rPr>
        <w:t>i</w:t>
      </w:r>
      <w:r w:rsidR="00497947">
        <w:rPr>
          <w:noProof/>
        </w:rPr>
        <w:t>n paragraph 2</w:t>
      </w:r>
      <w:r w:rsidR="00FE15AC" w:rsidRPr="009B3D3E">
        <w:rPr>
          <w:noProof/>
        </w:rPr>
        <w:t>, the following subparagraph is added</w:t>
      </w:r>
      <w:r w:rsidR="00497947">
        <w:rPr>
          <w:noProof/>
        </w:rPr>
        <w:t>:</w:t>
      </w:r>
    </w:p>
    <w:p w14:paraId="25381687" w14:textId="77777777" w:rsidR="00C61951" w:rsidRPr="009B3D3E" w:rsidRDefault="002265EE" w:rsidP="000668F5">
      <w:pPr>
        <w:pStyle w:val="Text1"/>
        <w:ind w:left="1418"/>
        <w:rPr>
          <w:noProof/>
        </w:rPr>
      </w:pPr>
      <w:r>
        <w:rPr>
          <w:noProof/>
        </w:rPr>
        <w:t>‘</w:t>
      </w:r>
      <w:r w:rsidR="00C61951" w:rsidRPr="009B3D3E">
        <w:rPr>
          <w:noProof/>
        </w:rPr>
        <w:t xml:space="preserve">This </w:t>
      </w:r>
      <w:r w:rsidR="0058196C">
        <w:rPr>
          <w:noProof/>
        </w:rPr>
        <w:t xml:space="preserve">is </w:t>
      </w:r>
      <w:r w:rsidR="009B3D3E" w:rsidRPr="009B3D3E">
        <w:rPr>
          <w:noProof/>
        </w:rPr>
        <w:t>without prejudice</w:t>
      </w:r>
      <w:r w:rsidR="00C61951" w:rsidRPr="009B3D3E">
        <w:rPr>
          <w:noProof/>
        </w:rPr>
        <w:t xml:space="preserve"> to </w:t>
      </w:r>
      <w:r w:rsidR="009B3D3E" w:rsidRPr="009B3D3E">
        <w:rPr>
          <w:noProof/>
        </w:rPr>
        <w:t xml:space="preserve">the </w:t>
      </w:r>
      <w:r w:rsidR="00C61951" w:rsidRPr="009B3D3E">
        <w:rPr>
          <w:noProof/>
        </w:rPr>
        <w:t>rules on preventive controls as referred to in Article 10</w:t>
      </w:r>
      <w:r>
        <w:rPr>
          <w:noProof/>
        </w:rPr>
        <w:t>.’</w:t>
      </w:r>
      <w:r w:rsidR="00FE15AC" w:rsidRPr="009B3D3E">
        <w:rPr>
          <w:noProof/>
        </w:rPr>
        <w:t>;</w:t>
      </w:r>
    </w:p>
    <w:p w14:paraId="73C507DD" w14:textId="77777777" w:rsidR="00EE0E1B" w:rsidRPr="009B3D3E" w:rsidRDefault="00EE0E1B" w:rsidP="002F0EBD">
      <w:pPr>
        <w:pStyle w:val="Text1"/>
        <w:rPr>
          <w:noProof/>
        </w:rPr>
      </w:pPr>
    </w:p>
    <w:p w14:paraId="68CBACC8" w14:textId="433A200F" w:rsidR="003146E6" w:rsidRPr="00936BDC" w:rsidRDefault="001969F8" w:rsidP="001969F8">
      <w:pPr>
        <w:pStyle w:val="Point1"/>
        <w:rPr>
          <w:noProof/>
        </w:rPr>
      </w:pPr>
      <w:r w:rsidRPr="001969F8">
        <w:t>(b)</w:t>
      </w:r>
      <w:r w:rsidRPr="001969F8">
        <w:tab/>
      </w:r>
      <w:r w:rsidR="00337783">
        <w:rPr>
          <w:noProof/>
        </w:rPr>
        <w:t>i</w:t>
      </w:r>
      <w:r w:rsidR="00F60C83">
        <w:rPr>
          <w:noProof/>
        </w:rPr>
        <w:t xml:space="preserve">n paragraph </w:t>
      </w:r>
      <w:r w:rsidR="00F16047">
        <w:rPr>
          <w:noProof/>
        </w:rPr>
        <w:t>3,</w:t>
      </w:r>
      <w:r w:rsidR="004926FA">
        <w:rPr>
          <w:noProof/>
        </w:rPr>
        <w:t xml:space="preserve"> </w:t>
      </w:r>
      <w:r w:rsidR="004926FA" w:rsidRPr="004926FA">
        <w:rPr>
          <w:noProof/>
        </w:rPr>
        <w:t>the following</w:t>
      </w:r>
      <w:r w:rsidR="00F16047">
        <w:rPr>
          <w:noProof/>
        </w:rPr>
        <w:t xml:space="preserve"> subparagraph is added</w:t>
      </w:r>
      <w:r w:rsidR="004926FA" w:rsidRPr="004926FA">
        <w:rPr>
          <w:noProof/>
        </w:rPr>
        <w:t>:</w:t>
      </w:r>
    </w:p>
    <w:p w14:paraId="68B06C77" w14:textId="77777777" w:rsidR="00882ACB" w:rsidRPr="00E32E9C" w:rsidRDefault="002265EE" w:rsidP="000668F5">
      <w:pPr>
        <w:ind w:left="1418"/>
        <w:rPr>
          <w:rFonts w:eastAsia="Times New Roman"/>
          <w:noProof/>
          <w:color w:val="000000" w:themeColor="text1"/>
          <w:szCs w:val="24"/>
        </w:rPr>
      </w:pPr>
      <w:r w:rsidRPr="00E32E9C">
        <w:rPr>
          <w:rFonts w:eastAsia="Times New Roman"/>
          <w:noProof/>
          <w:color w:val="000000" w:themeColor="text1"/>
          <w:szCs w:val="24"/>
        </w:rPr>
        <w:t>‘</w:t>
      </w:r>
      <w:r w:rsidR="00EC7302" w:rsidRPr="00E32E9C">
        <w:rPr>
          <w:rFonts w:eastAsia="Times New Roman"/>
          <w:noProof/>
          <w:color w:val="000000" w:themeColor="text1"/>
          <w:szCs w:val="24"/>
        </w:rPr>
        <w:t>This paragraph shall be applied without prejudice to Articles 16b, 16c, 16d and 16f</w:t>
      </w:r>
      <w:r w:rsidR="00F27015">
        <w:rPr>
          <w:rFonts w:eastAsia="Times New Roman"/>
          <w:noProof/>
          <w:color w:val="000000" w:themeColor="text1"/>
          <w:szCs w:val="24"/>
        </w:rPr>
        <w:t>.</w:t>
      </w:r>
      <w:r w:rsidRPr="00E32E9C">
        <w:rPr>
          <w:rFonts w:eastAsia="Times New Roman"/>
          <w:noProof/>
          <w:color w:val="000000" w:themeColor="text1"/>
          <w:szCs w:val="24"/>
        </w:rPr>
        <w:t>’</w:t>
      </w:r>
      <w:r w:rsidR="004926FA" w:rsidRPr="00E32E9C">
        <w:rPr>
          <w:rFonts w:eastAsia="Times New Roman"/>
          <w:noProof/>
          <w:color w:val="000000" w:themeColor="text1"/>
          <w:szCs w:val="24"/>
        </w:rPr>
        <w:t>;</w:t>
      </w:r>
    </w:p>
    <w:p w14:paraId="533DFC14" w14:textId="77777777" w:rsidR="00EE0E1B" w:rsidRPr="00E32E9C" w:rsidRDefault="00EE0E1B" w:rsidP="00882ACB">
      <w:pPr>
        <w:rPr>
          <w:rFonts w:eastAsia="Times New Roman"/>
          <w:noProof/>
          <w:color w:val="000000" w:themeColor="text1"/>
          <w:szCs w:val="24"/>
        </w:rPr>
      </w:pPr>
    </w:p>
    <w:p w14:paraId="0BFC65DC" w14:textId="2D0C12CD" w:rsidR="007E7241" w:rsidRPr="007E7241" w:rsidRDefault="001969F8" w:rsidP="001969F8">
      <w:pPr>
        <w:pStyle w:val="Point0"/>
        <w:rPr>
          <w:noProof/>
        </w:rPr>
      </w:pPr>
      <w:r w:rsidRPr="001969F8">
        <w:t>(11)</w:t>
      </w:r>
      <w:r w:rsidRPr="001969F8">
        <w:tab/>
      </w:r>
      <w:r w:rsidR="00F00450">
        <w:rPr>
          <w:noProof/>
          <w:lang w:eastAsia="en-GB"/>
        </w:rPr>
        <w:t>i</w:t>
      </w:r>
      <w:r w:rsidR="007E7241" w:rsidRPr="00CD09AF">
        <w:rPr>
          <w:noProof/>
          <w:lang w:eastAsia="en-GB"/>
        </w:rPr>
        <w:t>n Article 13f, the following paragraph</w:t>
      </w:r>
      <w:r w:rsidR="0005236C" w:rsidRPr="00CD09AF">
        <w:rPr>
          <w:noProof/>
          <w:lang w:eastAsia="en-GB"/>
        </w:rPr>
        <w:t>s</w:t>
      </w:r>
      <w:r w:rsidR="007E7241" w:rsidRPr="00CD09AF">
        <w:rPr>
          <w:noProof/>
          <w:lang w:eastAsia="en-GB"/>
        </w:rPr>
        <w:t xml:space="preserve"> are added:</w:t>
      </w:r>
    </w:p>
    <w:p w14:paraId="6CDC4D2F" w14:textId="77777777" w:rsidR="00EB3ECE" w:rsidRPr="00EB3ECE" w:rsidRDefault="0014016E" w:rsidP="000668F5">
      <w:pPr>
        <w:shd w:val="clear" w:color="auto" w:fill="FFFFFF"/>
        <w:spacing w:after="0"/>
        <w:ind w:left="851"/>
        <w:rPr>
          <w:noProof/>
          <w:szCs w:val="24"/>
        </w:rPr>
      </w:pPr>
      <w:r>
        <w:rPr>
          <w:rFonts w:eastAsia="Times New Roman"/>
          <w:noProof/>
          <w:szCs w:val="24"/>
        </w:rPr>
        <w:t>‘</w:t>
      </w:r>
      <w:r w:rsidR="00EB3ECE" w:rsidRPr="00EB3ECE">
        <w:rPr>
          <w:rFonts w:eastAsia="Times New Roman"/>
          <w:noProof/>
          <w:szCs w:val="24"/>
        </w:rPr>
        <w:t>Member States shall ensure that information</w:t>
      </w:r>
      <w:r w:rsidR="00EB3ECE" w:rsidRPr="00EB3ECE">
        <w:rPr>
          <w:noProof/>
          <w:szCs w:val="24"/>
        </w:rPr>
        <w:t xml:space="preserve"> referred to in </w:t>
      </w:r>
      <w:r w:rsidR="00F60C83">
        <w:rPr>
          <w:noProof/>
          <w:szCs w:val="24"/>
        </w:rPr>
        <w:t xml:space="preserve">the first paragraph, </w:t>
      </w:r>
      <w:r w:rsidR="00EB3ECE" w:rsidRPr="00EB3ECE">
        <w:rPr>
          <w:noProof/>
          <w:szCs w:val="24"/>
        </w:rPr>
        <w:t>points (a), (c) and (d)</w:t>
      </w:r>
      <w:r w:rsidR="001203CB">
        <w:rPr>
          <w:noProof/>
          <w:szCs w:val="24"/>
        </w:rPr>
        <w:t>,</w:t>
      </w:r>
      <w:r w:rsidR="00EB3ECE" w:rsidRPr="00EB3ECE">
        <w:rPr>
          <w:noProof/>
          <w:szCs w:val="24"/>
        </w:rPr>
        <w:t xml:space="preserve"> includes information also in relation to companies listed in Annex IIB.</w:t>
      </w:r>
    </w:p>
    <w:p w14:paraId="5A8A00FA" w14:textId="77777777" w:rsidR="007E7241" w:rsidRPr="00EB3ECE" w:rsidRDefault="0090088F" w:rsidP="000668F5">
      <w:pPr>
        <w:shd w:val="clear" w:color="auto" w:fill="FFFFFF" w:themeFill="background1"/>
        <w:spacing w:after="0"/>
        <w:ind w:left="851"/>
        <w:rPr>
          <w:rFonts w:eastAsia="Times New Roman"/>
          <w:noProof/>
          <w:szCs w:val="24"/>
        </w:rPr>
      </w:pPr>
      <w:r>
        <w:rPr>
          <w:rFonts w:eastAsia="Times New Roman"/>
          <w:noProof/>
          <w:szCs w:val="24"/>
        </w:rPr>
        <w:t xml:space="preserve"> </w:t>
      </w:r>
      <w:r w:rsidR="00EB3ECE" w:rsidRPr="00EB3ECE">
        <w:rPr>
          <w:rFonts w:eastAsia="Times New Roman"/>
          <w:noProof/>
          <w:szCs w:val="24"/>
        </w:rPr>
        <w:t xml:space="preserve">Member States shall ensure that the requirements specified in </w:t>
      </w:r>
      <w:r w:rsidR="001203CB">
        <w:rPr>
          <w:rFonts w:eastAsia="Times New Roman"/>
          <w:noProof/>
          <w:szCs w:val="24"/>
        </w:rPr>
        <w:t xml:space="preserve">the first </w:t>
      </w:r>
      <w:r w:rsidR="00EB3ECE" w:rsidRPr="00EB3ECE">
        <w:rPr>
          <w:rFonts w:eastAsia="Times New Roman"/>
          <w:noProof/>
          <w:szCs w:val="24"/>
        </w:rPr>
        <w:t xml:space="preserve">paragraph of this Article </w:t>
      </w:r>
      <w:r w:rsidR="001203CB">
        <w:rPr>
          <w:rFonts w:eastAsia="Times New Roman"/>
          <w:noProof/>
          <w:szCs w:val="24"/>
        </w:rPr>
        <w:t xml:space="preserve">also </w:t>
      </w:r>
      <w:r w:rsidR="00EB3ECE" w:rsidRPr="00EB3ECE">
        <w:rPr>
          <w:rFonts w:eastAsia="Times New Roman"/>
          <w:noProof/>
          <w:szCs w:val="24"/>
        </w:rPr>
        <w:t>cover the rules referred to in Article 15 on filing deadlines and on keeping the information in registers up</w:t>
      </w:r>
      <w:r>
        <w:rPr>
          <w:rFonts w:eastAsia="Times New Roman"/>
          <w:noProof/>
          <w:szCs w:val="24"/>
        </w:rPr>
        <w:t xml:space="preserve"> </w:t>
      </w:r>
      <w:r w:rsidR="00EB3ECE" w:rsidRPr="00EB3ECE">
        <w:rPr>
          <w:rFonts w:eastAsia="Times New Roman"/>
          <w:noProof/>
          <w:szCs w:val="24"/>
        </w:rPr>
        <w:t>to</w:t>
      </w:r>
      <w:r>
        <w:rPr>
          <w:rFonts w:eastAsia="Times New Roman"/>
          <w:noProof/>
          <w:szCs w:val="24"/>
        </w:rPr>
        <w:t xml:space="preserve"> </w:t>
      </w:r>
      <w:r w:rsidR="00EB3ECE" w:rsidRPr="00EB3ECE">
        <w:rPr>
          <w:rFonts w:eastAsia="Times New Roman"/>
          <w:noProof/>
          <w:szCs w:val="24"/>
        </w:rPr>
        <w:t>date.</w:t>
      </w:r>
      <w:r w:rsidR="0014016E">
        <w:rPr>
          <w:rFonts w:eastAsia="Times New Roman"/>
          <w:noProof/>
          <w:szCs w:val="24"/>
        </w:rPr>
        <w:t>’</w:t>
      </w:r>
      <w:r w:rsidR="007E7241" w:rsidRPr="00EB3ECE">
        <w:rPr>
          <w:rFonts w:eastAsia="Times New Roman"/>
          <w:noProof/>
          <w:szCs w:val="24"/>
        </w:rPr>
        <w:t>;</w:t>
      </w:r>
    </w:p>
    <w:p w14:paraId="7B546F3A" w14:textId="77777777" w:rsidR="005A5EDA" w:rsidRPr="00967F32" w:rsidRDefault="005A5EDA" w:rsidP="000668F5">
      <w:pPr>
        <w:shd w:val="clear" w:color="auto" w:fill="FFFFFF"/>
        <w:spacing w:after="0"/>
        <w:ind w:left="1418"/>
        <w:rPr>
          <w:rFonts w:eastAsia="Times New Roman"/>
          <w:noProof/>
          <w:color w:val="00B050"/>
          <w:szCs w:val="24"/>
        </w:rPr>
      </w:pPr>
    </w:p>
    <w:p w14:paraId="713C004C" w14:textId="36B085DC" w:rsidR="00501F7A" w:rsidRDefault="001969F8" w:rsidP="001969F8">
      <w:pPr>
        <w:pStyle w:val="Point0"/>
        <w:rPr>
          <w:noProof/>
        </w:rPr>
      </w:pPr>
      <w:r w:rsidRPr="001969F8">
        <w:t>(12)</w:t>
      </w:r>
      <w:r w:rsidRPr="001969F8">
        <w:tab/>
      </w:r>
      <w:r w:rsidR="005A5EDA" w:rsidRPr="007E7241">
        <w:rPr>
          <w:noProof/>
        </w:rPr>
        <w:t>Article 1</w:t>
      </w:r>
      <w:r w:rsidR="005A5EDA">
        <w:rPr>
          <w:noProof/>
        </w:rPr>
        <w:t>3g</w:t>
      </w:r>
      <w:r w:rsidR="00501F7A">
        <w:rPr>
          <w:noProof/>
        </w:rPr>
        <w:t xml:space="preserve"> is amended as follows:</w:t>
      </w:r>
    </w:p>
    <w:p w14:paraId="25E46A1C" w14:textId="457F10B3" w:rsidR="007E7241" w:rsidRDefault="001969F8" w:rsidP="001969F8">
      <w:pPr>
        <w:pStyle w:val="Point1"/>
        <w:rPr>
          <w:noProof/>
        </w:rPr>
      </w:pPr>
      <w:r w:rsidRPr="001969F8">
        <w:t>(a)</w:t>
      </w:r>
      <w:r w:rsidRPr="001969F8">
        <w:tab/>
      </w:r>
      <w:r w:rsidR="005A5EDA">
        <w:rPr>
          <w:noProof/>
        </w:rPr>
        <w:t>the following paragraph 2a is inserted:</w:t>
      </w:r>
    </w:p>
    <w:p w14:paraId="46C76972" w14:textId="77777777" w:rsidR="00EB3ECE" w:rsidRPr="00EB3ECE" w:rsidRDefault="0014016E" w:rsidP="000668F5">
      <w:pPr>
        <w:shd w:val="clear" w:color="auto" w:fill="FFFFFF"/>
        <w:tabs>
          <w:tab w:val="left" w:pos="1418"/>
        </w:tabs>
        <w:spacing w:after="0" w:line="312" w:lineRule="atLeast"/>
        <w:ind w:left="851"/>
        <w:rPr>
          <w:noProof/>
          <w:szCs w:val="24"/>
        </w:rPr>
      </w:pPr>
      <w:r>
        <w:rPr>
          <w:noProof/>
          <w:szCs w:val="24"/>
        </w:rPr>
        <w:t>‘</w:t>
      </w:r>
      <w:r w:rsidR="00EB3ECE" w:rsidRPr="00EB3ECE">
        <w:rPr>
          <w:noProof/>
          <w:szCs w:val="24"/>
        </w:rPr>
        <w:t>2a.</w:t>
      </w:r>
      <w:r w:rsidR="00B30C75">
        <w:rPr>
          <w:noProof/>
          <w:szCs w:val="24"/>
        </w:rPr>
        <w:tab/>
      </w:r>
      <w:r w:rsidR="00EB3ECE" w:rsidRPr="00EB3ECE">
        <w:rPr>
          <w:noProof/>
          <w:szCs w:val="24"/>
        </w:rPr>
        <w:t>Member States shall ensure that</w:t>
      </w:r>
      <w:r w:rsidR="008B670A">
        <w:rPr>
          <w:noProof/>
          <w:szCs w:val="24"/>
        </w:rPr>
        <w:t>,</w:t>
      </w:r>
      <w:r w:rsidR="00EB3ECE" w:rsidRPr="00EB3ECE">
        <w:rPr>
          <w:noProof/>
          <w:szCs w:val="24"/>
        </w:rPr>
        <w:t xml:space="preserve"> where a company listed in Annex II or IIB forms a company in another Member State, the register of the Member State where the company is being formed </w:t>
      </w:r>
      <w:r w:rsidR="00501F7A">
        <w:rPr>
          <w:noProof/>
          <w:szCs w:val="24"/>
        </w:rPr>
        <w:t>is to</w:t>
      </w:r>
      <w:r w:rsidR="00501F7A" w:rsidRPr="00EB3ECE">
        <w:rPr>
          <w:noProof/>
          <w:szCs w:val="24"/>
        </w:rPr>
        <w:t xml:space="preserve"> </w:t>
      </w:r>
      <w:r w:rsidR="00EB3ECE" w:rsidRPr="00EB3ECE">
        <w:rPr>
          <w:noProof/>
          <w:szCs w:val="24"/>
        </w:rPr>
        <w:t>retrieve, through the system of interconnection of registers</w:t>
      </w:r>
      <w:r w:rsidR="00E45119">
        <w:rPr>
          <w:noProof/>
          <w:szCs w:val="24"/>
        </w:rPr>
        <w:t xml:space="preserve"> referred to in Article 22</w:t>
      </w:r>
      <w:r w:rsidR="00EB3ECE" w:rsidRPr="00EB3ECE">
        <w:rPr>
          <w:noProof/>
          <w:szCs w:val="24"/>
        </w:rPr>
        <w:t xml:space="preserve">, the documents and information about the founder company relevant for the procedure of formation available in the register of the Member State where that company is registered, and the company shall not be requested to provide </w:t>
      </w:r>
      <w:r w:rsidR="007E6DAF">
        <w:rPr>
          <w:noProof/>
        </w:rPr>
        <w:t>that information or those documents</w:t>
      </w:r>
      <w:r w:rsidR="00EB3ECE" w:rsidRPr="00EB3ECE">
        <w:rPr>
          <w:noProof/>
          <w:szCs w:val="24"/>
        </w:rPr>
        <w:t>. The reg</w:t>
      </w:r>
      <w:r w:rsidR="0058331D">
        <w:rPr>
          <w:noProof/>
          <w:szCs w:val="24"/>
        </w:rPr>
        <w:t>ister may also retrieve the EU Company C</w:t>
      </w:r>
      <w:r w:rsidR="00EB3ECE" w:rsidRPr="00EB3ECE">
        <w:rPr>
          <w:noProof/>
          <w:szCs w:val="24"/>
        </w:rPr>
        <w:t>ertificate under Article 16b.</w:t>
      </w:r>
    </w:p>
    <w:p w14:paraId="6B2519DF" w14:textId="77777777" w:rsidR="00EB3ECE" w:rsidRPr="00EB3ECE" w:rsidRDefault="00B30C75" w:rsidP="00B32C2E">
      <w:pPr>
        <w:shd w:val="clear" w:color="auto" w:fill="FFFFFF"/>
        <w:tabs>
          <w:tab w:val="left" w:pos="1418"/>
        </w:tabs>
        <w:spacing w:line="312" w:lineRule="atLeast"/>
        <w:ind w:left="851" w:hanging="567"/>
        <w:rPr>
          <w:noProof/>
          <w:szCs w:val="24"/>
        </w:rPr>
      </w:pPr>
      <w:r>
        <w:rPr>
          <w:noProof/>
          <w:szCs w:val="24"/>
        </w:rPr>
        <w:tab/>
      </w:r>
      <w:r w:rsidR="00EB3ECE" w:rsidRPr="00EB3ECE">
        <w:rPr>
          <w:noProof/>
          <w:szCs w:val="24"/>
        </w:rPr>
        <w:t>Where any authority or person or body is mandated under national law to deal with any aspect of the formation of a company, and the documents and information referred to in the first subparagraph are needed for the performance of such tasks, the register of the Member State where the company is being formed shall provide the documents and the information retrieved</w:t>
      </w:r>
      <w:r w:rsidR="00F83B63">
        <w:rPr>
          <w:noProof/>
          <w:szCs w:val="24"/>
        </w:rPr>
        <w:t xml:space="preserve"> </w:t>
      </w:r>
      <w:r w:rsidR="00EB3ECE" w:rsidRPr="00EB3ECE">
        <w:rPr>
          <w:noProof/>
          <w:szCs w:val="24"/>
        </w:rPr>
        <w:t>to that authority, person or body.</w:t>
      </w:r>
    </w:p>
    <w:p w14:paraId="095E6997" w14:textId="77777777" w:rsidR="005A5EDA" w:rsidRPr="00F01829" w:rsidRDefault="00EB3ECE" w:rsidP="00B32C2E">
      <w:pPr>
        <w:shd w:val="clear" w:color="auto" w:fill="FFFFFF" w:themeFill="background1"/>
        <w:spacing w:line="312" w:lineRule="atLeast"/>
        <w:ind w:left="851" w:hanging="1"/>
        <w:contextualSpacing/>
        <w:rPr>
          <w:rFonts w:eastAsia="Times New Roman"/>
          <w:noProof/>
          <w:szCs w:val="24"/>
        </w:rPr>
      </w:pPr>
      <w:r w:rsidRPr="00EB3ECE">
        <w:rPr>
          <w:rFonts w:eastAsia="Times New Roman"/>
          <w:noProof/>
          <w:szCs w:val="24"/>
        </w:rPr>
        <w:t xml:space="preserve">Member States shall apply this paragraph to </w:t>
      </w:r>
      <w:r w:rsidRPr="00EB3ECE" w:rsidDel="00F83B63">
        <w:rPr>
          <w:rFonts w:eastAsia="Times New Roman"/>
          <w:noProof/>
          <w:szCs w:val="24"/>
        </w:rPr>
        <w:t xml:space="preserve">any </w:t>
      </w:r>
      <w:r w:rsidRPr="00EB3ECE">
        <w:rPr>
          <w:rFonts w:eastAsia="Times New Roman"/>
          <w:noProof/>
          <w:szCs w:val="24"/>
        </w:rPr>
        <w:t>other forms of formation of companies than fully online.</w:t>
      </w:r>
      <w:r w:rsidR="0014016E">
        <w:rPr>
          <w:rFonts w:eastAsia="Times New Roman"/>
          <w:noProof/>
          <w:szCs w:val="24"/>
        </w:rPr>
        <w:t>’</w:t>
      </w:r>
      <w:r w:rsidR="00F01829">
        <w:rPr>
          <w:rFonts w:eastAsia="Times New Roman"/>
          <w:noProof/>
          <w:szCs w:val="24"/>
        </w:rPr>
        <w:t>;</w:t>
      </w:r>
    </w:p>
    <w:p w14:paraId="060576CA" w14:textId="77777777" w:rsidR="005A5EDA" w:rsidRDefault="005A5EDA" w:rsidP="00B32C2E">
      <w:pPr>
        <w:contextualSpacing/>
        <w:rPr>
          <w:noProof/>
        </w:rPr>
      </w:pPr>
    </w:p>
    <w:p w14:paraId="1AAAC7F3" w14:textId="388AF252" w:rsidR="00975BBA" w:rsidRDefault="001969F8" w:rsidP="001969F8">
      <w:pPr>
        <w:pStyle w:val="Point1"/>
        <w:rPr>
          <w:noProof/>
        </w:rPr>
      </w:pPr>
      <w:r w:rsidRPr="001969F8">
        <w:t>(b)</w:t>
      </w:r>
      <w:r w:rsidRPr="001969F8">
        <w:tab/>
      </w:r>
      <w:r w:rsidR="00975BBA">
        <w:rPr>
          <w:noProof/>
        </w:rPr>
        <w:t xml:space="preserve">paragraph </w:t>
      </w:r>
      <w:r w:rsidR="005A5EDA">
        <w:rPr>
          <w:noProof/>
        </w:rPr>
        <w:t>3</w:t>
      </w:r>
      <w:r w:rsidR="00975BBA">
        <w:rPr>
          <w:noProof/>
        </w:rPr>
        <w:t xml:space="preserve"> is amended as follows:</w:t>
      </w:r>
    </w:p>
    <w:p w14:paraId="24C58155" w14:textId="77777777" w:rsidR="00AD0F91" w:rsidRDefault="00122A7A" w:rsidP="009963CE">
      <w:pPr>
        <w:ind w:firstLine="1134"/>
        <w:rPr>
          <w:noProof/>
        </w:rPr>
      </w:pPr>
      <w:r>
        <w:rPr>
          <w:noProof/>
        </w:rPr>
        <w:t xml:space="preserve">(i) </w:t>
      </w:r>
      <w:r w:rsidR="00AD0F91" w:rsidRPr="00AD0F91">
        <w:rPr>
          <w:noProof/>
        </w:rPr>
        <w:t>point (d) is replaced by the following:</w:t>
      </w:r>
    </w:p>
    <w:p w14:paraId="47FF5B5E" w14:textId="77777777" w:rsidR="000F354C" w:rsidRDefault="00AD0F91" w:rsidP="00122A7A">
      <w:pPr>
        <w:ind w:firstLine="1418"/>
        <w:contextualSpacing/>
        <w:rPr>
          <w:noProof/>
        </w:rPr>
      </w:pPr>
      <w:r w:rsidRPr="000F354C">
        <w:rPr>
          <w:noProof/>
        </w:rPr>
        <w:t xml:space="preserve"> </w:t>
      </w:r>
      <w:r w:rsidR="000F354C" w:rsidRPr="000F354C">
        <w:rPr>
          <w:noProof/>
        </w:rPr>
        <w:t>‘(d) the procedures to verify the legality of the object of the company;’;</w:t>
      </w:r>
    </w:p>
    <w:p w14:paraId="2A60F58C" w14:textId="77777777" w:rsidR="00122A7A" w:rsidRDefault="00122A7A" w:rsidP="009963CE">
      <w:pPr>
        <w:rPr>
          <w:noProof/>
        </w:rPr>
      </w:pPr>
    </w:p>
    <w:p w14:paraId="64B8D1E0" w14:textId="77777777" w:rsidR="00AD0F91" w:rsidRDefault="00122A7A" w:rsidP="009963CE">
      <w:pPr>
        <w:ind w:firstLine="1134"/>
        <w:rPr>
          <w:noProof/>
        </w:rPr>
      </w:pPr>
      <w:r>
        <w:rPr>
          <w:noProof/>
        </w:rPr>
        <w:t xml:space="preserve">(ii) </w:t>
      </w:r>
      <w:r w:rsidR="00AD0F91" w:rsidRPr="00AD0F91">
        <w:rPr>
          <w:noProof/>
        </w:rPr>
        <w:t>point (e) is replaced by the following</w:t>
      </w:r>
    </w:p>
    <w:p w14:paraId="21586C4C" w14:textId="77777777" w:rsidR="000F354C" w:rsidRDefault="00AD0F91" w:rsidP="00122A7A">
      <w:pPr>
        <w:ind w:firstLine="1418"/>
        <w:contextualSpacing/>
        <w:rPr>
          <w:noProof/>
        </w:rPr>
      </w:pPr>
      <w:r w:rsidRPr="000F354C">
        <w:rPr>
          <w:noProof/>
        </w:rPr>
        <w:t xml:space="preserve"> </w:t>
      </w:r>
      <w:r w:rsidR="000F354C" w:rsidRPr="000F354C">
        <w:rPr>
          <w:noProof/>
        </w:rPr>
        <w:t>‘(e) the procedures to verify the legality of the name of the company;’;</w:t>
      </w:r>
    </w:p>
    <w:p w14:paraId="583F64FE" w14:textId="77777777" w:rsidR="005A5EDA" w:rsidRDefault="005A5EDA" w:rsidP="00122A7A">
      <w:pPr>
        <w:contextualSpacing/>
        <w:rPr>
          <w:noProof/>
        </w:rPr>
      </w:pPr>
    </w:p>
    <w:p w14:paraId="131245C2" w14:textId="147DC8BF" w:rsidR="005A5EDA" w:rsidRDefault="001969F8" w:rsidP="001969F8">
      <w:pPr>
        <w:pStyle w:val="Point1"/>
        <w:rPr>
          <w:noProof/>
        </w:rPr>
      </w:pPr>
      <w:r w:rsidRPr="001969F8">
        <w:t>(c)</w:t>
      </w:r>
      <w:r w:rsidRPr="001969F8">
        <w:tab/>
      </w:r>
      <w:r w:rsidR="0012092B">
        <w:rPr>
          <w:noProof/>
        </w:rPr>
        <w:tab/>
      </w:r>
      <w:r w:rsidR="00975BBA">
        <w:rPr>
          <w:noProof/>
        </w:rPr>
        <w:t xml:space="preserve">in paragraph </w:t>
      </w:r>
      <w:r w:rsidR="005A5EDA">
        <w:rPr>
          <w:noProof/>
        </w:rPr>
        <w:t>4</w:t>
      </w:r>
      <w:r w:rsidR="005A5EDA" w:rsidRPr="005A5EDA">
        <w:rPr>
          <w:noProof/>
        </w:rPr>
        <w:t>, point (</w:t>
      </w:r>
      <w:r w:rsidR="005164C5">
        <w:rPr>
          <w:noProof/>
        </w:rPr>
        <w:t>a</w:t>
      </w:r>
      <w:r w:rsidR="005A5EDA" w:rsidRPr="005A5EDA">
        <w:rPr>
          <w:noProof/>
        </w:rPr>
        <w:t xml:space="preserve">) is </w:t>
      </w:r>
      <w:r w:rsidR="005164C5">
        <w:rPr>
          <w:noProof/>
        </w:rPr>
        <w:t>deleted</w:t>
      </w:r>
      <w:r w:rsidR="00AF0407">
        <w:rPr>
          <w:noProof/>
        </w:rPr>
        <w:t>;</w:t>
      </w:r>
    </w:p>
    <w:p w14:paraId="3F0AE304" w14:textId="77777777" w:rsidR="005164C5" w:rsidRPr="005A5EDA" w:rsidRDefault="005164C5" w:rsidP="00B32C2E">
      <w:pPr>
        <w:contextualSpacing/>
        <w:rPr>
          <w:noProof/>
        </w:rPr>
      </w:pPr>
    </w:p>
    <w:p w14:paraId="1FB3EB7E" w14:textId="65875968" w:rsidR="005164C5" w:rsidRDefault="001969F8" w:rsidP="001969F8">
      <w:pPr>
        <w:pStyle w:val="Point0"/>
        <w:rPr>
          <w:noProof/>
        </w:rPr>
      </w:pPr>
      <w:r w:rsidRPr="001969F8">
        <w:t>(13)</w:t>
      </w:r>
      <w:r w:rsidRPr="001969F8">
        <w:tab/>
      </w:r>
      <w:r w:rsidR="00DB6378">
        <w:rPr>
          <w:noProof/>
        </w:rPr>
        <w:t>i</w:t>
      </w:r>
      <w:r w:rsidR="005164C5" w:rsidRPr="005A5EDA">
        <w:rPr>
          <w:noProof/>
        </w:rPr>
        <w:t>n Article 1</w:t>
      </w:r>
      <w:r w:rsidR="005164C5">
        <w:rPr>
          <w:noProof/>
        </w:rPr>
        <w:t>3h</w:t>
      </w:r>
      <w:r w:rsidR="00F16047">
        <w:rPr>
          <w:noProof/>
        </w:rPr>
        <w:t>(</w:t>
      </w:r>
      <w:r w:rsidR="005164C5">
        <w:rPr>
          <w:noProof/>
        </w:rPr>
        <w:t>2</w:t>
      </w:r>
      <w:r w:rsidR="00F16047">
        <w:rPr>
          <w:noProof/>
        </w:rPr>
        <w:t>)</w:t>
      </w:r>
      <w:r w:rsidR="005164C5" w:rsidRPr="005A5EDA">
        <w:rPr>
          <w:noProof/>
        </w:rPr>
        <w:t xml:space="preserve">, </w:t>
      </w:r>
      <w:r w:rsidR="00975BBA">
        <w:rPr>
          <w:noProof/>
        </w:rPr>
        <w:t xml:space="preserve">first subparagraph, </w:t>
      </w:r>
      <w:r w:rsidR="005164C5">
        <w:rPr>
          <w:noProof/>
        </w:rPr>
        <w:t>the second sentence is</w:t>
      </w:r>
      <w:r w:rsidR="005164C5" w:rsidRPr="005A5EDA">
        <w:rPr>
          <w:noProof/>
        </w:rPr>
        <w:t xml:space="preserve"> </w:t>
      </w:r>
      <w:r w:rsidR="005164C5">
        <w:rPr>
          <w:noProof/>
        </w:rPr>
        <w:t>deleted</w:t>
      </w:r>
      <w:r w:rsidR="00AF0407">
        <w:rPr>
          <w:noProof/>
        </w:rPr>
        <w:t>;</w:t>
      </w:r>
    </w:p>
    <w:p w14:paraId="545E0ED9" w14:textId="77777777" w:rsidR="005164C5" w:rsidRPr="005A5EDA" w:rsidRDefault="005164C5" w:rsidP="002F0EBD">
      <w:pPr>
        <w:rPr>
          <w:noProof/>
        </w:rPr>
      </w:pPr>
    </w:p>
    <w:p w14:paraId="376C7F03" w14:textId="2FAB9BDE" w:rsidR="00975BBA" w:rsidRDefault="001969F8" w:rsidP="001969F8">
      <w:pPr>
        <w:pStyle w:val="Point0"/>
        <w:rPr>
          <w:noProof/>
        </w:rPr>
      </w:pPr>
      <w:r w:rsidRPr="001969F8">
        <w:t>(14)</w:t>
      </w:r>
      <w:r w:rsidRPr="001969F8">
        <w:tab/>
      </w:r>
      <w:r w:rsidR="005164C5" w:rsidRPr="00296FA6">
        <w:rPr>
          <w:noProof/>
        </w:rPr>
        <w:t>Article 13j</w:t>
      </w:r>
      <w:r w:rsidR="00975BBA">
        <w:rPr>
          <w:noProof/>
        </w:rPr>
        <w:t xml:space="preserve"> is amended as follows:</w:t>
      </w:r>
    </w:p>
    <w:p w14:paraId="58516A4F" w14:textId="79363567" w:rsidR="005A5EDA" w:rsidRPr="00296FA6" w:rsidRDefault="001969F8" w:rsidP="001969F8">
      <w:pPr>
        <w:pStyle w:val="Point1"/>
        <w:rPr>
          <w:noProof/>
        </w:rPr>
      </w:pPr>
      <w:r w:rsidRPr="001969F8">
        <w:t>(a)</w:t>
      </w:r>
      <w:r w:rsidRPr="001969F8">
        <w:tab/>
      </w:r>
      <w:r w:rsidR="00975BBA">
        <w:rPr>
          <w:noProof/>
        </w:rPr>
        <w:t>in paragraph 1</w:t>
      </w:r>
      <w:r w:rsidR="005164C5" w:rsidRPr="00296FA6">
        <w:rPr>
          <w:noProof/>
        </w:rPr>
        <w:t xml:space="preserve">, </w:t>
      </w:r>
      <w:r w:rsidR="007C625E" w:rsidRPr="00296FA6">
        <w:rPr>
          <w:noProof/>
        </w:rPr>
        <w:t xml:space="preserve">the first sentence </w:t>
      </w:r>
      <w:r w:rsidR="005164C5" w:rsidRPr="00296FA6">
        <w:rPr>
          <w:noProof/>
        </w:rPr>
        <w:t>is replaced by the following:</w:t>
      </w:r>
    </w:p>
    <w:p w14:paraId="466838D5" w14:textId="77777777" w:rsidR="005164C5" w:rsidRPr="00296FA6" w:rsidRDefault="00AF0407" w:rsidP="00332815">
      <w:pPr>
        <w:pStyle w:val="Text1"/>
        <w:rPr>
          <w:noProof/>
        </w:rPr>
      </w:pPr>
      <w:r>
        <w:rPr>
          <w:noProof/>
        </w:rPr>
        <w:t>‘</w:t>
      </w:r>
      <w:r w:rsidR="005164C5" w:rsidRPr="00296FA6">
        <w:rPr>
          <w:noProof/>
        </w:rPr>
        <w:t>Member States shall ensure that documents and information, including any modification thereof, can be filed online with the register w</w:t>
      </w:r>
      <w:r>
        <w:rPr>
          <w:noProof/>
        </w:rPr>
        <w:t>here the company is registered.’</w:t>
      </w:r>
      <w:r w:rsidR="005164C5" w:rsidRPr="00296FA6">
        <w:rPr>
          <w:noProof/>
        </w:rPr>
        <w:t>;</w:t>
      </w:r>
    </w:p>
    <w:p w14:paraId="27591EF1" w14:textId="77777777" w:rsidR="005164C5" w:rsidRPr="00296FA6" w:rsidRDefault="005164C5" w:rsidP="002F0EBD">
      <w:pPr>
        <w:rPr>
          <w:noProof/>
          <w:highlight w:val="yellow"/>
        </w:rPr>
      </w:pPr>
    </w:p>
    <w:p w14:paraId="2104DC0B" w14:textId="3B8BB1F1" w:rsidR="005164C5" w:rsidRPr="0066044D" w:rsidRDefault="001969F8" w:rsidP="001969F8">
      <w:pPr>
        <w:pStyle w:val="Point1"/>
        <w:rPr>
          <w:noProof/>
        </w:rPr>
      </w:pPr>
      <w:r w:rsidRPr="001969F8">
        <w:t>(b)</w:t>
      </w:r>
      <w:r w:rsidRPr="001969F8">
        <w:tab/>
      </w:r>
      <w:r w:rsidR="005164C5" w:rsidRPr="0066044D">
        <w:rPr>
          <w:noProof/>
        </w:rPr>
        <w:t>paragraph 4 is replaced by the following:</w:t>
      </w:r>
    </w:p>
    <w:p w14:paraId="527A5954" w14:textId="77777777" w:rsidR="005164C5" w:rsidRPr="0066044D" w:rsidRDefault="00AF0407" w:rsidP="006C07BC">
      <w:pPr>
        <w:shd w:val="clear" w:color="auto" w:fill="FFFFFF"/>
        <w:spacing w:after="0"/>
        <w:ind w:left="851"/>
        <w:rPr>
          <w:rFonts w:eastAsia="Times New Roman"/>
          <w:noProof/>
          <w:szCs w:val="24"/>
        </w:rPr>
      </w:pPr>
      <w:r>
        <w:rPr>
          <w:rFonts w:eastAsia="Times New Roman"/>
          <w:noProof/>
          <w:szCs w:val="24"/>
        </w:rPr>
        <w:t>‘</w:t>
      </w:r>
      <w:r w:rsidR="00AC460A">
        <w:rPr>
          <w:rFonts w:eastAsia="Times New Roman"/>
          <w:noProof/>
          <w:szCs w:val="24"/>
        </w:rPr>
        <w:t>4. </w:t>
      </w:r>
      <w:r w:rsidR="00EE0E1B">
        <w:rPr>
          <w:rFonts w:eastAsia="Times New Roman"/>
          <w:noProof/>
          <w:szCs w:val="24"/>
        </w:rPr>
        <w:tab/>
      </w:r>
      <w:r w:rsidR="0066044D" w:rsidRPr="0066044D">
        <w:rPr>
          <w:rFonts w:eastAsia="Times New Roman"/>
          <w:noProof/>
          <w:szCs w:val="24"/>
        </w:rPr>
        <w:t>Articles 10(1) and (2) and 13g(2), (3), (4) and (5) shall apply </w:t>
      </w:r>
      <w:r w:rsidR="0066044D" w:rsidRPr="00630A7C">
        <w:rPr>
          <w:rFonts w:eastAsia="Times New Roman"/>
          <w:i/>
          <w:noProof/>
          <w:szCs w:val="24"/>
        </w:rPr>
        <w:t>mutatis mutandis</w:t>
      </w:r>
      <w:r w:rsidR="0066044D" w:rsidRPr="0066044D">
        <w:rPr>
          <w:rFonts w:eastAsia="Times New Roman"/>
          <w:noProof/>
          <w:szCs w:val="24"/>
        </w:rPr>
        <w:t xml:space="preserve"> to </w:t>
      </w:r>
      <w:r w:rsidR="00F83B63">
        <w:rPr>
          <w:rFonts w:eastAsia="Times New Roman"/>
          <w:noProof/>
          <w:szCs w:val="24"/>
        </w:rPr>
        <w:t xml:space="preserve">the </w:t>
      </w:r>
      <w:r w:rsidR="0066044D" w:rsidRPr="0066044D">
        <w:rPr>
          <w:rFonts w:eastAsia="Times New Roman"/>
          <w:noProof/>
          <w:szCs w:val="24"/>
        </w:rPr>
        <w:t>online filing of documents and information.</w:t>
      </w:r>
      <w:r>
        <w:rPr>
          <w:rFonts w:eastAsia="Times New Roman"/>
          <w:noProof/>
          <w:szCs w:val="24"/>
        </w:rPr>
        <w:t>’</w:t>
      </w:r>
      <w:r w:rsidR="00B3067C" w:rsidRPr="0066044D">
        <w:rPr>
          <w:rFonts w:eastAsia="Times New Roman"/>
          <w:noProof/>
          <w:szCs w:val="24"/>
        </w:rPr>
        <w:t>;</w:t>
      </w:r>
    </w:p>
    <w:p w14:paraId="3AC1C25C" w14:textId="77777777" w:rsidR="00EE0E1B" w:rsidRPr="0066044D" w:rsidRDefault="00EE0E1B" w:rsidP="00EE0E1B">
      <w:pPr>
        <w:shd w:val="clear" w:color="auto" w:fill="FFFFFF"/>
        <w:spacing w:after="0"/>
        <w:ind w:left="1276" w:hanging="425"/>
        <w:rPr>
          <w:rFonts w:eastAsia="Times New Roman"/>
          <w:noProof/>
          <w:szCs w:val="24"/>
        </w:rPr>
      </w:pPr>
    </w:p>
    <w:p w14:paraId="364A0AE8" w14:textId="76E49DEE" w:rsidR="005164C5" w:rsidRPr="0066044D" w:rsidRDefault="001969F8" w:rsidP="001969F8">
      <w:pPr>
        <w:pStyle w:val="Point1"/>
        <w:rPr>
          <w:noProof/>
        </w:rPr>
      </w:pPr>
      <w:r w:rsidRPr="001969F8">
        <w:t>(c)</w:t>
      </w:r>
      <w:r w:rsidRPr="001969F8">
        <w:tab/>
      </w:r>
      <w:r w:rsidR="005164C5" w:rsidRPr="00CD09AF">
        <w:rPr>
          <w:noProof/>
        </w:rPr>
        <w:t>the following paragraph is added:</w:t>
      </w:r>
    </w:p>
    <w:p w14:paraId="519124B2" w14:textId="77777777" w:rsidR="005164C5" w:rsidRPr="0066044D" w:rsidRDefault="00AF0407" w:rsidP="006C07BC">
      <w:pPr>
        <w:shd w:val="clear" w:color="auto" w:fill="FFFFFF"/>
        <w:spacing w:after="0"/>
        <w:ind w:left="851"/>
        <w:rPr>
          <w:rFonts w:eastAsia="Times New Roman"/>
          <w:noProof/>
          <w:szCs w:val="24"/>
        </w:rPr>
      </w:pPr>
      <w:r>
        <w:rPr>
          <w:rFonts w:eastAsia="Times New Roman"/>
          <w:noProof/>
          <w:szCs w:val="24"/>
        </w:rPr>
        <w:t>‘</w:t>
      </w:r>
      <w:r w:rsidR="0066044D" w:rsidRPr="0066044D">
        <w:rPr>
          <w:rFonts w:eastAsia="Times New Roman"/>
          <w:noProof/>
          <w:szCs w:val="24"/>
        </w:rPr>
        <w:t xml:space="preserve">6. </w:t>
      </w:r>
      <w:r w:rsidR="00EE0E1B">
        <w:rPr>
          <w:rFonts w:eastAsia="Times New Roman"/>
          <w:noProof/>
          <w:szCs w:val="24"/>
        </w:rPr>
        <w:tab/>
      </w:r>
      <w:r w:rsidR="0066044D" w:rsidRPr="0066044D">
        <w:rPr>
          <w:rFonts w:eastAsia="Times New Roman"/>
          <w:noProof/>
          <w:szCs w:val="24"/>
        </w:rPr>
        <w:t xml:space="preserve">Article 10(1) and (2) and </w:t>
      </w:r>
      <w:r w:rsidR="004A359A">
        <w:rPr>
          <w:rFonts w:eastAsia="Times New Roman"/>
          <w:noProof/>
          <w:szCs w:val="24"/>
        </w:rPr>
        <w:t xml:space="preserve">Article </w:t>
      </w:r>
      <w:r w:rsidR="0066044D" w:rsidRPr="0066044D">
        <w:rPr>
          <w:rFonts w:eastAsia="Times New Roman"/>
          <w:noProof/>
          <w:szCs w:val="24"/>
        </w:rPr>
        <w:t>13g(2), (3), (4) and (5) shall apply </w:t>
      </w:r>
      <w:r w:rsidR="0066044D" w:rsidRPr="0066044D">
        <w:rPr>
          <w:rFonts w:eastAsia="Times New Roman"/>
          <w:i/>
          <w:iCs/>
          <w:noProof/>
          <w:szCs w:val="24"/>
        </w:rPr>
        <w:t>mutatis mutandis</w:t>
      </w:r>
      <w:r w:rsidR="0066044D" w:rsidRPr="0066044D">
        <w:rPr>
          <w:rFonts w:eastAsia="Times New Roman"/>
          <w:noProof/>
          <w:szCs w:val="24"/>
        </w:rPr>
        <w:t xml:space="preserve"> to </w:t>
      </w:r>
      <w:r w:rsidR="0066044D" w:rsidRPr="0066044D" w:rsidDel="00F83B63">
        <w:rPr>
          <w:rFonts w:eastAsia="Times New Roman"/>
          <w:noProof/>
          <w:szCs w:val="24"/>
        </w:rPr>
        <w:t xml:space="preserve">any </w:t>
      </w:r>
      <w:r w:rsidR="0066044D" w:rsidRPr="0066044D">
        <w:rPr>
          <w:rFonts w:eastAsia="Times New Roman"/>
          <w:noProof/>
          <w:szCs w:val="24"/>
        </w:rPr>
        <w:t>other form of filing of documents and information than</w:t>
      </w:r>
      <w:r w:rsidR="00F83B63">
        <w:rPr>
          <w:rFonts w:eastAsia="Times New Roman"/>
          <w:noProof/>
          <w:szCs w:val="24"/>
        </w:rPr>
        <w:t xml:space="preserve"> </w:t>
      </w:r>
      <w:r w:rsidR="0066044D" w:rsidRPr="0066044D">
        <w:rPr>
          <w:rFonts w:eastAsia="Times New Roman"/>
          <w:noProof/>
          <w:szCs w:val="24"/>
        </w:rPr>
        <w:t>fully online by companies listed in Annex</w:t>
      </w:r>
      <w:r w:rsidR="00337783">
        <w:rPr>
          <w:rFonts w:eastAsia="Times New Roman"/>
          <w:noProof/>
          <w:szCs w:val="24"/>
        </w:rPr>
        <w:t>es</w:t>
      </w:r>
      <w:r w:rsidR="0066044D" w:rsidRPr="0066044D">
        <w:rPr>
          <w:rFonts w:eastAsia="Times New Roman"/>
          <w:noProof/>
          <w:szCs w:val="24"/>
        </w:rPr>
        <w:t xml:space="preserve"> II and IIB.</w:t>
      </w:r>
      <w:r>
        <w:rPr>
          <w:rFonts w:eastAsia="Times New Roman"/>
          <w:noProof/>
          <w:szCs w:val="24"/>
        </w:rPr>
        <w:t>’</w:t>
      </w:r>
      <w:r w:rsidR="005164C5" w:rsidRPr="0066044D">
        <w:rPr>
          <w:rFonts w:eastAsia="Times New Roman"/>
          <w:noProof/>
          <w:szCs w:val="24"/>
        </w:rPr>
        <w:t>;</w:t>
      </w:r>
    </w:p>
    <w:p w14:paraId="4839A644" w14:textId="77777777" w:rsidR="005164C5" w:rsidRPr="007E7241" w:rsidRDefault="005164C5" w:rsidP="005164C5">
      <w:pPr>
        <w:pStyle w:val="ListParagraph"/>
        <w:ind w:left="850"/>
        <w:rPr>
          <w:noProof/>
          <w:lang w:eastAsia="en-GB"/>
        </w:rPr>
      </w:pPr>
    </w:p>
    <w:p w14:paraId="66AC643B" w14:textId="1AF65341" w:rsidR="0051641E" w:rsidRDefault="001969F8" w:rsidP="001969F8">
      <w:pPr>
        <w:pStyle w:val="Point0"/>
        <w:rPr>
          <w:noProof/>
        </w:rPr>
      </w:pPr>
      <w:r w:rsidRPr="001969F8">
        <w:t>(15)</w:t>
      </w:r>
      <w:r w:rsidRPr="001969F8">
        <w:tab/>
      </w:r>
      <w:r w:rsidR="00606ADA">
        <w:rPr>
          <w:noProof/>
        </w:rPr>
        <w:t xml:space="preserve">Article 14 </w:t>
      </w:r>
      <w:r w:rsidR="0051641E">
        <w:rPr>
          <w:noProof/>
        </w:rPr>
        <w:t>is amended as follows:</w:t>
      </w:r>
    </w:p>
    <w:p w14:paraId="7E8E09FD" w14:textId="682CD50D" w:rsidR="005164C5" w:rsidRDefault="001969F8" w:rsidP="001969F8">
      <w:pPr>
        <w:pStyle w:val="Point1"/>
        <w:rPr>
          <w:noProof/>
        </w:rPr>
      </w:pPr>
      <w:r w:rsidRPr="001969F8">
        <w:t>(a)</w:t>
      </w:r>
      <w:r w:rsidRPr="001969F8">
        <w:tab/>
      </w:r>
      <w:r w:rsidR="0051641E">
        <w:rPr>
          <w:noProof/>
        </w:rPr>
        <w:t xml:space="preserve">the Title of Article 14 </w:t>
      </w:r>
      <w:r w:rsidR="00606ADA">
        <w:rPr>
          <w:noProof/>
        </w:rPr>
        <w:t>is replaced by the following:</w:t>
      </w:r>
    </w:p>
    <w:p w14:paraId="2A2237F5" w14:textId="77777777" w:rsidR="00606ADA" w:rsidRDefault="00AF0407" w:rsidP="00606ADA">
      <w:pPr>
        <w:shd w:val="clear" w:color="auto" w:fill="FFFFFF"/>
        <w:spacing w:before="240" w:line="312" w:lineRule="atLeast"/>
        <w:jc w:val="center"/>
        <w:rPr>
          <w:noProof/>
        </w:rPr>
      </w:pPr>
      <w:r>
        <w:rPr>
          <w:noProof/>
        </w:rPr>
        <w:t>‘</w:t>
      </w:r>
      <w:r w:rsidR="00606ADA">
        <w:rPr>
          <w:noProof/>
        </w:rPr>
        <w:t>Article 14</w:t>
      </w:r>
    </w:p>
    <w:p w14:paraId="7DC96E05" w14:textId="77777777" w:rsidR="00606ADA" w:rsidRPr="00752CEA" w:rsidRDefault="00606ADA" w:rsidP="00606ADA">
      <w:pPr>
        <w:shd w:val="clear" w:color="auto" w:fill="FFFFFF"/>
        <w:spacing w:before="240" w:line="312" w:lineRule="atLeast"/>
        <w:jc w:val="center"/>
        <w:rPr>
          <w:rFonts w:eastAsia="Times New Roman"/>
          <w:b/>
          <w:bCs/>
          <w:noProof/>
          <w:color w:val="00B050"/>
          <w:szCs w:val="24"/>
        </w:rPr>
      </w:pPr>
      <w:r w:rsidRPr="00724AD7">
        <w:rPr>
          <w:rFonts w:eastAsia="Times New Roman"/>
          <w:b/>
          <w:bCs/>
          <w:noProof/>
          <w:color w:val="333333"/>
          <w:szCs w:val="24"/>
        </w:rPr>
        <w:t xml:space="preserve">Documents and </w:t>
      </w:r>
      <w:r w:rsidR="00DB6378">
        <w:rPr>
          <w:rFonts w:eastAsia="Times New Roman"/>
          <w:b/>
          <w:bCs/>
          <w:noProof/>
          <w:color w:val="333333"/>
          <w:szCs w:val="24"/>
        </w:rPr>
        <w:t>information</w:t>
      </w:r>
      <w:r w:rsidR="00DB6378" w:rsidRPr="00724AD7">
        <w:rPr>
          <w:rFonts w:eastAsia="Times New Roman"/>
          <w:b/>
          <w:bCs/>
          <w:noProof/>
          <w:color w:val="333333"/>
          <w:szCs w:val="24"/>
        </w:rPr>
        <w:t xml:space="preserve"> </w:t>
      </w:r>
      <w:r w:rsidRPr="00724AD7">
        <w:rPr>
          <w:rFonts w:eastAsia="Times New Roman"/>
          <w:b/>
          <w:bCs/>
          <w:noProof/>
          <w:color w:val="333333"/>
          <w:szCs w:val="24"/>
        </w:rPr>
        <w:t>to be disclosed by</w:t>
      </w:r>
      <w:r>
        <w:rPr>
          <w:rFonts w:eastAsia="Times New Roman"/>
          <w:b/>
          <w:bCs/>
          <w:noProof/>
          <w:color w:val="333333"/>
          <w:szCs w:val="24"/>
        </w:rPr>
        <w:t xml:space="preserve"> </w:t>
      </w:r>
      <w:r w:rsidRPr="00296FA6">
        <w:rPr>
          <w:rFonts w:eastAsia="Times New Roman"/>
          <w:b/>
          <w:bCs/>
          <w:noProof/>
          <w:szCs w:val="24"/>
        </w:rPr>
        <w:t xml:space="preserve">limited liability </w:t>
      </w:r>
      <w:r w:rsidRPr="00724AD7">
        <w:rPr>
          <w:rFonts w:eastAsia="Times New Roman"/>
          <w:b/>
          <w:bCs/>
          <w:noProof/>
          <w:color w:val="333333"/>
          <w:szCs w:val="24"/>
        </w:rPr>
        <w:t>companies</w:t>
      </w:r>
      <w:r w:rsidR="0051641E">
        <w:rPr>
          <w:rFonts w:eastAsia="Times New Roman"/>
          <w:b/>
          <w:bCs/>
          <w:noProof/>
          <w:color w:val="333333"/>
          <w:szCs w:val="24"/>
        </w:rPr>
        <w:t>’</w:t>
      </w:r>
      <w:r w:rsidR="00B3067C">
        <w:rPr>
          <w:rFonts w:eastAsia="Times New Roman"/>
          <w:b/>
          <w:bCs/>
          <w:noProof/>
          <w:color w:val="333333"/>
          <w:szCs w:val="24"/>
        </w:rPr>
        <w:t>;</w:t>
      </w:r>
      <w:r>
        <w:rPr>
          <w:rFonts w:eastAsia="Times New Roman"/>
          <w:b/>
          <w:bCs/>
          <w:noProof/>
          <w:color w:val="333333"/>
          <w:szCs w:val="24"/>
        </w:rPr>
        <w:t xml:space="preserve"> </w:t>
      </w:r>
    </w:p>
    <w:p w14:paraId="338EA29D" w14:textId="77777777" w:rsidR="00606ADA" w:rsidRDefault="00606ADA" w:rsidP="00332815">
      <w:pPr>
        <w:rPr>
          <w:noProof/>
        </w:rPr>
      </w:pPr>
    </w:p>
    <w:p w14:paraId="020130FD" w14:textId="483303FD" w:rsidR="00606ADA" w:rsidRDefault="001969F8" w:rsidP="001969F8">
      <w:pPr>
        <w:pStyle w:val="Point1"/>
        <w:rPr>
          <w:noProof/>
        </w:rPr>
      </w:pPr>
      <w:r w:rsidRPr="001969F8">
        <w:t>(b)</w:t>
      </w:r>
      <w:r w:rsidRPr="001969F8">
        <w:tab/>
      </w:r>
      <w:r w:rsidR="00606ADA">
        <w:rPr>
          <w:noProof/>
        </w:rPr>
        <w:t>the follo</w:t>
      </w:r>
      <w:r w:rsidR="00296FA6">
        <w:rPr>
          <w:noProof/>
        </w:rPr>
        <w:t xml:space="preserve">wing points </w:t>
      </w:r>
      <w:r w:rsidR="00606ADA">
        <w:rPr>
          <w:noProof/>
        </w:rPr>
        <w:t>are added:</w:t>
      </w:r>
    </w:p>
    <w:p w14:paraId="02C1061F" w14:textId="77777777" w:rsidR="00606ADA" w:rsidRPr="00296FA6" w:rsidRDefault="009C46BD" w:rsidP="006C07BC">
      <w:pPr>
        <w:shd w:val="clear" w:color="auto" w:fill="FFFFFF"/>
        <w:spacing w:after="0"/>
        <w:ind w:left="1276"/>
        <w:rPr>
          <w:noProof/>
          <w:szCs w:val="24"/>
          <w:shd w:val="clear" w:color="auto" w:fill="FFFFFF"/>
        </w:rPr>
      </w:pPr>
      <w:r>
        <w:rPr>
          <w:noProof/>
        </w:rPr>
        <w:t>‘</w:t>
      </w:r>
      <w:r w:rsidR="00606ADA" w:rsidRPr="00296FA6">
        <w:rPr>
          <w:rFonts w:eastAsia="Times New Roman"/>
          <w:noProof/>
          <w:szCs w:val="24"/>
        </w:rPr>
        <w:t xml:space="preserve">(l) </w:t>
      </w:r>
      <w:r w:rsidR="00606ADA" w:rsidRPr="00296FA6">
        <w:rPr>
          <w:noProof/>
          <w:szCs w:val="24"/>
          <w:shd w:val="clear" w:color="auto" w:fill="FFFFFF"/>
        </w:rPr>
        <w:t xml:space="preserve">the place of central administration in case it is not in the Member State of the registered office; </w:t>
      </w:r>
    </w:p>
    <w:p w14:paraId="42148D2F" w14:textId="77777777" w:rsidR="00606ADA" w:rsidRPr="00296FA6" w:rsidRDefault="00606ADA" w:rsidP="006C07BC">
      <w:pPr>
        <w:shd w:val="clear" w:color="auto" w:fill="FFFFFF"/>
        <w:spacing w:after="0"/>
        <w:ind w:left="1276"/>
        <w:rPr>
          <w:noProof/>
          <w:szCs w:val="24"/>
          <w:shd w:val="clear" w:color="auto" w:fill="FFFFFF"/>
        </w:rPr>
      </w:pPr>
      <w:r w:rsidRPr="00296FA6">
        <w:rPr>
          <w:noProof/>
          <w:szCs w:val="24"/>
          <w:shd w:val="clear" w:color="auto" w:fill="FFFFFF"/>
        </w:rPr>
        <w:t xml:space="preserve">(m) the principal place of business in case it is not in the Member </w:t>
      </w:r>
      <w:r w:rsidR="00AF0407">
        <w:rPr>
          <w:noProof/>
          <w:szCs w:val="24"/>
          <w:shd w:val="clear" w:color="auto" w:fill="FFFFFF"/>
        </w:rPr>
        <w:t>State of the registered office.’</w:t>
      </w:r>
      <w:r w:rsidRPr="00296FA6">
        <w:rPr>
          <w:noProof/>
          <w:szCs w:val="24"/>
          <w:shd w:val="clear" w:color="auto" w:fill="FFFFFF"/>
        </w:rPr>
        <w:t xml:space="preserve">; </w:t>
      </w:r>
    </w:p>
    <w:p w14:paraId="29791E36" w14:textId="77777777" w:rsidR="00606ADA" w:rsidRDefault="00606ADA" w:rsidP="00332815">
      <w:pPr>
        <w:rPr>
          <w:noProof/>
        </w:rPr>
      </w:pPr>
    </w:p>
    <w:p w14:paraId="2688BD29" w14:textId="0DB7332D" w:rsidR="00606ADA" w:rsidRDefault="001969F8" w:rsidP="001969F8">
      <w:pPr>
        <w:pStyle w:val="Point0"/>
        <w:rPr>
          <w:noProof/>
        </w:rPr>
      </w:pPr>
      <w:r w:rsidRPr="001969F8">
        <w:t>(16)</w:t>
      </w:r>
      <w:r w:rsidRPr="001969F8">
        <w:tab/>
      </w:r>
      <w:r w:rsidR="004A359A">
        <w:rPr>
          <w:noProof/>
        </w:rPr>
        <w:t>t</w:t>
      </w:r>
      <w:r w:rsidR="00606ADA" w:rsidRPr="0078191D">
        <w:rPr>
          <w:noProof/>
        </w:rPr>
        <w:t>he following Article</w:t>
      </w:r>
      <w:r w:rsidR="00B3067C">
        <w:rPr>
          <w:noProof/>
        </w:rPr>
        <w:t>s</w:t>
      </w:r>
      <w:r w:rsidR="00606ADA" w:rsidRPr="0078191D">
        <w:rPr>
          <w:noProof/>
        </w:rPr>
        <w:t xml:space="preserve"> </w:t>
      </w:r>
      <w:r w:rsidR="00B3067C">
        <w:rPr>
          <w:noProof/>
        </w:rPr>
        <w:t>are</w:t>
      </w:r>
      <w:r w:rsidR="00606ADA">
        <w:rPr>
          <w:noProof/>
        </w:rPr>
        <w:t xml:space="preserve"> </w:t>
      </w:r>
      <w:r w:rsidR="00606ADA" w:rsidRPr="0078191D">
        <w:rPr>
          <w:noProof/>
        </w:rPr>
        <w:t>inserted:</w:t>
      </w:r>
    </w:p>
    <w:p w14:paraId="66CD8291" w14:textId="77777777" w:rsidR="00C9131C" w:rsidRPr="00C9131C" w:rsidRDefault="00AF0407" w:rsidP="00C9131C">
      <w:pPr>
        <w:pStyle w:val="title-article-norm"/>
        <w:shd w:val="clear" w:color="auto" w:fill="FFFFFF"/>
        <w:spacing w:before="240" w:beforeAutospacing="0" w:after="120" w:afterAutospacing="0" w:line="312" w:lineRule="atLeast"/>
        <w:jc w:val="center"/>
        <w:rPr>
          <w:i/>
          <w:iCs/>
          <w:noProof/>
        </w:rPr>
      </w:pPr>
      <w:r>
        <w:rPr>
          <w:i/>
          <w:iCs/>
          <w:noProof/>
        </w:rPr>
        <w:t>‘</w:t>
      </w:r>
      <w:r w:rsidR="00C9131C" w:rsidRPr="008A5F9A">
        <w:rPr>
          <w:noProof/>
        </w:rPr>
        <w:t>Article 14a</w:t>
      </w:r>
    </w:p>
    <w:p w14:paraId="7516E91D" w14:textId="77777777" w:rsidR="00C9131C" w:rsidRPr="00C9131C" w:rsidRDefault="00C9131C" w:rsidP="00C9131C">
      <w:pPr>
        <w:pStyle w:val="stitle-article-norm"/>
        <w:shd w:val="clear" w:color="auto" w:fill="FFFFFF"/>
        <w:spacing w:before="240" w:after="120" w:line="312" w:lineRule="atLeast"/>
        <w:jc w:val="center"/>
        <w:rPr>
          <w:b/>
          <w:bCs/>
          <w:noProof/>
        </w:rPr>
      </w:pPr>
      <w:r w:rsidRPr="00C9131C">
        <w:rPr>
          <w:b/>
          <w:bCs/>
          <w:noProof/>
        </w:rPr>
        <w:t xml:space="preserve">Documents and </w:t>
      </w:r>
      <w:r w:rsidR="00B45594">
        <w:rPr>
          <w:b/>
          <w:bCs/>
          <w:noProof/>
        </w:rPr>
        <w:t>information</w:t>
      </w:r>
      <w:r w:rsidR="00B45594" w:rsidRPr="00C9131C">
        <w:rPr>
          <w:b/>
          <w:bCs/>
          <w:noProof/>
        </w:rPr>
        <w:t xml:space="preserve"> </w:t>
      </w:r>
      <w:r w:rsidRPr="00C9131C">
        <w:rPr>
          <w:b/>
          <w:bCs/>
          <w:noProof/>
        </w:rPr>
        <w:t>to be disclosed by partnerships</w:t>
      </w:r>
    </w:p>
    <w:p w14:paraId="0AF9E1B8" w14:textId="77777777" w:rsidR="00C9131C" w:rsidRPr="00604CD6" w:rsidRDefault="00C9131C" w:rsidP="00EE0E1B">
      <w:pPr>
        <w:ind w:left="709"/>
        <w:rPr>
          <w:noProof/>
        </w:rPr>
      </w:pPr>
      <w:r w:rsidRPr="00604CD6">
        <w:rPr>
          <w:noProof/>
        </w:rPr>
        <w:t xml:space="preserve">Member States shall ensure compulsory disclosure by the types of companies listed in Annex IIB of at least the following documents and </w:t>
      </w:r>
      <w:r w:rsidR="00B45594">
        <w:rPr>
          <w:noProof/>
        </w:rPr>
        <w:t>information</w:t>
      </w:r>
      <w:r w:rsidRPr="00604CD6">
        <w:rPr>
          <w:noProof/>
        </w:rPr>
        <w:t xml:space="preserve">: </w:t>
      </w:r>
    </w:p>
    <w:p w14:paraId="2F54FDC7" w14:textId="4F1FB031" w:rsidR="00C9131C" w:rsidRPr="00C9131C" w:rsidRDefault="001969F8" w:rsidP="001969F8">
      <w:pPr>
        <w:pStyle w:val="Point0"/>
        <w:rPr>
          <w:noProof/>
        </w:rPr>
      </w:pPr>
      <w:r w:rsidRPr="001969F8">
        <w:t>(a)</w:t>
      </w:r>
      <w:r w:rsidRPr="001969F8">
        <w:tab/>
      </w:r>
      <w:r w:rsidR="00C9131C" w:rsidRPr="00C9131C">
        <w:rPr>
          <w:noProof/>
        </w:rPr>
        <w:t>the name of the partnership;</w:t>
      </w:r>
    </w:p>
    <w:p w14:paraId="6A987C07" w14:textId="495EA654" w:rsidR="00C9131C" w:rsidRPr="00C9131C" w:rsidRDefault="001969F8" w:rsidP="001969F8">
      <w:pPr>
        <w:pStyle w:val="Point0"/>
        <w:rPr>
          <w:noProof/>
        </w:rPr>
      </w:pPr>
      <w:r w:rsidRPr="001969F8">
        <w:t>(b)</w:t>
      </w:r>
      <w:r w:rsidRPr="001969F8">
        <w:tab/>
      </w:r>
      <w:r w:rsidR="00C9131C" w:rsidRPr="00C9131C">
        <w:rPr>
          <w:noProof/>
        </w:rPr>
        <w:t>the legal form of the partnership;</w:t>
      </w:r>
    </w:p>
    <w:p w14:paraId="76DB1658" w14:textId="359251F3" w:rsidR="00C9131C" w:rsidRPr="00C9131C" w:rsidRDefault="001969F8" w:rsidP="001969F8">
      <w:pPr>
        <w:pStyle w:val="Point0"/>
        <w:rPr>
          <w:noProof/>
        </w:rPr>
      </w:pPr>
      <w:r w:rsidRPr="001969F8">
        <w:t>(c)</w:t>
      </w:r>
      <w:r w:rsidRPr="001969F8">
        <w:tab/>
      </w:r>
      <w:r w:rsidR="00C9131C" w:rsidRPr="00C9131C">
        <w:rPr>
          <w:noProof/>
        </w:rPr>
        <w:t>the registered office of the partnership and the Member State where it is registered;</w:t>
      </w:r>
    </w:p>
    <w:p w14:paraId="4DF52D32" w14:textId="704C2E1F" w:rsidR="00C9131C" w:rsidRPr="00C9131C" w:rsidRDefault="001969F8" w:rsidP="001969F8">
      <w:pPr>
        <w:pStyle w:val="Point0"/>
        <w:rPr>
          <w:noProof/>
        </w:rPr>
      </w:pPr>
      <w:r w:rsidRPr="001969F8">
        <w:t>(d)</w:t>
      </w:r>
      <w:r w:rsidRPr="001969F8">
        <w:tab/>
      </w:r>
      <w:r w:rsidR="00C9131C" w:rsidRPr="00C9131C">
        <w:rPr>
          <w:noProof/>
        </w:rPr>
        <w:t>any change of the registered office of the partnership;</w:t>
      </w:r>
    </w:p>
    <w:p w14:paraId="51D3C17D" w14:textId="0794BE10" w:rsidR="00C9131C" w:rsidRPr="00C9131C" w:rsidRDefault="001969F8" w:rsidP="001969F8">
      <w:pPr>
        <w:pStyle w:val="Point0"/>
        <w:rPr>
          <w:noProof/>
        </w:rPr>
      </w:pPr>
      <w:r w:rsidRPr="001969F8">
        <w:t>(e)</w:t>
      </w:r>
      <w:r w:rsidRPr="001969F8">
        <w:tab/>
      </w:r>
      <w:r w:rsidR="00C9131C" w:rsidRPr="00C9131C">
        <w:rPr>
          <w:noProof/>
        </w:rPr>
        <w:t>the registration number of the partnership;</w:t>
      </w:r>
    </w:p>
    <w:p w14:paraId="43B2A895" w14:textId="736BBF3F" w:rsidR="00C9131C" w:rsidRPr="00C9131C" w:rsidRDefault="001969F8" w:rsidP="001969F8">
      <w:pPr>
        <w:pStyle w:val="Point0"/>
        <w:rPr>
          <w:noProof/>
        </w:rPr>
      </w:pPr>
      <w:r w:rsidRPr="001969F8">
        <w:t>(f)</w:t>
      </w:r>
      <w:r w:rsidRPr="001969F8">
        <w:tab/>
      </w:r>
      <w:r w:rsidR="00C9131C" w:rsidRPr="00C9131C">
        <w:rPr>
          <w:noProof/>
        </w:rPr>
        <w:t>the total amount of the contributions of the partners;</w:t>
      </w:r>
    </w:p>
    <w:p w14:paraId="37FA439B" w14:textId="41D715CA" w:rsidR="00C9131C" w:rsidRPr="00C9131C" w:rsidRDefault="001969F8" w:rsidP="001969F8">
      <w:pPr>
        <w:pStyle w:val="Point0"/>
        <w:rPr>
          <w:noProof/>
        </w:rPr>
      </w:pPr>
      <w:r w:rsidRPr="001969F8">
        <w:t>(g)</w:t>
      </w:r>
      <w:r w:rsidRPr="001969F8">
        <w:tab/>
      </w:r>
      <w:r w:rsidR="00C9131C" w:rsidRPr="00C9131C">
        <w:rPr>
          <w:noProof/>
        </w:rPr>
        <w:t>the instrument of constitution</w:t>
      </w:r>
      <w:r w:rsidR="00F83B63">
        <w:rPr>
          <w:noProof/>
        </w:rPr>
        <w:t>,</w:t>
      </w:r>
      <w:r w:rsidR="00C9131C" w:rsidRPr="00C9131C">
        <w:rPr>
          <w:noProof/>
        </w:rPr>
        <w:t xml:space="preserve"> and the statutes if they are contained in a separate instrument, if the</w:t>
      </w:r>
      <w:r w:rsidR="00F83B63">
        <w:rPr>
          <w:noProof/>
        </w:rPr>
        <w:t>se</w:t>
      </w:r>
      <w:r w:rsidR="00C9131C" w:rsidRPr="00C9131C">
        <w:rPr>
          <w:noProof/>
        </w:rPr>
        <w:t xml:space="preserve"> </w:t>
      </w:r>
      <w:r w:rsidR="00F83B63">
        <w:rPr>
          <w:noProof/>
        </w:rPr>
        <w:t xml:space="preserve">documents </w:t>
      </w:r>
      <w:r w:rsidR="00C9131C" w:rsidRPr="00C9131C">
        <w:rPr>
          <w:noProof/>
        </w:rPr>
        <w:t>are required by national law;</w:t>
      </w:r>
    </w:p>
    <w:p w14:paraId="1700653B" w14:textId="5E99802D" w:rsidR="00C9131C" w:rsidRPr="00C9131C" w:rsidRDefault="001969F8" w:rsidP="001969F8">
      <w:pPr>
        <w:pStyle w:val="Point0"/>
        <w:rPr>
          <w:noProof/>
        </w:rPr>
      </w:pPr>
      <w:r w:rsidRPr="001969F8">
        <w:t>(h)</w:t>
      </w:r>
      <w:r w:rsidRPr="001969F8">
        <w:tab/>
      </w:r>
      <w:r w:rsidR="00C9131C" w:rsidRPr="00C9131C">
        <w:rPr>
          <w:noProof/>
        </w:rPr>
        <w:t>any amendments to the instruments referred to in point (g), including any extension of the duration of the partnership;</w:t>
      </w:r>
    </w:p>
    <w:p w14:paraId="05384CB2" w14:textId="72130451" w:rsidR="00C9131C" w:rsidRPr="00C9131C" w:rsidRDefault="001969F8" w:rsidP="001969F8">
      <w:pPr>
        <w:pStyle w:val="Point0"/>
        <w:rPr>
          <w:noProof/>
        </w:rPr>
      </w:pPr>
      <w:r w:rsidRPr="001969F8">
        <w:t>(i)</w:t>
      </w:r>
      <w:r w:rsidRPr="001969F8">
        <w:tab/>
      </w:r>
      <w:r w:rsidR="00C9131C" w:rsidRPr="00C9131C">
        <w:rPr>
          <w:noProof/>
        </w:rPr>
        <w:t>after every amendment of the instrument of constitution or</w:t>
      </w:r>
      <w:r w:rsidR="00C9131C" w:rsidRPr="00C9131C" w:rsidDel="00703C02">
        <w:rPr>
          <w:noProof/>
        </w:rPr>
        <w:t xml:space="preserve"> of</w:t>
      </w:r>
      <w:r w:rsidR="00C9131C" w:rsidRPr="00C9131C">
        <w:rPr>
          <w:noProof/>
        </w:rPr>
        <w:t xml:space="preserve"> the statutes, the complete text of the instrument or statutes as amended to date;</w:t>
      </w:r>
    </w:p>
    <w:p w14:paraId="5BE30E59" w14:textId="4D41D847" w:rsidR="00C9131C" w:rsidRPr="00C9131C" w:rsidRDefault="001969F8" w:rsidP="001969F8">
      <w:pPr>
        <w:pStyle w:val="Point0"/>
        <w:rPr>
          <w:noProof/>
        </w:rPr>
      </w:pPr>
      <w:r w:rsidRPr="001969F8">
        <w:t>(j)</w:t>
      </w:r>
      <w:r w:rsidRPr="001969F8">
        <w:tab/>
      </w:r>
      <w:r w:rsidR="00C9131C" w:rsidRPr="00C9131C">
        <w:rPr>
          <w:noProof/>
        </w:rPr>
        <w:t>the particulars of the partners who are authorised to represent the partnership in dealings with third parties and in legal proceedings, and information as to whether the partners authorised to represent the partnership may do so alone or are required to act jointly;</w:t>
      </w:r>
    </w:p>
    <w:p w14:paraId="30AA4353" w14:textId="7E9C4CF9" w:rsidR="00C9131C" w:rsidRPr="00C9131C" w:rsidRDefault="001969F8" w:rsidP="001969F8">
      <w:pPr>
        <w:pStyle w:val="Point0"/>
        <w:rPr>
          <w:noProof/>
        </w:rPr>
      </w:pPr>
      <w:r w:rsidRPr="001969F8">
        <w:t>(k)</w:t>
      </w:r>
      <w:r w:rsidRPr="001969F8">
        <w:tab/>
      </w:r>
      <w:r w:rsidR="0058331D">
        <w:rPr>
          <w:noProof/>
        </w:rPr>
        <w:t>where</w:t>
      </w:r>
      <w:r w:rsidR="00C9131C" w:rsidRPr="00C9131C">
        <w:rPr>
          <w:noProof/>
        </w:rPr>
        <w:t xml:space="preserve"> different from </w:t>
      </w:r>
      <w:r w:rsidR="0058331D">
        <w:rPr>
          <w:noProof/>
        </w:rPr>
        <w:t>point</w:t>
      </w:r>
      <w:r w:rsidR="001548D7">
        <w:rPr>
          <w:noProof/>
        </w:rPr>
        <w:t xml:space="preserve"> </w:t>
      </w:r>
      <w:r w:rsidR="0058331D">
        <w:rPr>
          <w:noProof/>
        </w:rPr>
        <w:t>(j)</w:t>
      </w:r>
      <w:r w:rsidR="00C9131C" w:rsidRPr="00C9131C">
        <w:rPr>
          <w:noProof/>
        </w:rPr>
        <w:t xml:space="preserve">, the particulars of the general partners and, in case of limited partnerships, </w:t>
      </w:r>
      <w:r w:rsidR="00C9131C" w:rsidRPr="007E6DAF">
        <w:rPr>
          <w:noProof/>
        </w:rPr>
        <w:t xml:space="preserve">particulars </w:t>
      </w:r>
      <w:r w:rsidR="00C9131C" w:rsidRPr="00C9131C">
        <w:rPr>
          <w:noProof/>
        </w:rPr>
        <w:t>of the limited partners;</w:t>
      </w:r>
    </w:p>
    <w:p w14:paraId="0EE59C93" w14:textId="7F691D77" w:rsidR="00C9131C" w:rsidRPr="00C9131C" w:rsidRDefault="001969F8" w:rsidP="001969F8">
      <w:pPr>
        <w:pStyle w:val="Point0"/>
        <w:rPr>
          <w:noProof/>
        </w:rPr>
      </w:pPr>
      <w:r w:rsidRPr="001969F8">
        <w:t>(l)</w:t>
      </w:r>
      <w:r w:rsidRPr="001969F8">
        <w:tab/>
      </w:r>
      <w:r w:rsidR="00C9131C" w:rsidRPr="00C9131C">
        <w:rPr>
          <w:noProof/>
        </w:rPr>
        <w:t xml:space="preserve">the accounting documents for each financial year </w:t>
      </w:r>
      <w:r w:rsidR="00C9131C" w:rsidRPr="00C9131C" w:rsidDel="00B2762D">
        <w:rPr>
          <w:noProof/>
        </w:rPr>
        <w:t>which</w:t>
      </w:r>
      <w:r w:rsidR="00C9131C" w:rsidRPr="00C9131C">
        <w:rPr>
          <w:noProof/>
        </w:rPr>
        <w:t xml:space="preserve"> are required to be published in accordance with </w:t>
      </w:r>
      <w:r w:rsidR="00C9131C" w:rsidRPr="00C9131C" w:rsidDel="008F232E">
        <w:rPr>
          <w:noProof/>
        </w:rPr>
        <w:t xml:space="preserve">Council </w:t>
      </w:r>
      <w:r w:rsidR="00C9131C" w:rsidRPr="00C9131C">
        <w:rPr>
          <w:noProof/>
        </w:rPr>
        <w:t>Directives 86/635/EEC</w:t>
      </w:r>
      <w:r w:rsidR="004A359A">
        <w:rPr>
          <w:noProof/>
        </w:rPr>
        <w:t>*</w:t>
      </w:r>
      <w:r w:rsidR="00C9131C" w:rsidRPr="00C9131C">
        <w:rPr>
          <w:noProof/>
        </w:rPr>
        <w:t> </w:t>
      </w:r>
      <w:r w:rsidR="00C9131C" w:rsidRPr="00C9131C" w:rsidDel="008F232E">
        <w:rPr>
          <w:noProof/>
        </w:rPr>
        <w:t>and</w:t>
      </w:r>
      <w:r w:rsidR="00C9131C" w:rsidRPr="00C9131C">
        <w:rPr>
          <w:noProof/>
        </w:rPr>
        <w:t xml:space="preserve"> 91/674/EEC</w:t>
      </w:r>
      <w:r w:rsidR="004A359A">
        <w:rPr>
          <w:noProof/>
        </w:rPr>
        <w:t>**</w:t>
      </w:r>
      <w:r w:rsidR="00C9131C" w:rsidRPr="00C9131C">
        <w:rPr>
          <w:noProof/>
        </w:rPr>
        <w:t xml:space="preserve"> and </w:t>
      </w:r>
      <w:r w:rsidR="00C9131C" w:rsidRPr="00C9131C" w:rsidDel="00B2762D">
        <w:rPr>
          <w:noProof/>
        </w:rPr>
        <w:t>Directive</w:t>
      </w:r>
      <w:r w:rsidR="00F16D49">
        <w:rPr>
          <w:noProof/>
        </w:rPr>
        <w:t xml:space="preserve"> </w:t>
      </w:r>
      <w:r w:rsidR="00C9131C" w:rsidRPr="00C9131C">
        <w:rPr>
          <w:noProof/>
        </w:rPr>
        <w:t>2013/34/EU;</w:t>
      </w:r>
    </w:p>
    <w:p w14:paraId="19B46994" w14:textId="4DDF0254" w:rsidR="00C9131C" w:rsidRPr="00C9131C" w:rsidRDefault="001969F8" w:rsidP="001969F8">
      <w:pPr>
        <w:pStyle w:val="Point0"/>
        <w:rPr>
          <w:noProof/>
        </w:rPr>
      </w:pPr>
      <w:r w:rsidRPr="001969F8">
        <w:t>(m)</w:t>
      </w:r>
      <w:r w:rsidRPr="001969F8">
        <w:tab/>
      </w:r>
      <w:r w:rsidR="00C9131C" w:rsidRPr="00C9131C">
        <w:rPr>
          <w:noProof/>
        </w:rPr>
        <w:t>the winding-up of the partnership;</w:t>
      </w:r>
    </w:p>
    <w:p w14:paraId="394312C1" w14:textId="059F5DD2" w:rsidR="00C9131C" w:rsidRPr="00C9131C" w:rsidRDefault="001969F8" w:rsidP="001969F8">
      <w:pPr>
        <w:pStyle w:val="Point0"/>
        <w:rPr>
          <w:noProof/>
        </w:rPr>
      </w:pPr>
      <w:r w:rsidRPr="001969F8">
        <w:t>(n)</w:t>
      </w:r>
      <w:r w:rsidRPr="001969F8">
        <w:tab/>
      </w:r>
      <w:r w:rsidR="00C9131C" w:rsidRPr="00C9131C">
        <w:rPr>
          <w:noProof/>
        </w:rPr>
        <w:t>any declaration of nullity of the partnership by the courts;</w:t>
      </w:r>
    </w:p>
    <w:p w14:paraId="5D335499" w14:textId="5C640EF9" w:rsidR="00C9131C" w:rsidRPr="00C9131C" w:rsidRDefault="001969F8" w:rsidP="001969F8">
      <w:pPr>
        <w:pStyle w:val="Point0"/>
        <w:rPr>
          <w:noProof/>
        </w:rPr>
      </w:pPr>
      <w:r w:rsidRPr="001969F8">
        <w:t>(o)</w:t>
      </w:r>
      <w:r w:rsidRPr="001969F8">
        <w:tab/>
      </w:r>
      <w:r w:rsidR="00C9131C" w:rsidRPr="00C9131C">
        <w:rPr>
          <w:noProof/>
        </w:rPr>
        <w:t xml:space="preserve">the </w:t>
      </w:r>
      <w:r w:rsidR="00C9131C" w:rsidRPr="001177F4">
        <w:rPr>
          <w:noProof/>
        </w:rPr>
        <w:t>particulars</w:t>
      </w:r>
      <w:r w:rsidR="00C9131C" w:rsidRPr="00C9131C">
        <w:rPr>
          <w:noProof/>
        </w:rPr>
        <w:t xml:space="preserve"> of the liquidators and their respective powers, unless such powers are expressly and exclusively derived from law or from the statutes of the partnership;</w:t>
      </w:r>
    </w:p>
    <w:p w14:paraId="15414D4C" w14:textId="7E74A828" w:rsidR="00C9131C" w:rsidRPr="00C9131C" w:rsidRDefault="001969F8" w:rsidP="001969F8">
      <w:pPr>
        <w:pStyle w:val="Point0"/>
        <w:rPr>
          <w:noProof/>
        </w:rPr>
      </w:pPr>
      <w:r w:rsidRPr="001969F8">
        <w:t>(p)</w:t>
      </w:r>
      <w:r w:rsidRPr="001969F8">
        <w:tab/>
      </w:r>
      <w:r w:rsidR="00C9131C" w:rsidRPr="00C9131C">
        <w:rPr>
          <w:noProof/>
        </w:rPr>
        <w:t>any termination of a liquidation and, in Member States where striking off the register entails legal consequences, the fact of any such striking off;</w:t>
      </w:r>
    </w:p>
    <w:p w14:paraId="053F1CAD" w14:textId="40685AEA" w:rsidR="00C9131C" w:rsidRPr="00C9131C" w:rsidRDefault="001969F8" w:rsidP="001969F8">
      <w:pPr>
        <w:pStyle w:val="Point0"/>
        <w:rPr>
          <w:noProof/>
        </w:rPr>
      </w:pPr>
      <w:r w:rsidRPr="001969F8">
        <w:t>(q)</w:t>
      </w:r>
      <w:r w:rsidRPr="001969F8">
        <w:tab/>
      </w:r>
      <w:r w:rsidR="00C9131C" w:rsidRPr="00C9131C">
        <w:rPr>
          <w:noProof/>
        </w:rPr>
        <w:t xml:space="preserve">the place of </w:t>
      </w:r>
      <w:r w:rsidR="00C9131C" w:rsidRPr="00C9131C">
        <w:rPr>
          <w:noProof/>
          <w:shd w:val="clear" w:color="auto" w:fill="FFFFFF"/>
        </w:rPr>
        <w:t>central administration</w:t>
      </w:r>
      <w:r w:rsidR="00C9131C" w:rsidRPr="00C9131C">
        <w:rPr>
          <w:noProof/>
        </w:rPr>
        <w:t xml:space="preserve"> of the partnership </w:t>
      </w:r>
      <w:r w:rsidR="00C9131C" w:rsidRPr="00C9131C">
        <w:rPr>
          <w:noProof/>
          <w:shd w:val="clear" w:color="auto" w:fill="FFFFFF"/>
        </w:rPr>
        <w:t xml:space="preserve">in case it is not in the Member State of the registered office; </w:t>
      </w:r>
    </w:p>
    <w:p w14:paraId="613BD7F0" w14:textId="104BA0E6" w:rsidR="00C9131C" w:rsidRPr="00C9131C" w:rsidRDefault="001969F8" w:rsidP="001969F8">
      <w:pPr>
        <w:pStyle w:val="Point0"/>
        <w:rPr>
          <w:noProof/>
          <w:shd w:val="clear" w:color="auto" w:fill="FFFFFF"/>
        </w:rPr>
      </w:pPr>
      <w:r w:rsidRPr="001969F8">
        <w:t>(r)</w:t>
      </w:r>
      <w:r w:rsidRPr="001969F8">
        <w:tab/>
      </w:r>
      <w:r w:rsidR="00C9131C" w:rsidRPr="00C9131C">
        <w:rPr>
          <w:noProof/>
        </w:rPr>
        <w:t>the principal place of business</w:t>
      </w:r>
      <w:r w:rsidR="00C9131C" w:rsidRPr="00C9131C" w:rsidDel="006A2407">
        <w:rPr>
          <w:noProof/>
        </w:rPr>
        <w:t xml:space="preserve"> </w:t>
      </w:r>
      <w:r w:rsidR="00C9131C" w:rsidRPr="00C9131C">
        <w:rPr>
          <w:noProof/>
        </w:rPr>
        <w:t xml:space="preserve">of the partnership </w:t>
      </w:r>
      <w:r w:rsidR="00C9131C" w:rsidRPr="00C9131C">
        <w:rPr>
          <w:noProof/>
          <w:shd w:val="clear" w:color="auto" w:fill="FFFFFF"/>
        </w:rPr>
        <w:t>in case it is not in the Member State of the registered office.</w:t>
      </w:r>
    </w:p>
    <w:p w14:paraId="4FD7E9C7" w14:textId="77777777" w:rsidR="00C9131C" w:rsidRPr="00C9131C" w:rsidRDefault="00C9131C" w:rsidP="00C9131C">
      <w:pPr>
        <w:shd w:val="clear" w:color="auto" w:fill="FFFFFF"/>
        <w:spacing w:after="0"/>
        <w:rPr>
          <w:noProof/>
          <w:szCs w:val="24"/>
        </w:rPr>
      </w:pPr>
    </w:p>
    <w:p w14:paraId="29305E19" w14:textId="77777777" w:rsidR="00C9131C" w:rsidRPr="001177F4" w:rsidRDefault="00C9131C" w:rsidP="00C9131C">
      <w:pPr>
        <w:jc w:val="center"/>
        <w:rPr>
          <w:noProof/>
          <w:szCs w:val="24"/>
          <w:shd w:val="clear" w:color="auto" w:fill="FFFFFF"/>
        </w:rPr>
      </w:pPr>
      <w:r w:rsidRPr="001177F4">
        <w:rPr>
          <w:noProof/>
          <w:szCs w:val="24"/>
          <w:shd w:val="clear" w:color="auto" w:fill="FFFFFF"/>
        </w:rPr>
        <w:t xml:space="preserve">Article 14b </w:t>
      </w:r>
    </w:p>
    <w:p w14:paraId="3F96A0A6" w14:textId="77777777" w:rsidR="00C9131C" w:rsidRPr="00C9131C" w:rsidRDefault="00C9131C" w:rsidP="00C9131C">
      <w:pPr>
        <w:jc w:val="center"/>
        <w:rPr>
          <w:b/>
          <w:noProof/>
          <w:szCs w:val="24"/>
          <w:shd w:val="clear" w:color="auto" w:fill="FFFFFF"/>
        </w:rPr>
      </w:pPr>
      <w:r w:rsidRPr="00C9131C">
        <w:rPr>
          <w:b/>
          <w:noProof/>
          <w:szCs w:val="24"/>
          <w:shd w:val="clear" w:color="auto" w:fill="FFFFFF"/>
        </w:rPr>
        <w:t>Information on groups of companies</w:t>
      </w:r>
    </w:p>
    <w:p w14:paraId="109DE9A8" w14:textId="77777777" w:rsidR="00C9131C" w:rsidRPr="009E4CE7" w:rsidRDefault="009C46BD" w:rsidP="004E6BF2">
      <w:pPr>
        <w:ind w:left="851"/>
        <w:rPr>
          <w:noProof/>
          <w:szCs w:val="24"/>
          <w:shd w:val="clear" w:color="auto" w:fill="FFFFFF"/>
        </w:rPr>
      </w:pPr>
      <w:r>
        <w:rPr>
          <w:noProof/>
          <w:szCs w:val="24"/>
          <w:shd w:val="clear" w:color="auto" w:fill="FFFFFF"/>
        </w:rPr>
        <w:t xml:space="preserve">1. </w:t>
      </w:r>
      <w:r w:rsidR="00EE0E1B">
        <w:rPr>
          <w:noProof/>
          <w:szCs w:val="24"/>
          <w:shd w:val="clear" w:color="auto" w:fill="FFFFFF"/>
        </w:rPr>
        <w:tab/>
      </w:r>
      <w:r w:rsidR="00C9131C" w:rsidRPr="00CD09AF">
        <w:rPr>
          <w:noProof/>
          <w:szCs w:val="24"/>
          <w:shd w:val="clear" w:color="auto" w:fill="FFFFFF"/>
        </w:rPr>
        <w:t xml:space="preserve">Member States shall ensure that the ultimate parent company governed by the law of a Member State discloses in the register where it is registered at least the following information about its group: </w:t>
      </w:r>
    </w:p>
    <w:p w14:paraId="15199459" w14:textId="7BD0B20D" w:rsidR="00C9131C" w:rsidRPr="005800C8" w:rsidRDefault="001969F8" w:rsidP="001969F8">
      <w:pPr>
        <w:pStyle w:val="Point1"/>
        <w:rPr>
          <w:noProof/>
          <w:shd w:val="clear" w:color="auto" w:fill="FFFFFF"/>
        </w:rPr>
      </w:pPr>
      <w:r w:rsidRPr="001969F8">
        <w:t>(a)</w:t>
      </w:r>
      <w:r w:rsidRPr="001969F8">
        <w:tab/>
      </w:r>
      <w:r w:rsidR="00C9131C" w:rsidRPr="005800C8">
        <w:rPr>
          <w:noProof/>
          <w:shd w:val="clear" w:color="auto" w:fill="FFFFFF"/>
        </w:rPr>
        <w:t>the name and legal form of each subsidiary company;</w:t>
      </w:r>
    </w:p>
    <w:p w14:paraId="115CC44C" w14:textId="4AF6DEDD" w:rsidR="00C9131C" w:rsidRPr="005800C8" w:rsidRDefault="001969F8" w:rsidP="001969F8">
      <w:pPr>
        <w:pStyle w:val="Point1"/>
        <w:rPr>
          <w:noProof/>
          <w:shd w:val="clear" w:color="auto" w:fill="FFFFFF"/>
        </w:rPr>
      </w:pPr>
      <w:r w:rsidRPr="001969F8">
        <w:t>(b)</w:t>
      </w:r>
      <w:r w:rsidRPr="001969F8">
        <w:tab/>
      </w:r>
      <w:r w:rsidR="00C9131C" w:rsidRPr="005800C8">
        <w:rPr>
          <w:noProof/>
          <w:shd w:val="clear" w:color="auto" w:fill="FFFFFF"/>
        </w:rPr>
        <w:t>the Member State or third country where each subsidiary company is registered and its registration number;</w:t>
      </w:r>
    </w:p>
    <w:p w14:paraId="2EE3404C" w14:textId="4002EACF" w:rsidR="00C9131C" w:rsidRPr="005800C8" w:rsidRDefault="001969F8" w:rsidP="001969F8">
      <w:pPr>
        <w:pStyle w:val="Point1"/>
        <w:rPr>
          <w:noProof/>
          <w:shd w:val="clear" w:color="auto" w:fill="FFFFFF"/>
        </w:rPr>
      </w:pPr>
      <w:r w:rsidRPr="001969F8">
        <w:t>(c)</w:t>
      </w:r>
      <w:r w:rsidRPr="001969F8">
        <w:tab/>
      </w:r>
      <w:r w:rsidR="00C9131C" w:rsidRPr="005800C8">
        <w:rPr>
          <w:noProof/>
          <w:shd w:val="clear" w:color="auto" w:fill="FFFFFF"/>
        </w:rPr>
        <w:t>the EUID of each subsidiary company governed by the law of a Member State;</w:t>
      </w:r>
    </w:p>
    <w:p w14:paraId="5F266F49" w14:textId="1B37A007" w:rsidR="00C9131C" w:rsidRPr="005800C8" w:rsidRDefault="001969F8" w:rsidP="001969F8">
      <w:pPr>
        <w:pStyle w:val="Point1"/>
        <w:rPr>
          <w:noProof/>
          <w:shd w:val="clear" w:color="auto" w:fill="FFFFFF"/>
        </w:rPr>
      </w:pPr>
      <w:r w:rsidRPr="001969F8">
        <w:t>(d)</w:t>
      </w:r>
      <w:r w:rsidRPr="001969F8">
        <w:tab/>
      </w:r>
      <w:r w:rsidR="00C9131C" w:rsidRPr="005800C8">
        <w:rPr>
          <w:noProof/>
          <w:shd w:val="clear" w:color="auto" w:fill="FFFFFF"/>
        </w:rPr>
        <w:t xml:space="preserve">the </w:t>
      </w:r>
      <w:bookmarkStart w:id="63" w:name="_Hlk129528971"/>
      <w:r w:rsidR="00C9131C" w:rsidRPr="005800C8">
        <w:rPr>
          <w:noProof/>
          <w:shd w:val="clear" w:color="auto" w:fill="FFFFFF"/>
        </w:rPr>
        <w:t>name of the group, if different from the name of the ultimate parent company</w:t>
      </w:r>
      <w:bookmarkEnd w:id="63"/>
      <w:r w:rsidR="00C9131C" w:rsidRPr="005800C8">
        <w:rPr>
          <w:noProof/>
          <w:shd w:val="clear" w:color="auto" w:fill="FFFFFF"/>
        </w:rPr>
        <w:t>.</w:t>
      </w:r>
    </w:p>
    <w:p w14:paraId="60882EE4" w14:textId="7C74784A" w:rsidR="00C9131C" w:rsidRPr="005800C8" w:rsidRDefault="001969F8" w:rsidP="001969F8">
      <w:pPr>
        <w:pStyle w:val="Point1"/>
        <w:rPr>
          <w:noProof/>
          <w:shd w:val="clear" w:color="auto" w:fill="FFFFFF"/>
        </w:rPr>
      </w:pPr>
      <w:r w:rsidRPr="001969F8">
        <w:t>(e)</w:t>
      </w:r>
      <w:r w:rsidRPr="001969F8">
        <w:tab/>
      </w:r>
      <w:r w:rsidR="00C9131C" w:rsidRPr="005800C8">
        <w:rPr>
          <w:noProof/>
          <w:shd w:val="clear" w:color="auto" w:fill="FFFFFF"/>
        </w:rPr>
        <w:t>the position of each subsidiary company in the group structure</w:t>
      </w:r>
      <w:r w:rsidR="00660F3C">
        <w:rPr>
          <w:noProof/>
          <w:shd w:val="clear" w:color="auto" w:fill="FFFFFF"/>
        </w:rPr>
        <w:t xml:space="preserve"> </w:t>
      </w:r>
      <w:r w:rsidR="00FE2E18">
        <w:rPr>
          <w:noProof/>
          <w:shd w:val="clear" w:color="auto" w:fill="FFFFFF"/>
        </w:rPr>
        <w:t>determined</w:t>
      </w:r>
      <w:r w:rsidR="00660F3C">
        <w:rPr>
          <w:noProof/>
          <w:shd w:val="clear" w:color="auto" w:fill="FFFFFF"/>
        </w:rPr>
        <w:t xml:space="preserve"> on the basis of control</w:t>
      </w:r>
      <w:r w:rsidR="00C9131C" w:rsidRPr="005800C8">
        <w:rPr>
          <w:noProof/>
          <w:shd w:val="clear" w:color="auto" w:fill="FFFFFF"/>
        </w:rPr>
        <w:t xml:space="preserve">. </w:t>
      </w:r>
    </w:p>
    <w:p w14:paraId="637BC5D4" w14:textId="77777777" w:rsidR="00E46F97" w:rsidRPr="008A2A82" w:rsidRDefault="009C46BD" w:rsidP="004E6BF2">
      <w:pPr>
        <w:spacing w:after="0"/>
        <w:ind w:left="851"/>
        <w:rPr>
          <w:noProof/>
          <w:shd w:val="clear" w:color="auto" w:fill="FFFFFF"/>
        </w:rPr>
      </w:pPr>
      <w:r>
        <w:rPr>
          <w:noProof/>
          <w:szCs w:val="24"/>
          <w:shd w:val="clear" w:color="auto" w:fill="FFFFFF"/>
        </w:rPr>
        <w:t>2.</w:t>
      </w:r>
      <w:r w:rsidRPr="005442FD">
        <w:rPr>
          <w:noProof/>
          <w:shd w:val="clear" w:color="auto" w:fill="FFFFFF"/>
        </w:rPr>
        <w:t xml:space="preserve"> </w:t>
      </w:r>
      <w:r w:rsidR="005442FD" w:rsidRPr="00C05644">
        <w:rPr>
          <w:noProof/>
          <w:shd w:val="clear" w:color="auto" w:fill="FFFFFF"/>
        </w:rPr>
        <w:t xml:space="preserve">Where the ultimate parent company is governed by the law of a third country, the intermediate parent company shall disclose the information referred to in paragraph 1. If there is more than one intermediate parent company, only one of them shall </w:t>
      </w:r>
      <w:r w:rsidR="005442FD" w:rsidRPr="008A2A82">
        <w:rPr>
          <w:noProof/>
          <w:shd w:val="clear" w:color="auto" w:fill="FFFFFF"/>
        </w:rPr>
        <w:t>disclose th</w:t>
      </w:r>
      <w:r w:rsidR="00492B68">
        <w:rPr>
          <w:noProof/>
          <w:shd w:val="clear" w:color="auto" w:fill="FFFFFF"/>
        </w:rPr>
        <w:t>at</w:t>
      </w:r>
      <w:r w:rsidR="005442FD" w:rsidRPr="008A2A82">
        <w:rPr>
          <w:noProof/>
          <w:shd w:val="clear" w:color="auto" w:fill="FFFFFF"/>
        </w:rPr>
        <w:t xml:space="preserve"> information. The intermediate parent company shall also disclose the name of the ultimate parent company and the third country where the ultimate parent company is registered. </w:t>
      </w:r>
    </w:p>
    <w:p w14:paraId="1E615087" w14:textId="77777777" w:rsidR="00C9131C" w:rsidRDefault="00492B68" w:rsidP="004E6BF2">
      <w:pPr>
        <w:spacing w:after="0"/>
        <w:ind w:left="851"/>
        <w:rPr>
          <w:noProof/>
          <w:shd w:val="clear" w:color="auto" w:fill="FFFFFF"/>
        </w:rPr>
      </w:pPr>
      <w:r>
        <w:rPr>
          <w:noProof/>
          <w:szCs w:val="24"/>
          <w:shd w:val="clear" w:color="auto" w:fill="FFFFFF"/>
        </w:rPr>
        <w:t xml:space="preserve">Where </w:t>
      </w:r>
      <w:r w:rsidR="005442FD">
        <w:rPr>
          <w:noProof/>
          <w:szCs w:val="24"/>
          <w:shd w:val="clear" w:color="auto" w:fill="FFFFFF"/>
        </w:rPr>
        <w:t xml:space="preserve">no intermediate parent company is governed by the law of a Member State, the subsidiary company </w:t>
      </w:r>
      <w:r w:rsidR="005442FD" w:rsidRPr="00CD09AF">
        <w:rPr>
          <w:noProof/>
          <w:szCs w:val="24"/>
          <w:shd w:val="clear" w:color="auto" w:fill="FFFFFF"/>
        </w:rPr>
        <w:t>governed by the law of a Member State</w:t>
      </w:r>
      <w:r w:rsidR="005442FD">
        <w:rPr>
          <w:noProof/>
          <w:szCs w:val="24"/>
          <w:shd w:val="clear" w:color="auto" w:fill="FFFFFF"/>
        </w:rPr>
        <w:t xml:space="preserve"> shall disclose the information referred to in paragraph 1. If there is more than one subsidiary company, only one of them shall disclose the information referred to in paragraph 1. The subsidiary company shall also </w:t>
      </w:r>
      <w:r w:rsidR="005442FD" w:rsidRPr="00CD09AF">
        <w:rPr>
          <w:noProof/>
          <w:szCs w:val="24"/>
          <w:shd w:val="clear" w:color="auto" w:fill="FFFFFF"/>
        </w:rPr>
        <w:t xml:space="preserve">disclose the name of the ultimate parent </w:t>
      </w:r>
      <w:r w:rsidR="005442FD">
        <w:rPr>
          <w:noProof/>
          <w:szCs w:val="24"/>
          <w:shd w:val="clear" w:color="auto" w:fill="FFFFFF"/>
        </w:rPr>
        <w:t xml:space="preserve">company </w:t>
      </w:r>
      <w:r w:rsidR="005442FD" w:rsidRPr="00CD09AF">
        <w:rPr>
          <w:noProof/>
          <w:szCs w:val="24"/>
          <w:shd w:val="clear" w:color="auto" w:fill="FFFFFF"/>
        </w:rPr>
        <w:t>and the third country where the ultimate parent</w:t>
      </w:r>
      <w:r w:rsidR="005442FD">
        <w:rPr>
          <w:noProof/>
          <w:szCs w:val="24"/>
          <w:shd w:val="clear" w:color="auto" w:fill="FFFFFF"/>
        </w:rPr>
        <w:t xml:space="preserve"> company</w:t>
      </w:r>
      <w:r w:rsidR="005442FD" w:rsidRPr="00CD09AF">
        <w:rPr>
          <w:noProof/>
          <w:szCs w:val="24"/>
          <w:shd w:val="clear" w:color="auto" w:fill="FFFFFF"/>
        </w:rPr>
        <w:t xml:space="preserve"> is registered</w:t>
      </w:r>
      <w:r w:rsidR="005442FD">
        <w:rPr>
          <w:noProof/>
          <w:szCs w:val="24"/>
          <w:shd w:val="clear" w:color="auto" w:fill="FFFFFF"/>
        </w:rPr>
        <w:t>.</w:t>
      </w:r>
    </w:p>
    <w:p w14:paraId="165AFDD9" w14:textId="77777777" w:rsidR="00C9131C" w:rsidRDefault="009C46BD" w:rsidP="004E6BF2">
      <w:pPr>
        <w:ind w:left="851"/>
        <w:rPr>
          <w:noProof/>
          <w:shd w:val="clear" w:color="auto" w:fill="FFFFFF"/>
        </w:rPr>
      </w:pPr>
      <w:r w:rsidRPr="00B2762D" w:rsidDel="00B2762D">
        <w:rPr>
          <w:noProof/>
          <w:szCs w:val="24"/>
          <w:shd w:val="clear" w:color="auto" w:fill="FFFFFF"/>
        </w:rPr>
        <w:t>3.</w:t>
      </w:r>
      <w:r w:rsidR="00E46F97" w:rsidRPr="00B2762D">
        <w:rPr>
          <w:noProof/>
          <w:szCs w:val="24"/>
          <w:shd w:val="clear" w:color="auto" w:fill="FFFFFF"/>
        </w:rPr>
        <w:t xml:space="preserve"> Member States may provide that the ultimate parent company governed by the law of a Member State or, where applicable, the intermediate parent company or the subsidiary company referred to in paragraph 2, discloses to the register where it is registered the proportion of the capital held between the ultimate parent and all the subsidiary companies of the group. </w:t>
      </w:r>
    </w:p>
    <w:p w14:paraId="3BC92727" w14:textId="77777777" w:rsidR="00C9131C" w:rsidRPr="00CD09AF" w:rsidRDefault="009C46BD" w:rsidP="004E6BF2">
      <w:pPr>
        <w:ind w:left="851"/>
        <w:rPr>
          <w:noProof/>
          <w:szCs w:val="24"/>
          <w:shd w:val="clear" w:color="auto" w:fill="FFFFFF"/>
        </w:rPr>
      </w:pPr>
      <w:r>
        <w:rPr>
          <w:noProof/>
          <w:szCs w:val="24"/>
          <w:shd w:val="clear" w:color="auto" w:fill="FFFFFF"/>
        </w:rPr>
        <w:t xml:space="preserve">4.  </w:t>
      </w:r>
      <w:r w:rsidR="00C9131C" w:rsidRPr="00CD09AF">
        <w:rPr>
          <w:noProof/>
          <w:szCs w:val="24"/>
          <w:shd w:val="clear" w:color="auto" w:fill="FFFFFF"/>
        </w:rPr>
        <w:t>The register of the ultimate parent company governed by the law of a Member State or</w:t>
      </w:r>
      <w:r w:rsidR="00B2762D">
        <w:rPr>
          <w:noProof/>
          <w:szCs w:val="24"/>
          <w:shd w:val="clear" w:color="auto" w:fill="FFFFFF"/>
        </w:rPr>
        <w:t>,</w:t>
      </w:r>
      <w:r w:rsidR="00C9131C" w:rsidRPr="00CD09AF">
        <w:rPr>
          <w:noProof/>
          <w:szCs w:val="24"/>
          <w:shd w:val="clear" w:color="auto" w:fill="FFFFFF"/>
        </w:rPr>
        <w:t xml:space="preserve"> where applicable, of the intermediate parent company </w:t>
      </w:r>
      <w:r w:rsidR="008A54D2" w:rsidRPr="00730106">
        <w:rPr>
          <w:noProof/>
          <w:szCs w:val="24"/>
          <w:shd w:val="clear" w:color="auto" w:fill="FFFFFF"/>
        </w:rPr>
        <w:t xml:space="preserve">or of the subsidiary </w:t>
      </w:r>
      <w:r w:rsidR="00FB1C07" w:rsidRPr="00730106">
        <w:rPr>
          <w:noProof/>
          <w:szCs w:val="24"/>
          <w:shd w:val="clear" w:color="auto" w:fill="FFFFFF"/>
        </w:rPr>
        <w:t xml:space="preserve">company </w:t>
      </w:r>
      <w:r w:rsidR="00C9131C" w:rsidRPr="00CD09AF">
        <w:rPr>
          <w:noProof/>
          <w:szCs w:val="24"/>
          <w:shd w:val="clear" w:color="auto" w:fill="FFFFFF"/>
        </w:rPr>
        <w:t xml:space="preserve">referred to in paragraph 2, shall make publicly available the information </w:t>
      </w:r>
      <w:r w:rsidR="00A46231">
        <w:rPr>
          <w:noProof/>
          <w:szCs w:val="24"/>
          <w:shd w:val="clear" w:color="auto" w:fill="FFFFFF"/>
        </w:rPr>
        <w:t xml:space="preserve">provided </w:t>
      </w:r>
      <w:r w:rsidR="00A46231">
        <w:rPr>
          <w:noProof/>
        </w:rPr>
        <w:t>in accordance with paragraphs 1 to 3</w:t>
      </w:r>
      <w:r w:rsidR="00C9131C" w:rsidRPr="00CD09AF">
        <w:rPr>
          <w:noProof/>
          <w:szCs w:val="24"/>
          <w:shd w:val="clear" w:color="auto" w:fill="FFFFFF"/>
        </w:rPr>
        <w:t>, including the date when th</w:t>
      </w:r>
      <w:r w:rsidR="00D70463">
        <w:rPr>
          <w:noProof/>
          <w:szCs w:val="24"/>
          <w:shd w:val="clear" w:color="auto" w:fill="FFFFFF"/>
        </w:rPr>
        <w:t>is</w:t>
      </w:r>
      <w:r w:rsidR="00C9131C" w:rsidRPr="00CD09AF">
        <w:rPr>
          <w:noProof/>
          <w:szCs w:val="24"/>
          <w:shd w:val="clear" w:color="auto" w:fill="FFFFFF"/>
        </w:rPr>
        <w:t xml:space="preserve"> information was disclosed</w:t>
      </w:r>
      <w:r w:rsidR="00D70463">
        <w:rPr>
          <w:noProof/>
          <w:szCs w:val="24"/>
          <w:shd w:val="clear" w:color="auto" w:fill="FFFFFF"/>
        </w:rPr>
        <w:t>,</w:t>
      </w:r>
      <w:r w:rsidR="00E46F97">
        <w:rPr>
          <w:noProof/>
          <w:szCs w:val="24"/>
          <w:shd w:val="clear" w:color="auto" w:fill="FFFFFF"/>
        </w:rPr>
        <w:t xml:space="preserve"> </w:t>
      </w:r>
      <w:r w:rsidR="00D70463">
        <w:rPr>
          <w:noProof/>
          <w:szCs w:val="24"/>
          <w:shd w:val="clear" w:color="auto" w:fill="FFFFFF"/>
        </w:rPr>
        <w:t xml:space="preserve">or </w:t>
      </w:r>
      <w:r w:rsidR="003F21D6">
        <w:rPr>
          <w:noProof/>
          <w:szCs w:val="24"/>
          <w:shd w:val="clear" w:color="auto" w:fill="FFFFFF"/>
        </w:rPr>
        <w:t xml:space="preserve">when it was </w:t>
      </w:r>
      <w:r w:rsidR="00C9131C" w:rsidRPr="00CD09AF">
        <w:rPr>
          <w:noProof/>
          <w:szCs w:val="24"/>
          <w:shd w:val="clear" w:color="auto" w:fill="FFFFFF"/>
        </w:rPr>
        <w:t xml:space="preserve">updated </w:t>
      </w:r>
      <w:r w:rsidR="00D70463">
        <w:rPr>
          <w:noProof/>
          <w:szCs w:val="24"/>
          <w:shd w:val="clear" w:color="auto" w:fill="FFFFFF"/>
        </w:rPr>
        <w:t xml:space="preserve">or confirmed </w:t>
      </w:r>
      <w:r w:rsidR="00C9131C" w:rsidRPr="00CD09AF">
        <w:rPr>
          <w:noProof/>
          <w:szCs w:val="24"/>
          <w:shd w:val="clear" w:color="auto" w:fill="FFFFFF"/>
        </w:rPr>
        <w:t>in accordance with paragraph 6.</w:t>
      </w:r>
    </w:p>
    <w:p w14:paraId="2EEFDB49" w14:textId="77777777" w:rsidR="00C9131C" w:rsidRPr="00CD09AF" w:rsidRDefault="009C46BD" w:rsidP="004E6BF2">
      <w:pPr>
        <w:ind w:left="851"/>
        <w:rPr>
          <w:noProof/>
          <w:szCs w:val="24"/>
          <w:shd w:val="clear" w:color="auto" w:fill="FFFFFF"/>
        </w:rPr>
      </w:pPr>
      <w:r>
        <w:rPr>
          <w:noProof/>
          <w:szCs w:val="24"/>
          <w:shd w:val="clear" w:color="auto" w:fill="FFFFFF"/>
        </w:rPr>
        <w:t xml:space="preserve">5. </w:t>
      </w:r>
      <w:r w:rsidR="00EE0E1B">
        <w:rPr>
          <w:noProof/>
          <w:szCs w:val="24"/>
          <w:shd w:val="clear" w:color="auto" w:fill="FFFFFF"/>
        </w:rPr>
        <w:t xml:space="preserve"> </w:t>
      </w:r>
      <w:r>
        <w:rPr>
          <w:noProof/>
          <w:szCs w:val="24"/>
          <w:shd w:val="clear" w:color="auto" w:fill="FFFFFF"/>
        </w:rPr>
        <w:t xml:space="preserve"> </w:t>
      </w:r>
      <w:r w:rsidR="00C9131C" w:rsidRPr="00CD09AF">
        <w:rPr>
          <w:noProof/>
          <w:szCs w:val="24"/>
          <w:shd w:val="clear" w:color="auto" w:fill="FFFFFF"/>
        </w:rPr>
        <w:t>Member States shall ensure that where the ultimate parent company governed by the law of a Member State or</w:t>
      </w:r>
      <w:r w:rsidR="00101BE2">
        <w:rPr>
          <w:noProof/>
          <w:szCs w:val="24"/>
          <w:shd w:val="clear" w:color="auto" w:fill="FFFFFF"/>
        </w:rPr>
        <w:t>,</w:t>
      </w:r>
      <w:r w:rsidR="00C9131C" w:rsidRPr="00CD09AF">
        <w:rPr>
          <w:noProof/>
          <w:szCs w:val="24"/>
          <w:shd w:val="clear" w:color="auto" w:fill="FFFFFF"/>
        </w:rPr>
        <w:t xml:space="preserve"> where applicable, the intermediate parent company referred to in paragraph 2, </w:t>
      </w:r>
      <w:r w:rsidR="002F27D5">
        <w:rPr>
          <w:noProof/>
          <w:szCs w:val="24"/>
          <w:shd w:val="clear" w:color="auto" w:fill="FFFFFF"/>
        </w:rPr>
        <w:t>is</w:t>
      </w:r>
      <w:r w:rsidR="002F27D5" w:rsidRPr="00CD09AF">
        <w:rPr>
          <w:noProof/>
          <w:szCs w:val="24"/>
          <w:shd w:val="clear" w:color="auto" w:fill="FFFFFF"/>
        </w:rPr>
        <w:t xml:space="preserve"> </w:t>
      </w:r>
      <w:r w:rsidR="00C9131C" w:rsidRPr="00CD09AF">
        <w:rPr>
          <w:noProof/>
          <w:szCs w:val="24"/>
          <w:shd w:val="clear" w:color="auto" w:fill="FFFFFF"/>
        </w:rPr>
        <w:t xml:space="preserve">registered in </w:t>
      </w:r>
      <w:r w:rsidR="00160190">
        <w:rPr>
          <w:noProof/>
          <w:szCs w:val="24"/>
          <w:shd w:val="clear" w:color="auto" w:fill="FFFFFF"/>
        </w:rPr>
        <w:t>a</w:t>
      </w:r>
      <w:r w:rsidR="00C9131C">
        <w:rPr>
          <w:noProof/>
          <w:szCs w:val="24"/>
          <w:shd w:val="clear" w:color="auto" w:fill="FFFFFF"/>
        </w:rPr>
        <w:t xml:space="preserve"> </w:t>
      </w:r>
      <w:r w:rsidR="00C9131C" w:rsidRPr="00CD09AF">
        <w:rPr>
          <w:noProof/>
          <w:szCs w:val="24"/>
          <w:shd w:val="clear" w:color="auto" w:fill="FFFFFF"/>
        </w:rPr>
        <w:t xml:space="preserve">different Member State than </w:t>
      </w:r>
      <w:r w:rsidR="00101BE2">
        <w:rPr>
          <w:noProof/>
          <w:szCs w:val="24"/>
          <w:shd w:val="clear" w:color="auto" w:fill="FFFFFF"/>
        </w:rPr>
        <w:t xml:space="preserve">any of </w:t>
      </w:r>
      <w:r w:rsidR="00C9131C" w:rsidRPr="00CD09AF">
        <w:rPr>
          <w:noProof/>
          <w:szCs w:val="24"/>
          <w:shd w:val="clear" w:color="auto" w:fill="FFFFFF"/>
        </w:rPr>
        <w:t>the subsidiary compan</w:t>
      </w:r>
      <w:r w:rsidR="00A94B4D">
        <w:rPr>
          <w:noProof/>
          <w:szCs w:val="24"/>
          <w:shd w:val="clear" w:color="auto" w:fill="FFFFFF"/>
        </w:rPr>
        <w:t>ies</w:t>
      </w:r>
      <w:r w:rsidR="00C9131C" w:rsidRPr="00CD09AF">
        <w:rPr>
          <w:noProof/>
          <w:szCs w:val="24"/>
          <w:shd w:val="clear" w:color="auto" w:fill="FFFFFF"/>
        </w:rPr>
        <w:t>, the register of the ultimate parent company or</w:t>
      </w:r>
      <w:r w:rsidR="00101BE2">
        <w:rPr>
          <w:noProof/>
          <w:szCs w:val="24"/>
          <w:shd w:val="clear" w:color="auto" w:fill="FFFFFF"/>
        </w:rPr>
        <w:t>,</w:t>
      </w:r>
      <w:r w:rsidR="00C9131C" w:rsidRPr="00CD09AF">
        <w:rPr>
          <w:noProof/>
          <w:szCs w:val="24"/>
          <w:shd w:val="clear" w:color="auto" w:fill="FFFFFF"/>
        </w:rPr>
        <w:t xml:space="preserve"> where applicable, of the intermediate parent company, shares the following information with the register of each subsidiary company </w:t>
      </w:r>
      <w:r w:rsidR="00160190" w:rsidRPr="00160190">
        <w:rPr>
          <w:noProof/>
          <w:szCs w:val="24"/>
          <w:shd w:val="clear" w:color="auto" w:fill="FFFFFF"/>
        </w:rPr>
        <w:t xml:space="preserve">registered in </w:t>
      </w:r>
      <w:r w:rsidR="00160190">
        <w:rPr>
          <w:noProof/>
          <w:szCs w:val="24"/>
          <w:shd w:val="clear" w:color="auto" w:fill="FFFFFF"/>
        </w:rPr>
        <w:t xml:space="preserve">a </w:t>
      </w:r>
      <w:r w:rsidR="00160190" w:rsidRPr="00160190">
        <w:rPr>
          <w:noProof/>
          <w:szCs w:val="24"/>
          <w:shd w:val="clear" w:color="auto" w:fill="FFFFFF"/>
        </w:rPr>
        <w:t>different Member State</w:t>
      </w:r>
      <w:r w:rsidR="00160190" w:rsidRPr="00CD09AF">
        <w:rPr>
          <w:noProof/>
          <w:szCs w:val="24"/>
          <w:shd w:val="clear" w:color="auto" w:fill="FFFFFF"/>
        </w:rPr>
        <w:t xml:space="preserve"> </w:t>
      </w:r>
      <w:r w:rsidR="00C9131C" w:rsidRPr="00CD09AF">
        <w:rPr>
          <w:noProof/>
          <w:szCs w:val="24"/>
          <w:shd w:val="clear" w:color="auto" w:fill="FFFFFF"/>
        </w:rPr>
        <w:t>through the system of interconnection of registers:</w:t>
      </w:r>
    </w:p>
    <w:p w14:paraId="42BC4A60" w14:textId="77777777" w:rsidR="00E46F97" w:rsidRDefault="00986243" w:rsidP="00AA3744">
      <w:pPr>
        <w:ind w:left="1418" w:hanging="425"/>
        <w:rPr>
          <w:noProof/>
          <w:shd w:val="clear" w:color="auto" w:fill="FFFFFF"/>
        </w:rPr>
      </w:pPr>
      <w:r>
        <w:rPr>
          <w:noProof/>
          <w:shd w:val="clear" w:color="auto" w:fill="FFFFFF"/>
        </w:rPr>
        <w:t>(a)</w:t>
      </w:r>
      <w:r w:rsidR="002E79A1">
        <w:rPr>
          <w:noProof/>
          <w:shd w:val="clear" w:color="auto" w:fill="FFFFFF"/>
        </w:rPr>
        <w:tab/>
      </w:r>
      <w:r w:rsidR="00C9131C" w:rsidRPr="009E4CE7">
        <w:rPr>
          <w:noProof/>
          <w:shd w:val="clear" w:color="auto" w:fill="FFFFFF"/>
        </w:rPr>
        <w:t>the name of the ultimate parent company</w:t>
      </w:r>
      <w:r w:rsidR="00154B1D">
        <w:rPr>
          <w:noProof/>
          <w:shd w:val="clear" w:color="auto" w:fill="FFFFFF"/>
        </w:rPr>
        <w:t>,</w:t>
      </w:r>
      <w:r w:rsidR="00C9131C" w:rsidRPr="009E4CE7">
        <w:rPr>
          <w:noProof/>
          <w:shd w:val="clear" w:color="auto" w:fill="FFFFFF"/>
        </w:rPr>
        <w:t xml:space="preserve"> its EUID</w:t>
      </w:r>
      <w:r w:rsidR="00154B1D">
        <w:rPr>
          <w:noProof/>
          <w:shd w:val="clear" w:color="auto" w:fill="FFFFFF"/>
        </w:rPr>
        <w:t xml:space="preserve"> and, </w:t>
      </w:r>
      <w:r w:rsidR="00154B1D" w:rsidRPr="00154B1D">
        <w:rPr>
          <w:noProof/>
          <w:shd w:val="clear" w:color="auto" w:fill="FFFFFF"/>
        </w:rPr>
        <w:t>if different from the name of the ultimate parent company</w:t>
      </w:r>
      <w:r w:rsidR="00154B1D">
        <w:rPr>
          <w:noProof/>
          <w:shd w:val="clear" w:color="auto" w:fill="FFFFFF"/>
        </w:rPr>
        <w:t>,</w:t>
      </w:r>
      <w:r w:rsidR="00154B1D" w:rsidRPr="00154B1D">
        <w:rPr>
          <w:noProof/>
          <w:shd w:val="clear" w:color="auto" w:fill="FFFFFF"/>
        </w:rPr>
        <w:t xml:space="preserve"> </w:t>
      </w:r>
      <w:r w:rsidR="00154B1D">
        <w:rPr>
          <w:noProof/>
          <w:shd w:val="clear" w:color="auto" w:fill="FFFFFF"/>
        </w:rPr>
        <w:t xml:space="preserve">the </w:t>
      </w:r>
      <w:r w:rsidR="00154B1D" w:rsidRPr="00154B1D">
        <w:rPr>
          <w:noProof/>
          <w:shd w:val="clear" w:color="auto" w:fill="FFFFFF"/>
        </w:rPr>
        <w:t>name of the group</w:t>
      </w:r>
      <w:r w:rsidR="00C9131C" w:rsidRPr="009E4CE7">
        <w:rPr>
          <w:noProof/>
          <w:shd w:val="clear" w:color="auto" w:fill="FFFFFF"/>
        </w:rPr>
        <w:t xml:space="preserve">; or </w:t>
      </w:r>
    </w:p>
    <w:p w14:paraId="4C7E09F5" w14:textId="77777777" w:rsidR="00C9131C" w:rsidRDefault="00986243" w:rsidP="00AA3744">
      <w:pPr>
        <w:ind w:left="1418" w:hanging="425"/>
        <w:rPr>
          <w:noProof/>
          <w:shd w:val="clear" w:color="auto" w:fill="FFFFFF"/>
        </w:rPr>
      </w:pPr>
      <w:r>
        <w:rPr>
          <w:noProof/>
          <w:shd w:val="clear" w:color="auto" w:fill="FFFFFF"/>
        </w:rPr>
        <w:t xml:space="preserve">(b) </w:t>
      </w:r>
      <w:r w:rsidR="002E79A1">
        <w:rPr>
          <w:noProof/>
          <w:shd w:val="clear" w:color="auto" w:fill="FFFFFF"/>
        </w:rPr>
        <w:tab/>
      </w:r>
      <w:r w:rsidR="00C9131C" w:rsidRPr="009E4CE7">
        <w:rPr>
          <w:noProof/>
          <w:shd w:val="clear" w:color="auto" w:fill="FFFFFF"/>
        </w:rPr>
        <w:t>whe</w:t>
      </w:r>
      <w:r w:rsidR="000A24B3">
        <w:rPr>
          <w:noProof/>
          <w:shd w:val="clear" w:color="auto" w:fill="FFFFFF"/>
        </w:rPr>
        <w:t>re</w:t>
      </w:r>
      <w:r w:rsidR="00C9131C" w:rsidRPr="009E4CE7">
        <w:rPr>
          <w:noProof/>
          <w:shd w:val="clear" w:color="auto" w:fill="FFFFFF"/>
        </w:rPr>
        <w:t xml:space="preserve"> the ultimate parent company is governed by the law of a third country, the name of th</w:t>
      </w:r>
      <w:r w:rsidR="00154B1D">
        <w:rPr>
          <w:noProof/>
          <w:shd w:val="clear" w:color="auto" w:fill="FFFFFF"/>
        </w:rPr>
        <w:t>e</w:t>
      </w:r>
      <w:r w:rsidR="00C9131C" w:rsidRPr="009E4CE7">
        <w:rPr>
          <w:noProof/>
          <w:shd w:val="clear" w:color="auto" w:fill="FFFFFF"/>
        </w:rPr>
        <w:t xml:space="preserve"> intermediate parent company</w:t>
      </w:r>
      <w:r w:rsidR="00154B1D">
        <w:rPr>
          <w:noProof/>
          <w:shd w:val="clear" w:color="auto" w:fill="FFFFFF"/>
        </w:rPr>
        <w:t xml:space="preserve"> </w:t>
      </w:r>
      <w:r w:rsidR="000528DB">
        <w:rPr>
          <w:noProof/>
          <w:shd w:val="clear" w:color="auto" w:fill="FFFFFF"/>
        </w:rPr>
        <w:t>referred to in</w:t>
      </w:r>
      <w:r w:rsidR="00154B1D">
        <w:rPr>
          <w:noProof/>
          <w:shd w:val="clear" w:color="auto" w:fill="FFFFFF"/>
        </w:rPr>
        <w:t xml:space="preserve"> paragraph 2</w:t>
      </w:r>
      <w:r w:rsidR="00C9131C" w:rsidRPr="009E4CE7">
        <w:rPr>
          <w:noProof/>
          <w:shd w:val="clear" w:color="auto" w:fill="FFFFFF"/>
        </w:rPr>
        <w:t xml:space="preserve">, its EUID, the name of the ultimate parent </w:t>
      </w:r>
      <w:r w:rsidR="00154B1D">
        <w:rPr>
          <w:noProof/>
          <w:shd w:val="clear" w:color="auto" w:fill="FFFFFF"/>
        </w:rPr>
        <w:t xml:space="preserve">company </w:t>
      </w:r>
      <w:r w:rsidR="00C9131C" w:rsidRPr="009E4CE7">
        <w:rPr>
          <w:noProof/>
          <w:shd w:val="clear" w:color="auto" w:fill="FFFFFF"/>
        </w:rPr>
        <w:t xml:space="preserve">and the third country where </w:t>
      </w:r>
      <w:r w:rsidR="00154B1D">
        <w:rPr>
          <w:noProof/>
          <w:shd w:val="clear" w:color="auto" w:fill="FFFFFF"/>
        </w:rPr>
        <w:t>it</w:t>
      </w:r>
      <w:r w:rsidR="00C9131C" w:rsidRPr="009E4CE7">
        <w:rPr>
          <w:noProof/>
          <w:shd w:val="clear" w:color="auto" w:fill="FFFFFF"/>
        </w:rPr>
        <w:t xml:space="preserve"> is registered</w:t>
      </w:r>
      <w:r w:rsidR="00154B1D">
        <w:rPr>
          <w:noProof/>
          <w:shd w:val="clear" w:color="auto" w:fill="FFFFFF"/>
        </w:rPr>
        <w:t xml:space="preserve"> and, </w:t>
      </w:r>
      <w:r w:rsidR="00154B1D" w:rsidRPr="00154B1D">
        <w:rPr>
          <w:noProof/>
          <w:shd w:val="clear" w:color="auto" w:fill="FFFFFF"/>
        </w:rPr>
        <w:t>if different from the name of the ultimate parent company</w:t>
      </w:r>
      <w:r w:rsidR="00154B1D">
        <w:rPr>
          <w:noProof/>
          <w:shd w:val="clear" w:color="auto" w:fill="FFFFFF"/>
        </w:rPr>
        <w:t>,</w:t>
      </w:r>
      <w:r w:rsidR="00154B1D" w:rsidRPr="00154B1D">
        <w:rPr>
          <w:noProof/>
          <w:shd w:val="clear" w:color="auto" w:fill="FFFFFF"/>
        </w:rPr>
        <w:t xml:space="preserve"> </w:t>
      </w:r>
      <w:r w:rsidR="00154B1D">
        <w:rPr>
          <w:noProof/>
          <w:shd w:val="clear" w:color="auto" w:fill="FFFFFF"/>
        </w:rPr>
        <w:t xml:space="preserve">the </w:t>
      </w:r>
      <w:r w:rsidR="00154B1D" w:rsidRPr="00154B1D">
        <w:rPr>
          <w:noProof/>
          <w:shd w:val="clear" w:color="auto" w:fill="FFFFFF"/>
        </w:rPr>
        <w:t>name of the group</w:t>
      </w:r>
      <w:r w:rsidR="00C9131C" w:rsidRPr="009E4CE7" w:rsidDel="000023D9">
        <w:rPr>
          <w:noProof/>
          <w:shd w:val="clear" w:color="auto" w:fill="FFFFFF"/>
        </w:rPr>
        <w:t>.</w:t>
      </w:r>
      <w:r w:rsidR="00C9131C" w:rsidRPr="009E4CE7">
        <w:rPr>
          <w:noProof/>
          <w:shd w:val="clear" w:color="auto" w:fill="FFFFFF"/>
        </w:rPr>
        <w:t xml:space="preserve"> </w:t>
      </w:r>
    </w:p>
    <w:p w14:paraId="1A50E7FA" w14:textId="77777777" w:rsidR="00106925" w:rsidRDefault="00E46F97" w:rsidP="004E6BF2">
      <w:pPr>
        <w:ind w:left="851"/>
        <w:rPr>
          <w:noProof/>
          <w:shd w:val="clear" w:color="auto" w:fill="FFFFFF"/>
        </w:rPr>
      </w:pPr>
      <w:r>
        <w:rPr>
          <w:noProof/>
        </w:rPr>
        <w:t>Where</w:t>
      </w:r>
      <w:r w:rsidRPr="0C9B23B2">
        <w:rPr>
          <w:noProof/>
        </w:rPr>
        <w:t xml:space="preserve"> </w:t>
      </w:r>
      <w:r>
        <w:rPr>
          <w:noProof/>
        </w:rPr>
        <w:t xml:space="preserve">there is </w:t>
      </w:r>
      <w:r w:rsidRPr="00106925">
        <w:rPr>
          <w:noProof/>
        </w:rPr>
        <w:t>no intermediate parent company</w:t>
      </w:r>
      <w:r>
        <w:rPr>
          <w:noProof/>
        </w:rPr>
        <w:t xml:space="preserve"> and the subsidiary </w:t>
      </w:r>
      <w:r>
        <w:rPr>
          <w:noProof/>
          <w:lang w:val="en-US"/>
        </w:rPr>
        <w:t xml:space="preserve">company </w:t>
      </w:r>
      <w:r>
        <w:rPr>
          <w:noProof/>
        </w:rPr>
        <w:t xml:space="preserve">referred to in paragraph 2 is registered in </w:t>
      </w:r>
      <w:r>
        <w:rPr>
          <w:noProof/>
          <w:lang w:val="en-US"/>
        </w:rPr>
        <w:t xml:space="preserve">a </w:t>
      </w:r>
      <w:r>
        <w:rPr>
          <w:noProof/>
        </w:rPr>
        <w:t>different Member State than other subsidiary companies</w:t>
      </w:r>
      <w:r w:rsidRPr="0C9B23B2">
        <w:rPr>
          <w:noProof/>
        </w:rPr>
        <w:t xml:space="preserve">, </w:t>
      </w:r>
      <w:r w:rsidRPr="00106925">
        <w:rPr>
          <w:noProof/>
        </w:rPr>
        <w:t xml:space="preserve">the </w:t>
      </w:r>
      <w:r>
        <w:rPr>
          <w:noProof/>
        </w:rPr>
        <w:t>register of that</w:t>
      </w:r>
      <w:r w:rsidRPr="0C9B23B2">
        <w:rPr>
          <w:noProof/>
        </w:rPr>
        <w:t xml:space="preserve"> </w:t>
      </w:r>
      <w:r w:rsidRPr="00106925">
        <w:rPr>
          <w:noProof/>
        </w:rPr>
        <w:t xml:space="preserve">subsidiary company </w:t>
      </w:r>
      <w:r>
        <w:rPr>
          <w:noProof/>
        </w:rPr>
        <w:t xml:space="preserve">shall </w:t>
      </w:r>
      <w:r w:rsidRPr="00E46F97">
        <w:rPr>
          <w:noProof/>
        </w:rPr>
        <w:t xml:space="preserve">share the name of </w:t>
      </w:r>
      <w:r w:rsidR="0037505A">
        <w:rPr>
          <w:noProof/>
        </w:rPr>
        <w:t xml:space="preserve">the </w:t>
      </w:r>
      <w:r w:rsidRPr="00E46F97">
        <w:rPr>
          <w:noProof/>
        </w:rPr>
        <w:t>subsidiary company, its EUID, the name of the ultimate parent company and the third country where it is registered</w:t>
      </w:r>
      <w:r>
        <w:rPr>
          <w:noProof/>
          <w:shd w:val="clear" w:color="auto" w:fill="FFFFFF"/>
        </w:rPr>
        <w:t xml:space="preserve"> and,</w:t>
      </w:r>
      <w:r w:rsidRPr="0C9B23B2">
        <w:rPr>
          <w:noProof/>
        </w:rPr>
        <w:t xml:space="preserve"> </w:t>
      </w:r>
      <w:r w:rsidRPr="00154B1D">
        <w:rPr>
          <w:noProof/>
          <w:shd w:val="clear" w:color="auto" w:fill="FFFFFF"/>
        </w:rPr>
        <w:t xml:space="preserve">if different from the name of the ultimate parent company, the name of the group </w:t>
      </w:r>
      <w:r>
        <w:rPr>
          <w:noProof/>
        </w:rPr>
        <w:t>with the register of each other subsidiary company registered in another Member State</w:t>
      </w:r>
      <w:r w:rsidRPr="0C9B23B2">
        <w:rPr>
          <w:noProof/>
        </w:rPr>
        <w:t xml:space="preserve"> </w:t>
      </w:r>
      <w:r w:rsidRPr="00CD09AF">
        <w:rPr>
          <w:noProof/>
          <w:szCs w:val="24"/>
          <w:shd w:val="clear" w:color="auto" w:fill="FFFFFF"/>
        </w:rPr>
        <w:t>through the system of interconnection of registers</w:t>
      </w:r>
      <w:r>
        <w:rPr>
          <w:noProof/>
          <w:szCs w:val="24"/>
          <w:shd w:val="clear" w:color="auto" w:fill="FFFFFF"/>
        </w:rPr>
        <w:t xml:space="preserve">. </w:t>
      </w:r>
    </w:p>
    <w:p w14:paraId="2CE031D8" w14:textId="77777777" w:rsidR="00C9131C" w:rsidRPr="00C9131C" w:rsidRDefault="00C9131C" w:rsidP="004E6BF2">
      <w:pPr>
        <w:ind w:left="851"/>
        <w:rPr>
          <w:noProof/>
          <w:shd w:val="clear" w:color="auto" w:fill="FFFFFF"/>
        </w:rPr>
      </w:pPr>
      <w:r w:rsidRPr="00C9131C">
        <w:rPr>
          <w:noProof/>
          <w:shd w:val="clear" w:color="auto" w:fill="FFFFFF"/>
        </w:rPr>
        <w:t xml:space="preserve">Member States may apply this paragraph also in situations where the ultimate </w:t>
      </w:r>
      <w:r w:rsidRPr="00C9131C" w:rsidDel="008915B9">
        <w:rPr>
          <w:noProof/>
          <w:shd w:val="clear" w:color="auto" w:fill="FFFFFF"/>
        </w:rPr>
        <w:t xml:space="preserve">or, where applicable, </w:t>
      </w:r>
      <w:r w:rsidR="00A94B4D" w:rsidDel="008915B9">
        <w:rPr>
          <w:noProof/>
          <w:shd w:val="clear" w:color="auto" w:fill="FFFFFF"/>
        </w:rPr>
        <w:t xml:space="preserve">the </w:t>
      </w:r>
      <w:r w:rsidRPr="00C9131C" w:rsidDel="008915B9">
        <w:rPr>
          <w:noProof/>
          <w:shd w:val="clear" w:color="auto" w:fill="FFFFFF"/>
        </w:rPr>
        <w:t xml:space="preserve">intermediate </w:t>
      </w:r>
      <w:r w:rsidRPr="00C9131C">
        <w:rPr>
          <w:noProof/>
          <w:shd w:val="clear" w:color="auto" w:fill="FFFFFF"/>
        </w:rPr>
        <w:t>parent</w:t>
      </w:r>
      <w:r w:rsidR="00A94B4D">
        <w:rPr>
          <w:noProof/>
          <w:shd w:val="clear" w:color="auto" w:fill="FFFFFF"/>
        </w:rPr>
        <w:t xml:space="preserve"> company</w:t>
      </w:r>
      <w:r w:rsidRPr="00C9131C">
        <w:rPr>
          <w:noProof/>
          <w:shd w:val="clear" w:color="auto" w:fill="FFFFFF"/>
        </w:rPr>
        <w:t xml:space="preserve"> and </w:t>
      </w:r>
      <w:r w:rsidR="00A94B4D">
        <w:rPr>
          <w:noProof/>
          <w:shd w:val="clear" w:color="auto" w:fill="FFFFFF"/>
        </w:rPr>
        <w:t xml:space="preserve">the </w:t>
      </w:r>
      <w:r w:rsidRPr="00C9131C">
        <w:rPr>
          <w:noProof/>
          <w:shd w:val="clear" w:color="auto" w:fill="FFFFFF"/>
        </w:rPr>
        <w:t>subsidiar</w:t>
      </w:r>
      <w:r w:rsidR="005B25D9">
        <w:rPr>
          <w:noProof/>
          <w:shd w:val="clear" w:color="auto" w:fill="FFFFFF"/>
        </w:rPr>
        <w:t>y compan</w:t>
      </w:r>
      <w:r w:rsidRPr="00C9131C">
        <w:rPr>
          <w:noProof/>
          <w:shd w:val="clear" w:color="auto" w:fill="FFFFFF"/>
        </w:rPr>
        <w:t>ies are</w:t>
      </w:r>
      <w:r>
        <w:rPr>
          <w:noProof/>
          <w:shd w:val="clear" w:color="auto" w:fill="FFFFFF"/>
        </w:rPr>
        <w:t xml:space="preserve"> </w:t>
      </w:r>
      <w:r w:rsidR="00365A4C">
        <w:rPr>
          <w:noProof/>
          <w:shd w:val="clear" w:color="auto" w:fill="FFFFFF"/>
        </w:rPr>
        <w:t>registered</w:t>
      </w:r>
      <w:r w:rsidRPr="00C9131C">
        <w:rPr>
          <w:noProof/>
          <w:shd w:val="clear" w:color="auto" w:fill="FFFFFF"/>
        </w:rPr>
        <w:t xml:space="preserve"> in the same Member State. </w:t>
      </w:r>
    </w:p>
    <w:p w14:paraId="2FE50502" w14:textId="77777777" w:rsidR="00C9131C" w:rsidRDefault="00C9131C" w:rsidP="004E6BF2">
      <w:pPr>
        <w:ind w:left="851"/>
        <w:rPr>
          <w:noProof/>
          <w:shd w:val="clear" w:color="auto" w:fill="FFFFFF"/>
        </w:rPr>
      </w:pPr>
      <w:r w:rsidRPr="00C9131C">
        <w:rPr>
          <w:noProof/>
          <w:shd w:val="clear" w:color="auto" w:fill="FFFFFF"/>
        </w:rPr>
        <w:t xml:space="preserve">The register of each subsidiary company shall make that information publicly available. </w:t>
      </w:r>
    </w:p>
    <w:p w14:paraId="7FFDF9E3" w14:textId="77777777" w:rsidR="00C9131C" w:rsidRPr="00CD09AF" w:rsidRDefault="009C46BD" w:rsidP="004E6BF2">
      <w:pPr>
        <w:ind w:left="851"/>
        <w:rPr>
          <w:noProof/>
          <w:szCs w:val="24"/>
        </w:rPr>
      </w:pPr>
      <w:r>
        <w:rPr>
          <w:noProof/>
          <w:szCs w:val="24"/>
          <w:shd w:val="clear" w:color="auto" w:fill="FFFFFF"/>
        </w:rPr>
        <w:t xml:space="preserve">6.  </w:t>
      </w:r>
      <w:r w:rsidR="00C9131C" w:rsidRPr="00CD09AF">
        <w:rPr>
          <w:noProof/>
          <w:szCs w:val="24"/>
          <w:shd w:val="clear" w:color="auto" w:fill="FFFFFF"/>
        </w:rPr>
        <w:t>The ultimate parent company or</w:t>
      </w:r>
      <w:r w:rsidR="006172A5">
        <w:rPr>
          <w:noProof/>
          <w:szCs w:val="24"/>
          <w:shd w:val="clear" w:color="auto" w:fill="FFFFFF"/>
        </w:rPr>
        <w:t>,</w:t>
      </w:r>
      <w:r w:rsidR="00C9131C" w:rsidRPr="00CD09AF">
        <w:rPr>
          <w:noProof/>
          <w:szCs w:val="24"/>
          <w:shd w:val="clear" w:color="auto" w:fill="FFFFFF"/>
        </w:rPr>
        <w:t xml:space="preserve"> where applicable, the intermediate parent company</w:t>
      </w:r>
      <w:r w:rsidR="00FB1C07">
        <w:rPr>
          <w:noProof/>
          <w:szCs w:val="24"/>
          <w:shd w:val="clear" w:color="auto" w:fill="FFFFFF"/>
        </w:rPr>
        <w:t xml:space="preserve"> or </w:t>
      </w:r>
      <w:r w:rsidR="00A94B4D">
        <w:rPr>
          <w:noProof/>
          <w:szCs w:val="24"/>
          <w:shd w:val="clear" w:color="auto" w:fill="FFFFFF"/>
        </w:rPr>
        <w:t xml:space="preserve">the </w:t>
      </w:r>
      <w:r w:rsidR="00FB1C07">
        <w:rPr>
          <w:noProof/>
          <w:szCs w:val="24"/>
          <w:shd w:val="clear" w:color="auto" w:fill="FFFFFF"/>
        </w:rPr>
        <w:t xml:space="preserve">subsidiary company </w:t>
      </w:r>
      <w:r w:rsidR="00C9131C" w:rsidRPr="00CD09AF">
        <w:rPr>
          <w:noProof/>
          <w:szCs w:val="24"/>
          <w:shd w:val="clear" w:color="auto" w:fill="FFFFFF"/>
        </w:rPr>
        <w:t xml:space="preserve">referred to in paragraph 2 shall </w:t>
      </w:r>
      <w:r w:rsidR="00986243" w:rsidRPr="00CD09AF">
        <w:rPr>
          <w:noProof/>
          <w:szCs w:val="24"/>
          <w:shd w:val="clear" w:color="auto" w:fill="FFFFFF"/>
        </w:rPr>
        <w:t>at least once per year</w:t>
      </w:r>
      <w:r w:rsidR="006172A5">
        <w:rPr>
          <w:noProof/>
          <w:szCs w:val="24"/>
          <w:shd w:val="clear" w:color="auto" w:fill="FFFFFF"/>
        </w:rPr>
        <w:t>,</w:t>
      </w:r>
      <w:r w:rsidR="00986243" w:rsidRPr="00CD09AF">
        <w:rPr>
          <w:noProof/>
          <w:szCs w:val="24"/>
          <w:shd w:val="clear" w:color="auto" w:fill="FFFFFF"/>
        </w:rPr>
        <w:t xml:space="preserve"> and in any case no later than the date of the disclosure of the accounting documents and</w:t>
      </w:r>
      <w:r w:rsidR="006172A5">
        <w:rPr>
          <w:noProof/>
          <w:szCs w:val="24"/>
          <w:shd w:val="clear" w:color="auto" w:fill="FFFFFF"/>
        </w:rPr>
        <w:t>,</w:t>
      </w:r>
      <w:r w:rsidR="00986243" w:rsidRPr="00CD09AF">
        <w:rPr>
          <w:noProof/>
          <w:szCs w:val="24"/>
          <w:shd w:val="clear" w:color="auto" w:fill="FFFFFF"/>
        </w:rPr>
        <w:t xml:space="preserve"> if no such disclosure is required, by the end of the financial year</w:t>
      </w:r>
      <w:r w:rsidR="006172A5">
        <w:rPr>
          <w:noProof/>
          <w:szCs w:val="24"/>
          <w:shd w:val="clear" w:color="auto" w:fill="FFFFFF"/>
        </w:rPr>
        <w:t>,</w:t>
      </w:r>
      <w:r w:rsidR="00986243" w:rsidRPr="00CD09AF">
        <w:rPr>
          <w:noProof/>
          <w:szCs w:val="24"/>
          <w:shd w:val="clear" w:color="auto" w:fill="FFFFFF"/>
        </w:rPr>
        <w:t xml:space="preserve"> </w:t>
      </w:r>
      <w:r w:rsidR="00C9131C" w:rsidRPr="00CD09AF">
        <w:rPr>
          <w:noProof/>
          <w:szCs w:val="24"/>
          <w:shd w:val="clear" w:color="auto" w:fill="FFFFFF"/>
        </w:rPr>
        <w:t xml:space="preserve">update the information </w:t>
      </w:r>
      <w:r w:rsidR="00986243">
        <w:rPr>
          <w:noProof/>
          <w:szCs w:val="24"/>
          <w:shd w:val="clear" w:color="auto" w:fill="FFFFFF"/>
        </w:rPr>
        <w:t>required</w:t>
      </w:r>
      <w:r w:rsidR="00C9131C">
        <w:rPr>
          <w:noProof/>
          <w:szCs w:val="24"/>
          <w:shd w:val="clear" w:color="auto" w:fill="FFFFFF"/>
        </w:rPr>
        <w:t xml:space="preserve"> </w:t>
      </w:r>
      <w:r w:rsidR="00C9131C" w:rsidRPr="00CD09AF">
        <w:rPr>
          <w:noProof/>
          <w:szCs w:val="24"/>
          <w:shd w:val="clear" w:color="auto" w:fill="FFFFFF"/>
        </w:rPr>
        <w:t>in paragraphs 1 to 3, where applicable</w:t>
      </w:r>
      <w:r w:rsidR="006172A5">
        <w:rPr>
          <w:noProof/>
          <w:szCs w:val="24"/>
          <w:shd w:val="clear" w:color="auto" w:fill="FFFFFF"/>
        </w:rPr>
        <w:t>,</w:t>
      </w:r>
      <w:r w:rsidR="00C9131C" w:rsidRPr="00CD09AF">
        <w:rPr>
          <w:noProof/>
          <w:szCs w:val="24"/>
          <w:shd w:val="clear" w:color="auto" w:fill="FFFFFF"/>
        </w:rPr>
        <w:t xml:space="preserve"> or confirm that no changes to the group structure</w:t>
      </w:r>
      <w:r w:rsidR="006172A5">
        <w:rPr>
          <w:noProof/>
          <w:szCs w:val="24"/>
          <w:shd w:val="clear" w:color="auto" w:fill="FFFFFF"/>
        </w:rPr>
        <w:t xml:space="preserve"> have occurred</w:t>
      </w:r>
      <w:r w:rsidR="00C9131C" w:rsidRPr="00CD09AF">
        <w:rPr>
          <w:noProof/>
          <w:szCs w:val="24"/>
          <w:shd w:val="clear" w:color="auto" w:fill="FFFFFF"/>
        </w:rPr>
        <w:t xml:space="preserve">. </w:t>
      </w:r>
    </w:p>
    <w:p w14:paraId="4D686357" w14:textId="77777777" w:rsidR="00E46F97" w:rsidRDefault="009C46BD" w:rsidP="004E6BF2">
      <w:pPr>
        <w:tabs>
          <w:tab w:val="left" w:pos="1418"/>
        </w:tabs>
        <w:ind w:left="851"/>
        <w:rPr>
          <w:noProof/>
        </w:rPr>
      </w:pPr>
      <w:r>
        <w:rPr>
          <w:noProof/>
          <w:szCs w:val="24"/>
          <w:shd w:val="clear" w:color="auto" w:fill="FFFFFF"/>
        </w:rPr>
        <w:t xml:space="preserve">7. </w:t>
      </w:r>
      <w:r w:rsidR="00EE0E1B">
        <w:rPr>
          <w:noProof/>
          <w:szCs w:val="24"/>
          <w:shd w:val="clear" w:color="auto" w:fill="FFFFFF"/>
        </w:rPr>
        <w:t xml:space="preserve"> </w:t>
      </w:r>
      <w:r>
        <w:rPr>
          <w:noProof/>
          <w:szCs w:val="24"/>
          <w:shd w:val="clear" w:color="auto" w:fill="FFFFFF"/>
        </w:rPr>
        <w:t xml:space="preserve"> </w:t>
      </w:r>
      <w:r w:rsidR="00E46F97" w:rsidRPr="00C05644">
        <w:rPr>
          <w:noProof/>
          <w:shd w:val="clear" w:color="auto" w:fill="FFFFFF"/>
        </w:rPr>
        <w:t>Member States shall ensure that the ultimate parent company governed by the law of a Member State</w:t>
      </w:r>
      <w:r w:rsidR="00E46F97" w:rsidRPr="00283E33">
        <w:rPr>
          <w:noProof/>
          <w:shd w:val="clear" w:color="auto" w:fill="FFFFFF"/>
        </w:rPr>
        <w:t xml:space="preserve"> or</w:t>
      </w:r>
      <w:r w:rsidR="00E46F97" w:rsidRPr="00C05644">
        <w:rPr>
          <w:noProof/>
          <w:shd w:val="clear" w:color="auto" w:fill="FFFFFF"/>
        </w:rPr>
        <w:t xml:space="preserve">, where applicable, the intermediate parent company or the subsidiary company referred to in paragraph 2, </w:t>
      </w:r>
      <w:r w:rsidR="00E46F97" w:rsidRPr="00283E33">
        <w:rPr>
          <w:noProof/>
          <w:shd w:val="clear" w:color="auto" w:fill="FFFFFF"/>
        </w:rPr>
        <w:t xml:space="preserve">shares </w:t>
      </w:r>
      <w:r w:rsidR="00E46F97" w:rsidRPr="00C05644">
        <w:rPr>
          <w:noProof/>
          <w:shd w:val="clear" w:color="auto" w:fill="FFFFFF"/>
        </w:rPr>
        <w:t xml:space="preserve">the </w:t>
      </w:r>
      <w:r w:rsidR="00E46F97" w:rsidRPr="00E46F97">
        <w:rPr>
          <w:noProof/>
          <w:shd w:val="clear" w:color="auto" w:fill="FFFFFF"/>
        </w:rPr>
        <w:t>information referred to in paragraph 5</w:t>
      </w:r>
      <w:r w:rsidR="00E46F97" w:rsidRPr="00C05644">
        <w:rPr>
          <w:noProof/>
          <w:shd w:val="clear" w:color="auto" w:fill="FFFFFF"/>
        </w:rPr>
        <w:t xml:space="preserve"> with all subsidiary companies governed by the law of a Member State before the disclosure </w:t>
      </w:r>
      <w:r w:rsidR="00E46F97" w:rsidRPr="00283E33">
        <w:rPr>
          <w:noProof/>
          <w:shd w:val="clear" w:color="auto" w:fill="FFFFFF"/>
        </w:rPr>
        <w:t>referred to in paragraph 1</w:t>
      </w:r>
      <w:r w:rsidR="00620D87">
        <w:rPr>
          <w:noProof/>
          <w:shd w:val="clear" w:color="auto" w:fill="FFFFFF"/>
        </w:rPr>
        <w:t xml:space="preserve"> or 2</w:t>
      </w:r>
      <w:r w:rsidR="00E46F97" w:rsidRPr="00283E33">
        <w:rPr>
          <w:noProof/>
          <w:shd w:val="clear" w:color="auto" w:fill="FFFFFF"/>
        </w:rPr>
        <w:t xml:space="preserve">. </w:t>
      </w:r>
    </w:p>
    <w:p w14:paraId="38B7CD68" w14:textId="77777777" w:rsidR="00E46F97" w:rsidRDefault="009C46BD" w:rsidP="004E6BF2">
      <w:pPr>
        <w:ind w:left="851"/>
        <w:rPr>
          <w:noProof/>
          <w:shd w:val="clear" w:color="auto" w:fill="FFFFFF"/>
        </w:rPr>
      </w:pPr>
      <w:r>
        <w:rPr>
          <w:noProof/>
          <w:szCs w:val="24"/>
          <w:shd w:val="clear" w:color="auto" w:fill="FFFFFF"/>
        </w:rPr>
        <w:t xml:space="preserve">8.  </w:t>
      </w:r>
      <w:r w:rsidR="00E46F97" w:rsidRPr="002E79A1">
        <w:rPr>
          <w:noProof/>
          <w:shd w:val="clear" w:color="auto" w:fill="FFFFFF"/>
        </w:rPr>
        <w:t>I</w:t>
      </w:r>
      <w:r w:rsidR="00E46F97" w:rsidRPr="00C05644">
        <w:rPr>
          <w:noProof/>
          <w:shd w:val="clear" w:color="auto" w:fill="FFFFFF"/>
        </w:rPr>
        <w:t xml:space="preserve">n the case of changes to the information referred to in paragraph 5, </w:t>
      </w:r>
      <w:r w:rsidR="00E46F97" w:rsidRPr="00283E33">
        <w:rPr>
          <w:noProof/>
          <w:shd w:val="clear" w:color="auto" w:fill="FFFFFF"/>
        </w:rPr>
        <w:t>e</w:t>
      </w:r>
      <w:r w:rsidR="00E46F97" w:rsidRPr="00C05644">
        <w:rPr>
          <w:noProof/>
          <w:shd w:val="clear" w:color="auto" w:fill="FFFFFF"/>
        </w:rPr>
        <w:t>ach subsidiary company of the group governed by the law of a Member State, including any intermediate parent company, shall disclos</w:t>
      </w:r>
      <w:r w:rsidR="00620D87">
        <w:rPr>
          <w:noProof/>
          <w:shd w:val="clear" w:color="auto" w:fill="FFFFFF"/>
        </w:rPr>
        <w:t>e</w:t>
      </w:r>
      <w:r w:rsidR="00E46F97" w:rsidRPr="00283E33">
        <w:rPr>
          <w:noProof/>
          <w:shd w:val="clear" w:color="auto" w:fill="FFFFFF"/>
        </w:rPr>
        <w:t xml:space="preserve"> </w:t>
      </w:r>
      <w:r w:rsidR="00E46F97" w:rsidRPr="00C05644">
        <w:rPr>
          <w:noProof/>
          <w:shd w:val="clear" w:color="auto" w:fill="FFFFFF"/>
        </w:rPr>
        <w:t>such</w:t>
      </w:r>
      <w:r w:rsidR="00E46F97" w:rsidRPr="00283E33">
        <w:rPr>
          <w:noProof/>
          <w:shd w:val="clear" w:color="auto" w:fill="FFFFFF"/>
        </w:rPr>
        <w:t xml:space="preserve"> changes</w:t>
      </w:r>
      <w:r w:rsidR="00620D87">
        <w:rPr>
          <w:noProof/>
          <w:shd w:val="clear" w:color="auto" w:fill="FFFFFF"/>
        </w:rPr>
        <w:t xml:space="preserve"> </w:t>
      </w:r>
      <w:r w:rsidR="00E46F97" w:rsidRPr="00283E33">
        <w:rPr>
          <w:noProof/>
          <w:shd w:val="clear" w:color="auto" w:fill="FFFFFF"/>
        </w:rPr>
        <w:t xml:space="preserve">in the register where it is registered within a deadline of two weeks </w:t>
      </w:r>
      <w:r w:rsidR="00E46F97" w:rsidRPr="00C05644">
        <w:rPr>
          <w:noProof/>
        </w:rPr>
        <w:t>as from the date the changes were made</w:t>
      </w:r>
      <w:r w:rsidR="00E46F97" w:rsidRPr="00C05644">
        <w:rPr>
          <w:noProof/>
          <w:shd w:val="clear" w:color="auto" w:fill="FFFFFF"/>
        </w:rPr>
        <w:t xml:space="preserve">. </w:t>
      </w:r>
    </w:p>
    <w:p w14:paraId="7E4FEF96" w14:textId="77777777" w:rsidR="00C9131C" w:rsidRPr="00C9131C" w:rsidRDefault="009C46BD" w:rsidP="004E6BF2">
      <w:pPr>
        <w:tabs>
          <w:tab w:val="left" w:pos="1276"/>
        </w:tabs>
        <w:ind w:left="851"/>
        <w:rPr>
          <w:noProof/>
          <w:szCs w:val="24"/>
          <w:shd w:val="clear" w:color="auto" w:fill="FFFFFF"/>
        </w:rPr>
      </w:pPr>
      <w:r>
        <w:rPr>
          <w:noProof/>
          <w:szCs w:val="24"/>
          <w:shd w:val="clear" w:color="auto" w:fill="FFFFFF"/>
        </w:rPr>
        <w:t xml:space="preserve">9. </w:t>
      </w:r>
      <w:r w:rsidR="00EE0E1B">
        <w:rPr>
          <w:noProof/>
          <w:szCs w:val="24"/>
          <w:shd w:val="clear" w:color="auto" w:fill="FFFFFF"/>
        </w:rPr>
        <w:tab/>
      </w:r>
      <w:r w:rsidR="00E46F97" w:rsidRPr="00CD09AF">
        <w:rPr>
          <w:noProof/>
          <w:szCs w:val="24"/>
          <w:shd w:val="clear" w:color="auto" w:fill="FFFFFF"/>
        </w:rPr>
        <w:t xml:space="preserve">Member States shall ensure that the information </w:t>
      </w:r>
      <w:r w:rsidR="00E46F97">
        <w:rPr>
          <w:noProof/>
          <w:szCs w:val="24"/>
          <w:shd w:val="clear" w:color="auto" w:fill="FFFFFF"/>
        </w:rPr>
        <w:t>referred to</w:t>
      </w:r>
      <w:r w:rsidR="00E46F97" w:rsidRPr="00CD09AF">
        <w:rPr>
          <w:noProof/>
          <w:szCs w:val="24"/>
          <w:shd w:val="clear" w:color="auto" w:fill="FFFFFF"/>
        </w:rPr>
        <w:t xml:space="preserve"> in paragraphs 1 to 3, </w:t>
      </w:r>
      <w:r w:rsidR="00E46F97" w:rsidRPr="00C05644">
        <w:rPr>
          <w:noProof/>
          <w:shd w:val="clear" w:color="auto" w:fill="FFFFFF"/>
        </w:rPr>
        <w:t>5,</w:t>
      </w:r>
      <w:r w:rsidR="00E46F97">
        <w:rPr>
          <w:noProof/>
          <w:szCs w:val="24"/>
          <w:shd w:val="clear" w:color="auto" w:fill="FFFFFF"/>
        </w:rPr>
        <w:t xml:space="preserve"> </w:t>
      </w:r>
      <w:r w:rsidR="00E46F97" w:rsidRPr="00CD09AF">
        <w:rPr>
          <w:noProof/>
          <w:szCs w:val="24"/>
          <w:shd w:val="clear" w:color="auto" w:fill="FFFFFF"/>
        </w:rPr>
        <w:t>6 and 8</w:t>
      </w:r>
      <w:r w:rsidR="00E46F97">
        <w:rPr>
          <w:noProof/>
          <w:szCs w:val="24"/>
          <w:shd w:val="clear" w:color="auto" w:fill="FFFFFF"/>
        </w:rPr>
        <w:t>,</w:t>
      </w:r>
      <w:r w:rsidR="00E46F97" w:rsidRPr="00CD09AF">
        <w:rPr>
          <w:noProof/>
          <w:szCs w:val="24"/>
          <w:shd w:val="clear" w:color="auto" w:fill="FFFFFF"/>
        </w:rPr>
        <w:t xml:space="preserve"> where applicable, shall be publicly available free of charge through the system of interconnection of registers.</w:t>
      </w:r>
    </w:p>
    <w:p w14:paraId="5BA74168" w14:textId="77777777" w:rsidR="00C9131C" w:rsidRPr="00CD09AF" w:rsidRDefault="009C46BD" w:rsidP="004E6BF2">
      <w:pPr>
        <w:tabs>
          <w:tab w:val="left" w:pos="1276"/>
        </w:tabs>
        <w:ind w:left="851"/>
        <w:rPr>
          <w:noProof/>
          <w:szCs w:val="24"/>
          <w:shd w:val="clear" w:color="auto" w:fill="FFFFFF"/>
        </w:rPr>
      </w:pPr>
      <w:r>
        <w:rPr>
          <w:noProof/>
          <w:szCs w:val="24"/>
          <w:shd w:val="clear" w:color="auto" w:fill="FFFFFF"/>
        </w:rPr>
        <w:t xml:space="preserve">10. </w:t>
      </w:r>
      <w:r w:rsidR="00E46F97" w:rsidRPr="00CD09AF">
        <w:rPr>
          <w:noProof/>
          <w:szCs w:val="24"/>
          <w:shd w:val="clear" w:color="auto" w:fill="FFFFFF"/>
        </w:rPr>
        <w:t xml:space="preserve">The system of interconnection of registers shall provide on the portal a visualisation of the structure of the group based on the information </w:t>
      </w:r>
      <w:r w:rsidR="000D272A" w:rsidRPr="00CD09AF">
        <w:rPr>
          <w:noProof/>
          <w:szCs w:val="24"/>
          <w:shd w:val="clear" w:color="auto" w:fill="FFFFFF"/>
        </w:rPr>
        <w:t>referred to in paragraphs 1 or 2</w:t>
      </w:r>
      <w:r w:rsidR="000D272A" w:rsidRPr="00C05644">
        <w:rPr>
          <w:noProof/>
          <w:shd w:val="clear" w:color="auto" w:fill="FFFFFF"/>
        </w:rPr>
        <w:t>, and in paragraph</w:t>
      </w:r>
      <w:r w:rsidR="000D272A" w:rsidRPr="008A2A82">
        <w:rPr>
          <w:noProof/>
          <w:shd w:val="clear" w:color="auto" w:fill="FFFFFF"/>
        </w:rPr>
        <w:t>s</w:t>
      </w:r>
      <w:r w:rsidR="000D272A" w:rsidRPr="00E753EC">
        <w:rPr>
          <w:noProof/>
          <w:shd w:val="clear" w:color="auto" w:fill="FFFFFF"/>
        </w:rPr>
        <w:t xml:space="preserve"> 3, 6 and 8</w:t>
      </w:r>
      <w:r w:rsidR="000D272A">
        <w:rPr>
          <w:noProof/>
          <w:shd w:val="clear" w:color="auto" w:fill="FFFFFF"/>
        </w:rPr>
        <w:t xml:space="preserve"> and </w:t>
      </w:r>
      <w:r w:rsidR="00E46F97" w:rsidRPr="00CD09AF">
        <w:rPr>
          <w:noProof/>
          <w:szCs w:val="24"/>
          <w:shd w:val="clear" w:color="auto" w:fill="FFFFFF"/>
        </w:rPr>
        <w:t xml:space="preserve">transmitted </w:t>
      </w:r>
      <w:r w:rsidR="00E46F97">
        <w:rPr>
          <w:noProof/>
          <w:szCs w:val="24"/>
          <w:shd w:val="clear" w:color="auto" w:fill="FFFFFF"/>
        </w:rPr>
        <w:t xml:space="preserve">through the system </w:t>
      </w:r>
      <w:r w:rsidR="00E46F97" w:rsidRPr="00CD09AF">
        <w:rPr>
          <w:noProof/>
          <w:szCs w:val="24"/>
          <w:shd w:val="clear" w:color="auto" w:fill="FFFFFF"/>
        </w:rPr>
        <w:t>in accordance with this Article by the register</w:t>
      </w:r>
      <w:r w:rsidR="000D272A">
        <w:rPr>
          <w:noProof/>
          <w:szCs w:val="24"/>
          <w:shd w:val="clear" w:color="auto" w:fill="FFFFFF"/>
        </w:rPr>
        <w:t>s</w:t>
      </w:r>
      <w:r w:rsidR="00E46F97" w:rsidRPr="00CD09AF" w:rsidDel="000D272A">
        <w:rPr>
          <w:noProof/>
          <w:szCs w:val="24"/>
          <w:shd w:val="clear" w:color="auto" w:fill="FFFFFF"/>
        </w:rPr>
        <w:t xml:space="preserve"> </w:t>
      </w:r>
      <w:r w:rsidR="00E46F97" w:rsidRPr="00E753EC">
        <w:rPr>
          <w:noProof/>
          <w:shd w:val="clear" w:color="auto" w:fill="FFFFFF"/>
        </w:rPr>
        <w:t>.</w:t>
      </w:r>
    </w:p>
    <w:p w14:paraId="3A850C9F" w14:textId="77777777" w:rsidR="004A359A" w:rsidRDefault="009C46BD" w:rsidP="004A359A">
      <w:pPr>
        <w:tabs>
          <w:tab w:val="left" w:pos="1276"/>
        </w:tabs>
        <w:ind w:left="1276" w:hanging="425"/>
        <w:rPr>
          <w:noProof/>
          <w:szCs w:val="24"/>
          <w:shd w:val="clear" w:color="auto" w:fill="FFFFFF"/>
        </w:rPr>
      </w:pPr>
      <w:r>
        <w:rPr>
          <w:noProof/>
          <w:szCs w:val="24"/>
          <w:shd w:val="clear" w:color="auto" w:fill="FFFFFF"/>
        </w:rPr>
        <w:t xml:space="preserve">11. </w:t>
      </w:r>
      <w:r w:rsidR="00C9131C" w:rsidRPr="00CD09AF">
        <w:rPr>
          <w:noProof/>
          <w:szCs w:val="24"/>
          <w:shd w:val="clear" w:color="auto" w:fill="FFFFFF"/>
        </w:rPr>
        <w:t>This Article does not apply when the group includes only two companies of which the subsidiary company is within the scope of Directive 2009/102/EC.</w:t>
      </w:r>
    </w:p>
    <w:p w14:paraId="1D420170" w14:textId="77777777" w:rsidR="004A359A" w:rsidRPr="000F4334" w:rsidRDefault="004A359A" w:rsidP="004A359A">
      <w:pPr>
        <w:tabs>
          <w:tab w:val="left" w:pos="1276"/>
        </w:tabs>
        <w:ind w:left="1276" w:hanging="425"/>
        <w:rPr>
          <w:noProof/>
          <w:sz w:val="22"/>
          <w:shd w:val="clear" w:color="auto" w:fill="FFFFFF"/>
        </w:rPr>
      </w:pPr>
    </w:p>
    <w:p w14:paraId="083DD8B8" w14:textId="77777777" w:rsidR="004A359A" w:rsidRPr="000F4334" w:rsidRDefault="004A359A" w:rsidP="004A359A">
      <w:pPr>
        <w:tabs>
          <w:tab w:val="left" w:pos="1276"/>
        </w:tabs>
        <w:ind w:left="1276" w:hanging="425"/>
        <w:rPr>
          <w:rFonts w:eastAsia="Arial Unicode MS"/>
          <w:noProof/>
          <w:color w:val="333333"/>
          <w:szCs w:val="24"/>
          <w:shd w:val="clear" w:color="auto" w:fill="FFFFFF"/>
        </w:rPr>
      </w:pPr>
      <w:r w:rsidRPr="000F4334">
        <w:rPr>
          <w:noProof/>
          <w:szCs w:val="24"/>
          <w:shd w:val="clear" w:color="auto" w:fill="FFFFFF"/>
        </w:rPr>
        <w:t xml:space="preserve"> * </w:t>
      </w:r>
      <w:r w:rsidRPr="000F4334">
        <w:rPr>
          <w:rFonts w:eastAsia="Arial Unicode MS"/>
          <w:noProof/>
          <w:color w:val="333333"/>
          <w:szCs w:val="24"/>
          <w:shd w:val="clear" w:color="auto" w:fill="FFFFFF"/>
        </w:rPr>
        <w:t>Council Directive 86/635/EEC of 8 December 1986 on the annual accounts and consolidated accounts of banks and other financial institutions (OJ L 372, 31.12.1986, p. 1).</w:t>
      </w:r>
    </w:p>
    <w:p w14:paraId="47AFB2B5" w14:textId="77777777" w:rsidR="00C9131C" w:rsidRPr="000F4334" w:rsidRDefault="004A359A" w:rsidP="004A359A">
      <w:pPr>
        <w:tabs>
          <w:tab w:val="left" w:pos="1276"/>
        </w:tabs>
        <w:ind w:left="1276" w:hanging="425"/>
        <w:rPr>
          <w:rFonts w:eastAsia="Arial Unicode MS"/>
          <w:noProof/>
          <w:color w:val="333333"/>
          <w:szCs w:val="24"/>
          <w:shd w:val="clear" w:color="auto" w:fill="FFFFFF"/>
        </w:rPr>
      </w:pPr>
      <w:r w:rsidRPr="000F4334">
        <w:rPr>
          <w:noProof/>
          <w:szCs w:val="24"/>
        </w:rPr>
        <w:t xml:space="preserve">** </w:t>
      </w:r>
      <w:r w:rsidRPr="000F4334">
        <w:rPr>
          <w:rFonts w:eastAsia="Arial Unicode MS"/>
          <w:noProof/>
          <w:color w:val="333333"/>
          <w:szCs w:val="24"/>
          <w:shd w:val="clear" w:color="auto" w:fill="FFFFFF"/>
        </w:rPr>
        <w:t>Council Directive 91/674/EEC of 19 December 1991 on the annual accounts and consolidated accounts of insurance undertakings (OJ L 374, 31.12.1991, p. 7)</w:t>
      </w:r>
      <w:r w:rsidR="00AF0407" w:rsidRPr="000F4334">
        <w:rPr>
          <w:noProof/>
          <w:szCs w:val="24"/>
          <w:shd w:val="clear" w:color="auto" w:fill="FFFFFF"/>
        </w:rPr>
        <w:t>’</w:t>
      </w:r>
      <w:r w:rsidR="009C46BD" w:rsidRPr="000F4334">
        <w:rPr>
          <w:noProof/>
          <w:szCs w:val="24"/>
          <w:shd w:val="clear" w:color="auto" w:fill="FFFFFF"/>
        </w:rPr>
        <w:t>;</w:t>
      </w:r>
    </w:p>
    <w:p w14:paraId="3A679582" w14:textId="77777777" w:rsidR="004A359A" w:rsidRDefault="004A359A" w:rsidP="004A359A">
      <w:pPr>
        <w:tabs>
          <w:tab w:val="left" w:pos="1276"/>
        </w:tabs>
        <w:ind w:left="1276" w:hanging="425"/>
        <w:rPr>
          <w:noProof/>
          <w:szCs w:val="24"/>
          <w:shd w:val="clear" w:color="auto" w:fill="FFFFFF"/>
        </w:rPr>
      </w:pPr>
      <w:r>
        <w:rPr>
          <w:noProof/>
          <w:szCs w:val="24"/>
          <w:shd w:val="clear" w:color="auto" w:fill="FFFFFF"/>
        </w:rPr>
        <w:t>_____</w:t>
      </w:r>
    </w:p>
    <w:p w14:paraId="32DF6834" w14:textId="77777777" w:rsidR="00606ADA" w:rsidRDefault="00606ADA" w:rsidP="00332815">
      <w:pPr>
        <w:rPr>
          <w:noProof/>
        </w:rPr>
      </w:pPr>
    </w:p>
    <w:p w14:paraId="3FAD73C6" w14:textId="68D63321" w:rsidR="00606ADA" w:rsidRDefault="001969F8" w:rsidP="001969F8">
      <w:pPr>
        <w:pStyle w:val="Point0"/>
        <w:rPr>
          <w:noProof/>
        </w:rPr>
      </w:pPr>
      <w:r w:rsidRPr="001969F8">
        <w:t>(17)</w:t>
      </w:r>
      <w:r w:rsidRPr="001969F8">
        <w:tab/>
      </w:r>
      <w:r w:rsidR="00606ADA">
        <w:rPr>
          <w:noProof/>
        </w:rPr>
        <w:t>Article 15 is replaced by the following:</w:t>
      </w:r>
    </w:p>
    <w:p w14:paraId="7C3F4772" w14:textId="77777777" w:rsidR="00AF0407" w:rsidRPr="00AF0407" w:rsidRDefault="00AF0407" w:rsidP="009571AE">
      <w:pPr>
        <w:jc w:val="center"/>
        <w:rPr>
          <w:noProof/>
        </w:rPr>
      </w:pPr>
      <w:r>
        <w:rPr>
          <w:noProof/>
        </w:rPr>
        <w:t>‘</w:t>
      </w:r>
      <w:r w:rsidRPr="00AF0407">
        <w:rPr>
          <w:noProof/>
        </w:rPr>
        <w:t>Article 15</w:t>
      </w:r>
    </w:p>
    <w:p w14:paraId="22A4DC6C" w14:textId="77777777" w:rsidR="00AF0407" w:rsidRPr="00332815" w:rsidRDefault="00AF0407" w:rsidP="00332815">
      <w:pPr>
        <w:jc w:val="center"/>
        <w:rPr>
          <w:b/>
          <w:bCs/>
          <w:noProof/>
        </w:rPr>
      </w:pPr>
      <w:r w:rsidRPr="00332815">
        <w:rPr>
          <w:b/>
          <w:bCs/>
          <w:noProof/>
        </w:rPr>
        <w:t>Up</w:t>
      </w:r>
      <w:r w:rsidR="002E79A1">
        <w:rPr>
          <w:b/>
          <w:bCs/>
          <w:noProof/>
        </w:rPr>
        <w:t xml:space="preserve"> </w:t>
      </w:r>
      <w:r w:rsidRPr="00332815">
        <w:rPr>
          <w:b/>
          <w:bCs/>
          <w:noProof/>
        </w:rPr>
        <w:t>to</w:t>
      </w:r>
      <w:r w:rsidR="002E79A1">
        <w:rPr>
          <w:b/>
          <w:bCs/>
          <w:noProof/>
        </w:rPr>
        <w:t xml:space="preserve"> </w:t>
      </w:r>
      <w:r w:rsidRPr="00332815">
        <w:rPr>
          <w:b/>
          <w:bCs/>
          <w:noProof/>
        </w:rPr>
        <w:t>date registers</w:t>
      </w:r>
    </w:p>
    <w:p w14:paraId="29A8E664" w14:textId="77777777" w:rsidR="0066044D" w:rsidRPr="0066044D" w:rsidRDefault="0066044D" w:rsidP="004E6BF2">
      <w:pPr>
        <w:shd w:val="clear" w:color="auto" w:fill="FFFFFF"/>
        <w:spacing w:before="240" w:line="312" w:lineRule="atLeast"/>
        <w:ind w:left="851"/>
        <w:rPr>
          <w:rFonts w:eastAsia="Times New Roman"/>
          <w:noProof/>
          <w:szCs w:val="24"/>
        </w:rPr>
      </w:pPr>
      <w:r w:rsidRPr="0066044D">
        <w:rPr>
          <w:rFonts w:eastAsia="Times New Roman"/>
          <w:noProof/>
          <w:szCs w:val="24"/>
        </w:rPr>
        <w:t xml:space="preserve">1. </w:t>
      </w:r>
      <w:r w:rsidRPr="0066044D">
        <w:rPr>
          <w:rFonts w:ascii="inherit" w:eastAsia="Calibri" w:hAnsi="inherit" w:cs="Calibri"/>
          <w:noProof/>
          <w:szCs w:val="24"/>
        </w:rPr>
        <w:t>Member States shall have in place procedures to ensure that the information about companies listed in Annex</w:t>
      </w:r>
      <w:r w:rsidR="0042780D">
        <w:rPr>
          <w:rFonts w:ascii="inherit" w:eastAsia="Calibri" w:hAnsi="inherit" w:cs="Calibri"/>
          <w:noProof/>
          <w:szCs w:val="24"/>
        </w:rPr>
        <w:t>es</w:t>
      </w:r>
      <w:r w:rsidRPr="0066044D">
        <w:rPr>
          <w:rFonts w:ascii="inherit" w:eastAsia="Calibri" w:hAnsi="inherit" w:cs="Calibri"/>
          <w:noProof/>
          <w:szCs w:val="24"/>
        </w:rPr>
        <w:t xml:space="preserve"> II and IIB </w:t>
      </w:r>
      <w:r w:rsidR="00E35118">
        <w:rPr>
          <w:rFonts w:ascii="inherit" w:eastAsia="Calibri" w:hAnsi="inherit" w:cs="Calibri"/>
          <w:noProof/>
          <w:szCs w:val="24"/>
        </w:rPr>
        <w:t xml:space="preserve">stored </w:t>
      </w:r>
      <w:r w:rsidRPr="0066044D">
        <w:rPr>
          <w:rFonts w:ascii="inherit" w:eastAsia="Calibri" w:hAnsi="inherit" w:cs="Calibri"/>
          <w:noProof/>
          <w:szCs w:val="24"/>
        </w:rPr>
        <w:t>in the registers referred to in Article 16 is kept up</w:t>
      </w:r>
      <w:r w:rsidR="0042780D">
        <w:rPr>
          <w:rFonts w:ascii="inherit" w:eastAsia="Calibri" w:hAnsi="inherit" w:cs="Calibri"/>
          <w:noProof/>
          <w:szCs w:val="24"/>
        </w:rPr>
        <w:t xml:space="preserve"> </w:t>
      </w:r>
      <w:r w:rsidRPr="0066044D">
        <w:rPr>
          <w:rFonts w:ascii="inherit" w:eastAsia="Calibri" w:hAnsi="inherit" w:cs="Calibri"/>
          <w:noProof/>
          <w:szCs w:val="24"/>
        </w:rPr>
        <w:t>to</w:t>
      </w:r>
      <w:r w:rsidR="0042780D">
        <w:rPr>
          <w:rFonts w:ascii="inherit" w:eastAsia="Calibri" w:hAnsi="inherit" w:cs="Calibri"/>
          <w:noProof/>
          <w:szCs w:val="24"/>
        </w:rPr>
        <w:t xml:space="preserve"> </w:t>
      </w:r>
      <w:r w:rsidRPr="0066044D">
        <w:rPr>
          <w:rFonts w:ascii="inherit" w:eastAsia="Calibri" w:hAnsi="inherit" w:cs="Calibri"/>
          <w:noProof/>
          <w:szCs w:val="24"/>
        </w:rPr>
        <w:t xml:space="preserve">date. </w:t>
      </w:r>
    </w:p>
    <w:p w14:paraId="4F9B44EC" w14:textId="77777777" w:rsidR="0066044D" w:rsidRPr="0066044D" w:rsidRDefault="0066044D" w:rsidP="004E6BF2">
      <w:pPr>
        <w:shd w:val="clear" w:color="auto" w:fill="FFFFFF"/>
        <w:spacing w:before="240" w:line="312" w:lineRule="atLeast"/>
        <w:ind w:left="851"/>
        <w:rPr>
          <w:rFonts w:eastAsia="Times New Roman"/>
          <w:noProof/>
          <w:szCs w:val="24"/>
        </w:rPr>
      </w:pPr>
      <w:r w:rsidRPr="0066044D">
        <w:rPr>
          <w:rFonts w:eastAsia="Times New Roman"/>
          <w:noProof/>
          <w:szCs w:val="24"/>
        </w:rPr>
        <w:t xml:space="preserve">2. </w:t>
      </w:r>
      <w:r w:rsidRPr="0066044D">
        <w:rPr>
          <w:rFonts w:ascii="inherit" w:eastAsia="Calibri" w:hAnsi="inherit" w:cs="Calibri"/>
          <w:noProof/>
          <w:szCs w:val="24"/>
        </w:rPr>
        <w:t>These procedures shall provide at least the following:</w:t>
      </w:r>
    </w:p>
    <w:p w14:paraId="12AFED3A" w14:textId="62977E53" w:rsidR="0066044D" w:rsidRPr="009E4CE7" w:rsidRDefault="001969F8" w:rsidP="001969F8">
      <w:pPr>
        <w:pStyle w:val="Point1"/>
        <w:rPr>
          <w:noProof/>
        </w:rPr>
      </w:pPr>
      <w:r w:rsidRPr="001969F8">
        <w:t>(a)</w:t>
      </w:r>
      <w:r w:rsidRPr="001969F8">
        <w:tab/>
      </w:r>
      <w:r w:rsidR="0066044D" w:rsidRPr="009E4CE7">
        <w:rPr>
          <w:noProof/>
        </w:rPr>
        <w:t>that companies listed in Annex II and IIB file any changes to</w:t>
      </w:r>
      <w:r w:rsidR="0066044D" w:rsidRPr="005800C8">
        <w:rPr>
          <w:rFonts w:eastAsia="Times New Roman"/>
          <w:noProof/>
        </w:rPr>
        <w:t xml:space="preserve"> the documents and </w:t>
      </w:r>
      <w:r w:rsidR="00B45594">
        <w:rPr>
          <w:rFonts w:eastAsia="Times New Roman"/>
          <w:noProof/>
        </w:rPr>
        <w:t>information</w:t>
      </w:r>
      <w:r w:rsidR="00B45594" w:rsidRPr="005800C8">
        <w:rPr>
          <w:rFonts w:eastAsia="Times New Roman"/>
          <w:noProof/>
        </w:rPr>
        <w:t xml:space="preserve"> </w:t>
      </w:r>
      <w:r w:rsidR="0066044D" w:rsidRPr="005800C8" w:rsidDel="000403A8">
        <w:rPr>
          <w:rFonts w:eastAsia="Times New Roman"/>
          <w:noProof/>
        </w:rPr>
        <w:t>to</w:t>
      </w:r>
      <w:r w:rsidR="0066044D" w:rsidRPr="005800C8">
        <w:rPr>
          <w:rFonts w:eastAsia="Times New Roman"/>
          <w:noProof/>
        </w:rPr>
        <w:t xml:space="preserve"> the register, </w:t>
      </w:r>
      <w:r w:rsidR="0066044D" w:rsidRPr="009E4CE7">
        <w:rPr>
          <w:noProof/>
        </w:rPr>
        <w:t xml:space="preserve">within a time period not exceeding 15 working days as from the date the changes were made. This </w:t>
      </w:r>
      <w:r w:rsidR="00976ADD">
        <w:rPr>
          <w:noProof/>
        </w:rPr>
        <w:t>time period</w:t>
      </w:r>
      <w:r w:rsidR="00976ADD" w:rsidRPr="009E4CE7">
        <w:rPr>
          <w:noProof/>
        </w:rPr>
        <w:t xml:space="preserve"> </w:t>
      </w:r>
      <w:r w:rsidR="00976ADD">
        <w:rPr>
          <w:noProof/>
        </w:rPr>
        <w:t>shall</w:t>
      </w:r>
      <w:r w:rsidR="00976ADD" w:rsidRPr="009E4CE7">
        <w:rPr>
          <w:noProof/>
        </w:rPr>
        <w:t xml:space="preserve"> </w:t>
      </w:r>
      <w:r w:rsidR="0066044D" w:rsidRPr="009E4CE7">
        <w:rPr>
          <w:noProof/>
        </w:rPr>
        <w:t xml:space="preserve">not apply to </w:t>
      </w:r>
      <w:r w:rsidR="009571AE">
        <w:rPr>
          <w:noProof/>
        </w:rPr>
        <w:t xml:space="preserve">changes to the information </w:t>
      </w:r>
      <w:r w:rsidR="00940DFB">
        <w:rPr>
          <w:noProof/>
        </w:rPr>
        <w:t xml:space="preserve">to </w:t>
      </w:r>
      <w:r w:rsidR="009571AE">
        <w:rPr>
          <w:noProof/>
        </w:rPr>
        <w:t xml:space="preserve">be disclosed under </w:t>
      </w:r>
      <w:r w:rsidR="0066044D" w:rsidRPr="009E4CE7">
        <w:rPr>
          <w:noProof/>
        </w:rPr>
        <w:t xml:space="preserve">Article 14b and </w:t>
      </w:r>
      <w:r w:rsidR="0066044D" w:rsidRPr="005800C8">
        <w:rPr>
          <w:rFonts w:eastAsia="Times New Roman"/>
          <w:noProof/>
        </w:rPr>
        <w:t>accounting documents referred to in Article 14</w:t>
      </w:r>
      <w:r w:rsidR="000F4334">
        <w:rPr>
          <w:rFonts w:eastAsia="Times New Roman"/>
          <w:noProof/>
        </w:rPr>
        <w:t>,</w:t>
      </w:r>
      <w:r w:rsidR="00CF14C3">
        <w:rPr>
          <w:rFonts w:eastAsia="Times New Roman"/>
          <w:noProof/>
        </w:rPr>
        <w:t xml:space="preserve"> point </w:t>
      </w:r>
      <w:r w:rsidR="0066044D" w:rsidRPr="005800C8">
        <w:rPr>
          <w:rFonts w:eastAsia="Times New Roman"/>
          <w:noProof/>
        </w:rPr>
        <w:t xml:space="preserve">(f), and </w:t>
      </w:r>
      <w:r w:rsidR="00CF14C3">
        <w:rPr>
          <w:rFonts w:eastAsia="Times New Roman"/>
          <w:noProof/>
        </w:rPr>
        <w:t>Article</w:t>
      </w:r>
      <w:r w:rsidR="000F4334">
        <w:rPr>
          <w:rFonts w:eastAsia="Times New Roman"/>
          <w:noProof/>
        </w:rPr>
        <w:t>,</w:t>
      </w:r>
      <w:r w:rsidR="00CF14C3">
        <w:rPr>
          <w:rFonts w:eastAsia="Times New Roman"/>
          <w:noProof/>
        </w:rPr>
        <w:t xml:space="preserve"> </w:t>
      </w:r>
      <w:r w:rsidR="0066044D" w:rsidRPr="005800C8">
        <w:rPr>
          <w:rFonts w:eastAsia="Times New Roman"/>
          <w:noProof/>
        </w:rPr>
        <w:t>14a</w:t>
      </w:r>
      <w:r w:rsidR="005021A5">
        <w:rPr>
          <w:rFonts w:eastAsia="Times New Roman"/>
          <w:noProof/>
        </w:rPr>
        <w:t xml:space="preserve"> point </w:t>
      </w:r>
      <w:r w:rsidR="0066044D" w:rsidRPr="005800C8">
        <w:rPr>
          <w:rFonts w:eastAsia="Times New Roman"/>
          <w:noProof/>
        </w:rPr>
        <w:t>(l)</w:t>
      </w:r>
      <w:r w:rsidR="0066044D" w:rsidRPr="009E4CE7">
        <w:rPr>
          <w:noProof/>
        </w:rPr>
        <w:t xml:space="preserve">; </w:t>
      </w:r>
    </w:p>
    <w:p w14:paraId="022C753C" w14:textId="515C723D" w:rsidR="0066044D" w:rsidRPr="009E4CE7" w:rsidRDefault="001969F8" w:rsidP="001969F8">
      <w:pPr>
        <w:pStyle w:val="Point1"/>
        <w:rPr>
          <w:noProof/>
        </w:rPr>
      </w:pPr>
      <w:r w:rsidRPr="001969F8">
        <w:t>(b)</w:t>
      </w:r>
      <w:r w:rsidRPr="001969F8">
        <w:tab/>
      </w:r>
      <w:r w:rsidR="0066044D" w:rsidRPr="009E4CE7">
        <w:rPr>
          <w:noProof/>
        </w:rPr>
        <w:t xml:space="preserve">that any changes in the documents and </w:t>
      </w:r>
      <w:r w:rsidR="00B45594">
        <w:rPr>
          <w:noProof/>
        </w:rPr>
        <w:t>information</w:t>
      </w:r>
      <w:r w:rsidR="00B45594" w:rsidRPr="009E4CE7">
        <w:rPr>
          <w:noProof/>
        </w:rPr>
        <w:t xml:space="preserve"> </w:t>
      </w:r>
      <w:r w:rsidR="0066044D" w:rsidRPr="009E4CE7">
        <w:rPr>
          <w:noProof/>
        </w:rPr>
        <w:t>regarding companies listed in Annex</w:t>
      </w:r>
      <w:r w:rsidR="000403A8">
        <w:rPr>
          <w:noProof/>
        </w:rPr>
        <w:t>es</w:t>
      </w:r>
      <w:r w:rsidR="0066044D" w:rsidRPr="009E4CE7">
        <w:rPr>
          <w:noProof/>
        </w:rPr>
        <w:t xml:space="preserve"> II and IIB are entered in the register and are disclosed, in accordance with Article 16(3), within 5 working days from the date of the completion of all formalities required for the filing, including the receipt of all documents and information</w:t>
      </w:r>
      <w:r w:rsidR="0066044D" w:rsidRPr="009E4CE7" w:rsidDel="000403A8">
        <w:rPr>
          <w:noProof/>
        </w:rPr>
        <w:t>, which comply with national law</w:t>
      </w:r>
      <w:r w:rsidR="0066044D" w:rsidRPr="009E4CE7">
        <w:rPr>
          <w:noProof/>
        </w:rPr>
        <w:t>;</w:t>
      </w:r>
    </w:p>
    <w:p w14:paraId="7E9A23E2" w14:textId="1C10F38F" w:rsidR="0066044D" w:rsidRPr="009E4CE7" w:rsidRDefault="001969F8" w:rsidP="001969F8">
      <w:pPr>
        <w:pStyle w:val="Point1"/>
        <w:rPr>
          <w:noProof/>
        </w:rPr>
      </w:pPr>
      <w:r w:rsidRPr="001969F8">
        <w:t>(c)</w:t>
      </w:r>
      <w:r w:rsidRPr="001969F8">
        <w:tab/>
      </w:r>
      <w:r w:rsidR="0066044D" w:rsidRPr="009E4CE7">
        <w:rPr>
          <w:noProof/>
        </w:rPr>
        <w:t>that companies listed in Annex</w:t>
      </w:r>
      <w:r w:rsidR="000403A8">
        <w:rPr>
          <w:noProof/>
        </w:rPr>
        <w:t>es</w:t>
      </w:r>
      <w:r w:rsidR="0066044D" w:rsidRPr="009E4CE7">
        <w:rPr>
          <w:noProof/>
        </w:rPr>
        <w:t xml:space="preserve"> II and IIB confirm once every calendar year that the information about the company in the register is up</w:t>
      </w:r>
      <w:r w:rsidR="000403A8">
        <w:rPr>
          <w:noProof/>
        </w:rPr>
        <w:t xml:space="preserve"> </w:t>
      </w:r>
      <w:r w:rsidR="0066044D" w:rsidRPr="009E4CE7">
        <w:rPr>
          <w:noProof/>
        </w:rPr>
        <w:t>to</w:t>
      </w:r>
      <w:r w:rsidR="000403A8">
        <w:rPr>
          <w:noProof/>
        </w:rPr>
        <w:t xml:space="preserve"> </w:t>
      </w:r>
      <w:r w:rsidR="0066044D" w:rsidRPr="009E4CE7">
        <w:rPr>
          <w:noProof/>
        </w:rPr>
        <w:t>date and that the registers make publicly available the date when the company provided that confirmation or updated the information</w:t>
      </w:r>
      <w:r w:rsidR="00CF14C3">
        <w:rPr>
          <w:noProof/>
        </w:rPr>
        <w:t>;</w:t>
      </w:r>
      <w:r w:rsidR="0066044D" w:rsidRPr="009E4CE7">
        <w:rPr>
          <w:noProof/>
        </w:rPr>
        <w:t xml:space="preserve">    </w:t>
      </w:r>
    </w:p>
    <w:p w14:paraId="7A5F91EE" w14:textId="6948772D" w:rsidR="0066044D" w:rsidRPr="0066044D" w:rsidRDefault="001969F8" w:rsidP="001969F8">
      <w:pPr>
        <w:pStyle w:val="Point1"/>
        <w:rPr>
          <w:noProof/>
        </w:rPr>
      </w:pPr>
      <w:r w:rsidRPr="001969F8">
        <w:t>(d)</w:t>
      </w:r>
      <w:r w:rsidRPr="001969F8">
        <w:tab/>
      </w:r>
      <w:r w:rsidR="0066044D" w:rsidRPr="009E4CE7">
        <w:rPr>
          <w:noProof/>
        </w:rPr>
        <w:t>that in order to verify specific company information, registers may consult other relevant authorities or registers within the procedural framework laid down in national law</w:t>
      </w:r>
      <w:r w:rsidR="00CF14C3">
        <w:rPr>
          <w:noProof/>
        </w:rPr>
        <w:t>.</w:t>
      </w:r>
    </w:p>
    <w:p w14:paraId="3F6E5FE8" w14:textId="77777777" w:rsidR="002165ED" w:rsidRDefault="00AC460A" w:rsidP="004E6BF2">
      <w:pPr>
        <w:pStyle w:val="Text1"/>
        <w:ind w:left="851"/>
        <w:rPr>
          <w:noProof/>
        </w:rPr>
      </w:pPr>
      <w:r>
        <w:rPr>
          <w:rFonts w:eastAsia="Times New Roman"/>
          <w:noProof/>
        </w:rPr>
        <w:t xml:space="preserve">3. </w:t>
      </w:r>
      <w:r w:rsidR="0066044D" w:rsidRPr="0066044D">
        <w:rPr>
          <w:rFonts w:eastAsia="Times New Roman"/>
          <w:noProof/>
        </w:rPr>
        <w:t xml:space="preserve">Member States shall </w:t>
      </w:r>
      <w:r w:rsidR="0066044D" w:rsidRPr="0066044D">
        <w:rPr>
          <w:noProof/>
        </w:rPr>
        <w:t xml:space="preserve">have in place procedures to </w:t>
      </w:r>
      <w:r w:rsidR="0058331D" w:rsidRPr="0058331D">
        <w:rPr>
          <w:noProof/>
        </w:rPr>
        <w:t xml:space="preserve">verify, where doubts exist, whether companies registered in the registers </w:t>
      </w:r>
      <w:r w:rsidR="00976ADD">
        <w:rPr>
          <w:noProof/>
        </w:rPr>
        <w:t xml:space="preserve">as referred to in Article 16 </w:t>
      </w:r>
      <w:r w:rsidR="0058331D" w:rsidRPr="0058331D">
        <w:rPr>
          <w:noProof/>
        </w:rPr>
        <w:t>fulfil the requirements to continue to be registered</w:t>
      </w:r>
      <w:r w:rsidR="0066044D" w:rsidRPr="0066044D">
        <w:rPr>
          <w:noProof/>
        </w:rPr>
        <w:t>. The</w:t>
      </w:r>
      <w:r w:rsidR="00976ADD">
        <w:rPr>
          <w:noProof/>
        </w:rPr>
        <w:t xml:space="preserve"> rules governing the</w:t>
      </w:r>
      <w:r w:rsidR="0066044D" w:rsidRPr="0066044D">
        <w:rPr>
          <w:noProof/>
        </w:rPr>
        <w:t xml:space="preserve">se procedures shall include the possibility for the company to correct the relevant information within a reasonable </w:t>
      </w:r>
      <w:r w:rsidR="00101C79">
        <w:rPr>
          <w:noProof/>
        </w:rPr>
        <w:t>time period</w:t>
      </w:r>
      <w:r w:rsidR="0066044D" w:rsidRPr="0066044D">
        <w:rPr>
          <w:noProof/>
        </w:rPr>
        <w:t>, shall ensure that the status of the companies is updated in the register accordingly and where justified include a possibility that companies are struck off from the regi</w:t>
      </w:r>
      <w:r w:rsidR="00AF0407">
        <w:rPr>
          <w:noProof/>
        </w:rPr>
        <w:t>ster in line with national law.’</w:t>
      </w:r>
      <w:r w:rsidR="0066044D" w:rsidRPr="0066044D">
        <w:rPr>
          <w:noProof/>
        </w:rPr>
        <w:t xml:space="preserve">;  </w:t>
      </w:r>
    </w:p>
    <w:p w14:paraId="08621848" w14:textId="77777777" w:rsidR="0066044D" w:rsidRPr="0066044D" w:rsidRDefault="0066044D" w:rsidP="00332815">
      <w:pPr>
        <w:rPr>
          <w:noProof/>
        </w:rPr>
      </w:pPr>
    </w:p>
    <w:p w14:paraId="364A4332" w14:textId="5018FA55" w:rsidR="002165ED" w:rsidRDefault="001969F8" w:rsidP="001969F8">
      <w:pPr>
        <w:pStyle w:val="Point0"/>
        <w:rPr>
          <w:noProof/>
        </w:rPr>
      </w:pPr>
      <w:r w:rsidRPr="001969F8">
        <w:t>(18)</w:t>
      </w:r>
      <w:r w:rsidRPr="001969F8">
        <w:tab/>
      </w:r>
      <w:r w:rsidR="005A3BBC">
        <w:rPr>
          <w:noProof/>
        </w:rPr>
        <w:t>i</w:t>
      </w:r>
      <w:r w:rsidR="002165ED" w:rsidRPr="005164C5">
        <w:rPr>
          <w:noProof/>
        </w:rPr>
        <w:t xml:space="preserve">n Article </w:t>
      </w:r>
      <w:r w:rsidR="002165ED">
        <w:rPr>
          <w:noProof/>
        </w:rPr>
        <w:t>16, paragraph 1</w:t>
      </w:r>
      <w:r w:rsidR="002165ED" w:rsidRPr="005164C5">
        <w:rPr>
          <w:noProof/>
        </w:rPr>
        <w:t xml:space="preserve"> is replaced by the following:</w:t>
      </w:r>
    </w:p>
    <w:p w14:paraId="5A00A21D" w14:textId="77777777" w:rsidR="0066044D" w:rsidRPr="0066044D" w:rsidRDefault="00AF0407" w:rsidP="004E6BF2">
      <w:pPr>
        <w:spacing w:after="0"/>
        <w:ind w:left="851"/>
        <w:rPr>
          <w:rFonts w:eastAsia="Times New Roman"/>
          <w:noProof/>
          <w:szCs w:val="24"/>
          <w:lang w:val="en-IE" w:eastAsia="en-IE"/>
        </w:rPr>
      </w:pPr>
      <w:r>
        <w:rPr>
          <w:rFonts w:eastAsia="Times New Roman"/>
          <w:noProof/>
          <w:szCs w:val="24"/>
          <w:lang w:val="en-IE" w:eastAsia="en-IE"/>
        </w:rPr>
        <w:t>‘</w:t>
      </w:r>
      <w:r w:rsidR="002165ED" w:rsidRPr="0066044D">
        <w:rPr>
          <w:rFonts w:eastAsia="Times New Roman"/>
          <w:noProof/>
          <w:szCs w:val="24"/>
          <w:lang w:val="en-IE" w:eastAsia="en-IE"/>
        </w:rPr>
        <w:t xml:space="preserve">1. </w:t>
      </w:r>
      <w:r w:rsidR="0066044D" w:rsidRPr="0066044D">
        <w:rPr>
          <w:rFonts w:eastAsia="Times New Roman"/>
          <w:noProof/>
          <w:szCs w:val="24"/>
          <w:lang w:val="en-IE" w:eastAsia="en-IE"/>
        </w:rPr>
        <w:t>In each Member State, a file shall be opened in a central, commercial or companies register (‘the register’), for each of the companies listed in Annex</w:t>
      </w:r>
      <w:r w:rsidR="000403A8">
        <w:rPr>
          <w:rFonts w:eastAsia="Times New Roman"/>
          <w:noProof/>
          <w:szCs w:val="24"/>
          <w:lang w:val="en-IE" w:eastAsia="en-IE"/>
        </w:rPr>
        <w:t>es</w:t>
      </w:r>
      <w:r w:rsidR="0066044D" w:rsidRPr="0066044D">
        <w:rPr>
          <w:rFonts w:eastAsia="Times New Roman"/>
          <w:noProof/>
          <w:szCs w:val="24"/>
          <w:lang w:val="en-IE" w:eastAsia="en-IE"/>
        </w:rPr>
        <w:t xml:space="preserve"> II and IIB registered therein.</w:t>
      </w:r>
      <w:r w:rsidR="0012262C">
        <w:rPr>
          <w:rFonts w:eastAsia="Times New Roman"/>
          <w:noProof/>
          <w:szCs w:val="24"/>
          <w:lang w:val="en-IE" w:eastAsia="en-IE"/>
        </w:rPr>
        <w:t xml:space="preserve"> </w:t>
      </w:r>
    </w:p>
    <w:p w14:paraId="65582147" w14:textId="77777777" w:rsidR="002165ED" w:rsidRDefault="0066044D" w:rsidP="004E6BF2">
      <w:pPr>
        <w:spacing w:after="0"/>
        <w:ind w:left="851"/>
        <w:rPr>
          <w:rFonts w:eastAsia="Times New Roman"/>
          <w:noProof/>
          <w:lang w:val="en-IE" w:eastAsia="en-IE"/>
        </w:rPr>
      </w:pPr>
      <w:r w:rsidRPr="4FD204E9">
        <w:rPr>
          <w:rFonts w:eastAsia="Times New Roman"/>
          <w:noProof/>
          <w:lang w:val="en-IE" w:eastAsia="en-IE"/>
        </w:rPr>
        <w:t xml:space="preserve">Member States shall ensure that companies </w:t>
      </w:r>
      <w:r w:rsidRPr="0066044D">
        <w:rPr>
          <w:rFonts w:eastAsia="Times New Roman"/>
          <w:noProof/>
          <w:szCs w:val="24"/>
          <w:lang w:val="en-IE" w:eastAsia="en-IE"/>
        </w:rPr>
        <w:t>listed in Annex</w:t>
      </w:r>
      <w:r w:rsidR="000403A8">
        <w:rPr>
          <w:rFonts w:eastAsia="Times New Roman"/>
          <w:noProof/>
          <w:szCs w:val="24"/>
          <w:lang w:val="en-IE" w:eastAsia="en-IE"/>
        </w:rPr>
        <w:t>es</w:t>
      </w:r>
      <w:r w:rsidRPr="0066044D">
        <w:rPr>
          <w:rFonts w:eastAsia="Times New Roman"/>
          <w:noProof/>
          <w:szCs w:val="24"/>
          <w:lang w:val="en-IE" w:eastAsia="en-IE"/>
        </w:rPr>
        <w:t xml:space="preserve"> II and IIB </w:t>
      </w:r>
      <w:r w:rsidRPr="4FD204E9">
        <w:rPr>
          <w:rFonts w:eastAsia="Times New Roman"/>
          <w:noProof/>
          <w:lang w:val="en-IE" w:eastAsia="en-IE"/>
        </w:rPr>
        <w:t>have a</w:t>
      </w:r>
      <w:r w:rsidR="00976ADD">
        <w:rPr>
          <w:rFonts w:eastAsia="Times New Roman"/>
          <w:noProof/>
          <w:lang w:val="en-IE" w:eastAsia="en-IE"/>
        </w:rPr>
        <w:t>n</w:t>
      </w:r>
      <w:r w:rsidRPr="4FD204E9">
        <w:rPr>
          <w:rFonts w:eastAsia="Times New Roman"/>
          <w:noProof/>
          <w:lang w:val="en-IE" w:eastAsia="en-IE"/>
        </w:rPr>
        <w:t xml:space="preserve"> EUID, referred to in point </w:t>
      </w:r>
      <w:r w:rsidR="00CF14C3">
        <w:rPr>
          <w:rFonts w:eastAsia="Times New Roman"/>
          <w:noProof/>
          <w:lang w:val="en-IE" w:eastAsia="en-IE"/>
        </w:rPr>
        <w:t>(</w:t>
      </w:r>
      <w:r w:rsidRPr="0066044D">
        <w:rPr>
          <w:rFonts w:eastAsia="Times New Roman"/>
          <w:noProof/>
          <w:szCs w:val="24"/>
          <w:lang w:val="en-IE" w:eastAsia="en-IE"/>
        </w:rPr>
        <w:t>9</w:t>
      </w:r>
      <w:r w:rsidR="00CF14C3">
        <w:rPr>
          <w:rFonts w:eastAsia="Times New Roman"/>
          <w:noProof/>
          <w:szCs w:val="24"/>
          <w:lang w:val="en-IE" w:eastAsia="en-IE"/>
        </w:rPr>
        <w:t>)</w:t>
      </w:r>
      <w:r w:rsidRPr="4FD204E9">
        <w:rPr>
          <w:rFonts w:eastAsia="Times New Roman"/>
          <w:noProof/>
          <w:lang w:val="en-IE" w:eastAsia="en-IE"/>
        </w:rPr>
        <w:t xml:space="preserve"> of the Annex to Commission Implementing Regulation (EU) </w:t>
      </w:r>
      <w:r w:rsidRPr="0066044D">
        <w:rPr>
          <w:rFonts w:eastAsia="Times New Roman"/>
          <w:noProof/>
          <w:szCs w:val="24"/>
          <w:lang w:val="en-IE" w:eastAsia="en-IE"/>
        </w:rPr>
        <w:t>2021/1042</w:t>
      </w:r>
      <w:r w:rsidR="0021674F">
        <w:rPr>
          <w:rFonts w:eastAsia="Times New Roman"/>
          <w:noProof/>
          <w:szCs w:val="24"/>
          <w:lang w:val="en-IE" w:eastAsia="en-IE"/>
        </w:rPr>
        <w:t>*</w:t>
      </w:r>
      <w:r w:rsidRPr="0066044D">
        <w:rPr>
          <w:rFonts w:eastAsia="Times New Roman"/>
          <w:noProof/>
          <w:szCs w:val="24"/>
          <w:lang w:val="en-IE" w:eastAsia="en-IE"/>
        </w:rPr>
        <w:t>,</w:t>
      </w:r>
      <w:r w:rsidRPr="4FD204E9">
        <w:rPr>
          <w:rFonts w:eastAsia="Times New Roman"/>
          <w:noProof/>
          <w:lang w:val="en-IE" w:eastAsia="en-IE"/>
        </w:rPr>
        <w:t xml:space="preserve"> allowing them to be unequivocally identified in communications between registers through the system of interconnection of registers established in accordance with Article 22 (‘the system of interconnection of registers’). That unique identifier shall comprise, at least, elements making it possible to identify the Member State of the register, the domestic register of origin and the company number in that register and, where appropriate, features to avoid identification errors.</w:t>
      </w:r>
      <w:r w:rsidR="00AF0407">
        <w:rPr>
          <w:rFonts w:eastAsia="Times New Roman"/>
          <w:noProof/>
          <w:lang w:val="en-IE" w:eastAsia="en-IE"/>
        </w:rPr>
        <w:t>’</w:t>
      </w:r>
      <w:r w:rsidR="3E6D0B44" w:rsidRPr="0066044D">
        <w:rPr>
          <w:rFonts w:eastAsia="Times New Roman"/>
          <w:noProof/>
          <w:lang w:val="en-IE" w:eastAsia="en-IE"/>
        </w:rPr>
        <w:t>;</w:t>
      </w:r>
    </w:p>
    <w:p w14:paraId="01018C78" w14:textId="77777777" w:rsidR="0021674F" w:rsidRDefault="0021674F" w:rsidP="004E6BF2">
      <w:pPr>
        <w:spacing w:after="0"/>
        <w:ind w:left="851"/>
        <w:rPr>
          <w:rFonts w:eastAsia="Times New Roman"/>
          <w:noProof/>
          <w:lang w:val="en-IE" w:eastAsia="en-IE"/>
        </w:rPr>
      </w:pPr>
    </w:p>
    <w:p w14:paraId="33768BBF" w14:textId="77777777" w:rsidR="0021674F" w:rsidRDefault="0021674F" w:rsidP="004E6BF2">
      <w:pPr>
        <w:spacing w:after="0"/>
        <w:ind w:left="851"/>
        <w:rPr>
          <w:rFonts w:eastAsia="Times New Roman"/>
          <w:noProof/>
          <w:lang w:val="en-IE" w:eastAsia="en-IE"/>
        </w:rPr>
      </w:pPr>
      <w:r>
        <w:rPr>
          <w:rFonts w:eastAsia="Times New Roman"/>
          <w:noProof/>
          <w:lang w:val="en-IE" w:eastAsia="en-IE"/>
        </w:rPr>
        <w:t>____________</w:t>
      </w:r>
    </w:p>
    <w:p w14:paraId="65DBE20C" w14:textId="77777777" w:rsidR="0021674F" w:rsidRPr="0066044D" w:rsidRDefault="0021674F" w:rsidP="004E6BF2">
      <w:pPr>
        <w:spacing w:after="0"/>
        <w:ind w:left="851"/>
        <w:rPr>
          <w:rFonts w:eastAsia="Times New Roman"/>
          <w:noProof/>
          <w:szCs w:val="24"/>
          <w:lang w:val="en-IE" w:eastAsia="en-IE"/>
        </w:rPr>
      </w:pPr>
      <w:r>
        <w:rPr>
          <w:noProof/>
        </w:rPr>
        <w:t xml:space="preserve">* </w:t>
      </w:r>
      <w:r w:rsidRPr="0066044D">
        <w:rPr>
          <w:noProof/>
        </w:rPr>
        <w:t>Commission Implementing Regulation (EU) 2021/1042 of 18 June 2021 laying down rules for the application of Directive (EU) 2017/1132 of the European Parliament and of the Council as regards technical specifications and procedures for the system of interconnection of registers and repealing Commission Implementing Regulation (EU) 2020/2244 (OJ L 225, 25.6.2021, p 7</w:t>
      </w:r>
      <w:r>
        <w:rPr>
          <w:noProof/>
        </w:rPr>
        <w:t>.</w:t>
      </w:r>
    </w:p>
    <w:p w14:paraId="3F7BCC86" w14:textId="77777777" w:rsidR="002165ED" w:rsidRPr="002165ED" w:rsidRDefault="002165ED" w:rsidP="002165ED">
      <w:pPr>
        <w:spacing w:after="0"/>
        <w:rPr>
          <w:rFonts w:eastAsia="Times New Roman"/>
          <w:noProof/>
          <w:szCs w:val="24"/>
          <w:lang w:val="en-IE" w:eastAsia="en-IE"/>
        </w:rPr>
      </w:pPr>
    </w:p>
    <w:p w14:paraId="0B6210E4" w14:textId="20E01882" w:rsidR="002165ED" w:rsidRDefault="001969F8" w:rsidP="001969F8">
      <w:pPr>
        <w:pStyle w:val="Point0"/>
        <w:rPr>
          <w:noProof/>
        </w:rPr>
      </w:pPr>
      <w:r w:rsidRPr="001969F8">
        <w:t>(19)</w:t>
      </w:r>
      <w:r w:rsidRPr="001969F8">
        <w:tab/>
      </w:r>
      <w:r w:rsidR="005A3BBC">
        <w:rPr>
          <w:noProof/>
        </w:rPr>
        <w:t>i</w:t>
      </w:r>
      <w:r w:rsidR="002165ED" w:rsidRPr="005164C5">
        <w:rPr>
          <w:noProof/>
        </w:rPr>
        <w:t xml:space="preserve">n Article </w:t>
      </w:r>
      <w:r w:rsidR="002165ED">
        <w:rPr>
          <w:noProof/>
        </w:rPr>
        <w:t xml:space="preserve">16, </w:t>
      </w:r>
      <w:r w:rsidR="00B3067C">
        <w:rPr>
          <w:noProof/>
        </w:rPr>
        <w:t xml:space="preserve">the following </w:t>
      </w:r>
      <w:r w:rsidR="002165ED">
        <w:rPr>
          <w:noProof/>
        </w:rPr>
        <w:t xml:space="preserve">paragraph </w:t>
      </w:r>
      <w:r w:rsidR="002165ED" w:rsidRPr="005164C5">
        <w:rPr>
          <w:noProof/>
        </w:rPr>
        <w:t xml:space="preserve">is </w:t>
      </w:r>
      <w:r w:rsidR="00B3067C">
        <w:rPr>
          <w:noProof/>
        </w:rPr>
        <w:t>added</w:t>
      </w:r>
      <w:r w:rsidR="002165ED" w:rsidRPr="005164C5">
        <w:rPr>
          <w:noProof/>
        </w:rPr>
        <w:t>:</w:t>
      </w:r>
    </w:p>
    <w:p w14:paraId="4C2EB6FF" w14:textId="77777777" w:rsidR="00B3067C" w:rsidRPr="00E53545" w:rsidRDefault="00AF0407" w:rsidP="004E6BF2">
      <w:pPr>
        <w:spacing w:after="0"/>
        <w:ind w:left="851"/>
        <w:rPr>
          <w:rFonts w:eastAsia="Times New Roman"/>
          <w:noProof/>
          <w:szCs w:val="24"/>
          <w:lang w:val="en-IE" w:eastAsia="en-IE"/>
        </w:rPr>
      </w:pPr>
      <w:r>
        <w:rPr>
          <w:rFonts w:eastAsia="Times New Roman"/>
          <w:noProof/>
          <w:szCs w:val="24"/>
          <w:lang w:val="en-IE" w:eastAsia="en-IE"/>
        </w:rPr>
        <w:t>‘</w:t>
      </w:r>
      <w:r w:rsidR="00B3067C" w:rsidRPr="00E53545">
        <w:rPr>
          <w:rFonts w:eastAsia="Times New Roman"/>
          <w:noProof/>
          <w:szCs w:val="24"/>
          <w:lang w:val="en-IE" w:eastAsia="en-IE"/>
        </w:rPr>
        <w:t xml:space="preserve">7. </w:t>
      </w:r>
      <w:r w:rsidR="005A3BBC">
        <w:rPr>
          <w:rFonts w:eastAsia="Times New Roman"/>
          <w:noProof/>
          <w:szCs w:val="24"/>
          <w:lang w:val="en-IE" w:eastAsia="en-IE"/>
        </w:rPr>
        <w:t>P</w:t>
      </w:r>
      <w:r w:rsidR="00E53545" w:rsidRPr="00E53545">
        <w:rPr>
          <w:rFonts w:eastAsia="Times New Roman"/>
          <w:noProof/>
          <w:szCs w:val="24"/>
          <w:lang w:val="en-IE" w:eastAsia="en-IE"/>
        </w:rPr>
        <w:t>aragraphs 2, 3, 4, 5 and 6 of this Article shall apply to all documents and information referred to in Article 14a. Paragraph 2 of this Article shall apply to informat</w:t>
      </w:r>
      <w:r>
        <w:rPr>
          <w:rFonts w:eastAsia="Times New Roman"/>
          <w:noProof/>
          <w:szCs w:val="24"/>
          <w:lang w:val="en-IE" w:eastAsia="en-IE"/>
        </w:rPr>
        <w:t>ion referred to in Article 14b.’</w:t>
      </w:r>
      <w:r w:rsidR="00B3067C" w:rsidRPr="00E53545">
        <w:rPr>
          <w:rFonts w:eastAsia="Times New Roman"/>
          <w:noProof/>
          <w:szCs w:val="24"/>
          <w:lang w:val="en-IE" w:eastAsia="en-IE"/>
        </w:rPr>
        <w:t xml:space="preserve">;  </w:t>
      </w:r>
    </w:p>
    <w:p w14:paraId="372F2902" w14:textId="77777777" w:rsidR="009B6956" w:rsidRPr="00B3067C" w:rsidRDefault="002165ED" w:rsidP="00B3067C">
      <w:pPr>
        <w:spacing w:after="0"/>
        <w:rPr>
          <w:rFonts w:eastAsia="Times New Roman"/>
          <w:noProof/>
          <w:szCs w:val="24"/>
          <w:lang w:val="en-IE" w:eastAsia="en-IE"/>
        </w:rPr>
      </w:pPr>
      <w:r w:rsidRPr="00DB1223">
        <w:rPr>
          <w:rFonts w:eastAsia="Times New Roman"/>
          <w:noProof/>
          <w:szCs w:val="24"/>
          <w:lang w:val="en-IE" w:eastAsia="en-IE"/>
        </w:rPr>
        <w:t>  </w:t>
      </w:r>
    </w:p>
    <w:p w14:paraId="2744F96F" w14:textId="1775E508" w:rsidR="009B6956" w:rsidRPr="009B6956" w:rsidRDefault="001969F8" w:rsidP="001969F8">
      <w:pPr>
        <w:pStyle w:val="Point0"/>
        <w:rPr>
          <w:noProof/>
        </w:rPr>
      </w:pPr>
      <w:r w:rsidRPr="001969F8">
        <w:t>(20)</w:t>
      </w:r>
      <w:r w:rsidRPr="001969F8">
        <w:tab/>
      </w:r>
      <w:r w:rsidR="009B6956" w:rsidRPr="00CD09AF">
        <w:rPr>
          <w:noProof/>
        </w:rPr>
        <w:t>In Article 16a, the following paragraph</w:t>
      </w:r>
      <w:r w:rsidR="00B3067C" w:rsidRPr="00CD09AF">
        <w:rPr>
          <w:noProof/>
        </w:rPr>
        <w:t>s</w:t>
      </w:r>
      <w:r w:rsidR="009B6956" w:rsidRPr="00CD09AF">
        <w:rPr>
          <w:noProof/>
        </w:rPr>
        <w:t xml:space="preserve"> </w:t>
      </w:r>
      <w:r w:rsidR="00B3067C" w:rsidRPr="00CD09AF">
        <w:rPr>
          <w:noProof/>
        </w:rPr>
        <w:t>are</w:t>
      </w:r>
      <w:r w:rsidR="009B6956" w:rsidRPr="00CD09AF">
        <w:rPr>
          <w:noProof/>
        </w:rPr>
        <w:t xml:space="preserve"> added:</w:t>
      </w:r>
    </w:p>
    <w:p w14:paraId="1C21EAA6" w14:textId="77777777" w:rsidR="00E53545" w:rsidRPr="00E53545" w:rsidRDefault="00AF0407" w:rsidP="004E6BF2">
      <w:pPr>
        <w:shd w:val="clear" w:color="auto" w:fill="FFFFFF"/>
        <w:spacing w:after="0"/>
        <w:ind w:left="851"/>
        <w:rPr>
          <w:noProof/>
          <w:szCs w:val="24"/>
        </w:rPr>
      </w:pPr>
      <w:r>
        <w:rPr>
          <w:noProof/>
          <w:szCs w:val="24"/>
        </w:rPr>
        <w:t>‘</w:t>
      </w:r>
      <w:r w:rsidR="009B6956" w:rsidRPr="00E53545">
        <w:rPr>
          <w:noProof/>
          <w:szCs w:val="24"/>
        </w:rPr>
        <w:t xml:space="preserve">5.  </w:t>
      </w:r>
      <w:r w:rsidR="00E53545" w:rsidRPr="00E53545">
        <w:rPr>
          <w:noProof/>
          <w:szCs w:val="24"/>
        </w:rPr>
        <w:t xml:space="preserve">Member States shall ensure that electronic copies and extracts of the documents and information provided by the register are compatible with the European Digital Identity Wallet, referred to </w:t>
      </w:r>
      <w:r w:rsidR="005A3BBC">
        <w:rPr>
          <w:noProof/>
          <w:szCs w:val="24"/>
        </w:rPr>
        <w:t>in [</w:t>
      </w:r>
      <w:r w:rsidR="0021674F">
        <w:rPr>
          <w:noProof/>
          <w:szCs w:val="24"/>
        </w:rPr>
        <w:t xml:space="preserve">PO: </w:t>
      </w:r>
      <w:r w:rsidR="00E53545" w:rsidRPr="00E53545">
        <w:rPr>
          <w:noProof/>
        </w:rPr>
        <w:t xml:space="preserve">Reference to </w:t>
      </w:r>
      <w:r w:rsidR="00E53545" w:rsidRPr="00E53545">
        <w:rPr>
          <w:noProof/>
          <w:szCs w:val="24"/>
        </w:rPr>
        <w:t>Proposal for a Regulation of the European Parliament and of the Council amending Regulation (EU) No 910/2014 as regards establishing a framework for a European Digital Identity</w:t>
      </w:r>
      <w:r w:rsidR="005A3BBC">
        <w:rPr>
          <w:noProof/>
          <w:szCs w:val="24"/>
        </w:rPr>
        <w:t>]</w:t>
      </w:r>
      <w:r w:rsidR="00E53545" w:rsidRPr="00E53545">
        <w:rPr>
          <w:noProof/>
          <w:szCs w:val="24"/>
        </w:rPr>
        <w:t>.</w:t>
      </w:r>
    </w:p>
    <w:p w14:paraId="5C33952E" w14:textId="77777777" w:rsidR="009B6956" w:rsidRPr="00E53545" w:rsidRDefault="00E53545" w:rsidP="004E6BF2">
      <w:pPr>
        <w:shd w:val="clear" w:color="auto" w:fill="FFFFFF"/>
        <w:spacing w:after="0"/>
        <w:ind w:left="851"/>
        <w:rPr>
          <w:noProof/>
          <w:szCs w:val="24"/>
          <w:lang w:val="en-IE"/>
        </w:rPr>
      </w:pPr>
      <w:r w:rsidRPr="00E53545">
        <w:rPr>
          <w:noProof/>
          <w:szCs w:val="24"/>
          <w:lang w:val="en-IE"/>
        </w:rPr>
        <w:t xml:space="preserve">6.  This Article shall apply </w:t>
      </w:r>
      <w:r w:rsidRPr="00E53545">
        <w:rPr>
          <w:i/>
          <w:noProof/>
          <w:szCs w:val="24"/>
          <w:lang w:val="en-IE"/>
        </w:rPr>
        <w:t>mutatis mutandis</w:t>
      </w:r>
      <w:r w:rsidRPr="00E53545">
        <w:rPr>
          <w:noProof/>
          <w:szCs w:val="24"/>
          <w:lang w:val="en-IE"/>
        </w:rPr>
        <w:t xml:space="preserve"> to </w:t>
      </w:r>
      <w:r w:rsidRPr="00E53545">
        <w:rPr>
          <w:noProof/>
          <w:szCs w:val="24"/>
        </w:rPr>
        <w:t xml:space="preserve">copies of all or any part of the documents and information referred to in </w:t>
      </w:r>
      <w:r w:rsidRPr="00E53545">
        <w:rPr>
          <w:noProof/>
          <w:szCs w:val="24"/>
          <w:lang w:val="en-IE"/>
        </w:rPr>
        <w:t>Articles 14a and 14b</w:t>
      </w:r>
      <w:r w:rsidR="00AF0407">
        <w:rPr>
          <w:noProof/>
          <w:szCs w:val="24"/>
          <w:lang w:val="en-IE"/>
        </w:rPr>
        <w:t>.’</w:t>
      </w:r>
      <w:r w:rsidR="00B3067C" w:rsidRPr="00E53545">
        <w:rPr>
          <w:noProof/>
          <w:szCs w:val="24"/>
        </w:rPr>
        <w:t>;</w:t>
      </w:r>
    </w:p>
    <w:p w14:paraId="41EEEC5D" w14:textId="77777777" w:rsidR="009B6956" w:rsidRPr="005164C5" w:rsidRDefault="009B6956" w:rsidP="009B6956">
      <w:pPr>
        <w:pStyle w:val="ListParagraph"/>
        <w:ind w:left="850"/>
        <w:rPr>
          <w:noProof/>
          <w:lang w:eastAsia="en-GB"/>
        </w:rPr>
      </w:pPr>
    </w:p>
    <w:p w14:paraId="05EE7FC9" w14:textId="2CB0D8B2" w:rsidR="009B6956" w:rsidRDefault="001969F8" w:rsidP="001969F8">
      <w:pPr>
        <w:pStyle w:val="Point0"/>
        <w:rPr>
          <w:noProof/>
        </w:rPr>
      </w:pPr>
      <w:r w:rsidRPr="001969F8">
        <w:t>(21)</w:t>
      </w:r>
      <w:r w:rsidRPr="001969F8">
        <w:tab/>
      </w:r>
      <w:r w:rsidR="005A3BBC">
        <w:rPr>
          <w:noProof/>
        </w:rPr>
        <w:t>t</w:t>
      </w:r>
      <w:r w:rsidR="009B6956" w:rsidRPr="0078191D">
        <w:rPr>
          <w:noProof/>
        </w:rPr>
        <w:t>he following Articles are inserted:</w:t>
      </w:r>
    </w:p>
    <w:p w14:paraId="29A8E6E3" w14:textId="77777777" w:rsidR="00E53545" w:rsidRPr="005306B8" w:rsidRDefault="00AF0407" w:rsidP="00E53545">
      <w:pPr>
        <w:contextualSpacing/>
        <w:jc w:val="center"/>
        <w:rPr>
          <w:noProof/>
          <w:szCs w:val="24"/>
        </w:rPr>
      </w:pPr>
      <w:r w:rsidRPr="005306B8">
        <w:rPr>
          <w:noProof/>
          <w:szCs w:val="24"/>
        </w:rPr>
        <w:t>‘</w:t>
      </w:r>
      <w:r w:rsidR="00E53545" w:rsidRPr="005306B8">
        <w:rPr>
          <w:noProof/>
          <w:szCs w:val="24"/>
        </w:rPr>
        <w:t xml:space="preserve">Article 16b </w:t>
      </w:r>
    </w:p>
    <w:p w14:paraId="4FAE5407" w14:textId="77777777" w:rsidR="00E53545" w:rsidRPr="005306B8" w:rsidRDefault="00E53545" w:rsidP="00E53545">
      <w:pPr>
        <w:contextualSpacing/>
        <w:jc w:val="center"/>
        <w:rPr>
          <w:b/>
          <w:noProof/>
          <w:szCs w:val="24"/>
        </w:rPr>
      </w:pPr>
    </w:p>
    <w:p w14:paraId="6DDA67E8" w14:textId="77777777" w:rsidR="00E53545" w:rsidRPr="005306B8" w:rsidRDefault="0058331D" w:rsidP="00E53545">
      <w:pPr>
        <w:contextualSpacing/>
        <w:jc w:val="center"/>
        <w:rPr>
          <w:b/>
          <w:noProof/>
          <w:szCs w:val="24"/>
        </w:rPr>
      </w:pPr>
      <w:r w:rsidRPr="005306B8">
        <w:rPr>
          <w:b/>
          <w:noProof/>
          <w:szCs w:val="24"/>
        </w:rPr>
        <w:t>EU Company C</w:t>
      </w:r>
      <w:r w:rsidR="00E53545" w:rsidRPr="005306B8">
        <w:rPr>
          <w:b/>
          <w:noProof/>
          <w:szCs w:val="24"/>
        </w:rPr>
        <w:t xml:space="preserve">ertificate </w:t>
      </w:r>
    </w:p>
    <w:p w14:paraId="6ED1278A" w14:textId="77777777" w:rsidR="00E53545" w:rsidRPr="00E53545" w:rsidRDefault="00AF0407" w:rsidP="00327368">
      <w:pPr>
        <w:pStyle w:val="CommentText"/>
        <w:ind w:left="851"/>
        <w:contextualSpacing/>
        <w:rPr>
          <w:noProof/>
          <w:sz w:val="24"/>
          <w:szCs w:val="24"/>
        </w:rPr>
      </w:pPr>
      <w:r w:rsidRPr="00327368">
        <w:rPr>
          <w:noProof/>
          <w:sz w:val="24"/>
          <w:szCs w:val="24"/>
        </w:rPr>
        <w:t xml:space="preserve">1. </w:t>
      </w:r>
      <w:r w:rsidR="00E53545" w:rsidRPr="00E53545">
        <w:rPr>
          <w:noProof/>
          <w:sz w:val="24"/>
          <w:szCs w:val="24"/>
        </w:rPr>
        <w:t>Member States shall ensure that the registers referred to in Article 16 issue</w:t>
      </w:r>
      <w:r w:rsidR="00E53545" w:rsidRPr="00E53545" w:rsidDel="00A04EAE">
        <w:rPr>
          <w:noProof/>
          <w:sz w:val="24"/>
          <w:szCs w:val="24"/>
        </w:rPr>
        <w:t xml:space="preserve"> </w:t>
      </w:r>
      <w:r w:rsidR="0058331D">
        <w:rPr>
          <w:noProof/>
          <w:sz w:val="24"/>
          <w:szCs w:val="24"/>
        </w:rPr>
        <w:t>the EU Company C</w:t>
      </w:r>
      <w:r w:rsidR="00E53545" w:rsidRPr="00E53545">
        <w:rPr>
          <w:noProof/>
          <w:sz w:val="24"/>
          <w:szCs w:val="24"/>
        </w:rPr>
        <w:t xml:space="preserve">ertificate about companies listed in </w:t>
      </w:r>
      <w:r w:rsidR="0058331D">
        <w:rPr>
          <w:noProof/>
          <w:sz w:val="24"/>
          <w:szCs w:val="24"/>
        </w:rPr>
        <w:t>Annex</w:t>
      </w:r>
      <w:r w:rsidR="000403A8">
        <w:rPr>
          <w:noProof/>
          <w:sz w:val="24"/>
          <w:szCs w:val="24"/>
        </w:rPr>
        <w:t>es</w:t>
      </w:r>
      <w:r w:rsidR="0058331D">
        <w:rPr>
          <w:noProof/>
          <w:sz w:val="24"/>
          <w:szCs w:val="24"/>
        </w:rPr>
        <w:t xml:space="preserve"> II and IIB. The EU Company C</w:t>
      </w:r>
      <w:r w:rsidR="00E53545" w:rsidRPr="00E53545">
        <w:rPr>
          <w:noProof/>
          <w:sz w:val="24"/>
          <w:szCs w:val="24"/>
        </w:rPr>
        <w:t xml:space="preserve">ertificate shall be accepted in all Member States as conclusive evidence of the incorporation of the company and of the information listed in paragraphs 2 and 3 </w:t>
      </w:r>
      <w:r w:rsidR="0058331D">
        <w:rPr>
          <w:noProof/>
          <w:sz w:val="24"/>
          <w:szCs w:val="24"/>
        </w:rPr>
        <w:t>of this Article</w:t>
      </w:r>
      <w:r w:rsidR="000403A8">
        <w:rPr>
          <w:noProof/>
          <w:sz w:val="24"/>
          <w:szCs w:val="24"/>
        </w:rPr>
        <w:t>,</w:t>
      </w:r>
      <w:r w:rsidR="0058331D">
        <w:rPr>
          <w:noProof/>
          <w:sz w:val="24"/>
          <w:szCs w:val="24"/>
        </w:rPr>
        <w:t xml:space="preserve"> </w:t>
      </w:r>
      <w:r w:rsidR="00E53545" w:rsidRPr="00E53545">
        <w:rPr>
          <w:noProof/>
          <w:sz w:val="24"/>
          <w:szCs w:val="24"/>
        </w:rPr>
        <w:t>respectively</w:t>
      </w:r>
      <w:r w:rsidR="000403A8">
        <w:rPr>
          <w:noProof/>
          <w:sz w:val="24"/>
          <w:szCs w:val="24"/>
        </w:rPr>
        <w:t>,</w:t>
      </w:r>
      <w:r w:rsidR="00E53545" w:rsidRPr="00E53545">
        <w:rPr>
          <w:noProof/>
          <w:sz w:val="24"/>
          <w:szCs w:val="24"/>
        </w:rPr>
        <w:t xml:space="preserve"> </w:t>
      </w:r>
      <w:r w:rsidR="00A33B90">
        <w:rPr>
          <w:noProof/>
          <w:sz w:val="24"/>
          <w:szCs w:val="24"/>
        </w:rPr>
        <w:t xml:space="preserve">which is </w:t>
      </w:r>
      <w:r w:rsidR="00E53545" w:rsidRPr="00E53545">
        <w:rPr>
          <w:noProof/>
          <w:sz w:val="24"/>
          <w:szCs w:val="24"/>
        </w:rPr>
        <w:t>held by the register where the company is registered at the time of the issuance.</w:t>
      </w:r>
    </w:p>
    <w:p w14:paraId="68E6C780" w14:textId="77777777" w:rsidR="00E53545" w:rsidRPr="00E53545" w:rsidRDefault="00E53545" w:rsidP="00327368">
      <w:pPr>
        <w:pStyle w:val="CommentText"/>
        <w:ind w:left="851"/>
        <w:contextualSpacing/>
        <w:rPr>
          <w:noProof/>
          <w:sz w:val="24"/>
          <w:szCs w:val="24"/>
        </w:rPr>
      </w:pPr>
    </w:p>
    <w:p w14:paraId="788068C4" w14:textId="77777777" w:rsidR="00E53545" w:rsidRPr="00E53545" w:rsidRDefault="00AF0407" w:rsidP="00327368">
      <w:pPr>
        <w:pStyle w:val="CommentText"/>
        <w:ind w:left="851"/>
        <w:contextualSpacing/>
        <w:rPr>
          <w:noProof/>
          <w:sz w:val="24"/>
          <w:szCs w:val="24"/>
        </w:rPr>
      </w:pPr>
      <w:r>
        <w:rPr>
          <w:noProof/>
          <w:sz w:val="24"/>
          <w:szCs w:val="24"/>
        </w:rPr>
        <w:t xml:space="preserve">2. </w:t>
      </w:r>
      <w:r w:rsidR="0058331D">
        <w:rPr>
          <w:noProof/>
          <w:sz w:val="24"/>
          <w:szCs w:val="24"/>
        </w:rPr>
        <w:t>The EU Company C</w:t>
      </w:r>
      <w:r w:rsidR="00E53545" w:rsidRPr="00E53545">
        <w:rPr>
          <w:noProof/>
          <w:sz w:val="24"/>
          <w:szCs w:val="24"/>
        </w:rPr>
        <w:t xml:space="preserve">ertificate for the limited liability companies listed in Annex II shall include the following information, including the date </w:t>
      </w:r>
      <w:r w:rsidR="0058331D">
        <w:rPr>
          <w:noProof/>
          <w:sz w:val="24"/>
          <w:szCs w:val="24"/>
        </w:rPr>
        <w:t>when the information in the EU Company C</w:t>
      </w:r>
      <w:r w:rsidR="00E53545" w:rsidRPr="00E53545">
        <w:rPr>
          <w:noProof/>
          <w:sz w:val="24"/>
          <w:szCs w:val="24"/>
        </w:rPr>
        <w:t>ertificate was last updated in accordance with Article 15(2):</w:t>
      </w:r>
    </w:p>
    <w:p w14:paraId="71401D4A" w14:textId="7344AD14" w:rsidR="00E53545" w:rsidRPr="009E4CE7" w:rsidRDefault="001969F8" w:rsidP="001969F8">
      <w:pPr>
        <w:pStyle w:val="Point1"/>
        <w:rPr>
          <w:noProof/>
        </w:rPr>
      </w:pPr>
      <w:r w:rsidRPr="001969F8">
        <w:t>(a)</w:t>
      </w:r>
      <w:r w:rsidRPr="001969F8">
        <w:tab/>
      </w:r>
      <w:r w:rsidR="00E53545" w:rsidRPr="009E4CE7">
        <w:rPr>
          <w:noProof/>
        </w:rPr>
        <w:t xml:space="preserve">the name of the company; </w:t>
      </w:r>
    </w:p>
    <w:p w14:paraId="43B083EA" w14:textId="44A118E4" w:rsidR="00E53545" w:rsidRPr="009E4CE7" w:rsidRDefault="001969F8" w:rsidP="001969F8">
      <w:pPr>
        <w:pStyle w:val="Point1"/>
        <w:rPr>
          <w:noProof/>
        </w:rPr>
      </w:pPr>
      <w:r w:rsidRPr="001969F8">
        <w:t>(b)</w:t>
      </w:r>
      <w:r w:rsidRPr="001969F8">
        <w:tab/>
      </w:r>
      <w:r w:rsidR="00E53545" w:rsidRPr="009E4CE7">
        <w:rPr>
          <w:noProof/>
        </w:rPr>
        <w:t>the legal form of the company;</w:t>
      </w:r>
    </w:p>
    <w:p w14:paraId="65C16E5D" w14:textId="4D836406" w:rsidR="00E53545" w:rsidRPr="009E4CE7" w:rsidRDefault="001969F8" w:rsidP="001969F8">
      <w:pPr>
        <w:pStyle w:val="Point1"/>
        <w:rPr>
          <w:noProof/>
        </w:rPr>
      </w:pPr>
      <w:r w:rsidRPr="001969F8">
        <w:t>(c)</w:t>
      </w:r>
      <w:r w:rsidRPr="001969F8">
        <w:tab/>
      </w:r>
      <w:r w:rsidR="00E53545" w:rsidRPr="009E4CE7">
        <w:rPr>
          <w:noProof/>
        </w:rPr>
        <w:t>the registration number of the company and the Member State where the company is registered;</w:t>
      </w:r>
    </w:p>
    <w:p w14:paraId="48B3D521" w14:textId="378D9469" w:rsidR="00E53545" w:rsidRPr="009E4CE7" w:rsidRDefault="001969F8" w:rsidP="001969F8">
      <w:pPr>
        <w:pStyle w:val="Point1"/>
        <w:rPr>
          <w:noProof/>
        </w:rPr>
      </w:pPr>
      <w:r w:rsidRPr="001969F8">
        <w:t>(d)</w:t>
      </w:r>
      <w:r w:rsidRPr="001969F8">
        <w:tab/>
      </w:r>
      <w:r w:rsidR="00E53545" w:rsidRPr="009E4CE7">
        <w:rPr>
          <w:noProof/>
        </w:rPr>
        <w:t xml:space="preserve">the EUID of the company; </w:t>
      </w:r>
    </w:p>
    <w:p w14:paraId="360429AE" w14:textId="19644A92" w:rsidR="00E53545" w:rsidRPr="009E4CE7" w:rsidRDefault="001969F8" w:rsidP="001969F8">
      <w:pPr>
        <w:pStyle w:val="Point1"/>
        <w:rPr>
          <w:noProof/>
        </w:rPr>
      </w:pPr>
      <w:r w:rsidRPr="001969F8">
        <w:t>(e)</w:t>
      </w:r>
      <w:r w:rsidRPr="001969F8">
        <w:tab/>
      </w:r>
      <w:r w:rsidR="00E53545" w:rsidRPr="009E4CE7">
        <w:rPr>
          <w:noProof/>
        </w:rPr>
        <w:t>the registered office of the company;</w:t>
      </w:r>
    </w:p>
    <w:p w14:paraId="58BFD81E" w14:textId="0EB38E3C" w:rsidR="00E53545" w:rsidRPr="009E4CE7" w:rsidRDefault="001969F8" w:rsidP="001969F8">
      <w:pPr>
        <w:pStyle w:val="Point1"/>
        <w:rPr>
          <w:noProof/>
        </w:rPr>
      </w:pPr>
      <w:r w:rsidRPr="001969F8">
        <w:t>(f)</w:t>
      </w:r>
      <w:r w:rsidRPr="001969F8">
        <w:tab/>
      </w:r>
      <w:r w:rsidR="00E53545" w:rsidRPr="009E4CE7">
        <w:rPr>
          <w:noProof/>
        </w:rPr>
        <w:t>the postal</w:t>
      </w:r>
      <w:r w:rsidR="000403A8">
        <w:rPr>
          <w:noProof/>
        </w:rPr>
        <w:t xml:space="preserve"> </w:t>
      </w:r>
      <w:r w:rsidR="00A33B90">
        <w:rPr>
          <w:noProof/>
        </w:rPr>
        <w:t xml:space="preserve">or </w:t>
      </w:r>
      <w:r w:rsidR="00E53545" w:rsidRPr="009E4CE7">
        <w:rPr>
          <w:noProof/>
        </w:rPr>
        <w:t>contact address of the company;</w:t>
      </w:r>
    </w:p>
    <w:p w14:paraId="52D2E3EB" w14:textId="71100598" w:rsidR="00E53545" w:rsidRDefault="001969F8" w:rsidP="001969F8">
      <w:pPr>
        <w:pStyle w:val="Point1"/>
        <w:rPr>
          <w:noProof/>
        </w:rPr>
      </w:pPr>
      <w:r w:rsidRPr="001969F8">
        <w:t>(g)</w:t>
      </w:r>
      <w:r w:rsidRPr="001969F8">
        <w:tab/>
      </w:r>
      <w:r w:rsidR="00E53545" w:rsidRPr="009E4CE7">
        <w:rPr>
          <w:noProof/>
        </w:rPr>
        <w:t>the electronic address of the company;</w:t>
      </w:r>
    </w:p>
    <w:p w14:paraId="7F7E9339" w14:textId="6D910F97" w:rsidR="00D470F9" w:rsidRPr="009E4CE7" w:rsidRDefault="001969F8" w:rsidP="001969F8">
      <w:pPr>
        <w:pStyle w:val="Point1"/>
        <w:rPr>
          <w:noProof/>
        </w:rPr>
      </w:pPr>
      <w:r w:rsidRPr="001969F8">
        <w:t>(h)</w:t>
      </w:r>
      <w:r w:rsidRPr="001969F8">
        <w:tab/>
      </w:r>
      <w:r w:rsidR="00940DFB">
        <w:rPr>
          <w:noProof/>
        </w:rPr>
        <w:t xml:space="preserve"> the </w:t>
      </w:r>
      <w:r w:rsidR="00D470F9">
        <w:rPr>
          <w:noProof/>
        </w:rPr>
        <w:t>date of registration of the company</w:t>
      </w:r>
      <w:r w:rsidR="00B34E9D">
        <w:rPr>
          <w:noProof/>
        </w:rPr>
        <w:t>;</w:t>
      </w:r>
    </w:p>
    <w:p w14:paraId="35E2DE47" w14:textId="62CD004A" w:rsidR="00E53545" w:rsidRPr="009E4CE7" w:rsidRDefault="001969F8" w:rsidP="001969F8">
      <w:pPr>
        <w:pStyle w:val="Point1"/>
        <w:rPr>
          <w:noProof/>
        </w:rPr>
      </w:pPr>
      <w:r w:rsidRPr="001969F8">
        <w:t>(i)</w:t>
      </w:r>
      <w:r w:rsidRPr="001969F8">
        <w:tab/>
      </w:r>
      <w:r w:rsidR="00E53545" w:rsidRPr="009E4CE7">
        <w:rPr>
          <w:noProof/>
        </w:rPr>
        <w:t>the amount of the capital subscribed;</w:t>
      </w:r>
    </w:p>
    <w:p w14:paraId="5B762B46" w14:textId="3084696B" w:rsidR="00E53545" w:rsidRPr="009E4CE7" w:rsidRDefault="001969F8" w:rsidP="001969F8">
      <w:pPr>
        <w:pStyle w:val="Point1"/>
        <w:rPr>
          <w:noProof/>
        </w:rPr>
      </w:pPr>
      <w:r w:rsidRPr="001969F8">
        <w:t>(j)</w:t>
      </w:r>
      <w:r w:rsidRPr="001969F8">
        <w:tab/>
      </w:r>
      <w:r w:rsidR="00E53545" w:rsidRPr="009E4CE7">
        <w:rPr>
          <w:noProof/>
        </w:rPr>
        <w:t>the status of the company;</w:t>
      </w:r>
    </w:p>
    <w:p w14:paraId="5F670255" w14:textId="4F1695FA" w:rsidR="00E53545" w:rsidRPr="009E4CE7" w:rsidRDefault="001969F8" w:rsidP="001969F8">
      <w:pPr>
        <w:pStyle w:val="Point1"/>
        <w:rPr>
          <w:noProof/>
        </w:rPr>
      </w:pPr>
      <w:r w:rsidRPr="001969F8">
        <w:t>(k)</w:t>
      </w:r>
      <w:r w:rsidRPr="001969F8">
        <w:tab/>
      </w:r>
      <w:r w:rsidR="00E53545" w:rsidRPr="009E4CE7">
        <w:rPr>
          <w:noProof/>
        </w:rPr>
        <w:t xml:space="preserve">the </w:t>
      </w:r>
      <w:r w:rsidR="00E53545" w:rsidRPr="00101C79">
        <w:rPr>
          <w:noProof/>
        </w:rPr>
        <w:t>particulars</w:t>
      </w:r>
      <w:r w:rsidR="00E53545" w:rsidRPr="009E4CE7">
        <w:rPr>
          <w:noProof/>
        </w:rPr>
        <w:t xml:space="preserve"> of any persons who either as a body or as members of any such body are authorised by the company to represent it with </w:t>
      </w:r>
      <w:r w:rsidR="000403A8">
        <w:rPr>
          <w:noProof/>
        </w:rPr>
        <w:t xml:space="preserve">respect to </w:t>
      </w:r>
      <w:r w:rsidR="00E53545" w:rsidRPr="009E4CE7">
        <w:rPr>
          <w:noProof/>
        </w:rPr>
        <w:t>third parties and in legal proceedings</w:t>
      </w:r>
      <w:r w:rsidR="00BC5804">
        <w:rPr>
          <w:noProof/>
        </w:rPr>
        <w:t xml:space="preserve"> and whether those persons may do so alone or are required to act jointly;</w:t>
      </w:r>
      <w:r w:rsidR="00E53545" w:rsidRPr="009E4CE7">
        <w:rPr>
          <w:noProof/>
        </w:rPr>
        <w:t xml:space="preserve"> </w:t>
      </w:r>
    </w:p>
    <w:p w14:paraId="0DD151EC" w14:textId="45545390" w:rsidR="00E53545" w:rsidRDefault="001969F8" w:rsidP="001969F8">
      <w:pPr>
        <w:pStyle w:val="Point1"/>
        <w:rPr>
          <w:noProof/>
        </w:rPr>
      </w:pPr>
      <w:r w:rsidRPr="001969F8">
        <w:t>(l)</w:t>
      </w:r>
      <w:r w:rsidRPr="001969F8">
        <w:tab/>
      </w:r>
      <w:r w:rsidR="00E53545" w:rsidRPr="009E4CE7">
        <w:rPr>
          <w:noProof/>
        </w:rPr>
        <w:t xml:space="preserve">the object of the company; </w:t>
      </w:r>
    </w:p>
    <w:p w14:paraId="32407273" w14:textId="1CBE2313" w:rsidR="00D470F9" w:rsidRPr="009E4CE7" w:rsidRDefault="001969F8" w:rsidP="001969F8">
      <w:pPr>
        <w:pStyle w:val="Point1"/>
        <w:rPr>
          <w:noProof/>
        </w:rPr>
      </w:pPr>
      <w:r w:rsidRPr="001969F8">
        <w:t>(m)</w:t>
      </w:r>
      <w:r w:rsidRPr="001969F8">
        <w:tab/>
      </w:r>
      <w:r w:rsidR="00D470F9">
        <w:rPr>
          <w:noProof/>
        </w:rPr>
        <w:t>the duration of the company</w:t>
      </w:r>
      <w:r w:rsidR="00B34E9D">
        <w:rPr>
          <w:noProof/>
        </w:rPr>
        <w:t>;</w:t>
      </w:r>
    </w:p>
    <w:p w14:paraId="6D736397" w14:textId="4CFCE3DB" w:rsidR="00E53545" w:rsidRPr="009E4CE7" w:rsidRDefault="001969F8" w:rsidP="001969F8">
      <w:pPr>
        <w:pStyle w:val="Point1"/>
        <w:rPr>
          <w:noProof/>
        </w:rPr>
      </w:pPr>
      <w:r w:rsidRPr="001969F8">
        <w:t>(n)</w:t>
      </w:r>
      <w:r w:rsidRPr="001969F8">
        <w:tab/>
      </w:r>
      <w:r w:rsidR="00E53545" w:rsidRPr="009E4CE7">
        <w:rPr>
          <w:noProof/>
        </w:rPr>
        <w:t>details of the company website where such details are recorded in the national register.</w:t>
      </w:r>
    </w:p>
    <w:p w14:paraId="7EC0926F" w14:textId="77777777" w:rsidR="00A33B90" w:rsidRDefault="00AF0407" w:rsidP="00327368">
      <w:pPr>
        <w:pStyle w:val="CommentText"/>
        <w:ind w:left="851"/>
        <w:contextualSpacing/>
        <w:rPr>
          <w:noProof/>
          <w:sz w:val="24"/>
          <w:szCs w:val="24"/>
        </w:rPr>
      </w:pPr>
      <w:r>
        <w:rPr>
          <w:noProof/>
          <w:sz w:val="24"/>
          <w:szCs w:val="24"/>
        </w:rPr>
        <w:t xml:space="preserve">3. </w:t>
      </w:r>
      <w:r w:rsidR="0058331D">
        <w:rPr>
          <w:noProof/>
          <w:sz w:val="24"/>
          <w:szCs w:val="24"/>
        </w:rPr>
        <w:t>The EU Company C</w:t>
      </w:r>
      <w:r w:rsidR="00E53545" w:rsidRPr="00E53545">
        <w:rPr>
          <w:noProof/>
          <w:sz w:val="24"/>
          <w:szCs w:val="24"/>
        </w:rPr>
        <w:t xml:space="preserve">ertificate for partnerships listed in Annex IIB shall include the information referred to in </w:t>
      </w:r>
      <w:r w:rsidR="00A33B90">
        <w:rPr>
          <w:noProof/>
          <w:sz w:val="24"/>
          <w:szCs w:val="24"/>
        </w:rPr>
        <w:t xml:space="preserve">paragraph 2, </w:t>
      </w:r>
      <w:r w:rsidR="00E53545" w:rsidRPr="00E53545">
        <w:rPr>
          <w:noProof/>
          <w:sz w:val="24"/>
          <w:szCs w:val="24"/>
        </w:rPr>
        <w:t>points (a), (b), (c), (d), (e), (f), (g), (</w:t>
      </w:r>
      <w:r w:rsidR="00FC303B">
        <w:rPr>
          <w:noProof/>
          <w:sz w:val="24"/>
          <w:szCs w:val="24"/>
        </w:rPr>
        <w:t>h</w:t>
      </w:r>
      <w:r w:rsidR="00E53545" w:rsidRPr="00E53545">
        <w:rPr>
          <w:noProof/>
          <w:sz w:val="24"/>
          <w:szCs w:val="24"/>
        </w:rPr>
        <w:t xml:space="preserve">), </w:t>
      </w:r>
      <w:r w:rsidR="00FC303B">
        <w:rPr>
          <w:noProof/>
          <w:sz w:val="24"/>
          <w:szCs w:val="24"/>
        </w:rPr>
        <w:t>(j)</w:t>
      </w:r>
      <w:r w:rsidR="00E53545" w:rsidRPr="00E53545">
        <w:rPr>
          <w:noProof/>
          <w:sz w:val="24"/>
          <w:szCs w:val="24"/>
        </w:rPr>
        <w:t xml:space="preserve"> (k), (l)</w:t>
      </w:r>
      <w:r w:rsidR="005D3B43">
        <w:rPr>
          <w:noProof/>
          <w:sz w:val="24"/>
          <w:szCs w:val="24"/>
        </w:rPr>
        <w:t>, (m</w:t>
      </w:r>
      <w:r w:rsidR="00E53545" w:rsidRPr="00E53545">
        <w:rPr>
          <w:noProof/>
          <w:sz w:val="24"/>
          <w:szCs w:val="24"/>
        </w:rPr>
        <w:t>) and (</w:t>
      </w:r>
      <w:r w:rsidR="005D3B43">
        <w:rPr>
          <w:noProof/>
          <w:sz w:val="24"/>
          <w:szCs w:val="24"/>
        </w:rPr>
        <w:t>n</w:t>
      </w:r>
      <w:r w:rsidR="00E53545" w:rsidRPr="00E53545">
        <w:rPr>
          <w:noProof/>
          <w:sz w:val="24"/>
          <w:szCs w:val="24"/>
        </w:rPr>
        <w:t>)</w:t>
      </w:r>
      <w:r w:rsidR="0021674F">
        <w:rPr>
          <w:noProof/>
          <w:sz w:val="24"/>
          <w:szCs w:val="24"/>
        </w:rPr>
        <w:t>,</w:t>
      </w:r>
      <w:r w:rsidR="00E53545" w:rsidRPr="00E53545">
        <w:rPr>
          <w:noProof/>
          <w:sz w:val="24"/>
          <w:szCs w:val="24"/>
        </w:rPr>
        <w:t xml:space="preserve"> of this Article</w:t>
      </w:r>
      <w:r w:rsidR="000403A8">
        <w:rPr>
          <w:noProof/>
          <w:sz w:val="24"/>
          <w:szCs w:val="24"/>
        </w:rPr>
        <w:t>,</w:t>
      </w:r>
      <w:r w:rsidR="00E53545" w:rsidRPr="00E53545">
        <w:rPr>
          <w:noProof/>
          <w:sz w:val="24"/>
          <w:szCs w:val="24"/>
        </w:rPr>
        <w:t xml:space="preserve"> including the date </w:t>
      </w:r>
      <w:r w:rsidR="0058331D">
        <w:rPr>
          <w:noProof/>
          <w:sz w:val="24"/>
          <w:szCs w:val="24"/>
        </w:rPr>
        <w:t>when the information in the EU Company C</w:t>
      </w:r>
      <w:r w:rsidR="00E53545" w:rsidRPr="00E53545">
        <w:rPr>
          <w:noProof/>
          <w:sz w:val="24"/>
          <w:szCs w:val="24"/>
        </w:rPr>
        <w:t>ertificate was last updated in accordance with Article 15</w:t>
      </w:r>
      <w:r w:rsidR="004A70A5">
        <w:rPr>
          <w:noProof/>
          <w:sz w:val="24"/>
          <w:szCs w:val="24"/>
        </w:rPr>
        <w:t>(2)</w:t>
      </w:r>
      <w:r w:rsidR="00A33B90">
        <w:rPr>
          <w:noProof/>
          <w:sz w:val="24"/>
          <w:szCs w:val="24"/>
        </w:rPr>
        <w:t>.</w:t>
      </w:r>
      <w:r w:rsidR="004E3931">
        <w:rPr>
          <w:noProof/>
          <w:sz w:val="24"/>
          <w:szCs w:val="24"/>
        </w:rPr>
        <w:t xml:space="preserve"> </w:t>
      </w:r>
    </w:p>
    <w:p w14:paraId="3CBEB2D2" w14:textId="77777777" w:rsidR="00A33B90" w:rsidRDefault="00E53545" w:rsidP="00AF0407">
      <w:pPr>
        <w:pStyle w:val="CommentText"/>
        <w:ind w:left="360"/>
        <w:contextualSpacing/>
        <w:rPr>
          <w:noProof/>
          <w:sz w:val="24"/>
          <w:szCs w:val="24"/>
        </w:rPr>
      </w:pPr>
      <w:r w:rsidRPr="00E53545">
        <w:rPr>
          <w:noProof/>
          <w:sz w:val="24"/>
          <w:szCs w:val="24"/>
        </w:rPr>
        <w:t xml:space="preserve"> </w:t>
      </w:r>
    </w:p>
    <w:p w14:paraId="7ADEFDEC" w14:textId="77777777" w:rsidR="00E53545" w:rsidRPr="00E53545" w:rsidRDefault="00A33B90" w:rsidP="00327368">
      <w:pPr>
        <w:pStyle w:val="CommentText"/>
        <w:ind w:left="142" w:firstLine="720"/>
        <w:contextualSpacing/>
        <w:rPr>
          <w:noProof/>
          <w:sz w:val="24"/>
          <w:szCs w:val="24"/>
        </w:rPr>
      </w:pPr>
      <w:r>
        <w:rPr>
          <w:noProof/>
          <w:sz w:val="24"/>
          <w:szCs w:val="24"/>
        </w:rPr>
        <w:t>T</w:t>
      </w:r>
      <w:r w:rsidR="00E53545" w:rsidRPr="00E53545">
        <w:rPr>
          <w:noProof/>
          <w:sz w:val="24"/>
          <w:szCs w:val="24"/>
        </w:rPr>
        <w:t xml:space="preserve">he following information shall </w:t>
      </w:r>
      <w:r>
        <w:rPr>
          <w:noProof/>
          <w:sz w:val="24"/>
          <w:szCs w:val="24"/>
        </w:rPr>
        <w:t xml:space="preserve">also </w:t>
      </w:r>
      <w:r w:rsidR="00E53545" w:rsidRPr="00E53545">
        <w:rPr>
          <w:noProof/>
          <w:sz w:val="24"/>
          <w:szCs w:val="24"/>
        </w:rPr>
        <w:t>be included:</w:t>
      </w:r>
    </w:p>
    <w:p w14:paraId="57C04C8E" w14:textId="77777777" w:rsidR="00E53545" w:rsidRPr="00E53545" w:rsidRDefault="00E53545" w:rsidP="0012262C">
      <w:pPr>
        <w:shd w:val="clear" w:color="auto" w:fill="FFFFFF"/>
        <w:ind w:left="1701" w:hanging="425"/>
        <w:rPr>
          <w:noProof/>
          <w:szCs w:val="24"/>
        </w:rPr>
      </w:pPr>
      <w:r w:rsidRPr="00E53545">
        <w:rPr>
          <w:noProof/>
          <w:szCs w:val="24"/>
        </w:rPr>
        <w:t>(a) the total amount of the contributions of the partners;</w:t>
      </w:r>
    </w:p>
    <w:p w14:paraId="0745CD50" w14:textId="77777777" w:rsidR="00E53545" w:rsidRPr="00E53545" w:rsidRDefault="00E53545" w:rsidP="0012262C">
      <w:pPr>
        <w:shd w:val="clear" w:color="auto" w:fill="FFFFFF"/>
        <w:ind w:left="1701" w:hanging="425"/>
        <w:rPr>
          <w:noProof/>
          <w:szCs w:val="24"/>
        </w:rPr>
      </w:pPr>
      <w:r w:rsidRPr="00E53545">
        <w:rPr>
          <w:noProof/>
          <w:szCs w:val="24"/>
        </w:rPr>
        <w:t xml:space="preserve">(b) the particulars of the general partners and, in case of limited partnerships, </w:t>
      </w:r>
      <w:r w:rsidRPr="004E3931">
        <w:rPr>
          <w:noProof/>
          <w:szCs w:val="24"/>
        </w:rPr>
        <w:t>particulars</w:t>
      </w:r>
      <w:r w:rsidRPr="00E53545">
        <w:rPr>
          <w:noProof/>
          <w:szCs w:val="24"/>
        </w:rPr>
        <w:t xml:space="preserve"> about limited partners;</w:t>
      </w:r>
    </w:p>
    <w:p w14:paraId="1BE234DB" w14:textId="77777777" w:rsidR="00E53545" w:rsidRPr="00E53545" w:rsidRDefault="00E53545" w:rsidP="0012262C">
      <w:pPr>
        <w:shd w:val="clear" w:color="auto" w:fill="FFFFFF"/>
        <w:ind w:left="1701" w:hanging="425"/>
        <w:rPr>
          <w:noProof/>
          <w:szCs w:val="24"/>
        </w:rPr>
      </w:pPr>
      <w:r w:rsidRPr="00E53545">
        <w:rPr>
          <w:noProof/>
          <w:szCs w:val="24"/>
        </w:rPr>
        <w:t xml:space="preserve">(c) the </w:t>
      </w:r>
      <w:r w:rsidRPr="004E3931">
        <w:rPr>
          <w:noProof/>
          <w:szCs w:val="24"/>
        </w:rPr>
        <w:t>particulars</w:t>
      </w:r>
      <w:r w:rsidRPr="00E53545">
        <w:rPr>
          <w:noProof/>
          <w:szCs w:val="24"/>
        </w:rPr>
        <w:t xml:space="preserve"> of the partners who are authorised to represent the partnership with third parties and in legal proceedings.</w:t>
      </w:r>
    </w:p>
    <w:p w14:paraId="50127147" w14:textId="77777777" w:rsidR="00E53545" w:rsidRPr="00E53545" w:rsidRDefault="00AF0407" w:rsidP="00327368">
      <w:pPr>
        <w:pStyle w:val="CommentText"/>
        <w:spacing w:after="0"/>
        <w:ind w:left="851"/>
        <w:contextualSpacing/>
        <w:rPr>
          <w:noProof/>
          <w:sz w:val="24"/>
          <w:szCs w:val="24"/>
        </w:rPr>
      </w:pPr>
      <w:r w:rsidDel="00A33B90">
        <w:rPr>
          <w:noProof/>
          <w:sz w:val="24"/>
          <w:szCs w:val="24"/>
        </w:rPr>
        <w:t>4</w:t>
      </w:r>
      <w:r>
        <w:rPr>
          <w:noProof/>
          <w:sz w:val="24"/>
          <w:szCs w:val="24"/>
        </w:rPr>
        <w:t xml:space="preserve">. </w:t>
      </w:r>
      <w:r w:rsidR="00E53545" w:rsidRPr="00E53545">
        <w:rPr>
          <w:noProof/>
          <w:sz w:val="24"/>
          <w:szCs w:val="24"/>
        </w:rPr>
        <w:t>Member S</w:t>
      </w:r>
      <w:r w:rsidR="0058331D">
        <w:rPr>
          <w:noProof/>
          <w:sz w:val="24"/>
          <w:szCs w:val="24"/>
        </w:rPr>
        <w:t>tates shall ensure that the EU Company C</w:t>
      </w:r>
      <w:r w:rsidR="00E53545" w:rsidRPr="00E53545">
        <w:rPr>
          <w:noProof/>
          <w:sz w:val="24"/>
          <w:szCs w:val="24"/>
        </w:rPr>
        <w:t xml:space="preserve">ertificate may be obtained from the register referred to in Article 16 upon application submitted to the register by paper or electronic means. </w:t>
      </w:r>
    </w:p>
    <w:p w14:paraId="6E9081B7" w14:textId="77777777" w:rsidR="00E53545" w:rsidRPr="00E53545" w:rsidRDefault="00E53545" w:rsidP="00327368">
      <w:pPr>
        <w:pStyle w:val="CommentText"/>
        <w:spacing w:after="0"/>
        <w:ind w:left="851"/>
        <w:contextualSpacing/>
        <w:rPr>
          <w:noProof/>
          <w:sz w:val="24"/>
          <w:szCs w:val="24"/>
        </w:rPr>
      </w:pPr>
    </w:p>
    <w:p w14:paraId="38CD29EA" w14:textId="77777777" w:rsidR="00E53545" w:rsidRPr="00E53545" w:rsidRDefault="00E53545" w:rsidP="00327368">
      <w:pPr>
        <w:pStyle w:val="CommentText"/>
        <w:spacing w:after="0"/>
        <w:ind w:left="851"/>
        <w:contextualSpacing/>
        <w:rPr>
          <w:noProof/>
          <w:sz w:val="24"/>
          <w:szCs w:val="24"/>
        </w:rPr>
      </w:pPr>
      <w:r w:rsidRPr="00E53545">
        <w:rPr>
          <w:noProof/>
          <w:sz w:val="24"/>
          <w:szCs w:val="24"/>
        </w:rPr>
        <w:t>Member States shall ensure that th</w:t>
      </w:r>
      <w:r w:rsidR="0058331D">
        <w:rPr>
          <w:noProof/>
          <w:sz w:val="24"/>
          <w:szCs w:val="24"/>
        </w:rPr>
        <w:t>e electronic version of the EU Company C</w:t>
      </w:r>
      <w:r w:rsidRPr="00E53545">
        <w:rPr>
          <w:noProof/>
          <w:sz w:val="24"/>
          <w:szCs w:val="24"/>
        </w:rPr>
        <w:t xml:space="preserve">ertificate may also be obtained through the system of interconnection of registers. </w:t>
      </w:r>
    </w:p>
    <w:p w14:paraId="31CDC728" w14:textId="77777777" w:rsidR="00E53545" w:rsidRPr="00E53545" w:rsidRDefault="00E53545" w:rsidP="00327368">
      <w:pPr>
        <w:pStyle w:val="CommentText"/>
        <w:spacing w:after="0"/>
        <w:ind w:left="851"/>
        <w:contextualSpacing/>
        <w:rPr>
          <w:noProof/>
          <w:sz w:val="24"/>
          <w:szCs w:val="24"/>
          <w:lang w:val="en-IE" w:eastAsia="en-IE"/>
        </w:rPr>
      </w:pPr>
    </w:p>
    <w:p w14:paraId="3E5E1882" w14:textId="77777777" w:rsidR="00E53545" w:rsidRPr="00E53545" w:rsidRDefault="00AF0407" w:rsidP="00327368">
      <w:pPr>
        <w:pStyle w:val="CommentText"/>
        <w:ind w:left="851"/>
        <w:contextualSpacing/>
        <w:rPr>
          <w:noProof/>
          <w:sz w:val="24"/>
          <w:szCs w:val="24"/>
        </w:rPr>
      </w:pPr>
      <w:r>
        <w:rPr>
          <w:noProof/>
          <w:sz w:val="24"/>
          <w:szCs w:val="24"/>
        </w:rPr>
        <w:t xml:space="preserve">5. </w:t>
      </w:r>
      <w:r w:rsidR="00E53545" w:rsidRPr="00E53545">
        <w:rPr>
          <w:noProof/>
          <w:sz w:val="24"/>
          <w:szCs w:val="24"/>
        </w:rPr>
        <w:t>The</w:t>
      </w:r>
      <w:r w:rsidR="00E53545" w:rsidRPr="00E53545" w:rsidDel="00EF5B28">
        <w:rPr>
          <w:noProof/>
          <w:sz w:val="24"/>
          <w:szCs w:val="24"/>
        </w:rPr>
        <w:t xml:space="preserve"> </w:t>
      </w:r>
      <w:r w:rsidR="0058331D">
        <w:rPr>
          <w:noProof/>
          <w:sz w:val="24"/>
          <w:szCs w:val="24"/>
        </w:rPr>
        <w:t>price for obtaining the EU Company C</w:t>
      </w:r>
      <w:r w:rsidR="00E53545" w:rsidRPr="00E53545">
        <w:rPr>
          <w:noProof/>
          <w:sz w:val="24"/>
          <w:szCs w:val="24"/>
        </w:rPr>
        <w:t>ertificate, whether by paper or electronic means, shall not exceed the administrative costs</w:t>
      </w:r>
      <w:r w:rsidR="004E3931">
        <w:rPr>
          <w:noProof/>
          <w:sz w:val="24"/>
          <w:szCs w:val="24"/>
        </w:rPr>
        <w:t xml:space="preserve"> thereof</w:t>
      </w:r>
      <w:r w:rsidR="00E53545" w:rsidRPr="00E53545">
        <w:rPr>
          <w:noProof/>
          <w:sz w:val="24"/>
          <w:szCs w:val="24"/>
        </w:rPr>
        <w:t xml:space="preserve">, including the costs of development and maintenance of registers. </w:t>
      </w:r>
    </w:p>
    <w:p w14:paraId="3ADEF7F0" w14:textId="77777777" w:rsidR="0012262C" w:rsidRPr="00E53545" w:rsidRDefault="0012262C" w:rsidP="00327368">
      <w:pPr>
        <w:pStyle w:val="CommentText"/>
        <w:ind w:left="851"/>
        <w:contextualSpacing/>
        <w:rPr>
          <w:noProof/>
          <w:sz w:val="24"/>
          <w:szCs w:val="24"/>
        </w:rPr>
      </w:pPr>
    </w:p>
    <w:p w14:paraId="16DA7B52" w14:textId="77777777" w:rsidR="00E53545" w:rsidRPr="00E53545" w:rsidRDefault="00755A3E" w:rsidP="00327368">
      <w:pPr>
        <w:pStyle w:val="CommentText"/>
        <w:spacing w:after="0"/>
        <w:ind w:left="851"/>
        <w:contextualSpacing/>
        <w:rPr>
          <w:noProof/>
          <w:sz w:val="24"/>
          <w:szCs w:val="24"/>
        </w:rPr>
      </w:pPr>
      <w:r>
        <w:rPr>
          <w:noProof/>
          <w:sz w:val="24"/>
          <w:szCs w:val="24"/>
        </w:rPr>
        <w:t>Member States shall ensure that</w:t>
      </w:r>
      <w:r w:rsidR="00F27003">
        <w:rPr>
          <w:noProof/>
          <w:sz w:val="24"/>
          <w:szCs w:val="24"/>
        </w:rPr>
        <w:t xml:space="preserve"> </w:t>
      </w:r>
      <w:r>
        <w:rPr>
          <w:noProof/>
          <w:sz w:val="24"/>
          <w:szCs w:val="24"/>
        </w:rPr>
        <w:t>each c</w:t>
      </w:r>
      <w:r w:rsidR="00E53545" w:rsidRPr="00E53545">
        <w:rPr>
          <w:noProof/>
          <w:sz w:val="24"/>
          <w:szCs w:val="24"/>
        </w:rPr>
        <w:t>ompan</w:t>
      </w:r>
      <w:r w:rsidR="00100EBF">
        <w:rPr>
          <w:noProof/>
          <w:sz w:val="24"/>
          <w:szCs w:val="24"/>
        </w:rPr>
        <w:t>y</w:t>
      </w:r>
      <w:r w:rsidR="00E53545" w:rsidRPr="00E53545">
        <w:rPr>
          <w:noProof/>
          <w:sz w:val="24"/>
          <w:szCs w:val="24"/>
        </w:rPr>
        <w:t xml:space="preserve"> listed in Annexes II and</w:t>
      </w:r>
      <w:r w:rsidR="0058331D">
        <w:rPr>
          <w:noProof/>
          <w:sz w:val="24"/>
          <w:szCs w:val="24"/>
        </w:rPr>
        <w:t xml:space="preserve"> IIB </w:t>
      </w:r>
      <w:r w:rsidR="00F27003">
        <w:rPr>
          <w:noProof/>
          <w:sz w:val="24"/>
          <w:szCs w:val="24"/>
        </w:rPr>
        <w:t xml:space="preserve">may </w:t>
      </w:r>
      <w:r w:rsidR="0058331D">
        <w:rPr>
          <w:noProof/>
          <w:sz w:val="24"/>
          <w:szCs w:val="24"/>
        </w:rPr>
        <w:t xml:space="preserve">obtain </w:t>
      </w:r>
      <w:r w:rsidR="00F27003">
        <w:rPr>
          <w:noProof/>
          <w:sz w:val="24"/>
          <w:szCs w:val="24"/>
        </w:rPr>
        <w:t>its</w:t>
      </w:r>
      <w:r w:rsidR="0058331D">
        <w:rPr>
          <w:noProof/>
          <w:sz w:val="24"/>
          <w:szCs w:val="24"/>
        </w:rPr>
        <w:t xml:space="preserve"> EU Company C</w:t>
      </w:r>
      <w:r w:rsidR="00E53545" w:rsidRPr="00E53545">
        <w:rPr>
          <w:noProof/>
          <w:sz w:val="24"/>
          <w:szCs w:val="24"/>
        </w:rPr>
        <w:t xml:space="preserve">ertificate in electronic format free of charge at least once </w:t>
      </w:r>
      <w:r w:rsidR="00F27003">
        <w:rPr>
          <w:noProof/>
          <w:sz w:val="24"/>
          <w:szCs w:val="24"/>
        </w:rPr>
        <w:t>per</w:t>
      </w:r>
      <w:r w:rsidR="00E53545" w:rsidRPr="00E53545">
        <w:rPr>
          <w:noProof/>
          <w:sz w:val="24"/>
          <w:szCs w:val="24"/>
        </w:rPr>
        <w:t xml:space="preserve"> calendar year. </w:t>
      </w:r>
    </w:p>
    <w:p w14:paraId="56B9B70E" w14:textId="77777777" w:rsidR="006E009B" w:rsidRPr="00E53545" w:rsidRDefault="00AF0407" w:rsidP="00327368">
      <w:pPr>
        <w:ind w:left="851"/>
        <w:rPr>
          <w:noProof/>
          <w:szCs w:val="24"/>
        </w:rPr>
      </w:pPr>
      <w:r>
        <w:rPr>
          <w:noProof/>
          <w:szCs w:val="24"/>
        </w:rPr>
        <w:t xml:space="preserve">6. </w:t>
      </w:r>
      <w:r w:rsidR="00E53545" w:rsidRPr="00E53545">
        <w:rPr>
          <w:noProof/>
          <w:szCs w:val="24"/>
        </w:rPr>
        <w:t>Member S</w:t>
      </w:r>
      <w:r w:rsidR="0058331D">
        <w:rPr>
          <w:noProof/>
          <w:szCs w:val="24"/>
        </w:rPr>
        <w:t>tates shall ensure that the EU Company C</w:t>
      </w:r>
      <w:r w:rsidR="00E53545" w:rsidRPr="00E53545">
        <w:rPr>
          <w:noProof/>
          <w:szCs w:val="24"/>
        </w:rPr>
        <w:t xml:space="preserve">ertificate provided by the register in electronic format </w:t>
      </w:r>
      <w:r w:rsidR="00E53545" w:rsidRPr="00E53545" w:rsidDel="00C669A4">
        <w:rPr>
          <w:noProof/>
          <w:szCs w:val="24"/>
        </w:rPr>
        <w:t>be authenticated</w:t>
      </w:r>
      <w:r w:rsidR="00E53545" w:rsidRPr="00E53545">
        <w:rPr>
          <w:noProof/>
          <w:szCs w:val="24"/>
        </w:rPr>
        <w:t xml:space="preserve"> by means of trust services referred to in Regulation (EU) No 910/2014, in order to guarantee that it has been provided by the register and that its content is a true copy of the information held by the register or that it is consistent with the information contained therein</w:t>
      </w:r>
      <w:r w:rsidR="006E009B">
        <w:rPr>
          <w:noProof/>
          <w:szCs w:val="24"/>
        </w:rPr>
        <w:t xml:space="preserve">. It shall also be </w:t>
      </w:r>
      <w:r w:rsidR="006E009B" w:rsidRPr="00E53545">
        <w:rPr>
          <w:noProof/>
          <w:szCs w:val="24"/>
        </w:rPr>
        <w:t xml:space="preserve">compatible with the European Digital Identity Wallet, referred to </w:t>
      </w:r>
      <w:r w:rsidR="006E009B">
        <w:rPr>
          <w:noProof/>
          <w:szCs w:val="24"/>
        </w:rPr>
        <w:t>in [</w:t>
      </w:r>
      <w:r w:rsidR="0021674F">
        <w:rPr>
          <w:noProof/>
          <w:szCs w:val="24"/>
        </w:rPr>
        <w:t xml:space="preserve">PO: </w:t>
      </w:r>
      <w:r w:rsidR="006E009B" w:rsidRPr="00E53545">
        <w:rPr>
          <w:noProof/>
        </w:rPr>
        <w:t xml:space="preserve">Reference to </w:t>
      </w:r>
      <w:r w:rsidR="006E009B" w:rsidRPr="00E53545">
        <w:rPr>
          <w:noProof/>
          <w:szCs w:val="24"/>
        </w:rPr>
        <w:t>Proposal for a Regulation of the European Parliament and of the Council amending Regulation (EU) No 910/2014 as regards establishing a framework for a European Digital Identity</w:t>
      </w:r>
      <w:r w:rsidR="006E009B">
        <w:rPr>
          <w:noProof/>
          <w:szCs w:val="24"/>
        </w:rPr>
        <w:t>]</w:t>
      </w:r>
      <w:r w:rsidR="006E009B" w:rsidRPr="00E53545">
        <w:rPr>
          <w:noProof/>
          <w:szCs w:val="24"/>
        </w:rPr>
        <w:t>.</w:t>
      </w:r>
    </w:p>
    <w:p w14:paraId="2DB06BC1" w14:textId="77777777" w:rsidR="00E53545" w:rsidRPr="00E53545" w:rsidRDefault="00AF0407" w:rsidP="00327368">
      <w:pPr>
        <w:pStyle w:val="CommentText"/>
        <w:ind w:left="851"/>
        <w:contextualSpacing/>
        <w:rPr>
          <w:noProof/>
          <w:sz w:val="24"/>
          <w:szCs w:val="24"/>
        </w:rPr>
      </w:pPr>
      <w:r>
        <w:rPr>
          <w:noProof/>
          <w:sz w:val="24"/>
          <w:szCs w:val="24"/>
        </w:rPr>
        <w:t xml:space="preserve">7. </w:t>
      </w:r>
      <w:r w:rsidR="00E53545" w:rsidRPr="00E53545">
        <w:rPr>
          <w:noProof/>
          <w:sz w:val="24"/>
          <w:szCs w:val="24"/>
        </w:rPr>
        <w:t>Member S</w:t>
      </w:r>
      <w:r w:rsidR="0058331D">
        <w:rPr>
          <w:noProof/>
          <w:sz w:val="24"/>
          <w:szCs w:val="24"/>
        </w:rPr>
        <w:t>tates shall ensure that the EU Company C</w:t>
      </w:r>
      <w:r w:rsidR="00E53545" w:rsidRPr="00E53545">
        <w:rPr>
          <w:noProof/>
          <w:sz w:val="24"/>
          <w:szCs w:val="24"/>
        </w:rPr>
        <w:t xml:space="preserve">ertificate provided by the register in paper format </w:t>
      </w:r>
      <w:r w:rsidR="00755A3E">
        <w:rPr>
          <w:noProof/>
          <w:sz w:val="24"/>
          <w:szCs w:val="24"/>
        </w:rPr>
        <w:t>is to</w:t>
      </w:r>
      <w:r w:rsidR="00755A3E" w:rsidRPr="00E53545">
        <w:rPr>
          <w:noProof/>
          <w:sz w:val="24"/>
          <w:szCs w:val="24"/>
        </w:rPr>
        <w:t xml:space="preserve"> </w:t>
      </w:r>
      <w:r w:rsidR="00E53545" w:rsidRPr="00E53545">
        <w:rPr>
          <w:noProof/>
          <w:sz w:val="24"/>
          <w:szCs w:val="24"/>
        </w:rPr>
        <w:t>include the date of issuance</w:t>
      </w:r>
      <w:r w:rsidR="001639A7">
        <w:rPr>
          <w:noProof/>
          <w:sz w:val="24"/>
          <w:szCs w:val="24"/>
        </w:rPr>
        <w:t>,</w:t>
      </w:r>
      <w:r w:rsidR="00E53545" w:rsidRPr="00E53545">
        <w:rPr>
          <w:noProof/>
          <w:sz w:val="24"/>
          <w:szCs w:val="24"/>
        </w:rPr>
        <w:t xml:space="preserve"> as well as the seal or stamp of the register in order to certify that its content is a true copy of the information held by the register or that it is consistent with the information contained therein</w:t>
      </w:r>
      <w:r w:rsidR="00701A10">
        <w:rPr>
          <w:noProof/>
          <w:sz w:val="24"/>
          <w:szCs w:val="24"/>
        </w:rPr>
        <w:t>.</w:t>
      </w:r>
      <w:r w:rsidR="00E53545" w:rsidRPr="00E53545">
        <w:rPr>
          <w:noProof/>
          <w:sz w:val="24"/>
          <w:szCs w:val="24"/>
        </w:rPr>
        <w:t xml:space="preserve"> </w:t>
      </w:r>
      <w:r w:rsidR="00701A10">
        <w:rPr>
          <w:noProof/>
          <w:sz w:val="24"/>
          <w:szCs w:val="24"/>
        </w:rPr>
        <w:t xml:space="preserve">The </w:t>
      </w:r>
      <w:r w:rsidR="001639A7">
        <w:rPr>
          <w:noProof/>
          <w:sz w:val="24"/>
          <w:szCs w:val="24"/>
        </w:rPr>
        <w:t>EU Company C</w:t>
      </w:r>
      <w:r w:rsidR="001639A7" w:rsidRPr="00E53545">
        <w:rPr>
          <w:noProof/>
          <w:sz w:val="24"/>
          <w:szCs w:val="24"/>
        </w:rPr>
        <w:t>ertificate</w:t>
      </w:r>
      <w:r w:rsidR="00701A10" w:rsidRPr="00E53545">
        <w:rPr>
          <w:noProof/>
          <w:sz w:val="24"/>
          <w:szCs w:val="24"/>
        </w:rPr>
        <w:t xml:space="preserve"> </w:t>
      </w:r>
      <w:r w:rsidR="00E53545" w:rsidRPr="00E53545">
        <w:rPr>
          <w:noProof/>
          <w:sz w:val="24"/>
          <w:szCs w:val="24"/>
        </w:rPr>
        <w:t xml:space="preserve">shall </w:t>
      </w:r>
      <w:r w:rsidR="001639A7">
        <w:rPr>
          <w:noProof/>
          <w:sz w:val="24"/>
          <w:szCs w:val="24"/>
        </w:rPr>
        <w:t xml:space="preserve">also </w:t>
      </w:r>
      <w:r w:rsidR="00E53545" w:rsidRPr="00E53545">
        <w:rPr>
          <w:noProof/>
          <w:sz w:val="24"/>
          <w:szCs w:val="24"/>
        </w:rPr>
        <w:t>bear a technical feature that allows the electronic verification of the origin and authenticity of the document</w:t>
      </w:r>
      <w:r w:rsidR="00E53545" w:rsidRPr="00E53545" w:rsidDel="006E009B">
        <w:rPr>
          <w:noProof/>
          <w:sz w:val="24"/>
          <w:szCs w:val="24"/>
        </w:rPr>
        <w:t xml:space="preserve"> such as a unique protocol</w:t>
      </w:r>
      <w:r w:rsidR="004E3931">
        <w:rPr>
          <w:noProof/>
          <w:sz w:val="24"/>
          <w:szCs w:val="24"/>
        </w:rPr>
        <w:t xml:space="preserve"> or </w:t>
      </w:r>
      <w:r w:rsidR="00E53545" w:rsidRPr="00E53545" w:rsidDel="006E009B">
        <w:rPr>
          <w:noProof/>
          <w:sz w:val="24"/>
          <w:szCs w:val="24"/>
        </w:rPr>
        <w:t>identification number</w:t>
      </w:r>
      <w:r w:rsidR="00E53545" w:rsidRPr="00E53545">
        <w:rPr>
          <w:noProof/>
          <w:sz w:val="24"/>
          <w:szCs w:val="24"/>
        </w:rPr>
        <w:t>.</w:t>
      </w:r>
      <w:r w:rsidR="00E53545" w:rsidRPr="00E53545">
        <w:rPr>
          <w:noProof/>
        </w:rPr>
        <w:t xml:space="preserve"> </w:t>
      </w:r>
    </w:p>
    <w:p w14:paraId="64229285" w14:textId="77777777" w:rsidR="00E53545" w:rsidRPr="00E53545" w:rsidRDefault="00E53545" w:rsidP="00327368">
      <w:pPr>
        <w:pStyle w:val="CommentText"/>
        <w:ind w:left="851"/>
        <w:contextualSpacing/>
        <w:rPr>
          <w:noProof/>
          <w:sz w:val="24"/>
          <w:szCs w:val="24"/>
        </w:rPr>
      </w:pPr>
    </w:p>
    <w:p w14:paraId="1D5BD621" w14:textId="77777777" w:rsidR="00E53545" w:rsidRPr="00E53545" w:rsidRDefault="00AF0407" w:rsidP="00327368">
      <w:pPr>
        <w:pStyle w:val="CommentText"/>
        <w:spacing w:before="0" w:after="0"/>
        <w:ind w:left="851"/>
        <w:contextualSpacing/>
        <w:rPr>
          <w:noProof/>
          <w:sz w:val="24"/>
          <w:szCs w:val="24"/>
        </w:rPr>
      </w:pPr>
      <w:r>
        <w:rPr>
          <w:noProof/>
          <w:sz w:val="24"/>
          <w:szCs w:val="24"/>
        </w:rPr>
        <w:t xml:space="preserve">8. </w:t>
      </w:r>
      <w:r w:rsidR="00E53545" w:rsidRPr="00E53545">
        <w:rPr>
          <w:noProof/>
          <w:sz w:val="24"/>
          <w:szCs w:val="24"/>
        </w:rPr>
        <w:t>The Commission shall p</w:t>
      </w:r>
      <w:r w:rsidR="0058331D">
        <w:rPr>
          <w:noProof/>
          <w:sz w:val="24"/>
          <w:szCs w:val="24"/>
        </w:rPr>
        <w:t>ublish the template for the EU Company C</w:t>
      </w:r>
      <w:r w:rsidR="00E53545" w:rsidRPr="00E53545">
        <w:rPr>
          <w:noProof/>
          <w:sz w:val="24"/>
          <w:szCs w:val="24"/>
        </w:rPr>
        <w:t xml:space="preserve">ertificate on the portal in all official languages of the Union.  </w:t>
      </w:r>
    </w:p>
    <w:p w14:paraId="67327359" w14:textId="77777777" w:rsidR="00E53545" w:rsidRPr="00E53545" w:rsidRDefault="00E53545" w:rsidP="00327368">
      <w:pPr>
        <w:pStyle w:val="ListParagraph"/>
        <w:spacing w:after="0"/>
        <w:ind w:left="851"/>
        <w:rPr>
          <w:rFonts w:ascii="Times New Roman" w:hAnsi="Times New Roman" w:cs="Times New Roman"/>
          <w:noProof/>
          <w:sz w:val="24"/>
          <w:szCs w:val="24"/>
        </w:rPr>
      </w:pPr>
    </w:p>
    <w:p w14:paraId="1580027D" w14:textId="77777777" w:rsidR="00E53545" w:rsidRPr="004E3931" w:rsidRDefault="00E53545" w:rsidP="00E53545">
      <w:pPr>
        <w:pStyle w:val="CommentText"/>
        <w:spacing w:after="0"/>
        <w:contextualSpacing/>
        <w:jc w:val="center"/>
        <w:rPr>
          <w:noProof/>
          <w:sz w:val="24"/>
          <w:szCs w:val="24"/>
        </w:rPr>
      </w:pPr>
      <w:r w:rsidRPr="004E3931">
        <w:rPr>
          <w:noProof/>
          <w:sz w:val="24"/>
          <w:szCs w:val="24"/>
        </w:rPr>
        <w:t>Article 16c</w:t>
      </w:r>
    </w:p>
    <w:p w14:paraId="6AEC3120" w14:textId="77777777" w:rsidR="00E53545" w:rsidRPr="00E53545" w:rsidRDefault="00E53545" w:rsidP="00E53545">
      <w:pPr>
        <w:pStyle w:val="CommentText"/>
        <w:contextualSpacing/>
        <w:jc w:val="center"/>
        <w:rPr>
          <w:i/>
          <w:noProof/>
          <w:sz w:val="24"/>
          <w:szCs w:val="24"/>
        </w:rPr>
      </w:pPr>
    </w:p>
    <w:p w14:paraId="02258FEA" w14:textId="77777777" w:rsidR="00E53545" w:rsidRPr="00E53545" w:rsidRDefault="00E53545" w:rsidP="00E53545">
      <w:pPr>
        <w:jc w:val="center"/>
        <w:rPr>
          <w:b/>
          <w:noProof/>
          <w:szCs w:val="24"/>
        </w:rPr>
      </w:pPr>
      <w:r w:rsidRPr="00E53545">
        <w:rPr>
          <w:b/>
          <w:noProof/>
          <w:szCs w:val="24"/>
        </w:rPr>
        <w:t xml:space="preserve">Digital EU power of attorney </w:t>
      </w:r>
    </w:p>
    <w:p w14:paraId="760EBE13" w14:textId="77777777" w:rsidR="00E53545" w:rsidRPr="00E53545" w:rsidRDefault="00921A30" w:rsidP="009E264C">
      <w:pPr>
        <w:ind w:left="851"/>
        <w:rPr>
          <w:noProof/>
        </w:rPr>
      </w:pPr>
      <w:r>
        <w:rPr>
          <w:noProof/>
        </w:rPr>
        <w:t xml:space="preserve">1. </w:t>
      </w:r>
      <w:r w:rsidR="00E53545" w:rsidRPr="00E53545">
        <w:rPr>
          <w:noProof/>
        </w:rPr>
        <w:t>Member States shall ensure that</w:t>
      </w:r>
      <w:r w:rsidR="005C3A83">
        <w:rPr>
          <w:noProof/>
        </w:rPr>
        <w:t>,</w:t>
      </w:r>
      <w:r w:rsidR="00E53545" w:rsidRPr="00E53545" w:rsidDel="005C3A83">
        <w:rPr>
          <w:noProof/>
        </w:rPr>
        <w:t xml:space="preserve"> in order</w:t>
      </w:r>
      <w:r w:rsidR="00E53545" w:rsidRPr="00E53545">
        <w:rPr>
          <w:noProof/>
        </w:rPr>
        <w:t xml:space="preserve"> to carry out procedures in another Member State in the context of this Directive, companies listed in Annexes II and IIB may use a standard model </w:t>
      </w:r>
      <w:r w:rsidR="008326B8">
        <w:rPr>
          <w:noProof/>
        </w:rPr>
        <w:t>of the</w:t>
      </w:r>
      <w:r w:rsidR="00E53545" w:rsidRPr="00E53545">
        <w:rPr>
          <w:noProof/>
        </w:rPr>
        <w:t xml:space="preserve"> digital EU power of attorney in accordance with this Article to authorise a person to represent the company. </w:t>
      </w:r>
    </w:p>
    <w:p w14:paraId="2E9ED657" w14:textId="77777777" w:rsidR="00E53545" w:rsidRPr="00E53545" w:rsidRDefault="00E53545" w:rsidP="00327368">
      <w:pPr>
        <w:ind w:left="851"/>
        <w:rPr>
          <w:noProof/>
          <w:szCs w:val="24"/>
        </w:rPr>
      </w:pPr>
      <w:r w:rsidRPr="00E53545">
        <w:rPr>
          <w:noProof/>
          <w:szCs w:val="24"/>
        </w:rPr>
        <w:t xml:space="preserve">The digital EU power of attorney shall be drawn up and revoked in accordance with </w:t>
      </w:r>
      <w:r w:rsidR="0058331D" w:rsidRPr="0058331D">
        <w:rPr>
          <w:noProof/>
          <w:szCs w:val="24"/>
        </w:rPr>
        <w:t>national legal and formal requirements</w:t>
      </w:r>
      <w:r w:rsidRPr="0058331D">
        <w:rPr>
          <w:noProof/>
          <w:szCs w:val="24"/>
        </w:rPr>
        <w:t xml:space="preserve">. The </w:t>
      </w:r>
      <w:r w:rsidRPr="00E53545">
        <w:rPr>
          <w:noProof/>
          <w:szCs w:val="24"/>
        </w:rPr>
        <w:t xml:space="preserve">national requirements for drawing up the digital EU power of attorney shall at least include the verification of the identity, legal capacity and authority to represent the company of the person granting the power of attorney. </w:t>
      </w:r>
    </w:p>
    <w:p w14:paraId="1E91A6B1" w14:textId="77777777" w:rsidR="00E53545" w:rsidRDefault="00E53545" w:rsidP="00F966FF">
      <w:pPr>
        <w:ind w:left="851"/>
        <w:contextualSpacing/>
        <w:rPr>
          <w:noProof/>
          <w:szCs w:val="24"/>
        </w:rPr>
      </w:pPr>
      <w:r w:rsidRPr="00E53545">
        <w:rPr>
          <w:noProof/>
          <w:szCs w:val="24"/>
        </w:rPr>
        <w:t xml:space="preserve">Member States shall ensure that the digital EU power of attorney is </w:t>
      </w:r>
      <w:r w:rsidR="006005D8">
        <w:rPr>
          <w:noProof/>
          <w:szCs w:val="24"/>
        </w:rPr>
        <w:t>authenticated</w:t>
      </w:r>
      <w:r w:rsidR="006005D8" w:rsidRPr="00E53545">
        <w:rPr>
          <w:noProof/>
          <w:szCs w:val="24"/>
        </w:rPr>
        <w:t xml:space="preserve"> </w:t>
      </w:r>
      <w:r w:rsidRPr="00E53545">
        <w:rPr>
          <w:noProof/>
          <w:szCs w:val="24"/>
        </w:rPr>
        <w:t>by means of trust services referred to in Regulation (EU) No 910/2014</w:t>
      </w:r>
      <w:r w:rsidR="005C3A83">
        <w:rPr>
          <w:noProof/>
          <w:szCs w:val="24"/>
        </w:rPr>
        <w:t>,</w:t>
      </w:r>
      <w:r w:rsidRPr="00E53545">
        <w:rPr>
          <w:noProof/>
          <w:szCs w:val="24"/>
        </w:rPr>
        <w:t xml:space="preserve"> and compatible with the European Digital Identity Wallet referred to </w:t>
      </w:r>
      <w:r w:rsidR="006D30E4">
        <w:rPr>
          <w:noProof/>
          <w:szCs w:val="24"/>
        </w:rPr>
        <w:t>in [</w:t>
      </w:r>
      <w:r w:rsidR="0021674F">
        <w:rPr>
          <w:noProof/>
          <w:szCs w:val="24"/>
        </w:rPr>
        <w:t xml:space="preserve">PO: </w:t>
      </w:r>
      <w:r w:rsidRPr="00E53545">
        <w:rPr>
          <w:noProof/>
        </w:rPr>
        <w:t xml:space="preserve">Reference to </w:t>
      </w:r>
      <w:r w:rsidRPr="00E53545">
        <w:rPr>
          <w:noProof/>
          <w:szCs w:val="24"/>
        </w:rPr>
        <w:t>Proposal for a Regulation of the European Parliament and of the Council amending Regulation (EU) No 910/2014 as regards establishing a framework for a European Digital Identity</w:t>
      </w:r>
      <w:r w:rsidR="006D30E4">
        <w:rPr>
          <w:noProof/>
          <w:szCs w:val="24"/>
        </w:rPr>
        <w:t>]</w:t>
      </w:r>
      <w:r w:rsidRPr="00E53545">
        <w:rPr>
          <w:noProof/>
          <w:szCs w:val="24"/>
        </w:rPr>
        <w:t>.</w:t>
      </w:r>
    </w:p>
    <w:p w14:paraId="54B49B08" w14:textId="77777777" w:rsidR="00F966FF" w:rsidRPr="00E53545" w:rsidRDefault="00F966FF" w:rsidP="00F966FF">
      <w:pPr>
        <w:ind w:left="851"/>
        <w:contextualSpacing/>
        <w:rPr>
          <w:noProof/>
          <w:szCs w:val="24"/>
        </w:rPr>
      </w:pPr>
    </w:p>
    <w:p w14:paraId="2FAC6DBB" w14:textId="77777777" w:rsidR="00E53545" w:rsidRDefault="00E16514" w:rsidP="009E264C">
      <w:pPr>
        <w:ind w:left="851"/>
        <w:contextualSpacing/>
        <w:rPr>
          <w:noProof/>
        </w:rPr>
      </w:pPr>
      <w:r>
        <w:rPr>
          <w:noProof/>
        </w:rPr>
        <w:t xml:space="preserve">2. </w:t>
      </w:r>
      <w:r w:rsidR="00E53545" w:rsidRPr="00E53545">
        <w:rPr>
          <w:noProof/>
        </w:rPr>
        <w:t xml:space="preserve">The digital EU power of attorney shall be accepted as evidence of the authorised person’s entitlement to represent the company as specified in the document. </w:t>
      </w:r>
    </w:p>
    <w:p w14:paraId="04FA6106" w14:textId="77777777" w:rsidR="00F966FF" w:rsidRPr="00E53545" w:rsidRDefault="00F966FF" w:rsidP="009E264C">
      <w:pPr>
        <w:ind w:left="851"/>
        <w:contextualSpacing/>
        <w:rPr>
          <w:noProof/>
        </w:rPr>
      </w:pPr>
    </w:p>
    <w:p w14:paraId="1468DE9A" w14:textId="77777777" w:rsidR="00E53545" w:rsidRDefault="00E16514" w:rsidP="009E264C">
      <w:pPr>
        <w:ind w:left="851"/>
        <w:contextualSpacing/>
        <w:rPr>
          <w:noProof/>
        </w:rPr>
      </w:pPr>
      <w:r>
        <w:rPr>
          <w:noProof/>
        </w:rPr>
        <w:t xml:space="preserve">3. </w:t>
      </w:r>
      <w:r w:rsidR="00E53545" w:rsidRPr="00E53545">
        <w:rPr>
          <w:noProof/>
        </w:rPr>
        <w:t>Member States shall ensure that the companies referred to in paragraph 1 file the digital EU power of attorney, any amendment to it</w:t>
      </w:r>
      <w:r w:rsidR="006005D8">
        <w:rPr>
          <w:noProof/>
        </w:rPr>
        <w:t>,</w:t>
      </w:r>
      <w:r w:rsidR="00E53545" w:rsidRPr="00E53545">
        <w:rPr>
          <w:noProof/>
        </w:rPr>
        <w:t xml:space="preserve"> and </w:t>
      </w:r>
      <w:r w:rsidR="0021674F">
        <w:rPr>
          <w:noProof/>
        </w:rPr>
        <w:t>any</w:t>
      </w:r>
      <w:r w:rsidR="0021674F" w:rsidRPr="00E53545">
        <w:rPr>
          <w:noProof/>
        </w:rPr>
        <w:t xml:space="preserve"> </w:t>
      </w:r>
      <w:r w:rsidR="00E53545" w:rsidRPr="00E53545">
        <w:rPr>
          <w:noProof/>
        </w:rPr>
        <w:t>revocation</w:t>
      </w:r>
      <w:r w:rsidR="00EA5835">
        <w:rPr>
          <w:noProof/>
        </w:rPr>
        <w:t>,</w:t>
      </w:r>
      <w:r w:rsidR="00E53545" w:rsidRPr="00E53545">
        <w:rPr>
          <w:noProof/>
        </w:rPr>
        <w:t xml:space="preserve"> </w:t>
      </w:r>
      <w:r w:rsidR="00EA5835">
        <w:rPr>
          <w:noProof/>
        </w:rPr>
        <w:t>with</w:t>
      </w:r>
      <w:r w:rsidR="00E53545" w:rsidRPr="00E53545">
        <w:rPr>
          <w:noProof/>
        </w:rPr>
        <w:t xml:space="preserve"> the register where the company is registered. </w:t>
      </w:r>
    </w:p>
    <w:p w14:paraId="16306EFF" w14:textId="77777777" w:rsidR="00F966FF" w:rsidRDefault="00F966FF" w:rsidP="009E264C">
      <w:pPr>
        <w:ind w:left="851"/>
        <w:contextualSpacing/>
        <w:rPr>
          <w:noProof/>
        </w:rPr>
      </w:pPr>
    </w:p>
    <w:p w14:paraId="5B1EF730" w14:textId="77777777" w:rsidR="00E53545" w:rsidRDefault="00E16514" w:rsidP="009E264C">
      <w:pPr>
        <w:ind w:left="851"/>
        <w:contextualSpacing/>
        <w:rPr>
          <w:noProof/>
        </w:rPr>
      </w:pPr>
      <w:r>
        <w:rPr>
          <w:noProof/>
        </w:rPr>
        <w:t xml:space="preserve">4. </w:t>
      </w:r>
      <w:r w:rsidR="005C3A83">
        <w:rPr>
          <w:noProof/>
        </w:rPr>
        <w:t>C</w:t>
      </w:r>
      <w:r w:rsidR="00E53545" w:rsidRPr="002C451F">
        <w:rPr>
          <w:noProof/>
        </w:rPr>
        <w:t>ompetent authorities, registers referred to in Article 16</w:t>
      </w:r>
      <w:r w:rsidR="006005D8">
        <w:rPr>
          <w:noProof/>
        </w:rPr>
        <w:t>,</w:t>
      </w:r>
      <w:r w:rsidR="00E53545" w:rsidRPr="002C451F">
        <w:rPr>
          <w:noProof/>
        </w:rPr>
        <w:t xml:space="preserve"> or any other third party who can demonstrate legitimate interest, shall have access to the digital EU power of attorney in the register of the company. </w:t>
      </w:r>
    </w:p>
    <w:p w14:paraId="4DFDE260" w14:textId="77777777" w:rsidR="00F966FF" w:rsidRPr="002C451F" w:rsidRDefault="00F966FF" w:rsidP="009E264C">
      <w:pPr>
        <w:ind w:left="851"/>
        <w:contextualSpacing/>
        <w:rPr>
          <w:noProof/>
        </w:rPr>
      </w:pPr>
    </w:p>
    <w:p w14:paraId="1FE252F8" w14:textId="77777777" w:rsidR="00F966FF" w:rsidRDefault="00E16514" w:rsidP="009E264C">
      <w:pPr>
        <w:ind w:left="851"/>
        <w:contextualSpacing/>
        <w:rPr>
          <w:noProof/>
        </w:rPr>
      </w:pPr>
      <w:r>
        <w:rPr>
          <w:noProof/>
        </w:rPr>
        <w:t xml:space="preserve">5. </w:t>
      </w:r>
      <w:r w:rsidR="00E53545" w:rsidRPr="00E53545">
        <w:rPr>
          <w:noProof/>
        </w:rPr>
        <w:t xml:space="preserve">The Commission shall publish the standard model of the digital EU power of attorney on the portal in all official languages of the Union. </w:t>
      </w:r>
    </w:p>
    <w:p w14:paraId="4895C29E" w14:textId="77777777" w:rsidR="00E53545" w:rsidRPr="00E53545" w:rsidRDefault="00E53545" w:rsidP="009E264C">
      <w:pPr>
        <w:rPr>
          <w:noProof/>
        </w:rPr>
      </w:pPr>
      <w:r w:rsidRPr="00E53545">
        <w:rPr>
          <w:noProof/>
        </w:rPr>
        <w:t xml:space="preserve"> </w:t>
      </w:r>
    </w:p>
    <w:p w14:paraId="34580F06" w14:textId="77777777" w:rsidR="00E53545" w:rsidRPr="00E53545" w:rsidRDefault="00E53545" w:rsidP="00E53545">
      <w:pPr>
        <w:pStyle w:val="CommentText"/>
        <w:ind w:left="360"/>
        <w:contextualSpacing/>
        <w:rPr>
          <w:noProof/>
          <w:sz w:val="24"/>
          <w:szCs w:val="24"/>
        </w:rPr>
      </w:pPr>
    </w:p>
    <w:p w14:paraId="31453B0A" w14:textId="77777777" w:rsidR="00E53545" w:rsidRPr="00255B05" w:rsidRDefault="00E53545" w:rsidP="00E53545">
      <w:pPr>
        <w:pStyle w:val="CommentText"/>
        <w:contextualSpacing/>
        <w:jc w:val="center"/>
        <w:rPr>
          <w:noProof/>
          <w:sz w:val="24"/>
          <w:szCs w:val="24"/>
        </w:rPr>
      </w:pPr>
      <w:r w:rsidRPr="00255B05">
        <w:rPr>
          <w:noProof/>
          <w:sz w:val="24"/>
          <w:szCs w:val="24"/>
        </w:rPr>
        <w:t>Article 16d</w:t>
      </w:r>
    </w:p>
    <w:p w14:paraId="47F6AAA6" w14:textId="77777777" w:rsidR="00E53545" w:rsidRPr="00E53545" w:rsidRDefault="00E53545" w:rsidP="00E53545">
      <w:pPr>
        <w:pStyle w:val="CommentText"/>
        <w:contextualSpacing/>
        <w:jc w:val="center"/>
        <w:rPr>
          <w:b/>
          <w:noProof/>
          <w:sz w:val="24"/>
          <w:szCs w:val="24"/>
        </w:rPr>
      </w:pPr>
      <w:r w:rsidRPr="00E53545">
        <w:rPr>
          <w:b/>
          <w:noProof/>
          <w:sz w:val="24"/>
          <w:szCs w:val="24"/>
        </w:rPr>
        <w:t xml:space="preserve"> </w:t>
      </w:r>
    </w:p>
    <w:p w14:paraId="5CFD8F19" w14:textId="77777777" w:rsidR="00E53545" w:rsidRPr="00E53545" w:rsidRDefault="00E53545" w:rsidP="00E53545">
      <w:pPr>
        <w:pStyle w:val="CommentText"/>
        <w:contextualSpacing/>
        <w:jc w:val="center"/>
        <w:rPr>
          <w:b/>
          <w:noProof/>
          <w:sz w:val="24"/>
          <w:szCs w:val="24"/>
        </w:rPr>
      </w:pPr>
      <w:r w:rsidRPr="00E53545">
        <w:rPr>
          <w:b/>
          <w:noProof/>
          <w:sz w:val="24"/>
          <w:szCs w:val="24"/>
        </w:rPr>
        <w:t>Exemption from legalisation and similar formality</w:t>
      </w:r>
    </w:p>
    <w:p w14:paraId="0667A866" w14:textId="77777777" w:rsidR="00E53545" w:rsidRPr="00E53545" w:rsidRDefault="00E53545" w:rsidP="0012262C">
      <w:pPr>
        <w:pStyle w:val="CommentText"/>
        <w:ind w:left="1276" w:hanging="425"/>
        <w:contextualSpacing/>
        <w:rPr>
          <w:noProof/>
          <w:sz w:val="24"/>
          <w:szCs w:val="24"/>
        </w:rPr>
      </w:pPr>
    </w:p>
    <w:p w14:paraId="51B3FD43" w14:textId="77777777" w:rsidR="00F867FC" w:rsidRPr="001A62D7" w:rsidRDefault="004634CC" w:rsidP="00D93505">
      <w:pPr>
        <w:ind w:left="851"/>
        <w:rPr>
          <w:noProof/>
        </w:rPr>
      </w:pPr>
      <w:r>
        <w:rPr>
          <w:noProof/>
        </w:rPr>
        <w:t xml:space="preserve">1. </w:t>
      </w:r>
      <w:r w:rsidR="00F867FC" w:rsidRPr="001A62D7">
        <w:rPr>
          <w:noProof/>
        </w:rPr>
        <w:t xml:space="preserve">Where </w:t>
      </w:r>
      <w:r w:rsidR="001A62D7" w:rsidRPr="001A62D7">
        <w:rPr>
          <w:noProof/>
        </w:rPr>
        <w:t xml:space="preserve">copies and extracts of documents and information provided and </w:t>
      </w:r>
      <w:r w:rsidR="00F867FC" w:rsidRPr="001A62D7">
        <w:rPr>
          <w:noProof/>
        </w:rPr>
        <w:t>certified as true copies by a register referred to in Article 16, inclu</w:t>
      </w:r>
      <w:r w:rsidR="001A62D7" w:rsidRPr="001A62D7">
        <w:rPr>
          <w:noProof/>
        </w:rPr>
        <w:t>ding certified translations</w:t>
      </w:r>
      <w:r w:rsidR="00F867FC" w:rsidRPr="001A62D7">
        <w:rPr>
          <w:noProof/>
        </w:rPr>
        <w:t xml:space="preserve">, are to be presented in another Member State, Member States shall ensure that </w:t>
      </w:r>
      <w:r w:rsidR="001A62D7" w:rsidRPr="001A62D7">
        <w:rPr>
          <w:noProof/>
        </w:rPr>
        <w:t>they</w:t>
      </w:r>
      <w:r w:rsidR="00F867FC" w:rsidRPr="001A62D7">
        <w:rPr>
          <w:noProof/>
        </w:rPr>
        <w:t xml:space="preserve"> are exempted from all forms of legalisation and similar formality.</w:t>
      </w:r>
    </w:p>
    <w:p w14:paraId="0107D3A0" w14:textId="77777777" w:rsidR="00F867FC" w:rsidRPr="00B11F0A" w:rsidRDefault="00F867FC" w:rsidP="004634CC">
      <w:pPr>
        <w:pStyle w:val="CommentText"/>
        <w:ind w:left="851"/>
        <w:contextualSpacing/>
        <w:rPr>
          <w:noProof/>
          <w:sz w:val="24"/>
          <w:szCs w:val="24"/>
        </w:rPr>
      </w:pPr>
      <w:r w:rsidRPr="001A62D7">
        <w:rPr>
          <w:noProof/>
          <w:sz w:val="24"/>
          <w:szCs w:val="24"/>
        </w:rPr>
        <w:t>This paragraph applies to electronic copies and extracts</w:t>
      </w:r>
      <w:r w:rsidR="00CF6EBD">
        <w:rPr>
          <w:noProof/>
          <w:sz w:val="24"/>
          <w:szCs w:val="24"/>
        </w:rPr>
        <w:t xml:space="preserve"> </w:t>
      </w:r>
      <w:r w:rsidR="00CF6EBD" w:rsidRPr="001A62D7">
        <w:rPr>
          <w:noProof/>
          <w:sz w:val="24"/>
          <w:szCs w:val="24"/>
        </w:rPr>
        <w:t>of documents and information</w:t>
      </w:r>
      <w:r w:rsidRPr="001A62D7">
        <w:rPr>
          <w:noProof/>
          <w:sz w:val="24"/>
          <w:szCs w:val="24"/>
        </w:rPr>
        <w:t>,</w:t>
      </w:r>
      <w:r w:rsidR="00CF6EBD">
        <w:rPr>
          <w:noProof/>
          <w:sz w:val="24"/>
          <w:szCs w:val="24"/>
        </w:rPr>
        <w:t xml:space="preserve"> </w:t>
      </w:r>
      <w:r w:rsidR="00CF6EBD" w:rsidRPr="001A62D7">
        <w:rPr>
          <w:noProof/>
          <w:sz w:val="24"/>
          <w:szCs w:val="24"/>
        </w:rPr>
        <w:t>including certified translations</w:t>
      </w:r>
      <w:r w:rsidR="005C3A83">
        <w:rPr>
          <w:noProof/>
          <w:sz w:val="24"/>
          <w:szCs w:val="24"/>
        </w:rPr>
        <w:t>,</w:t>
      </w:r>
      <w:r w:rsidRPr="001A62D7">
        <w:rPr>
          <w:noProof/>
          <w:sz w:val="24"/>
          <w:szCs w:val="24"/>
        </w:rPr>
        <w:t xml:space="preserve"> where they have been authenticated in accordance with Article 16a(4)</w:t>
      </w:r>
      <w:r w:rsidR="005C3A83">
        <w:rPr>
          <w:noProof/>
          <w:sz w:val="24"/>
          <w:szCs w:val="24"/>
        </w:rPr>
        <w:t>,</w:t>
      </w:r>
      <w:r w:rsidRPr="001A62D7">
        <w:rPr>
          <w:noProof/>
          <w:sz w:val="24"/>
          <w:szCs w:val="24"/>
        </w:rPr>
        <w:t xml:space="preserve"> and to paper-based </w:t>
      </w:r>
      <w:r w:rsidR="00AA3A96">
        <w:rPr>
          <w:noProof/>
          <w:sz w:val="24"/>
          <w:szCs w:val="24"/>
        </w:rPr>
        <w:t>ones</w:t>
      </w:r>
      <w:r w:rsidRPr="001A62D7">
        <w:rPr>
          <w:noProof/>
          <w:sz w:val="24"/>
          <w:szCs w:val="24"/>
        </w:rPr>
        <w:t xml:space="preserve"> where they include their date of issuance as well as the seal or stamp of the register and bear a technical feature that allows the electronic verification of the origin and authenticity of the document such as a unique protocol </w:t>
      </w:r>
      <w:r w:rsidR="00AA3A96">
        <w:rPr>
          <w:noProof/>
          <w:sz w:val="24"/>
          <w:szCs w:val="24"/>
        </w:rPr>
        <w:t>or</w:t>
      </w:r>
      <w:r w:rsidRPr="001A62D7">
        <w:rPr>
          <w:noProof/>
          <w:sz w:val="24"/>
          <w:szCs w:val="24"/>
        </w:rPr>
        <w:t xml:space="preserve"> identification number.</w:t>
      </w:r>
    </w:p>
    <w:p w14:paraId="244E6443" w14:textId="77777777" w:rsidR="00F867FC" w:rsidRPr="00E53545" w:rsidRDefault="00F867FC" w:rsidP="00A22023">
      <w:pPr>
        <w:pStyle w:val="CommentText"/>
        <w:ind w:left="851"/>
        <w:contextualSpacing/>
        <w:rPr>
          <w:noProof/>
          <w:sz w:val="24"/>
          <w:szCs w:val="24"/>
        </w:rPr>
      </w:pPr>
    </w:p>
    <w:p w14:paraId="6E692E96" w14:textId="77777777" w:rsidR="00E53545" w:rsidRPr="00E53545" w:rsidRDefault="004634CC" w:rsidP="00D93505">
      <w:pPr>
        <w:ind w:left="851"/>
        <w:contextualSpacing/>
        <w:rPr>
          <w:noProof/>
        </w:rPr>
      </w:pPr>
      <w:r>
        <w:rPr>
          <w:noProof/>
        </w:rPr>
        <w:t xml:space="preserve">2.  </w:t>
      </w:r>
      <w:r w:rsidR="00E53545" w:rsidRPr="00E53545">
        <w:rPr>
          <w:noProof/>
        </w:rPr>
        <w:t>Member S</w:t>
      </w:r>
      <w:r w:rsidR="0058331D">
        <w:rPr>
          <w:noProof/>
        </w:rPr>
        <w:t>tates shall ensure that the EU Company C</w:t>
      </w:r>
      <w:r w:rsidR="00E53545" w:rsidRPr="00E53545">
        <w:rPr>
          <w:noProof/>
        </w:rPr>
        <w:t xml:space="preserve">ertificate issued in accordance with Article 16b, the digital EU power of attorney referred to in Article 16c and the pre-operation certificates transmitted in accordance with Articles 86n, 127a and 160n are exempted from legalisation or any similar formality. </w:t>
      </w:r>
    </w:p>
    <w:p w14:paraId="542D2A70" w14:textId="77777777" w:rsidR="00E53545" w:rsidRPr="00E53545" w:rsidRDefault="00E53545" w:rsidP="00D93505">
      <w:pPr>
        <w:pStyle w:val="CommentText"/>
        <w:ind w:left="851"/>
        <w:contextualSpacing/>
        <w:rPr>
          <w:noProof/>
          <w:sz w:val="24"/>
          <w:szCs w:val="24"/>
        </w:rPr>
      </w:pPr>
    </w:p>
    <w:p w14:paraId="63C1E92C" w14:textId="77777777" w:rsidR="001A62D7" w:rsidRPr="002547F9" w:rsidRDefault="004634CC" w:rsidP="00D93505">
      <w:pPr>
        <w:spacing w:before="0"/>
        <w:ind w:left="851"/>
        <w:rPr>
          <w:noProof/>
        </w:rPr>
      </w:pPr>
      <w:r>
        <w:rPr>
          <w:noProof/>
        </w:rPr>
        <w:t xml:space="preserve">3. </w:t>
      </w:r>
      <w:r w:rsidR="001A62D7">
        <w:rPr>
          <w:noProof/>
        </w:rPr>
        <w:t xml:space="preserve">Where </w:t>
      </w:r>
      <w:r w:rsidR="001A62D7" w:rsidRPr="00E53545">
        <w:rPr>
          <w:noProof/>
        </w:rPr>
        <w:t xml:space="preserve">notarial acts, administrative documents, their certified copies and translations issued in a Member State in the context of the procedures of this Directive </w:t>
      </w:r>
      <w:r w:rsidR="001A62D7">
        <w:rPr>
          <w:noProof/>
        </w:rPr>
        <w:t xml:space="preserve">are </w:t>
      </w:r>
      <w:r w:rsidR="001A62D7" w:rsidRPr="00E53545">
        <w:rPr>
          <w:noProof/>
        </w:rPr>
        <w:t>to be presented in another Member State</w:t>
      </w:r>
      <w:r w:rsidR="001A62D7">
        <w:rPr>
          <w:noProof/>
        </w:rPr>
        <w:t xml:space="preserve">, Member States shall ensure that they are exempted </w:t>
      </w:r>
      <w:r w:rsidR="001A62D7" w:rsidRPr="00E53545">
        <w:rPr>
          <w:noProof/>
        </w:rPr>
        <w:t>from all forms of lega</w:t>
      </w:r>
      <w:r w:rsidR="00A61AA8">
        <w:rPr>
          <w:noProof/>
        </w:rPr>
        <w:t>lisation and similar formality.</w:t>
      </w:r>
    </w:p>
    <w:p w14:paraId="211B18B3" w14:textId="77777777" w:rsidR="001A62D7" w:rsidRPr="00B2420A" w:rsidRDefault="001A62D7" w:rsidP="00A22023">
      <w:pPr>
        <w:ind w:left="851"/>
        <w:rPr>
          <w:noProof/>
          <w:szCs w:val="24"/>
        </w:rPr>
      </w:pPr>
      <w:r w:rsidRPr="00B2420A">
        <w:rPr>
          <w:noProof/>
          <w:szCs w:val="24"/>
        </w:rPr>
        <w:t xml:space="preserve">This paragraph applies to electronic </w:t>
      </w:r>
      <w:r w:rsidR="00A61AA8" w:rsidRPr="00E53545">
        <w:rPr>
          <w:noProof/>
          <w:szCs w:val="24"/>
        </w:rPr>
        <w:t>notarial acts, administrative documents, their certified copies and translations</w:t>
      </w:r>
      <w:r w:rsidRPr="00B2420A">
        <w:rPr>
          <w:noProof/>
          <w:szCs w:val="24"/>
        </w:rPr>
        <w:t xml:space="preserve"> where they have been </w:t>
      </w:r>
      <w:r w:rsidR="00AF54F8">
        <w:rPr>
          <w:noProof/>
          <w:szCs w:val="24"/>
        </w:rPr>
        <w:t xml:space="preserve">authenticated </w:t>
      </w:r>
      <w:r w:rsidRPr="00B2420A">
        <w:rPr>
          <w:noProof/>
          <w:szCs w:val="24"/>
        </w:rPr>
        <w:t>by means of trust services referred to in Regulation (EU) N</w:t>
      </w:r>
      <w:r w:rsidR="00A61AA8">
        <w:rPr>
          <w:noProof/>
          <w:szCs w:val="24"/>
        </w:rPr>
        <w:t>o 910/2014</w:t>
      </w:r>
      <w:r w:rsidR="005C3A83">
        <w:rPr>
          <w:noProof/>
          <w:szCs w:val="24"/>
        </w:rPr>
        <w:t>,</w:t>
      </w:r>
      <w:r w:rsidR="00A61AA8">
        <w:rPr>
          <w:noProof/>
          <w:szCs w:val="24"/>
        </w:rPr>
        <w:t xml:space="preserve"> and to paper-based</w:t>
      </w:r>
      <w:r w:rsidRPr="00B2420A">
        <w:rPr>
          <w:noProof/>
          <w:szCs w:val="24"/>
        </w:rPr>
        <w:t xml:space="preserve"> </w:t>
      </w:r>
      <w:r w:rsidR="00AF54F8">
        <w:rPr>
          <w:noProof/>
          <w:szCs w:val="24"/>
        </w:rPr>
        <w:t>ones</w:t>
      </w:r>
      <w:r w:rsidRPr="00B2420A">
        <w:rPr>
          <w:noProof/>
          <w:szCs w:val="24"/>
        </w:rPr>
        <w:t xml:space="preserve"> where they bear a technical feature allowing for electronic verification of the origin and authenticity of the document such as a unique protocol or identification number</w:t>
      </w:r>
      <w:r w:rsidR="00E372DE">
        <w:rPr>
          <w:noProof/>
          <w:szCs w:val="24"/>
        </w:rPr>
        <w:t>.</w:t>
      </w:r>
    </w:p>
    <w:p w14:paraId="278F4B18" w14:textId="77777777" w:rsidR="001A62D7" w:rsidRDefault="001A62D7" w:rsidP="00E53545">
      <w:pPr>
        <w:spacing w:after="0"/>
        <w:contextualSpacing/>
        <w:jc w:val="center"/>
        <w:rPr>
          <w:noProof/>
          <w:szCs w:val="24"/>
        </w:rPr>
      </w:pPr>
    </w:p>
    <w:p w14:paraId="3F4096CF" w14:textId="77777777" w:rsidR="00E53545" w:rsidRDefault="00E53545" w:rsidP="00E53545">
      <w:pPr>
        <w:spacing w:after="0"/>
        <w:contextualSpacing/>
        <w:jc w:val="center"/>
        <w:rPr>
          <w:noProof/>
          <w:szCs w:val="24"/>
        </w:rPr>
      </w:pPr>
    </w:p>
    <w:p w14:paraId="2BE65ACB" w14:textId="77777777" w:rsidR="00BA327A" w:rsidRDefault="00BA327A" w:rsidP="00E53545">
      <w:pPr>
        <w:spacing w:after="0"/>
        <w:contextualSpacing/>
        <w:jc w:val="center"/>
        <w:rPr>
          <w:noProof/>
          <w:szCs w:val="24"/>
        </w:rPr>
      </w:pPr>
    </w:p>
    <w:p w14:paraId="3F35DE2F" w14:textId="77777777" w:rsidR="00E53545" w:rsidRPr="00AF54F8" w:rsidRDefault="00E53545" w:rsidP="00E53545">
      <w:pPr>
        <w:spacing w:after="0"/>
        <w:contextualSpacing/>
        <w:jc w:val="center"/>
        <w:rPr>
          <w:noProof/>
          <w:szCs w:val="24"/>
        </w:rPr>
      </w:pPr>
      <w:r w:rsidRPr="00AF54F8">
        <w:rPr>
          <w:noProof/>
          <w:szCs w:val="24"/>
        </w:rPr>
        <w:t>Article 16e</w:t>
      </w:r>
    </w:p>
    <w:p w14:paraId="10999302" w14:textId="77777777" w:rsidR="00E53545" w:rsidRPr="00E53545" w:rsidRDefault="00E53545" w:rsidP="00E53545">
      <w:pPr>
        <w:contextualSpacing/>
        <w:jc w:val="center"/>
        <w:rPr>
          <w:b/>
          <w:noProof/>
          <w:szCs w:val="24"/>
        </w:rPr>
      </w:pPr>
    </w:p>
    <w:p w14:paraId="6EA976B6" w14:textId="77777777" w:rsidR="00E53545" w:rsidRPr="00E53545" w:rsidRDefault="00E53545" w:rsidP="0012262C">
      <w:pPr>
        <w:ind w:left="1276" w:hanging="425"/>
        <w:contextualSpacing/>
        <w:jc w:val="center"/>
        <w:rPr>
          <w:b/>
          <w:noProof/>
          <w:szCs w:val="24"/>
        </w:rPr>
      </w:pPr>
      <w:r w:rsidRPr="00E53545">
        <w:rPr>
          <w:b/>
          <w:noProof/>
          <w:szCs w:val="24"/>
        </w:rPr>
        <w:t>Safeguards in case of reasonable doubt</w:t>
      </w:r>
    </w:p>
    <w:p w14:paraId="763C0CCA" w14:textId="77777777" w:rsidR="00E53545" w:rsidRPr="00E53545" w:rsidRDefault="00E53545" w:rsidP="0012262C">
      <w:pPr>
        <w:ind w:left="1276" w:hanging="425"/>
        <w:contextualSpacing/>
        <w:rPr>
          <w:noProof/>
          <w:szCs w:val="24"/>
        </w:rPr>
      </w:pPr>
    </w:p>
    <w:p w14:paraId="78C39824" w14:textId="77777777" w:rsidR="00E53545" w:rsidRPr="00E53545" w:rsidRDefault="00E53545" w:rsidP="00A22023">
      <w:pPr>
        <w:ind w:left="851"/>
        <w:contextualSpacing/>
        <w:rPr>
          <w:noProof/>
          <w:szCs w:val="24"/>
        </w:rPr>
      </w:pPr>
      <w:r w:rsidRPr="00E53545">
        <w:rPr>
          <w:noProof/>
          <w:szCs w:val="24"/>
        </w:rPr>
        <w:t xml:space="preserve">1. </w:t>
      </w:r>
      <w:r w:rsidR="0012262C">
        <w:rPr>
          <w:noProof/>
          <w:szCs w:val="24"/>
        </w:rPr>
        <w:tab/>
      </w:r>
      <w:r w:rsidRPr="00E53545">
        <w:rPr>
          <w:noProof/>
          <w:szCs w:val="24"/>
        </w:rPr>
        <w:t xml:space="preserve">Where the authorities in another Member State to </w:t>
      </w:r>
      <w:r w:rsidR="003D0801">
        <w:rPr>
          <w:noProof/>
          <w:szCs w:val="24"/>
        </w:rPr>
        <w:t>which</w:t>
      </w:r>
      <w:r w:rsidR="003D0801" w:rsidRPr="00E53545">
        <w:rPr>
          <w:noProof/>
          <w:szCs w:val="24"/>
        </w:rPr>
        <w:t xml:space="preserve"> </w:t>
      </w:r>
      <w:r w:rsidRPr="00E53545">
        <w:rPr>
          <w:noProof/>
          <w:szCs w:val="24"/>
        </w:rPr>
        <w:t>the copies and extracts of documents and information</w:t>
      </w:r>
      <w:r w:rsidRPr="00E53545" w:rsidDel="00D63DE3">
        <w:rPr>
          <w:noProof/>
          <w:szCs w:val="24"/>
        </w:rPr>
        <w:t xml:space="preserve"> </w:t>
      </w:r>
      <w:r w:rsidRPr="00E53545">
        <w:rPr>
          <w:noProof/>
          <w:szCs w:val="24"/>
        </w:rPr>
        <w:t xml:space="preserve">provided and certified as true copies by a register in accordance with </w:t>
      </w:r>
      <w:r w:rsidR="0058331D">
        <w:rPr>
          <w:noProof/>
          <w:szCs w:val="24"/>
        </w:rPr>
        <w:t>Article 16d</w:t>
      </w:r>
      <w:r w:rsidR="003D0801">
        <w:rPr>
          <w:noProof/>
          <w:szCs w:val="24"/>
        </w:rPr>
        <w:t>(1)</w:t>
      </w:r>
      <w:r w:rsidR="005C3A83">
        <w:rPr>
          <w:noProof/>
          <w:szCs w:val="24"/>
        </w:rPr>
        <w:t>,</w:t>
      </w:r>
      <w:r w:rsidR="0058331D">
        <w:rPr>
          <w:noProof/>
          <w:szCs w:val="24"/>
        </w:rPr>
        <w:t xml:space="preserve"> or the EU Company C</w:t>
      </w:r>
      <w:r w:rsidRPr="00E53545">
        <w:rPr>
          <w:noProof/>
          <w:szCs w:val="24"/>
        </w:rPr>
        <w:t>ertificate issued in accordance with Article 16b</w:t>
      </w:r>
      <w:r w:rsidR="005C3A83">
        <w:rPr>
          <w:noProof/>
          <w:szCs w:val="24"/>
        </w:rPr>
        <w:t>,</w:t>
      </w:r>
      <w:r w:rsidRPr="00E53545">
        <w:rPr>
          <w:noProof/>
          <w:szCs w:val="24"/>
        </w:rPr>
        <w:t xml:space="preserve"> are presented have a reasonable doubt as to the origin and authenticity, </w:t>
      </w:r>
      <w:r w:rsidR="003D0801">
        <w:rPr>
          <w:noProof/>
          <w:szCs w:val="24"/>
        </w:rPr>
        <w:t>including</w:t>
      </w:r>
      <w:r w:rsidRPr="00E53545">
        <w:rPr>
          <w:noProof/>
          <w:szCs w:val="24"/>
        </w:rPr>
        <w:t xml:space="preserve"> the identity of the seal or stamp</w:t>
      </w:r>
      <w:r w:rsidR="005C3A83">
        <w:rPr>
          <w:noProof/>
          <w:szCs w:val="24"/>
        </w:rPr>
        <w:t>,</w:t>
      </w:r>
      <w:r w:rsidRPr="00E53545">
        <w:rPr>
          <w:noProof/>
          <w:szCs w:val="24"/>
        </w:rPr>
        <w:t xml:space="preserve"> or </w:t>
      </w:r>
      <w:r w:rsidR="00BF46A1">
        <w:rPr>
          <w:noProof/>
          <w:szCs w:val="24"/>
        </w:rPr>
        <w:t xml:space="preserve">have reason to consider </w:t>
      </w:r>
      <w:r w:rsidRPr="00E53545">
        <w:rPr>
          <w:noProof/>
          <w:szCs w:val="24"/>
        </w:rPr>
        <w:t>that the document ha</w:t>
      </w:r>
      <w:r w:rsidR="003565F6">
        <w:rPr>
          <w:noProof/>
          <w:szCs w:val="24"/>
        </w:rPr>
        <w:t>s</w:t>
      </w:r>
      <w:r w:rsidRPr="00E53545">
        <w:rPr>
          <w:noProof/>
          <w:szCs w:val="24"/>
        </w:rPr>
        <w:t xml:space="preserve"> been forged or tampered with, they</w:t>
      </w:r>
      <w:r w:rsidRPr="00E53545" w:rsidDel="00C353BE">
        <w:rPr>
          <w:noProof/>
          <w:szCs w:val="24"/>
        </w:rPr>
        <w:t xml:space="preserve"> </w:t>
      </w:r>
      <w:r w:rsidRPr="00E53545">
        <w:rPr>
          <w:noProof/>
          <w:szCs w:val="24"/>
        </w:rPr>
        <w:t>may submit a request for information to the contact point:</w:t>
      </w:r>
    </w:p>
    <w:p w14:paraId="02B0998A" w14:textId="77777777" w:rsidR="00E53545" w:rsidRPr="00E53545" w:rsidRDefault="00E53545" w:rsidP="0012262C">
      <w:pPr>
        <w:ind w:left="1276" w:hanging="425"/>
        <w:contextualSpacing/>
        <w:rPr>
          <w:noProof/>
          <w:szCs w:val="24"/>
        </w:rPr>
      </w:pPr>
      <w:r w:rsidRPr="00E53545">
        <w:rPr>
          <w:noProof/>
          <w:szCs w:val="24"/>
        </w:rPr>
        <w:tab/>
      </w:r>
    </w:p>
    <w:p w14:paraId="4BFEEB5E" w14:textId="77777777" w:rsidR="00E53545" w:rsidRPr="00E53545" w:rsidRDefault="00E53545" w:rsidP="0012262C">
      <w:pPr>
        <w:ind w:left="1701" w:hanging="425"/>
        <w:contextualSpacing/>
        <w:rPr>
          <w:noProof/>
          <w:szCs w:val="24"/>
        </w:rPr>
      </w:pPr>
      <w:r w:rsidRPr="00E53545">
        <w:rPr>
          <w:noProof/>
          <w:szCs w:val="24"/>
        </w:rPr>
        <w:t>(</w:t>
      </w:r>
      <w:r w:rsidR="003D0801">
        <w:rPr>
          <w:noProof/>
          <w:szCs w:val="24"/>
        </w:rPr>
        <w:t>a</w:t>
      </w:r>
      <w:r w:rsidRPr="00E53545">
        <w:rPr>
          <w:noProof/>
          <w:szCs w:val="24"/>
        </w:rPr>
        <w:t>) in the register that provided these copies and extracts of documents and information, or</w:t>
      </w:r>
    </w:p>
    <w:p w14:paraId="0D9863C0" w14:textId="77777777" w:rsidR="00E53545" w:rsidRPr="00E53545" w:rsidRDefault="00E53545" w:rsidP="0012262C">
      <w:pPr>
        <w:ind w:left="1701" w:hanging="425"/>
        <w:contextualSpacing/>
        <w:rPr>
          <w:noProof/>
          <w:szCs w:val="24"/>
        </w:rPr>
      </w:pPr>
    </w:p>
    <w:p w14:paraId="2A3764C3" w14:textId="77777777" w:rsidR="00E53545" w:rsidRPr="00E53545" w:rsidRDefault="00E53545" w:rsidP="0012262C">
      <w:pPr>
        <w:ind w:left="1701" w:hanging="425"/>
        <w:contextualSpacing/>
        <w:rPr>
          <w:noProof/>
          <w:szCs w:val="24"/>
        </w:rPr>
      </w:pPr>
      <w:r w:rsidRPr="00E53545">
        <w:rPr>
          <w:noProof/>
          <w:szCs w:val="24"/>
        </w:rPr>
        <w:t>(</w:t>
      </w:r>
      <w:r w:rsidR="003D0801">
        <w:rPr>
          <w:noProof/>
          <w:szCs w:val="24"/>
        </w:rPr>
        <w:t>b</w:t>
      </w:r>
      <w:r w:rsidRPr="00E53545">
        <w:rPr>
          <w:noProof/>
          <w:szCs w:val="24"/>
        </w:rPr>
        <w:t>) in the register of the Member State of the authority in which the copies and extracts of documents and information</w:t>
      </w:r>
      <w:r w:rsidRPr="00E53545" w:rsidDel="00D63DE3">
        <w:rPr>
          <w:noProof/>
          <w:szCs w:val="24"/>
        </w:rPr>
        <w:t xml:space="preserve"> </w:t>
      </w:r>
      <w:r w:rsidRPr="00E53545">
        <w:rPr>
          <w:noProof/>
          <w:szCs w:val="24"/>
        </w:rPr>
        <w:t>were presented. That register shall verify through the system of interconnection of registers the authenticity of these copies and extracts of documents and information</w:t>
      </w:r>
      <w:r w:rsidRPr="00E53545" w:rsidDel="00D63DE3">
        <w:rPr>
          <w:noProof/>
          <w:szCs w:val="24"/>
        </w:rPr>
        <w:t xml:space="preserve"> </w:t>
      </w:r>
      <w:r w:rsidRPr="00E53545">
        <w:rPr>
          <w:noProof/>
          <w:szCs w:val="24"/>
        </w:rPr>
        <w:t xml:space="preserve">with the register that provided them. </w:t>
      </w:r>
    </w:p>
    <w:p w14:paraId="2A216688" w14:textId="77777777" w:rsidR="00E53545" w:rsidRPr="00E53545" w:rsidRDefault="00E53545" w:rsidP="0012262C">
      <w:pPr>
        <w:ind w:left="1276" w:hanging="425"/>
        <w:contextualSpacing/>
        <w:rPr>
          <w:noProof/>
          <w:szCs w:val="24"/>
        </w:rPr>
      </w:pPr>
    </w:p>
    <w:p w14:paraId="5E673324" w14:textId="77777777" w:rsidR="00E53545" w:rsidRPr="00E53545" w:rsidRDefault="00E53545" w:rsidP="00A22023">
      <w:pPr>
        <w:ind w:left="851"/>
        <w:contextualSpacing/>
        <w:rPr>
          <w:noProof/>
          <w:szCs w:val="24"/>
        </w:rPr>
      </w:pPr>
      <w:r w:rsidRPr="00E53545">
        <w:rPr>
          <w:noProof/>
          <w:szCs w:val="24"/>
        </w:rPr>
        <w:t xml:space="preserve">Member States shall notify </w:t>
      </w:r>
      <w:r w:rsidR="003D679F" w:rsidRPr="00E53545">
        <w:rPr>
          <w:noProof/>
          <w:szCs w:val="24"/>
        </w:rPr>
        <w:t xml:space="preserve">to the Commission </w:t>
      </w:r>
      <w:r w:rsidRPr="00E53545">
        <w:rPr>
          <w:noProof/>
          <w:szCs w:val="24"/>
        </w:rPr>
        <w:t xml:space="preserve">the relevant contact point in their register referred to in Article 16. </w:t>
      </w:r>
    </w:p>
    <w:p w14:paraId="3821CDB6" w14:textId="77777777" w:rsidR="00E53545" w:rsidRPr="00E53545" w:rsidRDefault="00E53545" w:rsidP="0012262C">
      <w:pPr>
        <w:ind w:left="1276" w:hanging="425"/>
        <w:contextualSpacing/>
        <w:rPr>
          <w:noProof/>
          <w:szCs w:val="24"/>
        </w:rPr>
      </w:pPr>
    </w:p>
    <w:p w14:paraId="03DD8C99" w14:textId="77777777" w:rsidR="00E53545" w:rsidRPr="00E53545" w:rsidRDefault="00E53545" w:rsidP="00A22023">
      <w:pPr>
        <w:ind w:left="851"/>
        <w:rPr>
          <w:noProof/>
          <w:szCs w:val="24"/>
        </w:rPr>
      </w:pPr>
      <w:r w:rsidRPr="00E53545">
        <w:rPr>
          <w:noProof/>
          <w:szCs w:val="24"/>
        </w:rPr>
        <w:t xml:space="preserve">2. </w:t>
      </w:r>
      <w:r w:rsidR="0012262C">
        <w:rPr>
          <w:noProof/>
          <w:szCs w:val="24"/>
        </w:rPr>
        <w:tab/>
      </w:r>
      <w:r w:rsidRPr="00E53545">
        <w:rPr>
          <w:noProof/>
          <w:szCs w:val="24"/>
        </w:rPr>
        <w:t xml:space="preserve">Requests for information </w:t>
      </w:r>
      <w:r w:rsidR="003D0801">
        <w:rPr>
          <w:noProof/>
          <w:szCs w:val="24"/>
        </w:rPr>
        <w:t>referred to in</w:t>
      </w:r>
      <w:r w:rsidRPr="00E53545">
        <w:rPr>
          <w:noProof/>
          <w:szCs w:val="24"/>
        </w:rPr>
        <w:t xml:space="preserve"> paragraph 1 shall present the reasons for which the authority doubts the authenticity of the document, including at least the failure to </w:t>
      </w:r>
      <w:r w:rsidR="00E61926">
        <w:rPr>
          <w:noProof/>
          <w:szCs w:val="24"/>
        </w:rPr>
        <w:t xml:space="preserve">be able to </w:t>
      </w:r>
      <w:r w:rsidRPr="00E53545">
        <w:rPr>
          <w:noProof/>
          <w:szCs w:val="24"/>
        </w:rPr>
        <w:t>authenticate the extract through electronic verification methods. Every request shall be accompanied by the copy or extract of the document and information</w:t>
      </w:r>
      <w:r w:rsidRPr="00E53545" w:rsidDel="00D63DE3">
        <w:rPr>
          <w:noProof/>
          <w:szCs w:val="24"/>
        </w:rPr>
        <w:t xml:space="preserve"> </w:t>
      </w:r>
      <w:r w:rsidRPr="00E53545">
        <w:rPr>
          <w:noProof/>
          <w:szCs w:val="24"/>
        </w:rPr>
        <w:t>concerned transmitted electronically.</w:t>
      </w:r>
    </w:p>
    <w:p w14:paraId="65677603" w14:textId="77777777" w:rsidR="00E53545" w:rsidRDefault="00E53545" w:rsidP="00A22023">
      <w:pPr>
        <w:ind w:left="851"/>
        <w:contextualSpacing/>
        <w:rPr>
          <w:noProof/>
          <w:szCs w:val="24"/>
        </w:rPr>
      </w:pPr>
      <w:r w:rsidRPr="00E53545">
        <w:rPr>
          <w:noProof/>
          <w:szCs w:val="24"/>
        </w:rPr>
        <w:t xml:space="preserve">A register shall reject, without examination, requests which do not comply with the requirements </w:t>
      </w:r>
      <w:r w:rsidR="003D0801">
        <w:rPr>
          <w:noProof/>
          <w:szCs w:val="24"/>
        </w:rPr>
        <w:t xml:space="preserve">set out in </w:t>
      </w:r>
      <w:r w:rsidRPr="00E53545">
        <w:rPr>
          <w:noProof/>
          <w:szCs w:val="24"/>
        </w:rPr>
        <w:t xml:space="preserve">this paragraph and </w:t>
      </w:r>
      <w:r w:rsidR="003D0801">
        <w:rPr>
          <w:noProof/>
          <w:szCs w:val="24"/>
        </w:rPr>
        <w:t xml:space="preserve">shall </w:t>
      </w:r>
      <w:r w:rsidRPr="00E53545">
        <w:rPr>
          <w:noProof/>
          <w:szCs w:val="24"/>
        </w:rPr>
        <w:t>inform the authority that submitted the request</w:t>
      </w:r>
      <w:r w:rsidR="003D679F">
        <w:rPr>
          <w:noProof/>
          <w:szCs w:val="24"/>
        </w:rPr>
        <w:t xml:space="preserve"> </w:t>
      </w:r>
      <w:r w:rsidR="003D0801">
        <w:rPr>
          <w:noProof/>
          <w:szCs w:val="24"/>
        </w:rPr>
        <w:t>of the rejection</w:t>
      </w:r>
      <w:r w:rsidRPr="00E53545">
        <w:rPr>
          <w:noProof/>
          <w:szCs w:val="24"/>
        </w:rPr>
        <w:t>.</w:t>
      </w:r>
    </w:p>
    <w:p w14:paraId="4D274647" w14:textId="77777777" w:rsidR="00A22023" w:rsidRPr="00E53545" w:rsidRDefault="00A22023" w:rsidP="00A22023">
      <w:pPr>
        <w:spacing w:before="0" w:after="0"/>
        <w:ind w:left="851"/>
        <w:contextualSpacing/>
        <w:rPr>
          <w:noProof/>
          <w:szCs w:val="24"/>
        </w:rPr>
      </w:pPr>
    </w:p>
    <w:p w14:paraId="76BFEEED" w14:textId="77777777" w:rsidR="00E53545" w:rsidRDefault="00E53545" w:rsidP="00A22023">
      <w:pPr>
        <w:ind w:left="851"/>
        <w:contextualSpacing/>
        <w:rPr>
          <w:noProof/>
          <w:szCs w:val="24"/>
        </w:rPr>
      </w:pPr>
      <w:r w:rsidRPr="00E53545">
        <w:rPr>
          <w:noProof/>
          <w:szCs w:val="24"/>
        </w:rPr>
        <w:t xml:space="preserve">3. </w:t>
      </w:r>
      <w:r w:rsidR="0012262C">
        <w:rPr>
          <w:noProof/>
          <w:szCs w:val="24"/>
        </w:rPr>
        <w:tab/>
      </w:r>
      <w:r w:rsidRPr="00E53545">
        <w:rPr>
          <w:noProof/>
          <w:szCs w:val="24"/>
        </w:rPr>
        <w:t xml:space="preserve">The contact points shall reply to requests for information made under paragraph 1 within a period not exceeding </w:t>
      </w:r>
      <w:r w:rsidR="003D0801">
        <w:rPr>
          <w:noProof/>
          <w:szCs w:val="24"/>
        </w:rPr>
        <w:t>5</w:t>
      </w:r>
      <w:r w:rsidR="003D0801" w:rsidRPr="00E53545">
        <w:rPr>
          <w:noProof/>
          <w:szCs w:val="24"/>
        </w:rPr>
        <w:t xml:space="preserve"> </w:t>
      </w:r>
      <w:r w:rsidRPr="00E53545">
        <w:rPr>
          <w:noProof/>
          <w:szCs w:val="24"/>
        </w:rPr>
        <w:t xml:space="preserve">working days. </w:t>
      </w:r>
    </w:p>
    <w:p w14:paraId="3C3DF1D5" w14:textId="77777777" w:rsidR="00A22023" w:rsidRPr="00E53545" w:rsidRDefault="00A22023" w:rsidP="00A22023">
      <w:pPr>
        <w:ind w:left="851"/>
        <w:contextualSpacing/>
        <w:rPr>
          <w:noProof/>
          <w:szCs w:val="24"/>
        </w:rPr>
      </w:pPr>
    </w:p>
    <w:p w14:paraId="2F735C69" w14:textId="77777777" w:rsidR="00E53545" w:rsidRPr="00E53545" w:rsidRDefault="00E53545" w:rsidP="00A22023">
      <w:pPr>
        <w:ind w:left="851"/>
        <w:contextualSpacing/>
        <w:rPr>
          <w:noProof/>
          <w:szCs w:val="24"/>
        </w:rPr>
      </w:pPr>
      <w:r w:rsidRPr="00E53545">
        <w:rPr>
          <w:noProof/>
          <w:szCs w:val="24"/>
        </w:rPr>
        <w:t xml:space="preserve">4. </w:t>
      </w:r>
      <w:r w:rsidR="0012262C">
        <w:rPr>
          <w:noProof/>
          <w:szCs w:val="24"/>
        </w:rPr>
        <w:tab/>
      </w:r>
      <w:r w:rsidRPr="00E53545">
        <w:rPr>
          <w:noProof/>
          <w:szCs w:val="24"/>
        </w:rPr>
        <w:t>If the authenticity of the copies and extracts of documents and information</w:t>
      </w:r>
      <w:r w:rsidRPr="00E53545" w:rsidDel="00D63DE3">
        <w:rPr>
          <w:noProof/>
          <w:szCs w:val="24"/>
        </w:rPr>
        <w:t xml:space="preserve"> </w:t>
      </w:r>
      <w:r w:rsidRPr="00E53545">
        <w:rPr>
          <w:noProof/>
          <w:szCs w:val="24"/>
        </w:rPr>
        <w:t>is not confirmed, the requesting authority may decide not to</w:t>
      </w:r>
      <w:r w:rsidRPr="00E53545" w:rsidDel="001926E5">
        <w:rPr>
          <w:noProof/>
          <w:szCs w:val="24"/>
        </w:rPr>
        <w:t xml:space="preserve"> </w:t>
      </w:r>
      <w:r w:rsidRPr="00E53545">
        <w:rPr>
          <w:noProof/>
          <w:szCs w:val="24"/>
        </w:rPr>
        <w:t xml:space="preserve">accept </w:t>
      </w:r>
      <w:r w:rsidR="00E61926">
        <w:rPr>
          <w:noProof/>
          <w:szCs w:val="24"/>
        </w:rPr>
        <w:t>them</w:t>
      </w:r>
      <w:r w:rsidRPr="00E53545">
        <w:rPr>
          <w:noProof/>
          <w:szCs w:val="24"/>
        </w:rPr>
        <w:t>.</w:t>
      </w:r>
    </w:p>
    <w:p w14:paraId="77ACEE6D" w14:textId="77777777" w:rsidR="00E53545" w:rsidRPr="00E53545" w:rsidRDefault="00E53545" w:rsidP="00E53545">
      <w:pPr>
        <w:contextualSpacing/>
        <w:jc w:val="center"/>
        <w:rPr>
          <w:b/>
          <w:noProof/>
          <w:szCs w:val="24"/>
        </w:rPr>
      </w:pPr>
    </w:p>
    <w:p w14:paraId="4043B3F9" w14:textId="77777777" w:rsidR="00E53545" w:rsidRPr="00E61926" w:rsidRDefault="00E53545" w:rsidP="00E53545">
      <w:pPr>
        <w:contextualSpacing/>
        <w:jc w:val="center"/>
        <w:rPr>
          <w:noProof/>
          <w:szCs w:val="24"/>
        </w:rPr>
      </w:pPr>
      <w:r w:rsidRPr="00E61926">
        <w:rPr>
          <w:noProof/>
          <w:szCs w:val="24"/>
        </w:rPr>
        <w:t xml:space="preserve">Article 16f </w:t>
      </w:r>
    </w:p>
    <w:p w14:paraId="005C3259" w14:textId="77777777" w:rsidR="00E53545" w:rsidRPr="00E53545" w:rsidRDefault="00E53545" w:rsidP="00E53545">
      <w:pPr>
        <w:contextualSpacing/>
        <w:jc w:val="center"/>
        <w:rPr>
          <w:b/>
          <w:noProof/>
          <w:szCs w:val="24"/>
        </w:rPr>
      </w:pPr>
    </w:p>
    <w:p w14:paraId="6C044078" w14:textId="77777777" w:rsidR="00E53545" w:rsidRPr="00E53545" w:rsidRDefault="00E53545" w:rsidP="00E53545">
      <w:pPr>
        <w:contextualSpacing/>
        <w:jc w:val="center"/>
        <w:rPr>
          <w:b/>
          <w:noProof/>
          <w:szCs w:val="24"/>
        </w:rPr>
      </w:pPr>
      <w:r w:rsidRPr="00E53545">
        <w:rPr>
          <w:b/>
          <w:noProof/>
          <w:szCs w:val="24"/>
        </w:rPr>
        <w:t xml:space="preserve">Exemption of translation </w:t>
      </w:r>
    </w:p>
    <w:p w14:paraId="7A2A2803" w14:textId="77777777" w:rsidR="00E53545" w:rsidRPr="00E53545" w:rsidRDefault="004514AE" w:rsidP="004514AE">
      <w:pPr>
        <w:pStyle w:val="CommentText"/>
        <w:ind w:left="851"/>
        <w:contextualSpacing/>
        <w:rPr>
          <w:noProof/>
          <w:sz w:val="24"/>
          <w:szCs w:val="24"/>
        </w:rPr>
      </w:pPr>
      <w:r>
        <w:rPr>
          <w:noProof/>
          <w:sz w:val="24"/>
          <w:szCs w:val="24"/>
        </w:rPr>
        <w:t xml:space="preserve">1. </w:t>
      </w:r>
      <w:r w:rsidR="00E53545" w:rsidRPr="00E53545">
        <w:rPr>
          <w:noProof/>
          <w:sz w:val="24"/>
          <w:szCs w:val="24"/>
        </w:rPr>
        <w:t xml:space="preserve">Member States shall ensure that for copies or extracts of documents and information provided by the registers referred to in Article 16 </w:t>
      </w:r>
      <w:r w:rsidR="003D679F">
        <w:rPr>
          <w:noProof/>
          <w:sz w:val="24"/>
          <w:szCs w:val="24"/>
        </w:rPr>
        <w:t>and that</w:t>
      </w:r>
      <w:r w:rsidR="00E53545" w:rsidRPr="00E53545">
        <w:rPr>
          <w:noProof/>
          <w:sz w:val="24"/>
          <w:szCs w:val="24"/>
        </w:rPr>
        <w:t xml:space="preserve"> are used in cross-border situations</w:t>
      </w:r>
      <w:r w:rsidR="003D679F">
        <w:rPr>
          <w:noProof/>
          <w:sz w:val="24"/>
          <w:szCs w:val="24"/>
        </w:rPr>
        <w:t>,</w:t>
      </w:r>
      <w:r w:rsidR="00E53545" w:rsidRPr="00E53545">
        <w:rPr>
          <w:noProof/>
          <w:sz w:val="24"/>
          <w:szCs w:val="24"/>
        </w:rPr>
        <w:t xml:space="preserve"> including in the situations referred to in Article 13g</w:t>
      </w:r>
      <w:r w:rsidR="003D0801">
        <w:rPr>
          <w:noProof/>
          <w:sz w:val="24"/>
          <w:szCs w:val="24"/>
        </w:rPr>
        <w:t>(2a)</w:t>
      </w:r>
      <w:r w:rsidR="00E53545" w:rsidRPr="00E53545">
        <w:rPr>
          <w:noProof/>
          <w:sz w:val="24"/>
          <w:szCs w:val="24"/>
        </w:rPr>
        <w:t xml:space="preserve"> and Article 28a</w:t>
      </w:r>
      <w:r w:rsidR="003D0801">
        <w:rPr>
          <w:noProof/>
          <w:sz w:val="24"/>
          <w:szCs w:val="24"/>
        </w:rPr>
        <w:t>(5)</w:t>
      </w:r>
      <w:r w:rsidR="00E53545" w:rsidRPr="00E53545">
        <w:rPr>
          <w:noProof/>
          <w:sz w:val="24"/>
          <w:szCs w:val="24"/>
        </w:rPr>
        <w:t xml:space="preserve">, a translation </w:t>
      </w:r>
      <w:r w:rsidR="003D0801">
        <w:rPr>
          <w:noProof/>
          <w:sz w:val="24"/>
          <w:szCs w:val="24"/>
        </w:rPr>
        <w:t>is</w:t>
      </w:r>
      <w:r w:rsidR="003D0801" w:rsidRPr="00E53545">
        <w:rPr>
          <w:noProof/>
          <w:sz w:val="24"/>
          <w:szCs w:val="24"/>
        </w:rPr>
        <w:t xml:space="preserve"> </w:t>
      </w:r>
      <w:r w:rsidR="00E53545" w:rsidRPr="00E53545">
        <w:rPr>
          <w:noProof/>
          <w:sz w:val="24"/>
          <w:szCs w:val="24"/>
        </w:rPr>
        <w:t xml:space="preserve">not </w:t>
      </w:r>
      <w:r w:rsidR="003D0801">
        <w:rPr>
          <w:noProof/>
          <w:sz w:val="24"/>
          <w:szCs w:val="24"/>
        </w:rPr>
        <w:t xml:space="preserve">to </w:t>
      </w:r>
      <w:r w:rsidR="00E53545" w:rsidRPr="00E53545">
        <w:rPr>
          <w:noProof/>
          <w:sz w:val="24"/>
          <w:szCs w:val="24"/>
        </w:rPr>
        <w:t xml:space="preserve">be required: </w:t>
      </w:r>
    </w:p>
    <w:p w14:paraId="3E4E0363" w14:textId="523817FB" w:rsidR="00E53545" w:rsidRPr="00110F62" w:rsidRDefault="001969F8" w:rsidP="001969F8">
      <w:pPr>
        <w:pStyle w:val="Point0"/>
        <w:rPr>
          <w:noProof/>
        </w:rPr>
      </w:pPr>
      <w:r w:rsidRPr="001969F8">
        <w:t>(a)</w:t>
      </w:r>
      <w:r w:rsidRPr="001969F8">
        <w:tab/>
      </w:r>
      <w:r w:rsidR="00E53545" w:rsidRPr="00110F62">
        <w:rPr>
          <w:noProof/>
        </w:rPr>
        <w:t>where the document or information is in the official language of the Member State where the document or information is presented</w:t>
      </w:r>
      <w:r w:rsidR="003D679F">
        <w:rPr>
          <w:noProof/>
        </w:rPr>
        <w:t>,</w:t>
      </w:r>
      <w:r w:rsidR="00E53545" w:rsidRPr="00110F62">
        <w:rPr>
          <w:noProof/>
        </w:rPr>
        <w:t xml:space="preserve"> or in one of the official languages if that Member State has several official languages, or in any other language which that Member State expressly accepts; </w:t>
      </w:r>
    </w:p>
    <w:p w14:paraId="51E4B006" w14:textId="715B2F72" w:rsidR="00E53545" w:rsidRPr="00110F62" w:rsidRDefault="001969F8" w:rsidP="001969F8">
      <w:pPr>
        <w:pStyle w:val="Point0"/>
        <w:rPr>
          <w:noProof/>
          <w:lang w:eastAsia="en-GB"/>
        </w:rPr>
      </w:pPr>
      <w:r w:rsidRPr="001969F8">
        <w:t>(b)</w:t>
      </w:r>
      <w:r w:rsidRPr="001969F8">
        <w:tab/>
      </w:r>
      <w:r w:rsidR="00E53545" w:rsidRPr="00110F62">
        <w:rPr>
          <w:noProof/>
          <w:lang w:eastAsia="en-GB"/>
        </w:rPr>
        <w:t xml:space="preserve">where the information is accessible through the system of interconnection of registers </w:t>
      </w:r>
      <w:r w:rsidR="00E53545" w:rsidRPr="00110F62">
        <w:rPr>
          <w:noProof/>
        </w:rPr>
        <w:t xml:space="preserve">and identifiable </w:t>
      </w:r>
      <w:r w:rsidR="00E53545" w:rsidRPr="00110F62">
        <w:rPr>
          <w:noProof/>
          <w:lang w:eastAsia="en-GB"/>
        </w:rPr>
        <w:t xml:space="preserve">through explanatory labels referred to in Article 18; </w:t>
      </w:r>
    </w:p>
    <w:p w14:paraId="4D41C5D3" w14:textId="057840D0" w:rsidR="00E53545" w:rsidRPr="00332815" w:rsidRDefault="001969F8" w:rsidP="001969F8">
      <w:pPr>
        <w:pStyle w:val="Point0"/>
        <w:rPr>
          <w:rFonts w:eastAsia="Times New Roman"/>
          <w:noProof/>
          <w:lang w:eastAsia="en-GB"/>
        </w:rPr>
      </w:pPr>
      <w:r w:rsidRPr="001969F8">
        <w:t>(c)</w:t>
      </w:r>
      <w:r w:rsidRPr="001969F8">
        <w:tab/>
      </w:r>
      <w:r w:rsidR="00E53545" w:rsidRPr="00110F62">
        <w:rPr>
          <w:noProof/>
        </w:rPr>
        <w:t xml:space="preserve">where the specific information is included in </w:t>
      </w:r>
      <w:r w:rsidR="00E53545" w:rsidRPr="00332815">
        <w:rPr>
          <w:rFonts w:eastAsia="Times New Roman"/>
          <w:noProof/>
          <w:lang w:eastAsia="en-GB"/>
        </w:rPr>
        <w:t xml:space="preserve">the EU </w:t>
      </w:r>
      <w:r w:rsidR="0058331D">
        <w:rPr>
          <w:noProof/>
        </w:rPr>
        <w:t>Company C</w:t>
      </w:r>
      <w:r w:rsidR="00E53545" w:rsidRPr="00110F62">
        <w:rPr>
          <w:noProof/>
        </w:rPr>
        <w:t>ertificate referred to in Article 16b.</w:t>
      </w:r>
    </w:p>
    <w:p w14:paraId="6F4EFBDA" w14:textId="77777777" w:rsidR="00E53545" w:rsidRPr="00E53545" w:rsidRDefault="00E53545" w:rsidP="00A22023">
      <w:pPr>
        <w:pStyle w:val="CommentText"/>
        <w:ind w:left="851"/>
        <w:rPr>
          <w:noProof/>
          <w:sz w:val="24"/>
          <w:szCs w:val="24"/>
          <w:highlight w:val="yellow"/>
        </w:rPr>
      </w:pPr>
      <w:r w:rsidRPr="00E53545">
        <w:rPr>
          <w:noProof/>
          <w:sz w:val="24"/>
          <w:szCs w:val="24"/>
        </w:rPr>
        <w:t>2.   Without prejudice to paragraph 1, Member States shall ensure</w:t>
      </w:r>
      <w:r w:rsidR="00230464">
        <w:rPr>
          <w:noProof/>
          <w:sz w:val="24"/>
          <w:szCs w:val="24"/>
        </w:rPr>
        <w:t>,</w:t>
      </w:r>
      <w:r w:rsidRPr="00E53545">
        <w:rPr>
          <w:noProof/>
          <w:sz w:val="24"/>
          <w:szCs w:val="24"/>
        </w:rPr>
        <w:t xml:space="preserve"> that </w:t>
      </w:r>
      <w:r w:rsidR="00E127FA">
        <w:rPr>
          <w:noProof/>
          <w:sz w:val="24"/>
          <w:szCs w:val="24"/>
        </w:rPr>
        <w:t>where</w:t>
      </w:r>
      <w:r w:rsidR="00E127FA" w:rsidRPr="00E53545">
        <w:rPr>
          <w:noProof/>
          <w:sz w:val="24"/>
          <w:szCs w:val="24"/>
        </w:rPr>
        <w:t xml:space="preserve"> </w:t>
      </w:r>
      <w:r w:rsidRPr="00E53545" w:rsidDel="00E127FA">
        <w:rPr>
          <w:noProof/>
          <w:sz w:val="24"/>
          <w:szCs w:val="24"/>
        </w:rPr>
        <w:t>t</w:t>
      </w:r>
      <w:r w:rsidRPr="00E53545" w:rsidDel="003D679F">
        <w:rPr>
          <w:noProof/>
          <w:sz w:val="24"/>
          <w:szCs w:val="24"/>
        </w:rPr>
        <w:t xml:space="preserve">he </w:t>
      </w:r>
      <w:r w:rsidRPr="00E53545">
        <w:rPr>
          <w:noProof/>
          <w:sz w:val="24"/>
          <w:szCs w:val="24"/>
        </w:rPr>
        <w:t xml:space="preserve">instruments of constitution </w:t>
      </w:r>
      <w:r w:rsidRPr="00E53545" w:rsidDel="003D679F">
        <w:rPr>
          <w:noProof/>
          <w:sz w:val="24"/>
          <w:szCs w:val="24"/>
        </w:rPr>
        <w:t xml:space="preserve">and </w:t>
      </w:r>
      <w:r w:rsidRPr="00E53545">
        <w:rPr>
          <w:noProof/>
          <w:sz w:val="24"/>
          <w:szCs w:val="24"/>
        </w:rPr>
        <w:t>the statutes if they are contained in a separate instrument, and other documents provided by the registers referred to in Article 16</w:t>
      </w:r>
      <w:r w:rsidR="00BF46A1">
        <w:rPr>
          <w:noProof/>
          <w:sz w:val="24"/>
          <w:szCs w:val="24"/>
        </w:rPr>
        <w:t>,</w:t>
      </w:r>
      <w:r w:rsidRPr="00E53545">
        <w:rPr>
          <w:noProof/>
          <w:sz w:val="24"/>
          <w:szCs w:val="24"/>
        </w:rPr>
        <w:t xml:space="preserve"> are </w:t>
      </w:r>
      <w:r w:rsidR="00E127FA">
        <w:rPr>
          <w:noProof/>
          <w:sz w:val="24"/>
          <w:szCs w:val="24"/>
        </w:rPr>
        <w:t>to be presented in another Member State</w:t>
      </w:r>
      <w:r w:rsidRPr="00E53545">
        <w:rPr>
          <w:noProof/>
          <w:sz w:val="24"/>
          <w:szCs w:val="24"/>
        </w:rPr>
        <w:t xml:space="preserve">, a certified translation </w:t>
      </w:r>
      <w:r w:rsidR="00E127FA">
        <w:rPr>
          <w:noProof/>
          <w:sz w:val="24"/>
          <w:szCs w:val="24"/>
        </w:rPr>
        <w:t>is</w:t>
      </w:r>
      <w:r w:rsidRPr="00E53545" w:rsidDel="008F2624">
        <w:rPr>
          <w:noProof/>
          <w:sz w:val="24"/>
          <w:szCs w:val="24"/>
        </w:rPr>
        <w:t xml:space="preserve"> only </w:t>
      </w:r>
      <w:r w:rsidR="00E127FA" w:rsidDel="008F2624">
        <w:rPr>
          <w:noProof/>
          <w:sz w:val="24"/>
          <w:szCs w:val="24"/>
        </w:rPr>
        <w:t xml:space="preserve">to </w:t>
      </w:r>
      <w:r w:rsidRPr="00E53545" w:rsidDel="008F2624">
        <w:rPr>
          <w:noProof/>
          <w:sz w:val="24"/>
          <w:szCs w:val="24"/>
        </w:rPr>
        <w:t>be</w:t>
      </w:r>
      <w:r w:rsidRPr="00E53545">
        <w:rPr>
          <w:noProof/>
          <w:sz w:val="24"/>
          <w:szCs w:val="24"/>
        </w:rPr>
        <w:t xml:space="preserve"> required when </w:t>
      </w:r>
      <w:r w:rsidR="003D679F">
        <w:rPr>
          <w:noProof/>
          <w:sz w:val="24"/>
          <w:szCs w:val="24"/>
        </w:rPr>
        <w:t>this</w:t>
      </w:r>
      <w:r w:rsidR="003D0801">
        <w:rPr>
          <w:noProof/>
          <w:sz w:val="24"/>
          <w:szCs w:val="24"/>
        </w:rPr>
        <w:t xml:space="preserve"> is</w:t>
      </w:r>
      <w:r w:rsidRPr="00E53545">
        <w:rPr>
          <w:noProof/>
          <w:sz w:val="24"/>
          <w:szCs w:val="24"/>
        </w:rPr>
        <w:t xml:space="preserve"> justified by the purpose for which the document shall be used</w:t>
      </w:r>
      <w:r w:rsidR="003D679F">
        <w:rPr>
          <w:noProof/>
          <w:sz w:val="24"/>
          <w:szCs w:val="24"/>
        </w:rPr>
        <w:t>,</w:t>
      </w:r>
      <w:r w:rsidRPr="00E53545">
        <w:rPr>
          <w:noProof/>
          <w:sz w:val="24"/>
          <w:szCs w:val="24"/>
        </w:rPr>
        <w:t xml:space="preserve"> such as to meet a mandatory public disclosure requirement or </w:t>
      </w:r>
      <w:r w:rsidRPr="00E53545" w:rsidDel="008F2624">
        <w:rPr>
          <w:noProof/>
          <w:sz w:val="24"/>
          <w:szCs w:val="24"/>
        </w:rPr>
        <w:t>to be</w:t>
      </w:r>
      <w:r w:rsidRPr="00E53545">
        <w:rPr>
          <w:noProof/>
          <w:sz w:val="24"/>
          <w:szCs w:val="24"/>
        </w:rPr>
        <w:t xml:space="preserve"> presented in judicial proceedings</w:t>
      </w:r>
      <w:r w:rsidR="00E127FA">
        <w:rPr>
          <w:noProof/>
          <w:sz w:val="24"/>
          <w:szCs w:val="24"/>
        </w:rPr>
        <w:t>,</w:t>
      </w:r>
      <w:r w:rsidR="003D0801">
        <w:rPr>
          <w:noProof/>
          <w:sz w:val="24"/>
          <w:szCs w:val="24"/>
        </w:rPr>
        <w:t xml:space="preserve"> and is strictly necessary</w:t>
      </w:r>
      <w:r w:rsidRPr="00E53545">
        <w:rPr>
          <w:noProof/>
          <w:sz w:val="24"/>
          <w:szCs w:val="24"/>
        </w:rPr>
        <w:t>.</w:t>
      </w:r>
      <w:r w:rsidR="009E5841">
        <w:rPr>
          <w:noProof/>
          <w:sz w:val="24"/>
          <w:szCs w:val="24"/>
        </w:rPr>
        <w:t>’;</w:t>
      </w:r>
    </w:p>
    <w:p w14:paraId="4420CFFC" w14:textId="77777777" w:rsidR="009B6956" w:rsidRDefault="009B6956" w:rsidP="00332815">
      <w:pPr>
        <w:rPr>
          <w:noProof/>
        </w:rPr>
      </w:pPr>
    </w:p>
    <w:p w14:paraId="39D7BEB4" w14:textId="0662558A" w:rsidR="009B6956" w:rsidRPr="009B5DC9" w:rsidRDefault="001969F8" w:rsidP="001969F8">
      <w:pPr>
        <w:pStyle w:val="Point0"/>
        <w:rPr>
          <w:noProof/>
        </w:rPr>
      </w:pPr>
      <w:r w:rsidRPr="001969F8">
        <w:t>(22)</w:t>
      </w:r>
      <w:r w:rsidRPr="001969F8">
        <w:tab/>
      </w:r>
      <w:r w:rsidR="003D0801">
        <w:rPr>
          <w:noProof/>
        </w:rPr>
        <w:t>i</w:t>
      </w:r>
      <w:r w:rsidR="009B6956" w:rsidRPr="009B5DC9">
        <w:rPr>
          <w:noProof/>
        </w:rPr>
        <w:t xml:space="preserve">n Article 17, </w:t>
      </w:r>
      <w:r w:rsidR="009B5DC9" w:rsidRPr="009B5DC9">
        <w:rPr>
          <w:noProof/>
        </w:rPr>
        <w:t xml:space="preserve">the following paragraph </w:t>
      </w:r>
      <w:r w:rsidR="009B6956" w:rsidRPr="009B5DC9">
        <w:rPr>
          <w:noProof/>
        </w:rPr>
        <w:t>is</w:t>
      </w:r>
      <w:r w:rsidR="009B5DC9" w:rsidRPr="009B5DC9">
        <w:rPr>
          <w:noProof/>
        </w:rPr>
        <w:t xml:space="preserve"> added</w:t>
      </w:r>
      <w:r w:rsidR="009B6956" w:rsidRPr="009B5DC9">
        <w:rPr>
          <w:noProof/>
        </w:rPr>
        <w:t>:</w:t>
      </w:r>
    </w:p>
    <w:p w14:paraId="24BBD629" w14:textId="77777777" w:rsidR="009B6956" w:rsidRPr="009B5DC9" w:rsidRDefault="009E5841" w:rsidP="00A22023">
      <w:pPr>
        <w:shd w:val="clear" w:color="auto" w:fill="FFFFFF"/>
        <w:spacing w:after="0"/>
        <w:ind w:left="851"/>
        <w:rPr>
          <w:rFonts w:ascii="inherit" w:eastAsia="Times New Roman" w:hAnsi="inherit"/>
          <w:noProof/>
          <w:szCs w:val="24"/>
        </w:rPr>
      </w:pPr>
      <w:r>
        <w:rPr>
          <w:noProof/>
        </w:rPr>
        <w:t>‘</w:t>
      </w:r>
      <w:r w:rsidR="009B5DC9" w:rsidRPr="009B5DC9">
        <w:rPr>
          <w:rFonts w:ascii="inherit" w:eastAsia="Times New Roman" w:hAnsi="inherit"/>
          <w:noProof/>
          <w:szCs w:val="24"/>
        </w:rPr>
        <w:t>4. T</w:t>
      </w:r>
      <w:r w:rsidR="00E32707">
        <w:rPr>
          <w:rFonts w:ascii="inherit" w:eastAsia="Times New Roman" w:hAnsi="inherit"/>
          <w:noProof/>
          <w:szCs w:val="24"/>
        </w:rPr>
        <w:t xml:space="preserve">his </w:t>
      </w:r>
      <w:r w:rsidR="009B5DC9" w:rsidRPr="009B5DC9">
        <w:rPr>
          <w:rFonts w:ascii="inherit" w:eastAsia="Times New Roman" w:hAnsi="inherit"/>
          <w:noProof/>
          <w:szCs w:val="24"/>
        </w:rPr>
        <w:t xml:space="preserve">Article shall </w:t>
      </w:r>
      <w:r w:rsidR="003D0801">
        <w:rPr>
          <w:rFonts w:ascii="inherit" w:eastAsia="Times New Roman" w:hAnsi="inherit"/>
          <w:noProof/>
          <w:szCs w:val="24"/>
        </w:rPr>
        <w:t xml:space="preserve">also </w:t>
      </w:r>
      <w:r w:rsidR="009B5DC9" w:rsidRPr="009B5DC9">
        <w:rPr>
          <w:rFonts w:ascii="inherit" w:eastAsia="Times New Roman" w:hAnsi="inherit"/>
          <w:noProof/>
          <w:szCs w:val="24"/>
        </w:rPr>
        <w:t xml:space="preserve">apply to </w:t>
      </w:r>
      <w:r w:rsidR="003D0801">
        <w:rPr>
          <w:rFonts w:ascii="inherit" w:eastAsia="Times New Roman" w:hAnsi="inherit"/>
          <w:noProof/>
          <w:szCs w:val="24"/>
        </w:rPr>
        <w:t xml:space="preserve">the information on partnerships </w:t>
      </w:r>
      <w:r w:rsidR="00BF46A1">
        <w:rPr>
          <w:rFonts w:ascii="inherit" w:eastAsia="Times New Roman" w:hAnsi="inherit"/>
          <w:noProof/>
          <w:szCs w:val="24"/>
        </w:rPr>
        <w:t xml:space="preserve">referred to </w:t>
      </w:r>
      <w:r w:rsidR="005021A5">
        <w:rPr>
          <w:rFonts w:ascii="inherit" w:eastAsia="Times New Roman" w:hAnsi="inherit"/>
          <w:noProof/>
          <w:szCs w:val="24"/>
        </w:rPr>
        <w:t xml:space="preserve">in </w:t>
      </w:r>
      <w:r w:rsidR="009B5DC9" w:rsidRPr="009B5DC9">
        <w:rPr>
          <w:rFonts w:ascii="inherit" w:eastAsia="Times New Roman" w:hAnsi="inherit"/>
          <w:noProof/>
          <w:szCs w:val="24"/>
        </w:rPr>
        <w:t>Article 14a.</w:t>
      </w:r>
      <w:r>
        <w:rPr>
          <w:rFonts w:ascii="inherit" w:eastAsia="Times New Roman" w:hAnsi="inherit"/>
          <w:noProof/>
          <w:szCs w:val="24"/>
        </w:rPr>
        <w:t>’</w:t>
      </w:r>
      <w:r w:rsidR="009B6956" w:rsidRPr="009B5DC9">
        <w:rPr>
          <w:rFonts w:ascii="inherit" w:eastAsia="Times New Roman" w:hAnsi="inherit"/>
          <w:noProof/>
          <w:szCs w:val="24"/>
        </w:rPr>
        <w:t>;</w:t>
      </w:r>
    </w:p>
    <w:p w14:paraId="5513A368" w14:textId="77777777" w:rsidR="009B6956" w:rsidRDefault="009B6956" w:rsidP="00332815">
      <w:pPr>
        <w:rPr>
          <w:noProof/>
        </w:rPr>
      </w:pPr>
    </w:p>
    <w:p w14:paraId="6D70B5AE" w14:textId="1EF70AB4" w:rsidR="002165ED" w:rsidRDefault="001969F8" w:rsidP="001969F8">
      <w:pPr>
        <w:pStyle w:val="Point0"/>
        <w:rPr>
          <w:noProof/>
        </w:rPr>
      </w:pPr>
      <w:r w:rsidRPr="001969F8">
        <w:t>(23)</w:t>
      </w:r>
      <w:r w:rsidRPr="001969F8">
        <w:tab/>
      </w:r>
      <w:r w:rsidR="00C90E8A" w:rsidRPr="005164C5">
        <w:rPr>
          <w:noProof/>
        </w:rPr>
        <w:t xml:space="preserve">Article </w:t>
      </w:r>
      <w:r w:rsidR="00C90E8A">
        <w:rPr>
          <w:noProof/>
        </w:rPr>
        <w:t xml:space="preserve">18 </w:t>
      </w:r>
      <w:r w:rsidR="00C90E8A" w:rsidRPr="005164C5">
        <w:rPr>
          <w:noProof/>
        </w:rPr>
        <w:t>is replaced by the following:</w:t>
      </w:r>
    </w:p>
    <w:p w14:paraId="17F6B971" w14:textId="77777777" w:rsidR="00CD76BA" w:rsidRPr="00E61926" w:rsidRDefault="009E5841" w:rsidP="00CD76BA">
      <w:pPr>
        <w:shd w:val="clear" w:color="auto" w:fill="FFFFFF"/>
        <w:jc w:val="center"/>
        <w:rPr>
          <w:noProof/>
          <w:color w:val="00B050"/>
          <w:szCs w:val="24"/>
        </w:rPr>
      </w:pPr>
      <w:r w:rsidRPr="00E61926">
        <w:rPr>
          <w:noProof/>
          <w:szCs w:val="24"/>
        </w:rPr>
        <w:t>‘</w:t>
      </w:r>
      <w:r w:rsidR="00CD76BA" w:rsidRPr="00E61926">
        <w:rPr>
          <w:noProof/>
          <w:szCs w:val="24"/>
        </w:rPr>
        <w:t xml:space="preserve">Article 18 </w:t>
      </w:r>
    </w:p>
    <w:p w14:paraId="6F34E6CF" w14:textId="77777777" w:rsidR="00CD76BA" w:rsidRPr="00B34EBA" w:rsidRDefault="00CD76BA" w:rsidP="00CD76BA">
      <w:pPr>
        <w:shd w:val="clear" w:color="auto" w:fill="FFFFFF"/>
        <w:jc w:val="center"/>
        <w:rPr>
          <w:b/>
          <w:noProof/>
          <w:szCs w:val="24"/>
        </w:rPr>
      </w:pPr>
      <w:r w:rsidRPr="00B34EBA">
        <w:rPr>
          <w:b/>
          <w:noProof/>
          <w:szCs w:val="24"/>
        </w:rPr>
        <w:t xml:space="preserve">Availability of electronic copies of documents and </w:t>
      </w:r>
      <w:r w:rsidR="00B45594" w:rsidRPr="00B676F1">
        <w:rPr>
          <w:b/>
          <w:noProof/>
        </w:rPr>
        <w:t>information</w:t>
      </w:r>
    </w:p>
    <w:p w14:paraId="5B878D55" w14:textId="77777777" w:rsidR="00CD76BA" w:rsidRPr="00CD76BA" w:rsidRDefault="00AC460A" w:rsidP="00A22023">
      <w:pPr>
        <w:shd w:val="clear" w:color="auto" w:fill="FFFFFF"/>
        <w:spacing w:after="0" w:line="312" w:lineRule="atLeast"/>
        <w:ind w:left="851"/>
        <w:rPr>
          <w:rFonts w:eastAsia="Times New Roman"/>
          <w:noProof/>
          <w:szCs w:val="24"/>
        </w:rPr>
      </w:pPr>
      <w:r>
        <w:rPr>
          <w:rFonts w:eastAsia="Times New Roman"/>
          <w:noProof/>
          <w:szCs w:val="24"/>
        </w:rPr>
        <w:t>1. </w:t>
      </w:r>
      <w:r w:rsidR="0012262C">
        <w:rPr>
          <w:rFonts w:eastAsia="Times New Roman"/>
          <w:noProof/>
          <w:szCs w:val="24"/>
        </w:rPr>
        <w:tab/>
      </w:r>
      <w:r w:rsidR="00CD76BA" w:rsidRPr="00CD76BA">
        <w:rPr>
          <w:rFonts w:eastAsia="Times New Roman"/>
          <w:noProof/>
          <w:szCs w:val="24"/>
        </w:rPr>
        <w:t xml:space="preserve">Electronic copies of the documents and information referred to in Articles 14, </w:t>
      </w:r>
      <w:r w:rsidR="00CD76BA" w:rsidRPr="00CD76BA">
        <w:rPr>
          <w:noProof/>
          <w:szCs w:val="24"/>
        </w:rPr>
        <w:t xml:space="preserve">14a, and 14b </w:t>
      </w:r>
      <w:r w:rsidR="00CD76BA" w:rsidRPr="00CD76BA">
        <w:rPr>
          <w:rFonts w:eastAsia="Times New Roman"/>
          <w:noProof/>
          <w:szCs w:val="24"/>
        </w:rPr>
        <w:t>shall also be made publicly available through the system of interconnection of registers. Member States may also make available documents and information referred to in Articles 14, 14a and 14b for types of companies other than those listed in Annex</w:t>
      </w:r>
      <w:r w:rsidR="008F2624">
        <w:rPr>
          <w:rFonts w:eastAsia="Times New Roman"/>
          <w:noProof/>
          <w:szCs w:val="24"/>
        </w:rPr>
        <w:t>es</w:t>
      </w:r>
      <w:r w:rsidR="00CD76BA" w:rsidRPr="00CD76BA">
        <w:rPr>
          <w:rFonts w:eastAsia="Times New Roman"/>
          <w:noProof/>
          <w:szCs w:val="24"/>
        </w:rPr>
        <w:t xml:space="preserve"> II and IIB. </w:t>
      </w:r>
    </w:p>
    <w:p w14:paraId="7A45D2B6" w14:textId="77777777" w:rsidR="00CD76BA" w:rsidRPr="00CD76BA" w:rsidRDefault="00CD76BA" w:rsidP="00214D35">
      <w:pPr>
        <w:shd w:val="clear" w:color="auto" w:fill="FFFFFF"/>
        <w:spacing w:after="0" w:line="312" w:lineRule="atLeast"/>
        <w:ind w:left="851"/>
        <w:rPr>
          <w:rFonts w:eastAsia="Times New Roman"/>
          <w:noProof/>
          <w:szCs w:val="24"/>
        </w:rPr>
      </w:pPr>
      <w:r w:rsidRPr="00CD76BA">
        <w:rPr>
          <w:rFonts w:eastAsia="Times New Roman"/>
          <w:noProof/>
          <w:szCs w:val="24"/>
        </w:rPr>
        <w:t>Article 16a</w:t>
      </w:r>
      <w:r w:rsidR="003D0801">
        <w:rPr>
          <w:rFonts w:eastAsia="Times New Roman"/>
          <w:noProof/>
          <w:szCs w:val="24"/>
        </w:rPr>
        <w:t>(</w:t>
      </w:r>
      <w:r w:rsidRPr="00CD76BA">
        <w:rPr>
          <w:rFonts w:eastAsia="Times New Roman"/>
          <w:noProof/>
          <w:szCs w:val="24"/>
        </w:rPr>
        <w:t>3</w:t>
      </w:r>
      <w:r w:rsidR="003D0801">
        <w:rPr>
          <w:rFonts w:eastAsia="Times New Roman"/>
          <w:noProof/>
          <w:szCs w:val="24"/>
        </w:rPr>
        <w:t>)</w:t>
      </w:r>
      <w:r w:rsidRPr="00CD76BA">
        <w:rPr>
          <w:rFonts w:eastAsia="Times New Roman"/>
          <w:noProof/>
          <w:szCs w:val="24"/>
        </w:rPr>
        <w:t xml:space="preserve">, </w:t>
      </w:r>
      <w:r w:rsidR="003D0801">
        <w:rPr>
          <w:rFonts w:eastAsia="Times New Roman"/>
          <w:noProof/>
          <w:szCs w:val="24"/>
        </w:rPr>
        <w:t>(</w:t>
      </w:r>
      <w:r w:rsidRPr="00CD76BA">
        <w:rPr>
          <w:rFonts w:eastAsia="Times New Roman"/>
          <w:noProof/>
          <w:szCs w:val="24"/>
        </w:rPr>
        <w:t>4</w:t>
      </w:r>
      <w:r w:rsidR="003D0801">
        <w:rPr>
          <w:rFonts w:eastAsia="Times New Roman"/>
          <w:noProof/>
          <w:szCs w:val="24"/>
        </w:rPr>
        <w:t>)</w:t>
      </w:r>
      <w:r w:rsidRPr="00CD76BA">
        <w:rPr>
          <w:rFonts w:eastAsia="Times New Roman"/>
          <w:noProof/>
          <w:szCs w:val="24"/>
        </w:rPr>
        <w:t xml:space="preserve"> and </w:t>
      </w:r>
      <w:r w:rsidR="003D0801">
        <w:rPr>
          <w:rFonts w:eastAsia="Times New Roman"/>
          <w:noProof/>
          <w:szCs w:val="24"/>
        </w:rPr>
        <w:t>(</w:t>
      </w:r>
      <w:r w:rsidRPr="00CD76BA">
        <w:rPr>
          <w:rFonts w:eastAsia="Times New Roman"/>
          <w:noProof/>
          <w:szCs w:val="24"/>
        </w:rPr>
        <w:t>5</w:t>
      </w:r>
      <w:r w:rsidR="003D0801">
        <w:rPr>
          <w:rFonts w:eastAsia="Times New Roman"/>
          <w:noProof/>
          <w:szCs w:val="24"/>
        </w:rPr>
        <w:t>)</w:t>
      </w:r>
      <w:r w:rsidRPr="00CD76BA">
        <w:rPr>
          <w:rFonts w:eastAsia="Times New Roman"/>
          <w:noProof/>
          <w:szCs w:val="24"/>
        </w:rPr>
        <w:t xml:space="preserve"> shall apply </w:t>
      </w:r>
      <w:r w:rsidRPr="00CD76BA">
        <w:rPr>
          <w:rFonts w:eastAsia="Times New Roman"/>
          <w:i/>
          <w:noProof/>
          <w:szCs w:val="24"/>
        </w:rPr>
        <w:t>mutatis mutandis</w:t>
      </w:r>
      <w:r w:rsidRPr="00CD76BA">
        <w:rPr>
          <w:rFonts w:eastAsia="Times New Roman"/>
          <w:noProof/>
          <w:szCs w:val="24"/>
        </w:rPr>
        <w:t xml:space="preserve"> also to electronic copies of the documents and information made publicly available through the system of interconnection of registers.</w:t>
      </w:r>
    </w:p>
    <w:p w14:paraId="63B19257" w14:textId="77777777" w:rsidR="00CD76BA" w:rsidRPr="00CD76BA" w:rsidRDefault="00AC460A" w:rsidP="00214D35">
      <w:pPr>
        <w:shd w:val="clear" w:color="auto" w:fill="FFFFFF"/>
        <w:spacing w:after="0"/>
        <w:ind w:left="851"/>
        <w:rPr>
          <w:rFonts w:eastAsia="Times New Roman"/>
          <w:noProof/>
          <w:szCs w:val="24"/>
        </w:rPr>
      </w:pPr>
      <w:r>
        <w:rPr>
          <w:rFonts w:eastAsia="Times New Roman"/>
          <w:noProof/>
          <w:szCs w:val="24"/>
        </w:rPr>
        <w:t>2. </w:t>
      </w:r>
      <w:r w:rsidR="0012262C">
        <w:rPr>
          <w:rFonts w:eastAsia="Times New Roman"/>
          <w:noProof/>
          <w:szCs w:val="24"/>
        </w:rPr>
        <w:tab/>
      </w:r>
      <w:r w:rsidR="00CD76BA" w:rsidRPr="00CD76BA">
        <w:rPr>
          <w:rFonts w:eastAsia="Times New Roman"/>
          <w:noProof/>
          <w:szCs w:val="24"/>
        </w:rPr>
        <w:t xml:space="preserve">Member States shall ensure that the documents and </w:t>
      </w:r>
      <w:r w:rsidR="00B45594">
        <w:rPr>
          <w:rFonts w:eastAsia="Times New Roman"/>
          <w:noProof/>
          <w:szCs w:val="24"/>
        </w:rPr>
        <w:t>information</w:t>
      </w:r>
      <w:r w:rsidR="00B45594" w:rsidRPr="00CD76BA">
        <w:rPr>
          <w:rFonts w:eastAsia="Times New Roman"/>
          <w:noProof/>
          <w:szCs w:val="24"/>
        </w:rPr>
        <w:t xml:space="preserve"> </w:t>
      </w:r>
      <w:r w:rsidR="00CD76BA" w:rsidRPr="00CD76BA">
        <w:rPr>
          <w:rFonts w:eastAsia="Times New Roman"/>
          <w:noProof/>
          <w:szCs w:val="24"/>
        </w:rPr>
        <w:t xml:space="preserve">referred to in Articles 14, 14a, 14b, </w:t>
      </w:r>
      <w:r w:rsidR="00BF46A1">
        <w:rPr>
          <w:rFonts w:eastAsia="Times New Roman"/>
          <w:noProof/>
          <w:szCs w:val="24"/>
        </w:rPr>
        <w:t xml:space="preserve">Articles </w:t>
      </w:r>
      <w:r w:rsidR="00CD76BA" w:rsidRPr="00CD76BA">
        <w:rPr>
          <w:rFonts w:eastAsia="Times New Roman"/>
          <w:noProof/>
          <w:szCs w:val="24"/>
        </w:rPr>
        <w:t>19(2) and 19a(2) are available through the system of interconnection of registers in a standard message format and accessible by electronic means. Member States shall also ensure that minimum standards for the security of data transmission are respected.</w:t>
      </w:r>
    </w:p>
    <w:p w14:paraId="2E48081F" w14:textId="77777777" w:rsidR="00CD76BA" w:rsidRPr="00CD76BA" w:rsidRDefault="00CD76BA" w:rsidP="00214D35">
      <w:pPr>
        <w:shd w:val="clear" w:color="auto" w:fill="FFFFFF"/>
        <w:spacing w:after="0"/>
        <w:ind w:left="851"/>
        <w:rPr>
          <w:rFonts w:eastAsia="Times New Roman"/>
          <w:noProof/>
          <w:szCs w:val="24"/>
        </w:rPr>
      </w:pPr>
      <w:r w:rsidRPr="00CD76BA">
        <w:rPr>
          <w:rFonts w:eastAsia="Times New Roman"/>
          <w:noProof/>
          <w:szCs w:val="24"/>
        </w:rPr>
        <w:t xml:space="preserve">3. </w:t>
      </w:r>
      <w:r w:rsidR="0012262C">
        <w:rPr>
          <w:rFonts w:eastAsia="Times New Roman"/>
          <w:noProof/>
          <w:szCs w:val="24"/>
        </w:rPr>
        <w:tab/>
      </w:r>
      <w:r w:rsidRPr="00CD76BA">
        <w:rPr>
          <w:rFonts w:eastAsia="Times New Roman"/>
          <w:noProof/>
          <w:szCs w:val="24"/>
        </w:rPr>
        <w:t>The Commission shall provide a search service in all the official languages of the Union in respect of companies registered in Member States, in order to make available through the portal:</w:t>
      </w:r>
    </w:p>
    <w:p w14:paraId="1C6C520C" w14:textId="77777777" w:rsidR="00CD76BA" w:rsidRPr="00CD76BA"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r w:rsidRPr="00CD76BA">
        <w:rPr>
          <w:rFonts w:ascii="Times New Roman" w:eastAsia="Times New Roman" w:hAnsi="Times New Roman" w:cs="Times New Roman"/>
          <w:noProof/>
          <w:sz w:val="24"/>
          <w:szCs w:val="24"/>
        </w:rPr>
        <w:t xml:space="preserve"> (a) the documents and information referred to in Article</w:t>
      </w:r>
      <w:r w:rsidR="005367B4">
        <w:rPr>
          <w:rFonts w:ascii="Times New Roman" w:eastAsia="Times New Roman" w:hAnsi="Times New Roman" w:cs="Times New Roman"/>
          <w:noProof/>
          <w:sz w:val="24"/>
          <w:szCs w:val="24"/>
        </w:rPr>
        <w:t>s</w:t>
      </w:r>
      <w:r w:rsidRPr="00CD76BA">
        <w:rPr>
          <w:rFonts w:ascii="Times New Roman" w:eastAsia="Times New Roman" w:hAnsi="Times New Roman" w:cs="Times New Roman"/>
          <w:noProof/>
          <w:sz w:val="24"/>
          <w:szCs w:val="24"/>
        </w:rPr>
        <w:t xml:space="preserve"> 14,</w:t>
      </w:r>
      <w:r w:rsidRPr="00CD76BA" w:rsidDel="009E3AEC">
        <w:rPr>
          <w:rFonts w:ascii="Times New Roman" w:eastAsia="Times New Roman" w:hAnsi="Times New Roman" w:cs="Times New Roman"/>
          <w:noProof/>
          <w:sz w:val="24"/>
          <w:szCs w:val="24"/>
        </w:rPr>
        <w:t xml:space="preserve"> </w:t>
      </w:r>
      <w:r w:rsidRPr="00CD76BA">
        <w:rPr>
          <w:rFonts w:ascii="Times New Roman" w:eastAsia="Times New Roman" w:hAnsi="Times New Roman" w:cs="Times New Roman"/>
          <w:noProof/>
          <w:sz w:val="24"/>
          <w:szCs w:val="24"/>
        </w:rPr>
        <w:t xml:space="preserve">14a, 14b, </w:t>
      </w:r>
      <w:r w:rsidR="00BF46A1" w:rsidRPr="00BF46A1">
        <w:rPr>
          <w:rFonts w:ascii="Times New Roman" w:eastAsia="Times New Roman" w:hAnsi="Times New Roman" w:cs="Times New Roman"/>
          <w:noProof/>
          <w:sz w:val="24"/>
          <w:szCs w:val="24"/>
        </w:rPr>
        <w:t xml:space="preserve">Articles </w:t>
      </w:r>
      <w:r w:rsidRPr="00CD76BA">
        <w:rPr>
          <w:rFonts w:ascii="Times New Roman" w:eastAsia="Times New Roman" w:hAnsi="Times New Roman" w:cs="Times New Roman"/>
          <w:noProof/>
          <w:sz w:val="24"/>
          <w:szCs w:val="24"/>
        </w:rPr>
        <w:t>19(2) and 19a(2)</w:t>
      </w:r>
      <w:r w:rsidR="008F2624">
        <w:rPr>
          <w:rFonts w:ascii="Times New Roman" w:eastAsia="Times New Roman" w:hAnsi="Times New Roman" w:cs="Times New Roman"/>
          <w:noProof/>
          <w:sz w:val="24"/>
          <w:szCs w:val="24"/>
        </w:rPr>
        <w:t>,</w:t>
      </w:r>
      <w:r w:rsidRPr="00CD76BA">
        <w:rPr>
          <w:rFonts w:ascii="Times New Roman" w:eastAsia="Times New Roman" w:hAnsi="Times New Roman" w:cs="Times New Roman"/>
          <w:noProof/>
          <w:sz w:val="24"/>
          <w:szCs w:val="24"/>
        </w:rPr>
        <w:t xml:space="preserve"> including for types of companies other than those listed in Annex</w:t>
      </w:r>
      <w:r w:rsidR="008F2624">
        <w:rPr>
          <w:rFonts w:ascii="Times New Roman" w:eastAsia="Times New Roman" w:hAnsi="Times New Roman" w:cs="Times New Roman"/>
          <w:noProof/>
          <w:sz w:val="24"/>
          <w:szCs w:val="24"/>
        </w:rPr>
        <w:t>es</w:t>
      </w:r>
      <w:r w:rsidRPr="00CD76BA">
        <w:rPr>
          <w:rFonts w:ascii="Times New Roman" w:eastAsia="Times New Roman" w:hAnsi="Times New Roman" w:cs="Times New Roman"/>
          <w:noProof/>
          <w:sz w:val="24"/>
          <w:szCs w:val="24"/>
        </w:rPr>
        <w:t xml:space="preserve"> II and IIB, where such documents are made available by Member States;</w:t>
      </w:r>
    </w:p>
    <w:p w14:paraId="02946676" w14:textId="77777777" w:rsidR="00CD76BA" w:rsidRPr="00CD76BA"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p>
    <w:p w14:paraId="122B7704" w14:textId="77777777" w:rsidR="00CD76BA" w:rsidRPr="00CD76BA"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r w:rsidRPr="00CD76BA">
        <w:rPr>
          <w:rFonts w:ascii="Times New Roman" w:eastAsia="Times New Roman" w:hAnsi="Times New Roman" w:cs="Times New Roman"/>
          <w:noProof/>
          <w:sz w:val="24"/>
          <w:szCs w:val="24"/>
        </w:rPr>
        <w:t xml:space="preserve"> (aa) the documents and information referred to in Articles 86g, 86n, 86p, 123, 127a, 130, 160g, 160n and 160p;</w:t>
      </w:r>
    </w:p>
    <w:p w14:paraId="28818622" w14:textId="77777777" w:rsidR="00CD76BA" w:rsidRPr="00CD76BA" w:rsidRDefault="00CD76BA" w:rsidP="0012262C">
      <w:pPr>
        <w:pStyle w:val="ListParagraph"/>
        <w:ind w:left="1560" w:hanging="426"/>
        <w:rPr>
          <w:rFonts w:ascii="Times New Roman" w:eastAsia="Times New Roman" w:hAnsi="Times New Roman" w:cs="Times New Roman"/>
          <w:noProof/>
          <w:sz w:val="24"/>
          <w:szCs w:val="24"/>
        </w:rPr>
      </w:pPr>
    </w:p>
    <w:p w14:paraId="0C03A13E" w14:textId="77777777" w:rsidR="00CD76BA" w:rsidRPr="00CD76BA"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r w:rsidRPr="00CD76BA">
        <w:rPr>
          <w:rFonts w:ascii="Times New Roman" w:eastAsia="Times New Roman" w:hAnsi="Times New Roman" w:cs="Times New Roman"/>
          <w:noProof/>
          <w:sz w:val="24"/>
          <w:szCs w:val="24"/>
        </w:rPr>
        <w:t>(b) the explanatory labels, available in all the official languages of the Union, listing th</w:t>
      </w:r>
      <w:r w:rsidR="00880E85">
        <w:rPr>
          <w:rFonts w:ascii="Times New Roman" w:eastAsia="Times New Roman" w:hAnsi="Times New Roman" w:cs="Times New Roman"/>
          <w:noProof/>
          <w:sz w:val="24"/>
          <w:szCs w:val="24"/>
        </w:rPr>
        <w:t>at</w:t>
      </w:r>
      <w:r w:rsidRPr="00CD76BA">
        <w:rPr>
          <w:rFonts w:ascii="Times New Roman" w:eastAsia="Times New Roman" w:hAnsi="Times New Roman" w:cs="Times New Roman"/>
          <w:noProof/>
          <w:sz w:val="24"/>
          <w:szCs w:val="24"/>
        </w:rPr>
        <w:t xml:space="preserve"> </w:t>
      </w:r>
      <w:r w:rsidR="00B45594" w:rsidRPr="00B45594">
        <w:rPr>
          <w:rFonts w:ascii="Times New Roman" w:eastAsia="Times New Roman" w:hAnsi="Times New Roman" w:cs="Times New Roman"/>
          <w:noProof/>
          <w:sz w:val="24"/>
          <w:szCs w:val="24"/>
        </w:rPr>
        <w:t>information</w:t>
      </w:r>
      <w:r w:rsidRPr="00CD76BA">
        <w:rPr>
          <w:rFonts w:ascii="Times New Roman" w:eastAsia="Times New Roman" w:hAnsi="Times New Roman" w:cs="Times New Roman"/>
          <w:noProof/>
          <w:sz w:val="24"/>
          <w:szCs w:val="24"/>
        </w:rPr>
        <w:t xml:space="preserve"> and the types of </w:t>
      </w:r>
      <w:r w:rsidRPr="00CD76BA" w:rsidDel="008F2624">
        <w:rPr>
          <w:rFonts w:ascii="Times New Roman" w:eastAsia="Times New Roman" w:hAnsi="Times New Roman" w:cs="Times New Roman"/>
          <w:noProof/>
          <w:sz w:val="24"/>
          <w:szCs w:val="24"/>
        </w:rPr>
        <w:t xml:space="preserve">those </w:t>
      </w:r>
      <w:r w:rsidRPr="00CD76BA">
        <w:rPr>
          <w:rFonts w:ascii="Times New Roman" w:eastAsia="Times New Roman" w:hAnsi="Times New Roman" w:cs="Times New Roman"/>
          <w:noProof/>
          <w:sz w:val="24"/>
          <w:szCs w:val="24"/>
        </w:rPr>
        <w:t>documents.</w:t>
      </w:r>
    </w:p>
    <w:p w14:paraId="024D87AB" w14:textId="77777777" w:rsidR="00CD76BA" w:rsidRDefault="0088398E" w:rsidP="00214D35">
      <w:pPr>
        <w:ind w:left="851"/>
        <w:contextualSpacing/>
        <w:rPr>
          <w:noProof/>
          <w:szCs w:val="24"/>
        </w:rPr>
      </w:pPr>
      <w:r>
        <w:rPr>
          <w:noProof/>
          <w:szCs w:val="24"/>
        </w:rPr>
        <w:t xml:space="preserve">4. </w:t>
      </w:r>
      <w:r w:rsidR="0012262C">
        <w:rPr>
          <w:noProof/>
          <w:szCs w:val="24"/>
        </w:rPr>
        <w:tab/>
      </w:r>
      <w:r w:rsidR="003675E3">
        <w:rPr>
          <w:noProof/>
          <w:szCs w:val="24"/>
        </w:rPr>
        <w:t>Member States shall ensure that, th</w:t>
      </w:r>
      <w:r w:rsidR="00E238E6">
        <w:rPr>
          <w:noProof/>
          <w:szCs w:val="24"/>
        </w:rPr>
        <w:t>r</w:t>
      </w:r>
      <w:r w:rsidR="003675E3">
        <w:rPr>
          <w:noProof/>
          <w:szCs w:val="24"/>
        </w:rPr>
        <w:t>ough t</w:t>
      </w:r>
      <w:r w:rsidR="00CD76BA" w:rsidRPr="00CD09AF">
        <w:rPr>
          <w:noProof/>
          <w:szCs w:val="24"/>
        </w:rPr>
        <w:t>he system of interconnection of business registers</w:t>
      </w:r>
      <w:r w:rsidR="003675E3">
        <w:rPr>
          <w:noProof/>
          <w:szCs w:val="24"/>
        </w:rPr>
        <w:t>,</w:t>
      </w:r>
      <w:r w:rsidR="00CD76BA" w:rsidRPr="00CD09AF">
        <w:rPr>
          <w:i/>
          <w:noProof/>
          <w:szCs w:val="24"/>
        </w:rPr>
        <w:t xml:space="preserve"> </w:t>
      </w:r>
      <w:r w:rsidR="00CD76BA" w:rsidRPr="00CD09AF">
        <w:rPr>
          <w:noProof/>
          <w:szCs w:val="24"/>
        </w:rPr>
        <w:t>the first name, surname and date of birth of the persons referred to in Article 14</w:t>
      </w:r>
      <w:r w:rsidR="00BF46A1">
        <w:rPr>
          <w:noProof/>
          <w:szCs w:val="24"/>
        </w:rPr>
        <w:t xml:space="preserve">, point </w:t>
      </w:r>
      <w:r w:rsidR="00CD76BA" w:rsidRPr="00CD09AF">
        <w:rPr>
          <w:noProof/>
          <w:szCs w:val="24"/>
        </w:rPr>
        <w:t xml:space="preserve">(d), </w:t>
      </w:r>
      <w:r w:rsidR="00233A41">
        <w:rPr>
          <w:noProof/>
          <w:szCs w:val="24"/>
        </w:rPr>
        <w:t>Article</w:t>
      </w:r>
      <w:r w:rsidR="00CD76BA" w:rsidRPr="00CD09AF">
        <w:rPr>
          <w:noProof/>
          <w:szCs w:val="24"/>
        </w:rPr>
        <w:t>14a</w:t>
      </w:r>
      <w:r w:rsidR="00BF46A1">
        <w:rPr>
          <w:noProof/>
          <w:szCs w:val="24"/>
        </w:rPr>
        <w:t xml:space="preserve">, points </w:t>
      </w:r>
      <w:r w:rsidR="00CD76BA" w:rsidRPr="00CD09AF">
        <w:rPr>
          <w:noProof/>
          <w:szCs w:val="24"/>
        </w:rPr>
        <w:t xml:space="preserve">(j) and (k), </w:t>
      </w:r>
      <w:r w:rsidR="00233A41">
        <w:rPr>
          <w:noProof/>
          <w:szCs w:val="24"/>
        </w:rPr>
        <w:t>Articles</w:t>
      </w:r>
      <w:r w:rsidR="00CD76BA" w:rsidRPr="00CD09AF">
        <w:rPr>
          <w:noProof/>
          <w:szCs w:val="24"/>
        </w:rPr>
        <w:t>19(2)</w:t>
      </w:r>
      <w:r w:rsidR="00BF46A1">
        <w:rPr>
          <w:noProof/>
          <w:szCs w:val="24"/>
        </w:rPr>
        <w:t xml:space="preserve">, point </w:t>
      </w:r>
      <w:r w:rsidR="00CD76BA" w:rsidRPr="00CD09AF">
        <w:rPr>
          <w:noProof/>
          <w:szCs w:val="24"/>
        </w:rPr>
        <w:t>(g)</w:t>
      </w:r>
      <w:r w:rsidR="000B1B57">
        <w:rPr>
          <w:noProof/>
          <w:szCs w:val="24"/>
        </w:rPr>
        <w:t xml:space="preserve">, </w:t>
      </w:r>
      <w:r w:rsidR="00CD76BA" w:rsidRPr="00CD09AF">
        <w:rPr>
          <w:noProof/>
          <w:szCs w:val="24"/>
        </w:rPr>
        <w:t>19a</w:t>
      </w:r>
      <w:r w:rsidR="00BF46A1">
        <w:rPr>
          <w:noProof/>
          <w:szCs w:val="24"/>
        </w:rPr>
        <w:t xml:space="preserve"> </w:t>
      </w:r>
      <w:r w:rsidR="00CD76BA" w:rsidRPr="00CD09AF">
        <w:rPr>
          <w:noProof/>
          <w:szCs w:val="24"/>
        </w:rPr>
        <w:t>(2)</w:t>
      </w:r>
      <w:r w:rsidR="004028C7">
        <w:rPr>
          <w:noProof/>
          <w:szCs w:val="24"/>
        </w:rPr>
        <w:t xml:space="preserve">, point </w:t>
      </w:r>
      <w:r w:rsidR="00CD76BA" w:rsidRPr="00CD09AF">
        <w:rPr>
          <w:noProof/>
          <w:szCs w:val="24"/>
        </w:rPr>
        <w:t>(g), 30(1)</w:t>
      </w:r>
      <w:r w:rsidR="004757C1">
        <w:rPr>
          <w:noProof/>
          <w:szCs w:val="24"/>
        </w:rPr>
        <w:t xml:space="preserve">, point </w:t>
      </w:r>
      <w:r w:rsidR="00CD76BA" w:rsidRPr="00CD09AF">
        <w:rPr>
          <w:noProof/>
          <w:szCs w:val="24"/>
        </w:rPr>
        <w:t>(e) and 36(3)</w:t>
      </w:r>
      <w:r w:rsidR="004757C1">
        <w:rPr>
          <w:noProof/>
          <w:szCs w:val="24"/>
        </w:rPr>
        <w:t xml:space="preserve">, point </w:t>
      </w:r>
      <w:r w:rsidR="00CD76BA" w:rsidRPr="00CD09AF">
        <w:rPr>
          <w:noProof/>
          <w:szCs w:val="24"/>
        </w:rPr>
        <w:t>(f)</w:t>
      </w:r>
      <w:r w:rsidR="004757C1">
        <w:rPr>
          <w:noProof/>
          <w:szCs w:val="24"/>
        </w:rPr>
        <w:t>,</w:t>
      </w:r>
      <w:r w:rsidR="00CD76BA" w:rsidRPr="00CD09AF">
        <w:rPr>
          <w:noProof/>
          <w:szCs w:val="24"/>
        </w:rPr>
        <w:t xml:space="preserve"> </w:t>
      </w:r>
      <w:r w:rsidR="003675E3">
        <w:rPr>
          <w:noProof/>
          <w:szCs w:val="24"/>
        </w:rPr>
        <w:t>are to be mad</w:t>
      </w:r>
      <w:r w:rsidR="003675E3" w:rsidRPr="00CD09AF">
        <w:rPr>
          <w:noProof/>
          <w:szCs w:val="24"/>
        </w:rPr>
        <w:t>e publicly available</w:t>
      </w:r>
      <w:r w:rsidR="00CD76BA" w:rsidRPr="00CD09AF">
        <w:rPr>
          <w:noProof/>
          <w:szCs w:val="24"/>
        </w:rPr>
        <w:t xml:space="preserve">. </w:t>
      </w:r>
    </w:p>
    <w:p w14:paraId="735A4AD0" w14:textId="77777777" w:rsidR="00214D35" w:rsidRPr="00CD09AF" w:rsidRDefault="00214D35" w:rsidP="00214D35">
      <w:pPr>
        <w:ind w:left="851"/>
        <w:contextualSpacing/>
        <w:rPr>
          <w:noProof/>
          <w:szCs w:val="24"/>
        </w:rPr>
      </w:pPr>
    </w:p>
    <w:p w14:paraId="69F50765" w14:textId="77777777" w:rsidR="00CD76BA" w:rsidRDefault="0088398E" w:rsidP="00214D35">
      <w:pPr>
        <w:ind w:left="851"/>
        <w:contextualSpacing/>
        <w:rPr>
          <w:noProof/>
          <w:szCs w:val="24"/>
        </w:rPr>
      </w:pPr>
      <w:r>
        <w:rPr>
          <w:noProof/>
          <w:szCs w:val="24"/>
        </w:rPr>
        <w:t xml:space="preserve">5. </w:t>
      </w:r>
      <w:r w:rsidR="0012262C">
        <w:rPr>
          <w:noProof/>
          <w:szCs w:val="24"/>
        </w:rPr>
        <w:tab/>
      </w:r>
      <w:r w:rsidR="003675E3">
        <w:rPr>
          <w:noProof/>
          <w:szCs w:val="24"/>
        </w:rPr>
        <w:t>Member States shall ensure that, th</w:t>
      </w:r>
      <w:r w:rsidR="00E238E6">
        <w:rPr>
          <w:noProof/>
          <w:szCs w:val="24"/>
        </w:rPr>
        <w:t>r</w:t>
      </w:r>
      <w:r w:rsidR="003675E3">
        <w:rPr>
          <w:noProof/>
          <w:szCs w:val="24"/>
        </w:rPr>
        <w:t>ough t</w:t>
      </w:r>
      <w:r w:rsidR="00CD76BA" w:rsidRPr="00CD09AF">
        <w:rPr>
          <w:noProof/>
          <w:szCs w:val="24"/>
        </w:rPr>
        <w:t>he system of interconnection of business registers</w:t>
      </w:r>
      <w:r w:rsidR="003675E3">
        <w:rPr>
          <w:noProof/>
          <w:szCs w:val="24"/>
        </w:rPr>
        <w:t>,</w:t>
      </w:r>
      <w:r w:rsidR="00CD76BA" w:rsidRPr="00CD09AF">
        <w:rPr>
          <w:noProof/>
          <w:szCs w:val="24"/>
        </w:rPr>
        <w:t xml:space="preserve"> the first name, surname and the date of birth of the persons referred to in Article 3 of Directive 2009/102/EC</w:t>
      </w:r>
      <w:r w:rsidR="003675E3" w:rsidRPr="003675E3">
        <w:rPr>
          <w:noProof/>
          <w:szCs w:val="24"/>
        </w:rPr>
        <w:t xml:space="preserve"> </w:t>
      </w:r>
      <w:r w:rsidR="003675E3">
        <w:rPr>
          <w:noProof/>
          <w:szCs w:val="24"/>
        </w:rPr>
        <w:t>are to be mad</w:t>
      </w:r>
      <w:r w:rsidR="003675E3" w:rsidRPr="00CD09AF">
        <w:rPr>
          <w:noProof/>
          <w:szCs w:val="24"/>
        </w:rPr>
        <w:t>e publicly available</w:t>
      </w:r>
      <w:r w:rsidR="00CD76BA" w:rsidRPr="00CD09AF">
        <w:rPr>
          <w:noProof/>
          <w:szCs w:val="24"/>
        </w:rPr>
        <w:t xml:space="preserve">.  </w:t>
      </w:r>
    </w:p>
    <w:p w14:paraId="7829ABF1" w14:textId="77777777" w:rsidR="00214D35" w:rsidRPr="00CD09AF" w:rsidRDefault="00214D35" w:rsidP="00214D35">
      <w:pPr>
        <w:ind w:left="851"/>
        <w:contextualSpacing/>
        <w:rPr>
          <w:noProof/>
          <w:szCs w:val="24"/>
        </w:rPr>
      </w:pPr>
    </w:p>
    <w:p w14:paraId="71B63F39" w14:textId="77777777" w:rsidR="0012262C" w:rsidRDefault="0088398E" w:rsidP="00214D35">
      <w:pPr>
        <w:ind w:left="851"/>
        <w:contextualSpacing/>
        <w:rPr>
          <w:noProof/>
        </w:rPr>
      </w:pPr>
      <w:r>
        <w:rPr>
          <w:rFonts w:eastAsia="Times New Roman"/>
          <w:noProof/>
          <w:szCs w:val="24"/>
        </w:rPr>
        <w:t xml:space="preserve">6. </w:t>
      </w:r>
      <w:r w:rsidR="0012262C">
        <w:rPr>
          <w:rFonts w:eastAsia="Times New Roman"/>
          <w:noProof/>
          <w:szCs w:val="24"/>
        </w:rPr>
        <w:tab/>
      </w:r>
      <w:r w:rsidR="00CD76BA" w:rsidRPr="00CD09AF">
        <w:rPr>
          <w:rFonts w:eastAsia="Times New Roman"/>
          <w:noProof/>
          <w:szCs w:val="24"/>
        </w:rPr>
        <w:t xml:space="preserve">Member States shall ensure that the registers, authorities or persons or bodies mandated under national law to deal with any aspect of procedures covered by this Directive do not store personal data transmitted through the system of interconnection of registers for the purposes of </w:t>
      </w:r>
      <w:r w:rsidR="00CD76BA" w:rsidRPr="00CD09AF">
        <w:rPr>
          <w:noProof/>
          <w:szCs w:val="24"/>
        </w:rPr>
        <w:t>Articles 13g, 28a and 30a, unless otherwise pro</w:t>
      </w:r>
      <w:r w:rsidR="009E5841" w:rsidRPr="00CD09AF">
        <w:rPr>
          <w:noProof/>
          <w:szCs w:val="24"/>
        </w:rPr>
        <w:t>vided by Union or national law.’</w:t>
      </w:r>
      <w:r w:rsidR="00CD76BA" w:rsidRPr="00CD76BA">
        <w:rPr>
          <w:noProof/>
        </w:rPr>
        <w:t>;</w:t>
      </w:r>
    </w:p>
    <w:p w14:paraId="77A46584" w14:textId="77777777" w:rsidR="00C75DCB" w:rsidRDefault="00C75DCB" w:rsidP="0012262C">
      <w:pPr>
        <w:spacing w:before="0" w:after="200" w:line="276" w:lineRule="auto"/>
        <w:ind w:left="1276" w:hanging="425"/>
        <w:rPr>
          <w:noProof/>
        </w:rPr>
      </w:pPr>
    </w:p>
    <w:p w14:paraId="78D763DF" w14:textId="631B0761" w:rsidR="00B56DB1" w:rsidRDefault="001969F8" w:rsidP="001969F8">
      <w:pPr>
        <w:pStyle w:val="Point0"/>
        <w:rPr>
          <w:noProof/>
        </w:rPr>
      </w:pPr>
      <w:r w:rsidRPr="001969F8">
        <w:t>(24)</w:t>
      </w:r>
      <w:r w:rsidRPr="001969F8">
        <w:tab/>
      </w:r>
      <w:r w:rsidR="000B1B57">
        <w:rPr>
          <w:noProof/>
        </w:rPr>
        <w:t>t</w:t>
      </w:r>
      <w:r w:rsidR="00B56DB1" w:rsidRPr="0078191D">
        <w:rPr>
          <w:noProof/>
        </w:rPr>
        <w:t xml:space="preserve">he following Article </w:t>
      </w:r>
      <w:r w:rsidR="00B56DB1">
        <w:rPr>
          <w:noProof/>
        </w:rPr>
        <w:t xml:space="preserve">is </w:t>
      </w:r>
      <w:r w:rsidR="00B56DB1" w:rsidRPr="0078191D">
        <w:rPr>
          <w:noProof/>
        </w:rPr>
        <w:t>inserted:</w:t>
      </w:r>
    </w:p>
    <w:p w14:paraId="7A1F6A01" w14:textId="77777777" w:rsidR="00026DAD" w:rsidRPr="001F3EC3" w:rsidRDefault="00E647BB" w:rsidP="00CF44B0">
      <w:pPr>
        <w:jc w:val="center"/>
        <w:rPr>
          <w:noProof/>
        </w:rPr>
      </w:pPr>
      <w:r w:rsidRPr="001F3EC3">
        <w:rPr>
          <w:noProof/>
        </w:rPr>
        <w:t>‘</w:t>
      </w:r>
      <w:r w:rsidR="00026DAD" w:rsidRPr="001F3EC3">
        <w:rPr>
          <w:noProof/>
        </w:rPr>
        <w:t>Article 19a</w:t>
      </w:r>
    </w:p>
    <w:p w14:paraId="22329C48" w14:textId="77777777" w:rsidR="00026DAD" w:rsidRPr="00CF44B0" w:rsidRDefault="00026DAD" w:rsidP="00CF44B0">
      <w:pPr>
        <w:jc w:val="center"/>
        <w:rPr>
          <w:b/>
          <w:bCs/>
          <w:noProof/>
        </w:rPr>
      </w:pPr>
      <w:r w:rsidRPr="00CF44B0">
        <w:rPr>
          <w:b/>
          <w:bCs/>
          <w:noProof/>
        </w:rPr>
        <w:t xml:space="preserve">Fees chargeable for documents and </w:t>
      </w:r>
      <w:r w:rsidR="00B45594" w:rsidRPr="004C1C0E">
        <w:rPr>
          <w:b/>
          <w:noProof/>
        </w:rPr>
        <w:t>information</w:t>
      </w:r>
      <w:r w:rsidRPr="00CF44B0">
        <w:rPr>
          <w:b/>
          <w:bCs/>
          <w:noProof/>
        </w:rPr>
        <w:t xml:space="preserve"> as regards partnerships</w:t>
      </w:r>
    </w:p>
    <w:p w14:paraId="0AA229A3" w14:textId="77777777" w:rsidR="00026DAD" w:rsidRPr="004634CC" w:rsidRDefault="00DF63EF" w:rsidP="00DF63EF">
      <w:pPr>
        <w:ind w:left="851"/>
        <w:rPr>
          <w:rFonts w:eastAsia="Times New Roman"/>
          <w:noProof/>
          <w:szCs w:val="24"/>
        </w:rPr>
      </w:pPr>
      <w:r>
        <w:rPr>
          <w:rFonts w:eastAsia="Times New Roman"/>
          <w:noProof/>
          <w:szCs w:val="24"/>
        </w:rPr>
        <w:t xml:space="preserve">1. </w:t>
      </w:r>
      <w:r w:rsidR="00026DAD" w:rsidRPr="004634CC">
        <w:rPr>
          <w:rFonts w:eastAsia="Times New Roman"/>
          <w:noProof/>
          <w:szCs w:val="24"/>
        </w:rPr>
        <w:t xml:space="preserve">The fees charged for obtaining the documents and </w:t>
      </w:r>
      <w:r w:rsidR="000B1B57" w:rsidRPr="004634CC">
        <w:rPr>
          <w:rFonts w:eastAsia="Times New Roman"/>
          <w:noProof/>
          <w:szCs w:val="24"/>
        </w:rPr>
        <w:t xml:space="preserve">information </w:t>
      </w:r>
      <w:r w:rsidR="00026DAD" w:rsidRPr="004634CC">
        <w:rPr>
          <w:rFonts w:eastAsia="Times New Roman"/>
          <w:noProof/>
          <w:szCs w:val="24"/>
        </w:rPr>
        <w:t>referred to in Article 14a through the system of interconnection of registers shall not exceed the administrative costs thereof, including the costs of developmen</w:t>
      </w:r>
      <w:r w:rsidR="00405812" w:rsidRPr="004634CC">
        <w:rPr>
          <w:rFonts w:eastAsia="Times New Roman"/>
          <w:noProof/>
          <w:szCs w:val="24"/>
        </w:rPr>
        <w:t>t and maintenance of registers.</w:t>
      </w:r>
    </w:p>
    <w:p w14:paraId="0A23FD87" w14:textId="77777777" w:rsidR="00405812" w:rsidRPr="00405812" w:rsidRDefault="00405812" w:rsidP="00DF63EF">
      <w:pPr>
        <w:pStyle w:val="ListParagraph"/>
        <w:ind w:left="851"/>
        <w:rPr>
          <w:rFonts w:ascii="Times New Roman" w:eastAsia="Times New Roman" w:hAnsi="Times New Roman" w:cs="Times New Roman"/>
          <w:noProof/>
          <w:sz w:val="24"/>
          <w:szCs w:val="24"/>
        </w:rPr>
      </w:pPr>
    </w:p>
    <w:p w14:paraId="21C1D712" w14:textId="77777777" w:rsidR="00405812" w:rsidRPr="00DF63EF" w:rsidRDefault="00DF63EF" w:rsidP="00DF63EF">
      <w:pPr>
        <w:ind w:left="851"/>
        <w:rPr>
          <w:rFonts w:eastAsia="Times New Roman"/>
          <w:noProof/>
          <w:szCs w:val="24"/>
        </w:rPr>
      </w:pPr>
      <w:r>
        <w:rPr>
          <w:rFonts w:eastAsia="Times New Roman"/>
          <w:noProof/>
          <w:szCs w:val="24"/>
        </w:rPr>
        <w:t xml:space="preserve">2. </w:t>
      </w:r>
      <w:r w:rsidR="00405812" w:rsidRPr="00DF63EF">
        <w:rPr>
          <w:rFonts w:eastAsia="Times New Roman"/>
          <w:noProof/>
          <w:szCs w:val="24"/>
        </w:rPr>
        <w:t>Member States shall ensure that the following information and documents are available free of charge through the system of interconnection of registers about companies listed in Annex IIB:</w:t>
      </w:r>
    </w:p>
    <w:p w14:paraId="24649BC4" w14:textId="77777777" w:rsidR="00405812" w:rsidRPr="00DF63EF" w:rsidRDefault="00DF63EF" w:rsidP="00DF63EF">
      <w:pPr>
        <w:ind w:left="851"/>
        <w:rPr>
          <w:rFonts w:eastAsia="Times New Roman"/>
          <w:noProof/>
          <w:szCs w:val="24"/>
        </w:rPr>
      </w:pPr>
      <w:r>
        <w:rPr>
          <w:rFonts w:eastAsia="Times New Roman"/>
          <w:noProof/>
          <w:szCs w:val="24"/>
        </w:rPr>
        <w:t xml:space="preserve">(a) </w:t>
      </w:r>
      <w:r w:rsidR="00405812" w:rsidRPr="00DF63EF">
        <w:rPr>
          <w:rFonts w:eastAsia="Times New Roman"/>
          <w:noProof/>
          <w:szCs w:val="24"/>
        </w:rPr>
        <w:t>the name and legal form of the partnership;</w:t>
      </w:r>
    </w:p>
    <w:p w14:paraId="42B879F5" w14:textId="77777777" w:rsidR="00405812" w:rsidRPr="00DF63EF" w:rsidRDefault="00DF63EF" w:rsidP="00DF63EF">
      <w:pPr>
        <w:ind w:left="851"/>
        <w:rPr>
          <w:rFonts w:eastAsia="Times New Roman"/>
          <w:noProof/>
          <w:szCs w:val="24"/>
        </w:rPr>
      </w:pPr>
      <w:r>
        <w:rPr>
          <w:rFonts w:eastAsia="Times New Roman"/>
          <w:noProof/>
          <w:szCs w:val="24"/>
        </w:rPr>
        <w:t xml:space="preserve">(b) </w:t>
      </w:r>
      <w:r w:rsidR="00405812" w:rsidRPr="00DF63EF">
        <w:rPr>
          <w:rFonts w:eastAsia="Times New Roman"/>
          <w:noProof/>
          <w:szCs w:val="24"/>
        </w:rPr>
        <w:t>the registered office of the partnership and the Member State where it is registered;</w:t>
      </w:r>
    </w:p>
    <w:p w14:paraId="3A2B77FB" w14:textId="77777777" w:rsidR="00405812" w:rsidRPr="00DF63EF" w:rsidRDefault="00DF63EF" w:rsidP="00DF63EF">
      <w:pPr>
        <w:ind w:left="851"/>
        <w:rPr>
          <w:rFonts w:eastAsia="Times New Roman"/>
          <w:noProof/>
          <w:szCs w:val="24"/>
        </w:rPr>
      </w:pPr>
      <w:r>
        <w:rPr>
          <w:rFonts w:eastAsia="Times New Roman"/>
          <w:noProof/>
          <w:szCs w:val="24"/>
        </w:rPr>
        <w:t xml:space="preserve">(c) </w:t>
      </w:r>
      <w:r w:rsidR="00405812" w:rsidRPr="00DF63EF">
        <w:rPr>
          <w:rFonts w:eastAsia="Times New Roman"/>
          <w:noProof/>
          <w:szCs w:val="24"/>
        </w:rPr>
        <w:t>the registration number of the partnership and its EUID;</w:t>
      </w:r>
    </w:p>
    <w:p w14:paraId="30A6B911" w14:textId="77777777" w:rsidR="00405812" w:rsidRPr="00DF63EF" w:rsidRDefault="00DF63EF" w:rsidP="00DF63EF">
      <w:pPr>
        <w:ind w:left="851"/>
        <w:rPr>
          <w:rFonts w:eastAsia="Times New Roman"/>
          <w:noProof/>
          <w:szCs w:val="24"/>
        </w:rPr>
      </w:pPr>
      <w:r>
        <w:rPr>
          <w:rFonts w:eastAsia="Times New Roman"/>
          <w:noProof/>
          <w:szCs w:val="24"/>
        </w:rPr>
        <w:t xml:space="preserve">(d) </w:t>
      </w:r>
      <w:r w:rsidR="00405812" w:rsidRPr="00DF63EF">
        <w:rPr>
          <w:rFonts w:eastAsia="Times New Roman"/>
          <w:noProof/>
          <w:szCs w:val="24"/>
        </w:rPr>
        <w:t>details of the partnership website where such details are recorded in the national register;</w:t>
      </w:r>
    </w:p>
    <w:p w14:paraId="071695B3" w14:textId="77777777" w:rsidR="00405812" w:rsidRPr="00DF63EF" w:rsidRDefault="00DF63EF" w:rsidP="00DF63EF">
      <w:pPr>
        <w:ind w:left="851"/>
        <w:rPr>
          <w:rFonts w:eastAsia="Times New Roman"/>
          <w:noProof/>
          <w:szCs w:val="24"/>
        </w:rPr>
      </w:pPr>
      <w:r>
        <w:rPr>
          <w:rFonts w:eastAsia="Times New Roman"/>
          <w:noProof/>
          <w:szCs w:val="24"/>
        </w:rPr>
        <w:t xml:space="preserve">(e) </w:t>
      </w:r>
      <w:r w:rsidR="00405812" w:rsidRPr="00DF63EF">
        <w:rPr>
          <w:rFonts w:eastAsia="Times New Roman"/>
          <w:noProof/>
          <w:szCs w:val="24"/>
        </w:rPr>
        <w:t>the status of the partnership, such as when it is closed, struck off the register, wound up, dissolved, economically active or inactive as defined in national law;</w:t>
      </w:r>
    </w:p>
    <w:p w14:paraId="0879A350" w14:textId="77777777" w:rsidR="00405812" w:rsidRPr="00DF63EF" w:rsidRDefault="00DF63EF" w:rsidP="00DF63EF">
      <w:pPr>
        <w:ind w:left="851"/>
        <w:rPr>
          <w:rFonts w:eastAsia="Times New Roman"/>
          <w:noProof/>
          <w:szCs w:val="24"/>
        </w:rPr>
      </w:pPr>
      <w:r>
        <w:rPr>
          <w:rFonts w:eastAsia="Times New Roman"/>
          <w:noProof/>
          <w:szCs w:val="24"/>
        </w:rPr>
        <w:t xml:space="preserve">(f) </w:t>
      </w:r>
      <w:r w:rsidR="00405812" w:rsidRPr="00DF63EF">
        <w:rPr>
          <w:rFonts w:eastAsia="Times New Roman"/>
          <w:noProof/>
          <w:szCs w:val="24"/>
        </w:rPr>
        <w:t>the object of the partnership;</w:t>
      </w:r>
    </w:p>
    <w:p w14:paraId="3D7AD8C7" w14:textId="77777777" w:rsidR="00405812" w:rsidRPr="00DF63EF" w:rsidRDefault="00DF63EF" w:rsidP="00DF63EF">
      <w:pPr>
        <w:ind w:left="851"/>
        <w:rPr>
          <w:rFonts w:eastAsia="Times New Roman"/>
          <w:noProof/>
          <w:szCs w:val="24"/>
        </w:rPr>
      </w:pPr>
      <w:r>
        <w:rPr>
          <w:rFonts w:eastAsia="Times New Roman"/>
          <w:noProof/>
          <w:szCs w:val="24"/>
        </w:rPr>
        <w:t xml:space="preserve">(g) </w:t>
      </w:r>
      <w:r w:rsidR="00405812" w:rsidRPr="00DF63EF">
        <w:rPr>
          <w:rFonts w:eastAsia="Times New Roman"/>
          <w:noProof/>
          <w:szCs w:val="24"/>
        </w:rPr>
        <w:t>the particulars of partners who represent the partnership in dealings with third parties and in legal proceedings, and information as to whether the partners authorised to represent the partnership may do so alone or are required to act jointly;</w:t>
      </w:r>
    </w:p>
    <w:p w14:paraId="2CDB2449" w14:textId="77777777" w:rsidR="00405812" w:rsidRPr="00DF63EF" w:rsidRDefault="00DF63EF" w:rsidP="00DF63EF">
      <w:pPr>
        <w:ind w:left="851"/>
        <w:rPr>
          <w:rFonts w:eastAsia="Times New Roman"/>
          <w:noProof/>
          <w:szCs w:val="24"/>
        </w:rPr>
      </w:pPr>
      <w:r>
        <w:rPr>
          <w:rFonts w:eastAsia="Times New Roman"/>
          <w:noProof/>
          <w:szCs w:val="24"/>
        </w:rPr>
        <w:t xml:space="preserve">(h) </w:t>
      </w:r>
      <w:r w:rsidR="00405812" w:rsidRPr="00DF63EF">
        <w:rPr>
          <w:rFonts w:eastAsia="Times New Roman"/>
          <w:noProof/>
          <w:szCs w:val="24"/>
        </w:rPr>
        <w:t>information on any branches opened by the partnership in another Member State, including the name, registration number, EUID and the Member State where the branch is registered.’;</w:t>
      </w:r>
    </w:p>
    <w:p w14:paraId="6E0BBDC3" w14:textId="77777777" w:rsidR="00405812" w:rsidRDefault="00405812" w:rsidP="00405812">
      <w:pPr>
        <w:rPr>
          <w:noProof/>
        </w:rPr>
      </w:pPr>
    </w:p>
    <w:p w14:paraId="537BD95A" w14:textId="689CD16C" w:rsidR="00B56DB1" w:rsidRPr="00827F27" w:rsidRDefault="001969F8" w:rsidP="001969F8">
      <w:pPr>
        <w:pStyle w:val="Point0"/>
        <w:rPr>
          <w:noProof/>
        </w:rPr>
      </w:pPr>
      <w:r w:rsidRPr="001969F8">
        <w:t>(25)</w:t>
      </w:r>
      <w:r w:rsidRPr="001969F8">
        <w:tab/>
      </w:r>
      <w:r w:rsidR="000B1B57">
        <w:rPr>
          <w:noProof/>
        </w:rPr>
        <w:t>i</w:t>
      </w:r>
      <w:r w:rsidR="00B56DB1" w:rsidRPr="00827F27">
        <w:rPr>
          <w:noProof/>
        </w:rPr>
        <w:t xml:space="preserve">n Article 21, the </w:t>
      </w:r>
      <w:r w:rsidR="00BB0506" w:rsidRPr="00827F27">
        <w:rPr>
          <w:noProof/>
        </w:rPr>
        <w:t xml:space="preserve">following </w:t>
      </w:r>
      <w:r w:rsidR="00AC460A">
        <w:rPr>
          <w:noProof/>
        </w:rPr>
        <w:t xml:space="preserve">paragraph </w:t>
      </w:r>
      <w:r w:rsidR="00B56DB1" w:rsidRPr="00827F27">
        <w:rPr>
          <w:noProof/>
        </w:rPr>
        <w:t xml:space="preserve">is </w:t>
      </w:r>
      <w:r w:rsidR="00BB0506" w:rsidRPr="00827F27">
        <w:rPr>
          <w:noProof/>
        </w:rPr>
        <w:t>added</w:t>
      </w:r>
      <w:r w:rsidR="00B56DB1" w:rsidRPr="00827F27">
        <w:rPr>
          <w:noProof/>
        </w:rPr>
        <w:t>:</w:t>
      </w:r>
    </w:p>
    <w:p w14:paraId="514E20BE" w14:textId="77777777" w:rsidR="00B56DB1" w:rsidRDefault="00E647BB" w:rsidP="00214D35">
      <w:pPr>
        <w:shd w:val="clear" w:color="auto" w:fill="FFFFFF"/>
        <w:spacing w:after="0"/>
        <w:ind w:left="851"/>
        <w:rPr>
          <w:rFonts w:eastAsia="Times New Roman"/>
          <w:noProof/>
          <w:color w:val="333333"/>
          <w:szCs w:val="24"/>
        </w:rPr>
      </w:pPr>
      <w:r>
        <w:rPr>
          <w:noProof/>
        </w:rPr>
        <w:t>‘</w:t>
      </w:r>
      <w:r w:rsidR="00BB0506" w:rsidRPr="00827F27">
        <w:rPr>
          <w:noProof/>
        </w:rPr>
        <w:t>5. This Article shall apply</w:t>
      </w:r>
      <w:r w:rsidR="00BB0506" w:rsidRPr="00BB0506">
        <w:rPr>
          <w:noProof/>
        </w:rPr>
        <w:t xml:space="preserve"> to Article</w:t>
      </w:r>
      <w:r w:rsidR="000B1B57">
        <w:rPr>
          <w:noProof/>
        </w:rPr>
        <w:t>s</w:t>
      </w:r>
      <w:r w:rsidR="00BB0506" w:rsidRPr="00BB0506">
        <w:rPr>
          <w:noProof/>
        </w:rPr>
        <w:t xml:space="preserve"> 14a and 14b.</w:t>
      </w:r>
      <w:r>
        <w:rPr>
          <w:rFonts w:eastAsia="Times New Roman"/>
          <w:noProof/>
          <w:color w:val="333333"/>
          <w:szCs w:val="24"/>
        </w:rPr>
        <w:t>’</w:t>
      </w:r>
      <w:r w:rsidR="00B56DB1">
        <w:rPr>
          <w:rFonts w:eastAsia="Times New Roman"/>
          <w:noProof/>
          <w:color w:val="333333"/>
          <w:szCs w:val="24"/>
        </w:rPr>
        <w:t>;</w:t>
      </w:r>
    </w:p>
    <w:p w14:paraId="3D4B0B11" w14:textId="77777777" w:rsidR="0012262C" w:rsidRDefault="0012262C" w:rsidP="0012262C">
      <w:pPr>
        <w:shd w:val="clear" w:color="auto" w:fill="FFFFFF"/>
        <w:spacing w:after="0"/>
        <w:ind w:left="1276" w:hanging="425"/>
        <w:rPr>
          <w:rFonts w:eastAsia="Times New Roman"/>
          <w:noProof/>
          <w:color w:val="333333"/>
          <w:szCs w:val="24"/>
        </w:rPr>
      </w:pPr>
    </w:p>
    <w:p w14:paraId="02F45030" w14:textId="202C8FFE" w:rsidR="005E31D2" w:rsidRPr="00B52390" w:rsidRDefault="001969F8" w:rsidP="001969F8">
      <w:pPr>
        <w:pStyle w:val="Point0"/>
        <w:rPr>
          <w:noProof/>
        </w:rPr>
      </w:pPr>
      <w:r w:rsidRPr="001969F8">
        <w:t>(26)</w:t>
      </w:r>
      <w:r w:rsidRPr="001969F8">
        <w:tab/>
      </w:r>
      <w:r w:rsidR="000B1B57">
        <w:rPr>
          <w:noProof/>
          <w:lang w:eastAsia="en-GB"/>
        </w:rPr>
        <w:t>i</w:t>
      </w:r>
      <w:r w:rsidR="005E31D2" w:rsidRPr="00CD09AF">
        <w:rPr>
          <w:noProof/>
          <w:lang w:eastAsia="en-GB"/>
        </w:rPr>
        <w:t xml:space="preserve">n Article 22, the following </w:t>
      </w:r>
      <w:r w:rsidR="005E31D2" w:rsidRPr="00B52390">
        <w:rPr>
          <w:noProof/>
          <w:lang w:eastAsia="en-GB"/>
        </w:rPr>
        <w:t>paragraph is added:</w:t>
      </w:r>
    </w:p>
    <w:p w14:paraId="71B50013" w14:textId="77777777" w:rsidR="00827F27" w:rsidRPr="00827F27" w:rsidRDefault="00E647BB" w:rsidP="00214D35">
      <w:pPr>
        <w:ind w:left="851" w:hanging="142"/>
        <w:rPr>
          <w:noProof/>
          <w:szCs w:val="24"/>
        </w:rPr>
      </w:pPr>
      <w:r w:rsidRPr="00584379">
        <w:rPr>
          <w:noProof/>
        </w:rPr>
        <w:t>‘</w:t>
      </w:r>
      <w:r w:rsidR="00B0350D" w:rsidRPr="00584379">
        <w:rPr>
          <w:noProof/>
        </w:rPr>
        <w:t>7</w:t>
      </w:r>
      <w:r w:rsidR="4DDB6C4C" w:rsidRPr="00584379">
        <w:rPr>
          <w:noProof/>
        </w:rPr>
        <w:t xml:space="preserve">. </w:t>
      </w:r>
      <w:r w:rsidR="00584379">
        <w:rPr>
          <w:noProof/>
          <w:szCs w:val="24"/>
        </w:rPr>
        <w:t xml:space="preserve">Connections </w:t>
      </w:r>
      <w:r w:rsidR="00827F27" w:rsidRPr="00584379">
        <w:rPr>
          <w:noProof/>
          <w:szCs w:val="24"/>
        </w:rPr>
        <w:t>shall</w:t>
      </w:r>
      <w:r w:rsidR="00827F27" w:rsidRPr="00827F27">
        <w:rPr>
          <w:noProof/>
          <w:szCs w:val="24"/>
        </w:rPr>
        <w:t xml:space="preserve"> be established between the system of interconnection of registers, the beneficial ownership registers interconnection</w:t>
      </w:r>
      <w:r w:rsidR="00120CC6">
        <w:rPr>
          <w:noProof/>
          <w:szCs w:val="24"/>
        </w:rPr>
        <w:t xml:space="preserve"> pursuant to Article</w:t>
      </w:r>
      <w:r w:rsidR="00964800">
        <w:rPr>
          <w:noProof/>
          <w:szCs w:val="24"/>
        </w:rPr>
        <w:t>s</w:t>
      </w:r>
      <w:r w:rsidR="00120CC6">
        <w:rPr>
          <w:noProof/>
          <w:szCs w:val="24"/>
        </w:rPr>
        <w:t xml:space="preserve"> </w:t>
      </w:r>
      <w:r w:rsidR="001D07AE">
        <w:rPr>
          <w:noProof/>
        </w:rPr>
        <w:t>30(10) and 31(9) of</w:t>
      </w:r>
      <w:r w:rsidR="00120CC6">
        <w:rPr>
          <w:noProof/>
          <w:szCs w:val="24"/>
        </w:rPr>
        <w:t xml:space="preserve"> </w:t>
      </w:r>
      <w:r w:rsidR="00120CC6">
        <w:rPr>
          <w:noProof/>
        </w:rPr>
        <w:t>Directive (EU) 2015/849</w:t>
      </w:r>
      <w:r w:rsidR="004757C1">
        <w:rPr>
          <w:noProof/>
        </w:rPr>
        <w:t xml:space="preserve"> </w:t>
      </w:r>
      <w:r w:rsidR="004757C1" w:rsidRPr="004757C1">
        <w:rPr>
          <w:noProof/>
        </w:rPr>
        <w:t>of the European Parliament and of the Council</w:t>
      </w:r>
      <w:r w:rsidR="004757C1" w:rsidRPr="00FF5472">
        <w:rPr>
          <w:noProof/>
        </w:rPr>
        <w:t xml:space="preserve"> </w:t>
      </w:r>
      <w:r w:rsidR="000B1B57" w:rsidRPr="00FF5472">
        <w:rPr>
          <w:noProof/>
        </w:rPr>
        <w:sym w:font="Symbol" w:char="F02A"/>
      </w:r>
      <w:r w:rsidR="00827F27" w:rsidRPr="00827F27">
        <w:rPr>
          <w:noProof/>
          <w:szCs w:val="24"/>
        </w:rPr>
        <w:t xml:space="preserve"> and the insolvency registers interconnection</w:t>
      </w:r>
      <w:r w:rsidR="00120CC6">
        <w:rPr>
          <w:noProof/>
          <w:szCs w:val="24"/>
        </w:rPr>
        <w:t xml:space="preserve"> pursuant to Article </w:t>
      </w:r>
      <w:r w:rsidR="00D86129">
        <w:rPr>
          <w:noProof/>
          <w:szCs w:val="24"/>
        </w:rPr>
        <w:t xml:space="preserve">25(1) </w:t>
      </w:r>
      <w:r w:rsidR="00120CC6">
        <w:rPr>
          <w:noProof/>
          <w:szCs w:val="24"/>
        </w:rPr>
        <w:t xml:space="preserve">of </w:t>
      </w:r>
      <w:r w:rsidR="00120CC6">
        <w:rPr>
          <w:noProof/>
        </w:rPr>
        <w:t>Regulation (EU) 2015/848</w:t>
      </w:r>
      <w:r w:rsidR="004757C1" w:rsidRPr="004757C1">
        <w:rPr>
          <w:noProof/>
        </w:rPr>
        <w:t xml:space="preserve"> of the European Parliament and of the Council</w:t>
      </w:r>
      <w:r w:rsidR="004757C1" w:rsidRPr="00FF5472">
        <w:rPr>
          <w:noProof/>
        </w:rPr>
        <w:t xml:space="preserve"> </w:t>
      </w:r>
      <w:r w:rsidR="00120CC6" w:rsidRPr="00FF5472">
        <w:rPr>
          <w:noProof/>
        </w:rPr>
        <w:sym w:font="Symbol" w:char="F02A"/>
      </w:r>
      <w:r w:rsidR="00120CC6" w:rsidRPr="00FF5472">
        <w:rPr>
          <w:noProof/>
        </w:rPr>
        <w:sym w:font="Symbol" w:char="F02A"/>
      </w:r>
      <w:r w:rsidR="00827F27" w:rsidRPr="00827F27">
        <w:rPr>
          <w:noProof/>
          <w:szCs w:val="24"/>
        </w:rPr>
        <w:t>.</w:t>
      </w:r>
    </w:p>
    <w:p w14:paraId="47D0D36A" w14:textId="77777777" w:rsidR="005E31D2" w:rsidRDefault="00120CC6" w:rsidP="00214D35">
      <w:pPr>
        <w:ind w:left="851"/>
        <w:rPr>
          <w:noProof/>
          <w:szCs w:val="24"/>
        </w:rPr>
      </w:pPr>
      <w:r>
        <w:rPr>
          <w:noProof/>
          <w:szCs w:val="24"/>
        </w:rPr>
        <w:t xml:space="preserve">The </w:t>
      </w:r>
      <w:r w:rsidRPr="002E61CF">
        <w:rPr>
          <w:noProof/>
          <w:szCs w:val="24"/>
        </w:rPr>
        <w:t xml:space="preserve">establishment of </w:t>
      </w:r>
      <w:r w:rsidR="00B52390">
        <w:rPr>
          <w:noProof/>
          <w:szCs w:val="24"/>
        </w:rPr>
        <w:t xml:space="preserve">connections </w:t>
      </w:r>
      <w:r w:rsidR="00B52390">
        <w:rPr>
          <w:noProof/>
        </w:rPr>
        <w:t>in accordance with the first subparagraph</w:t>
      </w:r>
      <w:r w:rsidR="00B52390" w:rsidRPr="00827F27">
        <w:rPr>
          <w:noProof/>
          <w:szCs w:val="24"/>
        </w:rPr>
        <w:t xml:space="preserve"> </w:t>
      </w:r>
      <w:r w:rsidR="00827F27" w:rsidRPr="00827F27">
        <w:rPr>
          <w:noProof/>
          <w:szCs w:val="24"/>
        </w:rPr>
        <w:t xml:space="preserve">shall not alter or circumvent the rules and requirements related to the access of the information </w:t>
      </w:r>
      <w:r w:rsidR="003E7A47" w:rsidRPr="00243E9B">
        <w:rPr>
          <w:noProof/>
          <w:szCs w:val="24"/>
        </w:rPr>
        <w:t>set out under the relevant frameworks establishing those registers and interconnections</w:t>
      </w:r>
      <w:r w:rsidR="003E7A47" w:rsidRPr="00827F27">
        <w:rPr>
          <w:noProof/>
          <w:szCs w:val="24"/>
        </w:rPr>
        <w:t>.</w:t>
      </w:r>
      <w:r w:rsidR="00E647BB">
        <w:rPr>
          <w:noProof/>
          <w:szCs w:val="24"/>
        </w:rPr>
        <w:t>’</w:t>
      </w:r>
      <w:r w:rsidR="005E31D2" w:rsidRPr="00827F27">
        <w:rPr>
          <w:noProof/>
          <w:szCs w:val="24"/>
        </w:rPr>
        <w:t>;</w:t>
      </w:r>
    </w:p>
    <w:p w14:paraId="314B5350" w14:textId="77777777" w:rsidR="004757C1" w:rsidRDefault="004757C1" w:rsidP="00214D35">
      <w:pPr>
        <w:ind w:left="851"/>
        <w:rPr>
          <w:noProof/>
          <w:szCs w:val="24"/>
        </w:rPr>
      </w:pPr>
      <w:r>
        <w:rPr>
          <w:noProof/>
          <w:szCs w:val="24"/>
        </w:rPr>
        <w:t>___</w:t>
      </w:r>
    </w:p>
    <w:p w14:paraId="31C7FAAE" w14:textId="77777777" w:rsidR="004757C1" w:rsidRPr="000F4334" w:rsidRDefault="004757C1" w:rsidP="004757C1">
      <w:pPr>
        <w:pStyle w:val="FootnoteText"/>
        <w:ind w:firstLine="0"/>
        <w:rPr>
          <w:noProof/>
          <w:sz w:val="24"/>
          <w:szCs w:val="24"/>
        </w:rPr>
      </w:pPr>
      <w:r w:rsidRPr="000F4334">
        <w:rPr>
          <w:noProof/>
          <w:sz w:val="24"/>
          <w:szCs w:val="24"/>
        </w:rPr>
        <w:sym w:font="Symbol" w:char="F02A"/>
      </w:r>
      <w:r w:rsidRPr="000F4334">
        <w:rPr>
          <w:noProof/>
          <w:sz w:val="24"/>
          <w:szCs w:val="24"/>
        </w:rP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73–117.</w:t>
      </w:r>
    </w:p>
    <w:p w14:paraId="5FE8BE26" w14:textId="77777777" w:rsidR="004757C1" w:rsidRPr="000F4334" w:rsidRDefault="004757C1" w:rsidP="004757C1">
      <w:pPr>
        <w:ind w:left="851"/>
        <w:rPr>
          <w:noProof/>
          <w:szCs w:val="24"/>
        </w:rPr>
      </w:pPr>
      <w:r w:rsidRPr="000F4334">
        <w:rPr>
          <w:noProof/>
          <w:szCs w:val="24"/>
        </w:rPr>
        <w:sym w:font="Symbol" w:char="F02A"/>
      </w:r>
      <w:r w:rsidRPr="000F4334">
        <w:rPr>
          <w:noProof/>
          <w:szCs w:val="24"/>
        </w:rPr>
        <w:sym w:font="Symbol" w:char="F02A"/>
      </w:r>
      <w:r w:rsidRPr="000F4334">
        <w:rPr>
          <w:noProof/>
          <w:szCs w:val="24"/>
        </w:rPr>
        <w:tab/>
        <w:t>Regulation (EU) 2015/848 of the European Parliament and of the Council of 20 May 2015 on insolvency proceedings (recast), OJ L 141, 5.6.2015, p. 19–72.</w:t>
      </w:r>
    </w:p>
    <w:p w14:paraId="7ED3A8F1" w14:textId="77777777" w:rsidR="0012262C" w:rsidRPr="0088398E" w:rsidRDefault="0012262C" w:rsidP="0012262C">
      <w:pPr>
        <w:ind w:left="1276"/>
        <w:rPr>
          <w:noProof/>
          <w:szCs w:val="24"/>
        </w:rPr>
      </w:pPr>
    </w:p>
    <w:p w14:paraId="19053065" w14:textId="6D02D183" w:rsidR="005E31D2" w:rsidRPr="005E31D2" w:rsidRDefault="001969F8" w:rsidP="001969F8">
      <w:pPr>
        <w:pStyle w:val="Point0"/>
        <w:rPr>
          <w:noProof/>
          <w:lang w:eastAsia="en-GB"/>
        </w:rPr>
      </w:pPr>
      <w:r w:rsidRPr="001969F8">
        <w:t>(27)</w:t>
      </w:r>
      <w:r w:rsidRPr="001969F8">
        <w:tab/>
      </w:r>
      <w:r w:rsidR="00C91D59">
        <w:rPr>
          <w:noProof/>
          <w:lang w:eastAsia="en-GB"/>
        </w:rPr>
        <w:t>i</w:t>
      </w:r>
      <w:r w:rsidR="005E31D2" w:rsidRPr="00CD09AF">
        <w:rPr>
          <w:noProof/>
          <w:lang w:eastAsia="en-GB"/>
        </w:rPr>
        <w:t>n Article 24, the following paragraph is added:</w:t>
      </w:r>
    </w:p>
    <w:p w14:paraId="771E5C7E" w14:textId="77777777" w:rsidR="00827F27" w:rsidRPr="00827F27" w:rsidRDefault="00E647BB" w:rsidP="00214D35">
      <w:pPr>
        <w:shd w:val="clear" w:color="auto" w:fill="FFFFFF"/>
        <w:spacing w:after="0" w:line="312" w:lineRule="atLeast"/>
        <w:ind w:left="851"/>
        <w:rPr>
          <w:rFonts w:eastAsia="Times New Roman"/>
          <w:noProof/>
          <w:szCs w:val="24"/>
        </w:rPr>
      </w:pPr>
      <w:r>
        <w:rPr>
          <w:rFonts w:eastAsia="Times New Roman"/>
          <w:noProof/>
          <w:szCs w:val="24"/>
        </w:rPr>
        <w:t>‘</w:t>
      </w:r>
      <w:r w:rsidR="00827F27" w:rsidRPr="00827F27">
        <w:rPr>
          <w:rFonts w:eastAsia="Times New Roman"/>
          <w:noProof/>
          <w:szCs w:val="24"/>
        </w:rPr>
        <w:t>2. By means of implementing acts, the Commission shall also adopt the following:</w:t>
      </w:r>
    </w:p>
    <w:p w14:paraId="62CF4AC1" w14:textId="77777777" w:rsidR="00827F27" w:rsidRPr="00827F27" w:rsidRDefault="00827F27" w:rsidP="00E310FD">
      <w:pPr>
        <w:shd w:val="clear" w:color="auto" w:fill="FFFFFF"/>
        <w:tabs>
          <w:tab w:val="left" w:pos="1701"/>
        </w:tabs>
        <w:spacing w:after="0"/>
        <w:ind w:left="1560" w:hanging="426"/>
        <w:rPr>
          <w:rFonts w:eastAsia="Times New Roman"/>
          <w:noProof/>
          <w:szCs w:val="24"/>
        </w:rPr>
      </w:pPr>
      <w:r w:rsidRPr="00827F27">
        <w:rPr>
          <w:rFonts w:eastAsia="Times New Roman"/>
          <w:noProof/>
          <w:szCs w:val="24"/>
        </w:rPr>
        <w:t>(a)  the detailed list of data and the technical specification</w:t>
      </w:r>
      <w:r w:rsidR="00C91D59">
        <w:rPr>
          <w:rFonts w:eastAsia="Times New Roman"/>
          <w:noProof/>
          <w:szCs w:val="24"/>
        </w:rPr>
        <w:t>s</w:t>
      </w:r>
      <w:r w:rsidRPr="00827F27">
        <w:rPr>
          <w:rFonts w:eastAsia="Times New Roman"/>
          <w:noProof/>
          <w:szCs w:val="24"/>
        </w:rPr>
        <w:t xml:space="preserve"> defining the methods of retrieval of information between the register of the founding company and the register of the company being formed as referred to in Article 13g</w:t>
      </w:r>
      <w:r w:rsidR="00C91D59">
        <w:rPr>
          <w:rFonts w:eastAsia="Times New Roman"/>
          <w:noProof/>
          <w:szCs w:val="24"/>
        </w:rPr>
        <w:t>(</w:t>
      </w:r>
      <w:r w:rsidRPr="00827F27">
        <w:rPr>
          <w:rFonts w:eastAsia="Times New Roman"/>
          <w:noProof/>
          <w:szCs w:val="24"/>
        </w:rPr>
        <w:t>2a</w:t>
      </w:r>
      <w:r w:rsidR="00C91D59">
        <w:rPr>
          <w:rFonts w:eastAsia="Times New Roman"/>
          <w:noProof/>
          <w:szCs w:val="24"/>
        </w:rPr>
        <w:t>)</w:t>
      </w:r>
      <w:r w:rsidR="00E367E7">
        <w:rPr>
          <w:rFonts w:eastAsia="Times New Roman"/>
          <w:noProof/>
          <w:szCs w:val="24"/>
        </w:rPr>
        <w:t>,</w:t>
      </w:r>
      <w:r w:rsidRPr="00827F27">
        <w:rPr>
          <w:rFonts w:eastAsia="Times New Roman"/>
          <w:noProof/>
          <w:szCs w:val="24"/>
        </w:rPr>
        <w:t xml:space="preserve"> and between the register of the company and the register of the branch as referred </w:t>
      </w:r>
      <w:r>
        <w:rPr>
          <w:rFonts w:eastAsia="Times New Roman"/>
          <w:noProof/>
          <w:szCs w:val="24"/>
        </w:rPr>
        <w:t>to in Article 28a</w:t>
      </w:r>
      <w:r w:rsidR="000B5DED">
        <w:rPr>
          <w:rFonts w:eastAsia="Times New Roman"/>
          <w:noProof/>
          <w:szCs w:val="24"/>
        </w:rPr>
        <w:t>(</w:t>
      </w:r>
      <w:r>
        <w:rPr>
          <w:rFonts w:eastAsia="Times New Roman"/>
          <w:noProof/>
          <w:szCs w:val="24"/>
        </w:rPr>
        <w:t>5</w:t>
      </w:r>
      <w:r w:rsidR="000B5DED">
        <w:rPr>
          <w:rFonts w:eastAsia="Times New Roman"/>
          <w:noProof/>
          <w:szCs w:val="24"/>
        </w:rPr>
        <w:t>)</w:t>
      </w:r>
      <w:r>
        <w:rPr>
          <w:rFonts w:eastAsia="Times New Roman"/>
          <w:noProof/>
          <w:szCs w:val="24"/>
        </w:rPr>
        <w:t>;</w:t>
      </w:r>
    </w:p>
    <w:p w14:paraId="4573A70E" w14:textId="77777777" w:rsidR="00827F27" w:rsidRPr="00827F27" w:rsidRDefault="00827F27" w:rsidP="00E310FD">
      <w:pPr>
        <w:shd w:val="clear" w:color="auto" w:fill="FFFFFF"/>
        <w:tabs>
          <w:tab w:val="left" w:pos="1701"/>
        </w:tabs>
        <w:spacing w:after="0"/>
        <w:ind w:left="1560" w:hanging="426"/>
        <w:rPr>
          <w:rFonts w:eastAsia="Times New Roman"/>
          <w:noProof/>
          <w:szCs w:val="24"/>
        </w:rPr>
      </w:pPr>
      <w:r w:rsidRPr="00827F27">
        <w:rPr>
          <w:rFonts w:eastAsia="Times New Roman"/>
          <w:noProof/>
          <w:szCs w:val="24"/>
        </w:rPr>
        <w:t>(b) the detailed list of data, the use of explanatory labels and the technical specification</w:t>
      </w:r>
      <w:r w:rsidR="000B5DED">
        <w:rPr>
          <w:rFonts w:eastAsia="Times New Roman"/>
          <w:noProof/>
          <w:szCs w:val="24"/>
        </w:rPr>
        <w:t>s</w:t>
      </w:r>
      <w:r w:rsidRPr="00827F27">
        <w:rPr>
          <w:rFonts w:eastAsia="Times New Roman"/>
          <w:noProof/>
          <w:szCs w:val="24"/>
        </w:rPr>
        <w:t xml:space="preserve"> defining the information referred to in Article</w:t>
      </w:r>
      <w:r w:rsidR="000B5DED">
        <w:rPr>
          <w:rFonts w:eastAsia="Times New Roman"/>
          <w:noProof/>
          <w:szCs w:val="24"/>
        </w:rPr>
        <w:t>s</w:t>
      </w:r>
      <w:r w:rsidRPr="00827F27">
        <w:rPr>
          <w:rFonts w:eastAsia="Times New Roman"/>
          <w:noProof/>
          <w:szCs w:val="24"/>
        </w:rPr>
        <w:t xml:space="preserve"> 14a</w:t>
      </w:r>
      <w:r w:rsidR="00E367E7">
        <w:rPr>
          <w:rFonts w:eastAsia="Times New Roman"/>
          <w:noProof/>
          <w:szCs w:val="24"/>
        </w:rPr>
        <w:t>,</w:t>
      </w:r>
      <w:r w:rsidRPr="00827F27">
        <w:rPr>
          <w:rFonts w:eastAsia="Times New Roman"/>
          <w:noProof/>
          <w:szCs w:val="24"/>
        </w:rPr>
        <w:t xml:space="preserve"> 14b</w:t>
      </w:r>
      <w:r w:rsidR="000B5DED">
        <w:rPr>
          <w:rFonts w:eastAsia="Times New Roman"/>
          <w:noProof/>
          <w:szCs w:val="24"/>
        </w:rPr>
        <w:t xml:space="preserve"> and </w:t>
      </w:r>
      <w:r w:rsidR="004757C1">
        <w:rPr>
          <w:rFonts w:eastAsia="Times New Roman"/>
          <w:noProof/>
          <w:szCs w:val="24"/>
        </w:rPr>
        <w:t xml:space="preserve">Article </w:t>
      </w:r>
      <w:r w:rsidRPr="00827F27">
        <w:rPr>
          <w:rFonts w:eastAsia="Times New Roman"/>
          <w:noProof/>
          <w:szCs w:val="24"/>
        </w:rPr>
        <w:t xml:space="preserve">19a(2) to be made available through </w:t>
      </w:r>
      <w:r w:rsidR="000B5DED">
        <w:rPr>
          <w:rFonts w:eastAsia="Times New Roman"/>
          <w:noProof/>
          <w:szCs w:val="24"/>
        </w:rPr>
        <w:t>the system of interconnection of registers;</w:t>
      </w:r>
      <w:r w:rsidR="000B5DED" w:rsidRPr="00827F27">
        <w:rPr>
          <w:rFonts w:eastAsia="Times New Roman"/>
          <w:noProof/>
          <w:szCs w:val="24"/>
        </w:rPr>
        <w:t xml:space="preserve"> </w:t>
      </w:r>
    </w:p>
    <w:p w14:paraId="00DC8EDE" w14:textId="77777777" w:rsidR="00827F27" w:rsidRPr="00827F27" w:rsidRDefault="00827F27" w:rsidP="00E310FD">
      <w:pPr>
        <w:shd w:val="clear" w:color="auto" w:fill="FFFFFF"/>
        <w:tabs>
          <w:tab w:val="left" w:pos="1701"/>
        </w:tabs>
        <w:spacing w:after="0"/>
        <w:ind w:left="1560" w:hanging="426"/>
        <w:rPr>
          <w:rFonts w:eastAsia="Times New Roman"/>
          <w:noProof/>
          <w:szCs w:val="24"/>
        </w:rPr>
      </w:pPr>
      <w:r w:rsidRPr="00827F27">
        <w:rPr>
          <w:rFonts w:eastAsia="Times New Roman"/>
          <w:noProof/>
          <w:szCs w:val="24"/>
        </w:rPr>
        <w:t xml:space="preserve">(c)  the detailed list of data and the technical specifications for the purpose of exchanging information between registers as referred to in </w:t>
      </w:r>
      <w:r>
        <w:rPr>
          <w:rFonts w:eastAsia="Times New Roman"/>
          <w:noProof/>
          <w:szCs w:val="24"/>
        </w:rPr>
        <w:t>Article 14b</w:t>
      </w:r>
      <w:r w:rsidR="002645BA">
        <w:rPr>
          <w:rFonts w:eastAsia="Times New Roman"/>
          <w:noProof/>
          <w:szCs w:val="24"/>
        </w:rPr>
        <w:t>(5)</w:t>
      </w:r>
      <w:r>
        <w:rPr>
          <w:rFonts w:eastAsia="Times New Roman"/>
          <w:noProof/>
          <w:szCs w:val="24"/>
        </w:rPr>
        <w:t xml:space="preserve">; </w:t>
      </w:r>
    </w:p>
    <w:p w14:paraId="286198C4" w14:textId="77777777" w:rsidR="00827F27" w:rsidRPr="009B5DC9" w:rsidRDefault="00827F27" w:rsidP="00E310FD">
      <w:pPr>
        <w:shd w:val="clear" w:color="auto" w:fill="FFFFFF"/>
        <w:tabs>
          <w:tab w:val="left" w:pos="1701"/>
        </w:tabs>
        <w:spacing w:after="0"/>
        <w:ind w:left="1560" w:hanging="426"/>
        <w:rPr>
          <w:noProof/>
          <w:szCs w:val="24"/>
          <w:shd w:val="clear" w:color="auto" w:fill="FFFFFF"/>
        </w:rPr>
      </w:pPr>
      <w:r w:rsidRPr="00827F27">
        <w:rPr>
          <w:rFonts w:eastAsia="Times New Roman"/>
          <w:noProof/>
          <w:szCs w:val="24"/>
        </w:rPr>
        <w:t xml:space="preserve">(d) </w:t>
      </w:r>
      <w:r w:rsidR="00E367E7">
        <w:rPr>
          <w:rFonts w:eastAsia="Times New Roman"/>
          <w:noProof/>
          <w:szCs w:val="24"/>
        </w:rPr>
        <w:t xml:space="preserve">the </w:t>
      </w:r>
      <w:r w:rsidRPr="00827F27">
        <w:rPr>
          <w:noProof/>
          <w:szCs w:val="24"/>
          <w:shd w:val="clear" w:color="auto" w:fill="FFFFFF"/>
        </w:rPr>
        <w:t xml:space="preserve">technical details and detailed list of data for the visualisation of the </w:t>
      </w:r>
      <w:r w:rsidR="006E1ABE">
        <w:rPr>
          <w:noProof/>
          <w:szCs w:val="24"/>
          <w:shd w:val="clear" w:color="auto" w:fill="FFFFFF"/>
        </w:rPr>
        <w:t xml:space="preserve">structure of the group </w:t>
      </w:r>
      <w:r w:rsidRPr="00827F27">
        <w:rPr>
          <w:noProof/>
          <w:szCs w:val="24"/>
          <w:shd w:val="clear" w:color="auto" w:fill="FFFFFF"/>
        </w:rPr>
        <w:t>referred to</w:t>
      </w:r>
      <w:r w:rsidR="0058331D">
        <w:rPr>
          <w:noProof/>
          <w:szCs w:val="24"/>
          <w:shd w:val="clear" w:color="auto" w:fill="FFFFFF"/>
        </w:rPr>
        <w:t xml:space="preserve"> in </w:t>
      </w:r>
      <w:r w:rsidR="009B5DC9">
        <w:rPr>
          <w:noProof/>
          <w:szCs w:val="24"/>
          <w:shd w:val="clear" w:color="auto" w:fill="FFFFFF"/>
        </w:rPr>
        <w:t>Article 14b</w:t>
      </w:r>
      <w:r w:rsidR="002645BA">
        <w:rPr>
          <w:noProof/>
          <w:szCs w:val="24"/>
          <w:shd w:val="clear" w:color="auto" w:fill="FFFFFF"/>
        </w:rPr>
        <w:t>(10)</w:t>
      </w:r>
      <w:r w:rsidR="009B5DC9">
        <w:rPr>
          <w:noProof/>
          <w:szCs w:val="24"/>
          <w:shd w:val="clear" w:color="auto" w:fill="FFFFFF"/>
        </w:rPr>
        <w:t>;</w:t>
      </w:r>
    </w:p>
    <w:p w14:paraId="432E60EF" w14:textId="77777777" w:rsidR="00827F27" w:rsidRPr="00827F27" w:rsidRDefault="00827F27" w:rsidP="00E310FD">
      <w:pPr>
        <w:pStyle w:val="norm"/>
        <w:tabs>
          <w:tab w:val="left" w:pos="1701"/>
        </w:tabs>
        <w:spacing w:before="0" w:beforeAutospacing="0" w:after="0" w:afterAutospacing="0"/>
        <w:ind w:left="1560" w:hanging="426"/>
        <w:jc w:val="both"/>
        <w:rPr>
          <w:noProof/>
        </w:rPr>
      </w:pPr>
      <w:r w:rsidRPr="00827F27">
        <w:rPr>
          <w:noProof/>
        </w:rPr>
        <w:t>(e)  the technical standards and taxonomy for the documents and information to be filed in accordance with Article 16</w:t>
      </w:r>
      <w:r w:rsidR="002645BA">
        <w:rPr>
          <w:noProof/>
        </w:rPr>
        <w:t>(6)</w:t>
      </w:r>
      <w:r w:rsidRPr="00827F27">
        <w:rPr>
          <w:noProof/>
        </w:rPr>
        <w:t xml:space="preserve">, taking into </w:t>
      </w:r>
      <w:r w:rsidR="006E1ABE">
        <w:rPr>
          <w:noProof/>
        </w:rPr>
        <w:t>account</w:t>
      </w:r>
      <w:r w:rsidR="006E1ABE" w:rsidRPr="00827F27">
        <w:rPr>
          <w:noProof/>
        </w:rPr>
        <w:t xml:space="preserve"> </w:t>
      </w:r>
      <w:r w:rsidRPr="00827F27">
        <w:rPr>
          <w:noProof/>
        </w:rPr>
        <w:t>the technical standards already in use in Member States</w:t>
      </w:r>
      <w:r w:rsidR="00E367E7">
        <w:rPr>
          <w:noProof/>
        </w:rPr>
        <w:t>’</w:t>
      </w:r>
      <w:r w:rsidRPr="00827F27">
        <w:rPr>
          <w:noProof/>
        </w:rPr>
        <w:t xml:space="preserve"> registers</w:t>
      </w:r>
      <w:r>
        <w:rPr>
          <w:noProof/>
        </w:rPr>
        <w:t>;</w:t>
      </w:r>
    </w:p>
    <w:p w14:paraId="65498BF9" w14:textId="77777777" w:rsidR="00827F27" w:rsidRPr="00827F27" w:rsidRDefault="00827F27" w:rsidP="00E310FD">
      <w:pPr>
        <w:pStyle w:val="norm"/>
        <w:tabs>
          <w:tab w:val="left" w:pos="1701"/>
        </w:tabs>
        <w:spacing w:before="0" w:beforeAutospacing="0" w:after="0" w:afterAutospacing="0"/>
        <w:ind w:left="1560" w:hanging="426"/>
        <w:jc w:val="both"/>
        <w:rPr>
          <w:noProof/>
        </w:rPr>
      </w:pPr>
      <w:r w:rsidRPr="00827F27">
        <w:rPr>
          <w:noProof/>
        </w:rPr>
        <w:t>(f)  the technical specification</w:t>
      </w:r>
      <w:r w:rsidR="00310B4C">
        <w:rPr>
          <w:noProof/>
        </w:rPr>
        <w:t>s</w:t>
      </w:r>
      <w:r w:rsidRPr="00827F27">
        <w:rPr>
          <w:noProof/>
        </w:rPr>
        <w:t>, taxonomy and the mul</w:t>
      </w:r>
      <w:r w:rsidR="0058331D">
        <w:rPr>
          <w:noProof/>
        </w:rPr>
        <w:t>tilingual templates for the EU C</w:t>
      </w:r>
      <w:r w:rsidRPr="00827F27">
        <w:rPr>
          <w:noProof/>
        </w:rPr>
        <w:t>ompany</w:t>
      </w:r>
      <w:r w:rsidR="0058331D">
        <w:rPr>
          <w:noProof/>
        </w:rPr>
        <w:t xml:space="preserve"> C</w:t>
      </w:r>
      <w:r w:rsidRPr="00827F27">
        <w:rPr>
          <w:noProof/>
        </w:rPr>
        <w:t>e</w:t>
      </w:r>
      <w:r>
        <w:rPr>
          <w:noProof/>
        </w:rPr>
        <w:t xml:space="preserve">rtificate referred </w:t>
      </w:r>
      <w:r w:rsidR="00310B4C">
        <w:rPr>
          <w:noProof/>
        </w:rPr>
        <w:t>to in</w:t>
      </w:r>
      <w:r>
        <w:rPr>
          <w:noProof/>
        </w:rPr>
        <w:t xml:space="preserve"> Article 16b;</w:t>
      </w:r>
    </w:p>
    <w:p w14:paraId="518BBB34" w14:textId="77777777" w:rsidR="00827F27" w:rsidRPr="00827F27" w:rsidRDefault="00827F27" w:rsidP="00E310FD">
      <w:pPr>
        <w:tabs>
          <w:tab w:val="left" w:pos="1701"/>
        </w:tabs>
        <w:ind w:left="1560" w:hanging="426"/>
        <w:rPr>
          <w:noProof/>
          <w:szCs w:val="24"/>
        </w:rPr>
      </w:pPr>
      <w:r w:rsidRPr="00827F27">
        <w:rPr>
          <w:noProof/>
          <w:szCs w:val="24"/>
        </w:rPr>
        <w:t xml:space="preserve">(g) the </w:t>
      </w:r>
      <w:r w:rsidRPr="00827F27">
        <w:rPr>
          <w:rFonts w:eastAsia="Times New Roman"/>
          <w:noProof/>
          <w:szCs w:val="24"/>
        </w:rPr>
        <w:t>technical specification</w:t>
      </w:r>
      <w:r w:rsidR="00310B4C">
        <w:rPr>
          <w:rFonts w:eastAsia="Times New Roman"/>
          <w:noProof/>
          <w:szCs w:val="24"/>
        </w:rPr>
        <w:t>s</w:t>
      </w:r>
      <w:r w:rsidRPr="00827F27">
        <w:rPr>
          <w:noProof/>
          <w:szCs w:val="24"/>
        </w:rPr>
        <w:t>, taxonomy and the multilingual standard model of the digital EU power of attorney referred to in Article 16c</w:t>
      </w:r>
      <w:r w:rsidR="00310B4C">
        <w:rPr>
          <w:noProof/>
          <w:szCs w:val="24"/>
        </w:rPr>
        <w:t>;</w:t>
      </w:r>
      <w:r w:rsidRPr="00827F27">
        <w:rPr>
          <w:noProof/>
          <w:szCs w:val="24"/>
        </w:rPr>
        <w:t xml:space="preserve"> </w:t>
      </w:r>
    </w:p>
    <w:p w14:paraId="78999B5F" w14:textId="77777777" w:rsidR="00827F27" w:rsidRPr="00827F27" w:rsidRDefault="00827F27" w:rsidP="00E310FD">
      <w:pPr>
        <w:shd w:val="clear" w:color="auto" w:fill="FFFFFF"/>
        <w:tabs>
          <w:tab w:val="left" w:pos="1701"/>
        </w:tabs>
        <w:spacing w:after="0"/>
        <w:ind w:left="1560" w:hanging="426"/>
        <w:rPr>
          <w:noProof/>
          <w:szCs w:val="24"/>
        </w:rPr>
      </w:pPr>
      <w:r w:rsidRPr="00827F27">
        <w:rPr>
          <w:rFonts w:eastAsia="Times New Roman"/>
          <w:noProof/>
          <w:szCs w:val="24"/>
        </w:rPr>
        <w:t xml:space="preserve">(h) </w:t>
      </w:r>
      <w:r w:rsidRPr="00827F27">
        <w:rPr>
          <w:noProof/>
          <w:szCs w:val="24"/>
        </w:rPr>
        <w:t>the technical specifications and detail</w:t>
      </w:r>
      <w:r w:rsidR="00E367E7">
        <w:rPr>
          <w:noProof/>
          <w:szCs w:val="24"/>
        </w:rPr>
        <w:t>ed</w:t>
      </w:r>
      <w:r w:rsidRPr="00827F27">
        <w:rPr>
          <w:noProof/>
          <w:szCs w:val="24"/>
        </w:rPr>
        <w:t xml:space="preserve"> list of data defining the mutual accessibility between interconnections referred to in Article 22</w:t>
      </w:r>
      <w:r w:rsidR="00310B4C">
        <w:rPr>
          <w:noProof/>
          <w:szCs w:val="24"/>
        </w:rPr>
        <w:t>(</w:t>
      </w:r>
      <w:r w:rsidR="00CD4106">
        <w:rPr>
          <w:noProof/>
          <w:szCs w:val="24"/>
        </w:rPr>
        <w:t>7</w:t>
      </w:r>
      <w:r w:rsidR="00310B4C">
        <w:rPr>
          <w:noProof/>
          <w:szCs w:val="24"/>
        </w:rPr>
        <w:t>)</w:t>
      </w:r>
      <w:r w:rsidRPr="00827F27">
        <w:rPr>
          <w:noProof/>
          <w:szCs w:val="24"/>
        </w:rPr>
        <w:t>, which shall include the use of the unique identifier for companies attributed in accordance with Article 16</w:t>
      </w:r>
      <w:r w:rsidR="00310B4C">
        <w:rPr>
          <w:noProof/>
          <w:szCs w:val="24"/>
        </w:rPr>
        <w:t>;</w:t>
      </w:r>
    </w:p>
    <w:p w14:paraId="37EA716A" w14:textId="77777777" w:rsidR="00827F27" w:rsidRPr="00827F27" w:rsidRDefault="00827F27" w:rsidP="00E310FD">
      <w:pPr>
        <w:shd w:val="clear" w:color="auto" w:fill="FFFFFF"/>
        <w:tabs>
          <w:tab w:val="left" w:pos="1701"/>
        </w:tabs>
        <w:spacing w:after="0"/>
        <w:ind w:left="1560" w:hanging="426"/>
        <w:rPr>
          <w:noProof/>
          <w:szCs w:val="24"/>
        </w:rPr>
      </w:pPr>
      <w:r w:rsidRPr="00827F27">
        <w:rPr>
          <w:noProof/>
          <w:szCs w:val="24"/>
        </w:rPr>
        <w:t>(i) the technical specifications and detail</w:t>
      </w:r>
      <w:r w:rsidR="00E367E7">
        <w:rPr>
          <w:noProof/>
          <w:szCs w:val="24"/>
        </w:rPr>
        <w:t>ed</w:t>
      </w:r>
      <w:r w:rsidRPr="00827F27">
        <w:rPr>
          <w:noProof/>
          <w:szCs w:val="24"/>
        </w:rPr>
        <w:t xml:space="preserve"> list of data defining the verification referred to in Article 16e</w:t>
      </w:r>
      <w:r w:rsidR="00310B4C">
        <w:rPr>
          <w:noProof/>
          <w:szCs w:val="24"/>
        </w:rPr>
        <w:t>(</w:t>
      </w:r>
      <w:r w:rsidRPr="00827F27">
        <w:rPr>
          <w:noProof/>
          <w:szCs w:val="24"/>
        </w:rPr>
        <w:t>1</w:t>
      </w:r>
      <w:r w:rsidR="00310B4C">
        <w:rPr>
          <w:noProof/>
          <w:szCs w:val="24"/>
        </w:rPr>
        <w:t>)</w:t>
      </w:r>
      <w:r w:rsidR="00E367E7">
        <w:rPr>
          <w:noProof/>
          <w:szCs w:val="24"/>
        </w:rPr>
        <w:t>,</w:t>
      </w:r>
      <w:r w:rsidR="00310B4C">
        <w:rPr>
          <w:noProof/>
          <w:szCs w:val="24"/>
        </w:rPr>
        <w:t xml:space="preserve"> point (b)</w:t>
      </w:r>
      <w:r w:rsidRPr="00827F27">
        <w:rPr>
          <w:noProof/>
          <w:szCs w:val="24"/>
        </w:rPr>
        <w:t>.</w:t>
      </w:r>
    </w:p>
    <w:p w14:paraId="380DCA8C" w14:textId="77777777" w:rsidR="00827F27" w:rsidRPr="00827F27" w:rsidRDefault="00827F27" w:rsidP="00214D35">
      <w:pPr>
        <w:shd w:val="clear" w:color="auto" w:fill="FFFFFF"/>
        <w:spacing w:after="0" w:line="312" w:lineRule="atLeast"/>
        <w:ind w:left="851"/>
        <w:rPr>
          <w:rFonts w:eastAsia="Times New Roman"/>
          <w:noProof/>
          <w:szCs w:val="24"/>
        </w:rPr>
      </w:pPr>
      <w:r w:rsidRPr="00827F27">
        <w:rPr>
          <w:rFonts w:eastAsia="Times New Roman"/>
          <w:noProof/>
          <w:szCs w:val="24"/>
        </w:rPr>
        <w:t>Those implementing acts shall be adopted in accordance with the examination procedure referr</w:t>
      </w:r>
      <w:r w:rsidR="00E647BB">
        <w:rPr>
          <w:rFonts w:eastAsia="Times New Roman"/>
          <w:noProof/>
          <w:szCs w:val="24"/>
        </w:rPr>
        <w:t>ed to in Article 164(2).’</w:t>
      </w:r>
      <w:r w:rsidRPr="00827F27">
        <w:rPr>
          <w:rFonts w:eastAsia="Times New Roman"/>
          <w:noProof/>
          <w:szCs w:val="24"/>
        </w:rPr>
        <w:t>;</w:t>
      </w:r>
    </w:p>
    <w:p w14:paraId="04202AF0" w14:textId="77777777" w:rsidR="00E310FD" w:rsidRPr="00827F27" w:rsidRDefault="00E310FD" w:rsidP="00E310FD">
      <w:pPr>
        <w:shd w:val="clear" w:color="auto" w:fill="FFFFFF"/>
        <w:spacing w:after="0" w:line="312" w:lineRule="atLeast"/>
        <w:ind w:left="1276"/>
        <w:rPr>
          <w:rFonts w:eastAsia="Times New Roman"/>
          <w:noProof/>
          <w:szCs w:val="24"/>
        </w:rPr>
      </w:pPr>
    </w:p>
    <w:p w14:paraId="611BF700" w14:textId="726A2463" w:rsidR="006C2123" w:rsidRPr="006C2123" w:rsidRDefault="001969F8" w:rsidP="001969F8">
      <w:pPr>
        <w:pStyle w:val="Point0"/>
        <w:rPr>
          <w:noProof/>
        </w:rPr>
      </w:pPr>
      <w:r w:rsidRPr="001969F8">
        <w:t>(28)</w:t>
      </w:r>
      <w:r w:rsidRPr="001969F8">
        <w:tab/>
      </w:r>
      <w:r w:rsidR="00310B4C">
        <w:rPr>
          <w:noProof/>
          <w:lang w:eastAsia="en-GB"/>
        </w:rPr>
        <w:t>i</w:t>
      </w:r>
      <w:r w:rsidR="006C2123" w:rsidRPr="00CD09AF">
        <w:rPr>
          <w:noProof/>
          <w:lang w:eastAsia="en-GB"/>
        </w:rPr>
        <w:t>n Article 26, the following subparagraph is added:</w:t>
      </w:r>
    </w:p>
    <w:p w14:paraId="08DFB596" w14:textId="77777777" w:rsidR="006C2123" w:rsidRPr="006E143A" w:rsidRDefault="00E647BB" w:rsidP="00214D35">
      <w:pPr>
        <w:shd w:val="clear" w:color="auto" w:fill="FFFFFF"/>
        <w:spacing w:after="0"/>
        <w:ind w:left="851"/>
        <w:rPr>
          <w:rFonts w:eastAsia="Calibri"/>
          <w:noProof/>
          <w:color w:val="00B050"/>
          <w:szCs w:val="24"/>
        </w:rPr>
      </w:pPr>
      <w:r>
        <w:rPr>
          <w:rFonts w:eastAsia="Calibri"/>
          <w:noProof/>
          <w:szCs w:val="24"/>
        </w:rPr>
        <w:t>‘</w:t>
      </w:r>
      <w:r w:rsidR="006C2123" w:rsidRPr="003616B3">
        <w:rPr>
          <w:rFonts w:eastAsia="Calibri"/>
          <w:noProof/>
          <w:szCs w:val="24"/>
        </w:rPr>
        <w:t xml:space="preserve">This Article shall </w:t>
      </w:r>
      <w:r w:rsidR="00077BB7">
        <w:rPr>
          <w:rFonts w:eastAsia="Calibri"/>
          <w:noProof/>
          <w:szCs w:val="24"/>
        </w:rPr>
        <w:t xml:space="preserve">also </w:t>
      </w:r>
      <w:r w:rsidR="006C2123" w:rsidRPr="003616B3">
        <w:rPr>
          <w:rFonts w:eastAsia="Calibri"/>
          <w:noProof/>
          <w:szCs w:val="24"/>
        </w:rPr>
        <w:t>apply to</w:t>
      </w:r>
      <w:r>
        <w:rPr>
          <w:rFonts w:eastAsia="Calibri"/>
          <w:noProof/>
          <w:szCs w:val="24"/>
        </w:rPr>
        <w:t xml:space="preserve"> companies listed in Annex IIB.’</w:t>
      </w:r>
      <w:r w:rsidR="006C2123" w:rsidRPr="003616B3">
        <w:rPr>
          <w:rFonts w:eastAsia="Calibri"/>
          <w:noProof/>
          <w:szCs w:val="24"/>
        </w:rPr>
        <w:t>;</w:t>
      </w:r>
    </w:p>
    <w:p w14:paraId="0945F544" w14:textId="77777777" w:rsidR="006C2123" w:rsidRPr="005E31D2" w:rsidRDefault="006C2123" w:rsidP="006C2123">
      <w:pPr>
        <w:pStyle w:val="ListParagraph"/>
        <w:ind w:left="850"/>
        <w:rPr>
          <w:noProof/>
          <w:lang w:eastAsia="en-GB"/>
        </w:rPr>
      </w:pPr>
    </w:p>
    <w:p w14:paraId="5BDEE6E7" w14:textId="2A860492" w:rsidR="006C2123" w:rsidRDefault="001969F8" w:rsidP="001969F8">
      <w:pPr>
        <w:pStyle w:val="Point0"/>
        <w:rPr>
          <w:noProof/>
        </w:rPr>
      </w:pPr>
      <w:r w:rsidRPr="001969F8">
        <w:t>(29)</w:t>
      </w:r>
      <w:r w:rsidRPr="001969F8">
        <w:tab/>
      </w:r>
      <w:r w:rsidR="006C2123" w:rsidRPr="005164C5">
        <w:rPr>
          <w:noProof/>
        </w:rPr>
        <w:t xml:space="preserve">Article </w:t>
      </w:r>
      <w:r w:rsidR="006C2123">
        <w:rPr>
          <w:noProof/>
        </w:rPr>
        <w:t xml:space="preserve">28 </w:t>
      </w:r>
      <w:r w:rsidR="006C2123" w:rsidRPr="005164C5">
        <w:rPr>
          <w:noProof/>
        </w:rPr>
        <w:t>is replaced by the following:</w:t>
      </w:r>
    </w:p>
    <w:p w14:paraId="114D0469" w14:textId="77777777" w:rsidR="003616B3" w:rsidRPr="00543649" w:rsidRDefault="00E647BB" w:rsidP="00CF44B0">
      <w:pPr>
        <w:jc w:val="center"/>
        <w:rPr>
          <w:noProof/>
        </w:rPr>
      </w:pPr>
      <w:r w:rsidRPr="00543649">
        <w:rPr>
          <w:noProof/>
        </w:rPr>
        <w:t>‘</w:t>
      </w:r>
      <w:r w:rsidR="00E34234" w:rsidRPr="00543649">
        <w:rPr>
          <w:noProof/>
        </w:rPr>
        <w:t>Article 28</w:t>
      </w:r>
    </w:p>
    <w:p w14:paraId="52AEF77A" w14:textId="77777777" w:rsidR="006C2123" w:rsidRPr="00840649" w:rsidRDefault="006C2123" w:rsidP="0088398E">
      <w:pPr>
        <w:shd w:val="clear" w:color="auto" w:fill="FFFFFF"/>
        <w:spacing w:before="240" w:line="312" w:lineRule="atLeast"/>
        <w:jc w:val="center"/>
        <w:rPr>
          <w:rFonts w:eastAsia="Times New Roman"/>
          <w:b/>
          <w:bCs/>
          <w:noProof/>
          <w:color w:val="333333"/>
          <w:szCs w:val="24"/>
        </w:rPr>
      </w:pPr>
      <w:r w:rsidRPr="00840649">
        <w:rPr>
          <w:rFonts w:eastAsia="Times New Roman"/>
          <w:b/>
          <w:bCs/>
          <w:noProof/>
          <w:color w:val="333333"/>
          <w:szCs w:val="24"/>
        </w:rPr>
        <w:t>Penalties</w:t>
      </w:r>
    </w:p>
    <w:p w14:paraId="1D58DA2A" w14:textId="77777777" w:rsidR="003616B3" w:rsidRPr="003616B3" w:rsidRDefault="003616B3" w:rsidP="00E310FD">
      <w:pPr>
        <w:shd w:val="clear" w:color="auto" w:fill="FFFFFF"/>
        <w:spacing w:before="240" w:line="312" w:lineRule="atLeast"/>
        <w:ind w:left="851"/>
        <w:rPr>
          <w:rFonts w:eastAsia="Times New Roman"/>
          <w:noProof/>
          <w:szCs w:val="24"/>
        </w:rPr>
      </w:pPr>
      <w:r w:rsidRPr="003616B3">
        <w:rPr>
          <w:rFonts w:eastAsia="Times New Roman"/>
          <w:noProof/>
          <w:szCs w:val="24"/>
        </w:rPr>
        <w:t xml:space="preserve">Member States shall provide for </w:t>
      </w:r>
      <w:r w:rsidRPr="003616B3">
        <w:rPr>
          <w:rFonts w:eastAsia="Calibri"/>
          <w:noProof/>
          <w:szCs w:val="24"/>
          <w:shd w:val="clear" w:color="auto" w:fill="FFFFFF"/>
        </w:rPr>
        <w:t>effective, proportionate and dissuasive</w:t>
      </w:r>
      <w:r w:rsidRPr="003616B3">
        <w:rPr>
          <w:rFonts w:eastAsia="Times New Roman"/>
          <w:noProof/>
          <w:szCs w:val="24"/>
        </w:rPr>
        <w:t xml:space="preserve"> penalties at least in the case of:</w:t>
      </w:r>
    </w:p>
    <w:p w14:paraId="74B644BD" w14:textId="77777777" w:rsidR="003616B3" w:rsidRPr="003616B3" w:rsidRDefault="003616B3" w:rsidP="00214D35">
      <w:pPr>
        <w:shd w:val="clear" w:color="auto" w:fill="FFFFFF"/>
        <w:tabs>
          <w:tab w:val="left" w:pos="1276"/>
        </w:tabs>
        <w:spacing w:before="240" w:line="312" w:lineRule="atLeast"/>
        <w:ind w:left="1560" w:hanging="283"/>
        <w:rPr>
          <w:rFonts w:eastAsia="Calibri"/>
          <w:noProof/>
          <w:szCs w:val="24"/>
        </w:rPr>
      </w:pPr>
      <w:r w:rsidRPr="003616B3">
        <w:rPr>
          <w:rFonts w:eastAsia="Times New Roman"/>
          <w:noProof/>
          <w:szCs w:val="24"/>
        </w:rPr>
        <w:t xml:space="preserve">(a) failure to disclose the documents and </w:t>
      </w:r>
      <w:r w:rsidR="00B45594">
        <w:rPr>
          <w:noProof/>
        </w:rPr>
        <w:t>information</w:t>
      </w:r>
      <w:r w:rsidRPr="003616B3">
        <w:rPr>
          <w:rFonts w:eastAsia="Times New Roman"/>
          <w:noProof/>
          <w:szCs w:val="24"/>
        </w:rPr>
        <w:t xml:space="preserve"> as required by Articles 14, 14a and 14b;</w:t>
      </w:r>
    </w:p>
    <w:p w14:paraId="0F77EB71" w14:textId="77777777" w:rsidR="003616B3" w:rsidRPr="003616B3" w:rsidRDefault="003616B3" w:rsidP="00214D35">
      <w:pPr>
        <w:shd w:val="clear" w:color="auto" w:fill="FFFFFF" w:themeFill="background1"/>
        <w:tabs>
          <w:tab w:val="left" w:pos="1276"/>
        </w:tabs>
        <w:spacing w:after="0"/>
        <w:ind w:left="1560" w:hanging="283"/>
        <w:rPr>
          <w:rFonts w:eastAsia="Calibri"/>
          <w:noProof/>
          <w:szCs w:val="24"/>
        </w:rPr>
      </w:pPr>
      <w:r w:rsidRPr="003616B3">
        <w:rPr>
          <w:rFonts w:eastAsia="Calibri"/>
          <w:noProof/>
          <w:szCs w:val="24"/>
        </w:rPr>
        <w:t xml:space="preserve">(b) failure to file changes within the </w:t>
      </w:r>
      <w:r w:rsidR="00543649">
        <w:rPr>
          <w:rFonts w:eastAsia="Calibri"/>
          <w:noProof/>
          <w:szCs w:val="24"/>
        </w:rPr>
        <w:t>time period</w:t>
      </w:r>
      <w:r w:rsidRPr="003616B3">
        <w:rPr>
          <w:rFonts w:eastAsia="Calibri"/>
          <w:noProof/>
          <w:szCs w:val="24"/>
        </w:rPr>
        <w:t xml:space="preserve"> laid down in Article 15(2)</w:t>
      </w:r>
      <w:r w:rsidR="0058331D">
        <w:rPr>
          <w:rFonts w:eastAsia="Calibri"/>
          <w:noProof/>
          <w:szCs w:val="24"/>
        </w:rPr>
        <w:t>;</w:t>
      </w:r>
    </w:p>
    <w:p w14:paraId="06900D5E" w14:textId="77777777" w:rsidR="003616B3" w:rsidRPr="003616B3" w:rsidRDefault="003616B3" w:rsidP="00214D35">
      <w:pPr>
        <w:shd w:val="clear" w:color="auto" w:fill="FFFFFF"/>
        <w:tabs>
          <w:tab w:val="left" w:pos="1276"/>
        </w:tabs>
        <w:spacing w:before="240" w:line="312" w:lineRule="atLeast"/>
        <w:ind w:left="1560" w:hanging="283"/>
        <w:rPr>
          <w:rFonts w:eastAsia="Times New Roman"/>
          <w:noProof/>
          <w:szCs w:val="24"/>
        </w:rPr>
      </w:pPr>
      <w:r w:rsidRPr="003616B3">
        <w:rPr>
          <w:rFonts w:eastAsia="Times New Roman"/>
          <w:noProof/>
          <w:szCs w:val="24"/>
        </w:rPr>
        <w:t xml:space="preserve">(c) omission from commercial documents or from any company website of the compulsory </w:t>
      </w:r>
      <w:r w:rsidR="00B45594">
        <w:rPr>
          <w:noProof/>
        </w:rPr>
        <w:t>information</w:t>
      </w:r>
      <w:r w:rsidRPr="003616B3">
        <w:rPr>
          <w:rFonts w:eastAsia="Times New Roman"/>
          <w:noProof/>
          <w:szCs w:val="24"/>
        </w:rPr>
        <w:t xml:space="preserve"> provided for in Article 26.</w:t>
      </w:r>
    </w:p>
    <w:p w14:paraId="5F5D9548" w14:textId="77777777" w:rsidR="006C2123" w:rsidRPr="003616B3" w:rsidRDefault="003616B3" w:rsidP="00E310FD">
      <w:pPr>
        <w:shd w:val="clear" w:color="auto" w:fill="FFFFFF"/>
        <w:tabs>
          <w:tab w:val="left" w:pos="1276"/>
        </w:tabs>
        <w:spacing w:before="240" w:line="312" w:lineRule="atLeast"/>
        <w:ind w:left="851"/>
        <w:rPr>
          <w:rFonts w:eastAsia="Calibri"/>
          <w:noProof/>
          <w:szCs w:val="24"/>
          <w:shd w:val="clear" w:color="auto" w:fill="FFFFFF"/>
        </w:rPr>
      </w:pPr>
      <w:r w:rsidRPr="003616B3">
        <w:rPr>
          <w:rFonts w:eastAsia="Calibri"/>
          <w:noProof/>
          <w:szCs w:val="24"/>
          <w:shd w:val="clear" w:color="auto" w:fill="FFFFFF"/>
        </w:rPr>
        <w:t>Member States shall take all the measures necessary to ensure that those penalties are enforced.</w:t>
      </w:r>
      <w:r w:rsidR="00E647BB">
        <w:rPr>
          <w:rFonts w:eastAsia="Calibri"/>
          <w:noProof/>
          <w:szCs w:val="24"/>
          <w:shd w:val="clear" w:color="auto" w:fill="FFFFFF"/>
        </w:rPr>
        <w:t>’</w:t>
      </w:r>
      <w:r w:rsidR="006C2123" w:rsidRPr="003616B3">
        <w:rPr>
          <w:rFonts w:eastAsia="Calibri"/>
          <w:noProof/>
          <w:szCs w:val="24"/>
          <w:shd w:val="clear" w:color="auto" w:fill="FFFFFF"/>
        </w:rPr>
        <w:t xml:space="preserve">; </w:t>
      </w:r>
    </w:p>
    <w:p w14:paraId="2434C599" w14:textId="77777777" w:rsidR="006C2123" w:rsidRDefault="006C2123" w:rsidP="00CF44B0">
      <w:pPr>
        <w:rPr>
          <w:noProof/>
        </w:rPr>
      </w:pPr>
    </w:p>
    <w:p w14:paraId="178D3B47" w14:textId="56202706" w:rsidR="009C35AF" w:rsidRPr="00E34234" w:rsidRDefault="001969F8" w:rsidP="001969F8">
      <w:pPr>
        <w:pStyle w:val="Point0"/>
        <w:rPr>
          <w:noProof/>
        </w:rPr>
      </w:pPr>
      <w:r w:rsidRPr="001969F8">
        <w:t>(30)</w:t>
      </w:r>
      <w:r w:rsidRPr="001969F8">
        <w:tab/>
      </w:r>
      <w:r w:rsidR="00310B4C">
        <w:rPr>
          <w:noProof/>
        </w:rPr>
        <w:t>i</w:t>
      </w:r>
      <w:r w:rsidR="00E34234" w:rsidRPr="00E34234">
        <w:rPr>
          <w:noProof/>
        </w:rPr>
        <w:t>n Article 28a</w:t>
      </w:r>
      <w:r w:rsidR="00310B4C">
        <w:rPr>
          <w:noProof/>
        </w:rPr>
        <w:t>(</w:t>
      </w:r>
      <w:r w:rsidR="00E34234" w:rsidRPr="00E34234">
        <w:rPr>
          <w:noProof/>
        </w:rPr>
        <w:t>4</w:t>
      </w:r>
      <w:r w:rsidR="00310B4C">
        <w:rPr>
          <w:noProof/>
        </w:rPr>
        <w:t>)</w:t>
      </w:r>
      <w:r w:rsidR="00E34234" w:rsidRPr="00E34234">
        <w:rPr>
          <w:noProof/>
        </w:rPr>
        <w:t xml:space="preserve">, point </w:t>
      </w:r>
      <w:r w:rsidR="00E34234">
        <w:rPr>
          <w:noProof/>
        </w:rPr>
        <w:t>(</w:t>
      </w:r>
      <w:r w:rsidR="00E34234" w:rsidRPr="00E34234">
        <w:rPr>
          <w:noProof/>
        </w:rPr>
        <w:t xml:space="preserve">c) </w:t>
      </w:r>
      <w:r w:rsidR="009C35AF" w:rsidRPr="00E34234">
        <w:rPr>
          <w:noProof/>
        </w:rPr>
        <w:t>is replaced by the following:</w:t>
      </w:r>
    </w:p>
    <w:p w14:paraId="2027CB37" w14:textId="77777777" w:rsidR="00E34234" w:rsidRPr="00CE57C8" w:rsidRDefault="00E647BB" w:rsidP="00E310FD">
      <w:pPr>
        <w:shd w:val="clear" w:color="auto" w:fill="FFFFFF"/>
        <w:spacing w:after="0"/>
        <w:ind w:left="1276" w:hanging="425"/>
        <w:rPr>
          <w:rFonts w:eastAsia="Times New Roman"/>
          <w:noProof/>
          <w:szCs w:val="24"/>
        </w:rPr>
      </w:pPr>
      <w:r w:rsidRPr="00CE57C8">
        <w:rPr>
          <w:rFonts w:eastAsia="Times New Roman"/>
          <w:noProof/>
          <w:szCs w:val="24"/>
        </w:rPr>
        <w:t>‘</w:t>
      </w:r>
      <w:r w:rsidR="00E34234" w:rsidRPr="00CE57C8">
        <w:rPr>
          <w:rFonts w:eastAsia="Times New Roman"/>
          <w:noProof/>
          <w:szCs w:val="24"/>
        </w:rPr>
        <w:t xml:space="preserve">(c) verify the legality of the documents and information submitted for the registration of the branch, save the documents and information retrieved from the register of the company </w:t>
      </w:r>
      <w:r w:rsidRPr="00CE57C8">
        <w:rPr>
          <w:rFonts w:eastAsia="Times New Roman"/>
          <w:noProof/>
          <w:szCs w:val="24"/>
        </w:rPr>
        <w:t>in accordance with paragraph 5;’</w:t>
      </w:r>
      <w:r w:rsidR="00E34234" w:rsidRPr="00CE57C8">
        <w:rPr>
          <w:rFonts w:eastAsia="Times New Roman"/>
          <w:noProof/>
          <w:szCs w:val="24"/>
        </w:rPr>
        <w:t>;</w:t>
      </w:r>
    </w:p>
    <w:p w14:paraId="31ABCE34" w14:textId="77777777" w:rsidR="009C35AF" w:rsidRDefault="009C35AF" w:rsidP="00CF44B0">
      <w:pPr>
        <w:rPr>
          <w:noProof/>
        </w:rPr>
      </w:pPr>
    </w:p>
    <w:p w14:paraId="271276D6" w14:textId="1622F510" w:rsidR="009C35AF" w:rsidRDefault="001969F8" w:rsidP="001969F8">
      <w:pPr>
        <w:pStyle w:val="Point0"/>
        <w:rPr>
          <w:noProof/>
        </w:rPr>
      </w:pPr>
      <w:r w:rsidRPr="001969F8">
        <w:t>(31)</w:t>
      </w:r>
      <w:r w:rsidRPr="001969F8">
        <w:tab/>
      </w:r>
      <w:r w:rsidR="00310B4C">
        <w:rPr>
          <w:noProof/>
        </w:rPr>
        <w:t>i</w:t>
      </w:r>
      <w:r w:rsidR="009C35AF" w:rsidRPr="005A5EDA">
        <w:rPr>
          <w:noProof/>
        </w:rPr>
        <w:t xml:space="preserve">n Article </w:t>
      </w:r>
      <w:r w:rsidR="00E34234">
        <w:rPr>
          <w:noProof/>
        </w:rPr>
        <w:t>28a</w:t>
      </w:r>
      <w:r w:rsidR="00310B4C">
        <w:rPr>
          <w:noProof/>
        </w:rPr>
        <w:t>(</w:t>
      </w:r>
      <w:r w:rsidR="00E34234">
        <w:rPr>
          <w:noProof/>
        </w:rPr>
        <w:t>5</w:t>
      </w:r>
      <w:r w:rsidR="00310B4C">
        <w:rPr>
          <w:noProof/>
        </w:rPr>
        <w:t>)</w:t>
      </w:r>
      <w:r w:rsidR="009B5DC9">
        <w:rPr>
          <w:noProof/>
        </w:rPr>
        <w:t>, the first subparagraph is deleted</w:t>
      </w:r>
      <w:r w:rsidR="004757C1">
        <w:rPr>
          <w:noProof/>
        </w:rPr>
        <w:t>;</w:t>
      </w:r>
    </w:p>
    <w:p w14:paraId="0A65B055" w14:textId="77777777" w:rsidR="00214D35" w:rsidRDefault="00214D35" w:rsidP="001B7AD4">
      <w:pPr>
        <w:rPr>
          <w:noProof/>
        </w:rPr>
      </w:pPr>
    </w:p>
    <w:p w14:paraId="7A2A7661" w14:textId="4894F90B" w:rsidR="009B5DC9" w:rsidRDefault="001969F8" w:rsidP="001969F8">
      <w:pPr>
        <w:pStyle w:val="Point0"/>
        <w:rPr>
          <w:noProof/>
        </w:rPr>
      </w:pPr>
      <w:r w:rsidRPr="001969F8">
        <w:t>(32)</w:t>
      </w:r>
      <w:r w:rsidRPr="001969F8">
        <w:tab/>
      </w:r>
      <w:r w:rsidR="00310B4C">
        <w:rPr>
          <w:noProof/>
        </w:rPr>
        <w:t>i</w:t>
      </w:r>
      <w:r w:rsidR="009B5DC9" w:rsidRPr="005A5EDA">
        <w:rPr>
          <w:noProof/>
        </w:rPr>
        <w:t xml:space="preserve">n Article </w:t>
      </w:r>
      <w:r w:rsidR="009B5DC9">
        <w:rPr>
          <w:noProof/>
        </w:rPr>
        <w:t>28a, the following paragraph is inserted:</w:t>
      </w:r>
    </w:p>
    <w:p w14:paraId="4A0C6EB5" w14:textId="77777777" w:rsidR="00E34234" w:rsidRPr="00E34234" w:rsidRDefault="00E647BB" w:rsidP="00214D35">
      <w:pPr>
        <w:pStyle w:val="ListParagraph"/>
        <w:shd w:val="clear" w:color="auto" w:fill="FFFFFF"/>
        <w:spacing w:before="120" w:after="0" w:line="312" w:lineRule="atLeast"/>
        <w:ind w:left="851"/>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‘5a </w:t>
      </w:r>
      <w:r w:rsidR="00214D35">
        <w:rPr>
          <w:rFonts w:ascii="Times New Roman" w:hAnsi="Times New Roman" w:cs="Times New Roman"/>
          <w:noProof/>
          <w:sz w:val="24"/>
          <w:szCs w:val="24"/>
        </w:rPr>
        <w:tab/>
      </w:r>
      <w:r w:rsidR="00E34234" w:rsidRPr="009B5DC9">
        <w:rPr>
          <w:rFonts w:ascii="Times New Roman" w:hAnsi="Times New Roman" w:cs="Times New Roman"/>
          <w:noProof/>
          <w:sz w:val="24"/>
          <w:szCs w:val="24"/>
        </w:rPr>
        <w:t>Member States shall ensure that where a company listed in Annex</w:t>
      </w:r>
      <w:r w:rsidR="00E367E7">
        <w:rPr>
          <w:rFonts w:ascii="Times New Roman" w:hAnsi="Times New Roman" w:cs="Times New Roman"/>
          <w:noProof/>
          <w:sz w:val="24"/>
          <w:szCs w:val="24"/>
        </w:rPr>
        <w:t>es</w:t>
      </w:r>
      <w:r w:rsidR="00E34234" w:rsidRPr="009B5DC9">
        <w:rPr>
          <w:rFonts w:ascii="Times New Roman" w:hAnsi="Times New Roman" w:cs="Times New Roman"/>
          <w:noProof/>
          <w:sz w:val="24"/>
          <w:szCs w:val="24"/>
        </w:rPr>
        <w:t xml:space="preserve"> II or IIB registers a branch in another Member State, the register where the branch is being registered shall retrieve through the system of interconnection of registers the documents and information about the company relevant for the procedure of registration available in the register of the Member State where that company is registered, and the company shall not be requested to provide those. The reg</w:t>
      </w:r>
      <w:r w:rsidR="0058331D">
        <w:rPr>
          <w:rFonts w:ascii="Times New Roman" w:hAnsi="Times New Roman" w:cs="Times New Roman"/>
          <w:noProof/>
          <w:sz w:val="24"/>
          <w:szCs w:val="24"/>
        </w:rPr>
        <w:t>ister may also retrieve the EU Company C</w:t>
      </w:r>
      <w:r w:rsidR="00E34234" w:rsidRPr="009B5DC9">
        <w:rPr>
          <w:rFonts w:ascii="Times New Roman" w:hAnsi="Times New Roman" w:cs="Times New Roman"/>
          <w:noProof/>
          <w:sz w:val="24"/>
          <w:szCs w:val="24"/>
        </w:rPr>
        <w:t xml:space="preserve">ertificate under Article 16b. </w:t>
      </w:r>
      <w:r w:rsidR="00E34234" w:rsidRPr="009B5DC9">
        <w:rPr>
          <w:rFonts w:ascii="Times New Roman" w:eastAsia="Times New Roman" w:hAnsi="Times New Roman" w:cs="Times New Roman"/>
          <w:noProof/>
          <w:sz w:val="24"/>
          <w:szCs w:val="24"/>
        </w:rPr>
        <w:t xml:space="preserve">Member States shall also apply </w:t>
      </w:r>
      <w:r w:rsidR="00CE57C8">
        <w:rPr>
          <w:rFonts w:ascii="Times New Roman" w:eastAsia="Times New Roman" w:hAnsi="Times New Roman" w:cs="Times New Roman"/>
          <w:noProof/>
          <w:sz w:val="24"/>
          <w:szCs w:val="24"/>
        </w:rPr>
        <w:t xml:space="preserve">this paragraph </w:t>
      </w:r>
      <w:r w:rsidR="00E34234" w:rsidRPr="009B5DC9">
        <w:rPr>
          <w:rFonts w:ascii="Times New Roman" w:eastAsia="Times New Roman" w:hAnsi="Times New Roman" w:cs="Times New Roman"/>
          <w:noProof/>
          <w:sz w:val="24"/>
          <w:szCs w:val="24"/>
        </w:rPr>
        <w:t xml:space="preserve">to </w:t>
      </w:r>
      <w:r w:rsidR="00E34234" w:rsidRPr="009B5DC9" w:rsidDel="00E367E7">
        <w:rPr>
          <w:rFonts w:ascii="Times New Roman" w:eastAsia="Times New Roman" w:hAnsi="Times New Roman" w:cs="Times New Roman"/>
          <w:noProof/>
          <w:sz w:val="24"/>
          <w:szCs w:val="24"/>
        </w:rPr>
        <w:t xml:space="preserve">any </w:t>
      </w:r>
      <w:r w:rsidR="00E34234" w:rsidRPr="009B5DC9">
        <w:rPr>
          <w:rFonts w:ascii="Times New Roman" w:eastAsia="Times New Roman" w:hAnsi="Times New Roman" w:cs="Times New Roman"/>
          <w:noProof/>
          <w:sz w:val="24"/>
          <w:szCs w:val="24"/>
        </w:rPr>
        <w:t>other forms of registration of branches than</w:t>
      </w:r>
      <w:r w:rsidR="00E367E7">
        <w:rPr>
          <w:rFonts w:ascii="Times New Roman" w:eastAsia="Times New Roman" w:hAnsi="Times New Roman" w:cs="Times New Roman"/>
          <w:noProof/>
          <w:sz w:val="24"/>
          <w:szCs w:val="24"/>
        </w:rPr>
        <w:t xml:space="preserve"> </w:t>
      </w:r>
      <w:r w:rsidR="00E34234" w:rsidRPr="009B5DC9">
        <w:rPr>
          <w:rFonts w:ascii="Times New Roman" w:eastAsia="Times New Roman" w:hAnsi="Times New Roman" w:cs="Times New Roman"/>
          <w:noProof/>
          <w:sz w:val="24"/>
          <w:szCs w:val="24"/>
        </w:rPr>
        <w:t>fully online.</w:t>
      </w:r>
      <w:r w:rsidR="00E34234" w:rsidRPr="00E34234">
        <w:rPr>
          <w:rFonts w:ascii="Times New Roman" w:eastAsia="Times New Roman" w:hAnsi="Times New Roman" w:cs="Times New Roman"/>
          <w:noProof/>
          <w:sz w:val="24"/>
          <w:szCs w:val="24"/>
        </w:rPr>
        <w:t xml:space="preserve"> </w:t>
      </w:r>
    </w:p>
    <w:p w14:paraId="59FFFF2D" w14:textId="77777777" w:rsidR="00E34234" w:rsidRPr="00E34234" w:rsidRDefault="00E34234" w:rsidP="00214D35">
      <w:pPr>
        <w:pStyle w:val="ListParagraph"/>
        <w:shd w:val="clear" w:color="auto" w:fill="FFFFFF"/>
        <w:spacing w:before="120" w:after="0" w:line="312" w:lineRule="atLeast"/>
        <w:ind w:left="851"/>
        <w:jc w:val="both"/>
        <w:rPr>
          <w:rFonts w:ascii="Times New Roman" w:hAnsi="Times New Roman" w:cs="Times New Roman"/>
          <w:noProof/>
          <w:sz w:val="24"/>
          <w:szCs w:val="24"/>
        </w:rPr>
      </w:pPr>
    </w:p>
    <w:p w14:paraId="4CED50FE" w14:textId="77777777" w:rsidR="00E34234" w:rsidRPr="0054112B" w:rsidRDefault="00E34234" w:rsidP="00214D35">
      <w:pPr>
        <w:pStyle w:val="ListParagraph"/>
        <w:shd w:val="clear" w:color="auto" w:fill="FFFFFF"/>
        <w:spacing w:before="120" w:after="0" w:line="312" w:lineRule="atLeast"/>
        <w:ind w:left="851"/>
        <w:jc w:val="both"/>
        <w:rPr>
          <w:rFonts w:ascii="Times New Roman" w:hAnsi="Times New Roman" w:cs="Times New Roman"/>
          <w:noProof/>
          <w:sz w:val="24"/>
          <w:szCs w:val="24"/>
        </w:rPr>
      </w:pPr>
      <w:r w:rsidRPr="00E34234">
        <w:rPr>
          <w:rFonts w:ascii="Times New Roman" w:hAnsi="Times New Roman" w:cs="Times New Roman"/>
          <w:noProof/>
          <w:sz w:val="24"/>
          <w:szCs w:val="24"/>
        </w:rPr>
        <w:t xml:space="preserve">Where any authority or person or body is mandated under national law to deal with any aspect of the registration of a branch, and the documents and information referred to in the first subparagraph are needed for the performance of such tasks, the register of the Member State </w:t>
      </w:r>
      <w:r w:rsidRPr="0054112B">
        <w:rPr>
          <w:rFonts w:ascii="Times New Roman" w:hAnsi="Times New Roman" w:cs="Times New Roman"/>
          <w:noProof/>
          <w:sz w:val="24"/>
          <w:szCs w:val="24"/>
        </w:rPr>
        <w:t>where the branch is being registered shall provide the documents and information retrieved to that authority, person or body.</w:t>
      </w:r>
      <w:r w:rsidR="00E647BB">
        <w:rPr>
          <w:rFonts w:eastAsia="Times New Roman"/>
          <w:noProof/>
          <w:color w:val="333333"/>
          <w:szCs w:val="24"/>
        </w:rPr>
        <w:t>’</w:t>
      </w:r>
      <w:r w:rsidRPr="0054112B">
        <w:rPr>
          <w:rFonts w:eastAsia="Times New Roman"/>
          <w:noProof/>
          <w:color w:val="333333"/>
          <w:szCs w:val="24"/>
        </w:rPr>
        <w:t>;</w:t>
      </w:r>
    </w:p>
    <w:p w14:paraId="4748EC7A" w14:textId="77777777" w:rsidR="009C35AF" w:rsidRPr="0054112B" w:rsidRDefault="009C35AF" w:rsidP="00E34234">
      <w:pPr>
        <w:pStyle w:val="ListParagraph"/>
        <w:shd w:val="clear" w:color="auto" w:fill="FFFFFF"/>
        <w:spacing w:before="120" w:after="0" w:line="312" w:lineRule="atLeast"/>
        <w:ind w:left="360"/>
        <w:jc w:val="both"/>
        <w:rPr>
          <w:noProof/>
        </w:rPr>
      </w:pPr>
    </w:p>
    <w:p w14:paraId="53A4D3BE" w14:textId="41432952" w:rsidR="00620FF5" w:rsidRPr="0054112B" w:rsidRDefault="001969F8" w:rsidP="001969F8">
      <w:pPr>
        <w:pStyle w:val="Point0"/>
        <w:rPr>
          <w:noProof/>
        </w:rPr>
      </w:pPr>
      <w:r w:rsidRPr="001969F8">
        <w:t>(33)</w:t>
      </w:r>
      <w:r w:rsidRPr="001969F8">
        <w:tab/>
      </w:r>
      <w:r w:rsidR="00A7155E">
        <w:rPr>
          <w:noProof/>
        </w:rPr>
        <w:t>i</w:t>
      </w:r>
      <w:r w:rsidR="00E34234" w:rsidRPr="0054112B">
        <w:rPr>
          <w:noProof/>
        </w:rPr>
        <w:t>n Article 28b</w:t>
      </w:r>
      <w:r w:rsidR="00A7155E">
        <w:rPr>
          <w:noProof/>
        </w:rPr>
        <w:t>(</w:t>
      </w:r>
      <w:r w:rsidR="00E34234" w:rsidRPr="0054112B">
        <w:rPr>
          <w:noProof/>
        </w:rPr>
        <w:t>1</w:t>
      </w:r>
      <w:r w:rsidR="00A7155E">
        <w:rPr>
          <w:noProof/>
        </w:rPr>
        <w:t>)</w:t>
      </w:r>
      <w:r w:rsidR="00E34234" w:rsidRPr="0054112B">
        <w:rPr>
          <w:noProof/>
        </w:rPr>
        <w:t>, the first</w:t>
      </w:r>
      <w:r w:rsidR="00620FF5" w:rsidRPr="0054112B">
        <w:rPr>
          <w:noProof/>
        </w:rPr>
        <w:t xml:space="preserve"> sentence</w:t>
      </w:r>
      <w:r w:rsidR="00E34234" w:rsidRPr="0054112B">
        <w:rPr>
          <w:noProof/>
        </w:rPr>
        <w:t xml:space="preserve"> is replaced by the following:</w:t>
      </w:r>
      <w:r w:rsidR="00620FF5" w:rsidRPr="0054112B">
        <w:rPr>
          <w:noProof/>
        </w:rPr>
        <w:t xml:space="preserve"> </w:t>
      </w:r>
    </w:p>
    <w:p w14:paraId="755C0E8A" w14:textId="77777777" w:rsidR="00E34234" w:rsidRPr="00620FF5" w:rsidRDefault="00E647BB" w:rsidP="00214D35">
      <w:pPr>
        <w:pStyle w:val="Text1"/>
        <w:ind w:left="851"/>
        <w:rPr>
          <w:noProof/>
          <w:highlight w:val="yellow"/>
        </w:rPr>
      </w:pPr>
      <w:r>
        <w:rPr>
          <w:noProof/>
        </w:rPr>
        <w:t>‘</w:t>
      </w:r>
      <w:r w:rsidR="00E34234" w:rsidRPr="0054112B">
        <w:rPr>
          <w:noProof/>
        </w:rPr>
        <w:t>1. </w:t>
      </w:r>
      <w:r w:rsidR="00E310FD">
        <w:rPr>
          <w:noProof/>
        </w:rPr>
        <w:tab/>
      </w:r>
      <w:r w:rsidR="00E34234" w:rsidRPr="0054112B">
        <w:rPr>
          <w:noProof/>
        </w:rPr>
        <w:t>Member</w:t>
      </w:r>
      <w:r w:rsidR="00E34234" w:rsidRPr="001A59E3">
        <w:rPr>
          <w:noProof/>
        </w:rPr>
        <w:t xml:space="preserve"> States shall ensure that documents and information referred to in Article 30 or any modification thereof </w:t>
      </w:r>
      <w:r w:rsidR="00E34234" w:rsidRPr="00E34234">
        <w:rPr>
          <w:noProof/>
        </w:rPr>
        <w:t xml:space="preserve">may be filed online in accordance with </w:t>
      </w:r>
      <w:r>
        <w:rPr>
          <w:noProof/>
        </w:rPr>
        <w:t>Article 15</w:t>
      </w:r>
      <w:r w:rsidR="00A7155E">
        <w:rPr>
          <w:noProof/>
        </w:rPr>
        <w:t>(2),</w:t>
      </w:r>
      <w:r w:rsidR="00A7155E" w:rsidRPr="00A7155E">
        <w:rPr>
          <w:noProof/>
        </w:rPr>
        <w:t xml:space="preserve"> </w:t>
      </w:r>
      <w:r w:rsidR="00681677">
        <w:rPr>
          <w:noProof/>
        </w:rPr>
        <w:t>points (a) and (b)</w:t>
      </w:r>
      <w:r>
        <w:rPr>
          <w:noProof/>
        </w:rPr>
        <w:t>.’</w:t>
      </w:r>
      <w:r w:rsidR="00E34234" w:rsidRPr="00E34234">
        <w:rPr>
          <w:noProof/>
        </w:rPr>
        <w:t>;</w:t>
      </w:r>
    </w:p>
    <w:p w14:paraId="67A6C143" w14:textId="77777777" w:rsidR="00620FF5" w:rsidRDefault="00620FF5" w:rsidP="00E310FD">
      <w:pPr>
        <w:ind w:left="1276" w:hanging="425"/>
        <w:rPr>
          <w:noProof/>
        </w:rPr>
      </w:pPr>
    </w:p>
    <w:p w14:paraId="03510E5F" w14:textId="7450225C" w:rsidR="00C90E8A" w:rsidRDefault="001969F8" w:rsidP="001969F8">
      <w:pPr>
        <w:pStyle w:val="Point0"/>
        <w:rPr>
          <w:noProof/>
        </w:rPr>
      </w:pPr>
      <w:r w:rsidRPr="001969F8">
        <w:t>(34)</w:t>
      </w:r>
      <w:r w:rsidRPr="001969F8">
        <w:tab/>
      </w:r>
      <w:r w:rsidR="00E10553">
        <w:rPr>
          <w:noProof/>
        </w:rPr>
        <w:t>i</w:t>
      </w:r>
      <w:r w:rsidR="009C35AF">
        <w:rPr>
          <w:noProof/>
        </w:rPr>
        <w:t>n Article 30(2)</w:t>
      </w:r>
      <w:r w:rsidR="001D07AE">
        <w:rPr>
          <w:noProof/>
        </w:rPr>
        <w:t>,</w:t>
      </w:r>
      <w:r w:rsidR="009C35AF">
        <w:rPr>
          <w:noProof/>
        </w:rPr>
        <w:t xml:space="preserve"> point (</w:t>
      </w:r>
      <w:r w:rsidR="00BA1E27">
        <w:rPr>
          <w:noProof/>
        </w:rPr>
        <w:t>c</w:t>
      </w:r>
      <w:r w:rsidR="00DD0710">
        <w:rPr>
          <w:noProof/>
        </w:rPr>
        <w:t>) is deleted</w:t>
      </w:r>
      <w:r w:rsidR="00BA1E27">
        <w:rPr>
          <w:noProof/>
        </w:rPr>
        <w:t>;</w:t>
      </w:r>
    </w:p>
    <w:p w14:paraId="57A0FC9F" w14:textId="77777777" w:rsidR="00B234B8" w:rsidRDefault="00B234B8" w:rsidP="00CF44B0">
      <w:pPr>
        <w:rPr>
          <w:noProof/>
        </w:rPr>
      </w:pPr>
    </w:p>
    <w:p w14:paraId="56083CC0" w14:textId="1C1532F2" w:rsidR="00B234B8" w:rsidRDefault="001969F8" w:rsidP="001969F8">
      <w:pPr>
        <w:pStyle w:val="Point0"/>
        <w:rPr>
          <w:noProof/>
        </w:rPr>
      </w:pPr>
      <w:r w:rsidRPr="001969F8">
        <w:t>(35)</w:t>
      </w:r>
      <w:r w:rsidRPr="001969F8">
        <w:tab/>
      </w:r>
      <w:r w:rsidR="00E10553">
        <w:rPr>
          <w:noProof/>
        </w:rPr>
        <w:t>i</w:t>
      </w:r>
      <w:r w:rsidR="00B234B8">
        <w:rPr>
          <w:noProof/>
        </w:rPr>
        <w:t>n Article</w:t>
      </w:r>
      <w:r w:rsidR="00BA1E27">
        <w:rPr>
          <w:noProof/>
        </w:rPr>
        <w:t xml:space="preserve"> 36, the following paragraphs </w:t>
      </w:r>
      <w:r w:rsidR="00B234B8">
        <w:rPr>
          <w:noProof/>
        </w:rPr>
        <w:t>are added:</w:t>
      </w:r>
    </w:p>
    <w:p w14:paraId="150F6C31" w14:textId="77777777" w:rsidR="00E34234" w:rsidRPr="00E34234" w:rsidRDefault="00BA1E27" w:rsidP="00214D35">
      <w:pPr>
        <w:shd w:val="clear" w:color="auto" w:fill="FFFFFF"/>
        <w:ind w:left="851"/>
        <w:rPr>
          <w:rFonts w:eastAsia="Times New Roman"/>
          <w:noProof/>
          <w:szCs w:val="24"/>
          <w:highlight w:val="green"/>
        </w:rPr>
      </w:pPr>
      <w:r>
        <w:rPr>
          <w:noProof/>
          <w:szCs w:val="24"/>
        </w:rPr>
        <w:t>‘</w:t>
      </w:r>
      <w:r w:rsidR="00E34234" w:rsidRPr="00E34234">
        <w:rPr>
          <w:noProof/>
          <w:szCs w:val="24"/>
        </w:rPr>
        <w:t>3.</w:t>
      </w:r>
      <w:r w:rsidR="00E34234" w:rsidRPr="00E34234">
        <w:rPr>
          <w:noProof/>
          <w:szCs w:val="24"/>
        </w:rPr>
        <w:tab/>
      </w:r>
      <w:r w:rsidR="00E34234" w:rsidRPr="00E34234">
        <w:rPr>
          <w:rFonts w:eastAsia="Times New Roman"/>
          <w:noProof/>
          <w:szCs w:val="24"/>
        </w:rPr>
        <w:t xml:space="preserve">The documents and </w:t>
      </w:r>
      <w:r w:rsidR="00B45594">
        <w:rPr>
          <w:noProof/>
        </w:rPr>
        <w:t>information</w:t>
      </w:r>
      <w:r w:rsidR="00E34234" w:rsidRPr="00E34234">
        <w:rPr>
          <w:rFonts w:eastAsia="Times New Roman"/>
          <w:noProof/>
          <w:szCs w:val="24"/>
        </w:rPr>
        <w:t xml:space="preserve"> referred to in Article 37 shall be made publicly available through the system of interconnection of registers. Article 18 and </w:t>
      </w:r>
      <w:r w:rsidR="004757C1">
        <w:rPr>
          <w:rFonts w:eastAsia="Times New Roman"/>
          <w:noProof/>
          <w:szCs w:val="24"/>
        </w:rPr>
        <w:t xml:space="preserve">Article </w:t>
      </w:r>
      <w:r w:rsidR="00E34234" w:rsidRPr="00E34234">
        <w:rPr>
          <w:rFonts w:eastAsia="Times New Roman"/>
          <w:noProof/>
          <w:szCs w:val="24"/>
        </w:rPr>
        <w:t>19(1) shall apply </w:t>
      </w:r>
      <w:r w:rsidR="00E34234" w:rsidRPr="00E34234">
        <w:rPr>
          <w:rFonts w:eastAsia="Times New Roman"/>
          <w:i/>
          <w:iCs/>
          <w:noProof/>
          <w:szCs w:val="24"/>
        </w:rPr>
        <w:t>mutatis mutandis</w:t>
      </w:r>
      <w:r w:rsidR="00E34234" w:rsidRPr="00E34234">
        <w:rPr>
          <w:rFonts w:eastAsia="Times New Roman"/>
          <w:noProof/>
          <w:szCs w:val="24"/>
        </w:rPr>
        <w:t>.</w:t>
      </w:r>
    </w:p>
    <w:p w14:paraId="0BB6507F" w14:textId="77777777" w:rsidR="00E34234" w:rsidRPr="00E34234" w:rsidRDefault="00E34234" w:rsidP="00214D35">
      <w:pPr>
        <w:spacing w:after="0"/>
        <w:ind w:left="851"/>
        <w:rPr>
          <w:noProof/>
          <w:szCs w:val="24"/>
        </w:rPr>
      </w:pPr>
      <w:r w:rsidRPr="00E34234">
        <w:rPr>
          <w:rFonts w:eastAsia="Times New Roman"/>
          <w:noProof/>
          <w:szCs w:val="24"/>
        </w:rPr>
        <w:t xml:space="preserve">4. </w:t>
      </w:r>
      <w:r w:rsidR="00284289">
        <w:rPr>
          <w:rFonts w:eastAsia="Times New Roman"/>
          <w:noProof/>
          <w:szCs w:val="24"/>
        </w:rPr>
        <w:tab/>
      </w:r>
      <w:r w:rsidRPr="00E34234">
        <w:rPr>
          <w:rFonts w:eastAsia="Times New Roman"/>
          <w:noProof/>
          <w:szCs w:val="24"/>
        </w:rPr>
        <w:t>Member States shall ensure that at least the following information and documents are available free of charge through the system of interconnection of registers:</w:t>
      </w:r>
      <w:r w:rsidRPr="00E34234" w:rsidDel="007C3AE4">
        <w:rPr>
          <w:noProof/>
          <w:szCs w:val="24"/>
        </w:rPr>
        <w:t xml:space="preserve"> </w:t>
      </w:r>
    </w:p>
    <w:p w14:paraId="6C3AD08E" w14:textId="31BF89C6" w:rsidR="00E34234" w:rsidRPr="00110F62" w:rsidRDefault="001969F8" w:rsidP="001969F8">
      <w:pPr>
        <w:pStyle w:val="Point0"/>
        <w:rPr>
          <w:noProof/>
        </w:rPr>
      </w:pPr>
      <w:r w:rsidRPr="001969F8">
        <w:t>(a)</w:t>
      </w:r>
      <w:r w:rsidRPr="001969F8">
        <w:tab/>
      </w:r>
      <w:r w:rsidR="00E34234" w:rsidRPr="00110F62">
        <w:rPr>
          <w:noProof/>
        </w:rPr>
        <w:t xml:space="preserve">the name of the company and the name of the branch if </w:t>
      </w:r>
      <w:r w:rsidR="00E34234" w:rsidRPr="00110F62" w:rsidDel="00E367E7">
        <w:rPr>
          <w:noProof/>
        </w:rPr>
        <w:t xml:space="preserve">that is </w:t>
      </w:r>
      <w:r w:rsidR="00E34234" w:rsidRPr="00110F62">
        <w:rPr>
          <w:noProof/>
        </w:rPr>
        <w:t>different from the name of the company;</w:t>
      </w:r>
    </w:p>
    <w:p w14:paraId="275FCF2C" w14:textId="63B4FFA0" w:rsidR="00E34234" w:rsidRPr="00110F62" w:rsidRDefault="001969F8" w:rsidP="001969F8">
      <w:pPr>
        <w:pStyle w:val="Point0"/>
        <w:rPr>
          <w:noProof/>
        </w:rPr>
      </w:pPr>
      <w:r w:rsidRPr="001969F8">
        <w:t>(b)</w:t>
      </w:r>
      <w:r w:rsidRPr="001969F8">
        <w:tab/>
      </w:r>
      <w:r w:rsidR="00E34234" w:rsidRPr="00110F62">
        <w:rPr>
          <w:noProof/>
        </w:rPr>
        <w:t>the legal form of the company</w:t>
      </w:r>
      <w:r w:rsidR="00F87345">
        <w:rPr>
          <w:noProof/>
        </w:rPr>
        <w:t>;</w:t>
      </w:r>
    </w:p>
    <w:p w14:paraId="219BA0EE" w14:textId="052E7E6E" w:rsidR="00E34234" w:rsidRPr="00110F62" w:rsidRDefault="001969F8" w:rsidP="001969F8">
      <w:pPr>
        <w:pStyle w:val="Point0"/>
        <w:rPr>
          <w:noProof/>
        </w:rPr>
      </w:pPr>
      <w:r w:rsidRPr="001969F8">
        <w:t>(c)</w:t>
      </w:r>
      <w:r w:rsidRPr="001969F8">
        <w:tab/>
      </w:r>
      <w:r w:rsidR="00E34234" w:rsidRPr="00110F62">
        <w:rPr>
          <w:noProof/>
        </w:rPr>
        <w:t xml:space="preserve">the law of the State by which the company is governed; </w:t>
      </w:r>
    </w:p>
    <w:p w14:paraId="6A798B0C" w14:textId="0E419645" w:rsidR="00E34234" w:rsidRPr="00110F62" w:rsidRDefault="001969F8" w:rsidP="001969F8">
      <w:pPr>
        <w:pStyle w:val="Point0"/>
        <w:rPr>
          <w:noProof/>
        </w:rPr>
      </w:pPr>
      <w:r w:rsidRPr="001969F8">
        <w:t>(d)</w:t>
      </w:r>
      <w:r w:rsidRPr="001969F8">
        <w:tab/>
      </w:r>
      <w:r w:rsidR="00E34234" w:rsidRPr="00110F62">
        <w:rPr>
          <w:noProof/>
        </w:rPr>
        <w:t xml:space="preserve">where that law so provides, the register in which the company is entered and the registration number of the company in that register; </w:t>
      </w:r>
    </w:p>
    <w:p w14:paraId="53D83B3A" w14:textId="28ACF50C" w:rsidR="00E34234" w:rsidRDefault="001969F8" w:rsidP="001969F8">
      <w:pPr>
        <w:pStyle w:val="Point0"/>
        <w:rPr>
          <w:noProof/>
        </w:rPr>
      </w:pPr>
      <w:r w:rsidRPr="001969F8">
        <w:t>(e)</w:t>
      </w:r>
      <w:r w:rsidRPr="001969F8">
        <w:tab/>
      </w:r>
      <w:r w:rsidR="00E34234" w:rsidRPr="00110F62">
        <w:rPr>
          <w:noProof/>
        </w:rPr>
        <w:t>the address of the branch;</w:t>
      </w:r>
    </w:p>
    <w:p w14:paraId="2965012E" w14:textId="4820AD80" w:rsidR="00066DCF" w:rsidRDefault="001969F8" w:rsidP="001969F8">
      <w:pPr>
        <w:pStyle w:val="Point0"/>
        <w:rPr>
          <w:noProof/>
        </w:rPr>
      </w:pPr>
      <w:r w:rsidRPr="001969F8">
        <w:t>(f)</w:t>
      </w:r>
      <w:r w:rsidRPr="001969F8">
        <w:tab/>
      </w:r>
      <w:r w:rsidR="00066DCF" w:rsidRPr="00066DCF">
        <w:rPr>
          <w:noProof/>
        </w:rPr>
        <w:t>the particulars of the persons who are authorised to represent the company in dealings with third parties and in legal proceedings:</w:t>
      </w:r>
    </w:p>
    <w:p w14:paraId="22EB04C6" w14:textId="77777777" w:rsidR="006057CB" w:rsidRDefault="006057CB" w:rsidP="00FF5472">
      <w:pPr>
        <w:ind w:left="1701"/>
        <w:rPr>
          <w:noProof/>
        </w:rPr>
      </w:pPr>
      <w:r>
        <w:rPr>
          <w:noProof/>
        </w:rPr>
        <w:t xml:space="preserve">— as a company organ constituted pursuant to law or as members of any such organ </w:t>
      </w:r>
    </w:p>
    <w:p w14:paraId="2D22E936" w14:textId="77777777" w:rsidR="006057CB" w:rsidRDefault="006057CB" w:rsidP="00FF5472">
      <w:pPr>
        <w:ind w:left="1701"/>
        <w:rPr>
          <w:noProof/>
        </w:rPr>
      </w:pPr>
      <w:r>
        <w:rPr>
          <w:noProof/>
        </w:rPr>
        <w:t xml:space="preserve">— as permanent representatives of the company for the activities of the branch. </w:t>
      </w:r>
    </w:p>
    <w:p w14:paraId="2F5988D2" w14:textId="77777777" w:rsidR="006057CB" w:rsidRDefault="006057CB" w:rsidP="00FF5472">
      <w:pPr>
        <w:ind w:left="1701"/>
        <w:rPr>
          <w:noProof/>
        </w:rPr>
      </w:pPr>
      <w:r>
        <w:rPr>
          <w:noProof/>
        </w:rPr>
        <w:t>The extent of the powers of the persons authorised to represent the company shall be stated, as well as whether those persons may represent the company alone or are required to act jointly;</w:t>
      </w:r>
    </w:p>
    <w:p w14:paraId="18E2AFB7" w14:textId="2D2D9101" w:rsidR="00066DCF" w:rsidRPr="00110F62" w:rsidRDefault="001969F8" w:rsidP="001969F8">
      <w:pPr>
        <w:pStyle w:val="Point0"/>
        <w:rPr>
          <w:noProof/>
        </w:rPr>
      </w:pPr>
      <w:r w:rsidRPr="001969F8">
        <w:t>(g)</w:t>
      </w:r>
      <w:r w:rsidRPr="001969F8">
        <w:tab/>
      </w:r>
      <w:r w:rsidR="00066DCF" w:rsidRPr="00332815">
        <w:rPr>
          <w:noProof/>
        </w:rPr>
        <w:t xml:space="preserve">the unique identifier of the branch in accordance with paragraph </w:t>
      </w:r>
      <w:r w:rsidR="00383135">
        <w:rPr>
          <w:noProof/>
        </w:rPr>
        <w:t>5</w:t>
      </w:r>
      <w:r w:rsidR="00066DCF" w:rsidRPr="00332815">
        <w:rPr>
          <w:noProof/>
        </w:rPr>
        <w:t>.</w:t>
      </w:r>
    </w:p>
    <w:p w14:paraId="4B7BC7A3" w14:textId="77777777" w:rsidR="00E34234" w:rsidRPr="00066DCF" w:rsidRDefault="00E34234" w:rsidP="00214D35">
      <w:pPr>
        <w:spacing w:after="0"/>
        <w:contextualSpacing/>
        <w:rPr>
          <w:noProof/>
          <w:szCs w:val="24"/>
        </w:rPr>
      </w:pPr>
    </w:p>
    <w:p w14:paraId="66A68EFB" w14:textId="77777777" w:rsidR="00E34234" w:rsidRPr="00E34234" w:rsidRDefault="00E34234" w:rsidP="00214D35">
      <w:pPr>
        <w:ind w:left="851"/>
        <w:contextualSpacing/>
        <w:rPr>
          <w:noProof/>
          <w:szCs w:val="24"/>
        </w:rPr>
      </w:pPr>
      <w:r w:rsidRPr="00E34234">
        <w:rPr>
          <w:noProof/>
          <w:szCs w:val="24"/>
        </w:rPr>
        <w:t>5.</w:t>
      </w:r>
      <w:r w:rsidRPr="00E34234">
        <w:rPr>
          <w:noProof/>
          <w:szCs w:val="24"/>
        </w:rPr>
        <w:tab/>
      </w:r>
      <w:r w:rsidR="0019636F">
        <w:rPr>
          <w:noProof/>
          <w:szCs w:val="24"/>
        </w:rPr>
        <w:t>Member State</w:t>
      </w:r>
      <w:r w:rsidR="006231B2">
        <w:rPr>
          <w:noProof/>
          <w:szCs w:val="24"/>
        </w:rPr>
        <w:t>s</w:t>
      </w:r>
      <w:r w:rsidR="0019636F">
        <w:rPr>
          <w:noProof/>
          <w:szCs w:val="24"/>
        </w:rPr>
        <w:t xml:space="preserve"> shall </w:t>
      </w:r>
      <w:r w:rsidR="006E009B">
        <w:rPr>
          <w:noProof/>
          <w:szCs w:val="24"/>
        </w:rPr>
        <w:t xml:space="preserve">apply </w:t>
      </w:r>
      <w:r w:rsidRPr="00E34234">
        <w:rPr>
          <w:noProof/>
          <w:szCs w:val="24"/>
        </w:rPr>
        <w:t>Article 29(4)</w:t>
      </w:r>
      <w:r w:rsidR="006E009B">
        <w:rPr>
          <w:noProof/>
          <w:szCs w:val="24"/>
        </w:rPr>
        <w:t xml:space="preserve"> </w:t>
      </w:r>
      <w:r w:rsidR="006231B2" w:rsidRPr="00CA3838">
        <w:rPr>
          <w:i/>
          <w:noProof/>
          <w:szCs w:val="24"/>
        </w:rPr>
        <w:t>mutatis mutandis</w:t>
      </w:r>
      <w:r w:rsidR="006231B2">
        <w:rPr>
          <w:noProof/>
          <w:szCs w:val="24"/>
        </w:rPr>
        <w:t xml:space="preserve"> </w:t>
      </w:r>
      <w:r w:rsidR="006E009B">
        <w:rPr>
          <w:noProof/>
          <w:szCs w:val="24"/>
        </w:rPr>
        <w:t>to the branches of companies from third countries</w:t>
      </w:r>
      <w:r w:rsidRPr="00E34234">
        <w:rPr>
          <w:noProof/>
          <w:szCs w:val="24"/>
        </w:rPr>
        <w:t>.</w:t>
      </w:r>
      <w:r w:rsidR="00C71689">
        <w:rPr>
          <w:noProof/>
          <w:szCs w:val="24"/>
        </w:rPr>
        <w:t>’</w:t>
      </w:r>
      <w:r>
        <w:rPr>
          <w:noProof/>
          <w:szCs w:val="24"/>
        </w:rPr>
        <w:t>;</w:t>
      </w:r>
      <w:r w:rsidRPr="00E34234">
        <w:rPr>
          <w:noProof/>
          <w:szCs w:val="24"/>
        </w:rPr>
        <w:t xml:space="preserve"> </w:t>
      </w:r>
    </w:p>
    <w:p w14:paraId="1EC81A10" w14:textId="77777777" w:rsidR="00B234B8" w:rsidRPr="002506C8" w:rsidRDefault="00B234B8" w:rsidP="00E34234">
      <w:pPr>
        <w:shd w:val="clear" w:color="auto" w:fill="FFFFFF"/>
        <w:rPr>
          <w:noProof/>
          <w:color w:val="00B050"/>
          <w:szCs w:val="24"/>
        </w:rPr>
      </w:pPr>
    </w:p>
    <w:p w14:paraId="7D9C9A58" w14:textId="708804D0" w:rsidR="00B234B8" w:rsidRDefault="001969F8" w:rsidP="001969F8">
      <w:pPr>
        <w:pStyle w:val="Point0"/>
        <w:rPr>
          <w:noProof/>
        </w:rPr>
      </w:pPr>
      <w:r w:rsidRPr="001969F8">
        <w:t>(36)</w:t>
      </w:r>
      <w:r w:rsidRPr="001969F8">
        <w:tab/>
      </w:r>
      <w:r w:rsidR="00EF31E9">
        <w:rPr>
          <w:noProof/>
        </w:rPr>
        <w:t xml:space="preserve">Article 40 </w:t>
      </w:r>
      <w:r w:rsidR="00E34234">
        <w:rPr>
          <w:noProof/>
        </w:rPr>
        <w:t xml:space="preserve">is </w:t>
      </w:r>
      <w:r w:rsidR="00EF31E9">
        <w:rPr>
          <w:noProof/>
        </w:rPr>
        <w:t>replace</w:t>
      </w:r>
      <w:r w:rsidR="00E34234">
        <w:rPr>
          <w:noProof/>
        </w:rPr>
        <w:t>d by the following:</w:t>
      </w:r>
    </w:p>
    <w:p w14:paraId="7BDA2D8F" w14:textId="77777777" w:rsidR="00E34234" w:rsidRPr="0024202B" w:rsidRDefault="00C71689" w:rsidP="00E34234">
      <w:pPr>
        <w:pStyle w:val="ListParagraph"/>
        <w:shd w:val="clear" w:color="auto" w:fill="FFFFFF"/>
        <w:spacing w:before="240" w:line="312" w:lineRule="atLeast"/>
        <w:ind w:left="850"/>
        <w:jc w:val="center"/>
        <w:rPr>
          <w:rFonts w:ascii="Times New Roman" w:hAnsi="Times New Roman" w:cs="Times New Roman"/>
          <w:noProof/>
          <w:sz w:val="24"/>
        </w:rPr>
      </w:pPr>
      <w:r w:rsidRPr="0024202B">
        <w:rPr>
          <w:rFonts w:ascii="Times New Roman" w:hAnsi="Times New Roman" w:cs="Times New Roman"/>
          <w:noProof/>
          <w:sz w:val="24"/>
        </w:rPr>
        <w:t>‘</w:t>
      </w:r>
      <w:r w:rsidR="00E34234" w:rsidRPr="0024202B">
        <w:rPr>
          <w:rFonts w:ascii="Times New Roman" w:hAnsi="Times New Roman" w:cs="Times New Roman"/>
          <w:noProof/>
          <w:sz w:val="24"/>
        </w:rPr>
        <w:t>Article 40</w:t>
      </w:r>
    </w:p>
    <w:p w14:paraId="7C12B012" w14:textId="77777777" w:rsidR="00E34234" w:rsidRPr="00E34234" w:rsidRDefault="00E34234" w:rsidP="00E34234">
      <w:pPr>
        <w:pStyle w:val="ListParagraph"/>
        <w:shd w:val="clear" w:color="auto" w:fill="FFFFFF"/>
        <w:spacing w:before="240" w:line="312" w:lineRule="atLeast"/>
        <w:ind w:left="850"/>
        <w:jc w:val="center"/>
        <w:rPr>
          <w:rFonts w:ascii="Times New Roman" w:hAnsi="Times New Roman" w:cs="Times New Roman"/>
          <w:b/>
          <w:noProof/>
          <w:sz w:val="24"/>
        </w:rPr>
      </w:pPr>
      <w:r w:rsidRPr="00E34234">
        <w:rPr>
          <w:rFonts w:ascii="Times New Roman" w:hAnsi="Times New Roman" w:cs="Times New Roman"/>
          <w:b/>
          <w:noProof/>
          <w:sz w:val="24"/>
        </w:rPr>
        <w:t>Penalties</w:t>
      </w:r>
    </w:p>
    <w:p w14:paraId="73F99CBF" w14:textId="77777777" w:rsidR="00E34234" w:rsidRPr="00E34234" w:rsidRDefault="00E34234" w:rsidP="00E34234">
      <w:pPr>
        <w:pStyle w:val="ListParagraph"/>
        <w:shd w:val="clear" w:color="auto" w:fill="FFFFFF"/>
        <w:spacing w:after="0" w:line="312" w:lineRule="atLeast"/>
        <w:ind w:left="850"/>
        <w:rPr>
          <w:rFonts w:ascii="Times New Roman" w:hAnsi="Times New Roman" w:cs="Times New Roman"/>
          <w:noProof/>
          <w:sz w:val="24"/>
        </w:rPr>
      </w:pPr>
      <w:r w:rsidRPr="00E34234">
        <w:rPr>
          <w:rFonts w:ascii="Times New Roman" w:hAnsi="Times New Roman" w:cs="Times New Roman"/>
          <w:noProof/>
          <w:sz w:val="24"/>
        </w:rPr>
        <w:t xml:space="preserve">Member States shall provide for effective, proportionate and dissuasive penalties in the event of failure to disclose the matters set out in Articles 29, 30, 31, 36, 37 and 38 and of omission </w:t>
      </w:r>
      <w:r w:rsidRPr="00E34234" w:rsidDel="006231B2">
        <w:rPr>
          <w:rFonts w:ascii="Times New Roman" w:hAnsi="Times New Roman" w:cs="Times New Roman"/>
          <w:noProof/>
          <w:sz w:val="24"/>
        </w:rPr>
        <w:t xml:space="preserve">from letters and order forms </w:t>
      </w:r>
      <w:r w:rsidRPr="00E34234">
        <w:rPr>
          <w:rFonts w:ascii="Times New Roman" w:hAnsi="Times New Roman" w:cs="Times New Roman"/>
          <w:noProof/>
          <w:sz w:val="24"/>
        </w:rPr>
        <w:t xml:space="preserve">of the compulsory </w:t>
      </w:r>
      <w:r w:rsidR="00B45594" w:rsidRPr="00B45594">
        <w:rPr>
          <w:rFonts w:ascii="Times New Roman" w:hAnsi="Times New Roman" w:cs="Times New Roman"/>
          <w:noProof/>
          <w:sz w:val="24"/>
        </w:rPr>
        <w:t>information</w:t>
      </w:r>
      <w:r w:rsidRPr="00E34234">
        <w:rPr>
          <w:rFonts w:ascii="Times New Roman" w:hAnsi="Times New Roman" w:cs="Times New Roman"/>
          <w:noProof/>
          <w:sz w:val="24"/>
        </w:rPr>
        <w:t xml:space="preserve"> provided for in Articles 35 and 39.</w:t>
      </w:r>
    </w:p>
    <w:p w14:paraId="49FF2F1E" w14:textId="77777777" w:rsidR="00E34234" w:rsidRDefault="00E34234" w:rsidP="00E34234">
      <w:pPr>
        <w:pStyle w:val="ListParagraph"/>
        <w:shd w:val="clear" w:color="auto" w:fill="FFFFFF"/>
        <w:spacing w:before="240"/>
        <w:ind w:left="850"/>
        <w:rPr>
          <w:rFonts w:ascii="Times New Roman" w:hAnsi="Times New Roman" w:cs="Times New Roman"/>
          <w:noProof/>
          <w:sz w:val="24"/>
        </w:rPr>
      </w:pPr>
    </w:p>
    <w:p w14:paraId="5DBF62BF" w14:textId="77777777" w:rsidR="00882ACB" w:rsidRDefault="00E34234" w:rsidP="00332815">
      <w:pPr>
        <w:pStyle w:val="ListParagraph"/>
        <w:shd w:val="clear" w:color="auto" w:fill="FFFFFF"/>
        <w:spacing w:before="240"/>
        <w:ind w:left="850"/>
        <w:rPr>
          <w:rFonts w:ascii="Times New Roman" w:hAnsi="Times New Roman" w:cs="Times New Roman"/>
          <w:noProof/>
          <w:sz w:val="24"/>
        </w:rPr>
      </w:pPr>
      <w:r w:rsidRPr="00E34234">
        <w:rPr>
          <w:rFonts w:ascii="Times New Roman" w:hAnsi="Times New Roman" w:cs="Times New Roman"/>
          <w:noProof/>
          <w:sz w:val="24"/>
        </w:rPr>
        <w:t>Member States shall take all the measures necessary to ensure that those penalties are enforced.</w:t>
      </w:r>
      <w:r w:rsidR="00C71689">
        <w:rPr>
          <w:rFonts w:ascii="Times New Roman" w:hAnsi="Times New Roman" w:cs="Times New Roman"/>
          <w:noProof/>
          <w:sz w:val="24"/>
        </w:rPr>
        <w:t>’</w:t>
      </w:r>
      <w:r w:rsidRPr="00E34234">
        <w:rPr>
          <w:rFonts w:ascii="Times New Roman" w:hAnsi="Times New Roman" w:cs="Times New Roman"/>
          <w:noProof/>
          <w:sz w:val="24"/>
        </w:rPr>
        <w:t xml:space="preserve"> </w:t>
      </w:r>
    </w:p>
    <w:p w14:paraId="123C12DB" w14:textId="77777777" w:rsidR="00F87345" w:rsidRPr="007A270B" w:rsidRDefault="00F87345" w:rsidP="00F87345">
      <w:pPr>
        <w:shd w:val="clear" w:color="auto" w:fill="FFFFFF"/>
        <w:spacing w:before="240"/>
        <w:rPr>
          <w:noProof/>
        </w:rPr>
      </w:pPr>
      <w:r>
        <w:rPr>
          <w:noProof/>
        </w:rPr>
        <w:t xml:space="preserve">(37) </w:t>
      </w:r>
      <w:r w:rsidR="000935C8">
        <w:rPr>
          <w:noProof/>
        </w:rPr>
        <w:tab/>
      </w:r>
      <w:r>
        <w:rPr>
          <w:noProof/>
        </w:rPr>
        <w:t xml:space="preserve">Annex </w:t>
      </w:r>
      <w:r w:rsidRPr="007A270B">
        <w:rPr>
          <w:noProof/>
        </w:rPr>
        <w:t>II</w:t>
      </w:r>
      <w:r>
        <w:rPr>
          <w:noProof/>
        </w:rPr>
        <w:t>B</w:t>
      </w:r>
      <w:r w:rsidRPr="007A270B">
        <w:rPr>
          <w:noProof/>
        </w:rPr>
        <w:t>, as set out in the Annex to this Directive, is inserted.</w:t>
      </w:r>
    </w:p>
    <w:p w14:paraId="25AC0A64" w14:textId="77777777" w:rsidR="00573A63" w:rsidRPr="00CD09AF" w:rsidRDefault="00573A63" w:rsidP="00660ED3">
      <w:pPr>
        <w:pStyle w:val="Titrearticle"/>
        <w:keepLines/>
        <w:rPr>
          <w:noProof/>
        </w:rPr>
      </w:pPr>
      <w:r w:rsidRPr="00AC7E92">
        <w:rPr>
          <w:noProof/>
        </w:rPr>
        <w:t xml:space="preserve">Article </w:t>
      </w:r>
      <w:r w:rsidR="00C64783" w:rsidRPr="00CD09AF">
        <w:rPr>
          <w:noProof/>
        </w:rPr>
        <w:t>3</w:t>
      </w:r>
    </w:p>
    <w:p w14:paraId="541765F5" w14:textId="77777777" w:rsidR="00C71689" w:rsidRPr="00C71689" w:rsidRDefault="00C71689" w:rsidP="00604CD6">
      <w:pPr>
        <w:pStyle w:val="Articletitre"/>
        <w:rPr>
          <w:noProof/>
        </w:rPr>
      </w:pPr>
      <w:r w:rsidRPr="00C71689">
        <w:rPr>
          <w:noProof/>
        </w:rPr>
        <w:t>Transposition</w:t>
      </w:r>
    </w:p>
    <w:p w14:paraId="20AF5AB9" w14:textId="77777777" w:rsidR="00573A63" w:rsidRPr="00C71689" w:rsidRDefault="00573A63" w:rsidP="00214D35">
      <w:pPr>
        <w:pStyle w:val="ManualNumPar1"/>
        <w:ind w:left="851" w:firstLine="0"/>
        <w:rPr>
          <w:noProof/>
        </w:rPr>
      </w:pPr>
      <w:r w:rsidRPr="00C71689">
        <w:rPr>
          <w:noProof/>
        </w:rPr>
        <w:t>1.</w:t>
      </w:r>
      <w:r w:rsidRPr="00C71689">
        <w:rPr>
          <w:noProof/>
        </w:rPr>
        <w:tab/>
        <w:t xml:space="preserve">Member States shall adopt and publish, by </w:t>
      </w:r>
      <w:r w:rsidR="000A37F8" w:rsidRPr="00C71689">
        <w:rPr>
          <w:noProof/>
        </w:rPr>
        <w:t>[</w:t>
      </w:r>
      <w:r w:rsidR="004757C1">
        <w:rPr>
          <w:noProof/>
        </w:rPr>
        <w:t xml:space="preserve">PO: </w:t>
      </w:r>
      <w:r w:rsidR="000A37F8" w:rsidRPr="00C71689">
        <w:rPr>
          <w:i/>
          <w:noProof/>
        </w:rPr>
        <w:t xml:space="preserve">the last day of the </w:t>
      </w:r>
      <w:r w:rsidR="00F87345">
        <w:rPr>
          <w:i/>
          <w:noProof/>
        </w:rPr>
        <w:t>24</w:t>
      </w:r>
      <w:r w:rsidR="00F87345" w:rsidRPr="00B12B2B">
        <w:rPr>
          <w:i/>
          <w:noProof/>
          <w:vertAlign w:val="superscript"/>
        </w:rPr>
        <w:t>th</w:t>
      </w:r>
      <w:r w:rsidR="00F87345">
        <w:rPr>
          <w:i/>
          <w:noProof/>
        </w:rPr>
        <w:t xml:space="preserve"> </w:t>
      </w:r>
      <w:r w:rsidR="00F87345" w:rsidRPr="00C71689">
        <w:rPr>
          <w:i/>
          <w:noProof/>
        </w:rPr>
        <w:t>month after the date of entry into force</w:t>
      </w:r>
      <w:r w:rsidR="00F87345">
        <w:rPr>
          <w:i/>
          <w:noProof/>
        </w:rPr>
        <w:t xml:space="preserve"> of this amending Directive</w:t>
      </w:r>
      <w:r w:rsidR="000A37F8" w:rsidRPr="00C71689">
        <w:rPr>
          <w:noProof/>
        </w:rPr>
        <w:t xml:space="preserve">] </w:t>
      </w:r>
      <w:r w:rsidRPr="00C71689">
        <w:rPr>
          <w:noProof/>
        </w:rPr>
        <w:t>at the latest, the laws, regulations and administrative provisions necessary to comply with this Directive. They shall forthwith communicate to the Commission the text of those provisions.</w:t>
      </w:r>
    </w:p>
    <w:p w14:paraId="02382235" w14:textId="77777777" w:rsidR="00573A63" w:rsidRPr="00C71689" w:rsidRDefault="00573A63" w:rsidP="00214D35">
      <w:pPr>
        <w:pStyle w:val="Text1"/>
        <w:ind w:left="851"/>
        <w:rPr>
          <w:noProof/>
        </w:rPr>
      </w:pPr>
      <w:r w:rsidRPr="00C71689">
        <w:rPr>
          <w:noProof/>
        </w:rPr>
        <w:t xml:space="preserve">They shall apply those provisions from </w:t>
      </w:r>
      <w:r w:rsidR="000A37F8" w:rsidRPr="00C71689">
        <w:rPr>
          <w:noProof/>
        </w:rPr>
        <w:t>[</w:t>
      </w:r>
      <w:r w:rsidR="004757C1">
        <w:rPr>
          <w:noProof/>
        </w:rPr>
        <w:t xml:space="preserve">PO: </w:t>
      </w:r>
      <w:r w:rsidR="00F87345">
        <w:rPr>
          <w:i/>
          <w:noProof/>
        </w:rPr>
        <w:t>the last day of the 30</w:t>
      </w:r>
      <w:r w:rsidR="00F87345" w:rsidRPr="00B12B2B">
        <w:rPr>
          <w:i/>
          <w:noProof/>
          <w:vertAlign w:val="superscript"/>
        </w:rPr>
        <w:t>th</w:t>
      </w:r>
      <w:r w:rsidR="00F87345">
        <w:rPr>
          <w:i/>
          <w:noProof/>
        </w:rPr>
        <w:t xml:space="preserve"> month </w:t>
      </w:r>
      <w:r w:rsidR="00F87345" w:rsidRPr="00C71689">
        <w:rPr>
          <w:i/>
          <w:noProof/>
        </w:rPr>
        <w:t>after the date of entry into force</w:t>
      </w:r>
      <w:r w:rsidR="00F87345">
        <w:rPr>
          <w:i/>
          <w:noProof/>
        </w:rPr>
        <w:t xml:space="preserve"> of this amending Directive</w:t>
      </w:r>
      <w:r w:rsidR="000A37F8" w:rsidRPr="00C71689">
        <w:rPr>
          <w:noProof/>
        </w:rPr>
        <w:t>]</w:t>
      </w:r>
      <w:r w:rsidRPr="00C71689">
        <w:rPr>
          <w:noProof/>
        </w:rPr>
        <w:t>.</w:t>
      </w:r>
    </w:p>
    <w:p w14:paraId="3E850B2B" w14:textId="77777777" w:rsidR="00573A63" w:rsidRDefault="00573A63" w:rsidP="00214D35">
      <w:pPr>
        <w:pStyle w:val="Text1"/>
        <w:ind w:left="851"/>
        <w:contextualSpacing/>
        <w:rPr>
          <w:noProof/>
        </w:rPr>
      </w:pPr>
      <w:r w:rsidRPr="00C71689">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110A4825" w14:textId="77777777" w:rsidR="00214D35" w:rsidRPr="00C71689" w:rsidRDefault="00214D35" w:rsidP="00214D35">
      <w:pPr>
        <w:pStyle w:val="Text1"/>
        <w:ind w:left="851"/>
        <w:contextualSpacing/>
        <w:rPr>
          <w:noProof/>
        </w:rPr>
      </w:pPr>
    </w:p>
    <w:p w14:paraId="527E5D8D" w14:textId="77777777" w:rsidR="00573A63" w:rsidRDefault="00573A63" w:rsidP="00214D35">
      <w:pPr>
        <w:pStyle w:val="ManualNumPar1"/>
        <w:ind w:left="851" w:firstLine="0"/>
        <w:contextualSpacing/>
        <w:rPr>
          <w:noProof/>
        </w:rPr>
      </w:pPr>
      <w:r w:rsidRPr="00C71689">
        <w:rPr>
          <w:noProof/>
        </w:rPr>
        <w:t>2.</w:t>
      </w:r>
      <w:r w:rsidRPr="00C71689">
        <w:rPr>
          <w:noProof/>
        </w:rPr>
        <w:tab/>
        <w:t>Member States shall communicate to the Commission the text of the main provisions of national law which they adopt in the field covered by this Directive.</w:t>
      </w:r>
    </w:p>
    <w:p w14:paraId="54D7C735" w14:textId="77777777" w:rsidR="0027522A" w:rsidRPr="0027522A" w:rsidRDefault="0027522A" w:rsidP="0027522A">
      <w:pPr>
        <w:pStyle w:val="Text1"/>
        <w:rPr>
          <w:noProof/>
        </w:rPr>
      </w:pPr>
    </w:p>
    <w:p w14:paraId="7502260D" w14:textId="77777777" w:rsidR="00C64783" w:rsidRPr="00C71689" w:rsidRDefault="00C64783" w:rsidP="00175EBD">
      <w:pPr>
        <w:pStyle w:val="Titrearticle"/>
        <w:spacing w:before="0"/>
        <w:rPr>
          <w:noProof/>
          <w:lang w:val="en-IE"/>
        </w:rPr>
      </w:pPr>
      <w:r w:rsidRPr="00C71689">
        <w:rPr>
          <w:noProof/>
          <w:lang w:val="en-IE"/>
        </w:rPr>
        <w:t xml:space="preserve">Article </w:t>
      </w:r>
      <w:r w:rsidRPr="00C71689">
        <w:rPr>
          <w:noProof/>
        </w:rPr>
        <w:t>4</w:t>
      </w:r>
      <w:r w:rsidRPr="00C71689">
        <w:rPr>
          <w:noProof/>
          <w:lang w:val="en-IE"/>
        </w:rPr>
        <w:t xml:space="preserve"> </w:t>
      </w:r>
    </w:p>
    <w:p w14:paraId="6E7AACD7" w14:textId="77777777" w:rsidR="00C64783" w:rsidRPr="00CE1DB6" w:rsidRDefault="00C64783" w:rsidP="00175EBD">
      <w:pPr>
        <w:pStyle w:val="Articletitre"/>
        <w:rPr>
          <w:noProof/>
        </w:rPr>
      </w:pPr>
      <w:r w:rsidRPr="00C71689">
        <w:rPr>
          <w:noProof/>
        </w:rPr>
        <w:t>Reporting</w:t>
      </w:r>
      <w:r w:rsidRPr="00CE1DB6">
        <w:rPr>
          <w:noProof/>
        </w:rPr>
        <w:t xml:space="preserve"> and review </w:t>
      </w:r>
    </w:p>
    <w:p w14:paraId="7345B880" w14:textId="6049211B" w:rsidR="00214D35" w:rsidRDefault="001969F8" w:rsidP="001969F8">
      <w:pPr>
        <w:pStyle w:val="ManualNumPar1"/>
        <w:rPr>
          <w:noProof/>
          <w:lang w:val="en-IE"/>
        </w:rPr>
      </w:pPr>
      <w:r w:rsidRPr="001969F8">
        <w:t>1.</w:t>
      </w:r>
      <w:r w:rsidRPr="001969F8">
        <w:tab/>
      </w:r>
      <w:r w:rsidR="00C64783" w:rsidRPr="00291BDB">
        <w:rPr>
          <w:noProof/>
          <w:lang w:val="en-IE"/>
        </w:rPr>
        <w:t xml:space="preserve">The Commission shall, </w:t>
      </w:r>
      <w:r w:rsidR="00F87345">
        <w:rPr>
          <w:noProof/>
          <w:lang w:val="en-IE"/>
        </w:rPr>
        <w:t>by</w:t>
      </w:r>
      <w:r w:rsidR="00C64783" w:rsidRPr="00291BDB">
        <w:rPr>
          <w:noProof/>
          <w:lang w:val="en-IE"/>
        </w:rPr>
        <w:t xml:space="preserve"> </w:t>
      </w:r>
      <w:r w:rsidR="00C64783">
        <w:rPr>
          <w:noProof/>
          <w:lang w:val="en-IE"/>
        </w:rPr>
        <w:t>[</w:t>
      </w:r>
      <w:r w:rsidR="004757C1">
        <w:rPr>
          <w:noProof/>
          <w:lang w:val="en-IE"/>
        </w:rPr>
        <w:t xml:space="preserve">PO: </w:t>
      </w:r>
      <w:r w:rsidR="0058331D">
        <w:rPr>
          <w:i/>
          <w:noProof/>
          <w:lang w:val="en-IE"/>
        </w:rPr>
        <w:t>t</w:t>
      </w:r>
      <w:r w:rsidR="00C64783" w:rsidRPr="00CD3355">
        <w:rPr>
          <w:i/>
          <w:noProof/>
          <w:lang w:val="en-IE"/>
        </w:rPr>
        <w:t xml:space="preserve">he date </w:t>
      </w:r>
      <w:r w:rsidR="00F87345">
        <w:rPr>
          <w:i/>
          <w:noProof/>
          <w:lang w:val="en-IE"/>
        </w:rPr>
        <w:t xml:space="preserve">five years after </w:t>
      </w:r>
      <w:r w:rsidR="00C64783" w:rsidRPr="008354A1">
        <w:rPr>
          <w:rFonts w:eastAsia="Calibri"/>
          <w:noProof/>
          <w:lang w:eastAsia="ja-JP"/>
        </w:rPr>
        <w:t xml:space="preserve">the </w:t>
      </w:r>
      <w:r w:rsidR="00C64783" w:rsidRPr="009F66E6">
        <w:rPr>
          <w:rFonts w:eastAsia="Calibri"/>
          <w:i/>
          <w:noProof/>
          <w:lang w:eastAsia="ja-JP"/>
        </w:rPr>
        <w:t>end of the transposition period</w:t>
      </w:r>
      <w:r w:rsidR="00C64783" w:rsidRPr="009F66E6" w:rsidDel="009F66E6">
        <w:rPr>
          <w:i/>
          <w:noProof/>
          <w:lang w:val="en-IE"/>
        </w:rPr>
        <w:t xml:space="preserve"> </w:t>
      </w:r>
      <w:r w:rsidR="00C64783" w:rsidRPr="00CD3355">
        <w:rPr>
          <w:i/>
          <w:noProof/>
          <w:lang w:val="en-IE"/>
        </w:rPr>
        <w:t>of this Directive</w:t>
      </w:r>
      <w:r w:rsidR="00C64783">
        <w:rPr>
          <w:noProof/>
          <w:lang w:val="en-IE"/>
        </w:rPr>
        <w:t>]</w:t>
      </w:r>
      <w:r w:rsidR="00C64783" w:rsidRPr="00291BDB">
        <w:rPr>
          <w:noProof/>
          <w:lang w:val="en-IE"/>
        </w:rPr>
        <w:t xml:space="preserve">, </w:t>
      </w:r>
      <w:r w:rsidR="00C64783">
        <w:rPr>
          <w:noProof/>
          <w:lang w:val="en-IE"/>
        </w:rPr>
        <w:t>carry out an evaluation of this Directive and present</w:t>
      </w:r>
      <w:r w:rsidR="00C64783" w:rsidRPr="00291BDB">
        <w:rPr>
          <w:noProof/>
          <w:lang w:val="en-IE"/>
        </w:rPr>
        <w:t xml:space="preserve"> a </w:t>
      </w:r>
      <w:r w:rsidR="0058331D">
        <w:rPr>
          <w:noProof/>
          <w:lang w:val="en-IE"/>
        </w:rPr>
        <w:t>r</w:t>
      </w:r>
      <w:r w:rsidR="00C64783" w:rsidRPr="00291BDB">
        <w:rPr>
          <w:noProof/>
          <w:lang w:val="en-IE"/>
        </w:rPr>
        <w:t>eport</w:t>
      </w:r>
      <w:r w:rsidR="00C64783">
        <w:rPr>
          <w:noProof/>
          <w:lang w:val="en-IE"/>
        </w:rPr>
        <w:t xml:space="preserve"> on the findings to the European Parliament, </w:t>
      </w:r>
      <w:r w:rsidR="00F87345">
        <w:rPr>
          <w:noProof/>
          <w:lang w:val="en-IE"/>
        </w:rPr>
        <w:t xml:space="preserve">to </w:t>
      </w:r>
      <w:r w:rsidR="00C64783">
        <w:rPr>
          <w:noProof/>
          <w:lang w:val="en-IE"/>
        </w:rPr>
        <w:t xml:space="preserve">the Council and </w:t>
      </w:r>
      <w:r w:rsidR="00F87345">
        <w:rPr>
          <w:noProof/>
          <w:lang w:val="en-IE"/>
        </w:rPr>
        <w:t xml:space="preserve">to </w:t>
      </w:r>
      <w:r w:rsidR="00C64783">
        <w:rPr>
          <w:noProof/>
          <w:lang w:val="en-IE"/>
        </w:rPr>
        <w:t xml:space="preserve">the European Economic and Social </w:t>
      </w:r>
      <w:r w:rsidR="00F87345">
        <w:rPr>
          <w:noProof/>
          <w:lang w:val="en-IE"/>
        </w:rPr>
        <w:t>C</w:t>
      </w:r>
      <w:r w:rsidR="00C64783">
        <w:rPr>
          <w:noProof/>
          <w:lang w:val="en-IE"/>
        </w:rPr>
        <w:t>ommittee.</w:t>
      </w:r>
    </w:p>
    <w:p w14:paraId="54C40534" w14:textId="77777777" w:rsidR="00214D35" w:rsidRPr="00214D35" w:rsidRDefault="00214D35" w:rsidP="00214D35">
      <w:pPr>
        <w:pStyle w:val="Text1"/>
        <w:contextualSpacing/>
        <w:rPr>
          <w:noProof/>
          <w:lang w:val="en-IE"/>
        </w:rPr>
      </w:pPr>
    </w:p>
    <w:p w14:paraId="7F087BB8" w14:textId="77777777" w:rsidR="000A37F8" w:rsidRDefault="000A37F8" w:rsidP="00214D35">
      <w:pPr>
        <w:pStyle w:val="Text1"/>
        <w:tabs>
          <w:tab w:val="num" w:pos="851"/>
        </w:tabs>
        <w:ind w:left="851"/>
        <w:contextualSpacing/>
        <w:rPr>
          <w:noProof/>
          <w:lang w:val="en-IE"/>
        </w:rPr>
      </w:pPr>
      <w:r w:rsidRPr="000A37F8">
        <w:rPr>
          <w:noProof/>
          <w:lang w:val="en-IE"/>
        </w:rPr>
        <w:t xml:space="preserve">Member States shall provide the Commission with the information necessary for the preparation of the report, </w:t>
      </w:r>
      <w:r>
        <w:rPr>
          <w:noProof/>
          <w:lang w:val="en-IE"/>
        </w:rPr>
        <w:t xml:space="preserve">in particular by providing </w:t>
      </w:r>
      <w:r w:rsidR="00681677">
        <w:rPr>
          <w:noProof/>
          <w:lang w:val="en-IE"/>
        </w:rPr>
        <w:t>data related</w:t>
      </w:r>
      <w:r w:rsidR="0024202B">
        <w:rPr>
          <w:noProof/>
          <w:lang w:val="en-IE"/>
        </w:rPr>
        <w:t xml:space="preserve"> to</w:t>
      </w:r>
      <w:r w:rsidR="00F87345">
        <w:rPr>
          <w:noProof/>
          <w:lang w:val="en-IE"/>
        </w:rPr>
        <w:t xml:space="preserve"> paragraph </w:t>
      </w:r>
      <w:r w:rsidR="0024202B">
        <w:rPr>
          <w:noProof/>
          <w:lang w:val="en-IE"/>
        </w:rPr>
        <w:t>2</w:t>
      </w:r>
      <w:r w:rsidRPr="000A37F8">
        <w:rPr>
          <w:noProof/>
          <w:lang w:val="en-IE"/>
        </w:rPr>
        <w:t>.</w:t>
      </w:r>
    </w:p>
    <w:p w14:paraId="037F4E43" w14:textId="77777777" w:rsidR="00214D35" w:rsidRPr="000A37F8" w:rsidRDefault="00214D35" w:rsidP="00214D35">
      <w:pPr>
        <w:pStyle w:val="Text1"/>
        <w:tabs>
          <w:tab w:val="num" w:pos="851"/>
        </w:tabs>
        <w:ind w:left="851"/>
        <w:contextualSpacing/>
        <w:rPr>
          <w:noProof/>
          <w:lang w:val="en-IE"/>
        </w:rPr>
      </w:pPr>
    </w:p>
    <w:p w14:paraId="45EA231A" w14:textId="7360B693" w:rsidR="00C64783" w:rsidRPr="00085BB8" w:rsidRDefault="001969F8" w:rsidP="001969F8">
      <w:pPr>
        <w:pStyle w:val="ManualNumPar1"/>
        <w:rPr>
          <w:noProof/>
          <w:lang w:val="en-IE"/>
        </w:rPr>
      </w:pPr>
      <w:r w:rsidRPr="001969F8">
        <w:t>2.</w:t>
      </w:r>
      <w:r w:rsidRPr="001969F8">
        <w:tab/>
      </w:r>
      <w:r w:rsidR="00C64783" w:rsidRPr="00085BB8">
        <w:rPr>
          <w:noProof/>
          <w:lang w:val="en-IE"/>
        </w:rPr>
        <w:t xml:space="preserve">The report </w:t>
      </w:r>
      <w:r w:rsidR="00C64783">
        <w:rPr>
          <w:noProof/>
          <w:lang w:val="en-IE"/>
        </w:rPr>
        <w:t xml:space="preserve">of the Commission </w:t>
      </w:r>
      <w:r w:rsidR="00C64783" w:rsidRPr="00085BB8">
        <w:rPr>
          <w:noProof/>
          <w:lang w:val="en-IE"/>
        </w:rPr>
        <w:t>shall evaluate</w:t>
      </w:r>
      <w:r w:rsidR="00C64783">
        <w:rPr>
          <w:noProof/>
          <w:lang w:val="en-IE"/>
        </w:rPr>
        <w:t>, amongst others, the following:</w:t>
      </w:r>
    </w:p>
    <w:p w14:paraId="42517037" w14:textId="71F5879E" w:rsidR="00E53B1F" w:rsidRPr="0054112B" w:rsidRDefault="001969F8" w:rsidP="001969F8">
      <w:pPr>
        <w:pStyle w:val="Point1"/>
        <w:rPr>
          <w:noProof/>
          <w:lang w:val="en-IE"/>
        </w:rPr>
      </w:pPr>
      <w:r w:rsidRPr="001969F8">
        <w:t>(a)</w:t>
      </w:r>
      <w:r w:rsidRPr="001969F8">
        <w:tab/>
      </w:r>
      <w:r w:rsidR="000A37F8" w:rsidRPr="0054112B">
        <w:rPr>
          <w:noProof/>
          <w:lang w:val="en-IE"/>
        </w:rPr>
        <w:t>the practical experience with the us</w:t>
      </w:r>
      <w:r w:rsidR="00E53B1F" w:rsidRPr="0054112B">
        <w:rPr>
          <w:noProof/>
          <w:lang w:val="en-IE"/>
        </w:rPr>
        <w:t>e of</w:t>
      </w:r>
      <w:r w:rsidR="00E97234">
        <w:rPr>
          <w:noProof/>
          <w:lang w:val="en-IE"/>
        </w:rPr>
        <w:t xml:space="preserve"> </w:t>
      </w:r>
      <w:r w:rsidR="00BB16EB">
        <w:rPr>
          <w:noProof/>
          <w:lang w:val="en-IE"/>
        </w:rPr>
        <w:t>the</w:t>
      </w:r>
      <w:r w:rsidR="00E53B1F" w:rsidRPr="0054112B">
        <w:rPr>
          <w:noProof/>
          <w:lang w:val="en-IE"/>
        </w:rPr>
        <w:t xml:space="preserve"> </w:t>
      </w:r>
      <w:r w:rsidR="0058331D">
        <w:rPr>
          <w:noProof/>
          <w:lang w:val="en-IE"/>
        </w:rPr>
        <w:t>EU C</w:t>
      </w:r>
      <w:r w:rsidR="000A37F8" w:rsidRPr="0054112B">
        <w:rPr>
          <w:noProof/>
          <w:lang w:val="en-IE"/>
        </w:rPr>
        <w:t xml:space="preserve">ompany </w:t>
      </w:r>
      <w:r w:rsidR="0058331D">
        <w:rPr>
          <w:noProof/>
          <w:lang w:val="en-IE"/>
        </w:rPr>
        <w:t>C</w:t>
      </w:r>
      <w:r w:rsidR="00E53B1F" w:rsidRPr="0054112B">
        <w:rPr>
          <w:noProof/>
          <w:lang w:val="en-IE"/>
        </w:rPr>
        <w:t>ertificate</w:t>
      </w:r>
      <w:r w:rsidR="00E45E6A" w:rsidRPr="0054112B">
        <w:rPr>
          <w:noProof/>
          <w:lang w:val="en-IE"/>
        </w:rPr>
        <w:t>;</w:t>
      </w:r>
    </w:p>
    <w:p w14:paraId="494ACAAB" w14:textId="62EB24F4" w:rsidR="00E53B1F" w:rsidRPr="0054112B" w:rsidRDefault="001969F8" w:rsidP="001969F8">
      <w:pPr>
        <w:pStyle w:val="Point1"/>
        <w:rPr>
          <w:noProof/>
          <w:lang w:val="en-IE"/>
        </w:rPr>
      </w:pPr>
      <w:r w:rsidRPr="001969F8">
        <w:t>(b)</w:t>
      </w:r>
      <w:r w:rsidRPr="001969F8">
        <w:tab/>
      </w:r>
      <w:r w:rsidR="000A37F8" w:rsidRPr="0054112B">
        <w:rPr>
          <w:noProof/>
          <w:lang w:val="en-IE"/>
        </w:rPr>
        <w:t xml:space="preserve">the </w:t>
      </w:r>
      <w:r w:rsidR="00E53B1F" w:rsidRPr="0054112B">
        <w:rPr>
          <w:noProof/>
          <w:lang w:val="en-IE"/>
        </w:rPr>
        <w:t>practical</w:t>
      </w:r>
      <w:r w:rsidR="000A37F8" w:rsidRPr="0054112B">
        <w:rPr>
          <w:noProof/>
          <w:lang w:val="en-IE"/>
        </w:rPr>
        <w:t xml:space="preserve"> </w:t>
      </w:r>
      <w:r w:rsidR="00E53B1F" w:rsidRPr="0054112B">
        <w:rPr>
          <w:noProof/>
          <w:lang w:val="en-IE"/>
        </w:rPr>
        <w:t xml:space="preserve">experience with the </w:t>
      </w:r>
      <w:r w:rsidR="00656170">
        <w:rPr>
          <w:noProof/>
          <w:lang w:val="en-IE"/>
        </w:rPr>
        <w:t xml:space="preserve">use of </w:t>
      </w:r>
      <w:r w:rsidR="000A37F8" w:rsidRPr="0054112B">
        <w:rPr>
          <w:noProof/>
          <w:lang w:val="en-IE"/>
        </w:rPr>
        <w:t>Digital EU power of attorney</w:t>
      </w:r>
      <w:r w:rsidR="00E45E6A" w:rsidRPr="0054112B">
        <w:rPr>
          <w:noProof/>
          <w:lang w:val="en-IE"/>
        </w:rPr>
        <w:t>;</w:t>
      </w:r>
    </w:p>
    <w:p w14:paraId="554DD00C" w14:textId="54EB5365" w:rsidR="0001208A" w:rsidRDefault="001969F8" w:rsidP="001969F8">
      <w:pPr>
        <w:pStyle w:val="Point1"/>
        <w:rPr>
          <w:noProof/>
          <w:lang w:val="en-IE"/>
        </w:rPr>
      </w:pPr>
      <w:r w:rsidRPr="001969F8">
        <w:t>(c)</w:t>
      </w:r>
      <w:r w:rsidRPr="001969F8">
        <w:tab/>
      </w:r>
      <w:r w:rsidR="00F87345">
        <w:rPr>
          <w:noProof/>
          <w:lang w:val="en-IE"/>
        </w:rPr>
        <w:t>t</w:t>
      </w:r>
      <w:r w:rsidR="000A37F8" w:rsidRPr="0054112B">
        <w:rPr>
          <w:noProof/>
          <w:lang w:val="en-IE"/>
        </w:rPr>
        <w:t xml:space="preserve">he practical </w:t>
      </w:r>
      <w:r w:rsidR="00E53B1F" w:rsidRPr="0054112B">
        <w:rPr>
          <w:noProof/>
          <w:lang w:val="en-IE"/>
        </w:rPr>
        <w:t xml:space="preserve">experience with </w:t>
      </w:r>
      <w:r w:rsidR="000A37F8" w:rsidRPr="0054112B">
        <w:rPr>
          <w:noProof/>
          <w:lang w:val="en-IE"/>
        </w:rPr>
        <w:t xml:space="preserve">the </w:t>
      </w:r>
      <w:r w:rsidR="00E53B1F" w:rsidRPr="0054112B">
        <w:rPr>
          <w:noProof/>
          <w:lang w:val="en-IE"/>
        </w:rPr>
        <w:t>reduction of formalities</w:t>
      </w:r>
      <w:r w:rsidR="000A37F8" w:rsidRPr="0054112B">
        <w:rPr>
          <w:noProof/>
          <w:lang w:val="en-IE"/>
        </w:rPr>
        <w:t xml:space="preserve"> in cross-border situations for companies</w:t>
      </w:r>
      <w:r w:rsidR="00D07322">
        <w:rPr>
          <w:noProof/>
          <w:lang w:val="en-IE"/>
        </w:rPr>
        <w:t>.</w:t>
      </w:r>
    </w:p>
    <w:p w14:paraId="2533329B" w14:textId="77777777" w:rsidR="00936BDC" w:rsidRDefault="00936BDC" w:rsidP="001B7AD4">
      <w:pPr>
        <w:rPr>
          <w:noProof/>
          <w:lang w:val="en-IE"/>
        </w:rPr>
      </w:pPr>
    </w:p>
    <w:p w14:paraId="38291A68" w14:textId="65A06263" w:rsidR="00186414" w:rsidRPr="00BB0DE0" w:rsidRDefault="001969F8" w:rsidP="001969F8">
      <w:pPr>
        <w:pStyle w:val="ManualNumPar1"/>
        <w:rPr>
          <w:noProof/>
          <w:lang w:val="en-IE"/>
        </w:rPr>
      </w:pPr>
      <w:r w:rsidRPr="001969F8">
        <w:t>3.</w:t>
      </w:r>
      <w:r w:rsidRPr="001969F8">
        <w:tab/>
      </w:r>
      <w:r w:rsidR="00186414" w:rsidRPr="00BB0DE0">
        <w:rPr>
          <w:noProof/>
          <w:lang w:val="en-IE"/>
        </w:rPr>
        <w:t xml:space="preserve">The Commission shall also assess </w:t>
      </w:r>
    </w:p>
    <w:p w14:paraId="1BE6E72B" w14:textId="30F2973A" w:rsidR="00186414" w:rsidRDefault="001969F8" w:rsidP="001969F8">
      <w:pPr>
        <w:pStyle w:val="Point1"/>
        <w:rPr>
          <w:noProof/>
          <w:lang w:val="en-IE"/>
        </w:rPr>
      </w:pPr>
      <w:r w:rsidRPr="001969F8">
        <w:t>(a)</w:t>
      </w:r>
      <w:r w:rsidRPr="001969F8">
        <w:tab/>
      </w:r>
      <w:r w:rsidR="00186414">
        <w:rPr>
          <w:noProof/>
          <w:lang w:val="en-IE"/>
        </w:rPr>
        <w:t xml:space="preserve">the potential for cross-sector interoperability between the system of interconnection of business registers and other systems </w:t>
      </w:r>
      <w:r w:rsidR="00186414" w:rsidRPr="00C255A9">
        <w:rPr>
          <w:noProof/>
          <w:lang w:val="en-IE"/>
        </w:rPr>
        <w:t>providing mechanisms for cooperation between competent authorities</w:t>
      </w:r>
      <w:r w:rsidR="00186414">
        <w:rPr>
          <w:noProof/>
          <w:lang w:val="en-IE"/>
        </w:rPr>
        <w:t xml:space="preserve">; </w:t>
      </w:r>
    </w:p>
    <w:p w14:paraId="043F18DE" w14:textId="5A88109F" w:rsidR="00186414" w:rsidRDefault="001969F8" w:rsidP="001969F8">
      <w:pPr>
        <w:pStyle w:val="Point1"/>
        <w:rPr>
          <w:noProof/>
          <w:lang w:val="en-IE"/>
        </w:rPr>
      </w:pPr>
      <w:r w:rsidRPr="001969F8">
        <w:t>(b)</w:t>
      </w:r>
      <w:r w:rsidRPr="001969F8">
        <w:tab/>
      </w:r>
      <w:r w:rsidR="00186414" w:rsidRPr="00BB0DE0">
        <w:rPr>
          <w:noProof/>
          <w:lang w:val="en-IE"/>
        </w:rPr>
        <w:t xml:space="preserve">whether additional measures are needed to </w:t>
      </w:r>
      <w:r w:rsidR="00186414" w:rsidRPr="008A2025">
        <w:rPr>
          <w:noProof/>
        </w:rPr>
        <w:t xml:space="preserve">fully address the needs of persons with disabilities when they </w:t>
      </w:r>
      <w:r w:rsidR="00186414" w:rsidRPr="00BB0DE0">
        <w:rPr>
          <w:iCs/>
          <w:noProof/>
        </w:rPr>
        <w:t>access company information provided by the business registers</w:t>
      </w:r>
      <w:r w:rsidR="00186414" w:rsidRPr="00BB0DE0">
        <w:rPr>
          <w:noProof/>
          <w:lang w:val="en-IE"/>
        </w:rPr>
        <w:t>.</w:t>
      </w:r>
    </w:p>
    <w:p w14:paraId="03A9B1A0" w14:textId="77777777" w:rsidR="00936BDC" w:rsidRPr="00BB0DE0" w:rsidRDefault="00936BDC" w:rsidP="001B7AD4">
      <w:pPr>
        <w:rPr>
          <w:noProof/>
          <w:lang w:val="en-IE"/>
        </w:rPr>
      </w:pPr>
    </w:p>
    <w:p w14:paraId="20100AB6" w14:textId="0FE18A6C" w:rsidR="00C64783" w:rsidRPr="00101507" w:rsidRDefault="001969F8" w:rsidP="001969F8">
      <w:pPr>
        <w:pStyle w:val="ManualNumPar1"/>
        <w:rPr>
          <w:noProof/>
          <w:lang w:val="en-IE"/>
        </w:rPr>
      </w:pPr>
      <w:r w:rsidRPr="001969F8">
        <w:t>4.</w:t>
      </w:r>
      <w:r w:rsidRPr="001969F8">
        <w:tab/>
      </w:r>
      <w:r w:rsidR="00C64783" w:rsidRPr="00AF2174">
        <w:rPr>
          <w:noProof/>
          <w:lang w:val="en-IE"/>
        </w:rPr>
        <w:t>Th</w:t>
      </w:r>
      <w:r w:rsidR="00C64783">
        <w:rPr>
          <w:noProof/>
          <w:lang w:val="en-IE"/>
        </w:rPr>
        <w:t xml:space="preserve">e </w:t>
      </w:r>
      <w:r w:rsidR="00C64783" w:rsidRPr="00AF2174">
        <w:rPr>
          <w:noProof/>
          <w:lang w:val="en-IE"/>
        </w:rPr>
        <w:t xml:space="preserve">report shall be accompanied, if appropriate, by </w:t>
      </w:r>
      <w:r w:rsidR="0058331D">
        <w:rPr>
          <w:noProof/>
          <w:lang w:val="en-IE"/>
        </w:rPr>
        <w:t>a proposal</w:t>
      </w:r>
      <w:r w:rsidR="00C64783" w:rsidRPr="00AF2174">
        <w:rPr>
          <w:noProof/>
          <w:lang w:val="en-IE"/>
        </w:rPr>
        <w:t xml:space="preserve"> for </w:t>
      </w:r>
      <w:r w:rsidR="00F87345">
        <w:rPr>
          <w:noProof/>
          <w:lang w:val="en-IE"/>
        </w:rPr>
        <w:t xml:space="preserve">further </w:t>
      </w:r>
      <w:r w:rsidR="00C64783" w:rsidRPr="00AF2174">
        <w:rPr>
          <w:noProof/>
          <w:lang w:val="en-IE"/>
        </w:rPr>
        <w:t>amend</w:t>
      </w:r>
      <w:r w:rsidR="00C64783">
        <w:rPr>
          <w:noProof/>
          <w:lang w:val="en-IE"/>
        </w:rPr>
        <w:t xml:space="preserve">ment of </w:t>
      </w:r>
      <w:r w:rsidR="00C64783" w:rsidRPr="00936217">
        <w:rPr>
          <w:noProof/>
          <w:lang w:val="en-IE"/>
        </w:rPr>
        <w:t>Directive (EU) 2017/1132</w:t>
      </w:r>
      <w:r w:rsidR="00C64783" w:rsidRPr="00AF2174">
        <w:rPr>
          <w:noProof/>
          <w:lang w:val="en-IE"/>
        </w:rPr>
        <w:t xml:space="preserve">. </w:t>
      </w:r>
    </w:p>
    <w:p w14:paraId="2277BBD0" w14:textId="77777777" w:rsidR="00175EBD" w:rsidRDefault="00573A63" w:rsidP="00101507">
      <w:pPr>
        <w:pStyle w:val="Titrearticle"/>
        <w:rPr>
          <w:noProof/>
        </w:rPr>
      </w:pPr>
      <w:r w:rsidRPr="00AC7E92">
        <w:rPr>
          <w:noProof/>
        </w:rPr>
        <w:t xml:space="preserve">Article </w:t>
      </w:r>
      <w:r w:rsidR="00C64783" w:rsidRPr="00CD09AF">
        <w:rPr>
          <w:noProof/>
        </w:rPr>
        <w:t>5</w:t>
      </w:r>
      <w:r w:rsidR="00175EBD">
        <w:rPr>
          <w:noProof/>
        </w:rPr>
        <w:t xml:space="preserve"> </w:t>
      </w:r>
    </w:p>
    <w:p w14:paraId="666CF047" w14:textId="77777777" w:rsidR="00573A63" w:rsidRPr="00CD09AF" w:rsidRDefault="00175EBD" w:rsidP="00432A4D">
      <w:pPr>
        <w:pStyle w:val="Articletitle"/>
        <w:numPr>
          <w:ilvl w:val="0"/>
          <w:numId w:val="14"/>
        </w:numPr>
        <w:rPr>
          <w:noProof/>
        </w:rPr>
      </w:pPr>
      <w:r>
        <w:rPr>
          <w:noProof/>
        </w:rPr>
        <w:t>Entry into force</w:t>
      </w:r>
    </w:p>
    <w:p w14:paraId="7C4ACC33" w14:textId="77777777" w:rsidR="00573A63" w:rsidRPr="00AC7E92" w:rsidRDefault="00573A63" w:rsidP="000935C8">
      <w:pPr>
        <w:ind w:left="851"/>
        <w:rPr>
          <w:noProof/>
        </w:rPr>
      </w:pPr>
      <w:r w:rsidRPr="00C71689">
        <w:rPr>
          <w:noProof/>
        </w:rPr>
        <w:t xml:space="preserve">This Directive shall enter into force on the </w:t>
      </w:r>
      <w:r w:rsidR="00C64783" w:rsidRPr="00CD09AF">
        <w:rPr>
          <w:noProof/>
        </w:rPr>
        <w:t>twentieth</w:t>
      </w:r>
      <w:r w:rsidRPr="00C71689">
        <w:rPr>
          <w:noProof/>
        </w:rPr>
        <w:t xml:space="preserve"> </w:t>
      </w:r>
      <w:r w:rsidRPr="00AC7E92">
        <w:rPr>
          <w:noProof/>
        </w:rPr>
        <w:t xml:space="preserve">day following that of its publication in the </w:t>
      </w:r>
      <w:r w:rsidRPr="00AC7E92">
        <w:rPr>
          <w:i/>
          <w:noProof/>
        </w:rPr>
        <w:t>Official Journal of the European Union</w:t>
      </w:r>
      <w:r w:rsidRPr="00AC7E92">
        <w:rPr>
          <w:noProof/>
        </w:rPr>
        <w:t>.</w:t>
      </w:r>
    </w:p>
    <w:p w14:paraId="5C88BCC2" w14:textId="77777777" w:rsidR="00573A63" w:rsidRDefault="00C64783" w:rsidP="00660ED3">
      <w:pPr>
        <w:pStyle w:val="Titrearticle"/>
        <w:rPr>
          <w:noProof/>
        </w:rPr>
      </w:pPr>
      <w:r w:rsidRPr="00C71689">
        <w:rPr>
          <w:noProof/>
        </w:rPr>
        <w:t>Article</w:t>
      </w:r>
      <w:r w:rsidRPr="00CD09AF">
        <w:rPr>
          <w:noProof/>
        </w:rPr>
        <w:t xml:space="preserve"> 6</w:t>
      </w:r>
    </w:p>
    <w:p w14:paraId="04BE3E9D" w14:textId="77777777" w:rsidR="00175EBD" w:rsidRPr="00175EBD" w:rsidRDefault="00C71689" w:rsidP="00101507">
      <w:pPr>
        <w:pStyle w:val="Articletitle"/>
        <w:rPr>
          <w:noProof/>
          <w:lang w:val="en-IE"/>
        </w:rPr>
      </w:pPr>
      <w:r w:rsidRPr="00175EBD">
        <w:rPr>
          <w:noProof/>
          <w:lang w:val="en-IE"/>
        </w:rPr>
        <w:t>Addressees</w:t>
      </w:r>
    </w:p>
    <w:p w14:paraId="1174C23D" w14:textId="77777777" w:rsidR="00573A63" w:rsidRDefault="00573A63" w:rsidP="000935C8">
      <w:pPr>
        <w:keepNext/>
        <w:keepLines/>
        <w:ind w:left="1276" w:hanging="425"/>
        <w:rPr>
          <w:noProof/>
        </w:rPr>
      </w:pPr>
      <w:r w:rsidRPr="00AC7E92">
        <w:rPr>
          <w:noProof/>
        </w:rPr>
        <w:t>This Directive is addressed to the Member States.</w:t>
      </w:r>
    </w:p>
    <w:p w14:paraId="474C5049" w14:textId="7C23EE6D" w:rsidR="00573A63" w:rsidRDefault="007C37AF" w:rsidP="00C20952">
      <w:pPr>
        <w:pStyle w:val="Fait"/>
        <w:rPr>
          <w:noProof/>
        </w:rPr>
      </w:pPr>
      <w:r w:rsidRPr="007C37AF">
        <w:t>Done at Brussels,</w:t>
      </w:r>
    </w:p>
    <w:p w14:paraId="55B0EE37" w14:textId="77777777" w:rsidR="00573A63" w:rsidRDefault="00573A63" w:rsidP="00C20952">
      <w:pPr>
        <w:pStyle w:val="Institutionquisigne"/>
        <w:ind w:left="1276" w:hanging="425"/>
        <w:rPr>
          <w:noProof/>
        </w:rPr>
      </w:pPr>
      <w:r w:rsidRPr="00573A63">
        <w:rPr>
          <w:noProof/>
        </w:rPr>
        <w:t>For the European Parliament</w:t>
      </w:r>
      <w:r w:rsidRPr="00573A63">
        <w:rPr>
          <w:noProof/>
        </w:rPr>
        <w:tab/>
        <w:t>For the Council</w:t>
      </w:r>
    </w:p>
    <w:p w14:paraId="7FAF8AD2" w14:textId="77777777" w:rsidR="00836BD4" w:rsidRDefault="00834D5F" w:rsidP="000935C8">
      <w:pPr>
        <w:pStyle w:val="Personnequisigne"/>
        <w:ind w:left="1276" w:hanging="425"/>
        <w:rPr>
          <w:noProof/>
        </w:rPr>
      </w:pPr>
      <w:r>
        <w:rPr>
          <w:noProof/>
        </w:rPr>
        <w:t>The President</w:t>
      </w:r>
      <w:r>
        <w:rPr>
          <w:noProof/>
        </w:rPr>
        <w:tab/>
        <w:t>The President</w:t>
      </w:r>
    </w:p>
    <w:p w14:paraId="0C6D8823" w14:textId="77777777" w:rsidR="00836BD4" w:rsidRDefault="00836BD4" w:rsidP="000935C8">
      <w:pPr>
        <w:ind w:left="1276" w:hanging="425"/>
        <w:rPr>
          <w:noProof/>
        </w:rPr>
        <w:sectPr w:rsidR="00836BD4" w:rsidSect="00B21379">
          <w:footnotePr>
            <w:numRestart w:val="eachSect"/>
          </w:footnotePr>
          <w:pgSz w:w="11907" w:h="16840" w:code="9"/>
          <w:pgMar w:top="1134" w:right="1418" w:bottom="1134" w:left="1418" w:header="709" w:footer="709" w:gutter="0"/>
          <w:cols w:space="708"/>
          <w:docGrid w:linePitch="360"/>
        </w:sectPr>
      </w:pPr>
    </w:p>
    <w:p w14:paraId="610C6547" w14:textId="77777777" w:rsidR="00836BD4" w:rsidRDefault="00836BD4" w:rsidP="00AB6191">
      <w:pPr>
        <w:pStyle w:val="Fichefinanciretitre"/>
        <w:keepNext/>
        <w:rPr>
          <w:noProof/>
        </w:rPr>
      </w:pPr>
      <w:bookmarkStart w:id="64" w:name="_TocB7751C055C4744A28A002AAF436526DF"/>
      <w:r>
        <w:rPr>
          <w:noProof/>
        </w:rPr>
        <w:t>LEGISLATIVE FINANCIAL STATEMENT</w:t>
      </w:r>
      <w:bookmarkEnd w:id="64"/>
    </w:p>
    <w:sdt>
      <w:sdtPr>
        <w:rPr>
          <w:b w:val="0"/>
          <w:noProof/>
          <w:sz w:val="24"/>
        </w:rPr>
        <w:id w:val="435867811"/>
        <w:docPartObj>
          <w:docPartGallery w:val="Table of Contents"/>
          <w:docPartUnique/>
        </w:docPartObj>
      </w:sdtPr>
      <w:sdtEndPr>
        <w:rPr>
          <w:bCs/>
        </w:rPr>
      </w:sdtEndPr>
      <w:sdtContent>
        <w:p w14:paraId="33964855" w14:textId="77777777" w:rsidR="00171097" w:rsidRDefault="00171097">
          <w:pPr>
            <w:pStyle w:val="TOCHeading"/>
            <w:rPr>
              <w:noProof/>
            </w:rPr>
          </w:pPr>
          <w:r>
            <w:rPr>
              <w:noProof/>
            </w:rPr>
            <w:t>Contents</w:t>
          </w:r>
        </w:p>
        <w:p w14:paraId="2761C22B" w14:textId="21FADA1F" w:rsidR="00D30B23" w:rsidRDefault="00171097">
          <w:pPr>
            <w:pStyle w:val="TOC1"/>
            <w:rPr>
              <w:rFonts w:asciiTheme="minorHAnsi" w:eastAsiaTheme="minorEastAsia" w:hAnsiTheme="minorHAnsi" w:cstheme="minorBidi"/>
              <w:noProof/>
              <w:sz w:val="22"/>
              <w:lang w:val="fr-BE" w:eastAsia="fr-BE"/>
            </w:rPr>
          </w:pPr>
          <w:r>
            <w:rPr>
              <w:noProof/>
            </w:rPr>
            <w:fldChar w:fldCharType="begin"/>
          </w:r>
          <w:r>
            <w:rPr>
              <w:noProof/>
            </w:rPr>
            <w:instrText xml:space="preserve"> TOC \o "1-3" \h \z \u </w:instrText>
          </w:r>
          <w:r>
            <w:rPr>
              <w:noProof/>
            </w:rPr>
            <w:fldChar w:fldCharType="separate"/>
          </w:r>
          <w:hyperlink w:anchor="_Toc126826587" w:history="1">
            <w:r w:rsidR="00D30B23" w:rsidRPr="0036567D">
              <w:rPr>
                <w:rStyle w:val="Hyperlink"/>
                <w:noProof/>
              </w:rPr>
              <w:t>1.</w:t>
            </w:r>
            <w:r w:rsidR="00D30B23">
              <w:rPr>
                <w:rFonts w:asciiTheme="minorHAnsi" w:eastAsiaTheme="minorEastAsia" w:hAnsiTheme="minorHAnsi" w:cstheme="minorBidi"/>
                <w:noProof/>
                <w:sz w:val="22"/>
                <w:lang w:val="fr-BE" w:eastAsia="fr-BE"/>
              </w:rPr>
              <w:tab/>
            </w:r>
            <w:r w:rsidR="00D30B23" w:rsidRPr="0036567D">
              <w:rPr>
                <w:rStyle w:val="Hyperlink"/>
                <w:noProof/>
              </w:rPr>
              <w:t>FRAMEWORK OF THE PROPOSAL/INITIATIVE</w:t>
            </w:r>
            <w:r w:rsidR="00D30B23">
              <w:rPr>
                <w:noProof/>
                <w:webHidden/>
              </w:rPr>
              <w:tab/>
            </w:r>
            <w:r w:rsidR="00D30B23">
              <w:rPr>
                <w:noProof/>
                <w:webHidden/>
              </w:rPr>
              <w:fldChar w:fldCharType="begin"/>
            </w:r>
            <w:r w:rsidR="00D30B23">
              <w:rPr>
                <w:noProof/>
                <w:webHidden/>
              </w:rPr>
              <w:instrText xml:space="preserve"> PAGEREF _Toc126826587 \h </w:instrText>
            </w:r>
            <w:r w:rsidR="00D30B23">
              <w:rPr>
                <w:noProof/>
                <w:webHidden/>
              </w:rPr>
            </w:r>
            <w:r w:rsidR="00D30B23">
              <w:rPr>
                <w:noProof/>
                <w:webHidden/>
              </w:rPr>
              <w:fldChar w:fldCharType="separate"/>
            </w:r>
            <w:r w:rsidR="00B97380">
              <w:rPr>
                <w:noProof/>
                <w:webHidden/>
              </w:rPr>
              <w:t>3</w:t>
            </w:r>
            <w:r w:rsidR="00D30B23">
              <w:rPr>
                <w:noProof/>
                <w:webHidden/>
              </w:rPr>
              <w:fldChar w:fldCharType="end"/>
            </w:r>
          </w:hyperlink>
        </w:p>
        <w:p w14:paraId="6C62A490" w14:textId="750F8E0C" w:rsidR="00D30B23" w:rsidRDefault="00850E3C">
          <w:pPr>
            <w:pStyle w:val="TOC2"/>
            <w:rPr>
              <w:rFonts w:asciiTheme="minorHAnsi" w:eastAsiaTheme="minorEastAsia" w:hAnsiTheme="minorHAnsi" w:cstheme="minorBidi"/>
              <w:noProof/>
              <w:sz w:val="22"/>
              <w:lang w:val="fr-BE" w:eastAsia="fr-BE"/>
            </w:rPr>
          </w:pPr>
          <w:hyperlink w:anchor="_Toc126826588" w:history="1">
            <w:r w:rsidR="00D30B23" w:rsidRPr="0036567D">
              <w:rPr>
                <w:rStyle w:val="Hyperlink"/>
                <w:noProof/>
              </w:rPr>
              <w:t>1.1.</w:t>
            </w:r>
            <w:r w:rsidR="00D30B23">
              <w:rPr>
                <w:rFonts w:asciiTheme="minorHAnsi" w:eastAsiaTheme="minorEastAsia" w:hAnsiTheme="minorHAnsi" w:cstheme="minorBidi"/>
                <w:noProof/>
                <w:sz w:val="22"/>
                <w:lang w:val="fr-BE" w:eastAsia="fr-BE"/>
              </w:rPr>
              <w:tab/>
            </w:r>
            <w:r w:rsidR="00D30B23" w:rsidRPr="0036567D">
              <w:rPr>
                <w:rStyle w:val="Hyperlink"/>
                <w:noProof/>
              </w:rPr>
              <w:t>Title of the proposal/initiative</w:t>
            </w:r>
            <w:r w:rsidR="00D30B23">
              <w:rPr>
                <w:noProof/>
                <w:webHidden/>
              </w:rPr>
              <w:tab/>
            </w:r>
            <w:r w:rsidR="00D30B23">
              <w:rPr>
                <w:noProof/>
                <w:webHidden/>
              </w:rPr>
              <w:fldChar w:fldCharType="begin"/>
            </w:r>
            <w:r w:rsidR="00D30B23">
              <w:rPr>
                <w:noProof/>
                <w:webHidden/>
              </w:rPr>
              <w:instrText xml:space="preserve"> PAGEREF _Toc126826588 \h </w:instrText>
            </w:r>
            <w:r w:rsidR="00D30B23">
              <w:rPr>
                <w:noProof/>
                <w:webHidden/>
              </w:rPr>
            </w:r>
            <w:r w:rsidR="00D30B23">
              <w:rPr>
                <w:noProof/>
                <w:webHidden/>
              </w:rPr>
              <w:fldChar w:fldCharType="separate"/>
            </w:r>
            <w:r w:rsidR="00B97380">
              <w:rPr>
                <w:noProof/>
                <w:webHidden/>
              </w:rPr>
              <w:t>3</w:t>
            </w:r>
            <w:r w:rsidR="00D30B23">
              <w:rPr>
                <w:noProof/>
                <w:webHidden/>
              </w:rPr>
              <w:fldChar w:fldCharType="end"/>
            </w:r>
          </w:hyperlink>
        </w:p>
        <w:p w14:paraId="1F502A51" w14:textId="78754474" w:rsidR="00D30B23" w:rsidRDefault="00850E3C">
          <w:pPr>
            <w:pStyle w:val="TOC2"/>
            <w:rPr>
              <w:rFonts w:asciiTheme="minorHAnsi" w:eastAsiaTheme="minorEastAsia" w:hAnsiTheme="minorHAnsi" w:cstheme="minorBidi"/>
              <w:noProof/>
              <w:sz w:val="22"/>
              <w:lang w:val="fr-BE" w:eastAsia="fr-BE"/>
            </w:rPr>
          </w:pPr>
          <w:hyperlink w:anchor="_Toc126826589" w:history="1">
            <w:r w:rsidR="00D30B23" w:rsidRPr="0036567D">
              <w:rPr>
                <w:rStyle w:val="Hyperlink"/>
                <w:noProof/>
              </w:rPr>
              <w:t>1.2.</w:t>
            </w:r>
            <w:r w:rsidR="00D30B23">
              <w:rPr>
                <w:rFonts w:asciiTheme="minorHAnsi" w:eastAsiaTheme="minorEastAsia" w:hAnsiTheme="minorHAnsi" w:cstheme="minorBidi"/>
                <w:noProof/>
                <w:sz w:val="22"/>
                <w:lang w:val="fr-BE" w:eastAsia="fr-BE"/>
              </w:rPr>
              <w:tab/>
            </w:r>
            <w:r w:rsidR="00D30B23" w:rsidRPr="0036567D">
              <w:rPr>
                <w:rStyle w:val="Hyperlink"/>
                <w:noProof/>
              </w:rPr>
              <w:t>Policy area(s) concerned</w:t>
            </w:r>
            <w:r w:rsidR="00D30B23">
              <w:rPr>
                <w:noProof/>
                <w:webHidden/>
              </w:rPr>
              <w:tab/>
            </w:r>
            <w:r w:rsidR="00D30B23">
              <w:rPr>
                <w:noProof/>
                <w:webHidden/>
              </w:rPr>
              <w:fldChar w:fldCharType="begin"/>
            </w:r>
            <w:r w:rsidR="00D30B23">
              <w:rPr>
                <w:noProof/>
                <w:webHidden/>
              </w:rPr>
              <w:instrText xml:space="preserve"> PAGEREF _Toc126826589 \h </w:instrText>
            </w:r>
            <w:r w:rsidR="00D30B23">
              <w:rPr>
                <w:noProof/>
                <w:webHidden/>
              </w:rPr>
            </w:r>
            <w:r w:rsidR="00D30B23">
              <w:rPr>
                <w:noProof/>
                <w:webHidden/>
              </w:rPr>
              <w:fldChar w:fldCharType="separate"/>
            </w:r>
            <w:r w:rsidR="00B97380">
              <w:rPr>
                <w:noProof/>
                <w:webHidden/>
              </w:rPr>
              <w:t>3</w:t>
            </w:r>
            <w:r w:rsidR="00D30B23">
              <w:rPr>
                <w:noProof/>
                <w:webHidden/>
              </w:rPr>
              <w:fldChar w:fldCharType="end"/>
            </w:r>
          </w:hyperlink>
        </w:p>
        <w:p w14:paraId="61741E98" w14:textId="59F34B5B" w:rsidR="00D30B23" w:rsidRDefault="00850E3C">
          <w:pPr>
            <w:pStyle w:val="TOC2"/>
            <w:rPr>
              <w:rFonts w:asciiTheme="minorHAnsi" w:eastAsiaTheme="minorEastAsia" w:hAnsiTheme="minorHAnsi" w:cstheme="minorBidi"/>
              <w:noProof/>
              <w:sz w:val="22"/>
              <w:lang w:val="fr-BE" w:eastAsia="fr-BE"/>
            </w:rPr>
          </w:pPr>
          <w:hyperlink w:anchor="_Toc126826590" w:history="1">
            <w:r w:rsidR="00D30B23" w:rsidRPr="0036567D">
              <w:rPr>
                <w:rStyle w:val="Hyperlink"/>
                <w:noProof/>
              </w:rPr>
              <w:t>1.3.</w:t>
            </w:r>
            <w:r w:rsidR="00D30B23">
              <w:rPr>
                <w:rFonts w:asciiTheme="minorHAnsi" w:eastAsiaTheme="minorEastAsia" w:hAnsiTheme="minorHAnsi" w:cstheme="minorBidi"/>
                <w:noProof/>
                <w:sz w:val="22"/>
                <w:lang w:val="fr-BE" w:eastAsia="fr-BE"/>
              </w:rPr>
              <w:tab/>
            </w:r>
            <w:r w:rsidR="00D30B23" w:rsidRPr="0036567D">
              <w:rPr>
                <w:rStyle w:val="Hyperlink"/>
                <w:noProof/>
              </w:rPr>
              <w:t>The proposal/initiative relates to:</w:t>
            </w:r>
            <w:r w:rsidR="00D30B23">
              <w:rPr>
                <w:noProof/>
                <w:webHidden/>
              </w:rPr>
              <w:tab/>
            </w:r>
            <w:r w:rsidR="00D30B23">
              <w:rPr>
                <w:noProof/>
                <w:webHidden/>
              </w:rPr>
              <w:fldChar w:fldCharType="begin"/>
            </w:r>
            <w:r w:rsidR="00D30B23">
              <w:rPr>
                <w:noProof/>
                <w:webHidden/>
              </w:rPr>
              <w:instrText xml:space="preserve"> PAGEREF _Toc126826590 \h </w:instrText>
            </w:r>
            <w:r w:rsidR="00D30B23">
              <w:rPr>
                <w:noProof/>
                <w:webHidden/>
              </w:rPr>
            </w:r>
            <w:r w:rsidR="00D30B23">
              <w:rPr>
                <w:noProof/>
                <w:webHidden/>
              </w:rPr>
              <w:fldChar w:fldCharType="separate"/>
            </w:r>
            <w:r w:rsidR="00B97380">
              <w:rPr>
                <w:noProof/>
                <w:webHidden/>
              </w:rPr>
              <w:t>3</w:t>
            </w:r>
            <w:r w:rsidR="00D30B23">
              <w:rPr>
                <w:noProof/>
                <w:webHidden/>
              </w:rPr>
              <w:fldChar w:fldCharType="end"/>
            </w:r>
          </w:hyperlink>
        </w:p>
        <w:p w14:paraId="3EC69DC3" w14:textId="14ACA2F7" w:rsidR="00D30B23" w:rsidRDefault="00850E3C">
          <w:pPr>
            <w:pStyle w:val="TOC2"/>
            <w:rPr>
              <w:rFonts w:asciiTheme="minorHAnsi" w:eastAsiaTheme="minorEastAsia" w:hAnsiTheme="minorHAnsi" w:cstheme="minorBidi"/>
              <w:noProof/>
              <w:sz w:val="22"/>
              <w:lang w:val="fr-BE" w:eastAsia="fr-BE"/>
            </w:rPr>
          </w:pPr>
          <w:hyperlink w:anchor="_Toc126826591" w:history="1">
            <w:r w:rsidR="00D30B23" w:rsidRPr="0036567D">
              <w:rPr>
                <w:rStyle w:val="Hyperlink"/>
                <w:noProof/>
              </w:rPr>
              <w:t>1.4.</w:t>
            </w:r>
            <w:r w:rsidR="00D30B23">
              <w:rPr>
                <w:rFonts w:asciiTheme="minorHAnsi" w:eastAsiaTheme="minorEastAsia" w:hAnsiTheme="minorHAnsi" w:cstheme="minorBidi"/>
                <w:noProof/>
                <w:sz w:val="22"/>
                <w:lang w:val="fr-BE" w:eastAsia="fr-BE"/>
              </w:rPr>
              <w:tab/>
            </w:r>
            <w:r w:rsidR="00D30B23" w:rsidRPr="0036567D">
              <w:rPr>
                <w:rStyle w:val="Hyperlink"/>
                <w:noProof/>
              </w:rPr>
              <w:t>Objective(s)</w:t>
            </w:r>
            <w:r w:rsidR="00D30B23">
              <w:rPr>
                <w:noProof/>
                <w:webHidden/>
              </w:rPr>
              <w:tab/>
            </w:r>
            <w:r w:rsidR="00D30B23">
              <w:rPr>
                <w:noProof/>
                <w:webHidden/>
              </w:rPr>
              <w:fldChar w:fldCharType="begin"/>
            </w:r>
            <w:r w:rsidR="00D30B23">
              <w:rPr>
                <w:noProof/>
                <w:webHidden/>
              </w:rPr>
              <w:instrText xml:space="preserve"> PAGEREF _Toc126826591 \h </w:instrText>
            </w:r>
            <w:r w:rsidR="00D30B23">
              <w:rPr>
                <w:noProof/>
                <w:webHidden/>
              </w:rPr>
            </w:r>
            <w:r w:rsidR="00D30B23">
              <w:rPr>
                <w:noProof/>
                <w:webHidden/>
              </w:rPr>
              <w:fldChar w:fldCharType="separate"/>
            </w:r>
            <w:r w:rsidR="00B97380">
              <w:rPr>
                <w:noProof/>
                <w:webHidden/>
              </w:rPr>
              <w:t>3</w:t>
            </w:r>
            <w:r w:rsidR="00D30B23">
              <w:rPr>
                <w:noProof/>
                <w:webHidden/>
              </w:rPr>
              <w:fldChar w:fldCharType="end"/>
            </w:r>
          </w:hyperlink>
        </w:p>
        <w:p w14:paraId="649F14EF" w14:textId="69E69643" w:rsidR="00D30B23" w:rsidRDefault="00850E3C">
          <w:pPr>
            <w:pStyle w:val="TOC3"/>
            <w:rPr>
              <w:rFonts w:asciiTheme="minorHAnsi" w:eastAsiaTheme="minorEastAsia" w:hAnsiTheme="minorHAnsi" w:cstheme="minorBidi"/>
              <w:noProof/>
              <w:sz w:val="22"/>
              <w:lang w:val="fr-BE" w:eastAsia="fr-BE"/>
            </w:rPr>
          </w:pPr>
          <w:hyperlink w:anchor="_Toc126826592" w:history="1">
            <w:r w:rsidR="00D30B23" w:rsidRPr="0036567D">
              <w:rPr>
                <w:rStyle w:val="Hyperlink"/>
                <w:noProof/>
              </w:rPr>
              <w:t>1.4.1.</w:t>
            </w:r>
            <w:r w:rsidR="00D30B23">
              <w:rPr>
                <w:rFonts w:asciiTheme="minorHAnsi" w:eastAsiaTheme="minorEastAsia" w:hAnsiTheme="minorHAnsi" w:cstheme="minorBidi"/>
                <w:noProof/>
                <w:sz w:val="22"/>
                <w:lang w:val="fr-BE" w:eastAsia="fr-BE"/>
              </w:rPr>
              <w:tab/>
            </w:r>
            <w:r w:rsidR="00D30B23" w:rsidRPr="0036567D">
              <w:rPr>
                <w:rStyle w:val="Hyperlink"/>
                <w:noProof/>
              </w:rPr>
              <w:t>General objective(s)</w:t>
            </w:r>
            <w:r w:rsidR="00D30B23">
              <w:rPr>
                <w:noProof/>
                <w:webHidden/>
              </w:rPr>
              <w:tab/>
            </w:r>
            <w:r w:rsidR="00D30B23">
              <w:rPr>
                <w:noProof/>
                <w:webHidden/>
              </w:rPr>
              <w:fldChar w:fldCharType="begin"/>
            </w:r>
            <w:r w:rsidR="00D30B23">
              <w:rPr>
                <w:noProof/>
                <w:webHidden/>
              </w:rPr>
              <w:instrText xml:space="preserve"> PAGEREF _Toc126826592 \h </w:instrText>
            </w:r>
            <w:r w:rsidR="00D30B23">
              <w:rPr>
                <w:noProof/>
                <w:webHidden/>
              </w:rPr>
            </w:r>
            <w:r w:rsidR="00D30B23">
              <w:rPr>
                <w:noProof/>
                <w:webHidden/>
              </w:rPr>
              <w:fldChar w:fldCharType="separate"/>
            </w:r>
            <w:r w:rsidR="00B97380">
              <w:rPr>
                <w:noProof/>
                <w:webHidden/>
              </w:rPr>
              <w:t>3</w:t>
            </w:r>
            <w:r w:rsidR="00D30B23">
              <w:rPr>
                <w:noProof/>
                <w:webHidden/>
              </w:rPr>
              <w:fldChar w:fldCharType="end"/>
            </w:r>
          </w:hyperlink>
        </w:p>
        <w:p w14:paraId="45F2FF86" w14:textId="2A29FF90" w:rsidR="00D30B23" w:rsidRDefault="00850E3C">
          <w:pPr>
            <w:pStyle w:val="TOC3"/>
            <w:rPr>
              <w:rFonts w:asciiTheme="minorHAnsi" w:eastAsiaTheme="minorEastAsia" w:hAnsiTheme="minorHAnsi" w:cstheme="minorBidi"/>
              <w:noProof/>
              <w:sz w:val="22"/>
              <w:lang w:val="fr-BE" w:eastAsia="fr-BE"/>
            </w:rPr>
          </w:pPr>
          <w:hyperlink w:anchor="_Toc126826593" w:history="1">
            <w:r w:rsidR="00D30B23" w:rsidRPr="0036567D">
              <w:rPr>
                <w:rStyle w:val="Hyperlink"/>
                <w:noProof/>
              </w:rPr>
              <w:t>1.4.2.</w:t>
            </w:r>
            <w:r w:rsidR="00D30B23">
              <w:rPr>
                <w:rFonts w:asciiTheme="minorHAnsi" w:eastAsiaTheme="minorEastAsia" w:hAnsiTheme="minorHAnsi" w:cstheme="minorBidi"/>
                <w:noProof/>
                <w:sz w:val="22"/>
                <w:lang w:val="fr-BE" w:eastAsia="fr-BE"/>
              </w:rPr>
              <w:tab/>
            </w:r>
            <w:r w:rsidR="00D30B23" w:rsidRPr="0036567D">
              <w:rPr>
                <w:rStyle w:val="Hyperlink"/>
                <w:noProof/>
              </w:rPr>
              <w:t>Specific objective(s)</w:t>
            </w:r>
            <w:r w:rsidR="00D30B23">
              <w:rPr>
                <w:noProof/>
                <w:webHidden/>
              </w:rPr>
              <w:tab/>
            </w:r>
            <w:r w:rsidR="00D30B23">
              <w:rPr>
                <w:noProof/>
                <w:webHidden/>
              </w:rPr>
              <w:fldChar w:fldCharType="begin"/>
            </w:r>
            <w:r w:rsidR="00D30B23">
              <w:rPr>
                <w:noProof/>
                <w:webHidden/>
              </w:rPr>
              <w:instrText xml:space="preserve"> PAGEREF _Toc126826593 \h </w:instrText>
            </w:r>
            <w:r w:rsidR="00D30B23">
              <w:rPr>
                <w:noProof/>
                <w:webHidden/>
              </w:rPr>
            </w:r>
            <w:r w:rsidR="00D30B23">
              <w:rPr>
                <w:noProof/>
                <w:webHidden/>
              </w:rPr>
              <w:fldChar w:fldCharType="separate"/>
            </w:r>
            <w:r w:rsidR="00B97380">
              <w:rPr>
                <w:noProof/>
                <w:webHidden/>
              </w:rPr>
              <w:t>4</w:t>
            </w:r>
            <w:r w:rsidR="00D30B23">
              <w:rPr>
                <w:noProof/>
                <w:webHidden/>
              </w:rPr>
              <w:fldChar w:fldCharType="end"/>
            </w:r>
          </w:hyperlink>
        </w:p>
        <w:p w14:paraId="16418456" w14:textId="283DF175" w:rsidR="00D30B23" w:rsidRDefault="00850E3C">
          <w:pPr>
            <w:pStyle w:val="TOC3"/>
            <w:rPr>
              <w:rFonts w:asciiTheme="minorHAnsi" w:eastAsiaTheme="minorEastAsia" w:hAnsiTheme="minorHAnsi" w:cstheme="minorBidi"/>
              <w:noProof/>
              <w:sz w:val="22"/>
              <w:lang w:val="fr-BE" w:eastAsia="fr-BE"/>
            </w:rPr>
          </w:pPr>
          <w:hyperlink w:anchor="_Toc126826594" w:history="1">
            <w:r w:rsidR="00D30B23" w:rsidRPr="0036567D">
              <w:rPr>
                <w:rStyle w:val="Hyperlink"/>
                <w:noProof/>
              </w:rPr>
              <w:t>1.4.3.</w:t>
            </w:r>
            <w:r w:rsidR="00D30B23">
              <w:rPr>
                <w:rFonts w:asciiTheme="minorHAnsi" w:eastAsiaTheme="minorEastAsia" w:hAnsiTheme="minorHAnsi" w:cstheme="minorBidi"/>
                <w:noProof/>
                <w:sz w:val="22"/>
                <w:lang w:val="fr-BE" w:eastAsia="fr-BE"/>
              </w:rPr>
              <w:tab/>
            </w:r>
            <w:r w:rsidR="00D30B23" w:rsidRPr="0036567D">
              <w:rPr>
                <w:rStyle w:val="Hyperlink"/>
                <w:noProof/>
              </w:rPr>
              <w:t>Expected result(s) and impact</w:t>
            </w:r>
            <w:r w:rsidR="00D30B23">
              <w:rPr>
                <w:noProof/>
                <w:webHidden/>
              </w:rPr>
              <w:tab/>
            </w:r>
            <w:r w:rsidR="00D30B23">
              <w:rPr>
                <w:noProof/>
                <w:webHidden/>
              </w:rPr>
              <w:fldChar w:fldCharType="begin"/>
            </w:r>
            <w:r w:rsidR="00D30B23">
              <w:rPr>
                <w:noProof/>
                <w:webHidden/>
              </w:rPr>
              <w:instrText xml:space="preserve"> PAGEREF _Toc126826594 \h </w:instrText>
            </w:r>
            <w:r w:rsidR="00D30B23">
              <w:rPr>
                <w:noProof/>
                <w:webHidden/>
              </w:rPr>
            </w:r>
            <w:r w:rsidR="00D30B23">
              <w:rPr>
                <w:noProof/>
                <w:webHidden/>
              </w:rPr>
              <w:fldChar w:fldCharType="separate"/>
            </w:r>
            <w:r w:rsidR="00B97380">
              <w:rPr>
                <w:noProof/>
                <w:webHidden/>
              </w:rPr>
              <w:t>4</w:t>
            </w:r>
            <w:r w:rsidR="00D30B23">
              <w:rPr>
                <w:noProof/>
                <w:webHidden/>
              </w:rPr>
              <w:fldChar w:fldCharType="end"/>
            </w:r>
          </w:hyperlink>
        </w:p>
        <w:p w14:paraId="6A7E83BF" w14:textId="6B64ED8B" w:rsidR="00D30B23" w:rsidRDefault="00850E3C">
          <w:pPr>
            <w:pStyle w:val="TOC3"/>
            <w:rPr>
              <w:rFonts w:asciiTheme="minorHAnsi" w:eastAsiaTheme="minorEastAsia" w:hAnsiTheme="minorHAnsi" w:cstheme="minorBidi"/>
              <w:noProof/>
              <w:sz w:val="22"/>
              <w:lang w:val="fr-BE" w:eastAsia="fr-BE"/>
            </w:rPr>
          </w:pPr>
          <w:hyperlink w:anchor="_Toc126826595" w:history="1">
            <w:r w:rsidR="00D30B23" w:rsidRPr="0036567D">
              <w:rPr>
                <w:rStyle w:val="Hyperlink"/>
                <w:noProof/>
              </w:rPr>
              <w:t>1.4.4.</w:t>
            </w:r>
            <w:r w:rsidR="00D30B23">
              <w:rPr>
                <w:rFonts w:asciiTheme="minorHAnsi" w:eastAsiaTheme="minorEastAsia" w:hAnsiTheme="minorHAnsi" w:cstheme="minorBidi"/>
                <w:noProof/>
                <w:sz w:val="22"/>
                <w:lang w:val="fr-BE" w:eastAsia="fr-BE"/>
              </w:rPr>
              <w:tab/>
            </w:r>
            <w:r w:rsidR="00D30B23" w:rsidRPr="0036567D">
              <w:rPr>
                <w:rStyle w:val="Hyperlink"/>
                <w:noProof/>
              </w:rPr>
              <w:t>Indicators of performance</w:t>
            </w:r>
            <w:r w:rsidR="00D30B23">
              <w:rPr>
                <w:noProof/>
                <w:webHidden/>
              </w:rPr>
              <w:tab/>
            </w:r>
            <w:r w:rsidR="00D30B23">
              <w:rPr>
                <w:noProof/>
                <w:webHidden/>
              </w:rPr>
              <w:fldChar w:fldCharType="begin"/>
            </w:r>
            <w:r w:rsidR="00D30B23">
              <w:rPr>
                <w:noProof/>
                <w:webHidden/>
              </w:rPr>
              <w:instrText xml:space="preserve"> PAGEREF _Toc126826595 \h </w:instrText>
            </w:r>
            <w:r w:rsidR="00D30B23">
              <w:rPr>
                <w:noProof/>
                <w:webHidden/>
              </w:rPr>
            </w:r>
            <w:r w:rsidR="00D30B23">
              <w:rPr>
                <w:noProof/>
                <w:webHidden/>
              </w:rPr>
              <w:fldChar w:fldCharType="separate"/>
            </w:r>
            <w:r w:rsidR="00B97380">
              <w:rPr>
                <w:noProof/>
                <w:webHidden/>
              </w:rPr>
              <w:t>5</w:t>
            </w:r>
            <w:r w:rsidR="00D30B23">
              <w:rPr>
                <w:noProof/>
                <w:webHidden/>
              </w:rPr>
              <w:fldChar w:fldCharType="end"/>
            </w:r>
          </w:hyperlink>
        </w:p>
        <w:p w14:paraId="1291328C" w14:textId="19F9D7BF" w:rsidR="00D30B23" w:rsidRDefault="00850E3C">
          <w:pPr>
            <w:pStyle w:val="TOC2"/>
            <w:rPr>
              <w:rFonts w:asciiTheme="minorHAnsi" w:eastAsiaTheme="minorEastAsia" w:hAnsiTheme="minorHAnsi" w:cstheme="minorBidi"/>
              <w:noProof/>
              <w:sz w:val="22"/>
              <w:lang w:val="fr-BE" w:eastAsia="fr-BE"/>
            </w:rPr>
          </w:pPr>
          <w:hyperlink w:anchor="_Toc126826596" w:history="1">
            <w:r w:rsidR="00D30B23" w:rsidRPr="0036567D">
              <w:rPr>
                <w:rStyle w:val="Hyperlink"/>
                <w:noProof/>
              </w:rPr>
              <w:t>1.5.</w:t>
            </w:r>
            <w:r w:rsidR="00D30B23">
              <w:rPr>
                <w:rFonts w:asciiTheme="minorHAnsi" w:eastAsiaTheme="minorEastAsia" w:hAnsiTheme="minorHAnsi" w:cstheme="minorBidi"/>
                <w:noProof/>
                <w:sz w:val="22"/>
                <w:lang w:val="fr-BE" w:eastAsia="fr-BE"/>
              </w:rPr>
              <w:tab/>
            </w:r>
            <w:r w:rsidR="00D30B23" w:rsidRPr="0036567D">
              <w:rPr>
                <w:rStyle w:val="Hyperlink"/>
                <w:noProof/>
              </w:rPr>
              <w:t>Grounds for the proposal/initiative</w:t>
            </w:r>
            <w:r w:rsidR="00D30B23">
              <w:rPr>
                <w:noProof/>
                <w:webHidden/>
              </w:rPr>
              <w:tab/>
            </w:r>
            <w:r w:rsidR="00D30B23">
              <w:rPr>
                <w:noProof/>
                <w:webHidden/>
              </w:rPr>
              <w:fldChar w:fldCharType="begin"/>
            </w:r>
            <w:r w:rsidR="00D30B23">
              <w:rPr>
                <w:noProof/>
                <w:webHidden/>
              </w:rPr>
              <w:instrText xml:space="preserve"> PAGEREF _Toc126826596 \h </w:instrText>
            </w:r>
            <w:r w:rsidR="00D30B23">
              <w:rPr>
                <w:noProof/>
                <w:webHidden/>
              </w:rPr>
            </w:r>
            <w:r w:rsidR="00D30B23">
              <w:rPr>
                <w:noProof/>
                <w:webHidden/>
              </w:rPr>
              <w:fldChar w:fldCharType="separate"/>
            </w:r>
            <w:r w:rsidR="00B97380">
              <w:rPr>
                <w:noProof/>
                <w:webHidden/>
              </w:rPr>
              <w:t>6</w:t>
            </w:r>
            <w:r w:rsidR="00D30B23">
              <w:rPr>
                <w:noProof/>
                <w:webHidden/>
              </w:rPr>
              <w:fldChar w:fldCharType="end"/>
            </w:r>
          </w:hyperlink>
        </w:p>
        <w:p w14:paraId="674CD782" w14:textId="20D683BE" w:rsidR="00D30B23" w:rsidRDefault="00850E3C">
          <w:pPr>
            <w:pStyle w:val="TOC3"/>
            <w:rPr>
              <w:rFonts w:asciiTheme="minorHAnsi" w:eastAsiaTheme="minorEastAsia" w:hAnsiTheme="minorHAnsi" w:cstheme="minorBidi"/>
              <w:noProof/>
              <w:sz w:val="22"/>
              <w:lang w:val="fr-BE" w:eastAsia="fr-BE"/>
            </w:rPr>
          </w:pPr>
          <w:hyperlink w:anchor="_Toc126826597" w:history="1">
            <w:r w:rsidR="00D30B23" w:rsidRPr="0036567D">
              <w:rPr>
                <w:rStyle w:val="Hyperlink"/>
                <w:noProof/>
              </w:rPr>
              <w:t>1.5.1.</w:t>
            </w:r>
            <w:r w:rsidR="00D30B23">
              <w:rPr>
                <w:rFonts w:asciiTheme="minorHAnsi" w:eastAsiaTheme="minorEastAsia" w:hAnsiTheme="minorHAnsi" w:cstheme="minorBidi"/>
                <w:noProof/>
                <w:sz w:val="22"/>
                <w:lang w:val="fr-BE" w:eastAsia="fr-BE"/>
              </w:rPr>
              <w:tab/>
            </w:r>
            <w:r w:rsidR="00D30B23" w:rsidRPr="0036567D">
              <w:rPr>
                <w:rStyle w:val="Hyperlink"/>
                <w:noProof/>
              </w:rPr>
              <w:t>Requirement(s) to be met in the short or long term including a detailed timeline for roll-out of the implementation of the initiative</w:t>
            </w:r>
            <w:r w:rsidR="00D30B23">
              <w:rPr>
                <w:noProof/>
                <w:webHidden/>
              </w:rPr>
              <w:tab/>
            </w:r>
            <w:r w:rsidR="00D30B23">
              <w:rPr>
                <w:noProof/>
                <w:webHidden/>
              </w:rPr>
              <w:fldChar w:fldCharType="begin"/>
            </w:r>
            <w:r w:rsidR="00D30B23">
              <w:rPr>
                <w:noProof/>
                <w:webHidden/>
              </w:rPr>
              <w:instrText xml:space="preserve"> PAGEREF _Toc126826597 \h </w:instrText>
            </w:r>
            <w:r w:rsidR="00D30B23">
              <w:rPr>
                <w:noProof/>
                <w:webHidden/>
              </w:rPr>
            </w:r>
            <w:r w:rsidR="00D30B23">
              <w:rPr>
                <w:noProof/>
                <w:webHidden/>
              </w:rPr>
              <w:fldChar w:fldCharType="separate"/>
            </w:r>
            <w:r w:rsidR="00B97380">
              <w:rPr>
                <w:noProof/>
                <w:webHidden/>
              </w:rPr>
              <w:t>6</w:t>
            </w:r>
            <w:r w:rsidR="00D30B23">
              <w:rPr>
                <w:noProof/>
                <w:webHidden/>
              </w:rPr>
              <w:fldChar w:fldCharType="end"/>
            </w:r>
          </w:hyperlink>
        </w:p>
        <w:p w14:paraId="09F48E57" w14:textId="6088E331" w:rsidR="00D30B23" w:rsidRDefault="00850E3C">
          <w:pPr>
            <w:pStyle w:val="TOC3"/>
            <w:rPr>
              <w:rFonts w:asciiTheme="minorHAnsi" w:eastAsiaTheme="minorEastAsia" w:hAnsiTheme="minorHAnsi" w:cstheme="minorBidi"/>
              <w:noProof/>
              <w:sz w:val="22"/>
              <w:lang w:val="fr-BE" w:eastAsia="fr-BE"/>
            </w:rPr>
          </w:pPr>
          <w:hyperlink w:anchor="_Toc126826598" w:history="1">
            <w:r w:rsidR="00D30B23" w:rsidRPr="0036567D">
              <w:rPr>
                <w:rStyle w:val="Hyperlink"/>
                <w:noProof/>
              </w:rPr>
              <w:t>1.5.2.</w:t>
            </w:r>
            <w:r w:rsidR="00D30B23">
              <w:rPr>
                <w:rFonts w:asciiTheme="minorHAnsi" w:eastAsiaTheme="minorEastAsia" w:hAnsiTheme="minorHAnsi" w:cstheme="minorBidi"/>
                <w:noProof/>
                <w:sz w:val="22"/>
                <w:lang w:val="fr-BE" w:eastAsia="fr-BE"/>
              </w:rPr>
              <w:tab/>
            </w:r>
            <w:r w:rsidR="00D30B23" w:rsidRPr="0036567D">
              <w:rPr>
                <w:rStyle w:val="Hyperlink"/>
                <w:noProof/>
              </w:rPr>
              <w:t>Added value of Union involvement</w:t>
            </w:r>
            <w:r w:rsidR="00D30B23">
              <w:rPr>
                <w:noProof/>
                <w:webHidden/>
              </w:rPr>
              <w:tab/>
            </w:r>
            <w:r w:rsidR="00D30B23">
              <w:rPr>
                <w:noProof/>
                <w:webHidden/>
              </w:rPr>
              <w:fldChar w:fldCharType="begin"/>
            </w:r>
            <w:r w:rsidR="00D30B23">
              <w:rPr>
                <w:noProof/>
                <w:webHidden/>
              </w:rPr>
              <w:instrText xml:space="preserve"> PAGEREF _Toc126826598 \h </w:instrText>
            </w:r>
            <w:r w:rsidR="00D30B23">
              <w:rPr>
                <w:noProof/>
                <w:webHidden/>
              </w:rPr>
            </w:r>
            <w:r w:rsidR="00D30B23">
              <w:rPr>
                <w:noProof/>
                <w:webHidden/>
              </w:rPr>
              <w:fldChar w:fldCharType="separate"/>
            </w:r>
            <w:r w:rsidR="00B97380">
              <w:rPr>
                <w:noProof/>
                <w:webHidden/>
              </w:rPr>
              <w:t>6</w:t>
            </w:r>
            <w:r w:rsidR="00D30B23">
              <w:rPr>
                <w:noProof/>
                <w:webHidden/>
              </w:rPr>
              <w:fldChar w:fldCharType="end"/>
            </w:r>
          </w:hyperlink>
        </w:p>
        <w:p w14:paraId="0605599B" w14:textId="7E80C077" w:rsidR="00D30B23" w:rsidRDefault="00850E3C">
          <w:pPr>
            <w:pStyle w:val="TOC3"/>
            <w:rPr>
              <w:rFonts w:asciiTheme="minorHAnsi" w:eastAsiaTheme="minorEastAsia" w:hAnsiTheme="minorHAnsi" w:cstheme="minorBidi"/>
              <w:noProof/>
              <w:sz w:val="22"/>
              <w:lang w:val="fr-BE" w:eastAsia="fr-BE"/>
            </w:rPr>
          </w:pPr>
          <w:hyperlink w:anchor="_Toc126826599" w:history="1">
            <w:r w:rsidR="00D30B23" w:rsidRPr="0036567D">
              <w:rPr>
                <w:rStyle w:val="Hyperlink"/>
                <w:noProof/>
              </w:rPr>
              <w:t>1.5.3.</w:t>
            </w:r>
            <w:r w:rsidR="00D30B23">
              <w:rPr>
                <w:rFonts w:asciiTheme="minorHAnsi" w:eastAsiaTheme="minorEastAsia" w:hAnsiTheme="minorHAnsi" w:cstheme="minorBidi"/>
                <w:noProof/>
                <w:sz w:val="22"/>
                <w:lang w:val="fr-BE" w:eastAsia="fr-BE"/>
              </w:rPr>
              <w:tab/>
            </w:r>
            <w:r w:rsidR="00D30B23" w:rsidRPr="0036567D">
              <w:rPr>
                <w:rStyle w:val="Hyperlink"/>
                <w:noProof/>
              </w:rPr>
              <w:t>Lessons learned from similar experiences in the past</w:t>
            </w:r>
            <w:r w:rsidR="00D30B23">
              <w:rPr>
                <w:noProof/>
                <w:webHidden/>
              </w:rPr>
              <w:tab/>
            </w:r>
            <w:r w:rsidR="00D30B23">
              <w:rPr>
                <w:noProof/>
                <w:webHidden/>
              </w:rPr>
              <w:fldChar w:fldCharType="begin"/>
            </w:r>
            <w:r w:rsidR="00D30B23">
              <w:rPr>
                <w:noProof/>
                <w:webHidden/>
              </w:rPr>
              <w:instrText xml:space="preserve"> PAGEREF _Toc126826599 \h </w:instrText>
            </w:r>
            <w:r w:rsidR="00D30B23">
              <w:rPr>
                <w:noProof/>
                <w:webHidden/>
              </w:rPr>
            </w:r>
            <w:r w:rsidR="00D30B23">
              <w:rPr>
                <w:noProof/>
                <w:webHidden/>
              </w:rPr>
              <w:fldChar w:fldCharType="separate"/>
            </w:r>
            <w:r w:rsidR="00B97380">
              <w:rPr>
                <w:noProof/>
                <w:webHidden/>
              </w:rPr>
              <w:t>7</w:t>
            </w:r>
            <w:r w:rsidR="00D30B23">
              <w:rPr>
                <w:noProof/>
                <w:webHidden/>
              </w:rPr>
              <w:fldChar w:fldCharType="end"/>
            </w:r>
          </w:hyperlink>
        </w:p>
        <w:p w14:paraId="164B330D" w14:textId="2C648420" w:rsidR="00D30B23" w:rsidRDefault="00850E3C">
          <w:pPr>
            <w:pStyle w:val="TOC3"/>
            <w:rPr>
              <w:rFonts w:asciiTheme="minorHAnsi" w:eastAsiaTheme="minorEastAsia" w:hAnsiTheme="minorHAnsi" w:cstheme="minorBidi"/>
              <w:noProof/>
              <w:sz w:val="22"/>
              <w:lang w:val="fr-BE" w:eastAsia="fr-BE"/>
            </w:rPr>
          </w:pPr>
          <w:hyperlink w:anchor="_Toc126826600" w:history="1">
            <w:r w:rsidR="00D30B23" w:rsidRPr="0036567D">
              <w:rPr>
                <w:rStyle w:val="Hyperlink"/>
                <w:noProof/>
              </w:rPr>
              <w:t>1.5.4.</w:t>
            </w:r>
            <w:r w:rsidR="00D30B23">
              <w:rPr>
                <w:rFonts w:asciiTheme="minorHAnsi" w:eastAsiaTheme="minorEastAsia" w:hAnsiTheme="minorHAnsi" w:cstheme="minorBidi"/>
                <w:noProof/>
                <w:sz w:val="22"/>
                <w:lang w:val="fr-BE" w:eastAsia="fr-BE"/>
              </w:rPr>
              <w:tab/>
            </w:r>
            <w:r w:rsidR="00D30B23" w:rsidRPr="0036567D">
              <w:rPr>
                <w:rStyle w:val="Hyperlink"/>
                <w:noProof/>
              </w:rPr>
              <w:t>Compatibility with the Multiannual Financial Framework and possible synergies with other appropriate instruments</w:t>
            </w:r>
            <w:r w:rsidR="00D30B23">
              <w:rPr>
                <w:noProof/>
                <w:webHidden/>
              </w:rPr>
              <w:tab/>
            </w:r>
            <w:r w:rsidR="00D30B23">
              <w:rPr>
                <w:noProof/>
                <w:webHidden/>
              </w:rPr>
              <w:fldChar w:fldCharType="begin"/>
            </w:r>
            <w:r w:rsidR="00D30B23">
              <w:rPr>
                <w:noProof/>
                <w:webHidden/>
              </w:rPr>
              <w:instrText xml:space="preserve"> PAGEREF _Toc126826600 \h </w:instrText>
            </w:r>
            <w:r w:rsidR="00D30B23">
              <w:rPr>
                <w:noProof/>
                <w:webHidden/>
              </w:rPr>
            </w:r>
            <w:r w:rsidR="00D30B23">
              <w:rPr>
                <w:noProof/>
                <w:webHidden/>
              </w:rPr>
              <w:fldChar w:fldCharType="separate"/>
            </w:r>
            <w:r w:rsidR="00B97380">
              <w:rPr>
                <w:noProof/>
                <w:webHidden/>
              </w:rPr>
              <w:t>7</w:t>
            </w:r>
            <w:r w:rsidR="00D30B23">
              <w:rPr>
                <w:noProof/>
                <w:webHidden/>
              </w:rPr>
              <w:fldChar w:fldCharType="end"/>
            </w:r>
          </w:hyperlink>
        </w:p>
        <w:p w14:paraId="5DF245D9" w14:textId="272D92DF" w:rsidR="00D30B23" w:rsidRDefault="00850E3C">
          <w:pPr>
            <w:pStyle w:val="TOC3"/>
            <w:rPr>
              <w:rFonts w:asciiTheme="minorHAnsi" w:eastAsiaTheme="minorEastAsia" w:hAnsiTheme="minorHAnsi" w:cstheme="minorBidi"/>
              <w:noProof/>
              <w:sz w:val="22"/>
              <w:lang w:val="fr-BE" w:eastAsia="fr-BE"/>
            </w:rPr>
          </w:pPr>
          <w:hyperlink w:anchor="_Toc126826601" w:history="1">
            <w:r w:rsidR="00D30B23" w:rsidRPr="0036567D">
              <w:rPr>
                <w:rStyle w:val="Hyperlink"/>
                <w:noProof/>
              </w:rPr>
              <w:t>1.5.5.</w:t>
            </w:r>
            <w:r w:rsidR="00D30B23">
              <w:rPr>
                <w:rFonts w:asciiTheme="minorHAnsi" w:eastAsiaTheme="minorEastAsia" w:hAnsiTheme="minorHAnsi" w:cstheme="minorBidi"/>
                <w:noProof/>
                <w:sz w:val="22"/>
                <w:lang w:val="fr-BE" w:eastAsia="fr-BE"/>
              </w:rPr>
              <w:tab/>
            </w:r>
            <w:r w:rsidR="00D30B23" w:rsidRPr="0036567D">
              <w:rPr>
                <w:rStyle w:val="Hyperlink"/>
                <w:noProof/>
              </w:rPr>
              <w:t>Assessment of the different available financing options, including scope for redeployment</w:t>
            </w:r>
            <w:r w:rsidR="00D30B23">
              <w:rPr>
                <w:noProof/>
                <w:webHidden/>
              </w:rPr>
              <w:tab/>
            </w:r>
            <w:r w:rsidR="00D30B23">
              <w:rPr>
                <w:noProof/>
                <w:webHidden/>
              </w:rPr>
              <w:fldChar w:fldCharType="begin"/>
            </w:r>
            <w:r w:rsidR="00D30B23">
              <w:rPr>
                <w:noProof/>
                <w:webHidden/>
              </w:rPr>
              <w:instrText xml:space="preserve"> PAGEREF _Toc126826601 \h </w:instrText>
            </w:r>
            <w:r w:rsidR="00D30B23">
              <w:rPr>
                <w:noProof/>
                <w:webHidden/>
              </w:rPr>
            </w:r>
            <w:r w:rsidR="00D30B23">
              <w:rPr>
                <w:noProof/>
                <w:webHidden/>
              </w:rPr>
              <w:fldChar w:fldCharType="separate"/>
            </w:r>
            <w:r w:rsidR="00B97380">
              <w:rPr>
                <w:noProof/>
                <w:webHidden/>
              </w:rPr>
              <w:t>7</w:t>
            </w:r>
            <w:r w:rsidR="00D30B23">
              <w:rPr>
                <w:noProof/>
                <w:webHidden/>
              </w:rPr>
              <w:fldChar w:fldCharType="end"/>
            </w:r>
          </w:hyperlink>
        </w:p>
        <w:p w14:paraId="326E84A7" w14:textId="1A684749" w:rsidR="00D30B23" w:rsidRDefault="00850E3C">
          <w:pPr>
            <w:pStyle w:val="TOC2"/>
            <w:rPr>
              <w:rFonts w:asciiTheme="minorHAnsi" w:eastAsiaTheme="minorEastAsia" w:hAnsiTheme="minorHAnsi" w:cstheme="minorBidi"/>
              <w:noProof/>
              <w:sz w:val="22"/>
              <w:lang w:val="fr-BE" w:eastAsia="fr-BE"/>
            </w:rPr>
          </w:pPr>
          <w:hyperlink w:anchor="_Toc126826602" w:history="1">
            <w:r w:rsidR="00D30B23" w:rsidRPr="0036567D">
              <w:rPr>
                <w:rStyle w:val="Hyperlink"/>
                <w:noProof/>
              </w:rPr>
              <w:t>1.6.</w:t>
            </w:r>
            <w:r w:rsidR="00D30B23">
              <w:rPr>
                <w:rFonts w:asciiTheme="minorHAnsi" w:eastAsiaTheme="minorEastAsia" w:hAnsiTheme="minorHAnsi" w:cstheme="minorBidi"/>
                <w:noProof/>
                <w:sz w:val="22"/>
                <w:lang w:val="fr-BE" w:eastAsia="fr-BE"/>
              </w:rPr>
              <w:tab/>
            </w:r>
            <w:r w:rsidR="00D30B23" w:rsidRPr="0036567D">
              <w:rPr>
                <w:rStyle w:val="Hyperlink"/>
                <w:noProof/>
              </w:rPr>
              <w:t>Duration and financial impact of the proposal/initiative</w:t>
            </w:r>
            <w:r w:rsidR="00D30B23">
              <w:rPr>
                <w:noProof/>
                <w:webHidden/>
              </w:rPr>
              <w:tab/>
            </w:r>
            <w:r w:rsidR="00D30B23">
              <w:rPr>
                <w:noProof/>
                <w:webHidden/>
              </w:rPr>
              <w:fldChar w:fldCharType="begin"/>
            </w:r>
            <w:r w:rsidR="00D30B23">
              <w:rPr>
                <w:noProof/>
                <w:webHidden/>
              </w:rPr>
              <w:instrText xml:space="preserve"> PAGEREF _Toc126826602 \h </w:instrText>
            </w:r>
            <w:r w:rsidR="00D30B23">
              <w:rPr>
                <w:noProof/>
                <w:webHidden/>
              </w:rPr>
            </w:r>
            <w:r w:rsidR="00D30B23">
              <w:rPr>
                <w:noProof/>
                <w:webHidden/>
              </w:rPr>
              <w:fldChar w:fldCharType="separate"/>
            </w:r>
            <w:r w:rsidR="00B97380">
              <w:rPr>
                <w:noProof/>
                <w:webHidden/>
              </w:rPr>
              <w:t>8</w:t>
            </w:r>
            <w:r w:rsidR="00D30B23">
              <w:rPr>
                <w:noProof/>
                <w:webHidden/>
              </w:rPr>
              <w:fldChar w:fldCharType="end"/>
            </w:r>
          </w:hyperlink>
        </w:p>
        <w:p w14:paraId="54E3C6F2" w14:textId="2D837FEE" w:rsidR="00D30B23" w:rsidRDefault="00850E3C">
          <w:pPr>
            <w:pStyle w:val="TOC2"/>
            <w:rPr>
              <w:rFonts w:asciiTheme="minorHAnsi" w:eastAsiaTheme="minorEastAsia" w:hAnsiTheme="minorHAnsi" w:cstheme="minorBidi"/>
              <w:noProof/>
              <w:sz w:val="22"/>
              <w:lang w:val="fr-BE" w:eastAsia="fr-BE"/>
            </w:rPr>
          </w:pPr>
          <w:hyperlink w:anchor="_Toc126826603" w:history="1">
            <w:r w:rsidR="00D30B23" w:rsidRPr="0036567D">
              <w:rPr>
                <w:rStyle w:val="Hyperlink"/>
                <w:noProof/>
              </w:rPr>
              <w:t>1.7.</w:t>
            </w:r>
            <w:r w:rsidR="00D30B23">
              <w:rPr>
                <w:rFonts w:asciiTheme="minorHAnsi" w:eastAsiaTheme="minorEastAsia" w:hAnsiTheme="minorHAnsi" w:cstheme="minorBidi"/>
                <w:noProof/>
                <w:sz w:val="22"/>
                <w:lang w:val="fr-BE" w:eastAsia="fr-BE"/>
              </w:rPr>
              <w:tab/>
            </w:r>
            <w:r w:rsidR="00D30B23" w:rsidRPr="0036567D">
              <w:rPr>
                <w:rStyle w:val="Hyperlink"/>
                <w:noProof/>
              </w:rPr>
              <w:t>Method(s) of budget implementation planned</w:t>
            </w:r>
            <w:r w:rsidR="00D30B23">
              <w:rPr>
                <w:noProof/>
                <w:webHidden/>
              </w:rPr>
              <w:tab/>
            </w:r>
            <w:r w:rsidR="00D30B23">
              <w:rPr>
                <w:noProof/>
                <w:webHidden/>
              </w:rPr>
              <w:fldChar w:fldCharType="begin"/>
            </w:r>
            <w:r w:rsidR="00D30B23">
              <w:rPr>
                <w:noProof/>
                <w:webHidden/>
              </w:rPr>
              <w:instrText xml:space="preserve"> PAGEREF _Toc126826603 \h </w:instrText>
            </w:r>
            <w:r w:rsidR="00D30B23">
              <w:rPr>
                <w:noProof/>
                <w:webHidden/>
              </w:rPr>
            </w:r>
            <w:r w:rsidR="00D30B23">
              <w:rPr>
                <w:noProof/>
                <w:webHidden/>
              </w:rPr>
              <w:fldChar w:fldCharType="separate"/>
            </w:r>
            <w:r w:rsidR="00B97380">
              <w:rPr>
                <w:noProof/>
                <w:webHidden/>
              </w:rPr>
              <w:t>8</w:t>
            </w:r>
            <w:r w:rsidR="00D30B23">
              <w:rPr>
                <w:noProof/>
                <w:webHidden/>
              </w:rPr>
              <w:fldChar w:fldCharType="end"/>
            </w:r>
          </w:hyperlink>
        </w:p>
        <w:p w14:paraId="4154084E" w14:textId="28CFA115" w:rsidR="00D30B23" w:rsidRDefault="00850E3C">
          <w:pPr>
            <w:pStyle w:val="TOC1"/>
            <w:rPr>
              <w:rFonts w:asciiTheme="minorHAnsi" w:eastAsiaTheme="minorEastAsia" w:hAnsiTheme="minorHAnsi" w:cstheme="minorBidi"/>
              <w:noProof/>
              <w:sz w:val="22"/>
              <w:lang w:val="fr-BE" w:eastAsia="fr-BE"/>
            </w:rPr>
          </w:pPr>
          <w:hyperlink w:anchor="_Toc126826604" w:history="1">
            <w:r w:rsidR="00D30B23" w:rsidRPr="0036567D">
              <w:rPr>
                <w:rStyle w:val="Hyperlink"/>
                <w:noProof/>
              </w:rPr>
              <w:t>2.</w:t>
            </w:r>
            <w:r w:rsidR="00D30B23">
              <w:rPr>
                <w:rFonts w:asciiTheme="minorHAnsi" w:eastAsiaTheme="minorEastAsia" w:hAnsiTheme="minorHAnsi" w:cstheme="minorBidi"/>
                <w:noProof/>
                <w:sz w:val="22"/>
                <w:lang w:val="fr-BE" w:eastAsia="fr-BE"/>
              </w:rPr>
              <w:tab/>
            </w:r>
            <w:r w:rsidR="00D30B23" w:rsidRPr="0036567D">
              <w:rPr>
                <w:rStyle w:val="Hyperlink"/>
                <w:noProof/>
              </w:rPr>
              <w:t>MANAGEMENT MEASURES</w:t>
            </w:r>
            <w:r w:rsidR="00D30B23">
              <w:rPr>
                <w:noProof/>
                <w:webHidden/>
              </w:rPr>
              <w:tab/>
            </w:r>
            <w:r w:rsidR="00D30B23">
              <w:rPr>
                <w:noProof/>
                <w:webHidden/>
              </w:rPr>
              <w:fldChar w:fldCharType="begin"/>
            </w:r>
            <w:r w:rsidR="00D30B23">
              <w:rPr>
                <w:noProof/>
                <w:webHidden/>
              </w:rPr>
              <w:instrText xml:space="preserve"> PAGEREF _Toc126826604 \h </w:instrText>
            </w:r>
            <w:r w:rsidR="00D30B23">
              <w:rPr>
                <w:noProof/>
                <w:webHidden/>
              </w:rPr>
            </w:r>
            <w:r w:rsidR="00D30B23">
              <w:rPr>
                <w:noProof/>
                <w:webHidden/>
              </w:rPr>
              <w:fldChar w:fldCharType="separate"/>
            </w:r>
            <w:r w:rsidR="00B97380">
              <w:rPr>
                <w:noProof/>
                <w:webHidden/>
              </w:rPr>
              <w:t>10</w:t>
            </w:r>
            <w:r w:rsidR="00D30B23">
              <w:rPr>
                <w:noProof/>
                <w:webHidden/>
              </w:rPr>
              <w:fldChar w:fldCharType="end"/>
            </w:r>
          </w:hyperlink>
        </w:p>
        <w:p w14:paraId="4FCF82BC" w14:textId="40637161" w:rsidR="00D30B23" w:rsidRDefault="00850E3C">
          <w:pPr>
            <w:pStyle w:val="TOC2"/>
            <w:rPr>
              <w:rFonts w:asciiTheme="minorHAnsi" w:eastAsiaTheme="minorEastAsia" w:hAnsiTheme="minorHAnsi" w:cstheme="minorBidi"/>
              <w:noProof/>
              <w:sz w:val="22"/>
              <w:lang w:val="fr-BE" w:eastAsia="fr-BE"/>
            </w:rPr>
          </w:pPr>
          <w:hyperlink w:anchor="_Toc126826605" w:history="1">
            <w:r w:rsidR="00D30B23" w:rsidRPr="0036567D">
              <w:rPr>
                <w:rStyle w:val="Hyperlink"/>
                <w:noProof/>
              </w:rPr>
              <w:t>2.1.</w:t>
            </w:r>
            <w:r w:rsidR="00D30B23">
              <w:rPr>
                <w:rFonts w:asciiTheme="minorHAnsi" w:eastAsiaTheme="minorEastAsia" w:hAnsiTheme="minorHAnsi" w:cstheme="minorBidi"/>
                <w:noProof/>
                <w:sz w:val="22"/>
                <w:lang w:val="fr-BE" w:eastAsia="fr-BE"/>
              </w:rPr>
              <w:tab/>
            </w:r>
            <w:r w:rsidR="00D30B23" w:rsidRPr="0036567D">
              <w:rPr>
                <w:rStyle w:val="Hyperlink"/>
                <w:noProof/>
              </w:rPr>
              <w:t>Monitoring and reporting rules</w:t>
            </w:r>
            <w:r w:rsidR="00D30B23">
              <w:rPr>
                <w:noProof/>
                <w:webHidden/>
              </w:rPr>
              <w:tab/>
            </w:r>
            <w:r w:rsidR="00D30B23">
              <w:rPr>
                <w:noProof/>
                <w:webHidden/>
              </w:rPr>
              <w:fldChar w:fldCharType="begin"/>
            </w:r>
            <w:r w:rsidR="00D30B23">
              <w:rPr>
                <w:noProof/>
                <w:webHidden/>
              </w:rPr>
              <w:instrText xml:space="preserve"> PAGEREF _Toc126826605 \h </w:instrText>
            </w:r>
            <w:r w:rsidR="00D30B23">
              <w:rPr>
                <w:noProof/>
                <w:webHidden/>
              </w:rPr>
            </w:r>
            <w:r w:rsidR="00D30B23">
              <w:rPr>
                <w:noProof/>
                <w:webHidden/>
              </w:rPr>
              <w:fldChar w:fldCharType="separate"/>
            </w:r>
            <w:r w:rsidR="00B97380">
              <w:rPr>
                <w:noProof/>
                <w:webHidden/>
              </w:rPr>
              <w:t>10</w:t>
            </w:r>
            <w:r w:rsidR="00D30B23">
              <w:rPr>
                <w:noProof/>
                <w:webHidden/>
              </w:rPr>
              <w:fldChar w:fldCharType="end"/>
            </w:r>
          </w:hyperlink>
        </w:p>
        <w:p w14:paraId="66D73D70" w14:textId="42016C68" w:rsidR="00D30B23" w:rsidRDefault="00850E3C">
          <w:pPr>
            <w:pStyle w:val="TOC2"/>
            <w:rPr>
              <w:rFonts w:asciiTheme="minorHAnsi" w:eastAsiaTheme="minorEastAsia" w:hAnsiTheme="minorHAnsi" w:cstheme="minorBidi"/>
              <w:noProof/>
              <w:sz w:val="22"/>
              <w:lang w:val="fr-BE" w:eastAsia="fr-BE"/>
            </w:rPr>
          </w:pPr>
          <w:hyperlink w:anchor="_Toc126826606" w:history="1">
            <w:r w:rsidR="00D30B23" w:rsidRPr="0036567D">
              <w:rPr>
                <w:rStyle w:val="Hyperlink"/>
                <w:noProof/>
              </w:rPr>
              <w:t>2.2.</w:t>
            </w:r>
            <w:r w:rsidR="00D30B23">
              <w:rPr>
                <w:rFonts w:asciiTheme="minorHAnsi" w:eastAsiaTheme="minorEastAsia" w:hAnsiTheme="minorHAnsi" w:cstheme="minorBidi"/>
                <w:noProof/>
                <w:sz w:val="22"/>
                <w:lang w:val="fr-BE" w:eastAsia="fr-BE"/>
              </w:rPr>
              <w:tab/>
            </w:r>
            <w:r w:rsidR="00D30B23" w:rsidRPr="0036567D">
              <w:rPr>
                <w:rStyle w:val="Hyperlink"/>
                <w:noProof/>
              </w:rPr>
              <w:t>Management and control system(s)</w:t>
            </w:r>
            <w:r w:rsidR="00D30B23">
              <w:rPr>
                <w:noProof/>
                <w:webHidden/>
              </w:rPr>
              <w:tab/>
            </w:r>
            <w:r w:rsidR="00D30B23">
              <w:rPr>
                <w:noProof/>
                <w:webHidden/>
              </w:rPr>
              <w:fldChar w:fldCharType="begin"/>
            </w:r>
            <w:r w:rsidR="00D30B23">
              <w:rPr>
                <w:noProof/>
                <w:webHidden/>
              </w:rPr>
              <w:instrText xml:space="preserve"> PAGEREF _Toc126826606 \h </w:instrText>
            </w:r>
            <w:r w:rsidR="00D30B23">
              <w:rPr>
                <w:noProof/>
                <w:webHidden/>
              </w:rPr>
            </w:r>
            <w:r w:rsidR="00D30B23">
              <w:rPr>
                <w:noProof/>
                <w:webHidden/>
              </w:rPr>
              <w:fldChar w:fldCharType="separate"/>
            </w:r>
            <w:r w:rsidR="00B97380">
              <w:rPr>
                <w:noProof/>
                <w:webHidden/>
              </w:rPr>
              <w:t>10</w:t>
            </w:r>
            <w:r w:rsidR="00D30B23">
              <w:rPr>
                <w:noProof/>
                <w:webHidden/>
              </w:rPr>
              <w:fldChar w:fldCharType="end"/>
            </w:r>
          </w:hyperlink>
        </w:p>
        <w:p w14:paraId="6A5CD50A" w14:textId="4BA8A746" w:rsidR="00D30B23" w:rsidRDefault="00850E3C">
          <w:pPr>
            <w:pStyle w:val="TOC3"/>
            <w:rPr>
              <w:rFonts w:asciiTheme="minorHAnsi" w:eastAsiaTheme="minorEastAsia" w:hAnsiTheme="minorHAnsi" w:cstheme="minorBidi"/>
              <w:noProof/>
              <w:sz w:val="22"/>
              <w:lang w:val="fr-BE" w:eastAsia="fr-BE"/>
            </w:rPr>
          </w:pPr>
          <w:hyperlink w:anchor="_Toc126826607" w:history="1">
            <w:r w:rsidR="00D30B23" w:rsidRPr="0036567D">
              <w:rPr>
                <w:rStyle w:val="Hyperlink"/>
                <w:noProof/>
              </w:rPr>
              <w:t>2.2.1.</w:t>
            </w:r>
            <w:r w:rsidR="00D30B23">
              <w:rPr>
                <w:rFonts w:asciiTheme="minorHAnsi" w:eastAsiaTheme="minorEastAsia" w:hAnsiTheme="minorHAnsi" w:cstheme="minorBidi"/>
                <w:noProof/>
                <w:sz w:val="22"/>
                <w:lang w:val="fr-BE" w:eastAsia="fr-BE"/>
              </w:rPr>
              <w:tab/>
            </w:r>
            <w:r w:rsidR="00D30B23" w:rsidRPr="0036567D">
              <w:rPr>
                <w:rStyle w:val="Hyperlink"/>
                <w:noProof/>
              </w:rPr>
              <w:t>Justification of the management mode(s), the funding implementation mechanism(s), the payment modalities and the control strategy proposed</w:t>
            </w:r>
            <w:r w:rsidR="00D30B23">
              <w:rPr>
                <w:noProof/>
                <w:webHidden/>
              </w:rPr>
              <w:tab/>
            </w:r>
            <w:r w:rsidR="00D30B23">
              <w:rPr>
                <w:noProof/>
                <w:webHidden/>
              </w:rPr>
              <w:fldChar w:fldCharType="begin"/>
            </w:r>
            <w:r w:rsidR="00D30B23">
              <w:rPr>
                <w:noProof/>
                <w:webHidden/>
              </w:rPr>
              <w:instrText xml:space="preserve"> PAGEREF _Toc126826607 \h </w:instrText>
            </w:r>
            <w:r w:rsidR="00D30B23">
              <w:rPr>
                <w:noProof/>
                <w:webHidden/>
              </w:rPr>
            </w:r>
            <w:r w:rsidR="00D30B23">
              <w:rPr>
                <w:noProof/>
                <w:webHidden/>
              </w:rPr>
              <w:fldChar w:fldCharType="separate"/>
            </w:r>
            <w:r w:rsidR="00B97380">
              <w:rPr>
                <w:noProof/>
                <w:webHidden/>
              </w:rPr>
              <w:t>10</w:t>
            </w:r>
            <w:r w:rsidR="00D30B23">
              <w:rPr>
                <w:noProof/>
                <w:webHidden/>
              </w:rPr>
              <w:fldChar w:fldCharType="end"/>
            </w:r>
          </w:hyperlink>
        </w:p>
        <w:p w14:paraId="0665DB4B" w14:textId="20260BF0" w:rsidR="00D30B23" w:rsidRDefault="00850E3C">
          <w:pPr>
            <w:pStyle w:val="TOC3"/>
            <w:rPr>
              <w:rFonts w:asciiTheme="minorHAnsi" w:eastAsiaTheme="minorEastAsia" w:hAnsiTheme="minorHAnsi" w:cstheme="minorBidi"/>
              <w:noProof/>
              <w:sz w:val="22"/>
              <w:lang w:val="fr-BE" w:eastAsia="fr-BE"/>
            </w:rPr>
          </w:pPr>
          <w:hyperlink w:anchor="_Toc126826608" w:history="1">
            <w:r w:rsidR="00D30B23" w:rsidRPr="0036567D">
              <w:rPr>
                <w:rStyle w:val="Hyperlink"/>
                <w:noProof/>
              </w:rPr>
              <w:t>2.2.2.</w:t>
            </w:r>
            <w:r w:rsidR="00D30B23">
              <w:rPr>
                <w:rFonts w:asciiTheme="minorHAnsi" w:eastAsiaTheme="minorEastAsia" w:hAnsiTheme="minorHAnsi" w:cstheme="minorBidi"/>
                <w:noProof/>
                <w:sz w:val="22"/>
                <w:lang w:val="fr-BE" w:eastAsia="fr-BE"/>
              </w:rPr>
              <w:tab/>
            </w:r>
            <w:r w:rsidR="00D30B23" w:rsidRPr="0036567D">
              <w:rPr>
                <w:rStyle w:val="Hyperlink"/>
                <w:noProof/>
              </w:rPr>
              <w:t>Information concerning the risks identified and the internal control system(s) set up to mitigate them</w:t>
            </w:r>
            <w:r w:rsidR="00D30B23">
              <w:rPr>
                <w:noProof/>
                <w:webHidden/>
              </w:rPr>
              <w:tab/>
            </w:r>
            <w:r w:rsidR="00D30B23">
              <w:rPr>
                <w:noProof/>
                <w:webHidden/>
              </w:rPr>
              <w:fldChar w:fldCharType="begin"/>
            </w:r>
            <w:r w:rsidR="00D30B23">
              <w:rPr>
                <w:noProof/>
                <w:webHidden/>
              </w:rPr>
              <w:instrText xml:space="preserve"> PAGEREF _Toc126826608 \h </w:instrText>
            </w:r>
            <w:r w:rsidR="00D30B23">
              <w:rPr>
                <w:noProof/>
                <w:webHidden/>
              </w:rPr>
            </w:r>
            <w:r w:rsidR="00D30B23">
              <w:rPr>
                <w:noProof/>
                <w:webHidden/>
              </w:rPr>
              <w:fldChar w:fldCharType="separate"/>
            </w:r>
            <w:r w:rsidR="00B97380">
              <w:rPr>
                <w:noProof/>
                <w:webHidden/>
              </w:rPr>
              <w:t>10</w:t>
            </w:r>
            <w:r w:rsidR="00D30B23">
              <w:rPr>
                <w:noProof/>
                <w:webHidden/>
              </w:rPr>
              <w:fldChar w:fldCharType="end"/>
            </w:r>
          </w:hyperlink>
        </w:p>
        <w:p w14:paraId="0C9A8CFD" w14:textId="6EA4B20D" w:rsidR="00D30B23" w:rsidRDefault="00850E3C">
          <w:pPr>
            <w:pStyle w:val="TOC3"/>
            <w:rPr>
              <w:rFonts w:asciiTheme="minorHAnsi" w:eastAsiaTheme="minorEastAsia" w:hAnsiTheme="minorHAnsi" w:cstheme="minorBidi"/>
              <w:noProof/>
              <w:sz w:val="22"/>
              <w:lang w:val="fr-BE" w:eastAsia="fr-BE"/>
            </w:rPr>
          </w:pPr>
          <w:hyperlink w:anchor="_Toc126826609" w:history="1">
            <w:r w:rsidR="00D30B23" w:rsidRPr="0036567D">
              <w:rPr>
                <w:rStyle w:val="Hyperlink"/>
                <w:noProof/>
              </w:rPr>
              <w:t>2.2.3.</w:t>
            </w:r>
            <w:r w:rsidR="00D30B23">
              <w:rPr>
                <w:rFonts w:asciiTheme="minorHAnsi" w:eastAsiaTheme="minorEastAsia" w:hAnsiTheme="minorHAnsi" w:cstheme="minorBidi"/>
                <w:noProof/>
                <w:sz w:val="22"/>
                <w:lang w:val="fr-BE" w:eastAsia="fr-BE"/>
              </w:rPr>
              <w:tab/>
            </w:r>
            <w:r w:rsidR="00D30B23" w:rsidRPr="0036567D">
              <w:rPr>
                <w:rStyle w:val="Hyperlink"/>
                <w:noProof/>
              </w:rPr>
              <w:t>Estimation and justification of the cost-effectiveness of the controls (ratio of "control costs ÷ value of the related funds managed"), and assessment of the expected levels of risk of error (at payment &amp; at closure)</w:t>
            </w:r>
            <w:r w:rsidR="00D30B23">
              <w:rPr>
                <w:noProof/>
                <w:webHidden/>
              </w:rPr>
              <w:tab/>
            </w:r>
            <w:r w:rsidR="00D30B23">
              <w:rPr>
                <w:noProof/>
                <w:webHidden/>
              </w:rPr>
              <w:fldChar w:fldCharType="begin"/>
            </w:r>
            <w:r w:rsidR="00D30B23">
              <w:rPr>
                <w:noProof/>
                <w:webHidden/>
              </w:rPr>
              <w:instrText xml:space="preserve"> PAGEREF _Toc126826609 \h </w:instrText>
            </w:r>
            <w:r w:rsidR="00D30B23">
              <w:rPr>
                <w:noProof/>
                <w:webHidden/>
              </w:rPr>
            </w:r>
            <w:r w:rsidR="00D30B23">
              <w:rPr>
                <w:noProof/>
                <w:webHidden/>
              </w:rPr>
              <w:fldChar w:fldCharType="separate"/>
            </w:r>
            <w:r w:rsidR="00B97380">
              <w:rPr>
                <w:noProof/>
                <w:webHidden/>
              </w:rPr>
              <w:t>11</w:t>
            </w:r>
            <w:r w:rsidR="00D30B23">
              <w:rPr>
                <w:noProof/>
                <w:webHidden/>
              </w:rPr>
              <w:fldChar w:fldCharType="end"/>
            </w:r>
          </w:hyperlink>
        </w:p>
        <w:p w14:paraId="201F76FE" w14:textId="3F4FA1F2" w:rsidR="00D30B23" w:rsidRDefault="00850E3C">
          <w:pPr>
            <w:pStyle w:val="TOC2"/>
            <w:rPr>
              <w:rFonts w:asciiTheme="minorHAnsi" w:eastAsiaTheme="minorEastAsia" w:hAnsiTheme="minorHAnsi" w:cstheme="minorBidi"/>
              <w:noProof/>
              <w:sz w:val="22"/>
              <w:lang w:val="fr-BE" w:eastAsia="fr-BE"/>
            </w:rPr>
          </w:pPr>
          <w:hyperlink w:anchor="_Toc126826610" w:history="1">
            <w:r w:rsidR="00D30B23" w:rsidRPr="0036567D">
              <w:rPr>
                <w:rStyle w:val="Hyperlink"/>
                <w:noProof/>
              </w:rPr>
              <w:t>2.3.</w:t>
            </w:r>
            <w:r w:rsidR="00D30B23">
              <w:rPr>
                <w:rFonts w:asciiTheme="minorHAnsi" w:eastAsiaTheme="minorEastAsia" w:hAnsiTheme="minorHAnsi" w:cstheme="minorBidi"/>
                <w:noProof/>
                <w:sz w:val="22"/>
                <w:lang w:val="fr-BE" w:eastAsia="fr-BE"/>
              </w:rPr>
              <w:tab/>
            </w:r>
            <w:r w:rsidR="00D30B23" w:rsidRPr="0036567D">
              <w:rPr>
                <w:rStyle w:val="Hyperlink"/>
                <w:noProof/>
              </w:rPr>
              <w:t>Measures to prevent fraud and irregularities</w:t>
            </w:r>
            <w:r w:rsidR="00D30B23">
              <w:rPr>
                <w:noProof/>
                <w:webHidden/>
              </w:rPr>
              <w:tab/>
            </w:r>
            <w:r w:rsidR="00D30B23">
              <w:rPr>
                <w:noProof/>
                <w:webHidden/>
              </w:rPr>
              <w:fldChar w:fldCharType="begin"/>
            </w:r>
            <w:r w:rsidR="00D30B23">
              <w:rPr>
                <w:noProof/>
                <w:webHidden/>
              </w:rPr>
              <w:instrText xml:space="preserve"> PAGEREF _Toc126826610 \h </w:instrText>
            </w:r>
            <w:r w:rsidR="00D30B23">
              <w:rPr>
                <w:noProof/>
                <w:webHidden/>
              </w:rPr>
            </w:r>
            <w:r w:rsidR="00D30B23">
              <w:rPr>
                <w:noProof/>
                <w:webHidden/>
              </w:rPr>
              <w:fldChar w:fldCharType="separate"/>
            </w:r>
            <w:r w:rsidR="00B97380">
              <w:rPr>
                <w:noProof/>
                <w:webHidden/>
              </w:rPr>
              <w:t>11</w:t>
            </w:r>
            <w:r w:rsidR="00D30B23">
              <w:rPr>
                <w:noProof/>
                <w:webHidden/>
              </w:rPr>
              <w:fldChar w:fldCharType="end"/>
            </w:r>
          </w:hyperlink>
        </w:p>
        <w:p w14:paraId="7224A0C6" w14:textId="6D049941" w:rsidR="00D30B23" w:rsidRDefault="00850E3C">
          <w:pPr>
            <w:pStyle w:val="TOC1"/>
            <w:rPr>
              <w:rFonts w:asciiTheme="minorHAnsi" w:eastAsiaTheme="minorEastAsia" w:hAnsiTheme="minorHAnsi" w:cstheme="minorBidi"/>
              <w:noProof/>
              <w:sz w:val="22"/>
              <w:lang w:val="fr-BE" w:eastAsia="fr-BE"/>
            </w:rPr>
          </w:pPr>
          <w:hyperlink w:anchor="_Toc126826611" w:history="1">
            <w:r w:rsidR="00D30B23" w:rsidRPr="0036567D">
              <w:rPr>
                <w:rStyle w:val="Hyperlink"/>
                <w:noProof/>
              </w:rPr>
              <w:t>3.</w:t>
            </w:r>
            <w:r w:rsidR="00D30B23">
              <w:rPr>
                <w:rFonts w:asciiTheme="minorHAnsi" w:eastAsiaTheme="minorEastAsia" w:hAnsiTheme="minorHAnsi" w:cstheme="minorBidi"/>
                <w:noProof/>
                <w:sz w:val="22"/>
                <w:lang w:val="fr-BE" w:eastAsia="fr-BE"/>
              </w:rPr>
              <w:tab/>
            </w:r>
            <w:r w:rsidR="00D30B23" w:rsidRPr="0036567D">
              <w:rPr>
                <w:rStyle w:val="Hyperlink"/>
                <w:noProof/>
              </w:rPr>
              <w:t>ESTIMATED FINANCIAL IMPACT OF THE PROPOSAL/INITIATIVE</w:t>
            </w:r>
            <w:r w:rsidR="00D30B23">
              <w:rPr>
                <w:noProof/>
                <w:webHidden/>
              </w:rPr>
              <w:tab/>
            </w:r>
            <w:r w:rsidR="00D30B23">
              <w:rPr>
                <w:noProof/>
                <w:webHidden/>
              </w:rPr>
              <w:fldChar w:fldCharType="begin"/>
            </w:r>
            <w:r w:rsidR="00D30B23">
              <w:rPr>
                <w:noProof/>
                <w:webHidden/>
              </w:rPr>
              <w:instrText xml:space="preserve"> PAGEREF _Toc126826611 \h </w:instrText>
            </w:r>
            <w:r w:rsidR="00D30B23">
              <w:rPr>
                <w:noProof/>
                <w:webHidden/>
              </w:rPr>
            </w:r>
            <w:r w:rsidR="00D30B23">
              <w:rPr>
                <w:noProof/>
                <w:webHidden/>
              </w:rPr>
              <w:fldChar w:fldCharType="separate"/>
            </w:r>
            <w:r w:rsidR="00B97380">
              <w:rPr>
                <w:noProof/>
                <w:webHidden/>
              </w:rPr>
              <w:t>12</w:t>
            </w:r>
            <w:r w:rsidR="00D30B23">
              <w:rPr>
                <w:noProof/>
                <w:webHidden/>
              </w:rPr>
              <w:fldChar w:fldCharType="end"/>
            </w:r>
          </w:hyperlink>
        </w:p>
        <w:p w14:paraId="0238B61B" w14:textId="6478325F" w:rsidR="00D30B23" w:rsidRDefault="00850E3C">
          <w:pPr>
            <w:pStyle w:val="TOC2"/>
            <w:rPr>
              <w:rFonts w:asciiTheme="minorHAnsi" w:eastAsiaTheme="minorEastAsia" w:hAnsiTheme="minorHAnsi" w:cstheme="minorBidi"/>
              <w:noProof/>
              <w:sz w:val="22"/>
              <w:lang w:val="fr-BE" w:eastAsia="fr-BE"/>
            </w:rPr>
          </w:pPr>
          <w:hyperlink w:anchor="_Toc126826612" w:history="1">
            <w:r w:rsidR="00D30B23" w:rsidRPr="0036567D">
              <w:rPr>
                <w:rStyle w:val="Hyperlink"/>
                <w:noProof/>
              </w:rPr>
              <w:t>3.1.</w:t>
            </w:r>
            <w:r w:rsidR="00D30B23">
              <w:rPr>
                <w:rFonts w:asciiTheme="minorHAnsi" w:eastAsiaTheme="minorEastAsia" w:hAnsiTheme="minorHAnsi" w:cstheme="minorBidi"/>
                <w:noProof/>
                <w:sz w:val="22"/>
                <w:lang w:val="fr-BE" w:eastAsia="fr-BE"/>
              </w:rPr>
              <w:tab/>
            </w:r>
            <w:r w:rsidR="00D30B23" w:rsidRPr="0036567D">
              <w:rPr>
                <w:rStyle w:val="Hyperlink"/>
                <w:noProof/>
              </w:rPr>
              <w:t>Heading(s) of the multiannual financial framework and expenditure budget line(s) affected</w:t>
            </w:r>
            <w:r w:rsidR="00D30B23">
              <w:rPr>
                <w:noProof/>
                <w:webHidden/>
              </w:rPr>
              <w:tab/>
            </w:r>
            <w:r w:rsidR="00D30B23">
              <w:rPr>
                <w:noProof/>
                <w:webHidden/>
              </w:rPr>
              <w:fldChar w:fldCharType="begin"/>
            </w:r>
            <w:r w:rsidR="00D30B23">
              <w:rPr>
                <w:noProof/>
                <w:webHidden/>
              </w:rPr>
              <w:instrText xml:space="preserve"> PAGEREF _Toc126826612 \h </w:instrText>
            </w:r>
            <w:r w:rsidR="00D30B23">
              <w:rPr>
                <w:noProof/>
                <w:webHidden/>
              </w:rPr>
            </w:r>
            <w:r w:rsidR="00D30B23">
              <w:rPr>
                <w:noProof/>
                <w:webHidden/>
              </w:rPr>
              <w:fldChar w:fldCharType="separate"/>
            </w:r>
            <w:r w:rsidR="00B97380">
              <w:rPr>
                <w:noProof/>
                <w:webHidden/>
              </w:rPr>
              <w:t>12</w:t>
            </w:r>
            <w:r w:rsidR="00D30B23">
              <w:rPr>
                <w:noProof/>
                <w:webHidden/>
              </w:rPr>
              <w:fldChar w:fldCharType="end"/>
            </w:r>
          </w:hyperlink>
        </w:p>
        <w:p w14:paraId="54AEEC1F" w14:textId="723145BE" w:rsidR="00D30B23" w:rsidRDefault="00850E3C">
          <w:pPr>
            <w:pStyle w:val="TOC2"/>
            <w:rPr>
              <w:rFonts w:asciiTheme="minorHAnsi" w:eastAsiaTheme="minorEastAsia" w:hAnsiTheme="minorHAnsi" w:cstheme="minorBidi"/>
              <w:noProof/>
              <w:sz w:val="22"/>
              <w:lang w:val="fr-BE" w:eastAsia="fr-BE"/>
            </w:rPr>
          </w:pPr>
          <w:hyperlink w:anchor="_Toc126826613" w:history="1">
            <w:r w:rsidR="00D30B23" w:rsidRPr="0036567D">
              <w:rPr>
                <w:rStyle w:val="Hyperlink"/>
                <w:noProof/>
              </w:rPr>
              <w:t>3.2.</w:t>
            </w:r>
            <w:r w:rsidR="00D30B23">
              <w:rPr>
                <w:rFonts w:asciiTheme="minorHAnsi" w:eastAsiaTheme="minorEastAsia" w:hAnsiTheme="minorHAnsi" w:cstheme="minorBidi"/>
                <w:noProof/>
                <w:sz w:val="22"/>
                <w:lang w:val="fr-BE" w:eastAsia="fr-BE"/>
              </w:rPr>
              <w:tab/>
            </w:r>
            <w:r w:rsidR="00D30B23" w:rsidRPr="0036567D">
              <w:rPr>
                <w:rStyle w:val="Hyperlink"/>
                <w:noProof/>
              </w:rPr>
              <w:t>Estimated financial impact of the proposal on appropriations</w:t>
            </w:r>
            <w:r w:rsidR="00D30B23">
              <w:rPr>
                <w:noProof/>
                <w:webHidden/>
              </w:rPr>
              <w:tab/>
            </w:r>
            <w:r w:rsidR="00D30B23">
              <w:rPr>
                <w:noProof/>
                <w:webHidden/>
              </w:rPr>
              <w:fldChar w:fldCharType="begin"/>
            </w:r>
            <w:r w:rsidR="00D30B23">
              <w:rPr>
                <w:noProof/>
                <w:webHidden/>
              </w:rPr>
              <w:instrText xml:space="preserve"> PAGEREF _Toc126826613 \h </w:instrText>
            </w:r>
            <w:r w:rsidR="00D30B23">
              <w:rPr>
                <w:noProof/>
                <w:webHidden/>
              </w:rPr>
            </w:r>
            <w:r w:rsidR="00D30B23">
              <w:rPr>
                <w:noProof/>
                <w:webHidden/>
              </w:rPr>
              <w:fldChar w:fldCharType="separate"/>
            </w:r>
            <w:r w:rsidR="00B97380">
              <w:rPr>
                <w:noProof/>
                <w:webHidden/>
              </w:rPr>
              <w:t>13</w:t>
            </w:r>
            <w:r w:rsidR="00D30B23">
              <w:rPr>
                <w:noProof/>
                <w:webHidden/>
              </w:rPr>
              <w:fldChar w:fldCharType="end"/>
            </w:r>
          </w:hyperlink>
        </w:p>
        <w:p w14:paraId="55A53196" w14:textId="674D850E" w:rsidR="00D30B23" w:rsidRDefault="00850E3C">
          <w:pPr>
            <w:pStyle w:val="TOC3"/>
            <w:rPr>
              <w:rFonts w:asciiTheme="minorHAnsi" w:eastAsiaTheme="minorEastAsia" w:hAnsiTheme="minorHAnsi" w:cstheme="minorBidi"/>
              <w:noProof/>
              <w:sz w:val="22"/>
              <w:lang w:val="fr-BE" w:eastAsia="fr-BE"/>
            </w:rPr>
          </w:pPr>
          <w:hyperlink w:anchor="_Toc126826614" w:history="1">
            <w:r w:rsidR="00D30B23" w:rsidRPr="0036567D">
              <w:rPr>
                <w:rStyle w:val="Hyperlink"/>
                <w:noProof/>
              </w:rPr>
              <w:t>3.2.1.</w:t>
            </w:r>
            <w:r w:rsidR="00D30B23">
              <w:rPr>
                <w:rFonts w:asciiTheme="minorHAnsi" w:eastAsiaTheme="minorEastAsia" w:hAnsiTheme="minorHAnsi" w:cstheme="minorBidi"/>
                <w:noProof/>
                <w:sz w:val="22"/>
                <w:lang w:val="fr-BE" w:eastAsia="fr-BE"/>
              </w:rPr>
              <w:tab/>
            </w:r>
            <w:r w:rsidR="00D30B23" w:rsidRPr="0036567D">
              <w:rPr>
                <w:rStyle w:val="Hyperlink"/>
                <w:noProof/>
              </w:rPr>
              <w:t>Summary of estimated impact on operational appropriations</w:t>
            </w:r>
            <w:r w:rsidR="00D30B23">
              <w:rPr>
                <w:noProof/>
                <w:webHidden/>
              </w:rPr>
              <w:tab/>
            </w:r>
            <w:r w:rsidR="00D30B23">
              <w:rPr>
                <w:noProof/>
                <w:webHidden/>
              </w:rPr>
              <w:fldChar w:fldCharType="begin"/>
            </w:r>
            <w:r w:rsidR="00D30B23">
              <w:rPr>
                <w:noProof/>
                <w:webHidden/>
              </w:rPr>
              <w:instrText xml:space="preserve"> PAGEREF _Toc126826614 \h </w:instrText>
            </w:r>
            <w:r w:rsidR="00D30B23">
              <w:rPr>
                <w:noProof/>
                <w:webHidden/>
              </w:rPr>
            </w:r>
            <w:r w:rsidR="00D30B23">
              <w:rPr>
                <w:noProof/>
                <w:webHidden/>
              </w:rPr>
              <w:fldChar w:fldCharType="separate"/>
            </w:r>
            <w:r w:rsidR="00B97380">
              <w:rPr>
                <w:noProof/>
                <w:webHidden/>
              </w:rPr>
              <w:t>13</w:t>
            </w:r>
            <w:r w:rsidR="00D30B23">
              <w:rPr>
                <w:noProof/>
                <w:webHidden/>
              </w:rPr>
              <w:fldChar w:fldCharType="end"/>
            </w:r>
          </w:hyperlink>
        </w:p>
        <w:p w14:paraId="3D6C2D8C" w14:textId="23F64DD1" w:rsidR="00D30B23" w:rsidRDefault="00850E3C">
          <w:pPr>
            <w:pStyle w:val="TOC3"/>
            <w:rPr>
              <w:rFonts w:asciiTheme="minorHAnsi" w:eastAsiaTheme="minorEastAsia" w:hAnsiTheme="minorHAnsi" w:cstheme="minorBidi"/>
              <w:noProof/>
              <w:sz w:val="22"/>
              <w:lang w:val="fr-BE" w:eastAsia="fr-BE"/>
            </w:rPr>
          </w:pPr>
          <w:hyperlink w:anchor="_Toc126826615" w:history="1">
            <w:r w:rsidR="00D30B23" w:rsidRPr="0036567D">
              <w:rPr>
                <w:rStyle w:val="Hyperlink"/>
                <w:noProof/>
              </w:rPr>
              <w:t>3.2.2.</w:t>
            </w:r>
            <w:r w:rsidR="00D30B23">
              <w:rPr>
                <w:rFonts w:asciiTheme="minorHAnsi" w:eastAsiaTheme="minorEastAsia" w:hAnsiTheme="minorHAnsi" w:cstheme="minorBidi"/>
                <w:noProof/>
                <w:sz w:val="22"/>
                <w:lang w:val="fr-BE" w:eastAsia="fr-BE"/>
              </w:rPr>
              <w:tab/>
            </w:r>
            <w:r w:rsidR="00D30B23" w:rsidRPr="0036567D">
              <w:rPr>
                <w:rStyle w:val="Hyperlink"/>
                <w:noProof/>
              </w:rPr>
              <w:t>Estimated output funded with operational appropriations</w:t>
            </w:r>
            <w:r w:rsidR="00D30B23">
              <w:rPr>
                <w:noProof/>
                <w:webHidden/>
              </w:rPr>
              <w:tab/>
            </w:r>
            <w:r w:rsidR="00D30B23">
              <w:rPr>
                <w:noProof/>
                <w:webHidden/>
              </w:rPr>
              <w:fldChar w:fldCharType="begin"/>
            </w:r>
            <w:r w:rsidR="00D30B23">
              <w:rPr>
                <w:noProof/>
                <w:webHidden/>
              </w:rPr>
              <w:instrText xml:space="preserve"> PAGEREF _Toc126826615 \h </w:instrText>
            </w:r>
            <w:r w:rsidR="00D30B23">
              <w:rPr>
                <w:noProof/>
                <w:webHidden/>
              </w:rPr>
            </w:r>
            <w:r w:rsidR="00D30B23">
              <w:rPr>
                <w:noProof/>
                <w:webHidden/>
              </w:rPr>
              <w:fldChar w:fldCharType="separate"/>
            </w:r>
            <w:r w:rsidR="00B97380">
              <w:rPr>
                <w:noProof/>
                <w:webHidden/>
              </w:rPr>
              <w:t>16</w:t>
            </w:r>
            <w:r w:rsidR="00D30B23">
              <w:rPr>
                <w:noProof/>
                <w:webHidden/>
              </w:rPr>
              <w:fldChar w:fldCharType="end"/>
            </w:r>
          </w:hyperlink>
        </w:p>
        <w:p w14:paraId="7A1C1678" w14:textId="1EFF42EC" w:rsidR="00D30B23" w:rsidRDefault="00850E3C">
          <w:pPr>
            <w:pStyle w:val="TOC3"/>
            <w:rPr>
              <w:rFonts w:asciiTheme="minorHAnsi" w:eastAsiaTheme="minorEastAsia" w:hAnsiTheme="minorHAnsi" w:cstheme="minorBidi"/>
              <w:noProof/>
              <w:sz w:val="22"/>
              <w:lang w:val="fr-BE" w:eastAsia="fr-BE"/>
            </w:rPr>
          </w:pPr>
          <w:hyperlink w:anchor="_Toc126826616" w:history="1">
            <w:r w:rsidR="00D30B23" w:rsidRPr="0036567D">
              <w:rPr>
                <w:rStyle w:val="Hyperlink"/>
                <w:noProof/>
              </w:rPr>
              <w:t>3.2.3.</w:t>
            </w:r>
            <w:r w:rsidR="00D30B23">
              <w:rPr>
                <w:rFonts w:asciiTheme="minorHAnsi" w:eastAsiaTheme="minorEastAsia" w:hAnsiTheme="minorHAnsi" w:cstheme="minorBidi"/>
                <w:noProof/>
                <w:sz w:val="22"/>
                <w:lang w:val="fr-BE" w:eastAsia="fr-BE"/>
              </w:rPr>
              <w:tab/>
            </w:r>
            <w:r w:rsidR="00D30B23" w:rsidRPr="0036567D">
              <w:rPr>
                <w:rStyle w:val="Hyperlink"/>
                <w:noProof/>
              </w:rPr>
              <w:t>Summary of estimated impact on administrative appropriations</w:t>
            </w:r>
            <w:r w:rsidR="00D30B23">
              <w:rPr>
                <w:noProof/>
                <w:webHidden/>
              </w:rPr>
              <w:tab/>
            </w:r>
            <w:r w:rsidR="00D30B23">
              <w:rPr>
                <w:noProof/>
                <w:webHidden/>
              </w:rPr>
              <w:fldChar w:fldCharType="begin"/>
            </w:r>
            <w:r w:rsidR="00D30B23">
              <w:rPr>
                <w:noProof/>
                <w:webHidden/>
              </w:rPr>
              <w:instrText xml:space="preserve"> PAGEREF _Toc126826616 \h </w:instrText>
            </w:r>
            <w:r w:rsidR="00D30B23">
              <w:rPr>
                <w:noProof/>
                <w:webHidden/>
              </w:rPr>
            </w:r>
            <w:r w:rsidR="00D30B23">
              <w:rPr>
                <w:noProof/>
                <w:webHidden/>
              </w:rPr>
              <w:fldChar w:fldCharType="separate"/>
            </w:r>
            <w:r w:rsidR="00B97380">
              <w:rPr>
                <w:noProof/>
                <w:webHidden/>
              </w:rPr>
              <w:t>17</w:t>
            </w:r>
            <w:r w:rsidR="00D30B23">
              <w:rPr>
                <w:noProof/>
                <w:webHidden/>
              </w:rPr>
              <w:fldChar w:fldCharType="end"/>
            </w:r>
          </w:hyperlink>
        </w:p>
        <w:p w14:paraId="2296E5CB" w14:textId="3B141BB3" w:rsidR="00D30B23" w:rsidRDefault="00850E3C">
          <w:pPr>
            <w:pStyle w:val="TOC3"/>
            <w:rPr>
              <w:rFonts w:asciiTheme="minorHAnsi" w:eastAsiaTheme="minorEastAsia" w:hAnsiTheme="minorHAnsi" w:cstheme="minorBidi"/>
              <w:noProof/>
              <w:sz w:val="22"/>
              <w:lang w:val="fr-BE" w:eastAsia="fr-BE"/>
            </w:rPr>
          </w:pPr>
          <w:hyperlink w:anchor="_Toc126826617" w:history="1">
            <w:r w:rsidR="00D30B23" w:rsidRPr="0036567D">
              <w:rPr>
                <w:rStyle w:val="Hyperlink"/>
                <w:noProof/>
              </w:rPr>
              <w:t>3.2.4.</w:t>
            </w:r>
            <w:r w:rsidR="00D30B23">
              <w:rPr>
                <w:rFonts w:asciiTheme="minorHAnsi" w:eastAsiaTheme="minorEastAsia" w:hAnsiTheme="minorHAnsi" w:cstheme="minorBidi"/>
                <w:noProof/>
                <w:sz w:val="22"/>
                <w:lang w:val="fr-BE" w:eastAsia="fr-BE"/>
              </w:rPr>
              <w:tab/>
            </w:r>
            <w:r w:rsidR="00D30B23" w:rsidRPr="0036567D">
              <w:rPr>
                <w:rStyle w:val="Hyperlink"/>
                <w:noProof/>
              </w:rPr>
              <w:t>Compatibility with the current multiannual financial framework</w:t>
            </w:r>
            <w:r w:rsidR="00D30B23">
              <w:rPr>
                <w:noProof/>
                <w:webHidden/>
              </w:rPr>
              <w:tab/>
            </w:r>
            <w:r w:rsidR="00D30B23">
              <w:rPr>
                <w:noProof/>
                <w:webHidden/>
              </w:rPr>
              <w:fldChar w:fldCharType="begin"/>
            </w:r>
            <w:r w:rsidR="00D30B23">
              <w:rPr>
                <w:noProof/>
                <w:webHidden/>
              </w:rPr>
              <w:instrText xml:space="preserve"> PAGEREF _Toc126826617 \h </w:instrText>
            </w:r>
            <w:r w:rsidR="00D30B23">
              <w:rPr>
                <w:noProof/>
                <w:webHidden/>
              </w:rPr>
            </w:r>
            <w:r w:rsidR="00D30B23">
              <w:rPr>
                <w:noProof/>
                <w:webHidden/>
              </w:rPr>
              <w:fldChar w:fldCharType="separate"/>
            </w:r>
            <w:r w:rsidR="00B97380">
              <w:rPr>
                <w:noProof/>
                <w:webHidden/>
              </w:rPr>
              <w:t>21</w:t>
            </w:r>
            <w:r w:rsidR="00D30B23">
              <w:rPr>
                <w:noProof/>
                <w:webHidden/>
              </w:rPr>
              <w:fldChar w:fldCharType="end"/>
            </w:r>
          </w:hyperlink>
        </w:p>
        <w:p w14:paraId="11FA5B50" w14:textId="0D777487" w:rsidR="00D30B23" w:rsidRDefault="00850E3C">
          <w:pPr>
            <w:pStyle w:val="TOC3"/>
            <w:rPr>
              <w:rFonts w:asciiTheme="minorHAnsi" w:eastAsiaTheme="minorEastAsia" w:hAnsiTheme="minorHAnsi" w:cstheme="minorBidi"/>
              <w:noProof/>
              <w:sz w:val="22"/>
              <w:lang w:val="fr-BE" w:eastAsia="fr-BE"/>
            </w:rPr>
          </w:pPr>
          <w:hyperlink w:anchor="_Toc126826618" w:history="1">
            <w:r w:rsidR="00D30B23" w:rsidRPr="0036567D">
              <w:rPr>
                <w:rStyle w:val="Hyperlink"/>
                <w:noProof/>
              </w:rPr>
              <w:t>3.2.5.</w:t>
            </w:r>
            <w:r w:rsidR="00D30B23">
              <w:rPr>
                <w:rFonts w:asciiTheme="minorHAnsi" w:eastAsiaTheme="minorEastAsia" w:hAnsiTheme="minorHAnsi" w:cstheme="minorBidi"/>
                <w:noProof/>
                <w:sz w:val="22"/>
                <w:lang w:val="fr-BE" w:eastAsia="fr-BE"/>
              </w:rPr>
              <w:tab/>
            </w:r>
            <w:r w:rsidR="00D30B23" w:rsidRPr="0036567D">
              <w:rPr>
                <w:rStyle w:val="Hyperlink"/>
                <w:noProof/>
              </w:rPr>
              <w:t>Third-party contributions</w:t>
            </w:r>
            <w:r w:rsidR="00D30B23">
              <w:rPr>
                <w:noProof/>
                <w:webHidden/>
              </w:rPr>
              <w:tab/>
            </w:r>
            <w:r w:rsidR="00D30B23">
              <w:rPr>
                <w:noProof/>
                <w:webHidden/>
              </w:rPr>
              <w:fldChar w:fldCharType="begin"/>
            </w:r>
            <w:r w:rsidR="00D30B23">
              <w:rPr>
                <w:noProof/>
                <w:webHidden/>
              </w:rPr>
              <w:instrText xml:space="preserve"> PAGEREF _Toc126826618 \h </w:instrText>
            </w:r>
            <w:r w:rsidR="00D30B23">
              <w:rPr>
                <w:noProof/>
                <w:webHidden/>
              </w:rPr>
            </w:r>
            <w:r w:rsidR="00D30B23">
              <w:rPr>
                <w:noProof/>
                <w:webHidden/>
              </w:rPr>
              <w:fldChar w:fldCharType="separate"/>
            </w:r>
            <w:r w:rsidR="00B97380">
              <w:rPr>
                <w:noProof/>
                <w:webHidden/>
              </w:rPr>
              <w:t>21</w:t>
            </w:r>
            <w:r w:rsidR="00D30B23">
              <w:rPr>
                <w:noProof/>
                <w:webHidden/>
              </w:rPr>
              <w:fldChar w:fldCharType="end"/>
            </w:r>
          </w:hyperlink>
        </w:p>
        <w:p w14:paraId="4C8DD93D" w14:textId="3ABE11FF" w:rsidR="00D30B23" w:rsidRDefault="00850E3C">
          <w:pPr>
            <w:pStyle w:val="TOC2"/>
            <w:rPr>
              <w:rFonts w:asciiTheme="minorHAnsi" w:eastAsiaTheme="minorEastAsia" w:hAnsiTheme="minorHAnsi" w:cstheme="minorBidi"/>
              <w:noProof/>
              <w:sz w:val="22"/>
              <w:lang w:val="fr-BE" w:eastAsia="fr-BE"/>
            </w:rPr>
          </w:pPr>
          <w:hyperlink w:anchor="_Toc126826619" w:history="1">
            <w:r w:rsidR="00D30B23" w:rsidRPr="0036567D">
              <w:rPr>
                <w:rStyle w:val="Hyperlink"/>
                <w:noProof/>
              </w:rPr>
              <w:t>3.3.</w:t>
            </w:r>
            <w:r w:rsidR="00D30B23">
              <w:rPr>
                <w:rFonts w:asciiTheme="minorHAnsi" w:eastAsiaTheme="minorEastAsia" w:hAnsiTheme="minorHAnsi" w:cstheme="minorBidi"/>
                <w:noProof/>
                <w:sz w:val="22"/>
                <w:lang w:val="fr-BE" w:eastAsia="fr-BE"/>
              </w:rPr>
              <w:tab/>
            </w:r>
            <w:r w:rsidR="00D30B23" w:rsidRPr="0036567D">
              <w:rPr>
                <w:rStyle w:val="Hyperlink"/>
                <w:noProof/>
              </w:rPr>
              <w:t>Estimated impact on revenue</w:t>
            </w:r>
            <w:r w:rsidR="00D30B23">
              <w:rPr>
                <w:noProof/>
                <w:webHidden/>
              </w:rPr>
              <w:tab/>
            </w:r>
            <w:r w:rsidR="00D30B23">
              <w:rPr>
                <w:noProof/>
                <w:webHidden/>
              </w:rPr>
              <w:fldChar w:fldCharType="begin"/>
            </w:r>
            <w:r w:rsidR="00D30B23">
              <w:rPr>
                <w:noProof/>
                <w:webHidden/>
              </w:rPr>
              <w:instrText xml:space="preserve"> PAGEREF _Toc126826619 \h </w:instrText>
            </w:r>
            <w:r w:rsidR="00D30B23">
              <w:rPr>
                <w:noProof/>
                <w:webHidden/>
              </w:rPr>
            </w:r>
            <w:r w:rsidR="00D30B23">
              <w:rPr>
                <w:noProof/>
                <w:webHidden/>
              </w:rPr>
              <w:fldChar w:fldCharType="separate"/>
            </w:r>
            <w:r w:rsidR="00B97380">
              <w:rPr>
                <w:noProof/>
                <w:webHidden/>
              </w:rPr>
              <w:t>23</w:t>
            </w:r>
            <w:r w:rsidR="00D30B23">
              <w:rPr>
                <w:noProof/>
                <w:webHidden/>
              </w:rPr>
              <w:fldChar w:fldCharType="end"/>
            </w:r>
          </w:hyperlink>
        </w:p>
        <w:p w14:paraId="78D3D671" w14:textId="77777777" w:rsidR="00171097" w:rsidRDefault="00171097">
          <w:pPr>
            <w:rPr>
              <w:noProof/>
            </w:rPr>
          </w:pPr>
          <w:r>
            <w:rPr>
              <w:b/>
              <w:bCs/>
              <w:noProof/>
            </w:rPr>
            <w:fldChar w:fldCharType="end"/>
          </w:r>
        </w:p>
      </w:sdtContent>
    </w:sdt>
    <w:p w14:paraId="71D6B2B8" w14:textId="77777777" w:rsidR="00836BD4" w:rsidRDefault="00836BD4" w:rsidP="00AB6191">
      <w:pPr>
        <w:rPr>
          <w:noProof/>
        </w:rPr>
        <w:sectPr w:rsidR="00836BD4" w:rsidSect="00B21379">
          <w:pgSz w:w="11907" w:h="16840" w:code="9"/>
          <w:pgMar w:top="1134" w:right="1418" w:bottom="1134" w:left="1418" w:header="709" w:footer="709" w:gutter="0"/>
          <w:pgNumType w:start="1"/>
          <w:cols w:space="720"/>
          <w:docGrid w:linePitch="360"/>
        </w:sectPr>
      </w:pPr>
    </w:p>
    <w:p w14:paraId="54933ED8" w14:textId="77777777" w:rsidR="0045124E" w:rsidRDefault="0045124E" w:rsidP="0045124E">
      <w:pPr>
        <w:jc w:val="center"/>
        <w:rPr>
          <w:b/>
          <w:noProof/>
          <w:u w:val="single"/>
        </w:rPr>
      </w:pPr>
      <w:r w:rsidRPr="001F3BC6">
        <w:rPr>
          <w:b/>
          <w:noProof/>
          <w:u w:val="single"/>
        </w:rPr>
        <w:t>LEGISLATIVE FINANCIAL STATEMENT</w:t>
      </w:r>
    </w:p>
    <w:p w14:paraId="2FDEC401" w14:textId="77777777" w:rsidR="00AB6191" w:rsidRPr="008231CB" w:rsidRDefault="00AB6191" w:rsidP="00AB6191">
      <w:pPr>
        <w:pStyle w:val="ManualHeading1"/>
        <w:rPr>
          <w:noProof/>
        </w:rPr>
      </w:pPr>
      <w:bookmarkStart w:id="65" w:name="_Toc514938007"/>
      <w:bookmarkStart w:id="66" w:name="_Toc520485025"/>
      <w:bookmarkStart w:id="67" w:name="_Toc126826587"/>
      <w:r w:rsidRPr="008231CB">
        <w:rPr>
          <w:noProof/>
        </w:rPr>
        <w:t>1.</w:t>
      </w:r>
      <w:r w:rsidRPr="008231CB">
        <w:rPr>
          <w:noProof/>
        </w:rPr>
        <w:tab/>
        <w:t xml:space="preserve">FRAMEWORK OF THE </w:t>
      </w:r>
      <w:r w:rsidRPr="00C921A3">
        <w:rPr>
          <w:noProof/>
        </w:rPr>
        <w:t>PROPOSAL/INITIATIVE</w:t>
      </w:r>
      <w:bookmarkEnd w:id="65"/>
      <w:bookmarkEnd w:id="66"/>
      <w:bookmarkEnd w:id="67"/>
      <w:r w:rsidRPr="008231CB">
        <w:rPr>
          <w:noProof/>
        </w:rPr>
        <w:t xml:space="preserve"> </w:t>
      </w:r>
    </w:p>
    <w:p w14:paraId="1012248C" w14:textId="77777777" w:rsidR="00AB6191" w:rsidRPr="008231CB" w:rsidRDefault="00AB6191" w:rsidP="00AB6191">
      <w:pPr>
        <w:pStyle w:val="ManualHeading2"/>
        <w:rPr>
          <w:noProof/>
        </w:rPr>
      </w:pPr>
      <w:bookmarkStart w:id="68" w:name="_Toc514938008"/>
      <w:bookmarkStart w:id="69" w:name="_Toc520485026"/>
      <w:bookmarkStart w:id="70" w:name="_Toc126826588"/>
      <w:r w:rsidRPr="008231CB">
        <w:rPr>
          <w:noProof/>
        </w:rPr>
        <w:t>1.1.</w:t>
      </w:r>
      <w:r w:rsidRPr="008231CB">
        <w:rPr>
          <w:noProof/>
        </w:rPr>
        <w:tab/>
        <w:t>Title of the proposal/initiative</w:t>
      </w:r>
      <w:bookmarkEnd w:id="68"/>
      <w:bookmarkEnd w:id="69"/>
      <w:bookmarkEnd w:id="70"/>
    </w:p>
    <w:p w14:paraId="2310BB98" w14:textId="77777777" w:rsidR="00AB6191" w:rsidRPr="008231CB" w:rsidRDefault="00A00216" w:rsidP="00AB6191">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Directive of the European Parliament and of the Council amending Directives 2009/102/EC and (EU) </w:t>
      </w:r>
      <w:r w:rsidR="00191A9C">
        <w:rPr>
          <w:noProof/>
        </w:rPr>
        <w:t>2017/1132 as regards further expanding and upgrading the use of digital tools and processes in company law</w:t>
      </w:r>
    </w:p>
    <w:p w14:paraId="53F97A8D" w14:textId="77777777" w:rsidR="00AB6191" w:rsidRPr="008231CB" w:rsidRDefault="00AB6191" w:rsidP="00AB6191">
      <w:pPr>
        <w:pStyle w:val="ManualHeading2"/>
        <w:rPr>
          <w:i/>
          <w:noProof/>
        </w:rPr>
      </w:pPr>
      <w:bookmarkStart w:id="71" w:name="_Toc514938011"/>
      <w:bookmarkStart w:id="72" w:name="_Toc520485027"/>
      <w:bookmarkStart w:id="73" w:name="_Toc126826589"/>
      <w:r w:rsidRPr="008231CB">
        <w:rPr>
          <w:noProof/>
        </w:rPr>
        <w:t>1.2.</w:t>
      </w:r>
      <w:r w:rsidRPr="008231CB">
        <w:rPr>
          <w:noProof/>
        </w:rPr>
        <w:tab/>
        <w:t>Policy area(s) concerned</w:t>
      </w:r>
      <w:bookmarkEnd w:id="71"/>
      <w:bookmarkEnd w:id="72"/>
      <w:bookmarkEnd w:id="73"/>
      <w:r w:rsidRPr="008231CB">
        <w:rPr>
          <w:i/>
          <w:noProof/>
        </w:rPr>
        <w:t xml:space="preserve"> </w:t>
      </w:r>
    </w:p>
    <w:p w14:paraId="24DF663D" w14:textId="77777777" w:rsidR="00AB6191" w:rsidRPr="008231CB" w:rsidRDefault="0088398E" w:rsidP="00AB6191">
      <w:pPr>
        <w:pStyle w:val="Text1"/>
        <w:pBdr>
          <w:top w:val="single" w:sz="4" w:space="1" w:color="auto"/>
          <w:left w:val="single" w:sz="4" w:space="4" w:color="auto"/>
          <w:bottom w:val="single" w:sz="4" w:space="1" w:color="auto"/>
          <w:right w:val="single" w:sz="4" w:space="4" w:color="auto"/>
        </w:pBdr>
        <w:rPr>
          <w:noProof/>
        </w:rPr>
      </w:pPr>
      <w:r>
        <w:rPr>
          <w:noProof/>
        </w:rPr>
        <w:t>Company Law/</w:t>
      </w:r>
      <w:r w:rsidR="00BC5AAE">
        <w:rPr>
          <w:noProof/>
        </w:rPr>
        <w:t>s</w:t>
      </w:r>
      <w:r>
        <w:rPr>
          <w:noProof/>
        </w:rPr>
        <w:t xml:space="preserve">ingle </w:t>
      </w:r>
      <w:r w:rsidR="00BC5AAE">
        <w:rPr>
          <w:noProof/>
        </w:rPr>
        <w:t>m</w:t>
      </w:r>
      <w:r>
        <w:rPr>
          <w:noProof/>
        </w:rPr>
        <w:t>arket</w:t>
      </w:r>
    </w:p>
    <w:p w14:paraId="29620508"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p>
    <w:p w14:paraId="3067D9B3" w14:textId="77777777" w:rsidR="00AB6191" w:rsidRPr="008231CB" w:rsidRDefault="00AB6191" w:rsidP="00AB6191">
      <w:pPr>
        <w:pStyle w:val="ManualHeading2"/>
        <w:rPr>
          <w:bCs/>
          <w:noProof/>
          <w:szCs w:val="24"/>
        </w:rPr>
      </w:pPr>
      <w:bookmarkStart w:id="74" w:name="_Toc514938014"/>
      <w:bookmarkStart w:id="75" w:name="_Toc520485028"/>
      <w:bookmarkStart w:id="76" w:name="_Toc126826590"/>
      <w:r w:rsidRPr="008231CB">
        <w:rPr>
          <w:noProof/>
        </w:rPr>
        <w:t>1.3.</w:t>
      </w:r>
      <w:r w:rsidRPr="008231CB">
        <w:rPr>
          <w:noProof/>
        </w:rPr>
        <w:tab/>
        <w:t>The proposal/initiative relates to:</w:t>
      </w:r>
      <w:bookmarkEnd w:id="74"/>
      <w:bookmarkEnd w:id="75"/>
      <w:bookmarkEnd w:id="76"/>
      <w:r w:rsidRPr="008231CB">
        <w:rPr>
          <w:noProof/>
        </w:rPr>
        <w:t xml:space="preserve"> </w:t>
      </w:r>
    </w:p>
    <w:p w14:paraId="1B17810B" w14:textId="77777777" w:rsidR="00AB6191" w:rsidRPr="008231CB" w:rsidRDefault="00AB6191" w:rsidP="00AB6191">
      <w:pPr>
        <w:pStyle w:val="Text1"/>
        <w:rPr>
          <w:b/>
          <w:noProof/>
          <w:sz w:val="22"/>
        </w:rPr>
      </w:pPr>
      <w:r w:rsidRPr="008231CB">
        <w:rPr>
          <w:rFonts w:ascii="Segoe UI Symbol" w:hAnsi="Segoe UI Symbol" w:cs="Segoe UI Symbol"/>
          <w:noProof/>
          <w:color w:val="333333"/>
          <w:sz w:val="27"/>
          <w:szCs w:val="27"/>
          <w:shd w:val="clear" w:color="auto" w:fill="FFFFFF"/>
        </w:rPr>
        <w:t>☒</w:t>
      </w:r>
      <w:r w:rsidRPr="008231CB">
        <w:rPr>
          <w:b/>
          <w:i/>
          <w:noProof/>
          <w:sz w:val="22"/>
        </w:rPr>
        <w:t xml:space="preserve"> </w:t>
      </w:r>
      <w:r w:rsidRPr="008231CB">
        <w:rPr>
          <w:b/>
          <w:noProof/>
        </w:rPr>
        <w:t>a new action</w:t>
      </w:r>
      <w:r w:rsidRPr="008231CB">
        <w:rPr>
          <w:b/>
          <w:noProof/>
          <w:sz w:val="22"/>
        </w:rPr>
        <w:t xml:space="preserve"> </w:t>
      </w:r>
    </w:p>
    <w:p w14:paraId="6FBE54BE" w14:textId="77777777" w:rsidR="00AB6191" w:rsidRPr="008231CB" w:rsidRDefault="00AB6191" w:rsidP="00AB6191">
      <w:pPr>
        <w:pStyle w:val="Text1"/>
        <w:rPr>
          <w:noProof/>
          <w:sz w:val="22"/>
        </w:rPr>
      </w:pPr>
      <w:r w:rsidRPr="008231CB">
        <w:rPr>
          <w:rFonts w:ascii="Wingdings" w:eastAsia="Wingdings" w:hAnsi="Wingdings" w:cs="Wingdings"/>
          <w:noProof/>
          <w:sz w:val="22"/>
        </w:rPr>
        <w:t></w:t>
      </w:r>
      <w:r w:rsidRPr="008231CB">
        <w:rPr>
          <w:i/>
          <w:noProof/>
          <w:sz w:val="22"/>
        </w:rPr>
        <w:t xml:space="preserve"> </w:t>
      </w:r>
      <w:r w:rsidRPr="008231CB">
        <w:rPr>
          <w:b/>
          <w:noProof/>
        </w:rPr>
        <w:t>a new action following a pilot project/preparatory action</w:t>
      </w:r>
      <w:r w:rsidRPr="00EC6C35">
        <w:rPr>
          <w:rStyle w:val="FootnoteReference"/>
          <w:noProof/>
        </w:rPr>
        <w:footnoteReference w:id="68"/>
      </w:r>
      <w:r w:rsidRPr="008231CB">
        <w:rPr>
          <w:noProof/>
          <w:sz w:val="22"/>
        </w:rPr>
        <w:t xml:space="preserve"> </w:t>
      </w:r>
    </w:p>
    <w:p w14:paraId="73C5DD61" w14:textId="77777777" w:rsidR="00AB6191" w:rsidRPr="008231CB" w:rsidRDefault="00AB6191" w:rsidP="00AB6191">
      <w:pPr>
        <w:pStyle w:val="Text1"/>
        <w:rPr>
          <w:noProof/>
          <w:sz w:val="22"/>
        </w:rPr>
      </w:pPr>
      <w:r w:rsidRPr="008231CB">
        <w:rPr>
          <w:rFonts w:ascii="Wingdings" w:eastAsia="Wingdings" w:hAnsi="Wingdings" w:cs="Wingdings"/>
          <w:noProof/>
          <w:sz w:val="22"/>
        </w:rPr>
        <w:t></w:t>
      </w:r>
      <w:r w:rsidRPr="008231CB">
        <w:rPr>
          <w:i/>
          <w:noProof/>
          <w:sz w:val="22"/>
        </w:rPr>
        <w:t xml:space="preserve"> </w:t>
      </w:r>
      <w:r w:rsidRPr="008231CB">
        <w:rPr>
          <w:b/>
          <w:noProof/>
        </w:rPr>
        <w:t>the extension of an existing action</w:t>
      </w:r>
      <w:r w:rsidRPr="008231CB">
        <w:rPr>
          <w:noProof/>
          <w:sz w:val="22"/>
        </w:rPr>
        <w:t xml:space="preserve"> </w:t>
      </w:r>
    </w:p>
    <w:p w14:paraId="08CAC2DC" w14:textId="77777777" w:rsidR="00AB6191" w:rsidRPr="008231CB" w:rsidRDefault="00AB6191" w:rsidP="00AB6191">
      <w:pPr>
        <w:pStyle w:val="Text1"/>
        <w:rPr>
          <w:noProof/>
        </w:rPr>
      </w:pPr>
      <w:r w:rsidRPr="008231CB">
        <w:rPr>
          <w:rFonts w:ascii="Wingdings" w:eastAsia="Wingdings" w:hAnsi="Wingdings" w:cs="Wingdings"/>
          <w:noProof/>
          <w:sz w:val="22"/>
        </w:rPr>
        <w:t></w:t>
      </w:r>
      <w:r w:rsidRPr="008231CB">
        <w:rPr>
          <w:i/>
          <w:noProof/>
          <w:sz w:val="22"/>
        </w:rPr>
        <w:t xml:space="preserve"> </w:t>
      </w:r>
      <w:r w:rsidRPr="008231CB">
        <w:rPr>
          <w:b/>
          <w:noProof/>
        </w:rPr>
        <w:t>a merger or redirection of one or more actions towards another/a new action</w:t>
      </w:r>
      <w:r w:rsidRPr="008231CB">
        <w:rPr>
          <w:noProof/>
        </w:rPr>
        <w:t xml:space="preserve"> </w:t>
      </w:r>
    </w:p>
    <w:p w14:paraId="65A225B2" w14:textId="77777777" w:rsidR="00AB6191" w:rsidRPr="008231CB" w:rsidRDefault="00AB6191" w:rsidP="00AB6191">
      <w:pPr>
        <w:pStyle w:val="ManualHeading2"/>
        <w:rPr>
          <w:bCs/>
          <w:noProof/>
          <w:szCs w:val="24"/>
        </w:rPr>
      </w:pPr>
      <w:bookmarkStart w:id="77" w:name="_Toc514938015"/>
      <w:bookmarkStart w:id="78" w:name="_Toc520485029"/>
      <w:bookmarkStart w:id="79" w:name="_Toc126826591"/>
      <w:r w:rsidRPr="008231CB">
        <w:rPr>
          <w:noProof/>
        </w:rPr>
        <w:t>1.4.</w:t>
      </w:r>
      <w:r w:rsidRPr="008231CB">
        <w:rPr>
          <w:noProof/>
        </w:rPr>
        <w:tab/>
        <w:t>Objective(s)</w:t>
      </w:r>
      <w:bookmarkEnd w:id="77"/>
      <w:bookmarkEnd w:id="78"/>
      <w:bookmarkEnd w:id="79"/>
    </w:p>
    <w:p w14:paraId="188D0B36" w14:textId="77777777" w:rsidR="00AB6191" w:rsidRDefault="00AB6191" w:rsidP="00AB6191">
      <w:pPr>
        <w:pStyle w:val="ManualHeading3"/>
        <w:rPr>
          <w:noProof/>
        </w:rPr>
      </w:pPr>
      <w:bookmarkStart w:id="80" w:name="_Toc514938016"/>
      <w:bookmarkStart w:id="81" w:name="_Toc520485030"/>
      <w:bookmarkStart w:id="82" w:name="_Toc126826592"/>
      <w:r w:rsidRPr="008231CB">
        <w:rPr>
          <w:noProof/>
        </w:rPr>
        <w:t>1.4.1.</w:t>
      </w:r>
      <w:r w:rsidRPr="008231CB">
        <w:rPr>
          <w:noProof/>
        </w:rPr>
        <w:tab/>
        <w:t>General objective(s)</w:t>
      </w:r>
      <w:bookmarkEnd w:id="80"/>
      <w:bookmarkEnd w:id="81"/>
      <w:bookmarkEnd w:id="82"/>
    </w:p>
    <w:tbl>
      <w:tblPr>
        <w:tblStyle w:val="TableGrid"/>
        <w:tblW w:w="0" w:type="auto"/>
        <w:tblInd w:w="850" w:type="dxa"/>
        <w:tblLook w:val="04A0" w:firstRow="1" w:lastRow="0" w:firstColumn="1" w:lastColumn="0" w:noHBand="0" w:noVBand="1"/>
      </w:tblPr>
      <w:tblGrid>
        <w:gridCol w:w="13938"/>
      </w:tblGrid>
      <w:tr w:rsidR="00E302F1" w14:paraId="6F066C8A" w14:textId="77777777" w:rsidTr="00E302F1">
        <w:tc>
          <w:tcPr>
            <w:tcW w:w="14788" w:type="dxa"/>
          </w:tcPr>
          <w:p w14:paraId="75F3DF85" w14:textId="77777777" w:rsidR="00E302F1" w:rsidRPr="0094103F" w:rsidRDefault="00E302F1" w:rsidP="00E302F1">
            <w:pPr>
              <w:pStyle w:val="Text1"/>
              <w:ind w:left="142"/>
              <w:jc w:val="left"/>
              <w:rPr>
                <w:noProof/>
              </w:rPr>
            </w:pPr>
            <w:r>
              <w:rPr>
                <w:noProof/>
              </w:rPr>
              <w:t>The general objectives of this proposal are:</w:t>
            </w:r>
          </w:p>
          <w:p w14:paraId="27D2E768" w14:textId="77777777" w:rsidR="00E302F1" w:rsidRPr="008231CB" w:rsidRDefault="00E302F1" w:rsidP="00432A4D">
            <w:pPr>
              <w:pStyle w:val="Tiret1"/>
              <w:numPr>
                <w:ilvl w:val="0"/>
                <w:numId w:val="19"/>
              </w:numPr>
              <w:tabs>
                <w:tab w:val="clear" w:pos="1417"/>
                <w:tab w:val="num" w:pos="425"/>
              </w:tabs>
              <w:ind w:left="142" w:firstLine="0"/>
              <w:contextualSpacing/>
              <w:jc w:val="left"/>
              <w:rPr>
                <w:noProof/>
              </w:rPr>
            </w:pPr>
            <w:r w:rsidRPr="008231CB">
              <w:rPr>
                <w:noProof/>
              </w:rPr>
              <w:t>Enhanced transparency and trust in the business env</w:t>
            </w:r>
            <w:r>
              <w:rPr>
                <w:noProof/>
              </w:rPr>
              <w:t>i</w:t>
            </w:r>
            <w:r w:rsidRPr="008231CB">
              <w:rPr>
                <w:noProof/>
              </w:rPr>
              <w:t>ronment</w:t>
            </w:r>
          </w:p>
          <w:p w14:paraId="61043E72" w14:textId="77777777" w:rsidR="00E302F1" w:rsidRPr="008231CB" w:rsidRDefault="00E302F1" w:rsidP="00E302F1">
            <w:pPr>
              <w:pStyle w:val="Tiret1"/>
              <w:tabs>
                <w:tab w:val="clear" w:pos="1417"/>
                <w:tab w:val="num" w:pos="425"/>
              </w:tabs>
              <w:ind w:left="709"/>
              <w:contextualSpacing/>
              <w:rPr>
                <w:noProof/>
              </w:rPr>
            </w:pPr>
            <w:r w:rsidRPr="008231CB">
              <w:rPr>
                <w:noProof/>
              </w:rPr>
              <w:t>More digitalised and connected cross-border public services for companies</w:t>
            </w:r>
          </w:p>
          <w:p w14:paraId="7ADC880F" w14:textId="77777777" w:rsidR="00E302F1" w:rsidRDefault="00E302F1" w:rsidP="00E302F1">
            <w:pPr>
              <w:pStyle w:val="Tiret1"/>
              <w:tabs>
                <w:tab w:val="clear" w:pos="1417"/>
                <w:tab w:val="num" w:pos="425"/>
              </w:tabs>
              <w:ind w:left="142" w:firstLine="0"/>
              <w:contextualSpacing/>
              <w:jc w:val="left"/>
              <w:rPr>
                <w:noProof/>
              </w:rPr>
            </w:pPr>
            <w:r w:rsidRPr="008231CB">
              <w:rPr>
                <w:noProof/>
              </w:rPr>
              <w:t>Easier cross-border expans</w:t>
            </w:r>
            <w:r>
              <w:rPr>
                <w:noProof/>
              </w:rPr>
              <w:t>i</w:t>
            </w:r>
            <w:r w:rsidRPr="008231CB">
              <w:rPr>
                <w:noProof/>
              </w:rPr>
              <w:t>on for SMEs</w:t>
            </w:r>
          </w:p>
          <w:p w14:paraId="795C8FD2" w14:textId="77777777" w:rsidR="00E302F1" w:rsidRPr="00E302F1" w:rsidRDefault="00E302F1" w:rsidP="00E302F1">
            <w:pPr>
              <w:pStyle w:val="Tiret1"/>
              <w:tabs>
                <w:tab w:val="clear" w:pos="1417"/>
                <w:tab w:val="num" w:pos="425"/>
              </w:tabs>
              <w:ind w:hanging="1275"/>
              <w:contextualSpacing/>
              <w:rPr>
                <w:noProof/>
              </w:rPr>
            </w:pPr>
            <w:r>
              <w:rPr>
                <w:noProof/>
              </w:rPr>
              <w:t xml:space="preserve">More effective EU action against abuse and fraud. </w:t>
            </w:r>
          </w:p>
        </w:tc>
      </w:tr>
    </w:tbl>
    <w:p w14:paraId="647ED0B5" w14:textId="77777777" w:rsidR="00AB6191" w:rsidRPr="008231CB" w:rsidRDefault="00AB6191" w:rsidP="00AB6191">
      <w:pPr>
        <w:pStyle w:val="ManualHeading3"/>
        <w:rPr>
          <w:bCs/>
          <w:noProof/>
          <w:szCs w:val="24"/>
        </w:rPr>
      </w:pPr>
      <w:bookmarkStart w:id="83" w:name="_Toc514938018"/>
      <w:bookmarkStart w:id="84" w:name="_Toc520485031"/>
      <w:bookmarkStart w:id="85" w:name="_Toc126826593"/>
      <w:r w:rsidRPr="008231CB">
        <w:rPr>
          <w:noProof/>
        </w:rPr>
        <w:t>1.4.2.</w:t>
      </w:r>
      <w:r w:rsidRPr="008231CB">
        <w:rPr>
          <w:noProof/>
        </w:rPr>
        <w:tab/>
        <w:t>Specific objective(s)</w:t>
      </w:r>
      <w:bookmarkEnd w:id="83"/>
      <w:bookmarkEnd w:id="84"/>
      <w:bookmarkEnd w:id="85"/>
    </w:p>
    <w:p w14:paraId="7019A337"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u w:val="single"/>
        </w:rPr>
      </w:pPr>
      <w:r w:rsidRPr="008231CB">
        <w:rPr>
          <w:noProof/>
          <w:u w:val="single"/>
        </w:rPr>
        <w:t>Specific objective No 1:</w:t>
      </w:r>
    </w:p>
    <w:p w14:paraId="229771AA"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xml:space="preserve">Increasing the amount and improving the reliability of company data available in business registers and/or Business </w:t>
      </w:r>
      <w:r w:rsidR="00F70C51">
        <w:rPr>
          <w:noProof/>
        </w:rPr>
        <w:t>R</w:t>
      </w:r>
      <w:r w:rsidRPr="008231CB">
        <w:rPr>
          <w:noProof/>
        </w:rPr>
        <w:t>egisters Interconnection System (BRIS).</w:t>
      </w:r>
    </w:p>
    <w:p w14:paraId="26F043D4"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u w:val="single"/>
        </w:rPr>
      </w:pPr>
      <w:r w:rsidRPr="008231CB">
        <w:rPr>
          <w:noProof/>
          <w:u w:val="single"/>
        </w:rPr>
        <w:t xml:space="preserve">Specific objective No </w:t>
      </w:r>
      <w:r w:rsidR="00F70C51">
        <w:rPr>
          <w:noProof/>
          <w:u w:val="single"/>
        </w:rPr>
        <w:t>2</w:t>
      </w:r>
      <w:r w:rsidRPr="008231CB">
        <w:rPr>
          <w:noProof/>
          <w:u w:val="single"/>
        </w:rPr>
        <w:t>:</w:t>
      </w:r>
    </w:p>
    <w:p w14:paraId="6A66D0EA"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Enabling direct use of company data available in business registers when setting up cross-border branches</w:t>
      </w:r>
      <w:r w:rsidR="00AE22B2">
        <w:rPr>
          <w:noProof/>
        </w:rPr>
        <w:t xml:space="preserve"> or </w:t>
      </w:r>
      <w:r w:rsidRPr="008231CB">
        <w:rPr>
          <w:noProof/>
        </w:rPr>
        <w:t>subsidiaries and in other cross-border activities and situations.</w:t>
      </w:r>
    </w:p>
    <w:p w14:paraId="056983FE" w14:textId="77777777" w:rsidR="00AB6191" w:rsidRPr="008231CB" w:rsidRDefault="00AB6191" w:rsidP="00AB6191">
      <w:pPr>
        <w:pStyle w:val="ManualHeading3"/>
        <w:rPr>
          <w:noProof/>
        </w:rPr>
      </w:pPr>
      <w:bookmarkStart w:id="86" w:name="_Toc514938019"/>
      <w:bookmarkStart w:id="87" w:name="_Toc520485032"/>
      <w:bookmarkStart w:id="88" w:name="_Toc126826594"/>
      <w:r w:rsidRPr="008231CB">
        <w:rPr>
          <w:noProof/>
        </w:rPr>
        <w:t>1.4.3.</w:t>
      </w:r>
      <w:r w:rsidRPr="008231CB">
        <w:rPr>
          <w:noProof/>
        </w:rPr>
        <w:tab/>
        <w:t>Expected result(s) and impact</w:t>
      </w:r>
      <w:bookmarkEnd w:id="86"/>
      <w:bookmarkEnd w:id="87"/>
      <w:bookmarkEnd w:id="88"/>
    </w:p>
    <w:p w14:paraId="3BF958BA" w14:textId="77777777" w:rsidR="00AE22B2" w:rsidRPr="00AE22B2"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AE22B2">
        <w:rPr>
          <w:noProof/>
          <w:szCs w:val="24"/>
          <w:shd w:val="clear" w:color="auto" w:fill="FFFFFF"/>
        </w:rPr>
        <w:t xml:space="preserve">The expected results and impact of this </w:t>
      </w:r>
      <w:r w:rsidR="006C7DB0">
        <w:rPr>
          <w:noProof/>
          <w:szCs w:val="24"/>
          <w:shd w:val="clear" w:color="auto" w:fill="FFFFFF"/>
        </w:rPr>
        <w:t>proposal</w:t>
      </w:r>
      <w:r w:rsidRPr="00AE22B2">
        <w:rPr>
          <w:noProof/>
          <w:szCs w:val="24"/>
          <w:shd w:val="clear" w:color="auto" w:fill="FFFFFF"/>
        </w:rPr>
        <w:t xml:space="preserve"> are:</w:t>
      </w:r>
    </w:p>
    <w:p w14:paraId="67CDACE9" w14:textId="77777777" w:rsidR="00AB6191"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xml:space="preserve">- </w:t>
      </w:r>
      <w:r>
        <w:rPr>
          <w:noProof/>
        </w:rPr>
        <w:t>Businesses: More important company data publicly available in business registers and at EU level through BRIS and improving its reliability will reduce overall administrative burden on companies and in turn facilitate access to finance and the creation of businesses.</w:t>
      </w:r>
      <w:r w:rsidRPr="00E05882">
        <w:rPr>
          <w:noProof/>
        </w:rPr>
        <w:t xml:space="preserve"> </w:t>
      </w:r>
      <w:r>
        <w:rPr>
          <w:noProof/>
        </w:rPr>
        <w:t>The facilitation of the cross-border use of such data, when creating new subsidiaries or branches cross-border or in other cross-border situations will result in important recurrent cost savings and thus will substantially ease conducting cross-border business activities and facilitate access to other Member States’ markets.</w:t>
      </w:r>
    </w:p>
    <w:p w14:paraId="586F6293" w14:textId="77777777" w:rsidR="00AB6191" w:rsidRDefault="006C7DB0" w:rsidP="00AB6191">
      <w:pPr>
        <w:pStyle w:val="Text1"/>
        <w:pBdr>
          <w:top w:val="single" w:sz="4" w:space="1" w:color="auto"/>
          <w:left w:val="single" w:sz="4" w:space="4" w:color="auto"/>
          <w:bottom w:val="single" w:sz="4" w:space="1" w:color="auto"/>
          <w:right w:val="single" w:sz="4" w:space="4" w:color="auto"/>
        </w:pBdr>
        <w:rPr>
          <w:rFonts w:cstheme="minorHAnsi"/>
          <w:noProof/>
        </w:rPr>
      </w:pPr>
      <w:r>
        <w:rPr>
          <w:noProof/>
        </w:rPr>
        <w:t xml:space="preserve">- </w:t>
      </w:r>
      <w:r w:rsidR="00AB6191">
        <w:rPr>
          <w:noProof/>
        </w:rPr>
        <w:t xml:space="preserve">Business registers: The increased accessibility and reliability of company data, and better connections between registers, thanks to the once-only principle and also connecting </w:t>
      </w:r>
      <w:r w:rsidR="00AB6191" w:rsidRPr="00CB6208">
        <w:rPr>
          <w:rFonts w:eastAsia="Calibri"/>
          <w:noProof/>
        </w:rPr>
        <w:t>other EU level systems/registers to BRIS</w:t>
      </w:r>
      <w:r w:rsidR="00AB6191">
        <w:rPr>
          <w:rFonts w:eastAsia="Calibri"/>
          <w:noProof/>
        </w:rPr>
        <w:t xml:space="preserve">, </w:t>
      </w:r>
      <w:r w:rsidR="00AB6191">
        <w:rPr>
          <w:noProof/>
        </w:rPr>
        <w:t>should facilitate registers’ work. O</w:t>
      </w:r>
      <w:r w:rsidR="00AB6191" w:rsidRPr="00D9607B">
        <w:rPr>
          <w:noProof/>
        </w:rPr>
        <w:t>ne-off costs for business registers to adapt the IT systems, and recurrent costs e.g. to carry out ex-ante verificati</w:t>
      </w:r>
      <w:r w:rsidR="00AB6191">
        <w:rPr>
          <w:noProof/>
        </w:rPr>
        <w:t>on of company data</w:t>
      </w:r>
      <w:r w:rsidR="00AB6191">
        <w:rPr>
          <w:rFonts w:cstheme="minorHAnsi"/>
          <w:noProof/>
        </w:rPr>
        <w:t>.</w:t>
      </w:r>
    </w:p>
    <w:p w14:paraId="44258BE0" w14:textId="77777777" w:rsidR="00AB6191" w:rsidRPr="008231CB" w:rsidRDefault="006C7DB0" w:rsidP="00AB6191">
      <w:pPr>
        <w:pStyle w:val="Text1"/>
        <w:pBdr>
          <w:top w:val="single" w:sz="4" w:space="1" w:color="auto"/>
          <w:left w:val="single" w:sz="4" w:space="4" w:color="auto"/>
          <w:bottom w:val="single" w:sz="4" w:space="1" w:color="auto"/>
          <w:right w:val="single" w:sz="4" w:space="4" w:color="auto"/>
        </w:pBdr>
        <w:rPr>
          <w:rFonts w:eastAsia="Calibri"/>
          <w:noProof/>
        </w:rPr>
      </w:pPr>
      <w:r>
        <w:rPr>
          <w:noProof/>
        </w:rPr>
        <w:t xml:space="preserve">- </w:t>
      </w:r>
      <w:r w:rsidR="00AB6191" w:rsidRPr="003D7212">
        <w:rPr>
          <w:noProof/>
        </w:rPr>
        <w:t xml:space="preserve">Other public authorities: </w:t>
      </w:r>
      <w:r w:rsidR="00AB6191" w:rsidRPr="008231CB">
        <w:rPr>
          <w:noProof/>
        </w:rPr>
        <w:t xml:space="preserve">Easier access to more sets of information will facilitate the work of authorities, for example in </w:t>
      </w:r>
      <w:r w:rsidR="00AB6191" w:rsidRPr="008231CB">
        <w:rPr>
          <w:rFonts w:cstheme="minorHAnsi"/>
          <w:noProof/>
        </w:rPr>
        <w:t xml:space="preserve">fight fraud and abuse. </w:t>
      </w:r>
      <w:r w:rsidR="00AB6191" w:rsidRPr="008231CB">
        <w:rPr>
          <w:rFonts w:eastAsia="Calibri"/>
          <w:noProof/>
        </w:rPr>
        <w:t>The application of once-only principle and more connected public administration through digitalisation will result in burden reduction also for public authorities.</w:t>
      </w:r>
      <w:r w:rsidR="00DB54B9">
        <w:rPr>
          <w:rFonts w:eastAsia="Calibri"/>
          <w:noProof/>
        </w:rPr>
        <w:t xml:space="preserve"> </w:t>
      </w:r>
      <w:r w:rsidR="00D70F59">
        <w:rPr>
          <w:rFonts w:eastAsia="Calibri" w:cstheme="minorHAnsi"/>
          <w:noProof/>
        </w:rPr>
        <w:t>A</w:t>
      </w:r>
      <w:r w:rsidR="00D70F59" w:rsidRPr="00ED51CD">
        <w:rPr>
          <w:rFonts w:cstheme="minorHAnsi"/>
          <w:noProof/>
          <w:lang w:val="en-IE"/>
        </w:rPr>
        <w:t>uthorities in charge of issuing apostille will los</w:t>
      </w:r>
      <w:r w:rsidR="00D70F59">
        <w:rPr>
          <w:rFonts w:cstheme="minorHAnsi"/>
          <w:noProof/>
          <w:lang w:val="en-IE"/>
        </w:rPr>
        <w:t>e</w:t>
      </w:r>
      <w:r w:rsidR="00D70F59" w:rsidRPr="00ED51CD">
        <w:rPr>
          <w:rFonts w:cstheme="minorHAnsi"/>
          <w:noProof/>
          <w:lang w:val="en-IE"/>
        </w:rPr>
        <w:t xml:space="preserve"> </w:t>
      </w:r>
      <w:r w:rsidR="00D70F59">
        <w:rPr>
          <w:rFonts w:cstheme="minorHAnsi"/>
          <w:noProof/>
          <w:lang w:val="en-IE"/>
        </w:rPr>
        <w:t xml:space="preserve">some </w:t>
      </w:r>
      <w:r w:rsidR="00D70F59" w:rsidRPr="00ED51CD">
        <w:rPr>
          <w:rFonts w:cstheme="minorHAnsi"/>
          <w:noProof/>
          <w:lang w:val="en-IE"/>
        </w:rPr>
        <w:t>revenue</w:t>
      </w:r>
      <w:r w:rsidR="00D70F59">
        <w:rPr>
          <w:rFonts w:cstheme="minorHAnsi"/>
          <w:noProof/>
          <w:lang w:val="en-IE"/>
        </w:rPr>
        <w:t xml:space="preserve"> from apostille but will have less </w:t>
      </w:r>
      <w:r w:rsidR="00D70F59" w:rsidRPr="00ED51CD">
        <w:rPr>
          <w:rFonts w:cstheme="minorHAnsi"/>
          <w:noProof/>
        </w:rPr>
        <w:t>administrative burden</w:t>
      </w:r>
      <w:r w:rsidR="00D70F59" w:rsidRPr="00F77A37">
        <w:rPr>
          <w:rFonts w:cstheme="minorHAnsi"/>
          <w:noProof/>
        </w:rPr>
        <w:t xml:space="preserve"> given the current legal uncertainty and </w:t>
      </w:r>
      <w:r w:rsidR="00D70F59">
        <w:rPr>
          <w:rFonts w:cstheme="minorHAnsi"/>
          <w:noProof/>
        </w:rPr>
        <w:t>the related human resources and time needed</w:t>
      </w:r>
      <w:r w:rsidR="00D70F59" w:rsidRPr="00F77A37">
        <w:rPr>
          <w:rFonts w:cstheme="minorHAnsi"/>
          <w:noProof/>
        </w:rPr>
        <w:t xml:space="preserve"> to issu</w:t>
      </w:r>
      <w:r w:rsidR="00D70F59">
        <w:rPr>
          <w:rFonts w:cstheme="minorHAnsi"/>
          <w:noProof/>
        </w:rPr>
        <w:t>e</w:t>
      </w:r>
      <w:r w:rsidR="00D70F59" w:rsidRPr="00F77A37">
        <w:rPr>
          <w:rFonts w:cstheme="minorHAnsi"/>
          <w:noProof/>
        </w:rPr>
        <w:t xml:space="preserve"> </w:t>
      </w:r>
      <w:r w:rsidR="00D70F59">
        <w:rPr>
          <w:rFonts w:cstheme="minorHAnsi"/>
          <w:noProof/>
        </w:rPr>
        <w:t>the apostille</w:t>
      </w:r>
      <w:r w:rsidR="00D70F59" w:rsidRPr="00F77A37">
        <w:rPr>
          <w:rFonts w:cstheme="minorHAnsi"/>
          <w:noProof/>
        </w:rPr>
        <w:t>.</w:t>
      </w:r>
    </w:p>
    <w:p w14:paraId="6F73EE7B"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Citizens</w:t>
      </w:r>
      <w:r w:rsidR="006C7DB0">
        <w:rPr>
          <w:noProof/>
        </w:rPr>
        <w:t xml:space="preserve"> and </w:t>
      </w:r>
      <w:r w:rsidRPr="008231CB">
        <w:rPr>
          <w:noProof/>
        </w:rPr>
        <w:t>consumers will benefit from easier access to reliable company data. Society at large will benefit from the initiative as it will facilitate the fight against fraud and abuse and will promote digital tools.</w:t>
      </w:r>
    </w:p>
    <w:p w14:paraId="4D90EA48"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xml:space="preserve">- Positive environmental impact, mainly stemming from </w:t>
      </w:r>
      <w:r w:rsidR="00D70F59">
        <w:rPr>
          <w:noProof/>
        </w:rPr>
        <w:t xml:space="preserve">an increased possibility to use digital procedures and tools between business registers and companies, and also between business registers in different Member States </w:t>
      </w:r>
      <w:r w:rsidR="00D70F59" w:rsidRPr="00AE5AA9">
        <w:rPr>
          <w:noProof/>
        </w:rPr>
        <w:t>through BRIS</w:t>
      </w:r>
      <w:r w:rsidR="00D70F59">
        <w:rPr>
          <w:noProof/>
        </w:rPr>
        <w:t xml:space="preserve">, </w:t>
      </w:r>
      <w:r w:rsidR="00D70F59" w:rsidRPr="00AE5AA9">
        <w:rPr>
          <w:noProof/>
        </w:rPr>
        <w:t>and an increased application of the once-only principle</w:t>
      </w:r>
      <w:r w:rsidR="00D70F59">
        <w:rPr>
          <w:noProof/>
        </w:rPr>
        <w:t xml:space="preserve"> (meaning e.g. </w:t>
      </w:r>
      <w:r w:rsidRPr="008231CB">
        <w:rPr>
          <w:noProof/>
        </w:rPr>
        <w:t>the reduced use of paper, need to travel</w:t>
      </w:r>
      <w:r w:rsidR="00D70F59">
        <w:rPr>
          <w:noProof/>
        </w:rPr>
        <w:t>)</w:t>
      </w:r>
      <w:r w:rsidRPr="008231CB">
        <w:rPr>
          <w:noProof/>
        </w:rPr>
        <w:t>.</w:t>
      </w:r>
      <w:r w:rsidR="00D70F59" w:rsidRPr="00D70F59">
        <w:rPr>
          <w:noProof/>
        </w:rPr>
        <w:t xml:space="preserve"> </w:t>
      </w:r>
    </w:p>
    <w:p w14:paraId="4B78A0E6" w14:textId="77777777" w:rsidR="00AB6191" w:rsidRPr="008231CB" w:rsidRDefault="00AB6191" w:rsidP="00AB6191">
      <w:pPr>
        <w:pStyle w:val="ManualHeading3"/>
        <w:rPr>
          <w:noProof/>
          <w:szCs w:val="24"/>
        </w:rPr>
      </w:pPr>
      <w:bookmarkStart w:id="89" w:name="_Toc514938023"/>
      <w:bookmarkStart w:id="90" w:name="_Toc520485033"/>
      <w:bookmarkStart w:id="91" w:name="_Toc126826595"/>
      <w:r w:rsidRPr="008231CB">
        <w:rPr>
          <w:noProof/>
        </w:rPr>
        <w:t>1.4.4.</w:t>
      </w:r>
      <w:r w:rsidRPr="008231CB">
        <w:rPr>
          <w:noProof/>
        </w:rPr>
        <w:tab/>
        <w:t>Indicators of performance</w:t>
      </w:r>
      <w:bookmarkEnd w:id="89"/>
      <w:bookmarkEnd w:id="90"/>
      <w:bookmarkEnd w:id="91"/>
    </w:p>
    <w:p w14:paraId="6DC1821A"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Indicator No 1 (Specific Objective No 1)</w:t>
      </w:r>
    </w:p>
    <w:p w14:paraId="33A90486"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The indicators will be as follows:</w:t>
      </w:r>
    </w:p>
    <w:p w14:paraId="761F63DD"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xml:space="preserve">- number of requests for company data through the “Find a company” page of BRIS on the European e-Justice Portal, </w:t>
      </w:r>
    </w:p>
    <w:p w14:paraId="2D4717A9"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xml:space="preserve">- number of requests for company data from the </w:t>
      </w:r>
      <w:r w:rsidR="006C7DB0">
        <w:rPr>
          <w:noProof/>
        </w:rPr>
        <w:t>B</w:t>
      </w:r>
      <w:r w:rsidRPr="008231CB">
        <w:rPr>
          <w:noProof/>
        </w:rPr>
        <w:t xml:space="preserve">eneficial Ownership Registers Interconnection (BORIS) and the Insolvency </w:t>
      </w:r>
      <w:r w:rsidR="006C7DB0">
        <w:rPr>
          <w:noProof/>
        </w:rPr>
        <w:t>R</w:t>
      </w:r>
      <w:r w:rsidRPr="008231CB">
        <w:rPr>
          <w:noProof/>
        </w:rPr>
        <w:t>egister Interconnection (IRI),</w:t>
      </w:r>
    </w:p>
    <w:p w14:paraId="1B638A56"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number of legal entities with an EUID number (the company identifier automatically attributed to companies whose information are available through BRIS)</w:t>
      </w:r>
      <w:r w:rsidR="006C7DB0">
        <w:rPr>
          <w:noProof/>
        </w:rPr>
        <w:t>,</w:t>
      </w:r>
    </w:p>
    <w:p w14:paraId="54BEB3D9"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views of stakeholders (companies, registers, public authorities) on the extent to which it is possible to search for and access company data on a cross-border basis</w:t>
      </w:r>
      <w:r w:rsidR="006C7DB0">
        <w:rPr>
          <w:noProof/>
        </w:rPr>
        <w:t>.</w:t>
      </w:r>
    </w:p>
    <w:p w14:paraId="330664EC"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xml:space="preserve">The indicators will be measured against the baseline </w:t>
      </w:r>
      <w:r w:rsidR="003C6029">
        <w:rPr>
          <w:noProof/>
        </w:rPr>
        <w:t>(e.</w:t>
      </w:r>
      <w:r w:rsidR="00731252">
        <w:rPr>
          <w:noProof/>
        </w:rPr>
        <w:t>g.</w:t>
      </w:r>
      <w:r w:rsidR="003C6029">
        <w:rPr>
          <w:noProof/>
        </w:rPr>
        <w:t xml:space="preserve"> </w:t>
      </w:r>
      <w:r w:rsidRPr="008231CB">
        <w:rPr>
          <w:noProof/>
        </w:rPr>
        <w:t xml:space="preserve">numbers </w:t>
      </w:r>
      <w:r w:rsidR="003C6029">
        <w:rPr>
          <w:noProof/>
        </w:rPr>
        <w:t xml:space="preserve">of requests </w:t>
      </w:r>
      <w:r w:rsidRPr="008231CB">
        <w:rPr>
          <w:noProof/>
        </w:rPr>
        <w:t>before the implementation starts</w:t>
      </w:r>
      <w:r w:rsidR="003C6029">
        <w:rPr>
          <w:noProof/>
        </w:rPr>
        <w:t>,</w:t>
      </w:r>
      <w:r w:rsidRPr="008231CB">
        <w:rPr>
          <w:noProof/>
        </w:rPr>
        <w:t xml:space="preserve"> mainly </w:t>
      </w:r>
      <w:r w:rsidR="00A00460">
        <w:rPr>
          <w:noProof/>
        </w:rPr>
        <w:t xml:space="preserve">on the basis of </w:t>
      </w:r>
      <w:r w:rsidRPr="008231CB">
        <w:rPr>
          <w:noProof/>
        </w:rPr>
        <w:t>statisti</w:t>
      </w:r>
      <w:r>
        <w:rPr>
          <w:noProof/>
        </w:rPr>
        <w:t>c</w:t>
      </w:r>
      <w:r w:rsidRPr="008231CB">
        <w:rPr>
          <w:noProof/>
        </w:rPr>
        <w:t>al data fr</w:t>
      </w:r>
      <w:r w:rsidR="003C6029">
        <w:rPr>
          <w:noProof/>
        </w:rPr>
        <w:t>o</w:t>
      </w:r>
      <w:r w:rsidRPr="008231CB">
        <w:rPr>
          <w:noProof/>
        </w:rPr>
        <w:t xml:space="preserve">m BRIS). The target is a considerable increase in the numbers. More precise target is not possible as the figures depend also on several other factors not related to the </w:t>
      </w:r>
      <w:r w:rsidR="003C6029">
        <w:rPr>
          <w:noProof/>
        </w:rPr>
        <w:t>proposal</w:t>
      </w:r>
      <w:r w:rsidRPr="008231CB">
        <w:rPr>
          <w:noProof/>
        </w:rPr>
        <w:t xml:space="preserve"> (e.g. eco</w:t>
      </w:r>
      <w:r>
        <w:rPr>
          <w:noProof/>
        </w:rPr>
        <w:t>n</w:t>
      </w:r>
      <w:r w:rsidRPr="008231CB">
        <w:rPr>
          <w:noProof/>
        </w:rPr>
        <w:t xml:space="preserve">omic situation in the </w:t>
      </w:r>
      <w:r w:rsidR="00BC5AAE">
        <w:rPr>
          <w:noProof/>
        </w:rPr>
        <w:t>s</w:t>
      </w:r>
      <w:r w:rsidRPr="008231CB">
        <w:rPr>
          <w:noProof/>
        </w:rPr>
        <w:t xml:space="preserve">ingle </w:t>
      </w:r>
      <w:r w:rsidR="00BC5AAE">
        <w:rPr>
          <w:noProof/>
        </w:rPr>
        <w:t>m</w:t>
      </w:r>
      <w:r w:rsidRPr="008231CB">
        <w:rPr>
          <w:noProof/>
        </w:rPr>
        <w:t>arket).</w:t>
      </w:r>
    </w:p>
    <w:p w14:paraId="175A8A74" w14:textId="77777777" w:rsidR="00AB6191" w:rsidRPr="008231CB" w:rsidRDefault="00A00460" w:rsidP="00AB6191">
      <w:pPr>
        <w:pStyle w:val="Text1"/>
        <w:pBdr>
          <w:top w:val="single" w:sz="4" w:space="1" w:color="auto"/>
          <w:left w:val="single" w:sz="4" w:space="4" w:color="auto"/>
          <w:bottom w:val="single" w:sz="4" w:space="1" w:color="auto"/>
          <w:right w:val="single" w:sz="4" w:space="4" w:color="auto"/>
        </w:pBdr>
        <w:rPr>
          <w:noProof/>
        </w:rPr>
      </w:pPr>
      <w:r>
        <w:rPr>
          <w:noProof/>
        </w:rPr>
        <w:t>The indicators will be m</w:t>
      </w:r>
      <w:r w:rsidR="00AB6191" w:rsidRPr="008231CB">
        <w:rPr>
          <w:noProof/>
        </w:rPr>
        <w:t xml:space="preserve">onitored on annual basis, starting not earlier than one year from the time when the measures are fully </w:t>
      </w:r>
      <w:r>
        <w:rPr>
          <w:noProof/>
        </w:rPr>
        <w:t>transposed</w:t>
      </w:r>
      <w:r w:rsidR="00AB6191" w:rsidRPr="008231CB">
        <w:rPr>
          <w:noProof/>
        </w:rPr>
        <w:t xml:space="preserve"> and operational in Member States, and for a duration of 5 years</w:t>
      </w:r>
      <w:r>
        <w:rPr>
          <w:noProof/>
        </w:rPr>
        <w:t xml:space="preserve"> (to feed into the evaluation report of the Directive)</w:t>
      </w:r>
      <w:r w:rsidR="00AB6191" w:rsidRPr="008231CB">
        <w:rPr>
          <w:noProof/>
        </w:rPr>
        <w:t>.</w:t>
      </w:r>
    </w:p>
    <w:p w14:paraId="077E3A05"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Indicator No 2 (Specific Objective No 2)</w:t>
      </w:r>
    </w:p>
    <w:p w14:paraId="108475EF"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The indicators will be as follows:</w:t>
      </w:r>
    </w:p>
    <w:p w14:paraId="44AD1A6E"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costs</w:t>
      </w:r>
      <w:r w:rsidR="001E476E">
        <w:rPr>
          <w:noProof/>
        </w:rPr>
        <w:t xml:space="preserve"> for companies</w:t>
      </w:r>
      <w:r w:rsidRPr="008231CB">
        <w:rPr>
          <w:noProof/>
        </w:rPr>
        <w:t xml:space="preserve"> of setting up subsidiaries or branches </w:t>
      </w:r>
      <w:r w:rsidR="001E476E">
        <w:rPr>
          <w:noProof/>
        </w:rPr>
        <w:t>in other Member States</w:t>
      </w:r>
      <w:r>
        <w:rPr>
          <w:noProof/>
        </w:rPr>
        <w:t>,</w:t>
      </w:r>
    </w:p>
    <w:p w14:paraId="3FDBC82D"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number of issued common company extracts</w:t>
      </w:r>
      <w:r>
        <w:rPr>
          <w:noProof/>
        </w:rPr>
        <w:t>,</w:t>
      </w:r>
    </w:p>
    <w:p w14:paraId="6D9B347F"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views of stakeholders (companies, registers, public authorities) on the extent to which it is possible to use company data directly on a cross-border basis</w:t>
      </w:r>
      <w:r>
        <w:rPr>
          <w:noProof/>
        </w:rPr>
        <w:t>,</w:t>
      </w:r>
    </w:p>
    <w:p w14:paraId="7639D748"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 xml:space="preserve">The indicators will be measured against the baseline </w:t>
      </w:r>
      <w:r w:rsidR="001E476E">
        <w:rPr>
          <w:noProof/>
        </w:rPr>
        <w:t xml:space="preserve">(e.g. costs </w:t>
      </w:r>
      <w:r w:rsidRPr="008231CB">
        <w:rPr>
          <w:noProof/>
        </w:rPr>
        <w:t>before the implementation starts</w:t>
      </w:r>
      <w:r w:rsidR="001E476E">
        <w:rPr>
          <w:noProof/>
        </w:rPr>
        <w:t>,</w:t>
      </w:r>
      <w:r w:rsidRPr="008231CB">
        <w:rPr>
          <w:noProof/>
        </w:rPr>
        <w:t xml:space="preserve"> mainly </w:t>
      </w:r>
      <w:r w:rsidR="001E476E">
        <w:rPr>
          <w:noProof/>
        </w:rPr>
        <w:t xml:space="preserve">on the basis of </w:t>
      </w:r>
      <w:r w:rsidRPr="008231CB">
        <w:rPr>
          <w:noProof/>
        </w:rPr>
        <w:t>statisti</w:t>
      </w:r>
      <w:r>
        <w:rPr>
          <w:noProof/>
        </w:rPr>
        <w:t>c</w:t>
      </w:r>
      <w:r w:rsidRPr="008231CB">
        <w:rPr>
          <w:noProof/>
        </w:rPr>
        <w:t>al data fr</w:t>
      </w:r>
      <w:r w:rsidR="001E476E">
        <w:rPr>
          <w:noProof/>
        </w:rPr>
        <w:t>o</w:t>
      </w:r>
      <w:r w:rsidRPr="008231CB">
        <w:rPr>
          <w:noProof/>
        </w:rPr>
        <w:t xml:space="preserve">m BRIS, business registers and Member States authorities, where data is available). The target is a considerable </w:t>
      </w:r>
      <w:r w:rsidR="001E476E">
        <w:rPr>
          <w:noProof/>
        </w:rPr>
        <w:t xml:space="preserve">reduction in costs or </w:t>
      </w:r>
      <w:r w:rsidRPr="008231CB">
        <w:rPr>
          <w:noProof/>
        </w:rPr>
        <w:t>increase in numbers</w:t>
      </w:r>
      <w:r w:rsidR="001E476E">
        <w:rPr>
          <w:noProof/>
        </w:rPr>
        <w:t xml:space="preserve"> of issued common company extracts</w:t>
      </w:r>
      <w:r w:rsidRPr="008231CB">
        <w:rPr>
          <w:noProof/>
        </w:rPr>
        <w:t xml:space="preserve">, more precise target is not possible as the figures depend also on several other factors not related to the </w:t>
      </w:r>
      <w:r w:rsidR="00D9628E">
        <w:rPr>
          <w:noProof/>
        </w:rPr>
        <w:t>proposal</w:t>
      </w:r>
      <w:r w:rsidRPr="008231CB">
        <w:rPr>
          <w:noProof/>
        </w:rPr>
        <w:t xml:space="preserve"> (e.g. eco</w:t>
      </w:r>
      <w:r>
        <w:rPr>
          <w:noProof/>
        </w:rPr>
        <w:t>n</w:t>
      </w:r>
      <w:r w:rsidRPr="008231CB">
        <w:rPr>
          <w:noProof/>
        </w:rPr>
        <w:t xml:space="preserve">omic situation in the </w:t>
      </w:r>
      <w:r w:rsidR="00BC5AAE">
        <w:rPr>
          <w:noProof/>
        </w:rPr>
        <w:t>s</w:t>
      </w:r>
      <w:r w:rsidRPr="008231CB">
        <w:rPr>
          <w:noProof/>
        </w:rPr>
        <w:t xml:space="preserve">ingle </w:t>
      </w:r>
      <w:r w:rsidR="00BC5AAE">
        <w:rPr>
          <w:noProof/>
        </w:rPr>
        <w:t>m</w:t>
      </w:r>
      <w:r w:rsidRPr="008231CB">
        <w:rPr>
          <w:noProof/>
        </w:rPr>
        <w:t>arket).</w:t>
      </w:r>
    </w:p>
    <w:p w14:paraId="2404DBC5" w14:textId="77777777" w:rsidR="00AB6191" w:rsidRPr="008231CB" w:rsidRDefault="006C54AB" w:rsidP="00AB6191">
      <w:pPr>
        <w:pStyle w:val="Text1"/>
        <w:pBdr>
          <w:top w:val="single" w:sz="4" w:space="1" w:color="auto"/>
          <w:left w:val="single" w:sz="4" w:space="4" w:color="auto"/>
          <w:bottom w:val="single" w:sz="4" w:space="1" w:color="auto"/>
          <w:right w:val="single" w:sz="4" w:space="4" w:color="auto"/>
        </w:pBdr>
        <w:rPr>
          <w:noProof/>
        </w:rPr>
      </w:pPr>
      <w:r>
        <w:rPr>
          <w:noProof/>
        </w:rPr>
        <w:t>The indicators will be m</w:t>
      </w:r>
      <w:r w:rsidR="00AB6191" w:rsidRPr="008231CB">
        <w:rPr>
          <w:noProof/>
        </w:rPr>
        <w:t xml:space="preserve">onitored on annual basis, starting not earlier than one year from the time when the measures are fully </w:t>
      </w:r>
      <w:r>
        <w:rPr>
          <w:noProof/>
        </w:rPr>
        <w:t xml:space="preserve">transposed </w:t>
      </w:r>
      <w:r w:rsidR="00AB6191" w:rsidRPr="008231CB">
        <w:rPr>
          <w:noProof/>
        </w:rPr>
        <w:t>and operational in Member States, and for a duration of 5 years</w:t>
      </w:r>
      <w:r>
        <w:rPr>
          <w:noProof/>
        </w:rPr>
        <w:t xml:space="preserve"> (to feed into the evaluation report of the Directive)</w:t>
      </w:r>
      <w:r w:rsidR="00AB6191" w:rsidRPr="008231CB">
        <w:rPr>
          <w:noProof/>
        </w:rPr>
        <w:t>.</w:t>
      </w:r>
    </w:p>
    <w:p w14:paraId="696FDCB8" w14:textId="77777777" w:rsidR="00AB6191" w:rsidRPr="008231CB" w:rsidRDefault="00AB6191" w:rsidP="00AB6191">
      <w:pPr>
        <w:pStyle w:val="ManualHeading2"/>
        <w:rPr>
          <w:bCs/>
          <w:noProof/>
          <w:szCs w:val="24"/>
        </w:rPr>
      </w:pPr>
      <w:bookmarkStart w:id="92" w:name="_Toc514938025"/>
      <w:bookmarkStart w:id="93" w:name="_Toc520485034"/>
      <w:bookmarkStart w:id="94" w:name="_Toc126826596"/>
      <w:r w:rsidRPr="008231CB">
        <w:rPr>
          <w:noProof/>
        </w:rPr>
        <w:t>1.5.</w:t>
      </w:r>
      <w:r w:rsidRPr="008231CB">
        <w:rPr>
          <w:noProof/>
        </w:rPr>
        <w:tab/>
        <w:t>Grounds for the proposal/initiative</w:t>
      </w:r>
      <w:bookmarkEnd w:id="92"/>
      <w:bookmarkEnd w:id="93"/>
      <w:bookmarkEnd w:id="94"/>
      <w:r w:rsidRPr="008231CB">
        <w:rPr>
          <w:noProof/>
        </w:rPr>
        <w:t xml:space="preserve"> </w:t>
      </w:r>
    </w:p>
    <w:p w14:paraId="03737BFA" w14:textId="77777777" w:rsidR="00AB6191" w:rsidRPr="008231CB" w:rsidRDefault="00AB6191" w:rsidP="00AB6191">
      <w:pPr>
        <w:pStyle w:val="ManualHeading3"/>
        <w:rPr>
          <w:noProof/>
        </w:rPr>
      </w:pPr>
      <w:bookmarkStart w:id="95" w:name="_Toc514938026"/>
      <w:bookmarkStart w:id="96" w:name="_Toc520485035"/>
      <w:bookmarkStart w:id="97" w:name="_Toc126826597"/>
      <w:r w:rsidRPr="008231CB">
        <w:rPr>
          <w:noProof/>
        </w:rPr>
        <w:t>1.5.1.</w:t>
      </w:r>
      <w:r w:rsidRPr="008231CB">
        <w:rPr>
          <w:noProof/>
        </w:rPr>
        <w:tab/>
        <w:t>Requirement(s) to be met in the short or long term including a detailed timeline for roll-out of the implementation of the initiative</w:t>
      </w:r>
      <w:bookmarkEnd w:id="95"/>
      <w:bookmarkEnd w:id="96"/>
      <w:bookmarkEnd w:id="97"/>
    </w:p>
    <w:p w14:paraId="0067E656"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szCs w:val="24"/>
        </w:rPr>
      </w:pPr>
      <w:r w:rsidRPr="00E532C0">
        <w:rPr>
          <w:noProof/>
          <w:color w:val="333333"/>
          <w:szCs w:val="24"/>
          <w:shd w:val="clear" w:color="auto" w:fill="FFFFFF"/>
        </w:rPr>
        <w:t xml:space="preserve">The implementation of this </w:t>
      </w:r>
      <w:r w:rsidR="007D370A">
        <w:rPr>
          <w:noProof/>
          <w:color w:val="333333"/>
          <w:szCs w:val="24"/>
          <w:shd w:val="clear" w:color="auto" w:fill="FFFFFF"/>
        </w:rPr>
        <w:t>proposal</w:t>
      </w:r>
      <w:r w:rsidRPr="00E532C0">
        <w:rPr>
          <w:noProof/>
          <w:color w:val="333333"/>
          <w:szCs w:val="24"/>
          <w:shd w:val="clear" w:color="auto" w:fill="FFFFFF"/>
        </w:rPr>
        <w:t xml:space="preserve"> will follow a phased approach. Upon entry into force of this Directive, work will commence towards the adoption of an implementing act. In parallel, the technical developments in BRIS and in Member States will be carried out. </w:t>
      </w:r>
    </w:p>
    <w:p w14:paraId="2CFC33C8"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E532C0">
        <w:rPr>
          <w:noProof/>
          <w:color w:val="333333"/>
          <w:szCs w:val="24"/>
          <w:shd w:val="clear" w:color="auto" w:fill="FFFFFF"/>
        </w:rPr>
        <w:t>A provisional implementation timeline can be illustrated as follows:</w:t>
      </w:r>
    </w:p>
    <w:p w14:paraId="625B3E85"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E532C0">
        <w:rPr>
          <w:noProof/>
          <w:color w:val="333333"/>
          <w:szCs w:val="24"/>
          <w:shd w:val="clear" w:color="auto" w:fill="FFFFFF"/>
        </w:rPr>
        <w:t>- 2024 Adoption of the Directive</w:t>
      </w:r>
    </w:p>
    <w:p w14:paraId="617A6BC0"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E532C0">
        <w:rPr>
          <w:noProof/>
          <w:color w:val="333333"/>
          <w:szCs w:val="24"/>
          <w:shd w:val="clear" w:color="auto" w:fill="FFFFFF"/>
        </w:rPr>
        <w:t>- 2025 Entry into force of the Directive</w:t>
      </w:r>
    </w:p>
    <w:p w14:paraId="3084931F"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E532C0">
        <w:rPr>
          <w:noProof/>
          <w:color w:val="333333"/>
          <w:szCs w:val="24"/>
          <w:shd w:val="clear" w:color="auto" w:fill="FFFFFF"/>
        </w:rPr>
        <w:t xml:space="preserve">- 2026 </w:t>
      </w:r>
      <w:r>
        <w:rPr>
          <w:noProof/>
          <w:color w:val="333333"/>
          <w:szCs w:val="24"/>
          <w:shd w:val="clear" w:color="auto" w:fill="FFFFFF"/>
        </w:rPr>
        <w:t>A</w:t>
      </w:r>
      <w:r w:rsidRPr="00E532C0">
        <w:rPr>
          <w:noProof/>
          <w:color w:val="333333"/>
          <w:szCs w:val="24"/>
          <w:shd w:val="clear" w:color="auto" w:fill="FFFFFF"/>
        </w:rPr>
        <w:t>doption of the implementing act</w:t>
      </w:r>
    </w:p>
    <w:p w14:paraId="690CD517"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E532C0">
        <w:rPr>
          <w:noProof/>
          <w:color w:val="333333"/>
          <w:szCs w:val="24"/>
          <w:shd w:val="clear" w:color="auto" w:fill="FFFFFF"/>
        </w:rPr>
        <w:t xml:space="preserve">- 2026-2027 </w:t>
      </w:r>
      <w:r>
        <w:rPr>
          <w:noProof/>
          <w:color w:val="333333"/>
          <w:szCs w:val="24"/>
          <w:shd w:val="clear" w:color="auto" w:fill="FFFFFF"/>
        </w:rPr>
        <w:t>T</w:t>
      </w:r>
      <w:r w:rsidRPr="00E532C0">
        <w:rPr>
          <w:noProof/>
          <w:color w:val="333333"/>
          <w:szCs w:val="24"/>
          <w:shd w:val="clear" w:color="auto" w:fill="FFFFFF"/>
        </w:rPr>
        <w:t>echnical implementation in BRIS and in Member States.</w:t>
      </w:r>
    </w:p>
    <w:p w14:paraId="2C57C27A"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E532C0">
        <w:rPr>
          <w:noProof/>
          <w:color w:val="333333"/>
          <w:szCs w:val="24"/>
          <w:shd w:val="clear" w:color="auto" w:fill="FFFFFF"/>
        </w:rPr>
        <w:t>- 2027 Transposition by Member States.</w:t>
      </w:r>
    </w:p>
    <w:p w14:paraId="3DCC841C"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szCs w:val="24"/>
        </w:rPr>
      </w:pPr>
      <w:r w:rsidRPr="00E532C0">
        <w:rPr>
          <w:noProof/>
          <w:color w:val="333333"/>
          <w:szCs w:val="24"/>
          <w:shd w:val="clear" w:color="auto" w:fill="FFFFFF"/>
        </w:rPr>
        <w:t>- 2028- Implementation and application of the Directive by Member States.</w:t>
      </w:r>
    </w:p>
    <w:p w14:paraId="69F4EC14" w14:textId="77777777" w:rsidR="00AB6191" w:rsidRPr="008231CB" w:rsidRDefault="00AB6191" w:rsidP="00AB6191">
      <w:pPr>
        <w:pStyle w:val="ManualHeading3"/>
        <w:rPr>
          <w:bCs/>
          <w:noProof/>
          <w:szCs w:val="24"/>
        </w:rPr>
      </w:pPr>
      <w:bookmarkStart w:id="98" w:name="_Toc126826598"/>
      <w:bookmarkStart w:id="99" w:name="_Toc514938029"/>
      <w:bookmarkStart w:id="100" w:name="_Toc520485036"/>
      <w:r w:rsidRPr="008231CB">
        <w:rPr>
          <w:noProof/>
        </w:rPr>
        <w:t>1.5.2.</w:t>
      </w:r>
      <w:r w:rsidRPr="008231CB">
        <w:rPr>
          <w:noProof/>
        </w:rPr>
        <w:tab/>
        <w:t>Added value of Union involvement</w:t>
      </w:r>
      <w:bookmarkEnd w:id="98"/>
      <w:r w:rsidRPr="008231CB">
        <w:rPr>
          <w:noProof/>
        </w:rPr>
        <w:t xml:space="preserve"> </w:t>
      </w:r>
      <w:bookmarkEnd w:id="99"/>
      <w:bookmarkEnd w:id="100"/>
    </w:p>
    <w:p w14:paraId="7411A729"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E532C0">
        <w:rPr>
          <w:noProof/>
          <w:color w:val="333333"/>
          <w:szCs w:val="24"/>
          <w:shd w:val="clear" w:color="auto" w:fill="FFFFFF"/>
        </w:rPr>
        <w:t xml:space="preserve">Reasons for action at European level (ex-ante) </w:t>
      </w:r>
    </w:p>
    <w:p w14:paraId="6446BF50"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E532C0">
        <w:rPr>
          <w:noProof/>
          <w:color w:val="333333"/>
          <w:szCs w:val="24"/>
          <w:shd w:val="clear" w:color="auto" w:fill="FFFFFF"/>
        </w:rPr>
        <w:t>This initiative focuses on cross-border issues in the field of company law. It will improve the availability and reliability of comparable and multilingual company data at EU level</w:t>
      </w:r>
      <w:r w:rsidR="007D370A">
        <w:rPr>
          <w:noProof/>
          <w:color w:val="333333"/>
          <w:szCs w:val="24"/>
          <w:shd w:val="clear" w:color="auto" w:fill="FFFFFF"/>
        </w:rPr>
        <w:t xml:space="preserve"> and will facilitate the use of this company data on a cross-border basis</w:t>
      </w:r>
      <w:r w:rsidRPr="00E532C0">
        <w:rPr>
          <w:noProof/>
          <w:color w:val="333333"/>
          <w:szCs w:val="24"/>
          <w:shd w:val="clear" w:color="auto" w:fill="FFFFFF"/>
        </w:rPr>
        <w:t xml:space="preserve">. A coordinated action is required to ensure that all Member States have the data in their business registers </w:t>
      </w:r>
      <w:r w:rsidR="00CC0FF2">
        <w:rPr>
          <w:noProof/>
          <w:color w:val="333333"/>
          <w:szCs w:val="24"/>
          <w:shd w:val="clear" w:color="auto" w:fill="FFFFFF"/>
        </w:rPr>
        <w:t xml:space="preserve">and that this data is </w:t>
      </w:r>
      <w:r w:rsidRPr="00E532C0">
        <w:rPr>
          <w:noProof/>
          <w:color w:val="333333"/>
          <w:szCs w:val="24"/>
          <w:shd w:val="clear" w:color="auto" w:fill="FFFFFF"/>
        </w:rPr>
        <w:t xml:space="preserve">made accessible in a comparable and multilingual format centrally at EU level through BRIS. A co-ordinated action is required also to ensure that there are common checks of company data before it is entered into a national business registers to improve its reliability and facilitate its use in a cross-border situations. </w:t>
      </w:r>
      <w:r w:rsidR="00CC0FF2" w:rsidRPr="00E831F9">
        <w:rPr>
          <w:noProof/>
        </w:rPr>
        <w:t>Similarly, the value added from linking the EU-level systems of interconnection of registers can also be only achieved through EU action.</w:t>
      </w:r>
    </w:p>
    <w:p w14:paraId="09263DCD" w14:textId="77777777" w:rsidR="00AB6191" w:rsidRPr="00E532C0"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E532C0">
        <w:rPr>
          <w:noProof/>
          <w:color w:val="333333"/>
          <w:szCs w:val="24"/>
          <w:shd w:val="clear" w:color="auto" w:fill="FFFFFF"/>
        </w:rPr>
        <w:t xml:space="preserve">A coherent legal framework for cross-border availability of company data and for </w:t>
      </w:r>
      <w:r w:rsidR="00CC0FF2">
        <w:rPr>
          <w:noProof/>
          <w:color w:val="333333"/>
          <w:szCs w:val="24"/>
          <w:shd w:val="clear" w:color="auto" w:fill="FFFFFF"/>
        </w:rPr>
        <w:t xml:space="preserve">its </w:t>
      </w:r>
      <w:r w:rsidRPr="00E532C0">
        <w:rPr>
          <w:noProof/>
          <w:color w:val="333333"/>
          <w:szCs w:val="24"/>
          <w:shd w:val="clear" w:color="auto" w:fill="FFFFFF"/>
        </w:rPr>
        <w:t xml:space="preserve">cross-border use can be achieved exclusively at EU level. </w:t>
      </w:r>
      <w:r w:rsidR="00CC0FF2" w:rsidRPr="00E831F9">
        <w:rPr>
          <w:noProof/>
        </w:rPr>
        <w:t xml:space="preserve">Member States </w:t>
      </w:r>
      <w:r w:rsidR="00CC0FF2">
        <w:rPr>
          <w:noProof/>
        </w:rPr>
        <w:t xml:space="preserve">would not be </w:t>
      </w:r>
      <w:r w:rsidR="00CC0FF2" w:rsidRPr="00E831F9">
        <w:rPr>
          <w:noProof/>
        </w:rPr>
        <w:t xml:space="preserve">able to bring about sufficient improvement to those problems on their own. </w:t>
      </w:r>
      <w:r w:rsidR="00CC0FF2" w:rsidRPr="00535E64">
        <w:rPr>
          <w:noProof/>
          <w:lang w:val="en-IE"/>
        </w:rPr>
        <w:t xml:space="preserve"> </w:t>
      </w:r>
    </w:p>
    <w:p w14:paraId="1B1D9DDE" w14:textId="77777777" w:rsidR="00AB6191" w:rsidRPr="008231CB" w:rsidRDefault="00AB6191" w:rsidP="00AB6191">
      <w:pPr>
        <w:pStyle w:val="ManualHeading3"/>
        <w:rPr>
          <w:noProof/>
        </w:rPr>
      </w:pPr>
      <w:bookmarkStart w:id="101" w:name="_Toc514938030"/>
      <w:bookmarkStart w:id="102" w:name="_Toc520485037"/>
      <w:bookmarkStart w:id="103" w:name="_Toc126826599"/>
      <w:r w:rsidRPr="008231CB">
        <w:rPr>
          <w:noProof/>
        </w:rPr>
        <w:t>1.5.3.</w:t>
      </w:r>
      <w:r w:rsidRPr="008231CB">
        <w:rPr>
          <w:noProof/>
        </w:rPr>
        <w:tab/>
        <w:t>Lessons learned from similar experiences in the past</w:t>
      </w:r>
      <w:bookmarkEnd w:id="101"/>
      <w:bookmarkEnd w:id="102"/>
      <w:bookmarkEnd w:id="103"/>
    </w:p>
    <w:p w14:paraId="5A3E108F" w14:textId="77777777" w:rsidR="00AB6191" w:rsidRPr="00281D77" w:rsidRDefault="00AB6191" w:rsidP="00AB6191">
      <w:pPr>
        <w:pStyle w:val="Text1"/>
        <w:pBdr>
          <w:top w:val="single" w:sz="4" w:space="1" w:color="auto"/>
          <w:left w:val="single" w:sz="4" w:space="4" w:color="auto"/>
          <w:bottom w:val="single" w:sz="4" w:space="1" w:color="auto"/>
          <w:right w:val="single" w:sz="4" w:space="4" w:color="auto"/>
        </w:pBdr>
        <w:rPr>
          <w:noProof/>
          <w:sz w:val="27"/>
          <w:szCs w:val="27"/>
          <w:shd w:val="clear" w:color="auto" w:fill="FFFFFF"/>
        </w:rPr>
      </w:pPr>
      <w:r w:rsidRPr="00281D77">
        <w:rPr>
          <w:noProof/>
          <w:szCs w:val="24"/>
          <w:shd w:val="clear" w:color="auto" w:fill="FFFFFF"/>
        </w:rPr>
        <w:t xml:space="preserve">The </w:t>
      </w:r>
      <w:r w:rsidR="00CC71EF">
        <w:rPr>
          <w:noProof/>
          <w:szCs w:val="24"/>
          <w:shd w:val="clear" w:color="auto" w:fill="FFFFFF"/>
        </w:rPr>
        <w:t xml:space="preserve">proposal </w:t>
      </w:r>
      <w:r w:rsidRPr="00281D77">
        <w:rPr>
          <w:noProof/>
          <w:szCs w:val="24"/>
          <w:shd w:val="clear" w:color="auto" w:fill="FFFFFF"/>
        </w:rPr>
        <w:t>takes into account the lessons learned from the establishment and operation of the BRIS system and from the negotiations, transposition and implementation of the Company Law Digitalisation Directive (Directive (EU)</w:t>
      </w:r>
      <w:r w:rsidR="00107769" w:rsidRPr="00281D77">
        <w:rPr>
          <w:noProof/>
          <w:szCs w:val="24"/>
          <w:shd w:val="clear" w:color="auto" w:fill="FFFFFF"/>
        </w:rPr>
        <w:t xml:space="preserve"> </w:t>
      </w:r>
      <w:r w:rsidRPr="00281D77">
        <w:rPr>
          <w:noProof/>
          <w:szCs w:val="24"/>
          <w:shd w:val="clear" w:color="auto" w:fill="FFFFFF"/>
        </w:rPr>
        <w:t>2019/1151).</w:t>
      </w:r>
    </w:p>
    <w:p w14:paraId="1A0E1FA9" w14:textId="77777777" w:rsidR="00AB6191" w:rsidRPr="008231CB" w:rsidRDefault="00AB6191" w:rsidP="00AB6191">
      <w:pPr>
        <w:pStyle w:val="ManualHeading3"/>
        <w:rPr>
          <w:noProof/>
        </w:rPr>
      </w:pPr>
      <w:bookmarkStart w:id="104" w:name="_Toc514938033"/>
      <w:bookmarkStart w:id="105" w:name="_Toc520485038"/>
      <w:bookmarkStart w:id="106" w:name="_Toc126826600"/>
      <w:r w:rsidRPr="008231CB">
        <w:rPr>
          <w:noProof/>
        </w:rPr>
        <w:t>1.5.4.</w:t>
      </w:r>
      <w:r w:rsidRPr="008231CB">
        <w:rPr>
          <w:noProof/>
        </w:rPr>
        <w:tab/>
        <w:t>Compatibility with the Multiannual Financial Framework and possible synergies with other appropriate instruments</w:t>
      </w:r>
      <w:bookmarkEnd w:id="104"/>
      <w:bookmarkEnd w:id="105"/>
      <w:bookmarkEnd w:id="106"/>
    </w:p>
    <w:p w14:paraId="2AE1447A" w14:textId="77777777" w:rsidR="00AB6191" w:rsidRPr="00281D77"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281D77">
        <w:rPr>
          <w:noProof/>
          <w:szCs w:val="24"/>
          <w:shd w:val="clear" w:color="auto" w:fill="FFFFFF"/>
        </w:rPr>
        <w:t>The</w:t>
      </w:r>
      <w:r w:rsidR="00CC71EF">
        <w:rPr>
          <w:noProof/>
          <w:szCs w:val="24"/>
          <w:shd w:val="clear" w:color="auto" w:fill="FFFFFF"/>
        </w:rPr>
        <w:t xml:space="preserve"> proposal</w:t>
      </w:r>
      <w:r w:rsidRPr="00281D77">
        <w:rPr>
          <w:noProof/>
          <w:szCs w:val="24"/>
          <w:shd w:val="clear" w:color="auto" w:fill="FFFFFF"/>
        </w:rPr>
        <w:t xml:space="preserve"> contributes to the objective of the Communication </w:t>
      </w:r>
      <w:r w:rsidRPr="00281D77">
        <w:rPr>
          <w:i/>
          <w:noProof/>
          <w:szCs w:val="24"/>
          <w:shd w:val="clear" w:color="auto" w:fill="FFFFFF"/>
        </w:rPr>
        <w:t>2030 Digital Compass: the European way for the Digital Decade</w:t>
      </w:r>
      <w:r w:rsidRPr="00281D77">
        <w:rPr>
          <w:noProof/>
          <w:szCs w:val="24"/>
          <w:shd w:val="clear" w:color="auto" w:fill="FFFFFF"/>
        </w:rPr>
        <w:t xml:space="preserve"> to provide online key public services online for European businesses. </w:t>
      </w:r>
      <w:r w:rsidR="00CC71EF">
        <w:rPr>
          <w:noProof/>
          <w:szCs w:val="24"/>
          <w:shd w:val="clear" w:color="auto" w:fill="FFFFFF"/>
        </w:rPr>
        <w:t xml:space="preserve">It also </w:t>
      </w:r>
      <w:r w:rsidR="00CC71EF" w:rsidRPr="00C407B8">
        <w:rPr>
          <w:noProof/>
          <w:szCs w:val="24"/>
        </w:rPr>
        <w:t>address</w:t>
      </w:r>
      <w:r w:rsidR="00CC71EF">
        <w:rPr>
          <w:noProof/>
          <w:szCs w:val="24"/>
        </w:rPr>
        <w:t>es</w:t>
      </w:r>
      <w:r w:rsidR="00CC71EF" w:rsidRPr="00C407B8">
        <w:rPr>
          <w:noProof/>
          <w:szCs w:val="24"/>
        </w:rPr>
        <w:t xml:space="preserve"> obstacles to cross-border expansion </w:t>
      </w:r>
      <w:r w:rsidR="00CC71EF">
        <w:rPr>
          <w:noProof/>
          <w:szCs w:val="24"/>
        </w:rPr>
        <w:t xml:space="preserve">faced by </w:t>
      </w:r>
      <w:r w:rsidR="00CC71EF" w:rsidRPr="00C407B8">
        <w:rPr>
          <w:noProof/>
          <w:szCs w:val="24"/>
        </w:rPr>
        <w:t xml:space="preserve">small and medium-sized enterprises (SMEs) in line with the </w:t>
      </w:r>
      <w:r w:rsidR="00CC71EF" w:rsidRPr="00C407B8">
        <w:rPr>
          <w:rFonts w:eastAsia="Calibri"/>
          <w:noProof/>
          <w:szCs w:val="24"/>
        </w:rPr>
        <w:t xml:space="preserve">Communications </w:t>
      </w:r>
      <w:r w:rsidR="00CC71EF" w:rsidRPr="00304A64">
        <w:rPr>
          <w:rFonts w:eastAsia="Calibri"/>
          <w:i/>
          <w:iCs/>
          <w:noProof/>
          <w:szCs w:val="24"/>
        </w:rPr>
        <w:t>Updating the 2020 New Industrial Strategy</w:t>
      </w:r>
      <w:r w:rsidR="00CC71EF" w:rsidRPr="00C407B8">
        <w:rPr>
          <w:rFonts w:eastAsia="Calibri"/>
          <w:noProof/>
          <w:szCs w:val="24"/>
        </w:rPr>
        <w:t xml:space="preserve"> and </w:t>
      </w:r>
      <w:r w:rsidR="00CC71EF" w:rsidRPr="00304A64">
        <w:rPr>
          <w:rFonts w:eastAsia="Calibri"/>
          <w:i/>
          <w:iCs/>
          <w:noProof/>
          <w:szCs w:val="24"/>
        </w:rPr>
        <w:t>SME Strategy for a sustainable and digital Europe</w:t>
      </w:r>
      <w:r w:rsidR="00CC71EF">
        <w:rPr>
          <w:rFonts w:eastAsia="Calibri"/>
          <w:noProof/>
          <w:szCs w:val="24"/>
        </w:rPr>
        <w:t>.</w:t>
      </w:r>
      <w:r w:rsidR="00CC71EF" w:rsidRPr="00304A64">
        <w:rPr>
          <w:rFonts w:eastAsia="Calibri"/>
          <w:noProof/>
          <w:color w:val="000000" w:themeColor="text1"/>
          <w:szCs w:val="24"/>
        </w:rPr>
        <w:t xml:space="preserve"> </w:t>
      </w:r>
      <w:r w:rsidRPr="00281D77">
        <w:rPr>
          <w:noProof/>
          <w:szCs w:val="24"/>
          <w:shd w:val="clear" w:color="auto" w:fill="FFFFFF"/>
        </w:rPr>
        <w:t xml:space="preserve">It also contributes to removing remaining unjustified barriers and administrative burdens in the </w:t>
      </w:r>
      <w:r w:rsidR="00BC5AAE" w:rsidRPr="00281D77">
        <w:rPr>
          <w:noProof/>
          <w:szCs w:val="24"/>
          <w:shd w:val="clear" w:color="auto" w:fill="FFFFFF"/>
        </w:rPr>
        <w:t>s</w:t>
      </w:r>
      <w:r w:rsidRPr="00281D77">
        <w:rPr>
          <w:noProof/>
          <w:szCs w:val="24"/>
          <w:shd w:val="clear" w:color="auto" w:fill="FFFFFF"/>
        </w:rPr>
        <w:t xml:space="preserve">ingle </w:t>
      </w:r>
      <w:r w:rsidR="00BC5AAE" w:rsidRPr="00281D77">
        <w:rPr>
          <w:noProof/>
          <w:szCs w:val="24"/>
          <w:shd w:val="clear" w:color="auto" w:fill="FFFFFF"/>
        </w:rPr>
        <w:t>m</w:t>
      </w:r>
      <w:r w:rsidRPr="00281D77">
        <w:rPr>
          <w:noProof/>
          <w:szCs w:val="24"/>
          <w:shd w:val="clear" w:color="auto" w:fill="FFFFFF"/>
        </w:rPr>
        <w:t xml:space="preserve">arket as </w:t>
      </w:r>
      <w:r w:rsidR="00745587">
        <w:rPr>
          <w:noProof/>
          <w:szCs w:val="24"/>
          <w:shd w:val="clear" w:color="auto" w:fill="FFFFFF"/>
        </w:rPr>
        <w:t xml:space="preserve">called for </w:t>
      </w:r>
      <w:r w:rsidRPr="00281D77">
        <w:rPr>
          <w:noProof/>
          <w:szCs w:val="24"/>
          <w:shd w:val="clear" w:color="auto" w:fill="FFFFFF"/>
        </w:rPr>
        <w:t xml:space="preserve">in the European Council conclusions of 24-25 March 2022. </w:t>
      </w:r>
    </w:p>
    <w:p w14:paraId="1F0CCAFF" w14:textId="77777777" w:rsidR="00AB6191" w:rsidRPr="00281D77"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281D77">
        <w:rPr>
          <w:noProof/>
          <w:szCs w:val="24"/>
          <w:shd w:val="clear" w:color="auto" w:fill="FFFFFF"/>
        </w:rPr>
        <w:t>It establishes synergies in particular with:</w:t>
      </w:r>
    </w:p>
    <w:p w14:paraId="48D467D6" w14:textId="77777777" w:rsidR="00281D77" w:rsidRPr="00281D77"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281D77">
        <w:rPr>
          <w:noProof/>
          <w:szCs w:val="24"/>
          <w:shd w:val="clear" w:color="auto" w:fill="FFFFFF"/>
        </w:rPr>
        <w:t>- Directive (EU) 2015/849 of the European Parliament and of the Council of 20 May 2015 on the prevention of the use of the financial system for the purposes of money laundering or terrorist financing</w:t>
      </w:r>
      <w:r w:rsidR="00745587">
        <w:rPr>
          <w:noProof/>
          <w:szCs w:val="24"/>
          <w:shd w:val="clear" w:color="auto" w:fill="FFFFFF"/>
        </w:rPr>
        <w:t>,</w:t>
      </w:r>
    </w:p>
    <w:p w14:paraId="17A0565C" w14:textId="77777777" w:rsidR="00AB6191" w:rsidRPr="00281D77" w:rsidRDefault="00AB6191" w:rsidP="00AB6191">
      <w:pPr>
        <w:pStyle w:val="Text1"/>
        <w:pBdr>
          <w:top w:val="single" w:sz="4" w:space="1" w:color="auto"/>
          <w:left w:val="single" w:sz="4" w:space="4" w:color="auto"/>
          <w:bottom w:val="single" w:sz="4" w:space="1" w:color="auto"/>
          <w:right w:val="single" w:sz="4" w:space="4" w:color="auto"/>
        </w:pBdr>
        <w:rPr>
          <w:noProof/>
        </w:rPr>
      </w:pPr>
      <w:r w:rsidRPr="00281D77">
        <w:rPr>
          <w:noProof/>
          <w:szCs w:val="24"/>
          <w:shd w:val="clear" w:color="auto" w:fill="FFFFFF"/>
        </w:rPr>
        <w:t>- Regulation (EU) 910/2014 95 (the ‘e-IDAS’ regulation) and its ongoing revision, as builds on the technical framewo</w:t>
      </w:r>
      <w:r w:rsidR="00EE7E12" w:rsidRPr="00281D77">
        <w:rPr>
          <w:noProof/>
          <w:szCs w:val="24"/>
          <w:shd w:val="clear" w:color="auto" w:fill="FFFFFF"/>
        </w:rPr>
        <w:t>r</w:t>
      </w:r>
      <w:r w:rsidRPr="00281D77">
        <w:rPr>
          <w:noProof/>
          <w:szCs w:val="24"/>
          <w:shd w:val="clear" w:color="auto" w:fill="FFFFFF"/>
        </w:rPr>
        <w:t>k provided by that Regulation for e-identification and trust services.</w:t>
      </w:r>
    </w:p>
    <w:p w14:paraId="7D1DC42F" w14:textId="77777777" w:rsidR="00AB6191" w:rsidRPr="008231CB" w:rsidRDefault="00AB6191" w:rsidP="00AB6191">
      <w:pPr>
        <w:pStyle w:val="ManualHeading3"/>
        <w:rPr>
          <w:noProof/>
        </w:rPr>
      </w:pPr>
      <w:bookmarkStart w:id="107" w:name="_Toc514938036"/>
      <w:bookmarkStart w:id="108" w:name="_Toc520485039"/>
      <w:bookmarkStart w:id="109" w:name="_Toc126826601"/>
      <w:r w:rsidRPr="008231CB">
        <w:rPr>
          <w:noProof/>
        </w:rPr>
        <w:t>1.5.5.</w:t>
      </w:r>
      <w:r w:rsidRPr="008231CB">
        <w:rPr>
          <w:noProof/>
        </w:rPr>
        <w:tab/>
        <w:t>Assessment of the different available financing options, including scope for redeployment</w:t>
      </w:r>
      <w:bookmarkEnd w:id="107"/>
      <w:bookmarkEnd w:id="108"/>
      <w:bookmarkEnd w:id="109"/>
    </w:p>
    <w:p w14:paraId="79FC4B30"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8231CB">
        <w:rPr>
          <w:noProof/>
        </w:rPr>
        <w:t>The initiative re-use</w:t>
      </w:r>
      <w:r>
        <w:rPr>
          <w:noProof/>
        </w:rPr>
        <w:t>s</w:t>
      </w:r>
      <w:r w:rsidRPr="008231CB">
        <w:rPr>
          <w:noProof/>
        </w:rPr>
        <w:t xml:space="preserve"> the eDelivery building block</w:t>
      </w:r>
      <w:r w:rsidR="00745587">
        <w:rPr>
          <w:noProof/>
        </w:rPr>
        <w:t>.</w:t>
      </w:r>
    </w:p>
    <w:p w14:paraId="5EDD640D"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p>
    <w:p w14:paraId="6E542B0D" w14:textId="77777777" w:rsidR="00AB6191" w:rsidRPr="008231CB" w:rsidRDefault="00AB6191" w:rsidP="00AB6191">
      <w:pPr>
        <w:pStyle w:val="Text1"/>
        <w:rPr>
          <w:noProof/>
        </w:rPr>
      </w:pPr>
    </w:p>
    <w:p w14:paraId="2E0473E1" w14:textId="77777777" w:rsidR="00AB6191" w:rsidRPr="008231CB" w:rsidRDefault="00AB6191" w:rsidP="00AB6191">
      <w:pPr>
        <w:pStyle w:val="ManualHeading2"/>
        <w:rPr>
          <w:bCs/>
          <w:noProof/>
          <w:szCs w:val="24"/>
        </w:rPr>
      </w:pPr>
      <w:r w:rsidRPr="008231CB">
        <w:rPr>
          <w:noProof/>
        </w:rPr>
        <w:br w:type="page"/>
      </w:r>
      <w:bookmarkStart w:id="110" w:name="_Toc514938039"/>
      <w:bookmarkStart w:id="111" w:name="_Toc520485040"/>
      <w:bookmarkStart w:id="112" w:name="_Toc126826602"/>
      <w:r w:rsidRPr="008231CB">
        <w:rPr>
          <w:noProof/>
        </w:rPr>
        <w:t>1.6.</w:t>
      </w:r>
      <w:r w:rsidRPr="008231CB">
        <w:rPr>
          <w:noProof/>
        </w:rPr>
        <w:tab/>
        <w:t>Duration and financial impact of the proposal/initiative</w:t>
      </w:r>
      <w:bookmarkEnd w:id="110"/>
      <w:bookmarkEnd w:id="111"/>
      <w:bookmarkEnd w:id="112"/>
    </w:p>
    <w:p w14:paraId="7BDE56C7" w14:textId="77777777" w:rsidR="00AB6191" w:rsidRPr="008231CB" w:rsidRDefault="00AB6191" w:rsidP="00AB6191">
      <w:pPr>
        <w:pStyle w:val="Text1"/>
        <w:rPr>
          <w:noProof/>
        </w:rPr>
      </w:pPr>
      <w:r w:rsidRPr="008231CB">
        <w:rPr>
          <w:rFonts w:ascii="Wingdings" w:eastAsia="Wingdings" w:hAnsi="Wingdings" w:cs="Wingdings"/>
          <w:noProof/>
        </w:rPr>
        <w:t></w:t>
      </w:r>
      <w:r w:rsidRPr="008231CB">
        <w:rPr>
          <w:b/>
          <w:i/>
          <w:noProof/>
        </w:rPr>
        <w:t xml:space="preserve"> </w:t>
      </w:r>
      <w:r w:rsidRPr="008231CB">
        <w:rPr>
          <w:b/>
          <w:noProof/>
        </w:rPr>
        <w:t xml:space="preserve">limited duration </w:t>
      </w:r>
    </w:p>
    <w:p w14:paraId="1BB3FA8B"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ab/>
        <w:t xml:space="preserve">in effect from [DD/MM]YYYY to [DD/MM]YYYY </w:t>
      </w:r>
    </w:p>
    <w:p w14:paraId="629F6FD9"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ab/>
        <w:t xml:space="preserve">Financial impact from YYYY to YYYY for commitment appropriations and from YYYY to YYYY for payment appropriations. </w:t>
      </w:r>
    </w:p>
    <w:p w14:paraId="1992D15E" w14:textId="77777777" w:rsidR="00AB6191" w:rsidRPr="008231CB" w:rsidRDefault="00AB6191" w:rsidP="00AB6191">
      <w:pPr>
        <w:pStyle w:val="Text1"/>
        <w:rPr>
          <w:noProof/>
        </w:rPr>
      </w:pPr>
      <w:r w:rsidRPr="008231CB">
        <w:rPr>
          <w:rFonts w:ascii="Segoe UI Symbol" w:hAnsi="Segoe UI Symbol" w:cs="Segoe UI Symbol"/>
          <w:noProof/>
          <w:color w:val="333333"/>
          <w:sz w:val="27"/>
          <w:szCs w:val="27"/>
          <w:shd w:val="clear" w:color="auto" w:fill="FFFFFF"/>
        </w:rPr>
        <w:t>☒</w:t>
      </w:r>
      <w:r w:rsidRPr="008231CB">
        <w:rPr>
          <w:b/>
          <w:i/>
          <w:noProof/>
        </w:rPr>
        <w:t xml:space="preserve"> </w:t>
      </w:r>
      <w:r w:rsidRPr="008231CB">
        <w:rPr>
          <w:b/>
          <w:noProof/>
        </w:rPr>
        <w:t>unlimited duration</w:t>
      </w:r>
    </w:p>
    <w:p w14:paraId="3076CE74" w14:textId="77777777" w:rsidR="00AB6191" w:rsidRPr="008231CB" w:rsidRDefault="00AB6191" w:rsidP="00AB6191">
      <w:pPr>
        <w:pStyle w:val="ListDash1"/>
        <w:rPr>
          <w:noProof/>
        </w:rPr>
      </w:pPr>
      <w:r w:rsidRPr="008231CB">
        <w:rPr>
          <w:noProof/>
        </w:rPr>
        <w:t>Implementation with a start-up period from 2025 to 2028,</w:t>
      </w:r>
    </w:p>
    <w:p w14:paraId="58DB00AC" w14:textId="77777777" w:rsidR="00AB6191" w:rsidRPr="008231CB" w:rsidRDefault="00AB6191" w:rsidP="00AB6191">
      <w:pPr>
        <w:pStyle w:val="ListDash1"/>
        <w:rPr>
          <w:noProof/>
        </w:rPr>
      </w:pPr>
      <w:r w:rsidRPr="008231CB">
        <w:rPr>
          <w:noProof/>
        </w:rPr>
        <w:t>followed by full-scale operation.</w:t>
      </w:r>
    </w:p>
    <w:p w14:paraId="64B599BA" w14:textId="77777777" w:rsidR="00AB6191" w:rsidRPr="008231CB" w:rsidRDefault="00AB6191" w:rsidP="00AB6191">
      <w:pPr>
        <w:pStyle w:val="ManualHeading2"/>
        <w:rPr>
          <w:bCs/>
          <w:noProof/>
          <w:szCs w:val="24"/>
        </w:rPr>
      </w:pPr>
      <w:bookmarkStart w:id="113" w:name="_Toc514938040"/>
      <w:bookmarkStart w:id="114" w:name="_Toc520485041"/>
      <w:bookmarkStart w:id="115" w:name="_Toc126826603"/>
      <w:r w:rsidRPr="008231CB">
        <w:rPr>
          <w:noProof/>
        </w:rPr>
        <w:t>1.7.</w:t>
      </w:r>
      <w:r w:rsidRPr="008231CB">
        <w:rPr>
          <w:noProof/>
        </w:rPr>
        <w:tab/>
        <w:t>Method(s) of budget implementation planned</w:t>
      </w:r>
      <w:r w:rsidRPr="00EC6C35">
        <w:rPr>
          <w:rStyle w:val="FootnoteReference"/>
          <w:noProof/>
        </w:rPr>
        <w:footnoteReference w:id="69"/>
      </w:r>
      <w:bookmarkEnd w:id="113"/>
      <w:bookmarkEnd w:id="114"/>
      <w:bookmarkEnd w:id="115"/>
      <w:r w:rsidRPr="008231CB">
        <w:rPr>
          <w:noProof/>
        </w:rPr>
        <w:t xml:space="preserve"> </w:t>
      </w:r>
    </w:p>
    <w:p w14:paraId="25D76D35" w14:textId="77777777" w:rsidR="00AB6191" w:rsidRPr="008231CB" w:rsidRDefault="00AB6191" w:rsidP="00AB6191">
      <w:pPr>
        <w:pStyle w:val="Text1"/>
        <w:rPr>
          <w:noProof/>
        </w:rPr>
      </w:pPr>
      <w:r w:rsidRPr="008231CB">
        <w:rPr>
          <w:rFonts w:ascii="Segoe UI Symbol" w:hAnsi="Segoe UI Symbol" w:cs="Segoe UI Symbol"/>
          <w:noProof/>
          <w:color w:val="333333"/>
          <w:sz w:val="27"/>
          <w:szCs w:val="27"/>
          <w:shd w:val="clear" w:color="auto" w:fill="FFFFFF"/>
        </w:rPr>
        <w:t>☒</w:t>
      </w:r>
      <w:r w:rsidRPr="008231CB">
        <w:rPr>
          <w:i/>
          <w:noProof/>
        </w:rPr>
        <w:t xml:space="preserve"> </w:t>
      </w:r>
      <w:r w:rsidRPr="008231CB">
        <w:rPr>
          <w:b/>
          <w:noProof/>
        </w:rPr>
        <w:t>Direct management</w:t>
      </w:r>
      <w:r w:rsidRPr="008231CB">
        <w:rPr>
          <w:noProof/>
        </w:rPr>
        <w:t xml:space="preserve"> by the Commission</w:t>
      </w:r>
    </w:p>
    <w:p w14:paraId="54854EAA" w14:textId="77777777" w:rsidR="00AB6191" w:rsidRPr="008231CB" w:rsidRDefault="00AB6191" w:rsidP="00AB6191">
      <w:pPr>
        <w:pStyle w:val="ListDash2"/>
        <w:rPr>
          <w:rFonts w:cs="EUAlbertina"/>
          <w:noProof/>
        </w:rPr>
      </w:pPr>
      <w:r w:rsidRPr="008231CB">
        <w:rPr>
          <w:rFonts w:ascii="Segoe UI Symbol" w:hAnsi="Segoe UI Symbol" w:cs="Segoe UI Symbol"/>
          <w:noProof/>
          <w:color w:val="333333"/>
          <w:sz w:val="27"/>
          <w:szCs w:val="27"/>
          <w:shd w:val="clear" w:color="auto" w:fill="FFFFFF"/>
        </w:rPr>
        <w:t>☒</w:t>
      </w:r>
      <w:r w:rsidRPr="008231CB">
        <w:rPr>
          <w:noProof/>
        </w:rPr>
        <w:t xml:space="preserve"> by its departments, including by its staff in the Union delegations; </w:t>
      </w:r>
    </w:p>
    <w:p w14:paraId="1927A361"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ab/>
        <w:t xml:space="preserve">by the executive agencies </w:t>
      </w:r>
    </w:p>
    <w:p w14:paraId="20B38EFD" w14:textId="77777777" w:rsidR="00AB6191" w:rsidRPr="008231CB" w:rsidRDefault="00AB6191" w:rsidP="00AB6191">
      <w:pPr>
        <w:pStyle w:val="Text1"/>
        <w:rPr>
          <w:noProof/>
        </w:rPr>
      </w:pPr>
      <w:r w:rsidRPr="008231CB">
        <w:rPr>
          <w:rFonts w:ascii="Wingdings" w:eastAsia="Wingdings" w:hAnsi="Wingdings" w:cs="Wingdings"/>
          <w:noProof/>
        </w:rPr>
        <w:t></w:t>
      </w:r>
      <w:r w:rsidRPr="008231CB">
        <w:rPr>
          <w:b/>
          <w:i/>
          <w:noProof/>
        </w:rPr>
        <w:t xml:space="preserve"> </w:t>
      </w:r>
      <w:r w:rsidRPr="008231CB">
        <w:rPr>
          <w:b/>
          <w:noProof/>
        </w:rPr>
        <w:t>Shared management</w:t>
      </w:r>
      <w:r w:rsidRPr="008231CB">
        <w:rPr>
          <w:noProof/>
        </w:rPr>
        <w:t xml:space="preserve"> with the Member States </w:t>
      </w:r>
    </w:p>
    <w:p w14:paraId="23815614" w14:textId="77777777" w:rsidR="00AB6191" w:rsidRPr="008231CB" w:rsidRDefault="00AB6191" w:rsidP="00AB6191">
      <w:pPr>
        <w:pStyle w:val="Text1"/>
        <w:rPr>
          <w:noProof/>
        </w:rPr>
      </w:pPr>
      <w:r w:rsidRPr="008231CB">
        <w:rPr>
          <w:rFonts w:ascii="Wingdings" w:eastAsia="Wingdings" w:hAnsi="Wingdings" w:cs="Wingdings"/>
          <w:noProof/>
        </w:rPr>
        <w:t></w:t>
      </w:r>
      <w:r w:rsidRPr="008231CB">
        <w:rPr>
          <w:i/>
          <w:noProof/>
        </w:rPr>
        <w:t xml:space="preserve"> </w:t>
      </w:r>
      <w:r w:rsidRPr="008231CB">
        <w:rPr>
          <w:b/>
          <w:noProof/>
        </w:rPr>
        <w:t>Indirect management</w:t>
      </w:r>
      <w:r w:rsidRPr="008231CB">
        <w:rPr>
          <w:noProof/>
        </w:rPr>
        <w:t xml:space="preserve"> by entrusting budget implementation tasks to:</w:t>
      </w:r>
    </w:p>
    <w:p w14:paraId="33D012C3"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 xml:space="preserve"> third countries or the bodies they have designated;</w:t>
      </w:r>
    </w:p>
    <w:p w14:paraId="506C7FFB"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 xml:space="preserve"> international organisations and their agencies (to be specified);</w:t>
      </w:r>
    </w:p>
    <w:p w14:paraId="6D76A26A"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 xml:space="preserve"> the EIB and the European Investment Fund;</w:t>
      </w:r>
    </w:p>
    <w:p w14:paraId="7B419B5D"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 xml:space="preserve"> bodies referred to in Articles 70 and 71 of the Financial Regulation;</w:t>
      </w:r>
    </w:p>
    <w:p w14:paraId="1EF23D7E"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 xml:space="preserve"> public law bodies;</w:t>
      </w:r>
    </w:p>
    <w:p w14:paraId="4E2DC43E"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 xml:space="preserve"> bodies governed by private law with a public service mission to the extent that they are provided with adequate financial guarantees;</w:t>
      </w:r>
    </w:p>
    <w:p w14:paraId="4CCE6493"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 xml:space="preserve"> bodies governed by the private law of a Member State that are entrusted with the implementation of a public-private partnership and that are provided with adequate financial guarantees;</w:t>
      </w:r>
    </w:p>
    <w:p w14:paraId="24F54461" w14:textId="77777777" w:rsidR="00AB6191" w:rsidRPr="008231CB" w:rsidRDefault="00AB6191" w:rsidP="00AB6191">
      <w:pPr>
        <w:pStyle w:val="ListDash2"/>
        <w:rPr>
          <w:noProof/>
        </w:rPr>
      </w:pPr>
      <w:r w:rsidRPr="008231CB">
        <w:rPr>
          <w:rFonts w:ascii="Wingdings" w:eastAsia="Wingdings" w:hAnsi="Wingdings" w:cs="Wingdings"/>
          <w:noProof/>
        </w:rPr>
        <w:t></w:t>
      </w:r>
      <w:r w:rsidRPr="008231CB">
        <w:rPr>
          <w:noProof/>
        </w:rPr>
        <w:t xml:space="preserve"> bodies or persons entrusted with the implementation of specific actions in the CFSP pursuant to Title V of the TEU, and identified in the relevant basic act.</w:t>
      </w:r>
    </w:p>
    <w:p w14:paraId="704D0312" w14:textId="77777777" w:rsidR="00AB6191" w:rsidRPr="008231CB" w:rsidRDefault="00AB6191" w:rsidP="00AB6191">
      <w:pPr>
        <w:pStyle w:val="ListDash2"/>
        <w:rPr>
          <w:i/>
          <w:noProof/>
          <w:sz w:val="18"/>
          <w:u w:val="single"/>
        </w:rPr>
      </w:pPr>
      <w:r w:rsidRPr="008231CB">
        <w:rPr>
          <w:i/>
          <w:noProof/>
          <w:sz w:val="18"/>
        </w:rPr>
        <w:t>If more than one management mode is indicated, please provide details in the ‘Comments’ section.</w:t>
      </w:r>
    </w:p>
    <w:p w14:paraId="557BAE77" w14:textId="77777777" w:rsidR="00AB6191" w:rsidRPr="008231CB" w:rsidRDefault="00AB6191" w:rsidP="00AB6191">
      <w:pPr>
        <w:rPr>
          <w:noProof/>
        </w:rPr>
      </w:pPr>
      <w:r w:rsidRPr="008231CB">
        <w:rPr>
          <w:noProof/>
        </w:rPr>
        <w:t xml:space="preserve">Comments </w:t>
      </w:r>
    </w:p>
    <w:p w14:paraId="04E0FED9" w14:textId="77777777" w:rsidR="00AB6191" w:rsidRPr="008231CB" w:rsidRDefault="00AB6191" w:rsidP="00AB6191">
      <w:pPr>
        <w:pBdr>
          <w:top w:val="single" w:sz="4" w:space="1" w:color="auto"/>
          <w:left w:val="single" w:sz="4" w:space="4" w:color="auto"/>
          <w:bottom w:val="single" w:sz="4" w:space="1" w:color="auto"/>
          <w:right w:val="single" w:sz="4" w:space="4" w:color="auto"/>
        </w:pBdr>
        <w:rPr>
          <w:noProof/>
        </w:rPr>
      </w:pPr>
      <w:r>
        <w:rPr>
          <w:noProof/>
        </w:rPr>
        <w:t xml:space="preserve">The new </w:t>
      </w:r>
      <w:r w:rsidR="00997BA8">
        <w:rPr>
          <w:noProof/>
        </w:rPr>
        <w:t>proposal</w:t>
      </w:r>
      <w:r>
        <w:rPr>
          <w:noProof/>
        </w:rPr>
        <w:t xml:space="preserve">, among other things, </w:t>
      </w:r>
      <w:r w:rsidR="00745587" w:rsidRPr="00C921A3">
        <w:rPr>
          <w:noProof/>
        </w:rPr>
        <w:t xml:space="preserve">uses </w:t>
      </w:r>
      <w:r w:rsidRPr="00C921A3">
        <w:rPr>
          <w:noProof/>
        </w:rPr>
        <w:t>and expan</w:t>
      </w:r>
      <w:r w:rsidR="00745587" w:rsidRPr="00C921A3">
        <w:rPr>
          <w:noProof/>
        </w:rPr>
        <w:t>d</w:t>
      </w:r>
      <w:r w:rsidRPr="00C921A3">
        <w:rPr>
          <w:noProof/>
        </w:rPr>
        <w:t xml:space="preserve">s </w:t>
      </w:r>
      <w:r w:rsidR="00745587" w:rsidRPr="00C921A3">
        <w:rPr>
          <w:noProof/>
        </w:rPr>
        <w:t>the</w:t>
      </w:r>
      <w:r w:rsidRPr="00C921A3">
        <w:rPr>
          <w:noProof/>
        </w:rPr>
        <w:t xml:space="preserve"> scope</w:t>
      </w:r>
      <w:r>
        <w:rPr>
          <w:noProof/>
        </w:rPr>
        <w:t xml:space="preserve"> of the existing Business Registers Interconnection System (BRIS), wh</w:t>
      </w:r>
      <w:r w:rsidR="00745587">
        <w:rPr>
          <w:noProof/>
        </w:rPr>
        <w:t>ich</w:t>
      </w:r>
      <w:r>
        <w:rPr>
          <w:noProof/>
        </w:rPr>
        <w:t xml:space="preserve"> financing by the EU budget is mandatory under EU law, and that is already being funded by the Digital Europe Programme and managed by the Commission. The IT development required by this new </w:t>
      </w:r>
      <w:r w:rsidR="00997BA8">
        <w:rPr>
          <w:noProof/>
        </w:rPr>
        <w:t>proposal</w:t>
      </w:r>
      <w:r>
        <w:rPr>
          <w:noProof/>
        </w:rPr>
        <w:t xml:space="preserve"> does not require additional funds compared to those already being provided by the Digital Europe Programme for the evolutive maintenance (new development) and conservative maintenance (bug fixing) of BRIS (i.e. 2 million EUR per year), nor additional staff resources.</w:t>
      </w:r>
    </w:p>
    <w:p w14:paraId="469D88B9" w14:textId="77777777" w:rsidR="0033071B" w:rsidRDefault="0033071B" w:rsidP="00AB6191">
      <w:pPr>
        <w:rPr>
          <w:noProof/>
        </w:rPr>
      </w:pPr>
      <w:r>
        <w:rPr>
          <w:noProof/>
        </w:rPr>
        <w:br w:type="page"/>
      </w:r>
    </w:p>
    <w:p w14:paraId="2492FC66" w14:textId="77777777" w:rsidR="00AB6191" w:rsidRPr="008231CB" w:rsidRDefault="00AB6191" w:rsidP="00AB6191">
      <w:pPr>
        <w:pStyle w:val="ManualHeading1"/>
        <w:rPr>
          <w:bCs/>
          <w:noProof/>
          <w:szCs w:val="24"/>
        </w:rPr>
      </w:pPr>
      <w:bookmarkStart w:id="116" w:name="_Toc514938041"/>
      <w:bookmarkStart w:id="117" w:name="_Toc520485042"/>
      <w:bookmarkStart w:id="118" w:name="_Toc126826604"/>
      <w:r w:rsidRPr="008231CB">
        <w:rPr>
          <w:noProof/>
        </w:rPr>
        <w:t>2.</w:t>
      </w:r>
      <w:r w:rsidRPr="008231CB">
        <w:rPr>
          <w:noProof/>
        </w:rPr>
        <w:tab/>
        <w:t>MANAGEMENT MEASURES</w:t>
      </w:r>
      <w:bookmarkEnd w:id="116"/>
      <w:bookmarkEnd w:id="117"/>
      <w:bookmarkEnd w:id="118"/>
      <w:r w:rsidRPr="008231CB">
        <w:rPr>
          <w:noProof/>
        </w:rPr>
        <w:t xml:space="preserve"> </w:t>
      </w:r>
    </w:p>
    <w:p w14:paraId="35E98AB4" w14:textId="77777777" w:rsidR="00AB6191" w:rsidRPr="008231CB" w:rsidRDefault="00AB6191" w:rsidP="00AB6191">
      <w:pPr>
        <w:pStyle w:val="ManualHeading2"/>
        <w:rPr>
          <w:noProof/>
        </w:rPr>
      </w:pPr>
      <w:bookmarkStart w:id="119" w:name="_Toc514938042"/>
      <w:bookmarkStart w:id="120" w:name="_Toc520485043"/>
      <w:bookmarkStart w:id="121" w:name="_Toc126826605"/>
      <w:r w:rsidRPr="008231CB">
        <w:rPr>
          <w:noProof/>
        </w:rPr>
        <w:t>2.1.</w:t>
      </w:r>
      <w:r w:rsidRPr="008231CB">
        <w:rPr>
          <w:noProof/>
        </w:rPr>
        <w:tab/>
        <w:t>Monitoring and reporting rules</w:t>
      </w:r>
      <w:bookmarkEnd w:id="119"/>
      <w:bookmarkEnd w:id="120"/>
      <w:bookmarkEnd w:id="121"/>
      <w:r w:rsidRPr="008231CB">
        <w:rPr>
          <w:noProof/>
        </w:rPr>
        <w:t xml:space="preserve"> </w:t>
      </w:r>
    </w:p>
    <w:p w14:paraId="5B7AF754" w14:textId="77777777" w:rsidR="00AB6191" w:rsidRPr="008231CB" w:rsidRDefault="00AB6191" w:rsidP="00AB6191">
      <w:pPr>
        <w:pStyle w:val="Text1"/>
        <w:rPr>
          <w:i/>
          <w:noProof/>
          <w:sz w:val="20"/>
        </w:rPr>
      </w:pPr>
      <w:r w:rsidRPr="008231CB">
        <w:rPr>
          <w:i/>
          <w:noProof/>
          <w:sz w:val="20"/>
        </w:rPr>
        <w:t>Specify frequency and conditions.</w:t>
      </w:r>
    </w:p>
    <w:p w14:paraId="176F267D"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571A2F">
        <w:rPr>
          <w:noProof/>
        </w:rPr>
        <w:t xml:space="preserve">The implementation of the Directive will be reviewed </w:t>
      </w:r>
      <w:r w:rsidRPr="00C921A3">
        <w:rPr>
          <w:i/>
          <w:noProof/>
        </w:rPr>
        <w:t>five years</w:t>
      </w:r>
      <w:r w:rsidRPr="00571A2F">
        <w:rPr>
          <w:noProof/>
        </w:rPr>
        <w:t xml:space="preserve"> after its full application. The Commission will report on the findings to the European Parliament and to the Council.</w:t>
      </w:r>
    </w:p>
    <w:p w14:paraId="1E243C24"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p>
    <w:p w14:paraId="6F23E36D" w14:textId="77777777" w:rsidR="00AB6191" w:rsidRPr="008231CB" w:rsidRDefault="00AB6191" w:rsidP="00AB6191">
      <w:pPr>
        <w:pStyle w:val="ManualHeading2"/>
        <w:rPr>
          <w:bCs/>
          <w:noProof/>
          <w:szCs w:val="24"/>
        </w:rPr>
      </w:pPr>
      <w:bookmarkStart w:id="122" w:name="_Toc514938045"/>
      <w:bookmarkStart w:id="123" w:name="_Toc520485044"/>
      <w:bookmarkStart w:id="124" w:name="_Toc126826606"/>
      <w:r w:rsidRPr="008231CB">
        <w:rPr>
          <w:noProof/>
        </w:rPr>
        <w:t>2.2.</w:t>
      </w:r>
      <w:r w:rsidRPr="008231CB">
        <w:rPr>
          <w:noProof/>
        </w:rPr>
        <w:tab/>
        <w:t>Management and control system(s)</w:t>
      </w:r>
      <w:bookmarkEnd w:id="122"/>
      <w:bookmarkEnd w:id="123"/>
      <w:bookmarkEnd w:id="124"/>
      <w:r w:rsidRPr="008231CB">
        <w:rPr>
          <w:noProof/>
        </w:rPr>
        <w:t xml:space="preserve"> </w:t>
      </w:r>
    </w:p>
    <w:p w14:paraId="4ED8CF32" w14:textId="77777777" w:rsidR="00AB6191" w:rsidRPr="008231CB" w:rsidRDefault="00AB6191" w:rsidP="00AB6191">
      <w:pPr>
        <w:pStyle w:val="ManualHeading3"/>
        <w:rPr>
          <w:noProof/>
        </w:rPr>
      </w:pPr>
      <w:bookmarkStart w:id="125" w:name="_Toc514938046"/>
      <w:bookmarkStart w:id="126" w:name="_Toc520485045"/>
      <w:bookmarkStart w:id="127" w:name="_Toc126826607"/>
      <w:r w:rsidRPr="008231CB">
        <w:rPr>
          <w:noProof/>
        </w:rPr>
        <w:t>2.2.1.</w:t>
      </w:r>
      <w:r w:rsidRPr="008231CB">
        <w:rPr>
          <w:noProof/>
        </w:rPr>
        <w:tab/>
        <w:t>Justification of the management mode(s), the funding implementation mechanism(s), the payment modalities and the control strategy proposed</w:t>
      </w:r>
      <w:bookmarkEnd w:id="125"/>
      <w:bookmarkEnd w:id="126"/>
      <w:bookmarkEnd w:id="127"/>
    </w:p>
    <w:p w14:paraId="6E91A214" w14:textId="77777777" w:rsidR="00AB6191" w:rsidRPr="00A12243" w:rsidRDefault="00AB6191" w:rsidP="00AB6191">
      <w:pPr>
        <w:pStyle w:val="Text1"/>
        <w:pBdr>
          <w:top w:val="single" w:sz="4" w:space="1" w:color="auto"/>
          <w:left w:val="single" w:sz="4" w:space="4" w:color="auto"/>
          <w:bottom w:val="single" w:sz="4" w:space="1" w:color="auto"/>
          <w:right w:val="single" w:sz="4" w:space="4" w:color="auto"/>
        </w:pBdr>
        <w:rPr>
          <w:noProof/>
        </w:rPr>
      </w:pPr>
      <w:r w:rsidRPr="00A12243">
        <w:rPr>
          <w:noProof/>
        </w:rPr>
        <w:t xml:space="preserve">This initiative builds on the already existing Business </w:t>
      </w:r>
      <w:r w:rsidR="00A17448">
        <w:rPr>
          <w:noProof/>
        </w:rPr>
        <w:t>R</w:t>
      </w:r>
      <w:r w:rsidRPr="00A12243">
        <w:rPr>
          <w:noProof/>
        </w:rPr>
        <w:t>egisters Interconnection System</w:t>
      </w:r>
      <w:r w:rsidR="005754DA">
        <w:rPr>
          <w:noProof/>
        </w:rPr>
        <w:t xml:space="preserve"> (BRIS) </w:t>
      </w:r>
      <w:r w:rsidR="005754DA" w:rsidRPr="00A12243">
        <w:rPr>
          <w:noProof/>
        </w:rPr>
        <w:t>developed by the Commission (DG DIGIT)</w:t>
      </w:r>
      <w:r w:rsidRPr="00A12243">
        <w:rPr>
          <w:noProof/>
        </w:rPr>
        <w:t>. This proposal for a new Directive does not alter the management mode, funding implementation mechanism, payment modalities</w:t>
      </w:r>
      <w:r w:rsidR="00A17448">
        <w:rPr>
          <w:noProof/>
        </w:rPr>
        <w:t xml:space="preserve"> or</w:t>
      </w:r>
      <w:r w:rsidRPr="00A12243">
        <w:rPr>
          <w:noProof/>
        </w:rPr>
        <w:t xml:space="preserve"> control strategy already in place for the system and employed by the Commission.</w:t>
      </w:r>
    </w:p>
    <w:p w14:paraId="6403CF33" w14:textId="77777777" w:rsidR="00AB6191" w:rsidRPr="00A12243" w:rsidRDefault="00AB6191" w:rsidP="00AB6191">
      <w:pPr>
        <w:pStyle w:val="Text1"/>
        <w:pBdr>
          <w:top w:val="single" w:sz="4" w:space="1" w:color="auto"/>
          <w:left w:val="single" w:sz="4" w:space="4" w:color="auto"/>
          <w:bottom w:val="single" w:sz="4" w:space="1" w:color="auto"/>
          <w:right w:val="single" w:sz="4" w:space="4" w:color="auto"/>
        </w:pBdr>
        <w:rPr>
          <w:noProof/>
        </w:rPr>
      </w:pPr>
      <w:r w:rsidRPr="00A12243">
        <w:rPr>
          <w:noProof/>
        </w:rPr>
        <w:t xml:space="preserve">The proposed Directive enlarges the scope of the already established BRIS system, which provides digital channels for electronic communication between business registers and between them and the European e-Justice Portal, </w:t>
      </w:r>
      <w:r w:rsidR="00A17448">
        <w:rPr>
          <w:noProof/>
        </w:rPr>
        <w:t>and provides</w:t>
      </w:r>
      <w:r w:rsidRPr="00A12243">
        <w:rPr>
          <w:noProof/>
        </w:rPr>
        <w:t xml:space="preserve"> new ways to obtain this data (e.g. through BORIS and IRI).</w:t>
      </w:r>
    </w:p>
    <w:p w14:paraId="0130D423" w14:textId="77777777" w:rsidR="00AB6191" w:rsidRPr="00A12243" w:rsidRDefault="00AB6191" w:rsidP="00AB6191">
      <w:pPr>
        <w:pStyle w:val="Text1"/>
        <w:pBdr>
          <w:top w:val="single" w:sz="4" w:space="1" w:color="auto"/>
          <w:left w:val="single" w:sz="4" w:space="4" w:color="auto"/>
          <w:bottom w:val="single" w:sz="4" w:space="1" w:color="auto"/>
          <w:right w:val="single" w:sz="4" w:space="4" w:color="auto"/>
        </w:pBdr>
        <w:rPr>
          <w:noProof/>
        </w:rPr>
      </w:pPr>
      <w:r w:rsidRPr="00A12243">
        <w:rPr>
          <w:noProof/>
        </w:rPr>
        <w:t xml:space="preserve">This requires the further development of already existing technical specifications and standards, </w:t>
      </w:r>
      <w:r w:rsidR="005754DA">
        <w:rPr>
          <w:noProof/>
        </w:rPr>
        <w:t xml:space="preserve">further development work on the </w:t>
      </w:r>
      <w:r w:rsidRPr="00A12243">
        <w:rPr>
          <w:noProof/>
        </w:rPr>
        <w:t xml:space="preserve">already existing software and coordination of the activities of national authorities. </w:t>
      </w:r>
    </w:p>
    <w:p w14:paraId="4946F8D0"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A12243">
        <w:rPr>
          <w:noProof/>
        </w:rPr>
        <w:t xml:space="preserve">In order to </w:t>
      </w:r>
      <w:r w:rsidR="00906F88">
        <w:rPr>
          <w:noProof/>
        </w:rPr>
        <w:t>achieve</w:t>
      </w:r>
      <w:r w:rsidRPr="00A12243">
        <w:rPr>
          <w:noProof/>
        </w:rPr>
        <w:t xml:space="preserve"> these tasks, this proposed Directive does not need to increase the current staffing of Commission’s services working on the business management (1 FTE) and project management (1.25 FTEs) of BRIS, and does not need to increase the funds already </w:t>
      </w:r>
      <w:r>
        <w:rPr>
          <w:noProof/>
        </w:rPr>
        <w:t xml:space="preserve">being provided </w:t>
      </w:r>
      <w:r w:rsidRPr="00A12243">
        <w:rPr>
          <w:noProof/>
        </w:rPr>
        <w:t xml:space="preserve">by the Digital Europe Programme for the mandatory development of the </w:t>
      </w:r>
      <w:r>
        <w:rPr>
          <w:noProof/>
        </w:rPr>
        <w:t xml:space="preserve">BRIS </w:t>
      </w:r>
      <w:r w:rsidRPr="00A12243">
        <w:rPr>
          <w:noProof/>
        </w:rPr>
        <w:t>system (around 2 million EUR per year).</w:t>
      </w:r>
    </w:p>
    <w:p w14:paraId="42C422F3" w14:textId="77777777" w:rsidR="00AB6191" w:rsidRPr="008231CB" w:rsidRDefault="00AB6191" w:rsidP="00AB6191">
      <w:pPr>
        <w:pStyle w:val="ManualHeading3"/>
        <w:rPr>
          <w:bCs/>
          <w:noProof/>
          <w:szCs w:val="24"/>
        </w:rPr>
      </w:pPr>
      <w:bookmarkStart w:id="128" w:name="_Toc514938047"/>
      <w:bookmarkStart w:id="129" w:name="_Toc520485046"/>
      <w:bookmarkStart w:id="130" w:name="_Toc126826608"/>
      <w:r w:rsidRPr="008231CB">
        <w:rPr>
          <w:noProof/>
        </w:rPr>
        <w:t>2.2.2.</w:t>
      </w:r>
      <w:r w:rsidRPr="008231CB">
        <w:rPr>
          <w:noProof/>
        </w:rPr>
        <w:tab/>
        <w:t>Information concerning the risks identified and the internal control system(s) set up to mitigate them</w:t>
      </w:r>
      <w:bookmarkEnd w:id="128"/>
      <w:bookmarkEnd w:id="129"/>
      <w:bookmarkEnd w:id="130"/>
    </w:p>
    <w:p w14:paraId="797D8BFB" w14:textId="77777777" w:rsidR="00AB6191" w:rsidRPr="00A12243" w:rsidRDefault="00AB6191" w:rsidP="00AB6191">
      <w:pPr>
        <w:pStyle w:val="Text1"/>
        <w:pBdr>
          <w:top w:val="single" w:sz="4" w:space="1" w:color="auto"/>
          <w:left w:val="single" w:sz="4" w:space="4" w:color="auto"/>
          <w:bottom w:val="single" w:sz="4" w:space="1" w:color="auto"/>
          <w:right w:val="single" w:sz="4" w:space="4" w:color="auto"/>
        </w:pBdr>
        <w:rPr>
          <w:noProof/>
        </w:rPr>
      </w:pPr>
      <w:r w:rsidRPr="00A12243">
        <w:rPr>
          <w:noProof/>
        </w:rPr>
        <w:t>The main identified risks relate to:</w:t>
      </w:r>
    </w:p>
    <w:p w14:paraId="607015DE" w14:textId="77777777" w:rsidR="00AB6191" w:rsidRPr="00A12243" w:rsidRDefault="00AB6191" w:rsidP="00AB6191">
      <w:pPr>
        <w:pStyle w:val="Text1"/>
        <w:pBdr>
          <w:top w:val="single" w:sz="4" w:space="1" w:color="auto"/>
          <w:left w:val="single" w:sz="4" w:space="4" w:color="auto"/>
          <w:bottom w:val="single" w:sz="4" w:space="1" w:color="auto"/>
          <w:right w:val="single" w:sz="4" w:space="4" w:color="auto"/>
        </w:pBdr>
        <w:rPr>
          <w:noProof/>
        </w:rPr>
      </w:pPr>
      <w:r w:rsidRPr="00A12243">
        <w:rPr>
          <w:noProof/>
        </w:rPr>
        <w:t xml:space="preserve">(a) Time and cost overruns due to unforeseen IT implementation issues with regard to the further IT development needed by the Commission to enlarge the scope of the existing BRIS IT system. This risk is mitigated by the fact that BRIS system already exists and is mature, and </w:t>
      </w:r>
      <w:r w:rsidR="00906F88">
        <w:rPr>
          <w:noProof/>
        </w:rPr>
        <w:t xml:space="preserve">is </w:t>
      </w:r>
      <w:r w:rsidRPr="00A12243">
        <w:rPr>
          <w:noProof/>
        </w:rPr>
        <w:t>based on building blocks that are also already existing and mature – namely, the eDelivery building block.</w:t>
      </w:r>
    </w:p>
    <w:p w14:paraId="4703BEE3" w14:textId="77777777" w:rsidR="00AB6191" w:rsidRPr="00A12243" w:rsidRDefault="00AB6191" w:rsidP="00AB6191">
      <w:pPr>
        <w:pStyle w:val="Text1"/>
        <w:pBdr>
          <w:top w:val="single" w:sz="4" w:space="1" w:color="auto"/>
          <w:left w:val="single" w:sz="4" w:space="4" w:color="auto"/>
          <w:bottom w:val="single" w:sz="4" w:space="1" w:color="auto"/>
          <w:right w:val="single" w:sz="4" w:space="4" w:color="auto"/>
        </w:pBdr>
        <w:rPr>
          <w:noProof/>
        </w:rPr>
      </w:pPr>
      <w:r w:rsidRPr="00A12243">
        <w:rPr>
          <w:noProof/>
        </w:rPr>
        <w:t>This risk is already addressed by existing standard internal control systems used in BRIS, in particular project management controls that are applicable to all systems developed by the Commission, (i.e. governance oversight, project and risk management) which include PM</w:t>
      </w:r>
      <w:r w:rsidRPr="00A12243">
        <w:rPr>
          <w:noProof/>
          <w:vertAlign w:val="superscript"/>
        </w:rPr>
        <w:t>2</w:t>
      </w:r>
      <w:r w:rsidRPr="00A12243">
        <w:rPr>
          <w:noProof/>
        </w:rPr>
        <w:t xml:space="preserve">, </w:t>
      </w:r>
      <w:r>
        <w:rPr>
          <w:noProof/>
        </w:rPr>
        <w:t xml:space="preserve">the </w:t>
      </w:r>
      <w:r w:rsidRPr="00A12243">
        <w:rPr>
          <w:noProof/>
        </w:rPr>
        <w:t>project management methodology developed by the Commission.</w:t>
      </w:r>
    </w:p>
    <w:p w14:paraId="75BEF11D"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A12243">
        <w:rPr>
          <w:noProof/>
        </w:rPr>
        <w:t>(b) Implementation and rollout delays on the side of Member States’ respective authorities. This risk is already mitigated by established communication and reporting tools, cooperation agreements, regular follow-up meetings and by providing technical support to the national authorities in charge of implementation.</w:t>
      </w:r>
    </w:p>
    <w:p w14:paraId="3934DFE5" w14:textId="77777777" w:rsidR="00AB6191" w:rsidRPr="008231CB" w:rsidRDefault="00AB6191" w:rsidP="00AB6191">
      <w:pPr>
        <w:pStyle w:val="ManualHeading3"/>
        <w:rPr>
          <w:noProof/>
        </w:rPr>
      </w:pPr>
      <w:bookmarkStart w:id="131" w:name="_Toc514938048"/>
      <w:bookmarkStart w:id="132" w:name="_Toc520485047"/>
      <w:bookmarkStart w:id="133" w:name="_Toc126826609"/>
      <w:r w:rsidRPr="008231CB">
        <w:rPr>
          <w:noProof/>
        </w:rPr>
        <w:t>2.2.3.</w:t>
      </w:r>
      <w:r w:rsidRPr="008231CB">
        <w:rPr>
          <w:noProof/>
        </w:rPr>
        <w:tab/>
        <w:t>Estimation and justification of the cost-effectiveness of the controls (ratio of "control costs ÷ value of the related funds managed"), and assessment of the expected levels of risk of error (at payment &amp; at closure)</w:t>
      </w:r>
      <w:bookmarkEnd w:id="131"/>
      <w:bookmarkEnd w:id="132"/>
      <w:bookmarkEnd w:id="133"/>
      <w:r w:rsidRPr="008231CB">
        <w:rPr>
          <w:noProof/>
        </w:rPr>
        <w:t xml:space="preserve"> </w:t>
      </w:r>
    </w:p>
    <w:p w14:paraId="3C7E1F7F"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sidRPr="00A12243">
        <w:rPr>
          <w:noProof/>
        </w:rPr>
        <w:t>This initiative does not affect the cost-effectiveness of the existing Commission controls.</w:t>
      </w:r>
    </w:p>
    <w:p w14:paraId="4D8B13AB" w14:textId="77777777" w:rsidR="00AB6191" w:rsidRPr="008231CB" w:rsidRDefault="00AB6191" w:rsidP="00AB6191">
      <w:pPr>
        <w:pStyle w:val="ManualHeading2"/>
        <w:rPr>
          <w:bCs/>
          <w:noProof/>
          <w:szCs w:val="24"/>
        </w:rPr>
      </w:pPr>
      <w:bookmarkStart w:id="134" w:name="_Toc514938049"/>
      <w:bookmarkStart w:id="135" w:name="_Toc520485048"/>
      <w:bookmarkStart w:id="136" w:name="_Toc126826610"/>
      <w:r w:rsidRPr="008231CB">
        <w:rPr>
          <w:noProof/>
        </w:rPr>
        <w:t>2.3.</w:t>
      </w:r>
      <w:r w:rsidRPr="008231CB">
        <w:rPr>
          <w:noProof/>
        </w:rPr>
        <w:tab/>
        <w:t>Measures to prevent fraud and irregularities</w:t>
      </w:r>
      <w:bookmarkEnd w:id="134"/>
      <w:bookmarkEnd w:id="135"/>
      <w:bookmarkEnd w:id="136"/>
      <w:r w:rsidRPr="008231CB">
        <w:rPr>
          <w:noProof/>
        </w:rPr>
        <w:t xml:space="preserve"> </w:t>
      </w:r>
    </w:p>
    <w:p w14:paraId="6B7E5A5D" w14:textId="77777777" w:rsidR="00AB6191" w:rsidRPr="008231CB" w:rsidRDefault="00AB6191" w:rsidP="00AB6191">
      <w:pPr>
        <w:pStyle w:val="Text1"/>
        <w:rPr>
          <w:i/>
          <w:noProof/>
          <w:sz w:val="20"/>
        </w:rPr>
      </w:pPr>
      <w:r w:rsidRPr="008231CB">
        <w:rPr>
          <w:i/>
          <w:noProof/>
          <w:sz w:val="20"/>
        </w:rPr>
        <w:t>Specify existing or envisaged prevention and protection measures, e.g. from the Anti-Fraud Strategy.</w:t>
      </w:r>
    </w:p>
    <w:p w14:paraId="695D9A6B"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r>
        <w:rPr>
          <w:noProof/>
        </w:rPr>
        <w:t xml:space="preserve">BRIS is </w:t>
      </w:r>
      <w:r w:rsidR="007A3265">
        <w:rPr>
          <w:noProof/>
        </w:rPr>
        <w:t xml:space="preserve">directly </w:t>
      </w:r>
      <w:r>
        <w:rPr>
          <w:noProof/>
        </w:rPr>
        <w:t>managed by the Commission</w:t>
      </w:r>
      <w:r w:rsidR="00906F88">
        <w:rPr>
          <w:noProof/>
        </w:rPr>
        <w:t>.</w:t>
      </w:r>
      <w:r w:rsidR="007A3265">
        <w:rPr>
          <w:noProof/>
        </w:rPr>
        <w:t xml:space="preserve"> The European Central Platform (ECP) component of the system is developed internally by DG DIGIT, while the European Access Point (EAP) component is developed for DG JUST by a contractor selected</w:t>
      </w:r>
      <w:r w:rsidR="00DE2D95">
        <w:rPr>
          <w:noProof/>
        </w:rPr>
        <w:t xml:space="preserve"> through a tendering procedure</w:t>
      </w:r>
      <w:r w:rsidR="007A3265">
        <w:rPr>
          <w:noProof/>
        </w:rPr>
        <w:t>.</w:t>
      </w:r>
    </w:p>
    <w:p w14:paraId="46F9E5CB"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p>
    <w:p w14:paraId="7BF17E4D" w14:textId="77777777" w:rsidR="0033071B" w:rsidRDefault="0033071B" w:rsidP="00AB6191">
      <w:pPr>
        <w:rPr>
          <w:noProof/>
        </w:rPr>
      </w:pPr>
      <w:r>
        <w:rPr>
          <w:noProof/>
        </w:rPr>
        <w:br w:type="page"/>
      </w:r>
    </w:p>
    <w:p w14:paraId="7A873CD7" w14:textId="77777777" w:rsidR="00AB6191" w:rsidRPr="008231CB" w:rsidRDefault="00AB6191" w:rsidP="00AB6191">
      <w:pPr>
        <w:pStyle w:val="ManualHeading1"/>
        <w:rPr>
          <w:bCs/>
          <w:noProof/>
          <w:szCs w:val="24"/>
        </w:rPr>
      </w:pPr>
      <w:bookmarkStart w:id="137" w:name="_Toc514938050"/>
      <w:bookmarkStart w:id="138" w:name="_Toc520485049"/>
      <w:bookmarkStart w:id="139" w:name="_Toc126826611"/>
      <w:r w:rsidRPr="008231CB">
        <w:rPr>
          <w:noProof/>
        </w:rPr>
        <w:t>3.</w:t>
      </w:r>
      <w:r w:rsidRPr="008231CB">
        <w:rPr>
          <w:noProof/>
        </w:rPr>
        <w:tab/>
        <w:t>ESTIMATED FINANCIAL IMPACT OF THE PROPOSAL/INITIATIVE</w:t>
      </w:r>
      <w:bookmarkEnd w:id="137"/>
      <w:bookmarkEnd w:id="138"/>
      <w:bookmarkEnd w:id="139"/>
      <w:r w:rsidRPr="008231CB">
        <w:rPr>
          <w:noProof/>
        </w:rPr>
        <w:t xml:space="preserve"> </w:t>
      </w:r>
    </w:p>
    <w:p w14:paraId="31360176" w14:textId="77777777" w:rsidR="00AB6191" w:rsidRPr="008231CB" w:rsidRDefault="00AB6191" w:rsidP="00AB6191">
      <w:pPr>
        <w:pStyle w:val="ManualHeading2"/>
        <w:rPr>
          <w:noProof/>
        </w:rPr>
      </w:pPr>
      <w:bookmarkStart w:id="140" w:name="_Toc514938051"/>
      <w:bookmarkStart w:id="141" w:name="_Toc520485050"/>
      <w:bookmarkStart w:id="142" w:name="_Toc126826612"/>
      <w:r w:rsidRPr="008231CB">
        <w:rPr>
          <w:noProof/>
        </w:rPr>
        <w:t>3.1.</w:t>
      </w:r>
      <w:r w:rsidRPr="008231CB">
        <w:rPr>
          <w:noProof/>
        </w:rPr>
        <w:tab/>
        <w:t>Heading(s) of the multiannual financial framework and expenditure budget line(s) affected</w:t>
      </w:r>
      <w:bookmarkEnd w:id="140"/>
      <w:bookmarkEnd w:id="141"/>
      <w:bookmarkEnd w:id="142"/>
      <w:r w:rsidRPr="008231CB">
        <w:rPr>
          <w:noProof/>
        </w:rPr>
        <w:t xml:space="preserve"> </w:t>
      </w:r>
    </w:p>
    <w:p w14:paraId="7FE2E15B" w14:textId="77777777" w:rsidR="00AB6191" w:rsidRPr="008231CB" w:rsidRDefault="00AB6191" w:rsidP="00AB6191">
      <w:pPr>
        <w:pStyle w:val="ListBullet1"/>
        <w:rPr>
          <w:noProof/>
        </w:rPr>
      </w:pPr>
      <w:r w:rsidRPr="008231CB">
        <w:rPr>
          <w:noProof/>
        </w:rPr>
        <w:t xml:space="preserve">Existing budget lines </w:t>
      </w:r>
    </w:p>
    <w:p w14:paraId="3DEC69ED" w14:textId="77777777" w:rsidR="00AB6191" w:rsidRPr="008231CB" w:rsidRDefault="00AB6191" w:rsidP="00AB6191">
      <w:pPr>
        <w:pStyle w:val="Text1"/>
        <w:rPr>
          <w:i/>
          <w:noProof/>
        </w:rPr>
      </w:pPr>
      <w:r w:rsidRPr="008231CB">
        <w:rPr>
          <w:i/>
          <w:noProof/>
          <w:u w:val="single"/>
        </w:rPr>
        <w:t>In order</w:t>
      </w:r>
      <w:r w:rsidRPr="008231CB">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B6191" w:rsidRPr="008231CB" w14:paraId="33F3FDF7" w14:textId="77777777" w:rsidTr="00AB6191">
        <w:tc>
          <w:tcPr>
            <w:tcW w:w="1080" w:type="dxa"/>
            <w:vMerge w:val="restart"/>
            <w:vAlign w:val="center"/>
          </w:tcPr>
          <w:p w14:paraId="31A88B54" w14:textId="77777777" w:rsidR="00AB6191" w:rsidRPr="008231CB" w:rsidRDefault="00AB6191" w:rsidP="00AB6191">
            <w:pPr>
              <w:spacing w:before="60" w:after="60"/>
              <w:jc w:val="center"/>
              <w:rPr>
                <w:noProof/>
              </w:rPr>
            </w:pPr>
            <w:r w:rsidRPr="008231CB">
              <w:rPr>
                <w:noProof/>
                <w:sz w:val="18"/>
              </w:rPr>
              <w:t>Heading of multiannual financial framework</w:t>
            </w:r>
          </w:p>
        </w:tc>
        <w:tc>
          <w:tcPr>
            <w:tcW w:w="3960" w:type="dxa"/>
            <w:vAlign w:val="center"/>
          </w:tcPr>
          <w:p w14:paraId="29F5F460" w14:textId="77777777" w:rsidR="00AB6191" w:rsidRPr="008231CB" w:rsidRDefault="00AB6191" w:rsidP="00AB6191">
            <w:pPr>
              <w:spacing w:before="60" w:after="60"/>
              <w:jc w:val="center"/>
              <w:rPr>
                <w:noProof/>
              </w:rPr>
            </w:pPr>
            <w:r w:rsidRPr="008231CB">
              <w:rPr>
                <w:noProof/>
                <w:sz w:val="20"/>
              </w:rPr>
              <w:t>Budget line</w:t>
            </w:r>
          </w:p>
        </w:tc>
        <w:tc>
          <w:tcPr>
            <w:tcW w:w="1080" w:type="dxa"/>
            <w:vAlign w:val="center"/>
          </w:tcPr>
          <w:p w14:paraId="5BACDF10" w14:textId="77777777" w:rsidR="00AB6191" w:rsidRPr="008231CB" w:rsidRDefault="00AB6191" w:rsidP="00AB6191">
            <w:pPr>
              <w:spacing w:before="60" w:after="60"/>
              <w:jc w:val="center"/>
              <w:rPr>
                <w:noProof/>
              </w:rPr>
            </w:pPr>
            <w:r w:rsidRPr="008231CB">
              <w:rPr>
                <w:noProof/>
                <w:sz w:val="18"/>
              </w:rPr>
              <w:t xml:space="preserve">Type of </w:t>
            </w:r>
            <w:r w:rsidRPr="008231CB">
              <w:rPr>
                <w:noProof/>
                <w:sz w:val="22"/>
              </w:rPr>
              <w:br/>
            </w:r>
            <w:r w:rsidRPr="008231CB">
              <w:rPr>
                <w:noProof/>
                <w:sz w:val="18"/>
              </w:rPr>
              <w:t>expenditure</w:t>
            </w:r>
          </w:p>
        </w:tc>
        <w:tc>
          <w:tcPr>
            <w:tcW w:w="4440" w:type="dxa"/>
            <w:gridSpan w:val="4"/>
            <w:vAlign w:val="center"/>
          </w:tcPr>
          <w:p w14:paraId="11F66100" w14:textId="77777777" w:rsidR="00AB6191" w:rsidRPr="008231CB" w:rsidRDefault="00AB6191" w:rsidP="00AB6191">
            <w:pPr>
              <w:spacing w:before="60" w:after="60"/>
              <w:jc w:val="center"/>
              <w:rPr>
                <w:noProof/>
              </w:rPr>
            </w:pPr>
            <w:r w:rsidRPr="008231CB">
              <w:rPr>
                <w:noProof/>
                <w:sz w:val="20"/>
              </w:rPr>
              <w:t xml:space="preserve">Contribution </w:t>
            </w:r>
          </w:p>
        </w:tc>
      </w:tr>
      <w:tr w:rsidR="00AB6191" w:rsidRPr="008231CB" w14:paraId="6F1A64A1" w14:textId="77777777" w:rsidTr="00AB6191">
        <w:tc>
          <w:tcPr>
            <w:tcW w:w="1080" w:type="dxa"/>
            <w:vMerge/>
            <w:vAlign w:val="center"/>
          </w:tcPr>
          <w:p w14:paraId="3262B2B7" w14:textId="77777777" w:rsidR="00AB6191" w:rsidRPr="008231CB" w:rsidRDefault="00AB6191" w:rsidP="00AB6191">
            <w:pPr>
              <w:jc w:val="center"/>
              <w:rPr>
                <w:noProof/>
              </w:rPr>
            </w:pPr>
          </w:p>
        </w:tc>
        <w:tc>
          <w:tcPr>
            <w:tcW w:w="3960" w:type="dxa"/>
            <w:vAlign w:val="center"/>
          </w:tcPr>
          <w:p w14:paraId="0F6EE2FC" w14:textId="77777777" w:rsidR="00AB6191" w:rsidRPr="008231CB" w:rsidRDefault="00AB6191" w:rsidP="00AB6191">
            <w:pPr>
              <w:rPr>
                <w:noProof/>
              </w:rPr>
            </w:pPr>
            <w:r w:rsidRPr="008231CB">
              <w:rPr>
                <w:noProof/>
                <w:sz w:val="20"/>
              </w:rPr>
              <w:t xml:space="preserve">Number </w:t>
            </w:r>
            <w:r w:rsidRPr="008231CB">
              <w:rPr>
                <w:noProof/>
                <w:sz w:val="22"/>
              </w:rPr>
              <w:br/>
            </w:r>
          </w:p>
        </w:tc>
        <w:tc>
          <w:tcPr>
            <w:tcW w:w="1080" w:type="dxa"/>
            <w:vAlign w:val="center"/>
          </w:tcPr>
          <w:p w14:paraId="2C06A27C" w14:textId="77777777" w:rsidR="00AB6191" w:rsidRPr="008231CB" w:rsidRDefault="00AB6191" w:rsidP="00AB6191">
            <w:pPr>
              <w:jc w:val="center"/>
              <w:rPr>
                <w:noProof/>
              </w:rPr>
            </w:pPr>
            <w:r w:rsidRPr="008231CB">
              <w:rPr>
                <w:noProof/>
                <w:sz w:val="18"/>
              </w:rPr>
              <w:t>Diff./Non-diff.</w:t>
            </w:r>
            <w:r w:rsidRPr="00EC6C35">
              <w:rPr>
                <w:rStyle w:val="FootnoteReference"/>
                <w:noProof/>
              </w:rPr>
              <w:footnoteReference w:id="70"/>
            </w:r>
          </w:p>
        </w:tc>
        <w:tc>
          <w:tcPr>
            <w:tcW w:w="956" w:type="dxa"/>
            <w:vAlign w:val="center"/>
          </w:tcPr>
          <w:p w14:paraId="159426B9" w14:textId="77777777" w:rsidR="00AB6191" w:rsidRPr="008231CB" w:rsidRDefault="00AB6191" w:rsidP="00AB6191">
            <w:pPr>
              <w:jc w:val="center"/>
              <w:rPr>
                <w:b/>
                <w:noProof/>
                <w:sz w:val="18"/>
              </w:rPr>
            </w:pPr>
            <w:r w:rsidRPr="008231CB">
              <w:rPr>
                <w:noProof/>
                <w:sz w:val="18"/>
              </w:rPr>
              <w:t>from EFTA countries</w:t>
            </w:r>
            <w:r w:rsidRPr="00EC6C35">
              <w:rPr>
                <w:rStyle w:val="FootnoteReference"/>
                <w:noProof/>
              </w:rPr>
              <w:footnoteReference w:id="71"/>
            </w:r>
          </w:p>
        </w:tc>
        <w:tc>
          <w:tcPr>
            <w:tcW w:w="1080" w:type="dxa"/>
            <w:vAlign w:val="center"/>
          </w:tcPr>
          <w:p w14:paraId="6F9E391B" w14:textId="77777777" w:rsidR="00AB6191" w:rsidRPr="008231CB" w:rsidRDefault="00AB6191" w:rsidP="00AB6191">
            <w:pPr>
              <w:jc w:val="center"/>
              <w:rPr>
                <w:noProof/>
                <w:sz w:val="18"/>
              </w:rPr>
            </w:pPr>
            <w:r w:rsidRPr="008231CB">
              <w:rPr>
                <w:noProof/>
                <w:sz w:val="18"/>
              </w:rPr>
              <w:t>from candidate countries and potential candidates</w:t>
            </w:r>
            <w:r w:rsidRPr="00EC6C35">
              <w:rPr>
                <w:rStyle w:val="FootnoteReference"/>
                <w:noProof/>
              </w:rPr>
              <w:footnoteReference w:id="72"/>
            </w:r>
          </w:p>
        </w:tc>
        <w:tc>
          <w:tcPr>
            <w:tcW w:w="956" w:type="dxa"/>
            <w:vAlign w:val="center"/>
          </w:tcPr>
          <w:p w14:paraId="2401BFF7" w14:textId="77777777" w:rsidR="00AB6191" w:rsidRPr="008231CB" w:rsidRDefault="00AB6191" w:rsidP="00AB6191">
            <w:pPr>
              <w:jc w:val="center"/>
              <w:rPr>
                <w:noProof/>
                <w:sz w:val="18"/>
              </w:rPr>
            </w:pPr>
            <w:r w:rsidRPr="008231CB">
              <w:rPr>
                <w:noProof/>
                <w:sz w:val="18"/>
              </w:rPr>
              <w:t>From</w:t>
            </w:r>
            <w:r>
              <w:rPr>
                <w:noProof/>
                <w:sz w:val="18"/>
              </w:rPr>
              <w:t xml:space="preserve"> </w:t>
            </w:r>
            <w:r w:rsidRPr="008231CB">
              <w:rPr>
                <w:noProof/>
                <w:sz w:val="18"/>
              </w:rPr>
              <w:t>other third countries</w:t>
            </w:r>
          </w:p>
        </w:tc>
        <w:tc>
          <w:tcPr>
            <w:tcW w:w="1448" w:type="dxa"/>
            <w:vAlign w:val="center"/>
          </w:tcPr>
          <w:p w14:paraId="722E23A5" w14:textId="77777777" w:rsidR="00AB6191" w:rsidRPr="008231CB" w:rsidRDefault="00AB6191" w:rsidP="00AB6191">
            <w:pPr>
              <w:jc w:val="center"/>
              <w:rPr>
                <w:noProof/>
              </w:rPr>
            </w:pPr>
            <w:r w:rsidRPr="008231CB">
              <w:rPr>
                <w:noProof/>
                <w:sz w:val="18"/>
                <w:szCs w:val="18"/>
              </w:rPr>
              <w:t>other assigned revenue</w:t>
            </w:r>
          </w:p>
        </w:tc>
      </w:tr>
      <w:tr w:rsidR="00AB6191" w:rsidRPr="008231CB" w14:paraId="6C9045E2" w14:textId="77777777" w:rsidTr="00AB6191">
        <w:tc>
          <w:tcPr>
            <w:tcW w:w="1080" w:type="dxa"/>
            <w:vAlign w:val="center"/>
          </w:tcPr>
          <w:p w14:paraId="62935FB5" w14:textId="77777777" w:rsidR="00AB6191" w:rsidRPr="008231CB" w:rsidRDefault="00AB6191" w:rsidP="00AB6191">
            <w:pPr>
              <w:jc w:val="center"/>
              <w:rPr>
                <w:noProof/>
                <w:color w:val="0000FF"/>
              </w:rPr>
            </w:pPr>
          </w:p>
        </w:tc>
        <w:tc>
          <w:tcPr>
            <w:tcW w:w="3960" w:type="dxa"/>
          </w:tcPr>
          <w:p w14:paraId="4ACBA042" w14:textId="77777777" w:rsidR="00AB6191" w:rsidRPr="008231CB" w:rsidRDefault="00AB6191" w:rsidP="00AB6191">
            <w:pPr>
              <w:spacing w:after="60"/>
              <w:rPr>
                <w:noProof/>
              </w:rPr>
            </w:pPr>
            <w:r>
              <w:rPr>
                <w:noProof/>
              </w:rPr>
              <w:t>02.040501</w:t>
            </w:r>
          </w:p>
        </w:tc>
        <w:tc>
          <w:tcPr>
            <w:tcW w:w="1080" w:type="dxa"/>
            <w:vAlign w:val="center"/>
          </w:tcPr>
          <w:p w14:paraId="00CFE756" w14:textId="77777777" w:rsidR="00AB6191" w:rsidRPr="008231CB" w:rsidRDefault="00AB6191" w:rsidP="00AB6191">
            <w:pPr>
              <w:jc w:val="center"/>
              <w:rPr>
                <w:noProof/>
                <w:color w:val="0000FF"/>
              </w:rPr>
            </w:pPr>
            <w:r w:rsidRPr="008231CB">
              <w:rPr>
                <w:noProof/>
                <w:sz w:val="22"/>
              </w:rPr>
              <w:t>Diff.</w:t>
            </w:r>
          </w:p>
        </w:tc>
        <w:tc>
          <w:tcPr>
            <w:tcW w:w="956" w:type="dxa"/>
            <w:vAlign w:val="center"/>
          </w:tcPr>
          <w:p w14:paraId="42EA7C2C" w14:textId="77777777" w:rsidR="00AB6191" w:rsidRPr="008231CB" w:rsidRDefault="00AB6191" w:rsidP="00AB6191">
            <w:pPr>
              <w:jc w:val="center"/>
              <w:rPr>
                <w:noProof/>
                <w:sz w:val="20"/>
                <w:szCs w:val="20"/>
              </w:rPr>
            </w:pPr>
            <w:r w:rsidRPr="008231CB">
              <w:rPr>
                <w:noProof/>
                <w:sz w:val="20"/>
                <w:szCs w:val="20"/>
              </w:rPr>
              <w:t>YES</w:t>
            </w:r>
          </w:p>
        </w:tc>
        <w:tc>
          <w:tcPr>
            <w:tcW w:w="1080" w:type="dxa"/>
            <w:vAlign w:val="center"/>
          </w:tcPr>
          <w:p w14:paraId="38AA8B16" w14:textId="77777777" w:rsidR="00AB6191" w:rsidRPr="008231CB" w:rsidRDefault="00AB6191" w:rsidP="00AB6191">
            <w:pPr>
              <w:jc w:val="center"/>
              <w:rPr>
                <w:noProof/>
                <w:sz w:val="20"/>
                <w:szCs w:val="20"/>
              </w:rPr>
            </w:pPr>
            <w:r w:rsidRPr="008231CB">
              <w:rPr>
                <w:noProof/>
                <w:sz w:val="20"/>
                <w:szCs w:val="20"/>
              </w:rPr>
              <w:t>NO</w:t>
            </w:r>
          </w:p>
        </w:tc>
        <w:tc>
          <w:tcPr>
            <w:tcW w:w="956" w:type="dxa"/>
            <w:vAlign w:val="center"/>
          </w:tcPr>
          <w:p w14:paraId="01A6ADE7" w14:textId="77777777" w:rsidR="00AB6191" w:rsidRPr="008231CB" w:rsidRDefault="00AB6191" w:rsidP="00AB6191">
            <w:pPr>
              <w:jc w:val="center"/>
              <w:rPr>
                <w:noProof/>
                <w:sz w:val="20"/>
                <w:szCs w:val="20"/>
              </w:rPr>
            </w:pPr>
            <w:r w:rsidRPr="008231CB">
              <w:rPr>
                <w:noProof/>
                <w:sz w:val="20"/>
                <w:szCs w:val="20"/>
              </w:rPr>
              <w:t>NO</w:t>
            </w:r>
          </w:p>
        </w:tc>
        <w:tc>
          <w:tcPr>
            <w:tcW w:w="1448" w:type="dxa"/>
            <w:vAlign w:val="center"/>
          </w:tcPr>
          <w:p w14:paraId="726A2166" w14:textId="77777777" w:rsidR="00AB6191" w:rsidRPr="008231CB" w:rsidRDefault="00AB6191" w:rsidP="00AB6191">
            <w:pPr>
              <w:jc w:val="center"/>
              <w:rPr>
                <w:noProof/>
                <w:sz w:val="20"/>
                <w:szCs w:val="20"/>
              </w:rPr>
            </w:pPr>
            <w:r w:rsidRPr="008231CB">
              <w:rPr>
                <w:noProof/>
                <w:sz w:val="20"/>
                <w:szCs w:val="20"/>
              </w:rPr>
              <w:t>NO</w:t>
            </w:r>
          </w:p>
        </w:tc>
      </w:tr>
    </w:tbl>
    <w:p w14:paraId="75D5CFD5" w14:textId="77777777" w:rsidR="00AB6191" w:rsidRPr="008231CB" w:rsidRDefault="00AB6191" w:rsidP="00AB6191">
      <w:pPr>
        <w:pStyle w:val="ListBullet1"/>
        <w:rPr>
          <w:noProof/>
        </w:rPr>
      </w:pPr>
      <w:r w:rsidRPr="008231CB">
        <w:rPr>
          <w:noProof/>
        </w:rPr>
        <w:t xml:space="preserve">New budget lines requested </w:t>
      </w:r>
    </w:p>
    <w:p w14:paraId="26930B67" w14:textId="77777777" w:rsidR="00AB6191" w:rsidRPr="008231CB" w:rsidRDefault="00AB6191" w:rsidP="00AB6191">
      <w:pPr>
        <w:pStyle w:val="Text1"/>
        <w:rPr>
          <w:i/>
          <w:noProof/>
          <w:sz w:val="20"/>
        </w:rPr>
      </w:pPr>
      <w:r w:rsidRPr="008231CB">
        <w:rPr>
          <w:i/>
          <w:noProof/>
          <w:u w:val="single"/>
        </w:rPr>
        <w:t>In order</w:t>
      </w:r>
      <w:r w:rsidRPr="008231CB">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B6191" w:rsidRPr="008231CB" w14:paraId="3935740C" w14:textId="77777777" w:rsidTr="00AB6191">
        <w:tc>
          <w:tcPr>
            <w:tcW w:w="1080" w:type="dxa"/>
            <w:vMerge w:val="restart"/>
            <w:vAlign w:val="center"/>
          </w:tcPr>
          <w:p w14:paraId="72292CFB" w14:textId="77777777" w:rsidR="00AB6191" w:rsidRPr="008231CB" w:rsidRDefault="00AB6191" w:rsidP="00AB6191">
            <w:pPr>
              <w:spacing w:before="60" w:after="60"/>
              <w:jc w:val="center"/>
              <w:rPr>
                <w:noProof/>
                <w:sz w:val="18"/>
                <w:szCs w:val="18"/>
              </w:rPr>
            </w:pPr>
            <w:r w:rsidRPr="008231CB">
              <w:rPr>
                <w:noProof/>
                <w:sz w:val="18"/>
              </w:rPr>
              <w:t>Heading of multiannual financial framework</w:t>
            </w:r>
          </w:p>
        </w:tc>
        <w:tc>
          <w:tcPr>
            <w:tcW w:w="3960" w:type="dxa"/>
            <w:vAlign w:val="center"/>
          </w:tcPr>
          <w:p w14:paraId="30AF8CB9" w14:textId="77777777" w:rsidR="00AB6191" w:rsidRPr="008231CB" w:rsidRDefault="00AB6191" w:rsidP="00AB6191">
            <w:pPr>
              <w:spacing w:before="60" w:after="60"/>
              <w:jc w:val="center"/>
              <w:rPr>
                <w:noProof/>
              </w:rPr>
            </w:pPr>
            <w:r w:rsidRPr="008231CB">
              <w:rPr>
                <w:noProof/>
                <w:sz w:val="20"/>
              </w:rPr>
              <w:t>Budget line</w:t>
            </w:r>
          </w:p>
        </w:tc>
        <w:tc>
          <w:tcPr>
            <w:tcW w:w="1080" w:type="dxa"/>
            <w:vAlign w:val="center"/>
          </w:tcPr>
          <w:p w14:paraId="59B672A4" w14:textId="77777777" w:rsidR="00AB6191" w:rsidRPr="008231CB" w:rsidRDefault="00AB6191" w:rsidP="00AB6191">
            <w:pPr>
              <w:spacing w:before="60" w:after="60"/>
              <w:jc w:val="center"/>
              <w:rPr>
                <w:noProof/>
              </w:rPr>
            </w:pPr>
            <w:r w:rsidRPr="008231CB">
              <w:rPr>
                <w:noProof/>
                <w:sz w:val="18"/>
              </w:rPr>
              <w:t>Type of</w:t>
            </w:r>
            <w:r w:rsidRPr="008231CB">
              <w:rPr>
                <w:noProof/>
                <w:sz w:val="22"/>
              </w:rPr>
              <w:br/>
            </w:r>
            <w:r w:rsidRPr="008231CB">
              <w:rPr>
                <w:noProof/>
                <w:sz w:val="18"/>
              </w:rPr>
              <w:t>expenditure</w:t>
            </w:r>
          </w:p>
        </w:tc>
        <w:tc>
          <w:tcPr>
            <w:tcW w:w="4440" w:type="dxa"/>
            <w:gridSpan w:val="4"/>
            <w:vAlign w:val="center"/>
          </w:tcPr>
          <w:p w14:paraId="4758EAD3" w14:textId="77777777" w:rsidR="00AB6191" w:rsidRPr="008231CB" w:rsidRDefault="00AB6191" w:rsidP="00AB6191">
            <w:pPr>
              <w:spacing w:before="60" w:after="60"/>
              <w:jc w:val="center"/>
              <w:rPr>
                <w:noProof/>
              </w:rPr>
            </w:pPr>
            <w:r w:rsidRPr="008231CB">
              <w:rPr>
                <w:noProof/>
                <w:sz w:val="20"/>
              </w:rPr>
              <w:t xml:space="preserve">Contribution </w:t>
            </w:r>
          </w:p>
        </w:tc>
      </w:tr>
      <w:tr w:rsidR="00AB6191" w:rsidRPr="008231CB" w14:paraId="2232A526" w14:textId="77777777" w:rsidTr="00AB6191">
        <w:tc>
          <w:tcPr>
            <w:tcW w:w="1080" w:type="dxa"/>
            <w:vMerge/>
            <w:vAlign w:val="center"/>
          </w:tcPr>
          <w:p w14:paraId="52B1D091" w14:textId="77777777" w:rsidR="00AB6191" w:rsidRPr="008231CB" w:rsidRDefault="00AB6191" w:rsidP="00AB6191">
            <w:pPr>
              <w:jc w:val="center"/>
              <w:rPr>
                <w:noProof/>
              </w:rPr>
            </w:pPr>
          </w:p>
        </w:tc>
        <w:tc>
          <w:tcPr>
            <w:tcW w:w="3960" w:type="dxa"/>
            <w:vAlign w:val="center"/>
          </w:tcPr>
          <w:p w14:paraId="0A9B2D36" w14:textId="77777777" w:rsidR="00AB6191" w:rsidRPr="008231CB" w:rsidRDefault="00AB6191" w:rsidP="00AB6191">
            <w:pPr>
              <w:rPr>
                <w:noProof/>
              </w:rPr>
            </w:pPr>
            <w:r w:rsidRPr="008231CB">
              <w:rPr>
                <w:noProof/>
                <w:sz w:val="20"/>
              </w:rPr>
              <w:t xml:space="preserve">Number </w:t>
            </w:r>
            <w:r w:rsidRPr="008231CB">
              <w:rPr>
                <w:noProof/>
                <w:sz w:val="22"/>
              </w:rPr>
              <w:br/>
            </w:r>
          </w:p>
        </w:tc>
        <w:tc>
          <w:tcPr>
            <w:tcW w:w="1080" w:type="dxa"/>
            <w:vAlign w:val="center"/>
          </w:tcPr>
          <w:p w14:paraId="7E221E9F" w14:textId="77777777" w:rsidR="00AB6191" w:rsidRPr="008231CB" w:rsidRDefault="00AB6191" w:rsidP="00AB6191">
            <w:pPr>
              <w:jc w:val="center"/>
              <w:rPr>
                <w:noProof/>
              </w:rPr>
            </w:pPr>
            <w:r w:rsidRPr="008231CB">
              <w:rPr>
                <w:noProof/>
                <w:sz w:val="18"/>
              </w:rPr>
              <w:t>Diff./Non-diff.</w:t>
            </w:r>
          </w:p>
        </w:tc>
        <w:tc>
          <w:tcPr>
            <w:tcW w:w="956" w:type="dxa"/>
            <w:vAlign w:val="center"/>
          </w:tcPr>
          <w:p w14:paraId="7DFDA7D4" w14:textId="77777777" w:rsidR="00AB6191" w:rsidRPr="008231CB" w:rsidRDefault="00AB6191" w:rsidP="00AB6191">
            <w:pPr>
              <w:jc w:val="center"/>
              <w:rPr>
                <w:noProof/>
                <w:sz w:val="18"/>
              </w:rPr>
            </w:pPr>
            <w:r w:rsidRPr="008231CB">
              <w:rPr>
                <w:noProof/>
                <w:sz w:val="18"/>
              </w:rPr>
              <w:t>from EFTA countries</w:t>
            </w:r>
          </w:p>
        </w:tc>
        <w:tc>
          <w:tcPr>
            <w:tcW w:w="1080" w:type="dxa"/>
            <w:vAlign w:val="center"/>
          </w:tcPr>
          <w:p w14:paraId="071C69C7" w14:textId="77777777" w:rsidR="00AB6191" w:rsidRPr="008231CB" w:rsidRDefault="00AB6191" w:rsidP="00AB6191">
            <w:pPr>
              <w:jc w:val="center"/>
              <w:rPr>
                <w:noProof/>
                <w:sz w:val="18"/>
              </w:rPr>
            </w:pPr>
            <w:r w:rsidRPr="008231CB">
              <w:rPr>
                <w:noProof/>
                <w:sz w:val="18"/>
              </w:rPr>
              <w:t>from candidate countries and potential candidates</w:t>
            </w:r>
          </w:p>
        </w:tc>
        <w:tc>
          <w:tcPr>
            <w:tcW w:w="956" w:type="dxa"/>
            <w:vAlign w:val="center"/>
          </w:tcPr>
          <w:p w14:paraId="6812B136" w14:textId="77777777" w:rsidR="00AB6191" w:rsidRPr="008231CB" w:rsidRDefault="00AB6191" w:rsidP="00AB6191">
            <w:pPr>
              <w:jc w:val="center"/>
              <w:rPr>
                <w:noProof/>
                <w:sz w:val="18"/>
              </w:rPr>
            </w:pPr>
            <w:r w:rsidRPr="008231CB">
              <w:rPr>
                <w:noProof/>
                <w:sz w:val="18"/>
              </w:rPr>
              <w:t>from  other third countries</w:t>
            </w:r>
          </w:p>
        </w:tc>
        <w:tc>
          <w:tcPr>
            <w:tcW w:w="1448" w:type="dxa"/>
            <w:vAlign w:val="center"/>
          </w:tcPr>
          <w:p w14:paraId="30254E1E" w14:textId="77777777" w:rsidR="00AB6191" w:rsidRPr="008231CB" w:rsidRDefault="00AB6191" w:rsidP="00AB6191">
            <w:pPr>
              <w:jc w:val="center"/>
              <w:rPr>
                <w:noProof/>
              </w:rPr>
            </w:pPr>
            <w:r w:rsidRPr="008231CB">
              <w:rPr>
                <w:noProof/>
                <w:sz w:val="18"/>
                <w:szCs w:val="18"/>
              </w:rPr>
              <w:t xml:space="preserve">other assigned revenue </w:t>
            </w:r>
          </w:p>
        </w:tc>
      </w:tr>
      <w:tr w:rsidR="00AB6191" w:rsidRPr="008231CB" w14:paraId="2F96A21C" w14:textId="77777777" w:rsidTr="00AB6191">
        <w:tc>
          <w:tcPr>
            <w:tcW w:w="1080" w:type="dxa"/>
            <w:vAlign w:val="center"/>
          </w:tcPr>
          <w:p w14:paraId="0BF66AE4" w14:textId="77777777" w:rsidR="00AB6191" w:rsidRPr="008231CB" w:rsidRDefault="00AB6191" w:rsidP="00AB6191">
            <w:pPr>
              <w:jc w:val="center"/>
              <w:rPr>
                <w:noProof/>
                <w:color w:val="0000FF"/>
              </w:rPr>
            </w:pPr>
          </w:p>
        </w:tc>
        <w:tc>
          <w:tcPr>
            <w:tcW w:w="3960" w:type="dxa"/>
            <w:vAlign w:val="center"/>
          </w:tcPr>
          <w:p w14:paraId="076F5644" w14:textId="77777777" w:rsidR="00AB6191" w:rsidRPr="008231CB" w:rsidRDefault="00AB6191" w:rsidP="00AB6191">
            <w:pPr>
              <w:spacing w:before="60"/>
              <w:rPr>
                <w:noProof/>
              </w:rPr>
            </w:pPr>
            <w:r>
              <w:rPr>
                <w:noProof/>
                <w:sz w:val="22"/>
              </w:rPr>
              <w:t>N/A</w:t>
            </w:r>
          </w:p>
          <w:p w14:paraId="554D3356" w14:textId="77777777" w:rsidR="00AB6191" w:rsidRPr="008231CB" w:rsidRDefault="00AB6191" w:rsidP="00AB6191">
            <w:pPr>
              <w:spacing w:after="60"/>
              <w:rPr>
                <w:noProof/>
                <w:color w:val="0000FF"/>
              </w:rPr>
            </w:pPr>
          </w:p>
        </w:tc>
        <w:tc>
          <w:tcPr>
            <w:tcW w:w="1080" w:type="dxa"/>
            <w:vAlign w:val="center"/>
          </w:tcPr>
          <w:p w14:paraId="0DB752C5" w14:textId="77777777" w:rsidR="00AB6191" w:rsidRPr="008231CB" w:rsidRDefault="00AB6191" w:rsidP="00AB6191">
            <w:pPr>
              <w:jc w:val="center"/>
              <w:rPr>
                <w:noProof/>
                <w:color w:val="0000FF"/>
              </w:rPr>
            </w:pPr>
          </w:p>
        </w:tc>
        <w:tc>
          <w:tcPr>
            <w:tcW w:w="956" w:type="dxa"/>
            <w:vAlign w:val="center"/>
          </w:tcPr>
          <w:p w14:paraId="4CEF11F4" w14:textId="77777777" w:rsidR="00AB6191" w:rsidRPr="008231CB" w:rsidRDefault="00AB6191" w:rsidP="00AB6191">
            <w:pPr>
              <w:jc w:val="center"/>
              <w:rPr>
                <w:noProof/>
                <w:sz w:val="20"/>
                <w:szCs w:val="20"/>
              </w:rPr>
            </w:pPr>
          </w:p>
        </w:tc>
        <w:tc>
          <w:tcPr>
            <w:tcW w:w="1080" w:type="dxa"/>
            <w:vAlign w:val="center"/>
          </w:tcPr>
          <w:p w14:paraId="0A9094F0" w14:textId="77777777" w:rsidR="00AB6191" w:rsidRPr="008231CB" w:rsidRDefault="00AB6191" w:rsidP="00AB6191">
            <w:pPr>
              <w:jc w:val="center"/>
              <w:rPr>
                <w:noProof/>
                <w:color w:val="0000FF"/>
                <w:sz w:val="20"/>
                <w:szCs w:val="20"/>
              </w:rPr>
            </w:pPr>
          </w:p>
        </w:tc>
        <w:tc>
          <w:tcPr>
            <w:tcW w:w="956" w:type="dxa"/>
            <w:vAlign w:val="center"/>
          </w:tcPr>
          <w:p w14:paraId="67AE5FC0" w14:textId="77777777" w:rsidR="00AB6191" w:rsidRPr="008231CB" w:rsidRDefault="00AB6191" w:rsidP="00AB6191">
            <w:pPr>
              <w:jc w:val="center"/>
              <w:rPr>
                <w:noProof/>
                <w:color w:val="0000FF"/>
                <w:sz w:val="20"/>
                <w:szCs w:val="20"/>
              </w:rPr>
            </w:pPr>
          </w:p>
        </w:tc>
        <w:tc>
          <w:tcPr>
            <w:tcW w:w="1448" w:type="dxa"/>
            <w:vAlign w:val="center"/>
          </w:tcPr>
          <w:p w14:paraId="279C3B2B" w14:textId="77777777" w:rsidR="00AB6191" w:rsidRPr="008231CB" w:rsidRDefault="00AB6191" w:rsidP="00AB6191">
            <w:pPr>
              <w:jc w:val="center"/>
              <w:rPr>
                <w:noProof/>
                <w:sz w:val="20"/>
                <w:szCs w:val="20"/>
              </w:rPr>
            </w:pPr>
          </w:p>
        </w:tc>
      </w:tr>
    </w:tbl>
    <w:p w14:paraId="40D5DC92" w14:textId="77777777" w:rsidR="00AB6191" w:rsidRPr="008231CB" w:rsidRDefault="00AB6191" w:rsidP="00AB6191">
      <w:pPr>
        <w:pStyle w:val="ManualHeading2"/>
        <w:rPr>
          <w:bCs/>
          <w:noProof/>
          <w:szCs w:val="24"/>
        </w:rPr>
      </w:pPr>
      <w:bookmarkStart w:id="143" w:name="_Toc514938052"/>
      <w:bookmarkStart w:id="144" w:name="_Toc520485051"/>
      <w:bookmarkStart w:id="145" w:name="_Toc126826613"/>
      <w:r w:rsidRPr="008231CB">
        <w:rPr>
          <w:noProof/>
        </w:rPr>
        <w:t>3.2.</w:t>
      </w:r>
      <w:r w:rsidRPr="008231CB">
        <w:rPr>
          <w:noProof/>
        </w:rPr>
        <w:tab/>
        <w:t>Estimated financial impact of the proposal on appropriations</w:t>
      </w:r>
      <w:bookmarkEnd w:id="143"/>
      <w:bookmarkEnd w:id="144"/>
      <w:bookmarkEnd w:id="145"/>
      <w:r w:rsidRPr="008231CB">
        <w:rPr>
          <w:noProof/>
        </w:rPr>
        <w:t xml:space="preserve"> </w:t>
      </w:r>
    </w:p>
    <w:p w14:paraId="677BA30E" w14:textId="77777777" w:rsidR="00AB6191" w:rsidRPr="008231CB" w:rsidRDefault="00AB6191" w:rsidP="00AB6191">
      <w:pPr>
        <w:pStyle w:val="ManualHeading3"/>
        <w:rPr>
          <w:noProof/>
        </w:rPr>
      </w:pPr>
      <w:bookmarkStart w:id="146" w:name="_Toc514938053"/>
      <w:bookmarkStart w:id="147" w:name="_Toc520485052"/>
      <w:bookmarkStart w:id="148" w:name="_Toc126826614"/>
      <w:r w:rsidRPr="008231CB">
        <w:rPr>
          <w:noProof/>
        </w:rPr>
        <w:t>3.2.1.</w:t>
      </w:r>
      <w:r w:rsidRPr="008231CB">
        <w:rPr>
          <w:noProof/>
        </w:rPr>
        <w:tab/>
        <w:t>Summary of estimated impact on operational appropriations</w:t>
      </w:r>
      <w:bookmarkEnd w:id="146"/>
      <w:bookmarkEnd w:id="147"/>
      <w:bookmarkEnd w:id="148"/>
      <w:r w:rsidRPr="008231CB">
        <w:rPr>
          <w:noProof/>
        </w:rPr>
        <w:t xml:space="preserve"> </w:t>
      </w:r>
    </w:p>
    <w:p w14:paraId="0D2B3E02" w14:textId="77777777" w:rsidR="00AB6191" w:rsidRPr="008231CB" w:rsidRDefault="00AB6191" w:rsidP="00AB6191">
      <w:pPr>
        <w:pStyle w:val="ListDash1"/>
        <w:rPr>
          <w:noProof/>
        </w:rPr>
      </w:pPr>
      <w:r w:rsidRPr="008231CB">
        <w:rPr>
          <w:rFonts w:ascii="Wingdings" w:eastAsia="Wingdings" w:hAnsi="Wingdings" w:cs="Wingdings"/>
          <w:noProof/>
        </w:rPr>
        <w:t></w:t>
      </w:r>
      <w:r w:rsidRPr="008231CB">
        <w:rPr>
          <w:noProof/>
        </w:rPr>
        <w:tab/>
        <w:t xml:space="preserve">The proposal/initiative does not require the use of operational appropriations </w:t>
      </w:r>
    </w:p>
    <w:p w14:paraId="4EF6981C" w14:textId="77777777" w:rsidR="00AB6191" w:rsidRPr="008231CB" w:rsidRDefault="007A3265" w:rsidP="00AB6191">
      <w:pPr>
        <w:pStyle w:val="ListDash1"/>
        <w:rPr>
          <w:noProof/>
        </w:rPr>
      </w:pPr>
      <w:r>
        <w:rPr>
          <w:rFonts w:ascii="Wingdings" w:eastAsia="Wingdings" w:hAnsi="Wingdings" w:cs="Wingdings"/>
          <w:noProof/>
        </w:rPr>
        <w:sym w:font="Wingdings" w:char="F0FE"/>
      </w:r>
      <w:r>
        <w:rPr>
          <w:noProof/>
        </w:rPr>
        <w:t xml:space="preserve"> </w:t>
      </w:r>
      <w:r w:rsidR="00AB6191" w:rsidRPr="008231CB">
        <w:rPr>
          <w:noProof/>
        </w:rPr>
        <w:t>The proposal/initiative requires the use of operational appropriations, as explained below:</w:t>
      </w:r>
    </w:p>
    <w:p w14:paraId="65364BA7" w14:textId="77777777" w:rsidR="00AB6191" w:rsidRPr="008231CB" w:rsidRDefault="00AB6191" w:rsidP="00AB6191">
      <w:pPr>
        <w:jc w:val="right"/>
        <w:rPr>
          <w:noProof/>
          <w:sz w:val="18"/>
          <w:szCs w:val="18"/>
        </w:rPr>
      </w:pPr>
      <w:r w:rsidRPr="008231CB">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6191" w:rsidRPr="008231CB" w14:paraId="04F7B9A9" w14:textId="77777777" w:rsidTr="00AB6191">
        <w:trPr>
          <w:jc w:val="center"/>
        </w:trPr>
        <w:tc>
          <w:tcPr>
            <w:tcW w:w="4744" w:type="dxa"/>
            <w:shd w:val="thinDiagStripe" w:color="C0C0C0" w:fill="auto"/>
            <w:vAlign w:val="center"/>
          </w:tcPr>
          <w:p w14:paraId="6F012B91" w14:textId="77777777" w:rsidR="00AB6191" w:rsidRPr="008231CB" w:rsidRDefault="00AB6191" w:rsidP="00AB6191">
            <w:pPr>
              <w:spacing w:before="60" w:after="60"/>
              <w:jc w:val="center"/>
              <w:rPr>
                <w:b/>
                <w:noProof/>
              </w:rPr>
            </w:pPr>
            <w:r w:rsidRPr="008231CB">
              <w:rPr>
                <w:b/>
                <w:noProof/>
                <w:sz w:val="22"/>
              </w:rPr>
              <w:t xml:space="preserve">Heading of multiannual financial </w:t>
            </w:r>
            <w:r w:rsidRPr="008231CB">
              <w:rPr>
                <w:noProof/>
                <w:sz w:val="22"/>
              </w:rPr>
              <w:br/>
            </w:r>
            <w:r w:rsidRPr="008231CB">
              <w:rPr>
                <w:b/>
                <w:noProof/>
                <w:sz w:val="22"/>
              </w:rPr>
              <w:t xml:space="preserve">framework </w:t>
            </w:r>
          </w:p>
        </w:tc>
        <w:tc>
          <w:tcPr>
            <w:tcW w:w="1080" w:type="dxa"/>
            <w:vAlign w:val="center"/>
          </w:tcPr>
          <w:p w14:paraId="1AF15B14" w14:textId="77777777" w:rsidR="00AB6191" w:rsidRPr="008231CB" w:rsidRDefault="00AB6191" w:rsidP="00AB6191">
            <w:pPr>
              <w:spacing w:before="60" w:after="60"/>
              <w:jc w:val="center"/>
              <w:rPr>
                <w:noProof/>
              </w:rPr>
            </w:pPr>
            <w:r w:rsidRPr="008231CB">
              <w:rPr>
                <w:noProof/>
                <w:sz w:val="22"/>
              </w:rPr>
              <w:t>Number</w:t>
            </w:r>
          </w:p>
        </w:tc>
        <w:tc>
          <w:tcPr>
            <w:tcW w:w="7817" w:type="dxa"/>
            <w:vAlign w:val="center"/>
          </w:tcPr>
          <w:p w14:paraId="383FDC6B" w14:textId="77777777" w:rsidR="00AB6191" w:rsidRPr="008231CB" w:rsidRDefault="00AB6191" w:rsidP="00AB6191">
            <w:pPr>
              <w:spacing w:before="60" w:after="60"/>
              <w:rPr>
                <w:noProof/>
              </w:rPr>
            </w:pPr>
            <w:r w:rsidRPr="007710B1">
              <w:rPr>
                <w:noProof/>
              </w:rPr>
              <w:t>Heading 1 : Single Market, Innovation &amp; Digital</w:t>
            </w:r>
          </w:p>
        </w:tc>
      </w:tr>
    </w:tbl>
    <w:p w14:paraId="2E9A3222" w14:textId="77777777" w:rsidR="00AB6191" w:rsidRPr="008231CB" w:rsidRDefault="00AB6191" w:rsidP="00AB619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AB6191" w:rsidRPr="008231CB" w14:paraId="391F006D" w14:textId="77777777" w:rsidTr="00AB6191">
        <w:tc>
          <w:tcPr>
            <w:tcW w:w="3960" w:type="dxa"/>
            <w:vAlign w:val="center"/>
          </w:tcPr>
          <w:p w14:paraId="6C81FC7E" w14:textId="77777777" w:rsidR="00AB6191" w:rsidRPr="008231CB" w:rsidRDefault="00AB6191" w:rsidP="00AB6191">
            <w:pPr>
              <w:jc w:val="center"/>
              <w:rPr>
                <w:noProof/>
              </w:rPr>
            </w:pPr>
            <w:r>
              <w:rPr>
                <w:noProof/>
              </w:rPr>
              <w:t>02.040501</w:t>
            </w:r>
          </w:p>
        </w:tc>
        <w:tc>
          <w:tcPr>
            <w:tcW w:w="1560" w:type="dxa"/>
            <w:gridSpan w:val="2"/>
          </w:tcPr>
          <w:p w14:paraId="51C06C2D" w14:textId="77777777" w:rsidR="00AB6191" w:rsidRPr="008231CB" w:rsidRDefault="00AB6191" w:rsidP="00AB6191">
            <w:pPr>
              <w:rPr>
                <w:noProof/>
                <w:sz w:val="20"/>
              </w:rPr>
            </w:pPr>
          </w:p>
        </w:tc>
        <w:tc>
          <w:tcPr>
            <w:tcW w:w="534" w:type="dxa"/>
          </w:tcPr>
          <w:p w14:paraId="5E02E4AB" w14:textId="77777777" w:rsidR="00AB6191" w:rsidRPr="008231CB" w:rsidRDefault="00AB6191" w:rsidP="00AB6191">
            <w:pPr>
              <w:jc w:val="center"/>
              <w:rPr>
                <w:noProof/>
                <w:sz w:val="20"/>
              </w:rPr>
            </w:pPr>
          </w:p>
        </w:tc>
        <w:tc>
          <w:tcPr>
            <w:tcW w:w="868" w:type="dxa"/>
            <w:vAlign w:val="center"/>
          </w:tcPr>
          <w:p w14:paraId="300B6AA9" w14:textId="77777777" w:rsidR="00AB6191" w:rsidRPr="008231CB" w:rsidRDefault="00AB6191" w:rsidP="00AB6191">
            <w:pPr>
              <w:jc w:val="center"/>
              <w:rPr>
                <w:noProof/>
                <w:sz w:val="20"/>
              </w:rPr>
            </w:pPr>
            <w:r>
              <w:rPr>
                <w:noProof/>
                <w:sz w:val="20"/>
              </w:rPr>
              <w:t>2025</w:t>
            </w:r>
          </w:p>
        </w:tc>
        <w:tc>
          <w:tcPr>
            <w:tcW w:w="868" w:type="dxa"/>
            <w:vAlign w:val="center"/>
          </w:tcPr>
          <w:p w14:paraId="41079682" w14:textId="77777777" w:rsidR="00AB6191" w:rsidRPr="008231CB" w:rsidRDefault="00AB6191" w:rsidP="00AB6191">
            <w:pPr>
              <w:jc w:val="center"/>
              <w:rPr>
                <w:noProof/>
                <w:sz w:val="20"/>
              </w:rPr>
            </w:pPr>
            <w:r>
              <w:rPr>
                <w:noProof/>
                <w:sz w:val="20"/>
              </w:rPr>
              <w:t>2026</w:t>
            </w:r>
          </w:p>
        </w:tc>
        <w:tc>
          <w:tcPr>
            <w:tcW w:w="868" w:type="dxa"/>
            <w:vAlign w:val="center"/>
          </w:tcPr>
          <w:p w14:paraId="5B25CD25" w14:textId="77777777" w:rsidR="00AB6191" w:rsidRPr="008231CB" w:rsidRDefault="00AB6191" w:rsidP="00AB6191">
            <w:pPr>
              <w:jc w:val="center"/>
              <w:rPr>
                <w:noProof/>
                <w:sz w:val="20"/>
              </w:rPr>
            </w:pPr>
            <w:r>
              <w:rPr>
                <w:noProof/>
                <w:sz w:val="20"/>
              </w:rPr>
              <w:t>2027</w:t>
            </w:r>
            <w:r w:rsidRPr="00EC6C35">
              <w:rPr>
                <w:rStyle w:val="FootnoteReference"/>
                <w:noProof/>
              </w:rPr>
              <w:footnoteReference w:id="73"/>
            </w:r>
          </w:p>
        </w:tc>
        <w:tc>
          <w:tcPr>
            <w:tcW w:w="868" w:type="dxa"/>
            <w:vAlign w:val="center"/>
          </w:tcPr>
          <w:p w14:paraId="543BEF10" w14:textId="77777777" w:rsidR="00AB6191" w:rsidRPr="008231CB" w:rsidRDefault="00AB6191" w:rsidP="00AB6191">
            <w:pPr>
              <w:jc w:val="center"/>
              <w:rPr>
                <w:noProof/>
                <w:sz w:val="20"/>
              </w:rPr>
            </w:pPr>
          </w:p>
        </w:tc>
        <w:tc>
          <w:tcPr>
            <w:tcW w:w="2604" w:type="dxa"/>
            <w:gridSpan w:val="3"/>
            <w:vAlign w:val="center"/>
          </w:tcPr>
          <w:p w14:paraId="1A4F24DD" w14:textId="77777777" w:rsidR="00AB6191" w:rsidRPr="008231CB" w:rsidRDefault="00AB6191" w:rsidP="00AB6191">
            <w:pPr>
              <w:jc w:val="center"/>
              <w:rPr>
                <w:b/>
                <w:noProof/>
                <w:sz w:val="18"/>
              </w:rPr>
            </w:pPr>
            <w:r w:rsidRPr="008231CB">
              <w:rPr>
                <w:noProof/>
                <w:sz w:val="18"/>
              </w:rPr>
              <w:t>Enter as many years as necessary to show the duration of the impact (see point 1.6)</w:t>
            </w:r>
          </w:p>
        </w:tc>
        <w:tc>
          <w:tcPr>
            <w:tcW w:w="1777" w:type="dxa"/>
            <w:vAlign w:val="center"/>
          </w:tcPr>
          <w:p w14:paraId="6945E2E9" w14:textId="77777777" w:rsidR="00AB6191" w:rsidRPr="008231CB" w:rsidRDefault="00AB6191" w:rsidP="00AB6191">
            <w:pPr>
              <w:jc w:val="center"/>
              <w:rPr>
                <w:b/>
                <w:noProof/>
                <w:sz w:val="20"/>
              </w:rPr>
            </w:pPr>
            <w:r w:rsidRPr="008231CB">
              <w:rPr>
                <w:b/>
                <w:noProof/>
                <w:sz w:val="20"/>
              </w:rPr>
              <w:t>TOTAL</w:t>
            </w:r>
          </w:p>
        </w:tc>
      </w:tr>
      <w:tr w:rsidR="00AB6191" w:rsidRPr="008231CB" w14:paraId="49181966" w14:textId="77777777" w:rsidTr="00AB6191">
        <w:trPr>
          <w:trHeight w:val="213"/>
        </w:trPr>
        <w:tc>
          <w:tcPr>
            <w:tcW w:w="6054" w:type="dxa"/>
            <w:gridSpan w:val="4"/>
            <w:vAlign w:val="center"/>
          </w:tcPr>
          <w:p w14:paraId="75603222" w14:textId="77777777" w:rsidR="00AB6191" w:rsidRPr="008231CB" w:rsidRDefault="00AB6191" w:rsidP="00AB6191">
            <w:pPr>
              <w:spacing w:before="20" w:after="20"/>
              <w:rPr>
                <w:noProof/>
                <w:sz w:val="21"/>
              </w:rPr>
            </w:pPr>
            <w:r w:rsidRPr="008231CB">
              <w:rPr>
                <w:rFonts w:ascii="Wingdings" w:eastAsia="Wingdings" w:hAnsi="Wingdings" w:cs="Wingdings"/>
                <w:noProof/>
                <w:sz w:val="21"/>
              </w:rPr>
              <w:t>□</w:t>
            </w:r>
            <w:r w:rsidRPr="008231CB">
              <w:rPr>
                <w:noProof/>
                <w:sz w:val="21"/>
              </w:rPr>
              <w:t xml:space="preserve"> Operational appropriations </w:t>
            </w:r>
          </w:p>
        </w:tc>
        <w:tc>
          <w:tcPr>
            <w:tcW w:w="868" w:type="dxa"/>
            <w:vAlign w:val="center"/>
          </w:tcPr>
          <w:p w14:paraId="067028B5" w14:textId="77777777" w:rsidR="00AB6191" w:rsidRPr="008231CB" w:rsidRDefault="00AB6191" w:rsidP="00AB6191">
            <w:pPr>
              <w:rPr>
                <w:noProof/>
                <w:sz w:val="20"/>
              </w:rPr>
            </w:pPr>
          </w:p>
        </w:tc>
        <w:tc>
          <w:tcPr>
            <w:tcW w:w="868" w:type="dxa"/>
            <w:vAlign w:val="center"/>
          </w:tcPr>
          <w:p w14:paraId="17D66007" w14:textId="77777777" w:rsidR="00AB6191" w:rsidRPr="008231CB" w:rsidRDefault="00AB6191" w:rsidP="00AB6191">
            <w:pPr>
              <w:rPr>
                <w:noProof/>
                <w:sz w:val="20"/>
              </w:rPr>
            </w:pPr>
          </w:p>
        </w:tc>
        <w:tc>
          <w:tcPr>
            <w:tcW w:w="868" w:type="dxa"/>
            <w:vAlign w:val="center"/>
          </w:tcPr>
          <w:p w14:paraId="162EAFD5" w14:textId="77777777" w:rsidR="00AB6191" w:rsidRPr="008231CB" w:rsidRDefault="00AB6191" w:rsidP="00AB6191">
            <w:pPr>
              <w:rPr>
                <w:noProof/>
                <w:sz w:val="20"/>
              </w:rPr>
            </w:pPr>
          </w:p>
        </w:tc>
        <w:tc>
          <w:tcPr>
            <w:tcW w:w="868" w:type="dxa"/>
            <w:vAlign w:val="center"/>
          </w:tcPr>
          <w:p w14:paraId="181C3634" w14:textId="77777777" w:rsidR="00AB6191" w:rsidRPr="008231CB" w:rsidRDefault="00AB6191" w:rsidP="00AB6191">
            <w:pPr>
              <w:rPr>
                <w:noProof/>
                <w:sz w:val="20"/>
              </w:rPr>
            </w:pPr>
          </w:p>
        </w:tc>
        <w:tc>
          <w:tcPr>
            <w:tcW w:w="868" w:type="dxa"/>
            <w:vAlign w:val="center"/>
          </w:tcPr>
          <w:p w14:paraId="0D5828BC" w14:textId="77777777" w:rsidR="00AB6191" w:rsidRPr="008231CB" w:rsidRDefault="00AB6191" w:rsidP="00AB6191">
            <w:pPr>
              <w:rPr>
                <w:noProof/>
                <w:sz w:val="20"/>
              </w:rPr>
            </w:pPr>
          </w:p>
        </w:tc>
        <w:tc>
          <w:tcPr>
            <w:tcW w:w="868" w:type="dxa"/>
            <w:vAlign w:val="center"/>
          </w:tcPr>
          <w:p w14:paraId="0A1F5E7C" w14:textId="77777777" w:rsidR="00AB6191" w:rsidRPr="008231CB" w:rsidRDefault="00AB6191" w:rsidP="00AB6191">
            <w:pPr>
              <w:rPr>
                <w:noProof/>
                <w:sz w:val="20"/>
              </w:rPr>
            </w:pPr>
          </w:p>
        </w:tc>
        <w:tc>
          <w:tcPr>
            <w:tcW w:w="868" w:type="dxa"/>
            <w:vAlign w:val="center"/>
          </w:tcPr>
          <w:p w14:paraId="707878A3" w14:textId="77777777" w:rsidR="00AB6191" w:rsidRPr="008231CB" w:rsidRDefault="00AB6191" w:rsidP="00AB6191">
            <w:pPr>
              <w:rPr>
                <w:b/>
                <w:noProof/>
                <w:sz w:val="20"/>
              </w:rPr>
            </w:pPr>
          </w:p>
        </w:tc>
        <w:tc>
          <w:tcPr>
            <w:tcW w:w="1777" w:type="dxa"/>
            <w:vAlign w:val="center"/>
          </w:tcPr>
          <w:p w14:paraId="58B8EAE4" w14:textId="77777777" w:rsidR="00AB6191" w:rsidRPr="008231CB" w:rsidRDefault="00AB6191" w:rsidP="00AB6191">
            <w:pPr>
              <w:rPr>
                <w:b/>
                <w:noProof/>
                <w:sz w:val="20"/>
              </w:rPr>
            </w:pPr>
          </w:p>
        </w:tc>
      </w:tr>
      <w:tr w:rsidR="00AB6191" w:rsidRPr="008231CB" w14:paraId="69C7B716" w14:textId="77777777" w:rsidTr="00AB6191">
        <w:trPr>
          <w:trHeight w:val="277"/>
        </w:trPr>
        <w:tc>
          <w:tcPr>
            <w:tcW w:w="3960" w:type="dxa"/>
            <w:vMerge w:val="restart"/>
            <w:vAlign w:val="center"/>
          </w:tcPr>
          <w:p w14:paraId="3C933F76" w14:textId="77777777" w:rsidR="00AB6191" w:rsidRPr="008231CB" w:rsidRDefault="00AB6191" w:rsidP="00AB6191">
            <w:pPr>
              <w:rPr>
                <w:noProof/>
              </w:rPr>
            </w:pPr>
            <w:r>
              <w:rPr>
                <w:noProof/>
              </w:rPr>
              <w:t>02.040501</w:t>
            </w:r>
          </w:p>
        </w:tc>
        <w:tc>
          <w:tcPr>
            <w:tcW w:w="1440" w:type="dxa"/>
            <w:vAlign w:val="center"/>
          </w:tcPr>
          <w:p w14:paraId="77F670CC" w14:textId="77777777" w:rsidR="00AB6191" w:rsidRPr="008231CB" w:rsidRDefault="00AB6191" w:rsidP="00AB6191">
            <w:pPr>
              <w:spacing w:before="20" w:after="20"/>
              <w:rPr>
                <w:noProof/>
                <w:sz w:val="18"/>
              </w:rPr>
            </w:pPr>
            <w:r w:rsidRPr="008231CB">
              <w:rPr>
                <w:noProof/>
                <w:sz w:val="18"/>
              </w:rPr>
              <w:t>Commitments</w:t>
            </w:r>
          </w:p>
        </w:tc>
        <w:tc>
          <w:tcPr>
            <w:tcW w:w="654" w:type="dxa"/>
            <w:gridSpan w:val="2"/>
            <w:vAlign w:val="center"/>
          </w:tcPr>
          <w:p w14:paraId="445247A2" w14:textId="77777777" w:rsidR="00AB6191" w:rsidRPr="008231CB" w:rsidRDefault="00AB6191" w:rsidP="00AB6191">
            <w:pPr>
              <w:spacing w:before="20" w:after="20"/>
              <w:jc w:val="center"/>
              <w:rPr>
                <w:noProof/>
                <w:sz w:val="14"/>
              </w:rPr>
            </w:pPr>
            <w:r w:rsidRPr="008231CB">
              <w:rPr>
                <w:noProof/>
                <w:sz w:val="14"/>
              </w:rPr>
              <w:t>(1a)</w:t>
            </w:r>
          </w:p>
        </w:tc>
        <w:tc>
          <w:tcPr>
            <w:tcW w:w="868" w:type="dxa"/>
            <w:vAlign w:val="center"/>
          </w:tcPr>
          <w:p w14:paraId="2392DFB4"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549CCBAA"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1E3E1958"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4F5EFD9D" w14:textId="77777777" w:rsidR="00AB6191" w:rsidRPr="008231CB" w:rsidRDefault="00AB6191" w:rsidP="00AB6191">
            <w:pPr>
              <w:spacing w:before="20" w:after="20"/>
              <w:jc w:val="right"/>
              <w:rPr>
                <w:noProof/>
                <w:sz w:val="20"/>
              </w:rPr>
            </w:pPr>
          </w:p>
        </w:tc>
        <w:tc>
          <w:tcPr>
            <w:tcW w:w="868" w:type="dxa"/>
            <w:vAlign w:val="center"/>
          </w:tcPr>
          <w:p w14:paraId="0A34562B" w14:textId="77777777" w:rsidR="00AB6191" w:rsidRPr="008231CB" w:rsidRDefault="00AB6191" w:rsidP="00AB6191">
            <w:pPr>
              <w:spacing w:before="20" w:after="20"/>
              <w:jc w:val="right"/>
              <w:rPr>
                <w:noProof/>
                <w:sz w:val="20"/>
              </w:rPr>
            </w:pPr>
          </w:p>
        </w:tc>
        <w:tc>
          <w:tcPr>
            <w:tcW w:w="868" w:type="dxa"/>
            <w:vAlign w:val="center"/>
          </w:tcPr>
          <w:p w14:paraId="14DA52D7" w14:textId="77777777" w:rsidR="00AB6191" w:rsidRPr="008231CB" w:rsidRDefault="00AB6191" w:rsidP="00AB6191">
            <w:pPr>
              <w:spacing w:before="20" w:after="20"/>
              <w:jc w:val="right"/>
              <w:rPr>
                <w:noProof/>
                <w:sz w:val="20"/>
              </w:rPr>
            </w:pPr>
          </w:p>
        </w:tc>
        <w:tc>
          <w:tcPr>
            <w:tcW w:w="868" w:type="dxa"/>
            <w:vAlign w:val="center"/>
          </w:tcPr>
          <w:p w14:paraId="16A8C3D2" w14:textId="77777777" w:rsidR="00AB6191" w:rsidRPr="008231CB" w:rsidRDefault="00AB6191" w:rsidP="00AB6191">
            <w:pPr>
              <w:spacing w:before="20" w:after="20"/>
              <w:jc w:val="right"/>
              <w:rPr>
                <w:b/>
                <w:noProof/>
                <w:sz w:val="20"/>
              </w:rPr>
            </w:pPr>
          </w:p>
        </w:tc>
        <w:tc>
          <w:tcPr>
            <w:tcW w:w="1777" w:type="dxa"/>
            <w:vAlign w:val="center"/>
          </w:tcPr>
          <w:p w14:paraId="636D0E3A" w14:textId="77777777" w:rsidR="00AB6191" w:rsidRPr="008231CB" w:rsidRDefault="00AB6191" w:rsidP="00AB6191">
            <w:pPr>
              <w:spacing w:before="20" w:after="20"/>
              <w:jc w:val="right"/>
              <w:rPr>
                <w:b/>
                <w:noProof/>
                <w:sz w:val="20"/>
              </w:rPr>
            </w:pPr>
            <w:r>
              <w:rPr>
                <w:b/>
                <w:noProof/>
                <w:sz w:val="20"/>
              </w:rPr>
              <w:t>6.000</w:t>
            </w:r>
          </w:p>
        </w:tc>
      </w:tr>
      <w:tr w:rsidR="00AB6191" w:rsidRPr="008231CB" w14:paraId="4F4135EC" w14:textId="77777777" w:rsidTr="00AB6191">
        <w:tc>
          <w:tcPr>
            <w:tcW w:w="3960" w:type="dxa"/>
            <w:vMerge/>
          </w:tcPr>
          <w:p w14:paraId="2DC7B60A" w14:textId="77777777" w:rsidR="00AB6191" w:rsidRPr="008231CB" w:rsidRDefault="00AB6191" w:rsidP="00AB6191">
            <w:pPr>
              <w:jc w:val="center"/>
              <w:rPr>
                <w:noProof/>
                <w:sz w:val="20"/>
              </w:rPr>
            </w:pPr>
          </w:p>
        </w:tc>
        <w:tc>
          <w:tcPr>
            <w:tcW w:w="1440" w:type="dxa"/>
            <w:vAlign w:val="center"/>
          </w:tcPr>
          <w:p w14:paraId="619F5873" w14:textId="77777777" w:rsidR="00AB6191" w:rsidRPr="008231CB" w:rsidRDefault="00AB6191" w:rsidP="00AB6191">
            <w:pPr>
              <w:spacing w:before="20" w:after="20"/>
              <w:rPr>
                <w:noProof/>
                <w:sz w:val="18"/>
              </w:rPr>
            </w:pPr>
            <w:r w:rsidRPr="008231CB">
              <w:rPr>
                <w:noProof/>
                <w:sz w:val="18"/>
              </w:rPr>
              <w:t>Payments</w:t>
            </w:r>
          </w:p>
        </w:tc>
        <w:tc>
          <w:tcPr>
            <w:tcW w:w="654" w:type="dxa"/>
            <w:gridSpan w:val="2"/>
            <w:vAlign w:val="center"/>
          </w:tcPr>
          <w:p w14:paraId="3911242C" w14:textId="77777777" w:rsidR="00AB6191" w:rsidRPr="008231CB" w:rsidRDefault="00AB6191" w:rsidP="00AB6191">
            <w:pPr>
              <w:spacing w:before="20" w:after="20"/>
              <w:jc w:val="center"/>
              <w:rPr>
                <w:noProof/>
                <w:sz w:val="14"/>
              </w:rPr>
            </w:pPr>
            <w:r w:rsidRPr="008231CB">
              <w:rPr>
                <w:noProof/>
                <w:sz w:val="14"/>
              </w:rPr>
              <w:t>(2a)</w:t>
            </w:r>
          </w:p>
        </w:tc>
        <w:tc>
          <w:tcPr>
            <w:tcW w:w="868" w:type="dxa"/>
            <w:vAlign w:val="center"/>
          </w:tcPr>
          <w:p w14:paraId="61A57124"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22F26505"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481A3CB8"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319838C2" w14:textId="77777777" w:rsidR="00AB6191" w:rsidRPr="008231CB" w:rsidRDefault="00AB6191" w:rsidP="00AB6191">
            <w:pPr>
              <w:spacing w:before="20" w:after="20"/>
              <w:jc w:val="right"/>
              <w:rPr>
                <w:noProof/>
                <w:sz w:val="20"/>
              </w:rPr>
            </w:pPr>
          </w:p>
        </w:tc>
        <w:tc>
          <w:tcPr>
            <w:tcW w:w="868" w:type="dxa"/>
            <w:vAlign w:val="center"/>
          </w:tcPr>
          <w:p w14:paraId="37C6431E" w14:textId="77777777" w:rsidR="00AB6191" w:rsidRPr="008231CB" w:rsidRDefault="00AB6191" w:rsidP="00AB6191">
            <w:pPr>
              <w:spacing w:before="20" w:after="20"/>
              <w:jc w:val="right"/>
              <w:rPr>
                <w:noProof/>
                <w:sz w:val="20"/>
              </w:rPr>
            </w:pPr>
          </w:p>
        </w:tc>
        <w:tc>
          <w:tcPr>
            <w:tcW w:w="868" w:type="dxa"/>
            <w:vAlign w:val="center"/>
          </w:tcPr>
          <w:p w14:paraId="4C09AB2B" w14:textId="77777777" w:rsidR="00AB6191" w:rsidRPr="008231CB" w:rsidRDefault="00AB6191" w:rsidP="00AB6191">
            <w:pPr>
              <w:spacing w:before="20" w:after="20"/>
              <w:jc w:val="right"/>
              <w:rPr>
                <w:noProof/>
                <w:sz w:val="20"/>
              </w:rPr>
            </w:pPr>
          </w:p>
        </w:tc>
        <w:tc>
          <w:tcPr>
            <w:tcW w:w="868" w:type="dxa"/>
            <w:vAlign w:val="center"/>
          </w:tcPr>
          <w:p w14:paraId="29F85F39" w14:textId="77777777" w:rsidR="00AB6191" w:rsidRPr="008231CB" w:rsidRDefault="00AB6191" w:rsidP="00AB6191">
            <w:pPr>
              <w:spacing w:before="20" w:after="20"/>
              <w:jc w:val="right"/>
              <w:rPr>
                <w:b/>
                <w:noProof/>
                <w:sz w:val="20"/>
              </w:rPr>
            </w:pPr>
          </w:p>
        </w:tc>
        <w:tc>
          <w:tcPr>
            <w:tcW w:w="1777" w:type="dxa"/>
            <w:vAlign w:val="center"/>
          </w:tcPr>
          <w:p w14:paraId="3869D5F0" w14:textId="77777777" w:rsidR="00AB6191" w:rsidRPr="008231CB" w:rsidRDefault="00AB6191" w:rsidP="00AB6191">
            <w:pPr>
              <w:spacing w:before="20" w:after="20"/>
              <w:jc w:val="right"/>
              <w:rPr>
                <w:b/>
                <w:noProof/>
                <w:sz w:val="20"/>
              </w:rPr>
            </w:pPr>
            <w:r>
              <w:rPr>
                <w:b/>
                <w:noProof/>
                <w:sz w:val="20"/>
              </w:rPr>
              <w:t>6.000</w:t>
            </w:r>
          </w:p>
        </w:tc>
      </w:tr>
      <w:tr w:rsidR="00AB6191" w:rsidRPr="008231CB" w14:paraId="052D5A49" w14:textId="77777777" w:rsidTr="00AB6191">
        <w:tc>
          <w:tcPr>
            <w:tcW w:w="3960" w:type="dxa"/>
            <w:vMerge w:val="restart"/>
            <w:vAlign w:val="center"/>
          </w:tcPr>
          <w:p w14:paraId="13BE817E" w14:textId="77777777" w:rsidR="00AB6191" w:rsidRPr="008231CB" w:rsidRDefault="00AB6191" w:rsidP="00AB6191">
            <w:pPr>
              <w:rPr>
                <w:noProof/>
              </w:rPr>
            </w:pPr>
            <w:r w:rsidRPr="008231CB">
              <w:rPr>
                <w:noProof/>
                <w:sz w:val="20"/>
              </w:rPr>
              <w:t>Budget line</w:t>
            </w:r>
          </w:p>
        </w:tc>
        <w:tc>
          <w:tcPr>
            <w:tcW w:w="1440" w:type="dxa"/>
            <w:vAlign w:val="center"/>
          </w:tcPr>
          <w:p w14:paraId="0E7A81B0" w14:textId="77777777" w:rsidR="00AB6191" w:rsidRPr="008231CB" w:rsidRDefault="00AB6191" w:rsidP="00AB6191">
            <w:pPr>
              <w:spacing w:before="20" w:after="20"/>
              <w:rPr>
                <w:noProof/>
                <w:sz w:val="18"/>
              </w:rPr>
            </w:pPr>
            <w:r w:rsidRPr="008231CB">
              <w:rPr>
                <w:noProof/>
                <w:sz w:val="18"/>
              </w:rPr>
              <w:t>Commitments</w:t>
            </w:r>
          </w:p>
        </w:tc>
        <w:tc>
          <w:tcPr>
            <w:tcW w:w="654" w:type="dxa"/>
            <w:gridSpan w:val="2"/>
            <w:vAlign w:val="center"/>
          </w:tcPr>
          <w:p w14:paraId="0CCDF849" w14:textId="77777777" w:rsidR="00AB6191" w:rsidRPr="008231CB" w:rsidRDefault="00AB6191" w:rsidP="00AB6191">
            <w:pPr>
              <w:spacing w:before="20" w:after="20"/>
              <w:jc w:val="center"/>
              <w:rPr>
                <w:noProof/>
                <w:sz w:val="14"/>
              </w:rPr>
            </w:pPr>
            <w:r w:rsidRPr="008231CB">
              <w:rPr>
                <w:noProof/>
                <w:sz w:val="14"/>
              </w:rPr>
              <w:t>(1b)</w:t>
            </w:r>
          </w:p>
        </w:tc>
        <w:tc>
          <w:tcPr>
            <w:tcW w:w="868" w:type="dxa"/>
            <w:vAlign w:val="center"/>
          </w:tcPr>
          <w:p w14:paraId="54BAB699" w14:textId="77777777" w:rsidR="00AB6191" w:rsidRPr="008231CB" w:rsidRDefault="00AB6191" w:rsidP="00AB6191">
            <w:pPr>
              <w:spacing w:before="20" w:after="20"/>
              <w:jc w:val="right"/>
              <w:rPr>
                <w:noProof/>
                <w:sz w:val="20"/>
              </w:rPr>
            </w:pPr>
          </w:p>
        </w:tc>
        <w:tc>
          <w:tcPr>
            <w:tcW w:w="868" w:type="dxa"/>
            <w:vAlign w:val="center"/>
          </w:tcPr>
          <w:p w14:paraId="19FC009F" w14:textId="77777777" w:rsidR="00AB6191" w:rsidRPr="008231CB" w:rsidRDefault="00AB6191" w:rsidP="00AB6191">
            <w:pPr>
              <w:spacing w:before="20" w:after="20"/>
              <w:jc w:val="right"/>
              <w:rPr>
                <w:noProof/>
                <w:sz w:val="20"/>
              </w:rPr>
            </w:pPr>
          </w:p>
        </w:tc>
        <w:tc>
          <w:tcPr>
            <w:tcW w:w="868" w:type="dxa"/>
            <w:vAlign w:val="center"/>
          </w:tcPr>
          <w:p w14:paraId="73B0A2F5" w14:textId="77777777" w:rsidR="00AB6191" w:rsidRPr="008231CB" w:rsidRDefault="00AB6191" w:rsidP="00AB6191">
            <w:pPr>
              <w:spacing w:before="20" w:after="20"/>
              <w:jc w:val="right"/>
              <w:rPr>
                <w:noProof/>
                <w:sz w:val="20"/>
              </w:rPr>
            </w:pPr>
          </w:p>
        </w:tc>
        <w:tc>
          <w:tcPr>
            <w:tcW w:w="868" w:type="dxa"/>
            <w:vAlign w:val="center"/>
          </w:tcPr>
          <w:p w14:paraId="5A6890FB" w14:textId="77777777" w:rsidR="00AB6191" w:rsidRPr="008231CB" w:rsidRDefault="00AB6191" w:rsidP="00AB6191">
            <w:pPr>
              <w:spacing w:before="20" w:after="20"/>
              <w:jc w:val="right"/>
              <w:rPr>
                <w:noProof/>
                <w:sz w:val="20"/>
              </w:rPr>
            </w:pPr>
          </w:p>
        </w:tc>
        <w:tc>
          <w:tcPr>
            <w:tcW w:w="868" w:type="dxa"/>
            <w:vAlign w:val="center"/>
          </w:tcPr>
          <w:p w14:paraId="788ED050" w14:textId="77777777" w:rsidR="00AB6191" w:rsidRPr="008231CB" w:rsidRDefault="00AB6191" w:rsidP="00AB6191">
            <w:pPr>
              <w:spacing w:before="20" w:after="20"/>
              <w:jc w:val="right"/>
              <w:rPr>
                <w:noProof/>
                <w:sz w:val="20"/>
              </w:rPr>
            </w:pPr>
          </w:p>
        </w:tc>
        <w:tc>
          <w:tcPr>
            <w:tcW w:w="868" w:type="dxa"/>
            <w:vAlign w:val="center"/>
          </w:tcPr>
          <w:p w14:paraId="19DA72D1" w14:textId="77777777" w:rsidR="00AB6191" w:rsidRPr="008231CB" w:rsidRDefault="00AB6191" w:rsidP="00AB6191">
            <w:pPr>
              <w:spacing w:before="20" w:after="20"/>
              <w:jc w:val="right"/>
              <w:rPr>
                <w:noProof/>
                <w:sz w:val="20"/>
              </w:rPr>
            </w:pPr>
          </w:p>
        </w:tc>
        <w:tc>
          <w:tcPr>
            <w:tcW w:w="868" w:type="dxa"/>
            <w:vAlign w:val="center"/>
          </w:tcPr>
          <w:p w14:paraId="6C73892D" w14:textId="77777777" w:rsidR="00AB6191" w:rsidRPr="008231CB" w:rsidRDefault="00AB6191" w:rsidP="00AB6191">
            <w:pPr>
              <w:spacing w:before="20" w:after="20"/>
              <w:jc w:val="right"/>
              <w:rPr>
                <w:b/>
                <w:noProof/>
                <w:sz w:val="20"/>
              </w:rPr>
            </w:pPr>
          </w:p>
        </w:tc>
        <w:tc>
          <w:tcPr>
            <w:tcW w:w="1777" w:type="dxa"/>
            <w:vAlign w:val="center"/>
          </w:tcPr>
          <w:p w14:paraId="2762679B" w14:textId="77777777" w:rsidR="00AB6191" w:rsidRPr="008231CB" w:rsidRDefault="00AB6191" w:rsidP="00AB6191">
            <w:pPr>
              <w:spacing w:before="20" w:after="20"/>
              <w:jc w:val="right"/>
              <w:rPr>
                <w:b/>
                <w:noProof/>
                <w:sz w:val="20"/>
              </w:rPr>
            </w:pPr>
          </w:p>
        </w:tc>
      </w:tr>
      <w:tr w:rsidR="00AB6191" w:rsidRPr="008231CB" w14:paraId="61EAB7EF" w14:textId="77777777" w:rsidTr="00AB6191">
        <w:tc>
          <w:tcPr>
            <w:tcW w:w="3960" w:type="dxa"/>
            <w:vMerge/>
          </w:tcPr>
          <w:p w14:paraId="37ED661B" w14:textId="77777777" w:rsidR="00AB6191" w:rsidRPr="008231CB" w:rsidRDefault="00AB6191" w:rsidP="00AB6191">
            <w:pPr>
              <w:jc w:val="center"/>
              <w:rPr>
                <w:noProof/>
                <w:sz w:val="20"/>
              </w:rPr>
            </w:pPr>
          </w:p>
        </w:tc>
        <w:tc>
          <w:tcPr>
            <w:tcW w:w="1440" w:type="dxa"/>
            <w:vAlign w:val="center"/>
          </w:tcPr>
          <w:p w14:paraId="2972ED81" w14:textId="77777777" w:rsidR="00AB6191" w:rsidRPr="008231CB" w:rsidRDefault="00AB6191" w:rsidP="00AB6191">
            <w:pPr>
              <w:spacing w:before="20" w:after="20"/>
              <w:rPr>
                <w:noProof/>
                <w:sz w:val="18"/>
              </w:rPr>
            </w:pPr>
            <w:r w:rsidRPr="008231CB">
              <w:rPr>
                <w:noProof/>
                <w:sz w:val="18"/>
              </w:rPr>
              <w:t>Payments</w:t>
            </w:r>
          </w:p>
        </w:tc>
        <w:tc>
          <w:tcPr>
            <w:tcW w:w="654" w:type="dxa"/>
            <w:gridSpan w:val="2"/>
            <w:vAlign w:val="center"/>
          </w:tcPr>
          <w:p w14:paraId="390E4395" w14:textId="77777777" w:rsidR="00AB6191" w:rsidRPr="008231CB" w:rsidRDefault="00AB6191" w:rsidP="00AB6191">
            <w:pPr>
              <w:spacing w:before="20" w:after="20"/>
              <w:jc w:val="center"/>
              <w:rPr>
                <w:noProof/>
                <w:sz w:val="14"/>
              </w:rPr>
            </w:pPr>
            <w:r w:rsidRPr="008231CB">
              <w:rPr>
                <w:noProof/>
                <w:sz w:val="14"/>
              </w:rPr>
              <w:t>(2b)</w:t>
            </w:r>
          </w:p>
        </w:tc>
        <w:tc>
          <w:tcPr>
            <w:tcW w:w="868" w:type="dxa"/>
            <w:vAlign w:val="center"/>
          </w:tcPr>
          <w:p w14:paraId="73437D2C" w14:textId="77777777" w:rsidR="00AB6191" w:rsidRPr="008231CB" w:rsidRDefault="00AB6191" w:rsidP="00AB6191">
            <w:pPr>
              <w:spacing w:before="20" w:after="20"/>
              <w:jc w:val="right"/>
              <w:rPr>
                <w:noProof/>
                <w:sz w:val="20"/>
              </w:rPr>
            </w:pPr>
          </w:p>
        </w:tc>
        <w:tc>
          <w:tcPr>
            <w:tcW w:w="868" w:type="dxa"/>
            <w:vAlign w:val="center"/>
          </w:tcPr>
          <w:p w14:paraId="7F25FD36" w14:textId="77777777" w:rsidR="00AB6191" w:rsidRPr="008231CB" w:rsidRDefault="00AB6191" w:rsidP="00AB6191">
            <w:pPr>
              <w:spacing w:before="20" w:after="20"/>
              <w:jc w:val="right"/>
              <w:rPr>
                <w:noProof/>
                <w:sz w:val="20"/>
              </w:rPr>
            </w:pPr>
          </w:p>
        </w:tc>
        <w:tc>
          <w:tcPr>
            <w:tcW w:w="868" w:type="dxa"/>
            <w:vAlign w:val="center"/>
          </w:tcPr>
          <w:p w14:paraId="6F70071C" w14:textId="77777777" w:rsidR="00AB6191" w:rsidRPr="008231CB" w:rsidRDefault="00AB6191" w:rsidP="00AB6191">
            <w:pPr>
              <w:spacing w:before="20" w:after="20"/>
              <w:jc w:val="right"/>
              <w:rPr>
                <w:noProof/>
                <w:sz w:val="20"/>
              </w:rPr>
            </w:pPr>
          </w:p>
        </w:tc>
        <w:tc>
          <w:tcPr>
            <w:tcW w:w="868" w:type="dxa"/>
            <w:vAlign w:val="center"/>
          </w:tcPr>
          <w:p w14:paraId="37CDBF2C" w14:textId="77777777" w:rsidR="00AB6191" w:rsidRPr="008231CB" w:rsidRDefault="00AB6191" w:rsidP="00AB6191">
            <w:pPr>
              <w:spacing w:before="20" w:after="20"/>
              <w:jc w:val="right"/>
              <w:rPr>
                <w:noProof/>
                <w:sz w:val="20"/>
              </w:rPr>
            </w:pPr>
          </w:p>
        </w:tc>
        <w:tc>
          <w:tcPr>
            <w:tcW w:w="868" w:type="dxa"/>
            <w:vAlign w:val="center"/>
          </w:tcPr>
          <w:p w14:paraId="6B2BDA84" w14:textId="77777777" w:rsidR="00AB6191" w:rsidRPr="008231CB" w:rsidRDefault="00AB6191" w:rsidP="00AB6191">
            <w:pPr>
              <w:spacing w:before="20" w:after="20"/>
              <w:jc w:val="right"/>
              <w:rPr>
                <w:noProof/>
                <w:sz w:val="20"/>
              </w:rPr>
            </w:pPr>
          </w:p>
        </w:tc>
        <w:tc>
          <w:tcPr>
            <w:tcW w:w="868" w:type="dxa"/>
            <w:vAlign w:val="center"/>
          </w:tcPr>
          <w:p w14:paraId="0C6AEA80" w14:textId="77777777" w:rsidR="00AB6191" w:rsidRPr="008231CB" w:rsidRDefault="00AB6191" w:rsidP="00AB6191">
            <w:pPr>
              <w:spacing w:before="20" w:after="20"/>
              <w:jc w:val="right"/>
              <w:rPr>
                <w:noProof/>
                <w:sz w:val="20"/>
              </w:rPr>
            </w:pPr>
          </w:p>
        </w:tc>
        <w:tc>
          <w:tcPr>
            <w:tcW w:w="868" w:type="dxa"/>
            <w:vAlign w:val="center"/>
          </w:tcPr>
          <w:p w14:paraId="7CB2DD61" w14:textId="77777777" w:rsidR="00AB6191" w:rsidRPr="008231CB" w:rsidRDefault="00AB6191" w:rsidP="00AB6191">
            <w:pPr>
              <w:spacing w:before="20" w:after="20"/>
              <w:jc w:val="right"/>
              <w:rPr>
                <w:b/>
                <w:noProof/>
                <w:sz w:val="20"/>
              </w:rPr>
            </w:pPr>
          </w:p>
        </w:tc>
        <w:tc>
          <w:tcPr>
            <w:tcW w:w="1777" w:type="dxa"/>
            <w:vAlign w:val="center"/>
          </w:tcPr>
          <w:p w14:paraId="74E3CADF" w14:textId="77777777" w:rsidR="00AB6191" w:rsidRPr="008231CB" w:rsidRDefault="00AB6191" w:rsidP="00AB6191">
            <w:pPr>
              <w:spacing w:before="20" w:after="20"/>
              <w:jc w:val="right"/>
              <w:rPr>
                <w:b/>
                <w:noProof/>
                <w:sz w:val="20"/>
              </w:rPr>
            </w:pPr>
          </w:p>
        </w:tc>
      </w:tr>
      <w:tr w:rsidR="00AB6191" w:rsidRPr="008231CB" w14:paraId="22764434" w14:textId="77777777" w:rsidTr="00AB6191">
        <w:trPr>
          <w:trHeight w:val="231"/>
        </w:trPr>
        <w:tc>
          <w:tcPr>
            <w:tcW w:w="6054" w:type="dxa"/>
            <w:gridSpan w:val="4"/>
            <w:vAlign w:val="center"/>
          </w:tcPr>
          <w:p w14:paraId="049F2D76" w14:textId="77777777" w:rsidR="00AB6191" w:rsidRPr="008231CB" w:rsidRDefault="00AB6191" w:rsidP="00AB6191">
            <w:pPr>
              <w:spacing w:before="20" w:after="20"/>
              <w:rPr>
                <w:noProof/>
              </w:rPr>
            </w:pPr>
            <w:r w:rsidRPr="008231CB">
              <w:rPr>
                <w:noProof/>
                <w:sz w:val="21"/>
              </w:rPr>
              <w:t>Appropriations of an administrative nature financed from the envelope of specific programmes</w:t>
            </w:r>
            <w:r w:rsidRPr="00EC6C35">
              <w:rPr>
                <w:rStyle w:val="FootnoteReference"/>
                <w:noProof/>
              </w:rPr>
              <w:footnoteReference w:id="74"/>
            </w:r>
            <w:r w:rsidRPr="008231CB">
              <w:rPr>
                <w:noProof/>
                <w:sz w:val="21"/>
              </w:rPr>
              <w:t xml:space="preserve"> </w:t>
            </w:r>
          </w:p>
          <w:p w14:paraId="699FAEFA" w14:textId="77777777" w:rsidR="00AB6191" w:rsidRPr="008231CB" w:rsidRDefault="00AB6191" w:rsidP="00AB6191">
            <w:pPr>
              <w:spacing w:before="0" w:after="0"/>
              <w:rPr>
                <w:noProof/>
              </w:rPr>
            </w:pPr>
          </w:p>
        </w:tc>
        <w:tc>
          <w:tcPr>
            <w:tcW w:w="868" w:type="dxa"/>
            <w:vAlign w:val="center"/>
          </w:tcPr>
          <w:p w14:paraId="2E08A5FB" w14:textId="77777777" w:rsidR="00AB6191" w:rsidRPr="008231CB" w:rsidRDefault="00AB6191" w:rsidP="00AB6191">
            <w:pPr>
              <w:rPr>
                <w:b/>
                <w:noProof/>
                <w:sz w:val="20"/>
              </w:rPr>
            </w:pPr>
          </w:p>
        </w:tc>
        <w:tc>
          <w:tcPr>
            <w:tcW w:w="868" w:type="dxa"/>
            <w:vAlign w:val="center"/>
          </w:tcPr>
          <w:p w14:paraId="1CD45D03" w14:textId="77777777" w:rsidR="00AB6191" w:rsidRPr="008231CB" w:rsidRDefault="00AB6191" w:rsidP="00AB6191">
            <w:pPr>
              <w:rPr>
                <w:b/>
                <w:noProof/>
                <w:sz w:val="20"/>
              </w:rPr>
            </w:pPr>
          </w:p>
        </w:tc>
        <w:tc>
          <w:tcPr>
            <w:tcW w:w="868" w:type="dxa"/>
            <w:vAlign w:val="center"/>
          </w:tcPr>
          <w:p w14:paraId="1A00F2DD" w14:textId="77777777" w:rsidR="00AB6191" w:rsidRPr="008231CB" w:rsidRDefault="00AB6191" w:rsidP="00AB6191">
            <w:pPr>
              <w:rPr>
                <w:b/>
                <w:noProof/>
                <w:sz w:val="20"/>
              </w:rPr>
            </w:pPr>
          </w:p>
        </w:tc>
        <w:tc>
          <w:tcPr>
            <w:tcW w:w="868" w:type="dxa"/>
            <w:vAlign w:val="center"/>
          </w:tcPr>
          <w:p w14:paraId="3171D9A9" w14:textId="77777777" w:rsidR="00AB6191" w:rsidRPr="008231CB" w:rsidRDefault="00AB6191" w:rsidP="00AB6191">
            <w:pPr>
              <w:rPr>
                <w:b/>
                <w:noProof/>
                <w:sz w:val="20"/>
              </w:rPr>
            </w:pPr>
          </w:p>
        </w:tc>
        <w:tc>
          <w:tcPr>
            <w:tcW w:w="868" w:type="dxa"/>
            <w:vAlign w:val="center"/>
          </w:tcPr>
          <w:p w14:paraId="77B7E5E8" w14:textId="77777777" w:rsidR="00AB6191" w:rsidRPr="008231CB" w:rsidRDefault="00AB6191" w:rsidP="00AB6191">
            <w:pPr>
              <w:rPr>
                <w:b/>
                <w:noProof/>
                <w:sz w:val="20"/>
              </w:rPr>
            </w:pPr>
          </w:p>
        </w:tc>
        <w:tc>
          <w:tcPr>
            <w:tcW w:w="868" w:type="dxa"/>
            <w:vAlign w:val="center"/>
          </w:tcPr>
          <w:p w14:paraId="64FBFA5A" w14:textId="77777777" w:rsidR="00AB6191" w:rsidRPr="008231CB" w:rsidRDefault="00AB6191" w:rsidP="00AB6191">
            <w:pPr>
              <w:rPr>
                <w:b/>
                <w:noProof/>
                <w:sz w:val="20"/>
              </w:rPr>
            </w:pPr>
          </w:p>
        </w:tc>
        <w:tc>
          <w:tcPr>
            <w:tcW w:w="868" w:type="dxa"/>
            <w:vAlign w:val="center"/>
          </w:tcPr>
          <w:p w14:paraId="31C03F50" w14:textId="77777777" w:rsidR="00AB6191" w:rsidRPr="008231CB" w:rsidRDefault="00AB6191" w:rsidP="00AB6191">
            <w:pPr>
              <w:rPr>
                <w:b/>
                <w:noProof/>
                <w:sz w:val="20"/>
              </w:rPr>
            </w:pPr>
          </w:p>
        </w:tc>
        <w:tc>
          <w:tcPr>
            <w:tcW w:w="1777" w:type="dxa"/>
            <w:vAlign w:val="center"/>
          </w:tcPr>
          <w:p w14:paraId="3749BA21" w14:textId="77777777" w:rsidR="00AB6191" w:rsidRPr="008231CB" w:rsidRDefault="00AB6191" w:rsidP="00AB6191">
            <w:pPr>
              <w:rPr>
                <w:b/>
                <w:noProof/>
                <w:sz w:val="20"/>
              </w:rPr>
            </w:pPr>
          </w:p>
        </w:tc>
      </w:tr>
      <w:tr w:rsidR="00AB6191" w:rsidRPr="008231CB" w14:paraId="4DEB54BC" w14:textId="77777777" w:rsidTr="00AB6191">
        <w:trPr>
          <w:trHeight w:val="319"/>
        </w:trPr>
        <w:tc>
          <w:tcPr>
            <w:tcW w:w="3960" w:type="dxa"/>
            <w:vAlign w:val="center"/>
          </w:tcPr>
          <w:p w14:paraId="2E234BEB" w14:textId="77777777" w:rsidR="00AB6191" w:rsidRPr="008231CB" w:rsidRDefault="00AB6191" w:rsidP="00AB6191">
            <w:pPr>
              <w:spacing w:before="60" w:after="60"/>
              <w:rPr>
                <w:noProof/>
              </w:rPr>
            </w:pPr>
            <w:r w:rsidRPr="008231CB">
              <w:rPr>
                <w:noProof/>
                <w:sz w:val="20"/>
              </w:rPr>
              <w:t>Budget line</w:t>
            </w:r>
          </w:p>
        </w:tc>
        <w:tc>
          <w:tcPr>
            <w:tcW w:w="1440" w:type="dxa"/>
            <w:vAlign w:val="center"/>
          </w:tcPr>
          <w:p w14:paraId="1B2445B9" w14:textId="77777777" w:rsidR="00AB6191" w:rsidRPr="008231CB" w:rsidRDefault="00AB6191" w:rsidP="00AB6191">
            <w:pPr>
              <w:spacing w:before="40" w:after="40"/>
              <w:jc w:val="right"/>
              <w:rPr>
                <w:noProof/>
                <w:sz w:val="18"/>
              </w:rPr>
            </w:pPr>
          </w:p>
        </w:tc>
        <w:tc>
          <w:tcPr>
            <w:tcW w:w="654" w:type="dxa"/>
            <w:gridSpan w:val="2"/>
            <w:vAlign w:val="center"/>
          </w:tcPr>
          <w:p w14:paraId="59938B65" w14:textId="77777777" w:rsidR="00AB6191" w:rsidRPr="008231CB" w:rsidRDefault="00AB6191" w:rsidP="00AB6191">
            <w:pPr>
              <w:spacing w:before="40" w:after="40"/>
              <w:jc w:val="center"/>
              <w:rPr>
                <w:noProof/>
                <w:sz w:val="14"/>
              </w:rPr>
            </w:pPr>
            <w:r w:rsidRPr="008231CB">
              <w:rPr>
                <w:noProof/>
                <w:sz w:val="14"/>
              </w:rPr>
              <w:t>(3)</w:t>
            </w:r>
          </w:p>
        </w:tc>
        <w:tc>
          <w:tcPr>
            <w:tcW w:w="868" w:type="dxa"/>
            <w:vAlign w:val="center"/>
          </w:tcPr>
          <w:p w14:paraId="0C577C95" w14:textId="77777777" w:rsidR="00AB6191" w:rsidRPr="008231CB" w:rsidRDefault="00AB6191" w:rsidP="00AB6191">
            <w:pPr>
              <w:spacing w:before="40" w:after="40"/>
              <w:jc w:val="right"/>
              <w:rPr>
                <w:b/>
                <w:noProof/>
                <w:sz w:val="20"/>
              </w:rPr>
            </w:pPr>
          </w:p>
        </w:tc>
        <w:tc>
          <w:tcPr>
            <w:tcW w:w="868" w:type="dxa"/>
            <w:vAlign w:val="center"/>
          </w:tcPr>
          <w:p w14:paraId="13532045" w14:textId="77777777" w:rsidR="00AB6191" w:rsidRPr="008231CB" w:rsidRDefault="00AB6191" w:rsidP="00AB6191">
            <w:pPr>
              <w:spacing w:before="40" w:after="40"/>
              <w:jc w:val="right"/>
              <w:rPr>
                <w:b/>
                <w:noProof/>
                <w:sz w:val="20"/>
              </w:rPr>
            </w:pPr>
          </w:p>
        </w:tc>
        <w:tc>
          <w:tcPr>
            <w:tcW w:w="868" w:type="dxa"/>
            <w:vAlign w:val="center"/>
          </w:tcPr>
          <w:p w14:paraId="7709BD1F" w14:textId="77777777" w:rsidR="00AB6191" w:rsidRPr="008231CB" w:rsidRDefault="00AB6191" w:rsidP="00AB6191">
            <w:pPr>
              <w:spacing w:before="40" w:after="40"/>
              <w:jc w:val="right"/>
              <w:rPr>
                <w:b/>
                <w:noProof/>
                <w:sz w:val="20"/>
              </w:rPr>
            </w:pPr>
          </w:p>
        </w:tc>
        <w:tc>
          <w:tcPr>
            <w:tcW w:w="868" w:type="dxa"/>
            <w:vAlign w:val="center"/>
          </w:tcPr>
          <w:p w14:paraId="4BA94818" w14:textId="77777777" w:rsidR="00AB6191" w:rsidRPr="008231CB" w:rsidRDefault="00AB6191" w:rsidP="00AB6191">
            <w:pPr>
              <w:spacing w:before="40" w:after="40"/>
              <w:jc w:val="right"/>
              <w:rPr>
                <w:b/>
                <w:noProof/>
                <w:sz w:val="20"/>
              </w:rPr>
            </w:pPr>
          </w:p>
        </w:tc>
        <w:tc>
          <w:tcPr>
            <w:tcW w:w="868" w:type="dxa"/>
            <w:vAlign w:val="center"/>
          </w:tcPr>
          <w:p w14:paraId="383FA80C" w14:textId="77777777" w:rsidR="00AB6191" w:rsidRPr="008231CB" w:rsidRDefault="00AB6191" w:rsidP="00AB6191">
            <w:pPr>
              <w:spacing w:before="40" w:after="40"/>
              <w:jc w:val="right"/>
              <w:rPr>
                <w:b/>
                <w:noProof/>
                <w:sz w:val="20"/>
              </w:rPr>
            </w:pPr>
          </w:p>
        </w:tc>
        <w:tc>
          <w:tcPr>
            <w:tcW w:w="868" w:type="dxa"/>
            <w:vAlign w:val="center"/>
          </w:tcPr>
          <w:p w14:paraId="7D1E9A57" w14:textId="77777777" w:rsidR="00AB6191" w:rsidRPr="008231CB" w:rsidRDefault="00AB6191" w:rsidP="00AB6191">
            <w:pPr>
              <w:spacing w:before="40" w:after="40"/>
              <w:jc w:val="right"/>
              <w:rPr>
                <w:b/>
                <w:noProof/>
                <w:sz w:val="20"/>
              </w:rPr>
            </w:pPr>
          </w:p>
        </w:tc>
        <w:tc>
          <w:tcPr>
            <w:tcW w:w="868" w:type="dxa"/>
            <w:vAlign w:val="center"/>
          </w:tcPr>
          <w:p w14:paraId="1A13EE79" w14:textId="77777777" w:rsidR="00AB6191" w:rsidRPr="008231CB" w:rsidRDefault="00AB6191" w:rsidP="00AB6191">
            <w:pPr>
              <w:spacing w:before="40" w:after="40"/>
              <w:jc w:val="right"/>
              <w:rPr>
                <w:b/>
                <w:noProof/>
                <w:sz w:val="20"/>
              </w:rPr>
            </w:pPr>
          </w:p>
        </w:tc>
        <w:tc>
          <w:tcPr>
            <w:tcW w:w="1777" w:type="dxa"/>
            <w:vAlign w:val="center"/>
          </w:tcPr>
          <w:p w14:paraId="09B05CF8" w14:textId="77777777" w:rsidR="00AB6191" w:rsidRPr="008231CB" w:rsidRDefault="00AB6191" w:rsidP="00AB6191">
            <w:pPr>
              <w:spacing w:before="40" w:after="40"/>
              <w:jc w:val="right"/>
              <w:rPr>
                <w:b/>
                <w:noProof/>
                <w:sz w:val="20"/>
              </w:rPr>
            </w:pPr>
          </w:p>
        </w:tc>
      </w:tr>
      <w:tr w:rsidR="00AB6191" w:rsidRPr="008231CB" w14:paraId="4174BDA6" w14:textId="77777777" w:rsidTr="00AB6191">
        <w:tc>
          <w:tcPr>
            <w:tcW w:w="3960" w:type="dxa"/>
            <w:vMerge w:val="restart"/>
            <w:vAlign w:val="center"/>
          </w:tcPr>
          <w:p w14:paraId="581E8471" w14:textId="77777777" w:rsidR="00AB6191" w:rsidRPr="008231CB" w:rsidRDefault="00AB6191" w:rsidP="00AB6191">
            <w:pPr>
              <w:jc w:val="center"/>
              <w:rPr>
                <w:b/>
                <w:noProof/>
              </w:rPr>
            </w:pPr>
            <w:r w:rsidRPr="008231CB">
              <w:rPr>
                <w:b/>
                <w:noProof/>
                <w:sz w:val="22"/>
              </w:rPr>
              <w:t>TOTAL appropriations</w:t>
            </w:r>
            <w:r w:rsidRPr="008231CB">
              <w:rPr>
                <w:noProof/>
                <w:sz w:val="22"/>
              </w:rPr>
              <w:br/>
            </w:r>
            <w:r w:rsidRPr="008231CB">
              <w:rPr>
                <w:b/>
                <w:noProof/>
                <w:sz w:val="22"/>
              </w:rPr>
              <w:t xml:space="preserve">for </w:t>
            </w:r>
            <w:r>
              <w:rPr>
                <w:noProof/>
              </w:rPr>
              <w:t>02.040501</w:t>
            </w:r>
          </w:p>
        </w:tc>
        <w:tc>
          <w:tcPr>
            <w:tcW w:w="1440" w:type="dxa"/>
            <w:vAlign w:val="center"/>
          </w:tcPr>
          <w:p w14:paraId="25CBBC38" w14:textId="77777777" w:rsidR="00AB6191" w:rsidRPr="008231CB" w:rsidRDefault="00AB6191" w:rsidP="00AB6191">
            <w:pPr>
              <w:rPr>
                <w:noProof/>
                <w:sz w:val="18"/>
              </w:rPr>
            </w:pPr>
            <w:r w:rsidRPr="008231CB">
              <w:rPr>
                <w:noProof/>
                <w:sz w:val="18"/>
              </w:rPr>
              <w:t>Commitments</w:t>
            </w:r>
          </w:p>
        </w:tc>
        <w:tc>
          <w:tcPr>
            <w:tcW w:w="654" w:type="dxa"/>
            <w:gridSpan w:val="2"/>
            <w:vAlign w:val="center"/>
          </w:tcPr>
          <w:p w14:paraId="140069AB" w14:textId="77777777" w:rsidR="00AB6191" w:rsidRPr="008231CB" w:rsidRDefault="00AB6191" w:rsidP="00AB6191">
            <w:pPr>
              <w:jc w:val="center"/>
              <w:rPr>
                <w:noProof/>
                <w:sz w:val="14"/>
              </w:rPr>
            </w:pPr>
            <w:r w:rsidRPr="008231CB">
              <w:rPr>
                <w:noProof/>
                <w:sz w:val="14"/>
              </w:rPr>
              <w:t>=1a+1b +3</w:t>
            </w:r>
          </w:p>
        </w:tc>
        <w:tc>
          <w:tcPr>
            <w:tcW w:w="868" w:type="dxa"/>
            <w:vAlign w:val="center"/>
          </w:tcPr>
          <w:p w14:paraId="6EE276DF" w14:textId="77777777" w:rsidR="00AB6191" w:rsidRPr="008231CB" w:rsidRDefault="00AB6191" w:rsidP="00AB6191">
            <w:pPr>
              <w:spacing w:before="20" w:after="20"/>
              <w:jc w:val="right"/>
              <w:rPr>
                <w:noProof/>
                <w:sz w:val="20"/>
              </w:rPr>
            </w:pPr>
          </w:p>
        </w:tc>
        <w:tc>
          <w:tcPr>
            <w:tcW w:w="868" w:type="dxa"/>
            <w:vAlign w:val="center"/>
          </w:tcPr>
          <w:p w14:paraId="00F73A3C" w14:textId="77777777" w:rsidR="00AB6191" w:rsidRPr="008231CB" w:rsidRDefault="00AB6191" w:rsidP="00AB6191">
            <w:pPr>
              <w:spacing w:before="20" w:after="20"/>
              <w:jc w:val="right"/>
              <w:rPr>
                <w:noProof/>
                <w:sz w:val="20"/>
              </w:rPr>
            </w:pPr>
          </w:p>
        </w:tc>
        <w:tc>
          <w:tcPr>
            <w:tcW w:w="868" w:type="dxa"/>
            <w:vAlign w:val="center"/>
          </w:tcPr>
          <w:p w14:paraId="2781AE98" w14:textId="77777777" w:rsidR="00AB6191" w:rsidRPr="008231CB" w:rsidRDefault="00AB6191" w:rsidP="00AB6191">
            <w:pPr>
              <w:spacing w:before="20" w:after="20"/>
              <w:jc w:val="right"/>
              <w:rPr>
                <w:noProof/>
                <w:sz w:val="20"/>
              </w:rPr>
            </w:pPr>
          </w:p>
        </w:tc>
        <w:tc>
          <w:tcPr>
            <w:tcW w:w="868" w:type="dxa"/>
            <w:vAlign w:val="center"/>
          </w:tcPr>
          <w:p w14:paraId="3513C9CC" w14:textId="77777777" w:rsidR="00AB6191" w:rsidRPr="008231CB" w:rsidRDefault="00AB6191" w:rsidP="00AB6191">
            <w:pPr>
              <w:spacing w:before="20" w:after="20"/>
              <w:jc w:val="right"/>
              <w:rPr>
                <w:noProof/>
                <w:sz w:val="20"/>
              </w:rPr>
            </w:pPr>
          </w:p>
        </w:tc>
        <w:tc>
          <w:tcPr>
            <w:tcW w:w="868" w:type="dxa"/>
            <w:vAlign w:val="center"/>
          </w:tcPr>
          <w:p w14:paraId="53316E83" w14:textId="77777777" w:rsidR="00AB6191" w:rsidRPr="008231CB" w:rsidRDefault="00AB6191" w:rsidP="00AB6191">
            <w:pPr>
              <w:spacing w:before="20" w:after="20"/>
              <w:jc w:val="right"/>
              <w:rPr>
                <w:noProof/>
                <w:sz w:val="20"/>
              </w:rPr>
            </w:pPr>
          </w:p>
        </w:tc>
        <w:tc>
          <w:tcPr>
            <w:tcW w:w="868" w:type="dxa"/>
            <w:vAlign w:val="center"/>
          </w:tcPr>
          <w:p w14:paraId="2A698027" w14:textId="77777777" w:rsidR="00AB6191" w:rsidRPr="008231CB" w:rsidRDefault="00AB6191" w:rsidP="00AB6191">
            <w:pPr>
              <w:spacing w:before="20" w:after="20"/>
              <w:jc w:val="right"/>
              <w:rPr>
                <w:noProof/>
                <w:sz w:val="20"/>
              </w:rPr>
            </w:pPr>
          </w:p>
        </w:tc>
        <w:tc>
          <w:tcPr>
            <w:tcW w:w="868" w:type="dxa"/>
            <w:vAlign w:val="center"/>
          </w:tcPr>
          <w:p w14:paraId="2C66312F" w14:textId="77777777" w:rsidR="00AB6191" w:rsidRPr="008231CB" w:rsidRDefault="00AB6191" w:rsidP="00AB6191">
            <w:pPr>
              <w:spacing w:before="20" w:after="20"/>
              <w:jc w:val="right"/>
              <w:rPr>
                <w:b/>
                <w:noProof/>
                <w:sz w:val="20"/>
              </w:rPr>
            </w:pPr>
          </w:p>
        </w:tc>
        <w:tc>
          <w:tcPr>
            <w:tcW w:w="1777" w:type="dxa"/>
            <w:vAlign w:val="center"/>
          </w:tcPr>
          <w:p w14:paraId="6779A9D2" w14:textId="77777777" w:rsidR="00AB6191" w:rsidRPr="008231CB" w:rsidRDefault="00AB6191" w:rsidP="00AB6191">
            <w:pPr>
              <w:spacing w:before="20" w:after="20"/>
              <w:jc w:val="right"/>
              <w:rPr>
                <w:b/>
                <w:noProof/>
                <w:sz w:val="20"/>
              </w:rPr>
            </w:pPr>
          </w:p>
        </w:tc>
      </w:tr>
      <w:tr w:rsidR="00AB6191" w:rsidRPr="008231CB" w14:paraId="1CBA36B7" w14:textId="77777777" w:rsidTr="00AB6191">
        <w:tc>
          <w:tcPr>
            <w:tcW w:w="3960" w:type="dxa"/>
            <w:vMerge/>
          </w:tcPr>
          <w:p w14:paraId="369C5369" w14:textId="77777777" w:rsidR="00AB6191" w:rsidRPr="008231CB" w:rsidRDefault="00AB6191" w:rsidP="00AB6191">
            <w:pPr>
              <w:rPr>
                <w:noProof/>
                <w:sz w:val="20"/>
              </w:rPr>
            </w:pPr>
          </w:p>
        </w:tc>
        <w:tc>
          <w:tcPr>
            <w:tcW w:w="1440" w:type="dxa"/>
            <w:vAlign w:val="center"/>
          </w:tcPr>
          <w:p w14:paraId="2638AF46" w14:textId="77777777" w:rsidR="00AB6191" w:rsidRPr="008231CB" w:rsidRDefault="00AB6191" w:rsidP="00AB6191">
            <w:pPr>
              <w:rPr>
                <w:noProof/>
                <w:sz w:val="18"/>
              </w:rPr>
            </w:pPr>
            <w:r w:rsidRPr="008231CB">
              <w:rPr>
                <w:noProof/>
                <w:sz w:val="18"/>
              </w:rPr>
              <w:t>Payments</w:t>
            </w:r>
          </w:p>
        </w:tc>
        <w:tc>
          <w:tcPr>
            <w:tcW w:w="654" w:type="dxa"/>
            <w:gridSpan w:val="2"/>
            <w:vAlign w:val="center"/>
          </w:tcPr>
          <w:p w14:paraId="67A8D8E2" w14:textId="77777777" w:rsidR="00AB6191" w:rsidRPr="008231CB" w:rsidRDefault="00AB6191" w:rsidP="00AB6191">
            <w:pPr>
              <w:jc w:val="center"/>
              <w:rPr>
                <w:noProof/>
                <w:sz w:val="14"/>
              </w:rPr>
            </w:pPr>
            <w:r w:rsidRPr="008231CB">
              <w:rPr>
                <w:noProof/>
                <w:sz w:val="14"/>
              </w:rPr>
              <w:t>=2a+2b</w:t>
            </w:r>
          </w:p>
          <w:p w14:paraId="539548BE" w14:textId="77777777" w:rsidR="00AB6191" w:rsidRPr="008231CB" w:rsidRDefault="00AB6191" w:rsidP="00AB6191">
            <w:pPr>
              <w:jc w:val="center"/>
              <w:rPr>
                <w:noProof/>
                <w:sz w:val="14"/>
              </w:rPr>
            </w:pPr>
            <w:r w:rsidRPr="008231CB">
              <w:rPr>
                <w:noProof/>
                <w:sz w:val="14"/>
              </w:rPr>
              <w:t>+3</w:t>
            </w:r>
          </w:p>
        </w:tc>
        <w:tc>
          <w:tcPr>
            <w:tcW w:w="868" w:type="dxa"/>
            <w:vAlign w:val="center"/>
          </w:tcPr>
          <w:p w14:paraId="2114776B" w14:textId="77777777" w:rsidR="00AB6191" w:rsidRPr="008231CB" w:rsidRDefault="00AB6191" w:rsidP="00AB6191">
            <w:pPr>
              <w:spacing w:before="20" w:after="20"/>
              <w:jc w:val="right"/>
              <w:rPr>
                <w:noProof/>
                <w:sz w:val="20"/>
              </w:rPr>
            </w:pPr>
          </w:p>
        </w:tc>
        <w:tc>
          <w:tcPr>
            <w:tcW w:w="868" w:type="dxa"/>
            <w:vAlign w:val="center"/>
          </w:tcPr>
          <w:p w14:paraId="293607E8" w14:textId="77777777" w:rsidR="00AB6191" w:rsidRPr="008231CB" w:rsidRDefault="00AB6191" w:rsidP="00AB6191">
            <w:pPr>
              <w:spacing w:before="20" w:after="20"/>
              <w:jc w:val="right"/>
              <w:rPr>
                <w:noProof/>
                <w:sz w:val="20"/>
              </w:rPr>
            </w:pPr>
          </w:p>
        </w:tc>
        <w:tc>
          <w:tcPr>
            <w:tcW w:w="868" w:type="dxa"/>
            <w:vAlign w:val="center"/>
          </w:tcPr>
          <w:p w14:paraId="18DA266D" w14:textId="77777777" w:rsidR="00AB6191" w:rsidRPr="008231CB" w:rsidRDefault="00AB6191" w:rsidP="00AB6191">
            <w:pPr>
              <w:spacing w:before="20" w:after="20"/>
              <w:jc w:val="right"/>
              <w:rPr>
                <w:noProof/>
                <w:sz w:val="20"/>
              </w:rPr>
            </w:pPr>
          </w:p>
        </w:tc>
        <w:tc>
          <w:tcPr>
            <w:tcW w:w="868" w:type="dxa"/>
            <w:vAlign w:val="center"/>
          </w:tcPr>
          <w:p w14:paraId="0400E098" w14:textId="77777777" w:rsidR="00AB6191" w:rsidRPr="008231CB" w:rsidRDefault="00AB6191" w:rsidP="00AB6191">
            <w:pPr>
              <w:spacing w:before="20" w:after="20"/>
              <w:jc w:val="right"/>
              <w:rPr>
                <w:noProof/>
                <w:sz w:val="20"/>
              </w:rPr>
            </w:pPr>
          </w:p>
        </w:tc>
        <w:tc>
          <w:tcPr>
            <w:tcW w:w="868" w:type="dxa"/>
            <w:vAlign w:val="center"/>
          </w:tcPr>
          <w:p w14:paraId="30B4D527" w14:textId="77777777" w:rsidR="00AB6191" w:rsidRPr="008231CB" w:rsidRDefault="00AB6191" w:rsidP="00AB6191">
            <w:pPr>
              <w:spacing w:before="20" w:after="20"/>
              <w:jc w:val="right"/>
              <w:rPr>
                <w:noProof/>
                <w:sz w:val="20"/>
              </w:rPr>
            </w:pPr>
          </w:p>
        </w:tc>
        <w:tc>
          <w:tcPr>
            <w:tcW w:w="868" w:type="dxa"/>
            <w:vAlign w:val="center"/>
          </w:tcPr>
          <w:p w14:paraId="2461F9E8" w14:textId="77777777" w:rsidR="00AB6191" w:rsidRPr="008231CB" w:rsidRDefault="00AB6191" w:rsidP="00AB6191">
            <w:pPr>
              <w:spacing w:before="20" w:after="20"/>
              <w:jc w:val="right"/>
              <w:rPr>
                <w:noProof/>
                <w:sz w:val="20"/>
              </w:rPr>
            </w:pPr>
          </w:p>
        </w:tc>
        <w:tc>
          <w:tcPr>
            <w:tcW w:w="868" w:type="dxa"/>
            <w:vAlign w:val="center"/>
          </w:tcPr>
          <w:p w14:paraId="5DBD10B9" w14:textId="77777777" w:rsidR="00AB6191" w:rsidRPr="008231CB" w:rsidRDefault="00AB6191" w:rsidP="00AB6191">
            <w:pPr>
              <w:spacing w:before="20" w:after="20"/>
              <w:jc w:val="right"/>
              <w:rPr>
                <w:b/>
                <w:noProof/>
                <w:sz w:val="20"/>
              </w:rPr>
            </w:pPr>
          </w:p>
        </w:tc>
        <w:tc>
          <w:tcPr>
            <w:tcW w:w="1777" w:type="dxa"/>
            <w:vAlign w:val="center"/>
          </w:tcPr>
          <w:p w14:paraId="39376213" w14:textId="77777777" w:rsidR="00AB6191" w:rsidRPr="008231CB" w:rsidRDefault="00AB6191" w:rsidP="00AB6191">
            <w:pPr>
              <w:spacing w:before="20" w:after="20"/>
              <w:jc w:val="right"/>
              <w:rPr>
                <w:b/>
                <w:noProof/>
                <w:sz w:val="20"/>
              </w:rPr>
            </w:pPr>
          </w:p>
        </w:tc>
      </w:tr>
    </w:tbl>
    <w:p w14:paraId="2ED1CCB8" w14:textId="77777777" w:rsidR="00AB6191" w:rsidRPr="008231CB" w:rsidRDefault="00AB6191" w:rsidP="00AB6191">
      <w:pPr>
        <w:rPr>
          <w:noProof/>
        </w:rPr>
      </w:pPr>
      <w:r w:rsidRPr="008231CB">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B6191" w:rsidRPr="008231CB" w14:paraId="6890BFD8" w14:textId="77777777" w:rsidTr="00AB6191">
        <w:trPr>
          <w:trHeight w:val="277"/>
        </w:trPr>
        <w:tc>
          <w:tcPr>
            <w:tcW w:w="3960" w:type="dxa"/>
            <w:vMerge w:val="restart"/>
            <w:vAlign w:val="center"/>
          </w:tcPr>
          <w:p w14:paraId="41A77833" w14:textId="77777777" w:rsidR="00AB6191" w:rsidRPr="008231CB" w:rsidRDefault="00AB6191" w:rsidP="00AB6191">
            <w:pPr>
              <w:spacing w:before="20" w:after="20"/>
              <w:rPr>
                <w:noProof/>
              </w:rPr>
            </w:pPr>
            <w:r w:rsidRPr="008231CB">
              <w:rPr>
                <w:noProof/>
                <w:sz w:val="22"/>
              </w:rPr>
              <w:br w:type="page"/>
            </w:r>
            <w:r w:rsidRPr="008231CB">
              <w:rPr>
                <w:rFonts w:ascii="Wingdings" w:eastAsia="Wingdings" w:hAnsi="Wingdings" w:cs="Wingdings"/>
                <w:noProof/>
                <w:sz w:val="21"/>
              </w:rPr>
              <w:t>□</w:t>
            </w:r>
            <w:r w:rsidRPr="008231CB">
              <w:rPr>
                <w:noProof/>
                <w:sz w:val="21"/>
              </w:rPr>
              <w:t xml:space="preserve"> TOTAL operational appropriations </w:t>
            </w:r>
          </w:p>
        </w:tc>
        <w:tc>
          <w:tcPr>
            <w:tcW w:w="1440" w:type="dxa"/>
            <w:vAlign w:val="center"/>
          </w:tcPr>
          <w:p w14:paraId="50BB0FB2" w14:textId="77777777" w:rsidR="00AB6191" w:rsidRPr="008231CB" w:rsidRDefault="00AB6191" w:rsidP="00AB6191">
            <w:pPr>
              <w:spacing w:beforeLines="20" w:before="48" w:afterLines="20" w:after="48"/>
              <w:rPr>
                <w:noProof/>
                <w:sz w:val="18"/>
              </w:rPr>
            </w:pPr>
            <w:r w:rsidRPr="008231CB">
              <w:rPr>
                <w:noProof/>
                <w:sz w:val="18"/>
              </w:rPr>
              <w:t>Commitments</w:t>
            </w:r>
          </w:p>
        </w:tc>
        <w:tc>
          <w:tcPr>
            <w:tcW w:w="654" w:type="dxa"/>
            <w:vAlign w:val="center"/>
          </w:tcPr>
          <w:p w14:paraId="33561155" w14:textId="77777777" w:rsidR="00AB6191" w:rsidRPr="008231CB" w:rsidRDefault="00AB6191" w:rsidP="00AB6191">
            <w:pPr>
              <w:spacing w:beforeLines="20" w:before="48" w:afterLines="20" w:after="48"/>
              <w:jc w:val="center"/>
              <w:rPr>
                <w:noProof/>
                <w:sz w:val="14"/>
              </w:rPr>
            </w:pPr>
            <w:r w:rsidRPr="008231CB">
              <w:rPr>
                <w:noProof/>
                <w:sz w:val="14"/>
              </w:rPr>
              <w:t>(4)</w:t>
            </w:r>
          </w:p>
        </w:tc>
        <w:tc>
          <w:tcPr>
            <w:tcW w:w="868" w:type="dxa"/>
            <w:vAlign w:val="center"/>
          </w:tcPr>
          <w:p w14:paraId="07E3B26A"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45403964"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4BE68399"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65536F5A" w14:textId="77777777" w:rsidR="00AB6191" w:rsidRPr="008231CB" w:rsidRDefault="00AB6191" w:rsidP="00AB6191">
            <w:pPr>
              <w:spacing w:before="20" w:after="20"/>
              <w:jc w:val="right"/>
              <w:rPr>
                <w:noProof/>
                <w:sz w:val="20"/>
              </w:rPr>
            </w:pPr>
          </w:p>
        </w:tc>
        <w:tc>
          <w:tcPr>
            <w:tcW w:w="868" w:type="dxa"/>
            <w:vAlign w:val="center"/>
          </w:tcPr>
          <w:p w14:paraId="4CE3C9AE" w14:textId="77777777" w:rsidR="00AB6191" w:rsidRPr="008231CB" w:rsidRDefault="00AB6191" w:rsidP="00AB6191">
            <w:pPr>
              <w:spacing w:before="20" w:after="20"/>
              <w:jc w:val="right"/>
              <w:rPr>
                <w:noProof/>
                <w:sz w:val="20"/>
              </w:rPr>
            </w:pPr>
          </w:p>
        </w:tc>
        <w:tc>
          <w:tcPr>
            <w:tcW w:w="868" w:type="dxa"/>
            <w:vAlign w:val="center"/>
          </w:tcPr>
          <w:p w14:paraId="59BCE6F6" w14:textId="77777777" w:rsidR="00AB6191" w:rsidRPr="008231CB" w:rsidRDefault="00AB6191" w:rsidP="00AB6191">
            <w:pPr>
              <w:spacing w:before="20" w:after="20"/>
              <w:jc w:val="right"/>
              <w:rPr>
                <w:noProof/>
                <w:sz w:val="20"/>
              </w:rPr>
            </w:pPr>
          </w:p>
        </w:tc>
        <w:tc>
          <w:tcPr>
            <w:tcW w:w="868" w:type="dxa"/>
            <w:vAlign w:val="center"/>
          </w:tcPr>
          <w:p w14:paraId="3EF54189" w14:textId="77777777" w:rsidR="00AB6191" w:rsidRPr="008231CB" w:rsidRDefault="00AB6191" w:rsidP="00AB6191">
            <w:pPr>
              <w:spacing w:before="20" w:after="20"/>
              <w:jc w:val="right"/>
              <w:rPr>
                <w:b/>
                <w:noProof/>
                <w:sz w:val="20"/>
              </w:rPr>
            </w:pPr>
          </w:p>
        </w:tc>
        <w:tc>
          <w:tcPr>
            <w:tcW w:w="1777" w:type="dxa"/>
            <w:vAlign w:val="center"/>
          </w:tcPr>
          <w:p w14:paraId="61DFFA43" w14:textId="77777777" w:rsidR="00AB6191" w:rsidRPr="008231CB" w:rsidRDefault="00AB6191" w:rsidP="00AB6191">
            <w:pPr>
              <w:spacing w:before="20" w:after="20"/>
              <w:jc w:val="right"/>
              <w:rPr>
                <w:b/>
                <w:noProof/>
                <w:sz w:val="20"/>
              </w:rPr>
            </w:pPr>
            <w:r>
              <w:rPr>
                <w:b/>
                <w:noProof/>
                <w:sz w:val="20"/>
              </w:rPr>
              <w:t>6.000</w:t>
            </w:r>
          </w:p>
        </w:tc>
      </w:tr>
      <w:tr w:rsidR="00AB6191" w:rsidRPr="008231CB" w14:paraId="545FB601" w14:textId="77777777" w:rsidTr="00AB6191">
        <w:tc>
          <w:tcPr>
            <w:tcW w:w="3960" w:type="dxa"/>
            <w:vMerge/>
          </w:tcPr>
          <w:p w14:paraId="141CA3B4" w14:textId="77777777" w:rsidR="00AB6191" w:rsidRPr="008231CB" w:rsidRDefault="00AB6191" w:rsidP="00AB6191">
            <w:pPr>
              <w:jc w:val="center"/>
              <w:rPr>
                <w:noProof/>
                <w:sz w:val="20"/>
              </w:rPr>
            </w:pPr>
          </w:p>
        </w:tc>
        <w:tc>
          <w:tcPr>
            <w:tcW w:w="1440" w:type="dxa"/>
            <w:vAlign w:val="center"/>
          </w:tcPr>
          <w:p w14:paraId="29C0E8E3" w14:textId="77777777" w:rsidR="00AB6191" w:rsidRPr="008231CB" w:rsidRDefault="00AB6191" w:rsidP="00AB6191">
            <w:pPr>
              <w:spacing w:beforeLines="20" w:before="48" w:afterLines="20" w:after="48"/>
              <w:rPr>
                <w:noProof/>
                <w:sz w:val="18"/>
              </w:rPr>
            </w:pPr>
            <w:r w:rsidRPr="008231CB">
              <w:rPr>
                <w:noProof/>
                <w:sz w:val="18"/>
              </w:rPr>
              <w:t>Payments</w:t>
            </w:r>
          </w:p>
        </w:tc>
        <w:tc>
          <w:tcPr>
            <w:tcW w:w="654" w:type="dxa"/>
            <w:vAlign w:val="center"/>
          </w:tcPr>
          <w:p w14:paraId="68B324A7" w14:textId="77777777" w:rsidR="00AB6191" w:rsidRPr="008231CB" w:rsidRDefault="00AB6191" w:rsidP="00AB6191">
            <w:pPr>
              <w:spacing w:beforeLines="20" w:before="48" w:afterLines="20" w:after="48"/>
              <w:jc w:val="center"/>
              <w:rPr>
                <w:noProof/>
                <w:sz w:val="14"/>
              </w:rPr>
            </w:pPr>
            <w:r w:rsidRPr="008231CB">
              <w:rPr>
                <w:noProof/>
                <w:sz w:val="14"/>
              </w:rPr>
              <w:t>(5)</w:t>
            </w:r>
          </w:p>
        </w:tc>
        <w:tc>
          <w:tcPr>
            <w:tcW w:w="868" w:type="dxa"/>
            <w:vAlign w:val="center"/>
          </w:tcPr>
          <w:p w14:paraId="3B9212DB"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6DEA1C85"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495506AA"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5DED7468" w14:textId="77777777" w:rsidR="00AB6191" w:rsidRPr="008231CB" w:rsidRDefault="00AB6191" w:rsidP="00AB6191">
            <w:pPr>
              <w:spacing w:before="20" w:after="20"/>
              <w:jc w:val="right"/>
              <w:rPr>
                <w:noProof/>
                <w:sz w:val="20"/>
              </w:rPr>
            </w:pPr>
          </w:p>
        </w:tc>
        <w:tc>
          <w:tcPr>
            <w:tcW w:w="868" w:type="dxa"/>
            <w:vAlign w:val="center"/>
          </w:tcPr>
          <w:p w14:paraId="7997B303" w14:textId="77777777" w:rsidR="00AB6191" w:rsidRPr="008231CB" w:rsidRDefault="00AB6191" w:rsidP="00AB6191">
            <w:pPr>
              <w:spacing w:before="20" w:after="20"/>
              <w:jc w:val="right"/>
              <w:rPr>
                <w:noProof/>
                <w:sz w:val="20"/>
              </w:rPr>
            </w:pPr>
          </w:p>
        </w:tc>
        <w:tc>
          <w:tcPr>
            <w:tcW w:w="868" w:type="dxa"/>
            <w:vAlign w:val="center"/>
          </w:tcPr>
          <w:p w14:paraId="4BBB763F" w14:textId="77777777" w:rsidR="00AB6191" w:rsidRPr="008231CB" w:rsidRDefault="00AB6191" w:rsidP="00AB6191">
            <w:pPr>
              <w:spacing w:before="20" w:after="20"/>
              <w:jc w:val="right"/>
              <w:rPr>
                <w:noProof/>
                <w:sz w:val="20"/>
              </w:rPr>
            </w:pPr>
          </w:p>
        </w:tc>
        <w:tc>
          <w:tcPr>
            <w:tcW w:w="868" w:type="dxa"/>
            <w:vAlign w:val="center"/>
          </w:tcPr>
          <w:p w14:paraId="71B427F9" w14:textId="77777777" w:rsidR="00AB6191" w:rsidRPr="008231CB" w:rsidRDefault="00AB6191" w:rsidP="00AB6191">
            <w:pPr>
              <w:spacing w:before="20" w:after="20"/>
              <w:jc w:val="right"/>
              <w:rPr>
                <w:b/>
                <w:noProof/>
                <w:sz w:val="20"/>
              </w:rPr>
            </w:pPr>
          </w:p>
        </w:tc>
        <w:tc>
          <w:tcPr>
            <w:tcW w:w="1777" w:type="dxa"/>
            <w:vAlign w:val="center"/>
          </w:tcPr>
          <w:p w14:paraId="276E7A8A" w14:textId="77777777" w:rsidR="00AB6191" w:rsidRPr="008231CB" w:rsidRDefault="00AB6191" w:rsidP="00AB6191">
            <w:pPr>
              <w:spacing w:before="20" w:after="20"/>
              <w:jc w:val="right"/>
              <w:rPr>
                <w:b/>
                <w:noProof/>
                <w:sz w:val="20"/>
              </w:rPr>
            </w:pPr>
            <w:r>
              <w:rPr>
                <w:b/>
                <w:noProof/>
                <w:sz w:val="20"/>
              </w:rPr>
              <w:t>6.000</w:t>
            </w:r>
          </w:p>
        </w:tc>
      </w:tr>
      <w:tr w:rsidR="00AB6191" w:rsidRPr="008231CB" w14:paraId="1DEB27CD" w14:textId="77777777" w:rsidTr="00AB6191">
        <w:trPr>
          <w:trHeight w:val="533"/>
        </w:trPr>
        <w:tc>
          <w:tcPr>
            <w:tcW w:w="5400" w:type="dxa"/>
            <w:gridSpan w:val="2"/>
            <w:vAlign w:val="center"/>
          </w:tcPr>
          <w:p w14:paraId="76D63534" w14:textId="77777777" w:rsidR="00AB6191" w:rsidRPr="008231CB" w:rsidRDefault="00AB6191" w:rsidP="00AB6191">
            <w:pPr>
              <w:spacing w:beforeLines="20" w:before="48" w:afterLines="20" w:after="48"/>
              <w:rPr>
                <w:noProof/>
              </w:rPr>
            </w:pPr>
            <w:r w:rsidRPr="008231CB">
              <w:rPr>
                <w:rFonts w:ascii="Wingdings" w:eastAsia="Wingdings" w:hAnsi="Wingdings" w:cs="Wingdings"/>
                <w:noProof/>
                <w:sz w:val="21"/>
              </w:rPr>
              <w:t>□</w:t>
            </w:r>
            <w:r w:rsidRPr="008231CB">
              <w:rPr>
                <w:noProof/>
                <w:sz w:val="21"/>
              </w:rPr>
              <w:t xml:space="preserve"> TOTAL appropriations of an administrative nature financed from the envelope for specific programmes </w:t>
            </w:r>
          </w:p>
        </w:tc>
        <w:tc>
          <w:tcPr>
            <w:tcW w:w="654" w:type="dxa"/>
            <w:vAlign w:val="center"/>
          </w:tcPr>
          <w:p w14:paraId="12C3FADD" w14:textId="77777777" w:rsidR="00AB6191" w:rsidRPr="008231CB" w:rsidRDefault="00AB6191" w:rsidP="00AB6191">
            <w:pPr>
              <w:spacing w:beforeLines="20" w:before="48" w:afterLines="20" w:after="48"/>
              <w:jc w:val="center"/>
              <w:rPr>
                <w:noProof/>
                <w:sz w:val="14"/>
              </w:rPr>
            </w:pPr>
            <w:r w:rsidRPr="008231CB">
              <w:rPr>
                <w:noProof/>
                <w:sz w:val="14"/>
              </w:rPr>
              <w:t>(6)</w:t>
            </w:r>
          </w:p>
        </w:tc>
        <w:tc>
          <w:tcPr>
            <w:tcW w:w="868" w:type="dxa"/>
            <w:vAlign w:val="center"/>
          </w:tcPr>
          <w:p w14:paraId="037BA437" w14:textId="77777777" w:rsidR="00AB6191" w:rsidRPr="008231CB" w:rsidRDefault="00AB6191" w:rsidP="00AB6191">
            <w:pPr>
              <w:spacing w:before="20" w:after="20"/>
              <w:jc w:val="right"/>
              <w:rPr>
                <w:b/>
                <w:noProof/>
                <w:sz w:val="20"/>
              </w:rPr>
            </w:pPr>
          </w:p>
        </w:tc>
        <w:tc>
          <w:tcPr>
            <w:tcW w:w="868" w:type="dxa"/>
            <w:vAlign w:val="center"/>
          </w:tcPr>
          <w:p w14:paraId="395780BD" w14:textId="77777777" w:rsidR="00AB6191" w:rsidRPr="008231CB" w:rsidRDefault="00AB6191" w:rsidP="00AB6191">
            <w:pPr>
              <w:spacing w:before="20" w:after="20"/>
              <w:jc w:val="right"/>
              <w:rPr>
                <w:b/>
                <w:noProof/>
                <w:sz w:val="20"/>
              </w:rPr>
            </w:pPr>
          </w:p>
        </w:tc>
        <w:tc>
          <w:tcPr>
            <w:tcW w:w="868" w:type="dxa"/>
            <w:vAlign w:val="center"/>
          </w:tcPr>
          <w:p w14:paraId="6CF29352" w14:textId="77777777" w:rsidR="00AB6191" w:rsidRPr="008231CB" w:rsidRDefault="00AB6191" w:rsidP="00AB6191">
            <w:pPr>
              <w:spacing w:before="20" w:after="20"/>
              <w:jc w:val="right"/>
              <w:rPr>
                <w:b/>
                <w:noProof/>
                <w:sz w:val="20"/>
              </w:rPr>
            </w:pPr>
          </w:p>
        </w:tc>
        <w:tc>
          <w:tcPr>
            <w:tcW w:w="868" w:type="dxa"/>
            <w:vAlign w:val="center"/>
          </w:tcPr>
          <w:p w14:paraId="310AA7A0" w14:textId="77777777" w:rsidR="00AB6191" w:rsidRPr="008231CB" w:rsidRDefault="00AB6191" w:rsidP="00AB6191">
            <w:pPr>
              <w:spacing w:before="20" w:after="20"/>
              <w:jc w:val="right"/>
              <w:rPr>
                <w:b/>
                <w:noProof/>
                <w:sz w:val="20"/>
              </w:rPr>
            </w:pPr>
          </w:p>
        </w:tc>
        <w:tc>
          <w:tcPr>
            <w:tcW w:w="868" w:type="dxa"/>
            <w:vAlign w:val="center"/>
          </w:tcPr>
          <w:p w14:paraId="00CD8244" w14:textId="77777777" w:rsidR="00AB6191" w:rsidRPr="008231CB" w:rsidRDefault="00AB6191" w:rsidP="00AB6191">
            <w:pPr>
              <w:spacing w:before="20" w:after="20"/>
              <w:jc w:val="right"/>
              <w:rPr>
                <w:b/>
                <w:noProof/>
                <w:sz w:val="20"/>
              </w:rPr>
            </w:pPr>
          </w:p>
        </w:tc>
        <w:tc>
          <w:tcPr>
            <w:tcW w:w="868" w:type="dxa"/>
            <w:vAlign w:val="center"/>
          </w:tcPr>
          <w:p w14:paraId="670B15B6" w14:textId="77777777" w:rsidR="00AB6191" w:rsidRPr="008231CB" w:rsidRDefault="00AB6191" w:rsidP="00AB6191">
            <w:pPr>
              <w:spacing w:before="20" w:after="20"/>
              <w:jc w:val="right"/>
              <w:rPr>
                <w:b/>
                <w:noProof/>
                <w:sz w:val="20"/>
              </w:rPr>
            </w:pPr>
          </w:p>
        </w:tc>
        <w:tc>
          <w:tcPr>
            <w:tcW w:w="868" w:type="dxa"/>
            <w:vAlign w:val="center"/>
          </w:tcPr>
          <w:p w14:paraId="2F4CCB00" w14:textId="77777777" w:rsidR="00AB6191" w:rsidRPr="008231CB" w:rsidRDefault="00AB6191" w:rsidP="00AB6191">
            <w:pPr>
              <w:spacing w:before="20" w:after="20"/>
              <w:jc w:val="right"/>
              <w:rPr>
                <w:b/>
                <w:noProof/>
                <w:sz w:val="20"/>
              </w:rPr>
            </w:pPr>
          </w:p>
        </w:tc>
        <w:tc>
          <w:tcPr>
            <w:tcW w:w="1777" w:type="dxa"/>
            <w:vAlign w:val="center"/>
          </w:tcPr>
          <w:p w14:paraId="301482D0" w14:textId="77777777" w:rsidR="00AB6191" w:rsidRPr="008231CB" w:rsidRDefault="00AB6191" w:rsidP="00AB6191">
            <w:pPr>
              <w:spacing w:before="20" w:after="20"/>
              <w:jc w:val="right"/>
              <w:rPr>
                <w:b/>
                <w:noProof/>
                <w:sz w:val="20"/>
              </w:rPr>
            </w:pPr>
          </w:p>
        </w:tc>
      </w:tr>
      <w:tr w:rsidR="00AB6191" w:rsidRPr="008231CB" w14:paraId="7EFBC400" w14:textId="77777777" w:rsidTr="00AB6191">
        <w:tc>
          <w:tcPr>
            <w:tcW w:w="3960" w:type="dxa"/>
            <w:vMerge w:val="restart"/>
            <w:shd w:val="thinDiagStripe" w:color="C0C0C0" w:fill="auto"/>
            <w:vAlign w:val="center"/>
          </w:tcPr>
          <w:p w14:paraId="6162ACD3" w14:textId="77777777" w:rsidR="00AB6191" w:rsidRPr="008231CB" w:rsidRDefault="00AB6191" w:rsidP="00AB6191">
            <w:pPr>
              <w:jc w:val="center"/>
              <w:rPr>
                <w:b/>
                <w:noProof/>
              </w:rPr>
            </w:pPr>
            <w:r w:rsidRPr="008231CB">
              <w:rPr>
                <w:b/>
                <w:noProof/>
                <w:sz w:val="22"/>
              </w:rPr>
              <w:t xml:space="preserve">TOTAL appropriations </w:t>
            </w:r>
            <w:r w:rsidRPr="008231CB">
              <w:rPr>
                <w:noProof/>
                <w:sz w:val="22"/>
              </w:rPr>
              <w:br/>
            </w:r>
            <w:r w:rsidRPr="008231CB">
              <w:rPr>
                <w:b/>
                <w:noProof/>
                <w:sz w:val="22"/>
              </w:rPr>
              <w:t xml:space="preserve">under HEADING </w:t>
            </w:r>
            <w:r w:rsidRPr="005A2DDA">
              <w:rPr>
                <w:b/>
                <w:noProof/>
                <w:sz w:val="22"/>
              </w:rPr>
              <w:t>1 : Single Market, Innovation &amp; Digital</w:t>
            </w:r>
            <w:r w:rsidRPr="008231CB">
              <w:rPr>
                <w:noProof/>
                <w:sz w:val="22"/>
              </w:rPr>
              <w:br/>
              <w:t>of the multiannual financial framework</w:t>
            </w:r>
          </w:p>
        </w:tc>
        <w:tc>
          <w:tcPr>
            <w:tcW w:w="1440" w:type="dxa"/>
            <w:vAlign w:val="center"/>
          </w:tcPr>
          <w:p w14:paraId="218D1430" w14:textId="77777777" w:rsidR="00AB6191" w:rsidRPr="008231CB" w:rsidRDefault="00AB6191" w:rsidP="00AB6191">
            <w:pPr>
              <w:rPr>
                <w:noProof/>
                <w:sz w:val="18"/>
              </w:rPr>
            </w:pPr>
            <w:r w:rsidRPr="008231CB">
              <w:rPr>
                <w:noProof/>
                <w:sz w:val="18"/>
              </w:rPr>
              <w:t>Commitments</w:t>
            </w:r>
          </w:p>
        </w:tc>
        <w:tc>
          <w:tcPr>
            <w:tcW w:w="654" w:type="dxa"/>
            <w:vAlign w:val="center"/>
          </w:tcPr>
          <w:p w14:paraId="3C4C40BE" w14:textId="77777777" w:rsidR="00AB6191" w:rsidRPr="008231CB" w:rsidRDefault="00AB6191" w:rsidP="00AB6191">
            <w:pPr>
              <w:jc w:val="center"/>
              <w:rPr>
                <w:noProof/>
                <w:sz w:val="14"/>
              </w:rPr>
            </w:pPr>
            <w:r w:rsidRPr="008231CB">
              <w:rPr>
                <w:noProof/>
                <w:sz w:val="14"/>
              </w:rPr>
              <w:t>=4+ 6</w:t>
            </w:r>
          </w:p>
        </w:tc>
        <w:tc>
          <w:tcPr>
            <w:tcW w:w="868" w:type="dxa"/>
            <w:vAlign w:val="center"/>
          </w:tcPr>
          <w:p w14:paraId="545C818E"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7BE2F7D4"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4D4A78A6"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3D03633A" w14:textId="77777777" w:rsidR="00AB6191" w:rsidRPr="008231CB" w:rsidRDefault="00AB6191" w:rsidP="00AB6191">
            <w:pPr>
              <w:spacing w:before="20" w:after="20"/>
              <w:jc w:val="right"/>
              <w:rPr>
                <w:noProof/>
                <w:sz w:val="20"/>
              </w:rPr>
            </w:pPr>
          </w:p>
        </w:tc>
        <w:tc>
          <w:tcPr>
            <w:tcW w:w="868" w:type="dxa"/>
            <w:vAlign w:val="center"/>
          </w:tcPr>
          <w:p w14:paraId="460289A0" w14:textId="77777777" w:rsidR="00AB6191" w:rsidRPr="008231CB" w:rsidRDefault="00AB6191" w:rsidP="00AB6191">
            <w:pPr>
              <w:spacing w:before="20" w:after="20"/>
              <w:jc w:val="right"/>
              <w:rPr>
                <w:noProof/>
                <w:sz w:val="20"/>
              </w:rPr>
            </w:pPr>
          </w:p>
        </w:tc>
        <w:tc>
          <w:tcPr>
            <w:tcW w:w="868" w:type="dxa"/>
            <w:vAlign w:val="center"/>
          </w:tcPr>
          <w:p w14:paraId="6A66ABFE" w14:textId="77777777" w:rsidR="00AB6191" w:rsidRPr="008231CB" w:rsidRDefault="00AB6191" w:rsidP="00AB6191">
            <w:pPr>
              <w:spacing w:before="20" w:after="20"/>
              <w:jc w:val="right"/>
              <w:rPr>
                <w:noProof/>
                <w:sz w:val="20"/>
              </w:rPr>
            </w:pPr>
          </w:p>
        </w:tc>
        <w:tc>
          <w:tcPr>
            <w:tcW w:w="868" w:type="dxa"/>
            <w:vAlign w:val="center"/>
          </w:tcPr>
          <w:p w14:paraId="7FE12C8D" w14:textId="77777777" w:rsidR="00AB6191" w:rsidRPr="008231CB" w:rsidRDefault="00AB6191" w:rsidP="00AB6191">
            <w:pPr>
              <w:spacing w:before="20" w:after="20"/>
              <w:jc w:val="right"/>
              <w:rPr>
                <w:b/>
                <w:noProof/>
                <w:sz w:val="20"/>
              </w:rPr>
            </w:pPr>
          </w:p>
        </w:tc>
        <w:tc>
          <w:tcPr>
            <w:tcW w:w="1777" w:type="dxa"/>
            <w:vAlign w:val="center"/>
          </w:tcPr>
          <w:p w14:paraId="7C771208" w14:textId="77777777" w:rsidR="00AB6191" w:rsidRPr="008231CB" w:rsidRDefault="00AB6191" w:rsidP="00AB6191">
            <w:pPr>
              <w:spacing w:before="20" w:after="20"/>
              <w:jc w:val="right"/>
              <w:rPr>
                <w:b/>
                <w:noProof/>
                <w:sz w:val="20"/>
              </w:rPr>
            </w:pPr>
            <w:r>
              <w:rPr>
                <w:b/>
                <w:noProof/>
                <w:sz w:val="20"/>
              </w:rPr>
              <w:t>6.000</w:t>
            </w:r>
          </w:p>
        </w:tc>
      </w:tr>
      <w:tr w:rsidR="00AB6191" w:rsidRPr="008231CB" w14:paraId="64B6458E" w14:textId="77777777" w:rsidTr="00AB6191">
        <w:tc>
          <w:tcPr>
            <w:tcW w:w="3960" w:type="dxa"/>
            <w:vMerge/>
            <w:shd w:val="thinDiagStripe" w:color="C0C0C0" w:fill="auto"/>
          </w:tcPr>
          <w:p w14:paraId="1B9B2106" w14:textId="77777777" w:rsidR="00AB6191" w:rsidRPr="008231CB" w:rsidRDefault="00AB6191" w:rsidP="00AB6191">
            <w:pPr>
              <w:rPr>
                <w:noProof/>
                <w:sz w:val="20"/>
              </w:rPr>
            </w:pPr>
          </w:p>
        </w:tc>
        <w:tc>
          <w:tcPr>
            <w:tcW w:w="1440" w:type="dxa"/>
            <w:vAlign w:val="center"/>
          </w:tcPr>
          <w:p w14:paraId="294EA1BF" w14:textId="77777777" w:rsidR="00AB6191" w:rsidRPr="008231CB" w:rsidRDefault="00AB6191" w:rsidP="00AB6191">
            <w:pPr>
              <w:rPr>
                <w:noProof/>
                <w:sz w:val="18"/>
              </w:rPr>
            </w:pPr>
            <w:r w:rsidRPr="008231CB">
              <w:rPr>
                <w:noProof/>
                <w:sz w:val="18"/>
              </w:rPr>
              <w:t>Payments</w:t>
            </w:r>
          </w:p>
        </w:tc>
        <w:tc>
          <w:tcPr>
            <w:tcW w:w="654" w:type="dxa"/>
            <w:vAlign w:val="center"/>
          </w:tcPr>
          <w:p w14:paraId="489FE990" w14:textId="77777777" w:rsidR="00AB6191" w:rsidRPr="008231CB" w:rsidRDefault="00AB6191" w:rsidP="00AB6191">
            <w:pPr>
              <w:jc w:val="center"/>
              <w:rPr>
                <w:noProof/>
                <w:sz w:val="14"/>
              </w:rPr>
            </w:pPr>
            <w:r w:rsidRPr="008231CB">
              <w:rPr>
                <w:noProof/>
                <w:sz w:val="14"/>
              </w:rPr>
              <w:t>=5+ 6</w:t>
            </w:r>
          </w:p>
        </w:tc>
        <w:tc>
          <w:tcPr>
            <w:tcW w:w="868" w:type="dxa"/>
            <w:vAlign w:val="center"/>
          </w:tcPr>
          <w:p w14:paraId="39D01699"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7EFFCAE3"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36176877"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3B0F7CC4" w14:textId="77777777" w:rsidR="00AB6191" w:rsidRPr="008231CB" w:rsidRDefault="00AB6191" w:rsidP="00AB6191">
            <w:pPr>
              <w:spacing w:before="20" w:after="20"/>
              <w:jc w:val="right"/>
              <w:rPr>
                <w:noProof/>
                <w:sz w:val="20"/>
              </w:rPr>
            </w:pPr>
          </w:p>
        </w:tc>
        <w:tc>
          <w:tcPr>
            <w:tcW w:w="868" w:type="dxa"/>
            <w:vAlign w:val="center"/>
          </w:tcPr>
          <w:p w14:paraId="5C323561" w14:textId="77777777" w:rsidR="00AB6191" w:rsidRPr="008231CB" w:rsidRDefault="00AB6191" w:rsidP="00AB6191">
            <w:pPr>
              <w:spacing w:before="20" w:after="20"/>
              <w:jc w:val="right"/>
              <w:rPr>
                <w:noProof/>
                <w:sz w:val="20"/>
              </w:rPr>
            </w:pPr>
          </w:p>
        </w:tc>
        <w:tc>
          <w:tcPr>
            <w:tcW w:w="868" w:type="dxa"/>
            <w:vAlign w:val="center"/>
          </w:tcPr>
          <w:p w14:paraId="0D36C3B3" w14:textId="77777777" w:rsidR="00AB6191" w:rsidRPr="008231CB" w:rsidRDefault="00AB6191" w:rsidP="00AB6191">
            <w:pPr>
              <w:spacing w:before="20" w:after="20"/>
              <w:jc w:val="right"/>
              <w:rPr>
                <w:noProof/>
                <w:sz w:val="20"/>
              </w:rPr>
            </w:pPr>
          </w:p>
        </w:tc>
        <w:tc>
          <w:tcPr>
            <w:tcW w:w="868" w:type="dxa"/>
            <w:vAlign w:val="center"/>
          </w:tcPr>
          <w:p w14:paraId="08FE6E5E" w14:textId="77777777" w:rsidR="00AB6191" w:rsidRPr="008231CB" w:rsidRDefault="00AB6191" w:rsidP="00AB6191">
            <w:pPr>
              <w:spacing w:before="20" w:after="20"/>
              <w:jc w:val="right"/>
              <w:rPr>
                <w:b/>
                <w:noProof/>
                <w:sz w:val="20"/>
              </w:rPr>
            </w:pPr>
          </w:p>
        </w:tc>
        <w:tc>
          <w:tcPr>
            <w:tcW w:w="1777" w:type="dxa"/>
            <w:vAlign w:val="center"/>
          </w:tcPr>
          <w:p w14:paraId="23DCB270" w14:textId="77777777" w:rsidR="00AB6191" w:rsidRPr="008231CB" w:rsidRDefault="00AB6191" w:rsidP="00AB6191">
            <w:pPr>
              <w:spacing w:before="20" w:after="20"/>
              <w:jc w:val="right"/>
              <w:rPr>
                <w:b/>
                <w:noProof/>
                <w:sz w:val="20"/>
              </w:rPr>
            </w:pPr>
            <w:r>
              <w:rPr>
                <w:b/>
                <w:noProof/>
                <w:sz w:val="20"/>
              </w:rPr>
              <w:t>6.000</w:t>
            </w:r>
          </w:p>
        </w:tc>
      </w:tr>
    </w:tbl>
    <w:p w14:paraId="3F9754BE" w14:textId="77777777" w:rsidR="00AB6191" w:rsidRPr="008231CB" w:rsidRDefault="00AB6191" w:rsidP="00AB6191">
      <w:pPr>
        <w:spacing w:after="40"/>
        <w:rPr>
          <w:b/>
          <w:noProof/>
          <w:sz w:val="22"/>
          <w:u w:val="single"/>
        </w:rPr>
      </w:pPr>
      <w:r w:rsidRPr="008231CB">
        <w:rPr>
          <w:b/>
          <w:noProof/>
          <w:sz w:val="22"/>
          <w:u w:val="single"/>
        </w:rPr>
        <w:t>If more than one operational heading is affected by the proposal / 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B6191" w:rsidRPr="008231CB" w14:paraId="3A68913F" w14:textId="77777777" w:rsidTr="00AB6191">
        <w:trPr>
          <w:trHeight w:val="277"/>
        </w:trPr>
        <w:tc>
          <w:tcPr>
            <w:tcW w:w="3960" w:type="dxa"/>
            <w:vMerge w:val="restart"/>
            <w:tcBorders>
              <w:top w:val="single" w:sz="4" w:space="0" w:color="auto"/>
              <w:left w:val="single" w:sz="4" w:space="0" w:color="auto"/>
              <w:bottom w:val="single" w:sz="4" w:space="0" w:color="FF0000"/>
            </w:tcBorders>
            <w:vAlign w:val="center"/>
          </w:tcPr>
          <w:p w14:paraId="2B9AD60A" w14:textId="77777777" w:rsidR="00AB6191" w:rsidRPr="008231CB" w:rsidRDefault="00AB6191" w:rsidP="00AB6191">
            <w:pPr>
              <w:spacing w:before="20" w:after="20"/>
              <w:rPr>
                <w:noProof/>
              </w:rPr>
            </w:pPr>
            <w:r w:rsidRPr="008231CB">
              <w:rPr>
                <w:rFonts w:ascii="Wingdings" w:eastAsia="Wingdings" w:hAnsi="Wingdings" w:cs="Wingdings"/>
                <w:noProof/>
                <w:sz w:val="21"/>
              </w:rPr>
              <w:t>□</w:t>
            </w:r>
            <w:r w:rsidRPr="008231CB">
              <w:rPr>
                <w:noProof/>
                <w:sz w:val="21"/>
              </w:rPr>
              <w:t xml:space="preserve"> TOTAL operational appropriations (all operational headings)</w:t>
            </w:r>
          </w:p>
        </w:tc>
        <w:tc>
          <w:tcPr>
            <w:tcW w:w="1440" w:type="dxa"/>
            <w:tcBorders>
              <w:top w:val="single" w:sz="4" w:space="0" w:color="auto"/>
            </w:tcBorders>
            <w:vAlign w:val="center"/>
          </w:tcPr>
          <w:p w14:paraId="6E120F61" w14:textId="77777777" w:rsidR="00AB6191" w:rsidRPr="008231CB" w:rsidRDefault="00AB6191" w:rsidP="00AB6191">
            <w:pPr>
              <w:spacing w:beforeLines="20" w:before="48" w:afterLines="20" w:after="48"/>
              <w:rPr>
                <w:noProof/>
                <w:sz w:val="18"/>
              </w:rPr>
            </w:pPr>
            <w:r w:rsidRPr="008231CB">
              <w:rPr>
                <w:noProof/>
                <w:sz w:val="18"/>
              </w:rPr>
              <w:t>Commitments</w:t>
            </w:r>
          </w:p>
        </w:tc>
        <w:tc>
          <w:tcPr>
            <w:tcW w:w="654" w:type="dxa"/>
            <w:tcBorders>
              <w:top w:val="single" w:sz="4" w:space="0" w:color="auto"/>
            </w:tcBorders>
            <w:vAlign w:val="center"/>
          </w:tcPr>
          <w:p w14:paraId="45E4DC99" w14:textId="77777777" w:rsidR="00AB6191" w:rsidRPr="008231CB" w:rsidRDefault="00AB6191" w:rsidP="00AB6191">
            <w:pPr>
              <w:spacing w:beforeLines="20" w:before="48" w:afterLines="20" w:after="48"/>
              <w:jc w:val="center"/>
              <w:rPr>
                <w:noProof/>
                <w:sz w:val="14"/>
              </w:rPr>
            </w:pPr>
            <w:r w:rsidRPr="008231CB">
              <w:rPr>
                <w:noProof/>
                <w:sz w:val="14"/>
              </w:rPr>
              <w:t>(4)</w:t>
            </w:r>
          </w:p>
        </w:tc>
        <w:tc>
          <w:tcPr>
            <w:tcW w:w="868" w:type="dxa"/>
            <w:tcBorders>
              <w:top w:val="single" w:sz="4" w:space="0" w:color="auto"/>
            </w:tcBorders>
            <w:vAlign w:val="center"/>
          </w:tcPr>
          <w:p w14:paraId="77EFA3D5" w14:textId="77777777" w:rsidR="00AB6191" w:rsidRPr="008231CB" w:rsidRDefault="00AB6191" w:rsidP="00AB6191">
            <w:pPr>
              <w:spacing w:before="20" w:after="20"/>
              <w:jc w:val="right"/>
              <w:rPr>
                <w:noProof/>
                <w:sz w:val="20"/>
              </w:rPr>
            </w:pPr>
            <w:r>
              <w:rPr>
                <w:noProof/>
                <w:sz w:val="20"/>
              </w:rPr>
              <w:t>2.000</w:t>
            </w:r>
          </w:p>
        </w:tc>
        <w:tc>
          <w:tcPr>
            <w:tcW w:w="868" w:type="dxa"/>
            <w:tcBorders>
              <w:top w:val="single" w:sz="4" w:space="0" w:color="auto"/>
            </w:tcBorders>
            <w:vAlign w:val="center"/>
          </w:tcPr>
          <w:p w14:paraId="3F6D22CE" w14:textId="77777777" w:rsidR="00AB6191" w:rsidRPr="008231CB" w:rsidRDefault="00AB6191" w:rsidP="00AB6191">
            <w:pPr>
              <w:spacing w:before="20" w:after="20"/>
              <w:jc w:val="right"/>
              <w:rPr>
                <w:noProof/>
                <w:sz w:val="20"/>
              </w:rPr>
            </w:pPr>
            <w:r>
              <w:rPr>
                <w:noProof/>
                <w:sz w:val="20"/>
              </w:rPr>
              <w:t>2.000</w:t>
            </w:r>
          </w:p>
        </w:tc>
        <w:tc>
          <w:tcPr>
            <w:tcW w:w="868" w:type="dxa"/>
            <w:tcBorders>
              <w:top w:val="single" w:sz="4" w:space="0" w:color="auto"/>
            </w:tcBorders>
            <w:vAlign w:val="center"/>
          </w:tcPr>
          <w:p w14:paraId="58DD1F90" w14:textId="77777777" w:rsidR="00AB6191" w:rsidRPr="008231CB" w:rsidRDefault="00AB6191" w:rsidP="00AB6191">
            <w:pPr>
              <w:spacing w:before="20" w:after="20"/>
              <w:jc w:val="right"/>
              <w:rPr>
                <w:noProof/>
                <w:sz w:val="20"/>
              </w:rPr>
            </w:pPr>
            <w:r>
              <w:rPr>
                <w:noProof/>
                <w:sz w:val="20"/>
              </w:rPr>
              <w:t>2.000</w:t>
            </w:r>
          </w:p>
        </w:tc>
        <w:tc>
          <w:tcPr>
            <w:tcW w:w="868" w:type="dxa"/>
            <w:tcBorders>
              <w:top w:val="single" w:sz="4" w:space="0" w:color="auto"/>
            </w:tcBorders>
            <w:vAlign w:val="center"/>
          </w:tcPr>
          <w:p w14:paraId="3610B247" w14:textId="77777777" w:rsidR="00AB6191" w:rsidRPr="008231CB" w:rsidRDefault="00AB6191" w:rsidP="00AB6191">
            <w:pPr>
              <w:spacing w:before="20" w:after="20"/>
              <w:jc w:val="right"/>
              <w:rPr>
                <w:noProof/>
                <w:sz w:val="20"/>
              </w:rPr>
            </w:pPr>
          </w:p>
        </w:tc>
        <w:tc>
          <w:tcPr>
            <w:tcW w:w="868" w:type="dxa"/>
            <w:tcBorders>
              <w:top w:val="single" w:sz="4" w:space="0" w:color="auto"/>
            </w:tcBorders>
            <w:vAlign w:val="center"/>
          </w:tcPr>
          <w:p w14:paraId="399414E7" w14:textId="77777777" w:rsidR="00AB6191" w:rsidRPr="008231CB" w:rsidRDefault="00AB6191" w:rsidP="00AB6191">
            <w:pPr>
              <w:spacing w:before="20" w:after="20"/>
              <w:jc w:val="right"/>
              <w:rPr>
                <w:noProof/>
                <w:sz w:val="20"/>
              </w:rPr>
            </w:pPr>
          </w:p>
        </w:tc>
        <w:tc>
          <w:tcPr>
            <w:tcW w:w="868" w:type="dxa"/>
            <w:tcBorders>
              <w:top w:val="single" w:sz="4" w:space="0" w:color="auto"/>
            </w:tcBorders>
            <w:vAlign w:val="center"/>
          </w:tcPr>
          <w:p w14:paraId="00F2A3DC" w14:textId="77777777" w:rsidR="00AB6191" w:rsidRPr="008231CB" w:rsidRDefault="00AB6191" w:rsidP="00AB6191">
            <w:pPr>
              <w:spacing w:before="20" w:after="20"/>
              <w:jc w:val="right"/>
              <w:rPr>
                <w:noProof/>
                <w:sz w:val="20"/>
              </w:rPr>
            </w:pPr>
          </w:p>
        </w:tc>
        <w:tc>
          <w:tcPr>
            <w:tcW w:w="868" w:type="dxa"/>
            <w:tcBorders>
              <w:top w:val="single" w:sz="4" w:space="0" w:color="auto"/>
            </w:tcBorders>
            <w:vAlign w:val="center"/>
          </w:tcPr>
          <w:p w14:paraId="7784DC66" w14:textId="77777777" w:rsidR="00AB6191" w:rsidRPr="008231CB" w:rsidRDefault="00AB6191" w:rsidP="00AB6191">
            <w:pPr>
              <w:spacing w:before="20" w:after="20"/>
              <w:jc w:val="right"/>
              <w:rPr>
                <w:b/>
                <w:noProof/>
                <w:sz w:val="20"/>
              </w:rPr>
            </w:pPr>
          </w:p>
        </w:tc>
        <w:tc>
          <w:tcPr>
            <w:tcW w:w="1777" w:type="dxa"/>
            <w:tcBorders>
              <w:top w:val="single" w:sz="4" w:space="0" w:color="auto"/>
              <w:right w:val="single" w:sz="4" w:space="0" w:color="auto"/>
            </w:tcBorders>
            <w:vAlign w:val="center"/>
          </w:tcPr>
          <w:p w14:paraId="3F083F13" w14:textId="77777777" w:rsidR="00AB6191" w:rsidRPr="008231CB" w:rsidRDefault="00AB6191" w:rsidP="00AB6191">
            <w:pPr>
              <w:spacing w:before="20" w:after="20"/>
              <w:jc w:val="right"/>
              <w:rPr>
                <w:b/>
                <w:noProof/>
                <w:sz w:val="20"/>
              </w:rPr>
            </w:pPr>
            <w:r>
              <w:rPr>
                <w:b/>
                <w:noProof/>
                <w:sz w:val="20"/>
              </w:rPr>
              <w:t>6.000</w:t>
            </w:r>
          </w:p>
        </w:tc>
      </w:tr>
      <w:tr w:rsidR="00AB6191" w:rsidRPr="008231CB" w14:paraId="467F5405" w14:textId="77777777" w:rsidTr="00AB6191">
        <w:tc>
          <w:tcPr>
            <w:tcW w:w="3960" w:type="dxa"/>
            <w:vMerge/>
            <w:tcBorders>
              <w:top w:val="single" w:sz="4" w:space="0" w:color="FF0000"/>
              <w:left w:val="single" w:sz="4" w:space="0" w:color="auto"/>
              <w:bottom w:val="single" w:sz="4" w:space="0" w:color="FF0000"/>
            </w:tcBorders>
          </w:tcPr>
          <w:p w14:paraId="5898F374" w14:textId="77777777" w:rsidR="00AB6191" w:rsidRPr="008231CB" w:rsidRDefault="00AB6191" w:rsidP="00AB6191">
            <w:pPr>
              <w:jc w:val="center"/>
              <w:rPr>
                <w:noProof/>
                <w:sz w:val="20"/>
              </w:rPr>
            </w:pPr>
          </w:p>
        </w:tc>
        <w:tc>
          <w:tcPr>
            <w:tcW w:w="1440" w:type="dxa"/>
            <w:vAlign w:val="center"/>
          </w:tcPr>
          <w:p w14:paraId="7EC0939C" w14:textId="77777777" w:rsidR="00AB6191" w:rsidRPr="008231CB" w:rsidRDefault="00AB6191" w:rsidP="00AB6191">
            <w:pPr>
              <w:spacing w:beforeLines="20" w:before="48" w:afterLines="20" w:after="48"/>
              <w:rPr>
                <w:noProof/>
                <w:sz w:val="18"/>
              </w:rPr>
            </w:pPr>
            <w:r w:rsidRPr="008231CB">
              <w:rPr>
                <w:noProof/>
                <w:sz w:val="18"/>
              </w:rPr>
              <w:t>Payments</w:t>
            </w:r>
          </w:p>
        </w:tc>
        <w:tc>
          <w:tcPr>
            <w:tcW w:w="654" w:type="dxa"/>
            <w:vAlign w:val="center"/>
          </w:tcPr>
          <w:p w14:paraId="3CEBCC25" w14:textId="77777777" w:rsidR="00AB6191" w:rsidRPr="008231CB" w:rsidRDefault="00AB6191" w:rsidP="00AB6191">
            <w:pPr>
              <w:spacing w:beforeLines="20" w:before="48" w:afterLines="20" w:after="48"/>
              <w:jc w:val="center"/>
              <w:rPr>
                <w:noProof/>
                <w:sz w:val="14"/>
              </w:rPr>
            </w:pPr>
            <w:r w:rsidRPr="008231CB">
              <w:rPr>
                <w:noProof/>
                <w:sz w:val="14"/>
              </w:rPr>
              <w:t>(5)</w:t>
            </w:r>
          </w:p>
        </w:tc>
        <w:tc>
          <w:tcPr>
            <w:tcW w:w="868" w:type="dxa"/>
            <w:vAlign w:val="center"/>
          </w:tcPr>
          <w:p w14:paraId="3D0386AD"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4B526F84"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348CFE89"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200D909C" w14:textId="77777777" w:rsidR="00AB6191" w:rsidRPr="008231CB" w:rsidRDefault="00AB6191" w:rsidP="00AB6191">
            <w:pPr>
              <w:spacing w:before="20" w:after="20"/>
              <w:jc w:val="right"/>
              <w:rPr>
                <w:noProof/>
                <w:sz w:val="20"/>
              </w:rPr>
            </w:pPr>
          </w:p>
        </w:tc>
        <w:tc>
          <w:tcPr>
            <w:tcW w:w="868" w:type="dxa"/>
            <w:vAlign w:val="center"/>
          </w:tcPr>
          <w:p w14:paraId="4371650C" w14:textId="77777777" w:rsidR="00AB6191" w:rsidRPr="008231CB" w:rsidRDefault="00AB6191" w:rsidP="00AB6191">
            <w:pPr>
              <w:spacing w:before="20" w:after="20"/>
              <w:jc w:val="right"/>
              <w:rPr>
                <w:noProof/>
                <w:sz w:val="20"/>
              </w:rPr>
            </w:pPr>
          </w:p>
        </w:tc>
        <w:tc>
          <w:tcPr>
            <w:tcW w:w="868" w:type="dxa"/>
            <w:vAlign w:val="center"/>
          </w:tcPr>
          <w:p w14:paraId="703E55EC" w14:textId="77777777" w:rsidR="00AB6191" w:rsidRPr="008231CB" w:rsidRDefault="00AB6191" w:rsidP="00AB6191">
            <w:pPr>
              <w:spacing w:before="20" w:after="20"/>
              <w:jc w:val="right"/>
              <w:rPr>
                <w:noProof/>
                <w:sz w:val="20"/>
              </w:rPr>
            </w:pPr>
          </w:p>
        </w:tc>
        <w:tc>
          <w:tcPr>
            <w:tcW w:w="868" w:type="dxa"/>
            <w:vAlign w:val="center"/>
          </w:tcPr>
          <w:p w14:paraId="22733366" w14:textId="77777777" w:rsidR="00AB6191" w:rsidRPr="008231CB" w:rsidRDefault="00AB6191" w:rsidP="00AB6191">
            <w:pPr>
              <w:spacing w:before="20" w:after="20"/>
              <w:jc w:val="right"/>
              <w:rPr>
                <w:b/>
                <w:noProof/>
                <w:sz w:val="20"/>
              </w:rPr>
            </w:pPr>
          </w:p>
        </w:tc>
        <w:tc>
          <w:tcPr>
            <w:tcW w:w="1777" w:type="dxa"/>
            <w:tcBorders>
              <w:right w:val="single" w:sz="4" w:space="0" w:color="auto"/>
            </w:tcBorders>
            <w:vAlign w:val="center"/>
          </w:tcPr>
          <w:p w14:paraId="3887A2DA" w14:textId="77777777" w:rsidR="00AB6191" w:rsidRPr="008231CB" w:rsidRDefault="00AB6191" w:rsidP="00AB6191">
            <w:pPr>
              <w:spacing w:before="20" w:after="20"/>
              <w:jc w:val="right"/>
              <w:rPr>
                <w:b/>
                <w:noProof/>
                <w:sz w:val="20"/>
              </w:rPr>
            </w:pPr>
            <w:r>
              <w:rPr>
                <w:b/>
                <w:noProof/>
                <w:sz w:val="20"/>
              </w:rPr>
              <w:t>6.000</w:t>
            </w:r>
          </w:p>
        </w:tc>
      </w:tr>
      <w:tr w:rsidR="00AB6191" w:rsidRPr="008231CB" w14:paraId="0843374D" w14:textId="77777777" w:rsidTr="00AB619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1DC720F4" w14:textId="77777777" w:rsidR="00AB6191" w:rsidRPr="008231CB" w:rsidRDefault="00AB6191" w:rsidP="00AB6191">
            <w:pPr>
              <w:spacing w:beforeLines="20" w:before="48" w:afterLines="20" w:after="48"/>
              <w:rPr>
                <w:noProof/>
              </w:rPr>
            </w:pPr>
            <w:r w:rsidRPr="008231CB">
              <w:rPr>
                <w:noProof/>
                <w:sz w:val="21"/>
              </w:rPr>
              <w:t xml:space="preserve"> TOTAL appropriations of an administrative nature financed from the envelope for specific programmes (all operational headings)</w:t>
            </w:r>
          </w:p>
        </w:tc>
        <w:tc>
          <w:tcPr>
            <w:tcW w:w="654" w:type="dxa"/>
            <w:vAlign w:val="center"/>
          </w:tcPr>
          <w:p w14:paraId="7B480202" w14:textId="77777777" w:rsidR="00AB6191" w:rsidRPr="008231CB" w:rsidRDefault="00AB6191" w:rsidP="00AB6191">
            <w:pPr>
              <w:rPr>
                <w:noProof/>
              </w:rPr>
            </w:pPr>
          </w:p>
          <w:p w14:paraId="148210F9" w14:textId="77777777" w:rsidR="00AB6191" w:rsidRPr="008231CB" w:rsidRDefault="00AB6191" w:rsidP="00AB6191">
            <w:pPr>
              <w:spacing w:beforeLines="20" w:before="48" w:afterLines="20" w:after="48"/>
              <w:jc w:val="center"/>
              <w:rPr>
                <w:noProof/>
                <w:sz w:val="14"/>
              </w:rPr>
            </w:pPr>
            <w:r w:rsidRPr="008231CB">
              <w:rPr>
                <w:noProof/>
                <w:sz w:val="14"/>
              </w:rPr>
              <w:t>(6)</w:t>
            </w:r>
          </w:p>
        </w:tc>
        <w:tc>
          <w:tcPr>
            <w:tcW w:w="868" w:type="dxa"/>
            <w:vAlign w:val="center"/>
          </w:tcPr>
          <w:p w14:paraId="5CD1D8E0" w14:textId="77777777" w:rsidR="00AB6191" w:rsidRPr="008231CB" w:rsidRDefault="00AB6191" w:rsidP="00AB6191">
            <w:pPr>
              <w:spacing w:before="20" w:after="20"/>
              <w:jc w:val="right"/>
              <w:rPr>
                <w:b/>
                <w:noProof/>
                <w:sz w:val="20"/>
              </w:rPr>
            </w:pPr>
          </w:p>
        </w:tc>
        <w:tc>
          <w:tcPr>
            <w:tcW w:w="868" w:type="dxa"/>
            <w:vAlign w:val="center"/>
          </w:tcPr>
          <w:p w14:paraId="797A00F5" w14:textId="77777777" w:rsidR="00AB6191" w:rsidRPr="008231CB" w:rsidRDefault="00AB6191" w:rsidP="00AB6191">
            <w:pPr>
              <w:spacing w:before="20" w:after="20"/>
              <w:jc w:val="right"/>
              <w:rPr>
                <w:b/>
                <w:noProof/>
                <w:sz w:val="20"/>
              </w:rPr>
            </w:pPr>
          </w:p>
        </w:tc>
        <w:tc>
          <w:tcPr>
            <w:tcW w:w="868" w:type="dxa"/>
            <w:vAlign w:val="center"/>
          </w:tcPr>
          <w:p w14:paraId="5883B34F" w14:textId="77777777" w:rsidR="00AB6191" w:rsidRPr="008231CB" w:rsidRDefault="00AB6191" w:rsidP="00AB6191">
            <w:pPr>
              <w:spacing w:before="20" w:after="20"/>
              <w:jc w:val="right"/>
              <w:rPr>
                <w:b/>
                <w:noProof/>
                <w:sz w:val="20"/>
              </w:rPr>
            </w:pPr>
          </w:p>
        </w:tc>
        <w:tc>
          <w:tcPr>
            <w:tcW w:w="868" w:type="dxa"/>
            <w:vAlign w:val="center"/>
          </w:tcPr>
          <w:p w14:paraId="4F82C4BA" w14:textId="77777777" w:rsidR="00AB6191" w:rsidRPr="008231CB" w:rsidRDefault="00AB6191" w:rsidP="00AB6191">
            <w:pPr>
              <w:spacing w:before="20" w:after="20"/>
              <w:jc w:val="right"/>
              <w:rPr>
                <w:b/>
                <w:noProof/>
                <w:sz w:val="20"/>
              </w:rPr>
            </w:pPr>
          </w:p>
        </w:tc>
        <w:tc>
          <w:tcPr>
            <w:tcW w:w="868" w:type="dxa"/>
            <w:vAlign w:val="center"/>
          </w:tcPr>
          <w:p w14:paraId="66C1E40B" w14:textId="77777777" w:rsidR="00AB6191" w:rsidRPr="008231CB" w:rsidRDefault="00AB6191" w:rsidP="00AB6191">
            <w:pPr>
              <w:spacing w:before="20" w:after="20"/>
              <w:jc w:val="right"/>
              <w:rPr>
                <w:b/>
                <w:noProof/>
                <w:sz w:val="20"/>
              </w:rPr>
            </w:pPr>
          </w:p>
        </w:tc>
        <w:tc>
          <w:tcPr>
            <w:tcW w:w="868" w:type="dxa"/>
            <w:vAlign w:val="center"/>
          </w:tcPr>
          <w:p w14:paraId="375656FC" w14:textId="77777777" w:rsidR="00AB6191" w:rsidRPr="008231CB" w:rsidRDefault="00AB6191" w:rsidP="00AB6191">
            <w:pPr>
              <w:spacing w:before="20" w:after="20"/>
              <w:jc w:val="right"/>
              <w:rPr>
                <w:b/>
                <w:noProof/>
                <w:sz w:val="20"/>
              </w:rPr>
            </w:pPr>
          </w:p>
        </w:tc>
        <w:tc>
          <w:tcPr>
            <w:tcW w:w="868" w:type="dxa"/>
            <w:vAlign w:val="center"/>
          </w:tcPr>
          <w:p w14:paraId="0653C4FC" w14:textId="77777777" w:rsidR="00AB6191" w:rsidRPr="008231CB" w:rsidRDefault="00AB6191" w:rsidP="00AB6191">
            <w:pPr>
              <w:spacing w:before="20" w:after="20"/>
              <w:jc w:val="right"/>
              <w:rPr>
                <w:b/>
                <w:noProof/>
                <w:sz w:val="20"/>
              </w:rPr>
            </w:pPr>
          </w:p>
        </w:tc>
        <w:tc>
          <w:tcPr>
            <w:tcW w:w="1777" w:type="dxa"/>
            <w:vAlign w:val="center"/>
          </w:tcPr>
          <w:p w14:paraId="56B8BD4E" w14:textId="77777777" w:rsidR="00AB6191" w:rsidRPr="008231CB" w:rsidRDefault="00AB6191" w:rsidP="00AB6191">
            <w:pPr>
              <w:spacing w:before="20" w:after="20"/>
              <w:jc w:val="right"/>
              <w:rPr>
                <w:b/>
                <w:noProof/>
                <w:sz w:val="20"/>
              </w:rPr>
            </w:pPr>
          </w:p>
        </w:tc>
      </w:tr>
      <w:tr w:rsidR="00AB6191" w:rsidRPr="008231CB" w14:paraId="7D3BAFE3" w14:textId="77777777" w:rsidTr="00AB6191">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15AD2FE9" w14:textId="77777777" w:rsidR="00AB6191" w:rsidRPr="008231CB" w:rsidRDefault="00AB6191" w:rsidP="00AB6191">
            <w:pPr>
              <w:jc w:val="center"/>
              <w:rPr>
                <w:b/>
                <w:noProof/>
              </w:rPr>
            </w:pPr>
            <w:r w:rsidRPr="008231CB">
              <w:rPr>
                <w:b/>
                <w:noProof/>
                <w:sz w:val="22"/>
              </w:rPr>
              <w:t xml:space="preserve">TOTAL appropriations </w:t>
            </w:r>
            <w:r w:rsidRPr="008231CB">
              <w:rPr>
                <w:noProof/>
                <w:sz w:val="22"/>
              </w:rPr>
              <w:br/>
            </w:r>
            <w:r w:rsidRPr="008231CB">
              <w:rPr>
                <w:b/>
                <w:noProof/>
                <w:sz w:val="22"/>
              </w:rPr>
              <w:t>under HEADINGS 1 to 6</w:t>
            </w:r>
            <w:r w:rsidRPr="008231CB">
              <w:rPr>
                <w:noProof/>
                <w:sz w:val="22"/>
              </w:rPr>
              <w:br/>
              <w:t>of the multiannual financial framework</w:t>
            </w:r>
            <w:r w:rsidRPr="008231CB">
              <w:rPr>
                <w:noProof/>
                <w:sz w:val="22"/>
              </w:rPr>
              <w:br/>
            </w:r>
            <w:r w:rsidRPr="008231CB">
              <w:rPr>
                <w:noProof/>
                <w:sz w:val="20"/>
              </w:rPr>
              <w:t>(Reference amount)</w:t>
            </w:r>
          </w:p>
        </w:tc>
        <w:tc>
          <w:tcPr>
            <w:tcW w:w="1440" w:type="dxa"/>
            <w:vAlign w:val="center"/>
          </w:tcPr>
          <w:p w14:paraId="3013B432" w14:textId="77777777" w:rsidR="00AB6191" w:rsidRPr="008231CB" w:rsidRDefault="00AB6191" w:rsidP="00AB6191">
            <w:pPr>
              <w:rPr>
                <w:noProof/>
                <w:sz w:val="18"/>
              </w:rPr>
            </w:pPr>
            <w:r w:rsidRPr="008231CB">
              <w:rPr>
                <w:noProof/>
                <w:sz w:val="18"/>
              </w:rPr>
              <w:t>Commitments</w:t>
            </w:r>
          </w:p>
        </w:tc>
        <w:tc>
          <w:tcPr>
            <w:tcW w:w="654" w:type="dxa"/>
            <w:vAlign w:val="center"/>
          </w:tcPr>
          <w:p w14:paraId="7EF49EA1" w14:textId="77777777" w:rsidR="00AB6191" w:rsidRPr="008231CB" w:rsidRDefault="00AB6191" w:rsidP="00AB6191">
            <w:pPr>
              <w:jc w:val="center"/>
              <w:rPr>
                <w:noProof/>
                <w:sz w:val="14"/>
              </w:rPr>
            </w:pPr>
            <w:r w:rsidRPr="008231CB">
              <w:rPr>
                <w:noProof/>
                <w:sz w:val="14"/>
              </w:rPr>
              <w:t>=4+ 6</w:t>
            </w:r>
          </w:p>
        </w:tc>
        <w:tc>
          <w:tcPr>
            <w:tcW w:w="868" w:type="dxa"/>
            <w:vAlign w:val="center"/>
          </w:tcPr>
          <w:p w14:paraId="097676BC"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20B5C1AC"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77D39FE0" w14:textId="77777777" w:rsidR="00AB6191" w:rsidRPr="008231CB" w:rsidRDefault="00AB6191" w:rsidP="00AB6191">
            <w:pPr>
              <w:spacing w:before="20" w:after="20"/>
              <w:jc w:val="right"/>
              <w:rPr>
                <w:noProof/>
                <w:sz w:val="20"/>
              </w:rPr>
            </w:pPr>
            <w:r>
              <w:rPr>
                <w:noProof/>
                <w:sz w:val="20"/>
              </w:rPr>
              <w:t>2.000</w:t>
            </w:r>
          </w:p>
        </w:tc>
        <w:tc>
          <w:tcPr>
            <w:tcW w:w="868" w:type="dxa"/>
            <w:vAlign w:val="center"/>
          </w:tcPr>
          <w:p w14:paraId="0CA93DA7" w14:textId="77777777" w:rsidR="00AB6191" w:rsidRPr="008231CB" w:rsidRDefault="00AB6191" w:rsidP="00AB6191">
            <w:pPr>
              <w:spacing w:before="20" w:after="20"/>
              <w:jc w:val="right"/>
              <w:rPr>
                <w:noProof/>
                <w:sz w:val="20"/>
              </w:rPr>
            </w:pPr>
          </w:p>
        </w:tc>
        <w:tc>
          <w:tcPr>
            <w:tcW w:w="868" w:type="dxa"/>
            <w:vAlign w:val="center"/>
          </w:tcPr>
          <w:p w14:paraId="53AEEB16" w14:textId="77777777" w:rsidR="00AB6191" w:rsidRPr="008231CB" w:rsidRDefault="00AB6191" w:rsidP="00AB6191">
            <w:pPr>
              <w:spacing w:before="20" w:after="20"/>
              <w:jc w:val="right"/>
              <w:rPr>
                <w:noProof/>
                <w:sz w:val="20"/>
              </w:rPr>
            </w:pPr>
          </w:p>
        </w:tc>
        <w:tc>
          <w:tcPr>
            <w:tcW w:w="868" w:type="dxa"/>
            <w:vAlign w:val="center"/>
          </w:tcPr>
          <w:p w14:paraId="787D8667" w14:textId="77777777" w:rsidR="00AB6191" w:rsidRPr="008231CB" w:rsidRDefault="00AB6191" w:rsidP="00AB6191">
            <w:pPr>
              <w:spacing w:before="20" w:after="20"/>
              <w:jc w:val="right"/>
              <w:rPr>
                <w:noProof/>
                <w:sz w:val="20"/>
              </w:rPr>
            </w:pPr>
          </w:p>
        </w:tc>
        <w:tc>
          <w:tcPr>
            <w:tcW w:w="868" w:type="dxa"/>
            <w:vAlign w:val="center"/>
          </w:tcPr>
          <w:p w14:paraId="029A0E57" w14:textId="77777777" w:rsidR="00AB6191" w:rsidRPr="008231CB" w:rsidRDefault="00AB6191" w:rsidP="00AB6191">
            <w:pPr>
              <w:spacing w:before="20" w:after="20"/>
              <w:jc w:val="right"/>
              <w:rPr>
                <w:b/>
                <w:noProof/>
                <w:sz w:val="20"/>
              </w:rPr>
            </w:pPr>
          </w:p>
        </w:tc>
        <w:tc>
          <w:tcPr>
            <w:tcW w:w="1777" w:type="dxa"/>
            <w:tcBorders>
              <w:right w:val="single" w:sz="4" w:space="0" w:color="auto"/>
            </w:tcBorders>
            <w:vAlign w:val="center"/>
          </w:tcPr>
          <w:p w14:paraId="6B24C8E3" w14:textId="77777777" w:rsidR="00AB6191" w:rsidRPr="008231CB" w:rsidRDefault="00AB6191" w:rsidP="00AB6191">
            <w:pPr>
              <w:spacing w:before="20" w:after="20"/>
              <w:jc w:val="right"/>
              <w:rPr>
                <w:b/>
                <w:noProof/>
                <w:sz w:val="20"/>
              </w:rPr>
            </w:pPr>
            <w:r>
              <w:rPr>
                <w:b/>
                <w:noProof/>
                <w:sz w:val="20"/>
              </w:rPr>
              <w:t>6.000</w:t>
            </w:r>
          </w:p>
        </w:tc>
      </w:tr>
      <w:tr w:rsidR="00AB6191" w:rsidRPr="008231CB" w14:paraId="425AC886" w14:textId="77777777" w:rsidTr="00AB6191">
        <w:tc>
          <w:tcPr>
            <w:tcW w:w="3960" w:type="dxa"/>
            <w:vMerge/>
            <w:tcBorders>
              <w:top w:val="single" w:sz="4" w:space="0" w:color="FF0000"/>
              <w:left w:val="single" w:sz="4" w:space="0" w:color="auto"/>
              <w:bottom w:val="single" w:sz="4" w:space="0" w:color="auto"/>
            </w:tcBorders>
            <w:shd w:val="thinDiagStripe" w:color="C0C0C0" w:fill="auto"/>
          </w:tcPr>
          <w:p w14:paraId="75D79F4F" w14:textId="77777777" w:rsidR="00AB6191" w:rsidRPr="008231CB" w:rsidRDefault="00AB6191" w:rsidP="00AB6191">
            <w:pPr>
              <w:rPr>
                <w:noProof/>
                <w:sz w:val="20"/>
              </w:rPr>
            </w:pPr>
          </w:p>
        </w:tc>
        <w:tc>
          <w:tcPr>
            <w:tcW w:w="1440" w:type="dxa"/>
            <w:tcBorders>
              <w:bottom w:val="single" w:sz="4" w:space="0" w:color="auto"/>
            </w:tcBorders>
            <w:vAlign w:val="center"/>
          </w:tcPr>
          <w:p w14:paraId="6C077FAD" w14:textId="77777777" w:rsidR="00AB6191" w:rsidRPr="008231CB" w:rsidRDefault="00AB6191" w:rsidP="00AB6191">
            <w:pPr>
              <w:rPr>
                <w:noProof/>
                <w:sz w:val="18"/>
              </w:rPr>
            </w:pPr>
            <w:r w:rsidRPr="008231CB">
              <w:rPr>
                <w:noProof/>
                <w:sz w:val="18"/>
              </w:rPr>
              <w:t>Payments</w:t>
            </w:r>
          </w:p>
        </w:tc>
        <w:tc>
          <w:tcPr>
            <w:tcW w:w="654" w:type="dxa"/>
            <w:tcBorders>
              <w:bottom w:val="single" w:sz="4" w:space="0" w:color="auto"/>
            </w:tcBorders>
            <w:vAlign w:val="center"/>
          </w:tcPr>
          <w:p w14:paraId="76B9F1ED" w14:textId="77777777" w:rsidR="00AB6191" w:rsidRPr="008231CB" w:rsidRDefault="00AB6191" w:rsidP="00AB6191">
            <w:pPr>
              <w:jc w:val="center"/>
              <w:rPr>
                <w:noProof/>
                <w:sz w:val="14"/>
              </w:rPr>
            </w:pPr>
            <w:r w:rsidRPr="008231CB">
              <w:rPr>
                <w:noProof/>
                <w:sz w:val="14"/>
              </w:rPr>
              <w:t>=5+ 6</w:t>
            </w:r>
          </w:p>
        </w:tc>
        <w:tc>
          <w:tcPr>
            <w:tcW w:w="868" w:type="dxa"/>
            <w:tcBorders>
              <w:bottom w:val="single" w:sz="4" w:space="0" w:color="auto"/>
            </w:tcBorders>
            <w:vAlign w:val="center"/>
          </w:tcPr>
          <w:p w14:paraId="56830875" w14:textId="77777777" w:rsidR="00AB6191" w:rsidRPr="008231CB" w:rsidRDefault="00AB6191" w:rsidP="00AB6191">
            <w:pPr>
              <w:spacing w:before="20" w:after="20"/>
              <w:jc w:val="right"/>
              <w:rPr>
                <w:noProof/>
                <w:sz w:val="20"/>
              </w:rPr>
            </w:pPr>
            <w:r>
              <w:rPr>
                <w:noProof/>
                <w:sz w:val="20"/>
              </w:rPr>
              <w:t>2.000</w:t>
            </w:r>
          </w:p>
        </w:tc>
        <w:tc>
          <w:tcPr>
            <w:tcW w:w="868" w:type="dxa"/>
            <w:tcBorders>
              <w:bottom w:val="single" w:sz="4" w:space="0" w:color="auto"/>
            </w:tcBorders>
            <w:vAlign w:val="center"/>
          </w:tcPr>
          <w:p w14:paraId="7BE857FA" w14:textId="77777777" w:rsidR="00AB6191" w:rsidRPr="008231CB" w:rsidRDefault="00AB6191" w:rsidP="00AB6191">
            <w:pPr>
              <w:spacing w:before="20" w:after="20"/>
              <w:jc w:val="right"/>
              <w:rPr>
                <w:noProof/>
                <w:sz w:val="20"/>
              </w:rPr>
            </w:pPr>
            <w:r>
              <w:rPr>
                <w:noProof/>
                <w:sz w:val="20"/>
              </w:rPr>
              <w:t>2.000</w:t>
            </w:r>
          </w:p>
        </w:tc>
        <w:tc>
          <w:tcPr>
            <w:tcW w:w="868" w:type="dxa"/>
            <w:tcBorders>
              <w:bottom w:val="single" w:sz="4" w:space="0" w:color="auto"/>
            </w:tcBorders>
            <w:vAlign w:val="center"/>
          </w:tcPr>
          <w:p w14:paraId="1B840C1B" w14:textId="77777777" w:rsidR="00AB6191" w:rsidRPr="008231CB" w:rsidRDefault="00AB6191" w:rsidP="00AB6191">
            <w:pPr>
              <w:spacing w:before="20" w:after="20"/>
              <w:jc w:val="right"/>
              <w:rPr>
                <w:noProof/>
                <w:sz w:val="20"/>
              </w:rPr>
            </w:pPr>
            <w:r>
              <w:rPr>
                <w:noProof/>
                <w:sz w:val="20"/>
              </w:rPr>
              <w:t>2.000</w:t>
            </w:r>
          </w:p>
        </w:tc>
        <w:tc>
          <w:tcPr>
            <w:tcW w:w="868" w:type="dxa"/>
            <w:tcBorders>
              <w:bottom w:val="single" w:sz="4" w:space="0" w:color="auto"/>
            </w:tcBorders>
            <w:vAlign w:val="center"/>
          </w:tcPr>
          <w:p w14:paraId="33D12C12" w14:textId="77777777" w:rsidR="00AB6191" w:rsidRPr="008231CB" w:rsidRDefault="00AB6191" w:rsidP="00AB6191">
            <w:pPr>
              <w:spacing w:before="20" w:after="20"/>
              <w:jc w:val="right"/>
              <w:rPr>
                <w:noProof/>
                <w:sz w:val="20"/>
              </w:rPr>
            </w:pPr>
          </w:p>
        </w:tc>
        <w:tc>
          <w:tcPr>
            <w:tcW w:w="868" w:type="dxa"/>
            <w:tcBorders>
              <w:bottom w:val="single" w:sz="4" w:space="0" w:color="auto"/>
            </w:tcBorders>
            <w:vAlign w:val="center"/>
          </w:tcPr>
          <w:p w14:paraId="7A947438" w14:textId="77777777" w:rsidR="00AB6191" w:rsidRPr="008231CB" w:rsidRDefault="00AB6191" w:rsidP="00AB6191">
            <w:pPr>
              <w:spacing w:before="20" w:after="20"/>
              <w:jc w:val="right"/>
              <w:rPr>
                <w:noProof/>
                <w:sz w:val="20"/>
              </w:rPr>
            </w:pPr>
          </w:p>
        </w:tc>
        <w:tc>
          <w:tcPr>
            <w:tcW w:w="868" w:type="dxa"/>
            <w:tcBorders>
              <w:bottom w:val="single" w:sz="4" w:space="0" w:color="auto"/>
            </w:tcBorders>
            <w:vAlign w:val="center"/>
          </w:tcPr>
          <w:p w14:paraId="2C3B85B3" w14:textId="77777777" w:rsidR="00AB6191" w:rsidRPr="008231CB" w:rsidRDefault="00AB6191" w:rsidP="00AB6191">
            <w:pPr>
              <w:spacing w:before="20" w:after="20"/>
              <w:jc w:val="right"/>
              <w:rPr>
                <w:noProof/>
                <w:sz w:val="20"/>
              </w:rPr>
            </w:pPr>
          </w:p>
        </w:tc>
        <w:tc>
          <w:tcPr>
            <w:tcW w:w="868" w:type="dxa"/>
            <w:tcBorders>
              <w:bottom w:val="single" w:sz="4" w:space="0" w:color="auto"/>
            </w:tcBorders>
            <w:vAlign w:val="center"/>
          </w:tcPr>
          <w:p w14:paraId="0284F986" w14:textId="77777777" w:rsidR="00AB6191" w:rsidRPr="008231CB" w:rsidRDefault="00AB6191" w:rsidP="00AB6191">
            <w:pPr>
              <w:spacing w:before="20" w:after="20"/>
              <w:jc w:val="right"/>
              <w:rPr>
                <w:b/>
                <w:noProof/>
                <w:sz w:val="20"/>
              </w:rPr>
            </w:pPr>
          </w:p>
        </w:tc>
        <w:tc>
          <w:tcPr>
            <w:tcW w:w="1777" w:type="dxa"/>
            <w:tcBorders>
              <w:bottom w:val="single" w:sz="4" w:space="0" w:color="auto"/>
              <w:right w:val="single" w:sz="4" w:space="0" w:color="auto"/>
            </w:tcBorders>
            <w:vAlign w:val="center"/>
          </w:tcPr>
          <w:p w14:paraId="426546D2" w14:textId="77777777" w:rsidR="00AB6191" w:rsidRPr="008231CB" w:rsidRDefault="00AB6191" w:rsidP="00AB6191">
            <w:pPr>
              <w:spacing w:before="20" w:after="20"/>
              <w:jc w:val="right"/>
              <w:rPr>
                <w:b/>
                <w:noProof/>
                <w:sz w:val="20"/>
              </w:rPr>
            </w:pPr>
            <w:r>
              <w:rPr>
                <w:b/>
                <w:noProof/>
                <w:sz w:val="20"/>
              </w:rPr>
              <w:t>6.000</w:t>
            </w:r>
          </w:p>
        </w:tc>
      </w:tr>
    </w:tbl>
    <w:p w14:paraId="2FCB8C2E" w14:textId="77777777" w:rsidR="00AB6191" w:rsidRPr="008231CB" w:rsidRDefault="00AB6191" w:rsidP="00AB6191">
      <w:pPr>
        <w:rPr>
          <w:noProof/>
        </w:rPr>
      </w:pPr>
    </w:p>
    <w:p w14:paraId="2ECD8FD6" w14:textId="77777777" w:rsidR="00AB6191" w:rsidRPr="008231CB" w:rsidRDefault="00AB6191" w:rsidP="00AB6191">
      <w:pPr>
        <w:spacing w:before="0" w:after="0"/>
        <w:jc w:val="left"/>
        <w:rPr>
          <w:noProof/>
        </w:rPr>
      </w:pPr>
      <w:r w:rsidRPr="008231CB">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6191" w:rsidRPr="008231CB" w14:paraId="2BA5E90C" w14:textId="77777777" w:rsidTr="00AB6191">
        <w:trPr>
          <w:jc w:val="center"/>
        </w:trPr>
        <w:tc>
          <w:tcPr>
            <w:tcW w:w="4744" w:type="dxa"/>
            <w:shd w:val="thinDiagStripe" w:color="C0C0C0" w:fill="auto"/>
            <w:vAlign w:val="center"/>
          </w:tcPr>
          <w:p w14:paraId="1F13D764" w14:textId="77777777" w:rsidR="00AB6191" w:rsidRPr="008231CB" w:rsidRDefault="00AB6191" w:rsidP="00AB6191">
            <w:pPr>
              <w:spacing w:before="60" w:after="60"/>
              <w:jc w:val="center"/>
              <w:rPr>
                <w:b/>
                <w:noProof/>
              </w:rPr>
            </w:pPr>
            <w:r w:rsidRPr="008231CB">
              <w:rPr>
                <w:noProof/>
                <w:sz w:val="22"/>
              </w:rPr>
              <w:br w:type="page"/>
            </w:r>
            <w:r w:rsidRPr="008231CB">
              <w:rPr>
                <w:b/>
                <w:noProof/>
                <w:sz w:val="22"/>
              </w:rPr>
              <w:t xml:space="preserve">Heading of multiannual financial </w:t>
            </w:r>
            <w:r w:rsidRPr="008231CB">
              <w:rPr>
                <w:noProof/>
                <w:sz w:val="22"/>
              </w:rPr>
              <w:br/>
            </w:r>
            <w:r w:rsidRPr="008231CB">
              <w:rPr>
                <w:b/>
                <w:noProof/>
                <w:sz w:val="22"/>
              </w:rPr>
              <w:t xml:space="preserve">framework </w:t>
            </w:r>
          </w:p>
        </w:tc>
        <w:tc>
          <w:tcPr>
            <w:tcW w:w="1080" w:type="dxa"/>
            <w:shd w:val="thinDiagStripe" w:color="C0C0C0" w:fill="auto"/>
            <w:vAlign w:val="center"/>
          </w:tcPr>
          <w:p w14:paraId="573AD837" w14:textId="77777777" w:rsidR="00AB6191" w:rsidRPr="008231CB" w:rsidRDefault="00AB6191" w:rsidP="00AB6191">
            <w:pPr>
              <w:spacing w:before="60" w:after="60"/>
              <w:jc w:val="center"/>
              <w:rPr>
                <w:noProof/>
              </w:rPr>
            </w:pPr>
            <w:r w:rsidRPr="008231CB">
              <w:rPr>
                <w:b/>
                <w:noProof/>
                <w:sz w:val="22"/>
              </w:rPr>
              <w:t>7</w:t>
            </w:r>
          </w:p>
        </w:tc>
        <w:tc>
          <w:tcPr>
            <w:tcW w:w="7817" w:type="dxa"/>
            <w:vAlign w:val="center"/>
          </w:tcPr>
          <w:p w14:paraId="07859B5D" w14:textId="77777777" w:rsidR="00AB6191" w:rsidRPr="008231CB" w:rsidRDefault="00AB6191" w:rsidP="00AB6191">
            <w:pPr>
              <w:spacing w:before="60" w:after="60"/>
              <w:rPr>
                <w:noProof/>
              </w:rPr>
            </w:pPr>
            <w:r w:rsidRPr="008231CB">
              <w:rPr>
                <w:noProof/>
                <w:sz w:val="22"/>
              </w:rPr>
              <w:t>‘Administrative expenditure’</w:t>
            </w:r>
          </w:p>
        </w:tc>
      </w:tr>
    </w:tbl>
    <w:p w14:paraId="16EA35EC" w14:textId="77777777" w:rsidR="00AB6191" w:rsidRPr="008231CB" w:rsidRDefault="00AB6191" w:rsidP="00AB6191">
      <w:pPr>
        <w:jc w:val="left"/>
        <w:rPr>
          <w:noProof/>
          <w:sz w:val="20"/>
        </w:rPr>
      </w:pPr>
      <w:r w:rsidRPr="008231CB">
        <w:rPr>
          <w:noProof/>
        </w:rPr>
        <w:t xml:space="preserve">This section should be filled in using the 'budget data of an administrative nature' to be firstly introduced in the </w:t>
      </w:r>
      <w:hyperlink r:id="rId17" w:history="1">
        <w:r w:rsidRPr="008231CB">
          <w:rPr>
            <w:rStyle w:val="Hyperlink"/>
            <w:noProof/>
          </w:rPr>
          <w:t>Annex to the Legislative Financial Statement</w:t>
        </w:r>
      </w:hyperlink>
      <w:r w:rsidRPr="008231CB">
        <w:rPr>
          <w:noProof/>
        </w:rPr>
        <w:t xml:space="preserve"> (Annex 5 to the Commission decision on the internal rules for the implementation of the Commission section of the general budget of the European Union), which is uploaded to DECIDE for interservice consultation purposes.</w:t>
      </w:r>
    </w:p>
    <w:p w14:paraId="322359EE" w14:textId="77777777" w:rsidR="00AB6191" w:rsidRPr="008231CB" w:rsidRDefault="00AB6191" w:rsidP="00AB6191">
      <w:pPr>
        <w:jc w:val="right"/>
        <w:rPr>
          <w:noProof/>
          <w:sz w:val="20"/>
        </w:rPr>
      </w:pPr>
      <w:r w:rsidRPr="008231CB">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B6191" w:rsidRPr="008231CB" w14:paraId="23E2149F" w14:textId="77777777" w:rsidTr="00AB6191">
        <w:tc>
          <w:tcPr>
            <w:tcW w:w="3960" w:type="dxa"/>
            <w:tcBorders>
              <w:top w:val="nil"/>
              <w:left w:val="nil"/>
              <w:right w:val="nil"/>
            </w:tcBorders>
            <w:vAlign w:val="center"/>
          </w:tcPr>
          <w:p w14:paraId="113DC5F9" w14:textId="77777777" w:rsidR="00AB6191" w:rsidRPr="008231CB" w:rsidRDefault="00AB6191" w:rsidP="00AB6191">
            <w:pPr>
              <w:jc w:val="center"/>
              <w:rPr>
                <w:noProof/>
              </w:rPr>
            </w:pPr>
          </w:p>
        </w:tc>
        <w:tc>
          <w:tcPr>
            <w:tcW w:w="1560" w:type="dxa"/>
            <w:tcBorders>
              <w:top w:val="nil"/>
              <w:left w:val="nil"/>
              <w:right w:val="nil"/>
            </w:tcBorders>
          </w:tcPr>
          <w:p w14:paraId="09E09204" w14:textId="77777777" w:rsidR="00AB6191" w:rsidRPr="008231CB" w:rsidRDefault="00AB6191" w:rsidP="00AB6191">
            <w:pPr>
              <w:rPr>
                <w:noProof/>
                <w:sz w:val="20"/>
              </w:rPr>
            </w:pPr>
          </w:p>
        </w:tc>
        <w:tc>
          <w:tcPr>
            <w:tcW w:w="534" w:type="dxa"/>
            <w:tcBorders>
              <w:top w:val="nil"/>
              <w:left w:val="nil"/>
            </w:tcBorders>
          </w:tcPr>
          <w:p w14:paraId="074E4B8B" w14:textId="77777777" w:rsidR="00AB6191" w:rsidRPr="008231CB" w:rsidRDefault="00AB6191" w:rsidP="00AB6191">
            <w:pPr>
              <w:jc w:val="center"/>
              <w:rPr>
                <w:noProof/>
                <w:sz w:val="20"/>
              </w:rPr>
            </w:pPr>
          </w:p>
        </w:tc>
        <w:tc>
          <w:tcPr>
            <w:tcW w:w="868" w:type="dxa"/>
            <w:vAlign w:val="center"/>
          </w:tcPr>
          <w:p w14:paraId="61B4CDCA" w14:textId="77777777" w:rsidR="00AB6191" w:rsidRPr="008231CB" w:rsidRDefault="00AB6191" w:rsidP="00AB6191">
            <w:pPr>
              <w:jc w:val="center"/>
              <w:rPr>
                <w:noProof/>
                <w:sz w:val="20"/>
              </w:rPr>
            </w:pPr>
            <w:r>
              <w:rPr>
                <w:noProof/>
                <w:sz w:val="20"/>
              </w:rPr>
              <w:t>2025</w:t>
            </w:r>
          </w:p>
        </w:tc>
        <w:tc>
          <w:tcPr>
            <w:tcW w:w="868" w:type="dxa"/>
            <w:vAlign w:val="center"/>
          </w:tcPr>
          <w:p w14:paraId="7047A45C" w14:textId="77777777" w:rsidR="00AB6191" w:rsidRPr="008231CB" w:rsidRDefault="00AB6191" w:rsidP="00AB6191">
            <w:pPr>
              <w:jc w:val="center"/>
              <w:rPr>
                <w:noProof/>
                <w:sz w:val="20"/>
              </w:rPr>
            </w:pPr>
            <w:r>
              <w:rPr>
                <w:noProof/>
                <w:sz w:val="20"/>
              </w:rPr>
              <w:t>2026</w:t>
            </w:r>
          </w:p>
        </w:tc>
        <w:tc>
          <w:tcPr>
            <w:tcW w:w="868" w:type="dxa"/>
            <w:vAlign w:val="center"/>
          </w:tcPr>
          <w:p w14:paraId="07793F6F" w14:textId="77777777" w:rsidR="00AB6191" w:rsidRPr="008231CB" w:rsidRDefault="00AB6191" w:rsidP="00AB6191">
            <w:pPr>
              <w:jc w:val="center"/>
              <w:rPr>
                <w:noProof/>
                <w:sz w:val="20"/>
              </w:rPr>
            </w:pPr>
            <w:r>
              <w:rPr>
                <w:noProof/>
                <w:sz w:val="20"/>
              </w:rPr>
              <w:t>2027</w:t>
            </w:r>
          </w:p>
        </w:tc>
        <w:tc>
          <w:tcPr>
            <w:tcW w:w="868" w:type="dxa"/>
            <w:vAlign w:val="center"/>
          </w:tcPr>
          <w:p w14:paraId="518328EA" w14:textId="77777777" w:rsidR="00AB6191" w:rsidRPr="008231CB" w:rsidRDefault="00AB6191" w:rsidP="00AB6191">
            <w:pPr>
              <w:jc w:val="center"/>
              <w:rPr>
                <w:noProof/>
                <w:sz w:val="20"/>
              </w:rPr>
            </w:pPr>
          </w:p>
        </w:tc>
        <w:tc>
          <w:tcPr>
            <w:tcW w:w="2604" w:type="dxa"/>
            <w:gridSpan w:val="3"/>
            <w:vAlign w:val="center"/>
          </w:tcPr>
          <w:p w14:paraId="2FC57D90" w14:textId="77777777" w:rsidR="00AB6191" w:rsidRPr="008231CB" w:rsidRDefault="00AB6191" w:rsidP="00AB6191">
            <w:pPr>
              <w:jc w:val="center"/>
              <w:rPr>
                <w:b/>
                <w:noProof/>
                <w:sz w:val="18"/>
              </w:rPr>
            </w:pPr>
            <w:r w:rsidRPr="008231CB">
              <w:rPr>
                <w:noProof/>
                <w:sz w:val="18"/>
              </w:rPr>
              <w:t xml:space="preserve">Enter as many years as necessary to show the duration of the impact (see point 1.6) </w:t>
            </w:r>
          </w:p>
        </w:tc>
        <w:tc>
          <w:tcPr>
            <w:tcW w:w="1777" w:type="dxa"/>
            <w:vAlign w:val="center"/>
          </w:tcPr>
          <w:p w14:paraId="466ECE03" w14:textId="77777777" w:rsidR="00AB6191" w:rsidRPr="008231CB" w:rsidRDefault="00AB6191" w:rsidP="00AB6191">
            <w:pPr>
              <w:jc w:val="center"/>
              <w:rPr>
                <w:b/>
                <w:noProof/>
                <w:sz w:val="20"/>
              </w:rPr>
            </w:pPr>
            <w:r w:rsidRPr="008231CB">
              <w:rPr>
                <w:b/>
                <w:noProof/>
                <w:sz w:val="20"/>
              </w:rPr>
              <w:t>TOTAL</w:t>
            </w:r>
          </w:p>
        </w:tc>
      </w:tr>
      <w:tr w:rsidR="00AB6191" w:rsidRPr="008231CB" w14:paraId="6534AE9F" w14:textId="77777777" w:rsidTr="00AB6191">
        <w:trPr>
          <w:gridAfter w:val="10"/>
          <w:wAfter w:w="9947" w:type="dxa"/>
        </w:trPr>
        <w:tc>
          <w:tcPr>
            <w:tcW w:w="3960" w:type="dxa"/>
            <w:vAlign w:val="center"/>
          </w:tcPr>
          <w:p w14:paraId="333DCED6" w14:textId="77777777" w:rsidR="00AB6191" w:rsidRPr="008231CB" w:rsidRDefault="00AB6191" w:rsidP="00AB6191">
            <w:pPr>
              <w:spacing w:before="60" w:after="60"/>
              <w:jc w:val="center"/>
              <w:rPr>
                <w:noProof/>
              </w:rPr>
            </w:pPr>
            <w:r w:rsidRPr="008231CB">
              <w:rPr>
                <w:noProof/>
                <w:sz w:val="22"/>
              </w:rPr>
              <w:t>DG</w:t>
            </w:r>
            <w:r>
              <w:rPr>
                <w:noProof/>
                <w:sz w:val="22"/>
              </w:rPr>
              <w:t xml:space="preserve"> JUST</w:t>
            </w:r>
          </w:p>
        </w:tc>
      </w:tr>
      <w:tr w:rsidR="00AB6191" w:rsidRPr="008231CB" w14:paraId="28C02966" w14:textId="77777777" w:rsidTr="00AB6191">
        <w:trPr>
          <w:trHeight w:val="313"/>
        </w:trPr>
        <w:tc>
          <w:tcPr>
            <w:tcW w:w="6054" w:type="dxa"/>
            <w:gridSpan w:val="3"/>
            <w:vAlign w:val="center"/>
          </w:tcPr>
          <w:p w14:paraId="311C0385" w14:textId="77777777" w:rsidR="00AB6191" w:rsidRPr="008231CB" w:rsidRDefault="00AB6191" w:rsidP="00AB6191">
            <w:pPr>
              <w:spacing w:before="20" w:after="20"/>
              <w:rPr>
                <w:noProof/>
              </w:rPr>
            </w:pPr>
            <w:r>
              <w:rPr>
                <w:rFonts w:ascii="Wingdings" w:eastAsia="Wingdings" w:hAnsi="Wingdings" w:cs="Wingdings"/>
                <w:noProof/>
                <w:sz w:val="22"/>
              </w:rPr>
              <w:t></w:t>
            </w:r>
            <w:r w:rsidRPr="008231CB">
              <w:rPr>
                <w:noProof/>
                <w:sz w:val="22"/>
              </w:rPr>
              <w:t xml:space="preserve"> Human resources </w:t>
            </w:r>
          </w:p>
        </w:tc>
        <w:tc>
          <w:tcPr>
            <w:tcW w:w="868" w:type="dxa"/>
            <w:vAlign w:val="center"/>
          </w:tcPr>
          <w:p w14:paraId="1ABFE587" w14:textId="77777777" w:rsidR="00AB6191" w:rsidRPr="008231CB" w:rsidRDefault="00AB6191" w:rsidP="00AB6191">
            <w:pPr>
              <w:spacing w:before="20" w:after="20"/>
              <w:jc w:val="right"/>
              <w:rPr>
                <w:noProof/>
                <w:sz w:val="20"/>
              </w:rPr>
            </w:pPr>
            <w:r>
              <w:rPr>
                <w:noProof/>
                <w:sz w:val="20"/>
              </w:rPr>
              <w:t>0.</w:t>
            </w:r>
            <w:r w:rsidRPr="00C873B0">
              <w:rPr>
                <w:noProof/>
                <w:sz w:val="20"/>
              </w:rPr>
              <w:t>38</w:t>
            </w:r>
            <w:r>
              <w:rPr>
                <w:noProof/>
                <w:sz w:val="20"/>
              </w:rPr>
              <w:t>5</w:t>
            </w:r>
          </w:p>
        </w:tc>
        <w:tc>
          <w:tcPr>
            <w:tcW w:w="868" w:type="dxa"/>
            <w:vAlign w:val="center"/>
          </w:tcPr>
          <w:p w14:paraId="4ED52836" w14:textId="77777777" w:rsidR="00AB6191" w:rsidRPr="008231CB" w:rsidRDefault="00AB6191" w:rsidP="00AB6191">
            <w:pPr>
              <w:spacing w:before="20" w:after="20"/>
              <w:jc w:val="right"/>
              <w:rPr>
                <w:noProof/>
                <w:sz w:val="20"/>
              </w:rPr>
            </w:pPr>
            <w:r>
              <w:rPr>
                <w:noProof/>
                <w:sz w:val="20"/>
              </w:rPr>
              <w:t>0.</w:t>
            </w:r>
            <w:r w:rsidRPr="00C873B0">
              <w:rPr>
                <w:noProof/>
                <w:sz w:val="20"/>
              </w:rPr>
              <w:t>38</w:t>
            </w:r>
            <w:r>
              <w:rPr>
                <w:noProof/>
                <w:sz w:val="20"/>
              </w:rPr>
              <w:t>5</w:t>
            </w:r>
          </w:p>
        </w:tc>
        <w:tc>
          <w:tcPr>
            <w:tcW w:w="868" w:type="dxa"/>
            <w:vAlign w:val="center"/>
          </w:tcPr>
          <w:p w14:paraId="627473FC" w14:textId="77777777" w:rsidR="00AB6191" w:rsidRPr="008231CB" w:rsidRDefault="00AB6191" w:rsidP="00AB6191">
            <w:pPr>
              <w:spacing w:before="20" w:after="20"/>
              <w:jc w:val="right"/>
              <w:rPr>
                <w:noProof/>
                <w:sz w:val="20"/>
              </w:rPr>
            </w:pPr>
            <w:r>
              <w:rPr>
                <w:noProof/>
                <w:sz w:val="20"/>
              </w:rPr>
              <w:t>0.</w:t>
            </w:r>
            <w:r w:rsidRPr="00C873B0">
              <w:rPr>
                <w:noProof/>
                <w:sz w:val="20"/>
              </w:rPr>
              <w:t>38</w:t>
            </w:r>
            <w:r>
              <w:rPr>
                <w:noProof/>
                <w:sz w:val="20"/>
              </w:rPr>
              <w:t>5</w:t>
            </w:r>
          </w:p>
        </w:tc>
        <w:tc>
          <w:tcPr>
            <w:tcW w:w="868" w:type="dxa"/>
            <w:vAlign w:val="center"/>
          </w:tcPr>
          <w:p w14:paraId="2892789E" w14:textId="77777777" w:rsidR="00AB6191" w:rsidRPr="008231CB" w:rsidRDefault="00AB6191" w:rsidP="00AB6191">
            <w:pPr>
              <w:spacing w:before="20" w:after="20"/>
              <w:jc w:val="right"/>
              <w:rPr>
                <w:noProof/>
                <w:sz w:val="20"/>
              </w:rPr>
            </w:pPr>
          </w:p>
        </w:tc>
        <w:tc>
          <w:tcPr>
            <w:tcW w:w="868" w:type="dxa"/>
            <w:vAlign w:val="center"/>
          </w:tcPr>
          <w:p w14:paraId="162A18B9" w14:textId="77777777" w:rsidR="00AB6191" w:rsidRPr="008231CB" w:rsidRDefault="00AB6191" w:rsidP="00AB6191">
            <w:pPr>
              <w:spacing w:before="20" w:after="20"/>
              <w:jc w:val="right"/>
              <w:rPr>
                <w:noProof/>
                <w:sz w:val="20"/>
              </w:rPr>
            </w:pPr>
          </w:p>
        </w:tc>
        <w:tc>
          <w:tcPr>
            <w:tcW w:w="868" w:type="dxa"/>
            <w:vAlign w:val="center"/>
          </w:tcPr>
          <w:p w14:paraId="68032415" w14:textId="77777777" w:rsidR="00AB6191" w:rsidRPr="008231CB" w:rsidRDefault="00AB6191" w:rsidP="00AB6191">
            <w:pPr>
              <w:spacing w:before="20" w:after="20"/>
              <w:jc w:val="right"/>
              <w:rPr>
                <w:noProof/>
                <w:sz w:val="20"/>
              </w:rPr>
            </w:pPr>
          </w:p>
        </w:tc>
        <w:tc>
          <w:tcPr>
            <w:tcW w:w="868" w:type="dxa"/>
            <w:vAlign w:val="center"/>
          </w:tcPr>
          <w:p w14:paraId="5B8C2048" w14:textId="77777777" w:rsidR="00AB6191" w:rsidRPr="008231CB" w:rsidRDefault="00AB6191" w:rsidP="00AB6191">
            <w:pPr>
              <w:spacing w:before="20" w:after="20"/>
              <w:jc w:val="right"/>
              <w:rPr>
                <w:b/>
                <w:noProof/>
                <w:sz w:val="20"/>
              </w:rPr>
            </w:pPr>
          </w:p>
        </w:tc>
        <w:tc>
          <w:tcPr>
            <w:tcW w:w="1777" w:type="dxa"/>
            <w:vAlign w:val="center"/>
          </w:tcPr>
          <w:p w14:paraId="29BF3E27" w14:textId="77777777" w:rsidR="00AB6191" w:rsidRPr="008231CB" w:rsidRDefault="00AB6191" w:rsidP="00AB6191">
            <w:pPr>
              <w:spacing w:before="20" w:after="20"/>
              <w:jc w:val="right"/>
              <w:rPr>
                <w:b/>
                <w:noProof/>
                <w:sz w:val="20"/>
              </w:rPr>
            </w:pPr>
            <w:r>
              <w:rPr>
                <w:b/>
                <w:noProof/>
                <w:sz w:val="20"/>
              </w:rPr>
              <w:t>1.155</w:t>
            </w:r>
          </w:p>
        </w:tc>
      </w:tr>
      <w:tr w:rsidR="00AB6191" w:rsidRPr="008231CB" w14:paraId="71D6B761" w14:textId="77777777" w:rsidTr="00AB6191">
        <w:trPr>
          <w:trHeight w:val="351"/>
        </w:trPr>
        <w:tc>
          <w:tcPr>
            <w:tcW w:w="6054" w:type="dxa"/>
            <w:gridSpan w:val="3"/>
            <w:vAlign w:val="center"/>
          </w:tcPr>
          <w:p w14:paraId="6F00EF9D" w14:textId="77777777" w:rsidR="00AB6191" w:rsidRPr="008231CB" w:rsidRDefault="00AB6191" w:rsidP="00AB6191">
            <w:pPr>
              <w:spacing w:before="20" w:after="20"/>
              <w:rPr>
                <w:noProof/>
              </w:rPr>
            </w:pPr>
            <w:r w:rsidRPr="008231CB">
              <w:rPr>
                <w:rFonts w:ascii="Wingdings" w:eastAsia="Wingdings" w:hAnsi="Wingdings" w:cs="Wingdings"/>
                <w:noProof/>
                <w:sz w:val="22"/>
              </w:rPr>
              <w:t>□</w:t>
            </w:r>
            <w:r w:rsidRPr="008231CB">
              <w:rPr>
                <w:noProof/>
                <w:sz w:val="22"/>
              </w:rPr>
              <w:t xml:space="preserve"> Other administrative expenditure </w:t>
            </w:r>
          </w:p>
        </w:tc>
        <w:tc>
          <w:tcPr>
            <w:tcW w:w="868" w:type="dxa"/>
            <w:vAlign w:val="center"/>
          </w:tcPr>
          <w:p w14:paraId="11F557C5" w14:textId="77777777" w:rsidR="00AB6191" w:rsidRPr="00676924" w:rsidRDefault="00AB6191" w:rsidP="00AB6191">
            <w:pPr>
              <w:spacing w:before="20" w:after="20"/>
              <w:jc w:val="right"/>
              <w:rPr>
                <w:noProof/>
                <w:sz w:val="20"/>
              </w:rPr>
            </w:pPr>
          </w:p>
        </w:tc>
        <w:tc>
          <w:tcPr>
            <w:tcW w:w="868" w:type="dxa"/>
            <w:vAlign w:val="center"/>
          </w:tcPr>
          <w:p w14:paraId="0C34CC41" w14:textId="77777777" w:rsidR="00AB6191" w:rsidRPr="00676924" w:rsidRDefault="00AB6191" w:rsidP="00AB6191">
            <w:pPr>
              <w:spacing w:before="20" w:after="20"/>
              <w:jc w:val="right"/>
              <w:rPr>
                <w:noProof/>
                <w:sz w:val="20"/>
              </w:rPr>
            </w:pPr>
          </w:p>
        </w:tc>
        <w:tc>
          <w:tcPr>
            <w:tcW w:w="868" w:type="dxa"/>
            <w:vAlign w:val="center"/>
          </w:tcPr>
          <w:p w14:paraId="608C891E" w14:textId="77777777" w:rsidR="00AB6191" w:rsidRPr="00676924" w:rsidRDefault="00AB6191" w:rsidP="00AB6191">
            <w:pPr>
              <w:spacing w:before="20" w:after="20"/>
              <w:jc w:val="right"/>
              <w:rPr>
                <w:noProof/>
                <w:sz w:val="20"/>
              </w:rPr>
            </w:pPr>
          </w:p>
        </w:tc>
        <w:tc>
          <w:tcPr>
            <w:tcW w:w="868" w:type="dxa"/>
            <w:vAlign w:val="center"/>
          </w:tcPr>
          <w:p w14:paraId="0A7523E3" w14:textId="77777777" w:rsidR="00AB6191" w:rsidRPr="00676924" w:rsidRDefault="00AB6191" w:rsidP="00AB6191">
            <w:pPr>
              <w:spacing w:before="20" w:after="20"/>
              <w:jc w:val="right"/>
              <w:rPr>
                <w:noProof/>
                <w:sz w:val="20"/>
              </w:rPr>
            </w:pPr>
          </w:p>
        </w:tc>
        <w:tc>
          <w:tcPr>
            <w:tcW w:w="868" w:type="dxa"/>
            <w:vAlign w:val="center"/>
          </w:tcPr>
          <w:p w14:paraId="4AEE62BA" w14:textId="77777777" w:rsidR="00AB6191" w:rsidRPr="00676924" w:rsidRDefault="00AB6191" w:rsidP="00AB6191">
            <w:pPr>
              <w:spacing w:before="20" w:after="20"/>
              <w:jc w:val="right"/>
              <w:rPr>
                <w:noProof/>
                <w:sz w:val="20"/>
              </w:rPr>
            </w:pPr>
          </w:p>
        </w:tc>
        <w:tc>
          <w:tcPr>
            <w:tcW w:w="868" w:type="dxa"/>
            <w:vAlign w:val="center"/>
          </w:tcPr>
          <w:p w14:paraId="364E5A4E" w14:textId="77777777" w:rsidR="00AB6191" w:rsidRPr="00676924" w:rsidRDefault="00AB6191" w:rsidP="00AB6191">
            <w:pPr>
              <w:spacing w:before="20" w:after="20"/>
              <w:jc w:val="right"/>
              <w:rPr>
                <w:noProof/>
                <w:sz w:val="20"/>
              </w:rPr>
            </w:pPr>
          </w:p>
        </w:tc>
        <w:tc>
          <w:tcPr>
            <w:tcW w:w="868" w:type="dxa"/>
            <w:vAlign w:val="center"/>
          </w:tcPr>
          <w:p w14:paraId="76EB28EA" w14:textId="77777777" w:rsidR="00AB6191" w:rsidRPr="00676924" w:rsidRDefault="00AB6191" w:rsidP="00AB6191">
            <w:pPr>
              <w:spacing w:before="20" w:after="20"/>
              <w:jc w:val="right"/>
              <w:rPr>
                <w:noProof/>
                <w:sz w:val="20"/>
              </w:rPr>
            </w:pPr>
          </w:p>
        </w:tc>
        <w:tc>
          <w:tcPr>
            <w:tcW w:w="1777" w:type="dxa"/>
            <w:vAlign w:val="center"/>
          </w:tcPr>
          <w:p w14:paraId="368D9D42" w14:textId="77777777" w:rsidR="00AB6191" w:rsidRPr="00676924" w:rsidRDefault="00AB6191" w:rsidP="00AB6191">
            <w:pPr>
              <w:spacing w:before="20" w:after="20"/>
              <w:jc w:val="right"/>
              <w:rPr>
                <w:noProof/>
                <w:sz w:val="20"/>
              </w:rPr>
            </w:pPr>
          </w:p>
        </w:tc>
      </w:tr>
      <w:tr w:rsidR="00AB6191" w:rsidRPr="008231CB" w14:paraId="60036431" w14:textId="77777777" w:rsidTr="00AB6191">
        <w:tc>
          <w:tcPr>
            <w:tcW w:w="3960" w:type="dxa"/>
            <w:vAlign w:val="center"/>
          </w:tcPr>
          <w:p w14:paraId="5545EC3D" w14:textId="77777777" w:rsidR="00AB6191" w:rsidRPr="008231CB" w:rsidRDefault="00AB6191" w:rsidP="00AB6191">
            <w:pPr>
              <w:jc w:val="center"/>
              <w:rPr>
                <w:b/>
                <w:noProof/>
              </w:rPr>
            </w:pPr>
            <w:r w:rsidRPr="008231CB">
              <w:rPr>
                <w:b/>
                <w:noProof/>
                <w:sz w:val="22"/>
              </w:rPr>
              <w:t xml:space="preserve">TOTAL DG </w:t>
            </w:r>
            <w:r>
              <w:rPr>
                <w:noProof/>
                <w:sz w:val="22"/>
              </w:rPr>
              <w:t>JUST</w:t>
            </w:r>
          </w:p>
        </w:tc>
        <w:tc>
          <w:tcPr>
            <w:tcW w:w="2094" w:type="dxa"/>
            <w:gridSpan w:val="2"/>
            <w:vAlign w:val="center"/>
          </w:tcPr>
          <w:p w14:paraId="7684BE7E" w14:textId="77777777" w:rsidR="00AB6191" w:rsidRPr="008231CB" w:rsidRDefault="00AB6191" w:rsidP="00AB6191">
            <w:pPr>
              <w:rPr>
                <w:noProof/>
                <w:sz w:val="14"/>
              </w:rPr>
            </w:pPr>
            <w:r w:rsidRPr="008231CB">
              <w:rPr>
                <w:noProof/>
                <w:sz w:val="18"/>
              </w:rPr>
              <w:t xml:space="preserve">Appropriations </w:t>
            </w:r>
          </w:p>
        </w:tc>
        <w:tc>
          <w:tcPr>
            <w:tcW w:w="868" w:type="dxa"/>
            <w:vAlign w:val="center"/>
          </w:tcPr>
          <w:p w14:paraId="5D8CDBE9" w14:textId="77777777" w:rsidR="00AB6191" w:rsidRPr="008231CB" w:rsidRDefault="00AB6191" w:rsidP="00AB6191">
            <w:pPr>
              <w:spacing w:before="60" w:after="60"/>
              <w:jc w:val="right"/>
              <w:rPr>
                <w:noProof/>
                <w:sz w:val="20"/>
              </w:rPr>
            </w:pPr>
            <w:r>
              <w:rPr>
                <w:noProof/>
                <w:sz w:val="20"/>
              </w:rPr>
              <w:t>0.</w:t>
            </w:r>
            <w:r w:rsidRPr="00C873B0">
              <w:rPr>
                <w:noProof/>
                <w:sz w:val="20"/>
              </w:rPr>
              <w:t>38</w:t>
            </w:r>
            <w:r>
              <w:rPr>
                <w:noProof/>
                <w:sz w:val="20"/>
              </w:rPr>
              <w:t>5</w:t>
            </w:r>
          </w:p>
        </w:tc>
        <w:tc>
          <w:tcPr>
            <w:tcW w:w="868" w:type="dxa"/>
            <w:vAlign w:val="center"/>
          </w:tcPr>
          <w:p w14:paraId="7FDD6876" w14:textId="77777777" w:rsidR="00AB6191" w:rsidRPr="008231CB" w:rsidRDefault="00AB6191" w:rsidP="00AB6191">
            <w:pPr>
              <w:spacing w:before="20" w:after="20"/>
              <w:jc w:val="right"/>
              <w:rPr>
                <w:noProof/>
                <w:sz w:val="20"/>
              </w:rPr>
            </w:pPr>
            <w:r>
              <w:rPr>
                <w:noProof/>
                <w:sz w:val="20"/>
              </w:rPr>
              <w:t>0.</w:t>
            </w:r>
            <w:r w:rsidRPr="00C873B0">
              <w:rPr>
                <w:noProof/>
                <w:sz w:val="20"/>
              </w:rPr>
              <w:t>38</w:t>
            </w:r>
            <w:r>
              <w:rPr>
                <w:noProof/>
                <w:sz w:val="20"/>
              </w:rPr>
              <w:t>5</w:t>
            </w:r>
          </w:p>
        </w:tc>
        <w:tc>
          <w:tcPr>
            <w:tcW w:w="868" w:type="dxa"/>
            <w:vAlign w:val="center"/>
          </w:tcPr>
          <w:p w14:paraId="6BFD6981" w14:textId="77777777" w:rsidR="00AB6191" w:rsidRPr="008231CB" w:rsidRDefault="00AB6191" w:rsidP="00AB6191">
            <w:pPr>
              <w:spacing w:before="20" w:after="20"/>
              <w:jc w:val="right"/>
              <w:rPr>
                <w:noProof/>
                <w:sz w:val="20"/>
              </w:rPr>
            </w:pPr>
            <w:r>
              <w:rPr>
                <w:noProof/>
                <w:sz w:val="20"/>
              </w:rPr>
              <w:t>0.</w:t>
            </w:r>
            <w:r w:rsidRPr="00C873B0">
              <w:rPr>
                <w:noProof/>
                <w:sz w:val="20"/>
              </w:rPr>
              <w:t>38</w:t>
            </w:r>
            <w:r>
              <w:rPr>
                <w:noProof/>
                <w:sz w:val="20"/>
              </w:rPr>
              <w:t>5</w:t>
            </w:r>
          </w:p>
        </w:tc>
        <w:tc>
          <w:tcPr>
            <w:tcW w:w="868" w:type="dxa"/>
            <w:vAlign w:val="center"/>
          </w:tcPr>
          <w:p w14:paraId="73C576C4" w14:textId="77777777" w:rsidR="00AB6191" w:rsidRPr="008231CB" w:rsidRDefault="00AB6191" w:rsidP="00AB6191">
            <w:pPr>
              <w:spacing w:before="20" w:after="20"/>
              <w:jc w:val="right"/>
              <w:rPr>
                <w:noProof/>
                <w:sz w:val="20"/>
              </w:rPr>
            </w:pPr>
          </w:p>
        </w:tc>
        <w:tc>
          <w:tcPr>
            <w:tcW w:w="868" w:type="dxa"/>
            <w:vAlign w:val="center"/>
          </w:tcPr>
          <w:p w14:paraId="796A359C" w14:textId="77777777" w:rsidR="00AB6191" w:rsidRPr="008231CB" w:rsidRDefault="00AB6191" w:rsidP="00AB6191">
            <w:pPr>
              <w:spacing w:before="20" w:after="20"/>
              <w:jc w:val="right"/>
              <w:rPr>
                <w:noProof/>
                <w:sz w:val="20"/>
              </w:rPr>
            </w:pPr>
          </w:p>
        </w:tc>
        <w:tc>
          <w:tcPr>
            <w:tcW w:w="868" w:type="dxa"/>
            <w:vAlign w:val="center"/>
          </w:tcPr>
          <w:p w14:paraId="7A979DFA" w14:textId="77777777" w:rsidR="00AB6191" w:rsidRPr="008231CB" w:rsidRDefault="00AB6191" w:rsidP="00AB6191">
            <w:pPr>
              <w:spacing w:before="20" w:after="20"/>
              <w:jc w:val="right"/>
              <w:rPr>
                <w:noProof/>
                <w:sz w:val="20"/>
              </w:rPr>
            </w:pPr>
          </w:p>
        </w:tc>
        <w:tc>
          <w:tcPr>
            <w:tcW w:w="868" w:type="dxa"/>
            <w:vAlign w:val="center"/>
          </w:tcPr>
          <w:p w14:paraId="259466D9" w14:textId="77777777" w:rsidR="00AB6191" w:rsidRPr="00676924" w:rsidRDefault="00AB6191" w:rsidP="00AB6191">
            <w:pPr>
              <w:spacing w:before="20" w:after="20"/>
              <w:jc w:val="right"/>
              <w:rPr>
                <w:noProof/>
                <w:sz w:val="20"/>
              </w:rPr>
            </w:pPr>
          </w:p>
        </w:tc>
        <w:tc>
          <w:tcPr>
            <w:tcW w:w="1777" w:type="dxa"/>
            <w:vAlign w:val="center"/>
          </w:tcPr>
          <w:p w14:paraId="493A6361" w14:textId="77777777" w:rsidR="00AB6191" w:rsidRPr="00840B0C" w:rsidRDefault="00AB6191" w:rsidP="00AB6191">
            <w:pPr>
              <w:spacing w:before="20" w:after="20"/>
              <w:jc w:val="right"/>
              <w:rPr>
                <w:b/>
                <w:bCs/>
                <w:noProof/>
                <w:sz w:val="20"/>
              </w:rPr>
            </w:pPr>
            <w:r>
              <w:rPr>
                <w:b/>
                <w:noProof/>
                <w:sz w:val="20"/>
              </w:rPr>
              <w:t>1.155</w:t>
            </w:r>
          </w:p>
        </w:tc>
      </w:tr>
    </w:tbl>
    <w:p w14:paraId="7D27917A" w14:textId="77777777" w:rsidR="00AB6191" w:rsidRPr="008231CB" w:rsidRDefault="00AB6191" w:rsidP="00AB619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AB6191" w:rsidRPr="008231CB" w14:paraId="39E6A5FB" w14:textId="77777777" w:rsidTr="00AB6191">
        <w:tc>
          <w:tcPr>
            <w:tcW w:w="3960" w:type="dxa"/>
            <w:shd w:val="thinDiagStripe" w:color="C0C0C0" w:fill="auto"/>
            <w:vAlign w:val="center"/>
          </w:tcPr>
          <w:p w14:paraId="7204E1D0" w14:textId="77777777" w:rsidR="00AB6191" w:rsidRPr="008231CB" w:rsidRDefault="00AB6191" w:rsidP="00AB6191">
            <w:pPr>
              <w:jc w:val="center"/>
              <w:rPr>
                <w:b/>
                <w:noProof/>
              </w:rPr>
            </w:pPr>
            <w:r w:rsidRPr="008231CB">
              <w:rPr>
                <w:b/>
                <w:noProof/>
                <w:sz w:val="22"/>
              </w:rPr>
              <w:t>TOTAL appropriations</w:t>
            </w:r>
            <w:r w:rsidRPr="008231CB">
              <w:rPr>
                <w:noProof/>
                <w:sz w:val="22"/>
              </w:rPr>
              <w:br/>
            </w:r>
            <w:r w:rsidRPr="008231CB">
              <w:rPr>
                <w:b/>
                <w:noProof/>
                <w:sz w:val="22"/>
              </w:rPr>
              <w:t>under HEADING 7</w:t>
            </w:r>
            <w:r w:rsidRPr="008231CB">
              <w:rPr>
                <w:noProof/>
                <w:sz w:val="22"/>
              </w:rPr>
              <w:br/>
              <w:t>of the multiannual financial framework</w:t>
            </w:r>
            <w:r w:rsidRPr="008231CB">
              <w:rPr>
                <w:b/>
                <w:noProof/>
                <w:sz w:val="22"/>
              </w:rPr>
              <w:t xml:space="preserve"> </w:t>
            </w:r>
          </w:p>
        </w:tc>
        <w:tc>
          <w:tcPr>
            <w:tcW w:w="2094" w:type="dxa"/>
            <w:vAlign w:val="center"/>
          </w:tcPr>
          <w:p w14:paraId="4057E95D" w14:textId="77777777" w:rsidR="00AB6191" w:rsidRPr="008231CB" w:rsidRDefault="00AB6191" w:rsidP="00AB6191">
            <w:pPr>
              <w:spacing w:before="40" w:after="40"/>
              <w:rPr>
                <w:noProof/>
              </w:rPr>
            </w:pPr>
            <w:r w:rsidRPr="008231CB">
              <w:rPr>
                <w:noProof/>
                <w:sz w:val="18"/>
              </w:rPr>
              <w:t>(Total commitments = Total payments)</w:t>
            </w:r>
          </w:p>
        </w:tc>
        <w:tc>
          <w:tcPr>
            <w:tcW w:w="868" w:type="dxa"/>
            <w:vAlign w:val="center"/>
          </w:tcPr>
          <w:p w14:paraId="07A077EB" w14:textId="77777777" w:rsidR="00AB6191" w:rsidRPr="008231CB" w:rsidRDefault="00AB6191" w:rsidP="00AB6191">
            <w:pPr>
              <w:spacing w:before="20" w:after="20"/>
              <w:jc w:val="right"/>
              <w:rPr>
                <w:noProof/>
                <w:sz w:val="20"/>
              </w:rPr>
            </w:pPr>
            <w:r>
              <w:rPr>
                <w:noProof/>
                <w:sz w:val="20"/>
              </w:rPr>
              <w:t>0.</w:t>
            </w:r>
            <w:r w:rsidRPr="00C873B0">
              <w:rPr>
                <w:noProof/>
                <w:sz w:val="20"/>
              </w:rPr>
              <w:t>38</w:t>
            </w:r>
            <w:r>
              <w:rPr>
                <w:noProof/>
                <w:sz w:val="20"/>
              </w:rPr>
              <w:t>5</w:t>
            </w:r>
          </w:p>
        </w:tc>
        <w:tc>
          <w:tcPr>
            <w:tcW w:w="868" w:type="dxa"/>
            <w:vAlign w:val="center"/>
          </w:tcPr>
          <w:p w14:paraId="322531C3" w14:textId="77777777" w:rsidR="00AB6191" w:rsidRPr="008231CB" w:rsidRDefault="00AB6191" w:rsidP="00AB6191">
            <w:pPr>
              <w:spacing w:before="20" w:after="20"/>
              <w:jc w:val="right"/>
              <w:rPr>
                <w:noProof/>
                <w:sz w:val="20"/>
              </w:rPr>
            </w:pPr>
            <w:r>
              <w:rPr>
                <w:noProof/>
                <w:sz w:val="20"/>
              </w:rPr>
              <w:t>0.</w:t>
            </w:r>
            <w:r w:rsidRPr="00C873B0">
              <w:rPr>
                <w:noProof/>
                <w:sz w:val="20"/>
              </w:rPr>
              <w:t>38</w:t>
            </w:r>
            <w:r>
              <w:rPr>
                <w:noProof/>
                <w:sz w:val="20"/>
              </w:rPr>
              <w:t>5</w:t>
            </w:r>
          </w:p>
        </w:tc>
        <w:tc>
          <w:tcPr>
            <w:tcW w:w="868" w:type="dxa"/>
            <w:vAlign w:val="center"/>
          </w:tcPr>
          <w:p w14:paraId="57F2D2F1" w14:textId="77777777" w:rsidR="00AB6191" w:rsidRPr="008231CB" w:rsidRDefault="00AB6191" w:rsidP="00AB6191">
            <w:pPr>
              <w:spacing w:before="20" w:after="20"/>
              <w:jc w:val="right"/>
              <w:rPr>
                <w:noProof/>
                <w:sz w:val="20"/>
              </w:rPr>
            </w:pPr>
            <w:r>
              <w:rPr>
                <w:noProof/>
                <w:sz w:val="20"/>
              </w:rPr>
              <w:t>0.</w:t>
            </w:r>
            <w:r w:rsidRPr="00C873B0">
              <w:rPr>
                <w:noProof/>
                <w:sz w:val="20"/>
              </w:rPr>
              <w:t>38</w:t>
            </w:r>
            <w:r>
              <w:rPr>
                <w:noProof/>
                <w:sz w:val="20"/>
              </w:rPr>
              <w:t>5</w:t>
            </w:r>
          </w:p>
        </w:tc>
        <w:tc>
          <w:tcPr>
            <w:tcW w:w="868" w:type="dxa"/>
            <w:vAlign w:val="center"/>
          </w:tcPr>
          <w:p w14:paraId="19933DDF" w14:textId="77777777" w:rsidR="00AB6191" w:rsidRPr="008231CB" w:rsidRDefault="00AB6191" w:rsidP="00AB6191">
            <w:pPr>
              <w:spacing w:before="20" w:after="20"/>
              <w:jc w:val="right"/>
              <w:rPr>
                <w:noProof/>
                <w:sz w:val="20"/>
              </w:rPr>
            </w:pPr>
          </w:p>
        </w:tc>
        <w:tc>
          <w:tcPr>
            <w:tcW w:w="868" w:type="dxa"/>
            <w:vAlign w:val="center"/>
          </w:tcPr>
          <w:p w14:paraId="40B95114" w14:textId="77777777" w:rsidR="00AB6191" w:rsidRPr="008231CB" w:rsidRDefault="00AB6191" w:rsidP="00AB6191">
            <w:pPr>
              <w:spacing w:before="20" w:after="20"/>
              <w:jc w:val="right"/>
              <w:rPr>
                <w:noProof/>
                <w:sz w:val="20"/>
              </w:rPr>
            </w:pPr>
          </w:p>
        </w:tc>
        <w:tc>
          <w:tcPr>
            <w:tcW w:w="868" w:type="dxa"/>
            <w:vAlign w:val="center"/>
          </w:tcPr>
          <w:p w14:paraId="20684788" w14:textId="77777777" w:rsidR="00AB6191" w:rsidRPr="008231CB" w:rsidRDefault="00AB6191" w:rsidP="00AB6191">
            <w:pPr>
              <w:spacing w:before="20" w:after="20"/>
              <w:jc w:val="right"/>
              <w:rPr>
                <w:noProof/>
                <w:sz w:val="20"/>
              </w:rPr>
            </w:pPr>
          </w:p>
        </w:tc>
        <w:tc>
          <w:tcPr>
            <w:tcW w:w="868" w:type="dxa"/>
            <w:vAlign w:val="center"/>
          </w:tcPr>
          <w:p w14:paraId="5B8CE906" w14:textId="77777777" w:rsidR="00AB6191" w:rsidRPr="008231CB" w:rsidRDefault="00AB6191" w:rsidP="00AB6191">
            <w:pPr>
              <w:spacing w:before="20" w:after="20"/>
              <w:jc w:val="right"/>
              <w:rPr>
                <w:b/>
                <w:noProof/>
                <w:sz w:val="20"/>
              </w:rPr>
            </w:pPr>
          </w:p>
        </w:tc>
        <w:tc>
          <w:tcPr>
            <w:tcW w:w="1777" w:type="dxa"/>
            <w:vAlign w:val="center"/>
          </w:tcPr>
          <w:p w14:paraId="47D462FF" w14:textId="77777777" w:rsidR="00AB6191" w:rsidRPr="00840B0C" w:rsidRDefault="00AB6191" w:rsidP="00AB6191">
            <w:pPr>
              <w:spacing w:before="20" w:after="20"/>
              <w:jc w:val="right"/>
              <w:rPr>
                <w:b/>
                <w:bCs/>
                <w:noProof/>
                <w:sz w:val="20"/>
              </w:rPr>
            </w:pPr>
            <w:r>
              <w:rPr>
                <w:b/>
                <w:noProof/>
                <w:sz w:val="20"/>
              </w:rPr>
              <w:t>1.155</w:t>
            </w:r>
          </w:p>
        </w:tc>
      </w:tr>
    </w:tbl>
    <w:p w14:paraId="607A63C0" w14:textId="77777777" w:rsidR="00AB6191" w:rsidRPr="008231CB" w:rsidRDefault="00AB6191" w:rsidP="00AB6191">
      <w:pPr>
        <w:jc w:val="right"/>
        <w:rPr>
          <w:noProof/>
          <w:sz w:val="20"/>
        </w:rPr>
      </w:pPr>
      <w:r w:rsidRPr="008231CB">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B6191" w:rsidRPr="008231CB" w14:paraId="60FD3FD6" w14:textId="77777777" w:rsidTr="00AB6191">
        <w:tc>
          <w:tcPr>
            <w:tcW w:w="3960" w:type="dxa"/>
            <w:tcBorders>
              <w:top w:val="nil"/>
              <w:left w:val="nil"/>
              <w:right w:val="nil"/>
            </w:tcBorders>
            <w:vAlign w:val="center"/>
          </w:tcPr>
          <w:p w14:paraId="5251A739" w14:textId="77777777" w:rsidR="00AB6191" w:rsidRPr="008231CB" w:rsidRDefault="00AB6191" w:rsidP="00AB6191">
            <w:pPr>
              <w:jc w:val="center"/>
              <w:rPr>
                <w:noProof/>
              </w:rPr>
            </w:pPr>
          </w:p>
        </w:tc>
        <w:tc>
          <w:tcPr>
            <w:tcW w:w="1560" w:type="dxa"/>
            <w:tcBorders>
              <w:top w:val="nil"/>
              <w:left w:val="nil"/>
              <w:right w:val="nil"/>
            </w:tcBorders>
          </w:tcPr>
          <w:p w14:paraId="218913D2" w14:textId="77777777" w:rsidR="00AB6191" w:rsidRPr="008231CB" w:rsidRDefault="00AB6191" w:rsidP="00AB6191">
            <w:pPr>
              <w:rPr>
                <w:noProof/>
                <w:sz w:val="20"/>
              </w:rPr>
            </w:pPr>
          </w:p>
        </w:tc>
        <w:tc>
          <w:tcPr>
            <w:tcW w:w="534" w:type="dxa"/>
            <w:tcBorders>
              <w:top w:val="nil"/>
              <w:left w:val="nil"/>
            </w:tcBorders>
          </w:tcPr>
          <w:p w14:paraId="22CA1829" w14:textId="77777777" w:rsidR="00AB6191" w:rsidRPr="008231CB" w:rsidRDefault="00AB6191" w:rsidP="00AB6191">
            <w:pPr>
              <w:jc w:val="center"/>
              <w:rPr>
                <w:noProof/>
                <w:sz w:val="20"/>
              </w:rPr>
            </w:pPr>
          </w:p>
        </w:tc>
        <w:tc>
          <w:tcPr>
            <w:tcW w:w="868" w:type="dxa"/>
            <w:vAlign w:val="center"/>
          </w:tcPr>
          <w:p w14:paraId="3E0DB190" w14:textId="77777777" w:rsidR="00AB6191" w:rsidRPr="008231CB" w:rsidRDefault="00AB6191" w:rsidP="00AB6191">
            <w:pPr>
              <w:jc w:val="center"/>
              <w:rPr>
                <w:noProof/>
                <w:sz w:val="20"/>
              </w:rPr>
            </w:pPr>
            <w:r>
              <w:rPr>
                <w:noProof/>
                <w:sz w:val="20"/>
              </w:rPr>
              <w:t>2025</w:t>
            </w:r>
          </w:p>
        </w:tc>
        <w:tc>
          <w:tcPr>
            <w:tcW w:w="868" w:type="dxa"/>
            <w:vAlign w:val="center"/>
          </w:tcPr>
          <w:p w14:paraId="2E61C4E5" w14:textId="77777777" w:rsidR="00AB6191" w:rsidRPr="008231CB" w:rsidRDefault="00AB6191" w:rsidP="00AB6191">
            <w:pPr>
              <w:jc w:val="center"/>
              <w:rPr>
                <w:noProof/>
                <w:sz w:val="20"/>
              </w:rPr>
            </w:pPr>
            <w:r>
              <w:rPr>
                <w:noProof/>
                <w:sz w:val="20"/>
              </w:rPr>
              <w:t>2026</w:t>
            </w:r>
          </w:p>
        </w:tc>
        <w:tc>
          <w:tcPr>
            <w:tcW w:w="868" w:type="dxa"/>
            <w:vAlign w:val="center"/>
          </w:tcPr>
          <w:p w14:paraId="77CB4806" w14:textId="77777777" w:rsidR="00AB6191" w:rsidRPr="008231CB" w:rsidRDefault="00AB6191" w:rsidP="00AB6191">
            <w:pPr>
              <w:jc w:val="center"/>
              <w:rPr>
                <w:noProof/>
                <w:sz w:val="20"/>
              </w:rPr>
            </w:pPr>
            <w:r>
              <w:rPr>
                <w:noProof/>
                <w:sz w:val="20"/>
              </w:rPr>
              <w:t>2027</w:t>
            </w:r>
            <w:r w:rsidRPr="00EC6C35">
              <w:rPr>
                <w:rStyle w:val="FootnoteReference"/>
                <w:noProof/>
              </w:rPr>
              <w:footnoteReference w:id="75"/>
            </w:r>
          </w:p>
        </w:tc>
        <w:tc>
          <w:tcPr>
            <w:tcW w:w="868" w:type="dxa"/>
            <w:vAlign w:val="center"/>
          </w:tcPr>
          <w:p w14:paraId="4C970F48" w14:textId="77777777" w:rsidR="00AB6191" w:rsidRPr="008231CB" w:rsidRDefault="00AB6191" w:rsidP="00AB6191">
            <w:pPr>
              <w:jc w:val="center"/>
              <w:rPr>
                <w:noProof/>
                <w:sz w:val="20"/>
              </w:rPr>
            </w:pPr>
          </w:p>
        </w:tc>
        <w:tc>
          <w:tcPr>
            <w:tcW w:w="2604" w:type="dxa"/>
            <w:gridSpan w:val="3"/>
            <w:vAlign w:val="center"/>
          </w:tcPr>
          <w:p w14:paraId="5A3215CC" w14:textId="77777777" w:rsidR="00AB6191" w:rsidRPr="008231CB" w:rsidRDefault="00AB6191" w:rsidP="00AB6191">
            <w:pPr>
              <w:jc w:val="center"/>
              <w:rPr>
                <w:b/>
                <w:noProof/>
                <w:sz w:val="18"/>
              </w:rPr>
            </w:pPr>
            <w:r w:rsidRPr="008231CB">
              <w:rPr>
                <w:noProof/>
                <w:sz w:val="18"/>
              </w:rPr>
              <w:t>Enter as many years as necessary to show the duration of the impact (see point 1.6)</w:t>
            </w:r>
          </w:p>
        </w:tc>
        <w:tc>
          <w:tcPr>
            <w:tcW w:w="1777" w:type="dxa"/>
            <w:vAlign w:val="center"/>
          </w:tcPr>
          <w:p w14:paraId="4E7B0861" w14:textId="77777777" w:rsidR="00AB6191" w:rsidRPr="008231CB" w:rsidRDefault="00AB6191" w:rsidP="00AB6191">
            <w:pPr>
              <w:jc w:val="center"/>
              <w:rPr>
                <w:b/>
                <w:noProof/>
                <w:sz w:val="20"/>
              </w:rPr>
            </w:pPr>
            <w:r w:rsidRPr="008231CB">
              <w:rPr>
                <w:b/>
                <w:noProof/>
                <w:sz w:val="20"/>
              </w:rPr>
              <w:t>TOTAL</w:t>
            </w:r>
          </w:p>
        </w:tc>
      </w:tr>
      <w:tr w:rsidR="00AB6191" w:rsidRPr="008231CB" w14:paraId="3C6A5BE7" w14:textId="77777777" w:rsidTr="00AB6191">
        <w:tc>
          <w:tcPr>
            <w:tcW w:w="3960" w:type="dxa"/>
            <w:vMerge w:val="restart"/>
            <w:shd w:val="clear" w:color="auto" w:fill="C0C0C0"/>
            <w:vAlign w:val="center"/>
          </w:tcPr>
          <w:p w14:paraId="6E86E355" w14:textId="77777777" w:rsidR="00AB6191" w:rsidRPr="008231CB" w:rsidRDefault="00AB6191" w:rsidP="00AB6191">
            <w:pPr>
              <w:jc w:val="center"/>
              <w:rPr>
                <w:b/>
                <w:noProof/>
              </w:rPr>
            </w:pPr>
            <w:r w:rsidRPr="008231CB">
              <w:rPr>
                <w:b/>
                <w:noProof/>
                <w:sz w:val="22"/>
              </w:rPr>
              <w:t xml:space="preserve">TOTAL appropriations </w:t>
            </w:r>
            <w:r w:rsidRPr="008231CB">
              <w:rPr>
                <w:noProof/>
                <w:sz w:val="22"/>
              </w:rPr>
              <w:br/>
            </w:r>
            <w:r w:rsidRPr="008231CB">
              <w:rPr>
                <w:b/>
                <w:noProof/>
                <w:sz w:val="22"/>
              </w:rPr>
              <w:t>under HEADINGS 1 to 7</w:t>
            </w:r>
            <w:r w:rsidRPr="008231CB">
              <w:rPr>
                <w:noProof/>
                <w:sz w:val="22"/>
              </w:rPr>
              <w:br/>
              <w:t>of the multiannual financial framework</w:t>
            </w:r>
            <w:r w:rsidRPr="008231CB">
              <w:rPr>
                <w:b/>
                <w:noProof/>
                <w:sz w:val="22"/>
              </w:rPr>
              <w:t xml:space="preserve"> </w:t>
            </w:r>
          </w:p>
        </w:tc>
        <w:tc>
          <w:tcPr>
            <w:tcW w:w="2094" w:type="dxa"/>
            <w:gridSpan w:val="2"/>
            <w:vAlign w:val="center"/>
          </w:tcPr>
          <w:p w14:paraId="47CC37FA" w14:textId="77777777" w:rsidR="00AB6191" w:rsidRPr="008231CB" w:rsidRDefault="00AB6191" w:rsidP="00AB6191">
            <w:pPr>
              <w:rPr>
                <w:noProof/>
                <w:sz w:val="14"/>
              </w:rPr>
            </w:pPr>
            <w:r w:rsidRPr="008231CB">
              <w:rPr>
                <w:noProof/>
                <w:sz w:val="18"/>
              </w:rPr>
              <w:t>Commitments</w:t>
            </w:r>
          </w:p>
        </w:tc>
        <w:tc>
          <w:tcPr>
            <w:tcW w:w="868" w:type="dxa"/>
            <w:vAlign w:val="center"/>
          </w:tcPr>
          <w:p w14:paraId="008C54A8" w14:textId="77777777" w:rsidR="00AB6191" w:rsidRPr="008231CB" w:rsidRDefault="00AB6191" w:rsidP="00AB6191">
            <w:pPr>
              <w:spacing w:before="60" w:after="60"/>
              <w:jc w:val="right"/>
              <w:rPr>
                <w:noProof/>
                <w:sz w:val="20"/>
              </w:rPr>
            </w:pPr>
            <w:r>
              <w:rPr>
                <w:noProof/>
                <w:sz w:val="20"/>
              </w:rPr>
              <w:t>2.385</w:t>
            </w:r>
          </w:p>
        </w:tc>
        <w:tc>
          <w:tcPr>
            <w:tcW w:w="868" w:type="dxa"/>
            <w:vAlign w:val="center"/>
          </w:tcPr>
          <w:p w14:paraId="2298548D" w14:textId="77777777" w:rsidR="00AB6191" w:rsidRPr="008231CB" w:rsidRDefault="00AB6191" w:rsidP="00AB6191">
            <w:pPr>
              <w:spacing w:before="60" w:after="60"/>
              <w:jc w:val="right"/>
              <w:rPr>
                <w:noProof/>
                <w:sz w:val="20"/>
              </w:rPr>
            </w:pPr>
            <w:r>
              <w:rPr>
                <w:noProof/>
                <w:sz w:val="20"/>
              </w:rPr>
              <w:t>2.385</w:t>
            </w:r>
          </w:p>
        </w:tc>
        <w:tc>
          <w:tcPr>
            <w:tcW w:w="868" w:type="dxa"/>
            <w:vAlign w:val="center"/>
          </w:tcPr>
          <w:p w14:paraId="48F05C72" w14:textId="77777777" w:rsidR="00AB6191" w:rsidRPr="008231CB" w:rsidRDefault="00AB6191" w:rsidP="00AB6191">
            <w:pPr>
              <w:spacing w:before="60" w:after="60"/>
              <w:jc w:val="right"/>
              <w:rPr>
                <w:noProof/>
                <w:sz w:val="20"/>
              </w:rPr>
            </w:pPr>
            <w:r>
              <w:rPr>
                <w:noProof/>
                <w:sz w:val="20"/>
              </w:rPr>
              <w:t>2.385</w:t>
            </w:r>
          </w:p>
        </w:tc>
        <w:tc>
          <w:tcPr>
            <w:tcW w:w="868" w:type="dxa"/>
            <w:vAlign w:val="center"/>
          </w:tcPr>
          <w:p w14:paraId="481761BC" w14:textId="77777777" w:rsidR="00AB6191" w:rsidRPr="008231CB" w:rsidRDefault="00AB6191" w:rsidP="00AB6191">
            <w:pPr>
              <w:spacing w:before="60" w:after="60"/>
              <w:jc w:val="right"/>
              <w:rPr>
                <w:noProof/>
                <w:sz w:val="20"/>
              </w:rPr>
            </w:pPr>
          </w:p>
        </w:tc>
        <w:tc>
          <w:tcPr>
            <w:tcW w:w="868" w:type="dxa"/>
            <w:vAlign w:val="center"/>
          </w:tcPr>
          <w:p w14:paraId="440D4310" w14:textId="77777777" w:rsidR="00AB6191" w:rsidRPr="008231CB" w:rsidRDefault="00AB6191" w:rsidP="00AB6191">
            <w:pPr>
              <w:spacing w:before="60" w:after="60"/>
              <w:jc w:val="right"/>
              <w:rPr>
                <w:noProof/>
                <w:sz w:val="20"/>
              </w:rPr>
            </w:pPr>
          </w:p>
        </w:tc>
        <w:tc>
          <w:tcPr>
            <w:tcW w:w="868" w:type="dxa"/>
            <w:vAlign w:val="center"/>
          </w:tcPr>
          <w:p w14:paraId="4BD28784" w14:textId="77777777" w:rsidR="00AB6191" w:rsidRPr="008231CB" w:rsidRDefault="00AB6191" w:rsidP="00AB6191">
            <w:pPr>
              <w:spacing w:before="60" w:after="60"/>
              <w:jc w:val="right"/>
              <w:rPr>
                <w:noProof/>
                <w:sz w:val="20"/>
              </w:rPr>
            </w:pPr>
          </w:p>
        </w:tc>
        <w:tc>
          <w:tcPr>
            <w:tcW w:w="868" w:type="dxa"/>
            <w:vAlign w:val="center"/>
          </w:tcPr>
          <w:p w14:paraId="66A5B076" w14:textId="77777777" w:rsidR="00AB6191" w:rsidRPr="008231CB" w:rsidRDefault="00AB6191" w:rsidP="00AB6191">
            <w:pPr>
              <w:spacing w:before="60" w:after="60"/>
              <w:jc w:val="right"/>
              <w:rPr>
                <w:b/>
                <w:noProof/>
                <w:sz w:val="20"/>
              </w:rPr>
            </w:pPr>
          </w:p>
        </w:tc>
        <w:tc>
          <w:tcPr>
            <w:tcW w:w="1777" w:type="dxa"/>
            <w:vAlign w:val="center"/>
          </w:tcPr>
          <w:p w14:paraId="7D6F9314" w14:textId="77777777" w:rsidR="00AB6191" w:rsidRPr="008231CB" w:rsidRDefault="00EE7E12" w:rsidP="00AB6191">
            <w:pPr>
              <w:spacing w:before="60" w:after="60"/>
              <w:jc w:val="right"/>
              <w:rPr>
                <w:b/>
                <w:noProof/>
                <w:sz w:val="20"/>
              </w:rPr>
            </w:pPr>
            <w:r>
              <w:rPr>
                <w:b/>
                <w:noProof/>
                <w:sz w:val="20"/>
              </w:rPr>
              <w:t>7</w:t>
            </w:r>
            <w:r w:rsidR="00AB6191">
              <w:rPr>
                <w:b/>
                <w:noProof/>
                <w:sz w:val="20"/>
              </w:rPr>
              <w:t>.155</w:t>
            </w:r>
          </w:p>
        </w:tc>
      </w:tr>
      <w:tr w:rsidR="00AB6191" w:rsidRPr="008231CB" w14:paraId="7A42F5E0" w14:textId="77777777" w:rsidTr="00AB6191">
        <w:tc>
          <w:tcPr>
            <w:tcW w:w="3960" w:type="dxa"/>
            <w:vMerge/>
            <w:shd w:val="clear" w:color="auto" w:fill="C0C0C0"/>
          </w:tcPr>
          <w:p w14:paraId="57548DA6" w14:textId="77777777" w:rsidR="00AB6191" w:rsidRPr="008231CB" w:rsidRDefault="00AB6191" w:rsidP="00AB6191">
            <w:pPr>
              <w:rPr>
                <w:noProof/>
                <w:sz w:val="20"/>
              </w:rPr>
            </w:pPr>
          </w:p>
        </w:tc>
        <w:tc>
          <w:tcPr>
            <w:tcW w:w="2094" w:type="dxa"/>
            <w:gridSpan w:val="2"/>
            <w:vAlign w:val="center"/>
          </w:tcPr>
          <w:p w14:paraId="61CB0640" w14:textId="77777777" w:rsidR="00AB6191" w:rsidRPr="008231CB" w:rsidRDefault="00AB6191" w:rsidP="00AB6191">
            <w:pPr>
              <w:rPr>
                <w:noProof/>
                <w:sz w:val="14"/>
              </w:rPr>
            </w:pPr>
            <w:r w:rsidRPr="008231CB">
              <w:rPr>
                <w:noProof/>
                <w:sz w:val="18"/>
              </w:rPr>
              <w:t>Payments</w:t>
            </w:r>
          </w:p>
        </w:tc>
        <w:tc>
          <w:tcPr>
            <w:tcW w:w="868" w:type="dxa"/>
            <w:vAlign w:val="center"/>
          </w:tcPr>
          <w:p w14:paraId="44BBA323" w14:textId="77777777" w:rsidR="00AB6191" w:rsidRPr="008231CB" w:rsidRDefault="00AB6191" w:rsidP="00AB6191">
            <w:pPr>
              <w:spacing w:before="60" w:after="60"/>
              <w:jc w:val="right"/>
              <w:rPr>
                <w:noProof/>
                <w:sz w:val="20"/>
              </w:rPr>
            </w:pPr>
            <w:r>
              <w:rPr>
                <w:noProof/>
                <w:sz w:val="20"/>
              </w:rPr>
              <w:t>2.385</w:t>
            </w:r>
          </w:p>
        </w:tc>
        <w:tc>
          <w:tcPr>
            <w:tcW w:w="868" w:type="dxa"/>
            <w:vAlign w:val="center"/>
          </w:tcPr>
          <w:p w14:paraId="6D6E400B" w14:textId="77777777" w:rsidR="00AB6191" w:rsidRPr="008231CB" w:rsidRDefault="00AB6191" w:rsidP="00AB6191">
            <w:pPr>
              <w:spacing w:before="60" w:after="60"/>
              <w:jc w:val="right"/>
              <w:rPr>
                <w:noProof/>
                <w:sz w:val="20"/>
              </w:rPr>
            </w:pPr>
            <w:r>
              <w:rPr>
                <w:noProof/>
                <w:sz w:val="20"/>
              </w:rPr>
              <w:t>2.385</w:t>
            </w:r>
          </w:p>
        </w:tc>
        <w:tc>
          <w:tcPr>
            <w:tcW w:w="868" w:type="dxa"/>
            <w:vAlign w:val="center"/>
          </w:tcPr>
          <w:p w14:paraId="399BC707" w14:textId="77777777" w:rsidR="00AB6191" w:rsidRPr="008231CB" w:rsidRDefault="00AB6191" w:rsidP="00AB6191">
            <w:pPr>
              <w:spacing w:before="60" w:after="60"/>
              <w:jc w:val="right"/>
              <w:rPr>
                <w:noProof/>
                <w:sz w:val="20"/>
              </w:rPr>
            </w:pPr>
            <w:r>
              <w:rPr>
                <w:noProof/>
                <w:sz w:val="20"/>
              </w:rPr>
              <w:t>2.385</w:t>
            </w:r>
          </w:p>
        </w:tc>
        <w:tc>
          <w:tcPr>
            <w:tcW w:w="868" w:type="dxa"/>
            <w:vAlign w:val="center"/>
          </w:tcPr>
          <w:p w14:paraId="282F3A13" w14:textId="77777777" w:rsidR="00AB6191" w:rsidRPr="008231CB" w:rsidRDefault="00AB6191" w:rsidP="00AB6191">
            <w:pPr>
              <w:spacing w:before="60" w:after="60"/>
              <w:jc w:val="right"/>
              <w:rPr>
                <w:noProof/>
                <w:sz w:val="20"/>
              </w:rPr>
            </w:pPr>
          </w:p>
        </w:tc>
        <w:tc>
          <w:tcPr>
            <w:tcW w:w="868" w:type="dxa"/>
            <w:vAlign w:val="center"/>
          </w:tcPr>
          <w:p w14:paraId="36D3BF46" w14:textId="77777777" w:rsidR="00AB6191" w:rsidRPr="008231CB" w:rsidRDefault="00AB6191" w:rsidP="00AB6191">
            <w:pPr>
              <w:spacing w:before="60" w:after="60"/>
              <w:jc w:val="right"/>
              <w:rPr>
                <w:noProof/>
                <w:sz w:val="20"/>
              </w:rPr>
            </w:pPr>
          </w:p>
        </w:tc>
        <w:tc>
          <w:tcPr>
            <w:tcW w:w="868" w:type="dxa"/>
            <w:vAlign w:val="center"/>
          </w:tcPr>
          <w:p w14:paraId="745DA822" w14:textId="77777777" w:rsidR="00AB6191" w:rsidRPr="008231CB" w:rsidRDefault="00AB6191" w:rsidP="00AB6191">
            <w:pPr>
              <w:spacing w:before="60" w:after="60"/>
              <w:jc w:val="right"/>
              <w:rPr>
                <w:noProof/>
                <w:sz w:val="20"/>
              </w:rPr>
            </w:pPr>
          </w:p>
        </w:tc>
        <w:tc>
          <w:tcPr>
            <w:tcW w:w="868" w:type="dxa"/>
            <w:vAlign w:val="center"/>
          </w:tcPr>
          <w:p w14:paraId="48081A09" w14:textId="77777777" w:rsidR="00AB6191" w:rsidRPr="008231CB" w:rsidRDefault="00AB6191" w:rsidP="00AB6191">
            <w:pPr>
              <w:spacing w:before="60" w:after="60"/>
              <w:jc w:val="right"/>
              <w:rPr>
                <w:b/>
                <w:noProof/>
                <w:sz w:val="20"/>
              </w:rPr>
            </w:pPr>
          </w:p>
        </w:tc>
        <w:tc>
          <w:tcPr>
            <w:tcW w:w="1777" w:type="dxa"/>
            <w:vAlign w:val="center"/>
          </w:tcPr>
          <w:p w14:paraId="79DBA482" w14:textId="77777777" w:rsidR="00AB6191" w:rsidRPr="008231CB" w:rsidRDefault="00EE7E12" w:rsidP="00AB6191">
            <w:pPr>
              <w:spacing w:before="60" w:after="60"/>
              <w:jc w:val="right"/>
              <w:rPr>
                <w:b/>
                <w:noProof/>
                <w:sz w:val="20"/>
              </w:rPr>
            </w:pPr>
            <w:r>
              <w:rPr>
                <w:b/>
                <w:noProof/>
                <w:sz w:val="20"/>
              </w:rPr>
              <w:t>7</w:t>
            </w:r>
            <w:r w:rsidR="00AB6191">
              <w:rPr>
                <w:b/>
                <w:noProof/>
                <w:sz w:val="20"/>
              </w:rPr>
              <w:t>.155</w:t>
            </w:r>
          </w:p>
        </w:tc>
      </w:tr>
    </w:tbl>
    <w:p w14:paraId="75DF8CE1" w14:textId="77777777" w:rsidR="00AB6191" w:rsidRPr="008231CB" w:rsidRDefault="00AB6191" w:rsidP="00AB6191">
      <w:pPr>
        <w:rPr>
          <w:noProof/>
        </w:rPr>
      </w:pPr>
    </w:p>
    <w:p w14:paraId="1C2C9358" w14:textId="77777777" w:rsidR="00AB6191" w:rsidRPr="008231CB" w:rsidRDefault="00AB6191" w:rsidP="00AB6191">
      <w:pPr>
        <w:pStyle w:val="ManualHeading3"/>
        <w:rPr>
          <w:bCs/>
          <w:noProof/>
          <w:szCs w:val="24"/>
        </w:rPr>
      </w:pPr>
      <w:bookmarkStart w:id="149" w:name="_Toc514938054"/>
      <w:bookmarkStart w:id="150" w:name="_Toc520485053"/>
      <w:bookmarkStart w:id="151" w:name="_Toc126826615"/>
      <w:r w:rsidRPr="008231CB">
        <w:rPr>
          <w:noProof/>
        </w:rPr>
        <w:t>3.2.2.</w:t>
      </w:r>
      <w:r w:rsidRPr="008231CB">
        <w:rPr>
          <w:noProof/>
        </w:rPr>
        <w:tab/>
        <w:t>Estimated output funded with operational appropriations</w:t>
      </w:r>
      <w:bookmarkEnd w:id="149"/>
      <w:bookmarkEnd w:id="150"/>
      <w:bookmarkEnd w:id="151"/>
      <w:r w:rsidRPr="008231CB">
        <w:rPr>
          <w:noProof/>
        </w:rPr>
        <w:t xml:space="preserve"> </w:t>
      </w:r>
    </w:p>
    <w:p w14:paraId="751D5754" w14:textId="77777777" w:rsidR="00AB6191" w:rsidRPr="008231CB" w:rsidRDefault="00AB6191" w:rsidP="00AB6191">
      <w:pPr>
        <w:jc w:val="right"/>
        <w:rPr>
          <w:noProof/>
          <w:sz w:val="20"/>
        </w:rPr>
      </w:pPr>
      <w:r w:rsidRPr="008231CB">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B6191" w:rsidRPr="008231CB" w14:paraId="249A1C4C" w14:textId="77777777" w:rsidTr="00AB6191">
        <w:trPr>
          <w:jc w:val="center"/>
        </w:trPr>
        <w:tc>
          <w:tcPr>
            <w:tcW w:w="1423" w:type="dxa"/>
            <w:vMerge w:val="restart"/>
            <w:vAlign w:val="center"/>
          </w:tcPr>
          <w:p w14:paraId="01AC32D9" w14:textId="77777777" w:rsidR="00AB6191" w:rsidRPr="008231CB" w:rsidRDefault="00AB6191" w:rsidP="00AB6191">
            <w:pPr>
              <w:ind w:right="-29"/>
              <w:jc w:val="center"/>
              <w:rPr>
                <w:b/>
                <w:noProof/>
                <w:sz w:val="18"/>
                <w:szCs w:val="18"/>
              </w:rPr>
            </w:pPr>
            <w:r w:rsidRPr="008231CB">
              <w:rPr>
                <w:b/>
                <w:noProof/>
                <w:sz w:val="18"/>
              </w:rPr>
              <w:t xml:space="preserve">Indicate objectives and outputs </w:t>
            </w:r>
          </w:p>
          <w:p w14:paraId="46274FBA" w14:textId="77777777" w:rsidR="00AB6191" w:rsidRPr="008231CB" w:rsidRDefault="00AB6191" w:rsidP="00AB6191">
            <w:pPr>
              <w:ind w:right="-29"/>
              <w:jc w:val="center"/>
              <w:rPr>
                <w:b/>
                <w:noProof/>
                <w:sz w:val="18"/>
                <w:szCs w:val="18"/>
              </w:rPr>
            </w:pPr>
          </w:p>
          <w:p w14:paraId="6D2A6272" w14:textId="77777777" w:rsidR="00AB6191" w:rsidRPr="008231CB" w:rsidRDefault="00AB6191" w:rsidP="00AB6191">
            <w:pPr>
              <w:ind w:right="-29"/>
              <w:jc w:val="center"/>
              <w:rPr>
                <w:noProof/>
                <w:sz w:val="18"/>
                <w:szCs w:val="18"/>
              </w:rPr>
            </w:pPr>
            <w:r w:rsidRPr="008231CB">
              <w:rPr>
                <w:rFonts w:ascii="Wingdings" w:eastAsia="Wingdings" w:hAnsi="Wingdings" w:cs="Wingdings"/>
                <w:noProof/>
                <w:sz w:val="18"/>
              </w:rPr>
              <w:t></w:t>
            </w:r>
          </w:p>
        </w:tc>
        <w:tc>
          <w:tcPr>
            <w:tcW w:w="720" w:type="dxa"/>
            <w:vAlign w:val="center"/>
          </w:tcPr>
          <w:p w14:paraId="0E0F9206" w14:textId="77777777" w:rsidR="00AB6191" w:rsidRPr="008231CB" w:rsidRDefault="00AB6191" w:rsidP="00AB6191">
            <w:pPr>
              <w:ind w:right="-29"/>
              <w:jc w:val="center"/>
              <w:rPr>
                <w:noProof/>
                <w:sz w:val="18"/>
                <w:szCs w:val="18"/>
              </w:rPr>
            </w:pPr>
          </w:p>
        </w:tc>
        <w:tc>
          <w:tcPr>
            <w:tcW w:w="701" w:type="dxa"/>
            <w:vAlign w:val="center"/>
          </w:tcPr>
          <w:p w14:paraId="0661A528" w14:textId="77777777" w:rsidR="00AB6191" w:rsidRPr="008231CB" w:rsidRDefault="00AB6191" w:rsidP="00AB6191">
            <w:pPr>
              <w:ind w:right="-29"/>
              <w:jc w:val="center"/>
              <w:rPr>
                <w:noProof/>
                <w:sz w:val="18"/>
                <w:szCs w:val="18"/>
              </w:rPr>
            </w:pPr>
          </w:p>
        </w:tc>
        <w:tc>
          <w:tcPr>
            <w:tcW w:w="1224" w:type="dxa"/>
            <w:gridSpan w:val="2"/>
            <w:tcBorders>
              <w:left w:val="nil"/>
            </w:tcBorders>
            <w:vAlign w:val="center"/>
          </w:tcPr>
          <w:p w14:paraId="6B09B31D" w14:textId="77777777" w:rsidR="00AB6191" w:rsidRPr="008231CB" w:rsidRDefault="00AB6191" w:rsidP="00AB6191">
            <w:pPr>
              <w:ind w:right="-29"/>
              <w:jc w:val="center"/>
              <w:rPr>
                <w:noProof/>
                <w:sz w:val="18"/>
                <w:szCs w:val="18"/>
              </w:rPr>
            </w:pPr>
            <w:r>
              <w:rPr>
                <w:noProof/>
                <w:sz w:val="20"/>
              </w:rPr>
              <w:t>2025</w:t>
            </w:r>
          </w:p>
        </w:tc>
        <w:tc>
          <w:tcPr>
            <w:tcW w:w="1260" w:type="dxa"/>
            <w:gridSpan w:val="2"/>
            <w:vAlign w:val="center"/>
          </w:tcPr>
          <w:p w14:paraId="6E295997" w14:textId="77777777" w:rsidR="00AB6191" w:rsidRPr="008231CB" w:rsidRDefault="00AB6191" w:rsidP="00AB6191">
            <w:pPr>
              <w:ind w:right="-29"/>
              <w:jc w:val="center"/>
              <w:rPr>
                <w:noProof/>
                <w:sz w:val="18"/>
                <w:szCs w:val="18"/>
              </w:rPr>
            </w:pPr>
            <w:r>
              <w:rPr>
                <w:noProof/>
                <w:sz w:val="20"/>
              </w:rPr>
              <w:t>2026</w:t>
            </w:r>
          </w:p>
        </w:tc>
        <w:tc>
          <w:tcPr>
            <w:tcW w:w="1440" w:type="dxa"/>
            <w:gridSpan w:val="2"/>
            <w:vAlign w:val="center"/>
          </w:tcPr>
          <w:p w14:paraId="435EF203" w14:textId="77777777" w:rsidR="00AB6191" w:rsidRPr="008231CB" w:rsidRDefault="00AB6191" w:rsidP="00AB6191">
            <w:pPr>
              <w:ind w:right="-29"/>
              <w:jc w:val="center"/>
              <w:rPr>
                <w:noProof/>
                <w:sz w:val="18"/>
                <w:szCs w:val="18"/>
              </w:rPr>
            </w:pPr>
            <w:r>
              <w:rPr>
                <w:noProof/>
                <w:sz w:val="20"/>
              </w:rPr>
              <w:t>2027</w:t>
            </w:r>
            <w:r w:rsidRPr="00EC6C35">
              <w:rPr>
                <w:rStyle w:val="FootnoteReference"/>
                <w:noProof/>
              </w:rPr>
              <w:footnoteReference w:id="76"/>
            </w:r>
          </w:p>
        </w:tc>
        <w:tc>
          <w:tcPr>
            <w:tcW w:w="1620" w:type="dxa"/>
            <w:gridSpan w:val="3"/>
            <w:vAlign w:val="center"/>
          </w:tcPr>
          <w:p w14:paraId="2C77362E" w14:textId="77777777" w:rsidR="00AB6191" w:rsidRPr="008231CB" w:rsidRDefault="00AB6191" w:rsidP="00AB6191">
            <w:pPr>
              <w:ind w:right="-29"/>
              <w:jc w:val="center"/>
              <w:rPr>
                <w:noProof/>
                <w:sz w:val="18"/>
                <w:szCs w:val="18"/>
              </w:rPr>
            </w:pPr>
          </w:p>
        </w:tc>
        <w:tc>
          <w:tcPr>
            <w:tcW w:w="3600" w:type="dxa"/>
            <w:gridSpan w:val="6"/>
            <w:vAlign w:val="center"/>
          </w:tcPr>
          <w:p w14:paraId="74665B6C" w14:textId="77777777" w:rsidR="00AB6191" w:rsidRPr="008231CB" w:rsidRDefault="00AB6191" w:rsidP="00AB6191">
            <w:pPr>
              <w:jc w:val="center"/>
              <w:rPr>
                <w:noProof/>
                <w:sz w:val="18"/>
                <w:szCs w:val="18"/>
              </w:rPr>
            </w:pPr>
            <w:r w:rsidRPr="008231CB">
              <w:rPr>
                <w:noProof/>
                <w:sz w:val="18"/>
              </w:rPr>
              <w:t>Enter as many years as necessary to show the duration of the impact (see point 1.6)</w:t>
            </w:r>
          </w:p>
        </w:tc>
        <w:tc>
          <w:tcPr>
            <w:tcW w:w="1620" w:type="dxa"/>
            <w:gridSpan w:val="2"/>
            <w:tcBorders>
              <w:left w:val="nil"/>
              <w:bottom w:val="nil"/>
            </w:tcBorders>
            <w:vAlign w:val="center"/>
          </w:tcPr>
          <w:p w14:paraId="15CE40D6" w14:textId="77777777" w:rsidR="00AB6191" w:rsidRPr="008231CB" w:rsidRDefault="00AB6191" w:rsidP="00AB6191">
            <w:pPr>
              <w:ind w:right="-29"/>
              <w:jc w:val="center"/>
              <w:rPr>
                <w:noProof/>
                <w:sz w:val="18"/>
                <w:szCs w:val="18"/>
              </w:rPr>
            </w:pPr>
            <w:r w:rsidRPr="008231CB">
              <w:rPr>
                <w:b/>
                <w:noProof/>
                <w:sz w:val="18"/>
              </w:rPr>
              <w:t>TOTAL</w:t>
            </w:r>
          </w:p>
        </w:tc>
      </w:tr>
      <w:tr w:rsidR="00AB6191" w:rsidRPr="008231CB" w14:paraId="463B9425" w14:textId="77777777" w:rsidTr="00AB6191">
        <w:trPr>
          <w:jc w:val="center"/>
        </w:trPr>
        <w:tc>
          <w:tcPr>
            <w:tcW w:w="1423" w:type="dxa"/>
            <w:vMerge/>
            <w:vAlign w:val="center"/>
          </w:tcPr>
          <w:p w14:paraId="473C5F2F" w14:textId="77777777" w:rsidR="00AB6191" w:rsidRPr="008231CB" w:rsidRDefault="00AB6191" w:rsidP="00AB6191">
            <w:pPr>
              <w:ind w:right="-29"/>
              <w:jc w:val="center"/>
              <w:rPr>
                <w:noProof/>
                <w:sz w:val="18"/>
                <w:szCs w:val="18"/>
              </w:rPr>
            </w:pPr>
          </w:p>
        </w:tc>
        <w:tc>
          <w:tcPr>
            <w:tcW w:w="12185" w:type="dxa"/>
            <w:gridSpan w:val="19"/>
            <w:vAlign w:val="center"/>
          </w:tcPr>
          <w:p w14:paraId="721C642A" w14:textId="77777777" w:rsidR="00AB6191" w:rsidRPr="008231CB" w:rsidRDefault="00AB6191" w:rsidP="00AB6191">
            <w:pPr>
              <w:spacing w:before="60" w:after="60"/>
              <w:ind w:right="-29"/>
              <w:jc w:val="center"/>
              <w:rPr>
                <w:noProof/>
                <w:sz w:val="18"/>
                <w:szCs w:val="18"/>
              </w:rPr>
            </w:pPr>
            <w:r w:rsidRPr="008231CB">
              <w:rPr>
                <w:b/>
                <w:noProof/>
                <w:sz w:val="18"/>
              </w:rPr>
              <w:t>OUTPUTS</w:t>
            </w:r>
          </w:p>
        </w:tc>
      </w:tr>
      <w:tr w:rsidR="00AB6191" w:rsidRPr="008231CB" w14:paraId="420BC899" w14:textId="77777777" w:rsidTr="00AB6191">
        <w:trPr>
          <w:cantSplit/>
          <w:trHeight w:val="1134"/>
          <w:jc w:val="center"/>
        </w:trPr>
        <w:tc>
          <w:tcPr>
            <w:tcW w:w="1423" w:type="dxa"/>
            <w:vMerge/>
            <w:vAlign w:val="center"/>
          </w:tcPr>
          <w:p w14:paraId="76AF3710" w14:textId="77777777" w:rsidR="00AB6191" w:rsidRPr="008231CB" w:rsidRDefault="00AB6191" w:rsidP="00AB6191">
            <w:pPr>
              <w:rPr>
                <w:noProof/>
                <w:sz w:val="18"/>
                <w:szCs w:val="18"/>
              </w:rPr>
            </w:pPr>
          </w:p>
        </w:tc>
        <w:tc>
          <w:tcPr>
            <w:tcW w:w="720" w:type="dxa"/>
            <w:vAlign w:val="center"/>
          </w:tcPr>
          <w:p w14:paraId="3AE06908" w14:textId="77777777" w:rsidR="00AB6191" w:rsidRPr="008231CB" w:rsidRDefault="00AB6191" w:rsidP="00AB6191">
            <w:pPr>
              <w:jc w:val="center"/>
              <w:rPr>
                <w:noProof/>
                <w:sz w:val="18"/>
                <w:szCs w:val="18"/>
              </w:rPr>
            </w:pPr>
            <w:r w:rsidRPr="008231CB">
              <w:rPr>
                <w:noProof/>
                <w:sz w:val="18"/>
              </w:rPr>
              <w:t>Type</w:t>
            </w:r>
            <w:r w:rsidRPr="00EC6C35">
              <w:rPr>
                <w:rStyle w:val="FootnoteReference"/>
                <w:noProof/>
              </w:rPr>
              <w:footnoteReference w:id="77"/>
            </w:r>
          </w:p>
          <w:p w14:paraId="4E2A3A70" w14:textId="77777777" w:rsidR="00AB6191" w:rsidRPr="008231CB" w:rsidRDefault="00AB6191" w:rsidP="00AB6191">
            <w:pPr>
              <w:spacing w:before="0" w:after="0"/>
              <w:jc w:val="center"/>
              <w:rPr>
                <w:noProof/>
                <w:sz w:val="18"/>
                <w:szCs w:val="18"/>
              </w:rPr>
            </w:pPr>
          </w:p>
        </w:tc>
        <w:tc>
          <w:tcPr>
            <w:tcW w:w="701" w:type="dxa"/>
            <w:vAlign w:val="center"/>
          </w:tcPr>
          <w:p w14:paraId="4510AF0F" w14:textId="77777777" w:rsidR="00AB6191" w:rsidRPr="008231CB" w:rsidRDefault="00AB6191" w:rsidP="00AB6191">
            <w:pPr>
              <w:jc w:val="center"/>
              <w:rPr>
                <w:noProof/>
                <w:sz w:val="18"/>
                <w:szCs w:val="18"/>
              </w:rPr>
            </w:pPr>
            <w:r w:rsidRPr="008231CB">
              <w:rPr>
                <w:noProof/>
                <w:sz w:val="18"/>
              </w:rPr>
              <w:t>Average cost</w:t>
            </w:r>
          </w:p>
        </w:tc>
        <w:tc>
          <w:tcPr>
            <w:tcW w:w="504" w:type="dxa"/>
            <w:tcBorders>
              <w:left w:val="nil"/>
              <w:right w:val="dashSmallGap" w:sz="4" w:space="0" w:color="auto"/>
            </w:tcBorders>
            <w:shd w:val="pct10" w:color="auto" w:fill="auto"/>
            <w:textDirection w:val="btLr"/>
            <w:vAlign w:val="center"/>
          </w:tcPr>
          <w:p w14:paraId="2C189A28" w14:textId="77777777" w:rsidR="00AB6191" w:rsidRPr="008231CB" w:rsidRDefault="00AB6191" w:rsidP="00AB6191">
            <w:pPr>
              <w:ind w:left="113" w:right="113"/>
              <w:jc w:val="center"/>
              <w:rPr>
                <w:noProof/>
                <w:sz w:val="18"/>
                <w:szCs w:val="18"/>
              </w:rPr>
            </w:pPr>
            <w:r w:rsidRPr="008231CB">
              <w:rPr>
                <w:noProof/>
                <w:sz w:val="18"/>
              </w:rPr>
              <w:t>No</w:t>
            </w:r>
          </w:p>
        </w:tc>
        <w:tc>
          <w:tcPr>
            <w:tcW w:w="720" w:type="dxa"/>
            <w:tcBorders>
              <w:left w:val="dashSmallGap" w:sz="4" w:space="0" w:color="auto"/>
            </w:tcBorders>
            <w:shd w:val="pct10" w:color="auto" w:fill="auto"/>
            <w:vAlign w:val="center"/>
          </w:tcPr>
          <w:p w14:paraId="46DEC3DA" w14:textId="77777777" w:rsidR="00AB6191" w:rsidRPr="008231CB" w:rsidRDefault="00AB6191" w:rsidP="00AB6191">
            <w:pPr>
              <w:jc w:val="center"/>
              <w:rPr>
                <w:noProof/>
                <w:sz w:val="18"/>
                <w:szCs w:val="18"/>
              </w:rPr>
            </w:pPr>
            <w:r w:rsidRPr="008231CB">
              <w:rPr>
                <w:noProof/>
                <w:sz w:val="18"/>
              </w:rPr>
              <w:t>Cost</w:t>
            </w:r>
          </w:p>
        </w:tc>
        <w:tc>
          <w:tcPr>
            <w:tcW w:w="540" w:type="dxa"/>
            <w:tcBorders>
              <w:right w:val="dashSmallGap" w:sz="4" w:space="0" w:color="auto"/>
            </w:tcBorders>
            <w:shd w:val="pct10" w:color="auto" w:fill="auto"/>
            <w:textDirection w:val="btLr"/>
            <w:vAlign w:val="center"/>
          </w:tcPr>
          <w:p w14:paraId="6B0C5B6F" w14:textId="77777777" w:rsidR="00AB6191" w:rsidRPr="008231CB" w:rsidRDefault="00AB6191" w:rsidP="00AB6191">
            <w:pPr>
              <w:ind w:left="113" w:right="113"/>
              <w:jc w:val="center"/>
              <w:rPr>
                <w:noProof/>
                <w:sz w:val="18"/>
                <w:szCs w:val="18"/>
              </w:rPr>
            </w:pPr>
            <w:r w:rsidRPr="008231CB">
              <w:rPr>
                <w:noProof/>
                <w:sz w:val="18"/>
              </w:rPr>
              <w:t>No</w:t>
            </w:r>
          </w:p>
        </w:tc>
        <w:tc>
          <w:tcPr>
            <w:tcW w:w="720" w:type="dxa"/>
            <w:tcBorders>
              <w:left w:val="dashSmallGap" w:sz="4" w:space="0" w:color="auto"/>
            </w:tcBorders>
            <w:shd w:val="pct10" w:color="auto" w:fill="auto"/>
            <w:vAlign w:val="center"/>
          </w:tcPr>
          <w:p w14:paraId="541C97FA" w14:textId="77777777" w:rsidR="00AB6191" w:rsidRPr="008231CB" w:rsidRDefault="00AB6191" w:rsidP="00AB6191">
            <w:pPr>
              <w:jc w:val="center"/>
              <w:rPr>
                <w:noProof/>
                <w:sz w:val="18"/>
                <w:szCs w:val="18"/>
              </w:rPr>
            </w:pPr>
            <w:r w:rsidRPr="008231CB">
              <w:rPr>
                <w:noProof/>
                <w:sz w:val="18"/>
              </w:rPr>
              <w:t>Cost</w:t>
            </w:r>
          </w:p>
        </w:tc>
        <w:tc>
          <w:tcPr>
            <w:tcW w:w="720" w:type="dxa"/>
            <w:tcBorders>
              <w:right w:val="dashSmallGap" w:sz="4" w:space="0" w:color="auto"/>
            </w:tcBorders>
            <w:shd w:val="pct10" w:color="auto" w:fill="auto"/>
            <w:textDirection w:val="btLr"/>
            <w:vAlign w:val="center"/>
          </w:tcPr>
          <w:p w14:paraId="67FF25F6" w14:textId="77777777" w:rsidR="00AB6191" w:rsidRPr="008231CB" w:rsidRDefault="00AB6191" w:rsidP="00AB6191">
            <w:pPr>
              <w:ind w:left="113" w:right="113"/>
              <w:jc w:val="center"/>
              <w:rPr>
                <w:noProof/>
                <w:sz w:val="18"/>
                <w:szCs w:val="18"/>
              </w:rPr>
            </w:pPr>
            <w:r w:rsidRPr="008231CB">
              <w:rPr>
                <w:noProof/>
                <w:sz w:val="18"/>
              </w:rPr>
              <w:t>No</w:t>
            </w:r>
          </w:p>
        </w:tc>
        <w:tc>
          <w:tcPr>
            <w:tcW w:w="720" w:type="dxa"/>
            <w:tcBorders>
              <w:left w:val="dashSmallGap" w:sz="4" w:space="0" w:color="auto"/>
            </w:tcBorders>
            <w:shd w:val="pct10" w:color="auto" w:fill="auto"/>
            <w:vAlign w:val="center"/>
          </w:tcPr>
          <w:p w14:paraId="42604DE5" w14:textId="77777777" w:rsidR="00AB6191" w:rsidRPr="008231CB" w:rsidRDefault="00AB6191" w:rsidP="00AB6191">
            <w:pPr>
              <w:jc w:val="center"/>
              <w:rPr>
                <w:noProof/>
                <w:sz w:val="18"/>
                <w:szCs w:val="18"/>
              </w:rPr>
            </w:pPr>
            <w:r w:rsidRPr="008231CB">
              <w:rPr>
                <w:noProof/>
                <w:sz w:val="18"/>
              </w:rPr>
              <w:t>Cost</w:t>
            </w:r>
          </w:p>
        </w:tc>
        <w:tc>
          <w:tcPr>
            <w:tcW w:w="900" w:type="dxa"/>
            <w:tcBorders>
              <w:right w:val="dashSmallGap" w:sz="4" w:space="0" w:color="auto"/>
            </w:tcBorders>
            <w:shd w:val="pct10" w:color="auto" w:fill="auto"/>
            <w:textDirection w:val="btLr"/>
            <w:vAlign w:val="center"/>
          </w:tcPr>
          <w:p w14:paraId="039929E1" w14:textId="77777777" w:rsidR="00AB6191" w:rsidRPr="008231CB" w:rsidRDefault="00AB6191" w:rsidP="00AB6191">
            <w:pPr>
              <w:ind w:left="113" w:right="113"/>
              <w:jc w:val="center"/>
              <w:rPr>
                <w:noProof/>
                <w:sz w:val="18"/>
                <w:szCs w:val="18"/>
              </w:rPr>
            </w:pPr>
            <w:r w:rsidRPr="008231CB">
              <w:rPr>
                <w:noProof/>
                <w:sz w:val="18"/>
              </w:rPr>
              <w:t>No</w:t>
            </w:r>
          </w:p>
        </w:tc>
        <w:tc>
          <w:tcPr>
            <w:tcW w:w="720" w:type="dxa"/>
            <w:gridSpan w:val="2"/>
            <w:tcBorders>
              <w:left w:val="dashSmallGap" w:sz="4" w:space="0" w:color="auto"/>
            </w:tcBorders>
            <w:shd w:val="pct10" w:color="auto" w:fill="auto"/>
            <w:vAlign w:val="center"/>
          </w:tcPr>
          <w:p w14:paraId="25E84E7E" w14:textId="77777777" w:rsidR="00AB6191" w:rsidRPr="008231CB" w:rsidRDefault="00AB6191" w:rsidP="00AB6191">
            <w:pPr>
              <w:jc w:val="center"/>
              <w:rPr>
                <w:noProof/>
                <w:sz w:val="18"/>
                <w:szCs w:val="18"/>
              </w:rPr>
            </w:pPr>
            <w:r w:rsidRPr="008231CB">
              <w:rPr>
                <w:noProof/>
                <w:sz w:val="18"/>
              </w:rPr>
              <w:t>Cost</w:t>
            </w:r>
          </w:p>
        </w:tc>
        <w:tc>
          <w:tcPr>
            <w:tcW w:w="540" w:type="dxa"/>
            <w:tcBorders>
              <w:right w:val="dashSmallGap" w:sz="4" w:space="0" w:color="auto"/>
            </w:tcBorders>
            <w:shd w:val="pct10" w:color="auto" w:fill="auto"/>
            <w:textDirection w:val="btLr"/>
            <w:vAlign w:val="center"/>
          </w:tcPr>
          <w:p w14:paraId="5C1802A0" w14:textId="77777777" w:rsidR="00AB6191" w:rsidRPr="008231CB" w:rsidRDefault="00AB6191" w:rsidP="00AB6191">
            <w:pPr>
              <w:ind w:left="113" w:right="113"/>
              <w:jc w:val="center"/>
              <w:rPr>
                <w:noProof/>
                <w:sz w:val="18"/>
                <w:szCs w:val="18"/>
              </w:rPr>
            </w:pPr>
            <w:r w:rsidRPr="008231CB">
              <w:rPr>
                <w:noProof/>
                <w:sz w:val="18"/>
              </w:rPr>
              <w:t>No</w:t>
            </w:r>
          </w:p>
        </w:tc>
        <w:tc>
          <w:tcPr>
            <w:tcW w:w="648" w:type="dxa"/>
            <w:tcBorders>
              <w:left w:val="dashSmallGap" w:sz="4" w:space="0" w:color="auto"/>
            </w:tcBorders>
            <w:shd w:val="pct10" w:color="auto" w:fill="auto"/>
            <w:vAlign w:val="center"/>
          </w:tcPr>
          <w:p w14:paraId="20299F93" w14:textId="77777777" w:rsidR="00AB6191" w:rsidRPr="008231CB" w:rsidRDefault="00AB6191" w:rsidP="00AB6191">
            <w:pPr>
              <w:jc w:val="center"/>
              <w:rPr>
                <w:noProof/>
                <w:sz w:val="18"/>
                <w:szCs w:val="18"/>
              </w:rPr>
            </w:pPr>
            <w:r w:rsidRPr="008231CB">
              <w:rPr>
                <w:noProof/>
                <w:sz w:val="18"/>
              </w:rPr>
              <w:t>Cost</w:t>
            </w:r>
          </w:p>
        </w:tc>
        <w:tc>
          <w:tcPr>
            <w:tcW w:w="432" w:type="dxa"/>
            <w:tcBorders>
              <w:right w:val="dashSmallGap" w:sz="4" w:space="0" w:color="auto"/>
            </w:tcBorders>
            <w:shd w:val="pct10" w:color="auto" w:fill="auto"/>
            <w:textDirection w:val="btLr"/>
            <w:vAlign w:val="center"/>
          </w:tcPr>
          <w:p w14:paraId="77DB9002" w14:textId="77777777" w:rsidR="00AB6191" w:rsidRPr="008231CB" w:rsidRDefault="00AB6191" w:rsidP="00AB6191">
            <w:pPr>
              <w:ind w:left="113" w:right="113"/>
              <w:jc w:val="center"/>
              <w:rPr>
                <w:noProof/>
                <w:sz w:val="18"/>
                <w:szCs w:val="18"/>
              </w:rPr>
            </w:pPr>
            <w:r w:rsidRPr="008231CB">
              <w:rPr>
                <w:noProof/>
                <w:sz w:val="18"/>
              </w:rPr>
              <w:t>No</w:t>
            </w:r>
          </w:p>
        </w:tc>
        <w:tc>
          <w:tcPr>
            <w:tcW w:w="720" w:type="dxa"/>
            <w:tcBorders>
              <w:left w:val="dashSmallGap" w:sz="4" w:space="0" w:color="auto"/>
            </w:tcBorders>
            <w:shd w:val="pct10" w:color="auto" w:fill="auto"/>
            <w:vAlign w:val="center"/>
          </w:tcPr>
          <w:p w14:paraId="3D30931D" w14:textId="77777777" w:rsidR="00AB6191" w:rsidRPr="008231CB" w:rsidRDefault="00AB6191" w:rsidP="00AB6191">
            <w:pPr>
              <w:jc w:val="center"/>
              <w:rPr>
                <w:noProof/>
                <w:sz w:val="18"/>
                <w:szCs w:val="18"/>
              </w:rPr>
            </w:pPr>
            <w:r w:rsidRPr="008231CB">
              <w:rPr>
                <w:noProof/>
                <w:sz w:val="18"/>
              </w:rPr>
              <w:t>Cost</w:t>
            </w:r>
          </w:p>
        </w:tc>
        <w:tc>
          <w:tcPr>
            <w:tcW w:w="540" w:type="dxa"/>
            <w:tcBorders>
              <w:right w:val="dashSmallGap" w:sz="4" w:space="0" w:color="auto"/>
            </w:tcBorders>
            <w:shd w:val="pct10" w:color="auto" w:fill="auto"/>
            <w:textDirection w:val="btLr"/>
            <w:vAlign w:val="center"/>
          </w:tcPr>
          <w:p w14:paraId="0B889914" w14:textId="77777777" w:rsidR="00AB6191" w:rsidRPr="008231CB" w:rsidRDefault="00AB6191" w:rsidP="00AB6191">
            <w:pPr>
              <w:ind w:left="113" w:right="113"/>
              <w:jc w:val="center"/>
              <w:rPr>
                <w:noProof/>
                <w:sz w:val="18"/>
                <w:szCs w:val="18"/>
              </w:rPr>
            </w:pPr>
            <w:r w:rsidRPr="008231CB">
              <w:rPr>
                <w:noProof/>
                <w:sz w:val="18"/>
              </w:rPr>
              <w:t>No</w:t>
            </w:r>
          </w:p>
        </w:tc>
        <w:tc>
          <w:tcPr>
            <w:tcW w:w="720" w:type="dxa"/>
            <w:tcBorders>
              <w:left w:val="dashSmallGap" w:sz="4" w:space="0" w:color="auto"/>
            </w:tcBorders>
            <w:shd w:val="pct10" w:color="auto" w:fill="auto"/>
            <w:vAlign w:val="center"/>
          </w:tcPr>
          <w:p w14:paraId="12654A11" w14:textId="77777777" w:rsidR="00AB6191" w:rsidRPr="008231CB" w:rsidRDefault="00AB6191" w:rsidP="00AB6191">
            <w:pPr>
              <w:jc w:val="center"/>
              <w:rPr>
                <w:noProof/>
                <w:sz w:val="18"/>
                <w:szCs w:val="18"/>
              </w:rPr>
            </w:pPr>
            <w:r w:rsidRPr="008231CB">
              <w:rPr>
                <w:noProof/>
                <w:sz w:val="18"/>
              </w:rPr>
              <w:t>Cost</w:t>
            </w:r>
          </w:p>
        </w:tc>
        <w:tc>
          <w:tcPr>
            <w:tcW w:w="720" w:type="dxa"/>
            <w:tcBorders>
              <w:right w:val="dashSmallGap" w:sz="4" w:space="0" w:color="auto"/>
            </w:tcBorders>
            <w:shd w:val="pct10" w:color="auto" w:fill="auto"/>
            <w:vAlign w:val="center"/>
          </w:tcPr>
          <w:p w14:paraId="52D731AF" w14:textId="77777777" w:rsidR="00AB6191" w:rsidRPr="008231CB" w:rsidRDefault="00AB6191" w:rsidP="00AB6191">
            <w:pPr>
              <w:jc w:val="center"/>
              <w:rPr>
                <w:noProof/>
                <w:sz w:val="18"/>
                <w:szCs w:val="18"/>
              </w:rPr>
            </w:pPr>
            <w:r w:rsidRPr="008231CB">
              <w:rPr>
                <w:noProof/>
                <w:sz w:val="18"/>
              </w:rPr>
              <w:t>Total No</w:t>
            </w:r>
          </w:p>
        </w:tc>
        <w:tc>
          <w:tcPr>
            <w:tcW w:w="900" w:type="dxa"/>
            <w:tcBorders>
              <w:left w:val="dashSmallGap" w:sz="4" w:space="0" w:color="auto"/>
            </w:tcBorders>
            <w:shd w:val="pct10" w:color="auto" w:fill="auto"/>
            <w:vAlign w:val="center"/>
          </w:tcPr>
          <w:p w14:paraId="2499F9AB" w14:textId="77777777" w:rsidR="00AB6191" w:rsidRPr="008231CB" w:rsidRDefault="00AB6191" w:rsidP="00AB6191">
            <w:pPr>
              <w:jc w:val="center"/>
              <w:rPr>
                <w:noProof/>
                <w:sz w:val="18"/>
                <w:szCs w:val="18"/>
              </w:rPr>
            </w:pPr>
            <w:r w:rsidRPr="008231CB">
              <w:rPr>
                <w:noProof/>
                <w:sz w:val="18"/>
              </w:rPr>
              <w:t>Total cost</w:t>
            </w:r>
          </w:p>
        </w:tc>
      </w:tr>
      <w:tr w:rsidR="00AB6191" w:rsidRPr="008231CB" w14:paraId="539285D8" w14:textId="77777777" w:rsidTr="00AB6191">
        <w:trPr>
          <w:jc w:val="center"/>
        </w:trPr>
        <w:tc>
          <w:tcPr>
            <w:tcW w:w="2844" w:type="dxa"/>
            <w:gridSpan w:val="3"/>
            <w:vAlign w:val="center"/>
          </w:tcPr>
          <w:p w14:paraId="591B6741" w14:textId="77777777" w:rsidR="00AB6191" w:rsidRPr="008231CB" w:rsidRDefault="00AB6191" w:rsidP="00AB6191">
            <w:pPr>
              <w:spacing w:before="60" w:after="60"/>
              <w:ind w:right="-29"/>
              <w:jc w:val="center"/>
              <w:rPr>
                <w:noProof/>
                <w:sz w:val="18"/>
                <w:szCs w:val="18"/>
              </w:rPr>
            </w:pPr>
            <w:r w:rsidRPr="008231CB">
              <w:rPr>
                <w:noProof/>
                <w:sz w:val="18"/>
              </w:rPr>
              <w:t>SPECIFIC OBJECTIVE No 1</w:t>
            </w:r>
            <w:r w:rsidRPr="00EC6C35">
              <w:rPr>
                <w:rStyle w:val="FootnoteReference"/>
                <w:noProof/>
              </w:rPr>
              <w:footnoteReference w:id="78"/>
            </w:r>
            <w:r>
              <w:rPr>
                <w:noProof/>
                <w:sz w:val="18"/>
              </w:rPr>
              <w:t>Expanding the scope of the existing Business Registers Interconnection System (BRIS)</w:t>
            </w:r>
          </w:p>
        </w:tc>
        <w:tc>
          <w:tcPr>
            <w:tcW w:w="504" w:type="dxa"/>
            <w:tcBorders>
              <w:top w:val="nil"/>
              <w:left w:val="nil"/>
              <w:bottom w:val="nil"/>
              <w:right w:val="nil"/>
            </w:tcBorders>
          </w:tcPr>
          <w:p w14:paraId="0B550202"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573AAE96" w14:textId="77777777" w:rsidR="00AB6191" w:rsidRPr="008231CB"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0148A29D"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5A9306A6"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5572EF30"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354EE46C" w14:textId="77777777" w:rsidR="00AB6191" w:rsidRPr="008231CB"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2E9DD0DD" w14:textId="77777777" w:rsidR="00AB6191" w:rsidRPr="008231CB" w:rsidRDefault="00AB6191" w:rsidP="00AB6191">
            <w:pPr>
              <w:spacing w:before="60" w:after="60"/>
              <w:ind w:right="-29"/>
              <w:jc w:val="center"/>
              <w:rPr>
                <w:noProof/>
                <w:sz w:val="18"/>
                <w:szCs w:val="18"/>
              </w:rPr>
            </w:pPr>
          </w:p>
        </w:tc>
        <w:tc>
          <w:tcPr>
            <w:tcW w:w="720" w:type="dxa"/>
            <w:gridSpan w:val="2"/>
            <w:tcBorders>
              <w:top w:val="nil"/>
              <w:left w:val="nil"/>
              <w:bottom w:val="nil"/>
              <w:right w:val="nil"/>
            </w:tcBorders>
          </w:tcPr>
          <w:p w14:paraId="776268A7" w14:textId="77777777" w:rsidR="00AB6191" w:rsidRPr="008231CB"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1555BB9E" w14:textId="77777777" w:rsidR="00AB6191" w:rsidRPr="008231CB" w:rsidRDefault="00AB6191" w:rsidP="00AB6191">
            <w:pPr>
              <w:spacing w:before="60" w:after="60"/>
              <w:ind w:right="-29"/>
              <w:jc w:val="center"/>
              <w:rPr>
                <w:noProof/>
                <w:sz w:val="18"/>
                <w:szCs w:val="18"/>
              </w:rPr>
            </w:pPr>
          </w:p>
        </w:tc>
        <w:tc>
          <w:tcPr>
            <w:tcW w:w="648" w:type="dxa"/>
            <w:tcBorders>
              <w:top w:val="nil"/>
              <w:left w:val="nil"/>
              <w:bottom w:val="nil"/>
              <w:right w:val="nil"/>
            </w:tcBorders>
          </w:tcPr>
          <w:p w14:paraId="150B5413" w14:textId="77777777" w:rsidR="00AB6191" w:rsidRPr="008231CB" w:rsidRDefault="00AB6191" w:rsidP="00AB6191">
            <w:pPr>
              <w:spacing w:before="60" w:after="60"/>
              <w:ind w:right="-29"/>
              <w:jc w:val="center"/>
              <w:rPr>
                <w:noProof/>
                <w:sz w:val="18"/>
                <w:szCs w:val="18"/>
              </w:rPr>
            </w:pPr>
          </w:p>
        </w:tc>
        <w:tc>
          <w:tcPr>
            <w:tcW w:w="432" w:type="dxa"/>
            <w:tcBorders>
              <w:top w:val="nil"/>
              <w:left w:val="nil"/>
              <w:bottom w:val="nil"/>
              <w:right w:val="nil"/>
            </w:tcBorders>
          </w:tcPr>
          <w:p w14:paraId="6EA50ECD"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4D35CDA0" w14:textId="77777777" w:rsidR="00AB6191" w:rsidRPr="008231CB"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241E5668"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3AE5A11C"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16627409" w14:textId="77777777" w:rsidR="00AB6191" w:rsidRPr="008231CB"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5A0A2DF9" w14:textId="77777777" w:rsidR="00AB6191" w:rsidRPr="008231CB" w:rsidRDefault="00AB6191" w:rsidP="00AB6191">
            <w:pPr>
              <w:spacing w:before="60" w:after="60"/>
              <w:ind w:right="-29"/>
              <w:jc w:val="center"/>
              <w:rPr>
                <w:noProof/>
                <w:sz w:val="18"/>
                <w:szCs w:val="18"/>
              </w:rPr>
            </w:pPr>
          </w:p>
        </w:tc>
      </w:tr>
      <w:tr w:rsidR="00AB6191" w:rsidRPr="008231CB" w14:paraId="62C8B0F2" w14:textId="77777777" w:rsidTr="00AB6191">
        <w:trPr>
          <w:trHeight w:hRule="exact" w:val="828"/>
          <w:jc w:val="center"/>
        </w:trPr>
        <w:tc>
          <w:tcPr>
            <w:tcW w:w="1423" w:type="dxa"/>
          </w:tcPr>
          <w:p w14:paraId="372587E3" w14:textId="77777777" w:rsidR="00AB6191" w:rsidRPr="008231CB" w:rsidRDefault="00AB6191" w:rsidP="00AB6191">
            <w:pPr>
              <w:ind w:right="-29"/>
              <w:jc w:val="center"/>
              <w:rPr>
                <w:noProof/>
                <w:sz w:val="18"/>
                <w:szCs w:val="18"/>
              </w:rPr>
            </w:pPr>
            <w:r w:rsidRPr="008231CB">
              <w:rPr>
                <w:noProof/>
                <w:sz w:val="18"/>
              </w:rPr>
              <w:t>- Output</w:t>
            </w:r>
          </w:p>
        </w:tc>
        <w:tc>
          <w:tcPr>
            <w:tcW w:w="720" w:type="dxa"/>
          </w:tcPr>
          <w:p w14:paraId="35DACFD4" w14:textId="77777777" w:rsidR="00AB6191" w:rsidRPr="008231CB" w:rsidRDefault="00AB6191" w:rsidP="00AB6191">
            <w:pPr>
              <w:ind w:right="-29"/>
              <w:jc w:val="center"/>
              <w:rPr>
                <w:noProof/>
                <w:sz w:val="18"/>
                <w:szCs w:val="18"/>
              </w:rPr>
            </w:pPr>
            <w:r>
              <w:rPr>
                <w:noProof/>
                <w:sz w:val="18"/>
                <w:szCs w:val="18"/>
              </w:rPr>
              <w:t>IT system</w:t>
            </w:r>
          </w:p>
        </w:tc>
        <w:tc>
          <w:tcPr>
            <w:tcW w:w="701" w:type="dxa"/>
          </w:tcPr>
          <w:p w14:paraId="2663D2FB" w14:textId="77777777" w:rsidR="00AB6191" w:rsidRPr="008231CB" w:rsidRDefault="00AB6191" w:rsidP="00AB6191">
            <w:pPr>
              <w:ind w:right="-29"/>
              <w:jc w:val="center"/>
              <w:rPr>
                <w:noProof/>
                <w:sz w:val="18"/>
                <w:szCs w:val="18"/>
              </w:rPr>
            </w:pPr>
            <w:r>
              <w:rPr>
                <w:noProof/>
                <w:sz w:val="18"/>
                <w:szCs w:val="18"/>
              </w:rPr>
              <w:t>2.000</w:t>
            </w:r>
          </w:p>
        </w:tc>
        <w:tc>
          <w:tcPr>
            <w:tcW w:w="504" w:type="dxa"/>
            <w:tcBorders>
              <w:right w:val="dashSmallGap" w:sz="4" w:space="0" w:color="auto"/>
            </w:tcBorders>
          </w:tcPr>
          <w:p w14:paraId="5EA1AE4A" w14:textId="77777777" w:rsidR="00AB6191" w:rsidRPr="008231CB" w:rsidRDefault="00AB6191" w:rsidP="00AB6191">
            <w:pPr>
              <w:ind w:right="-29"/>
              <w:jc w:val="center"/>
              <w:rPr>
                <w:noProof/>
                <w:sz w:val="18"/>
                <w:szCs w:val="18"/>
              </w:rPr>
            </w:pPr>
            <w:r>
              <w:rPr>
                <w:noProof/>
                <w:sz w:val="18"/>
                <w:szCs w:val="18"/>
              </w:rPr>
              <w:t>1</w:t>
            </w:r>
          </w:p>
        </w:tc>
        <w:tc>
          <w:tcPr>
            <w:tcW w:w="720" w:type="dxa"/>
            <w:tcBorders>
              <w:left w:val="dashSmallGap" w:sz="4" w:space="0" w:color="auto"/>
            </w:tcBorders>
          </w:tcPr>
          <w:p w14:paraId="7BA8352E" w14:textId="77777777" w:rsidR="00AB6191" w:rsidRPr="008231CB" w:rsidRDefault="00AB6191" w:rsidP="00AB6191">
            <w:pPr>
              <w:ind w:right="-29"/>
              <w:jc w:val="center"/>
              <w:rPr>
                <w:noProof/>
                <w:sz w:val="18"/>
                <w:szCs w:val="18"/>
              </w:rPr>
            </w:pPr>
            <w:r>
              <w:rPr>
                <w:noProof/>
                <w:sz w:val="18"/>
                <w:szCs w:val="18"/>
              </w:rPr>
              <w:t>2.000</w:t>
            </w:r>
          </w:p>
        </w:tc>
        <w:tc>
          <w:tcPr>
            <w:tcW w:w="540" w:type="dxa"/>
            <w:tcBorders>
              <w:right w:val="dashSmallGap" w:sz="4" w:space="0" w:color="auto"/>
            </w:tcBorders>
          </w:tcPr>
          <w:p w14:paraId="7F0D1FEA" w14:textId="77777777" w:rsidR="00AB6191" w:rsidRPr="008231CB" w:rsidRDefault="00AB6191" w:rsidP="00AB6191">
            <w:pPr>
              <w:ind w:right="-29"/>
              <w:jc w:val="center"/>
              <w:rPr>
                <w:noProof/>
                <w:sz w:val="18"/>
                <w:szCs w:val="18"/>
              </w:rPr>
            </w:pPr>
            <w:r>
              <w:rPr>
                <w:noProof/>
                <w:sz w:val="18"/>
                <w:szCs w:val="18"/>
              </w:rPr>
              <w:t>1</w:t>
            </w:r>
          </w:p>
        </w:tc>
        <w:tc>
          <w:tcPr>
            <w:tcW w:w="720" w:type="dxa"/>
            <w:tcBorders>
              <w:left w:val="dashSmallGap" w:sz="4" w:space="0" w:color="auto"/>
            </w:tcBorders>
          </w:tcPr>
          <w:p w14:paraId="358E5E1A" w14:textId="77777777" w:rsidR="00AB6191" w:rsidRPr="008231CB" w:rsidRDefault="00AB6191" w:rsidP="00AB6191">
            <w:pPr>
              <w:ind w:right="-29"/>
              <w:jc w:val="center"/>
              <w:rPr>
                <w:noProof/>
                <w:sz w:val="18"/>
                <w:szCs w:val="18"/>
              </w:rPr>
            </w:pPr>
            <w:r>
              <w:rPr>
                <w:noProof/>
                <w:sz w:val="18"/>
                <w:szCs w:val="18"/>
              </w:rPr>
              <w:t>2.000</w:t>
            </w:r>
          </w:p>
        </w:tc>
        <w:tc>
          <w:tcPr>
            <w:tcW w:w="720" w:type="dxa"/>
            <w:tcBorders>
              <w:right w:val="dashSmallGap" w:sz="4" w:space="0" w:color="auto"/>
            </w:tcBorders>
          </w:tcPr>
          <w:p w14:paraId="31BCDC4B" w14:textId="77777777" w:rsidR="00AB6191" w:rsidRPr="008231CB" w:rsidRDefault="00AB6191" w:rsidP="00AB6191">
            <w:pPr>
              <w:ind w:right="-29"/>
              <w:jc w:val="center"/>
              <w:rPr>
                <w:noProof/>
                <w:sz w:val="18"/>
                <w:szCs w:val="18"/>
              </w:rPr>
            </w:pPr>
            <w:r>
              <w:rPr>
                <w:noProof/>
                <w:sz w:val="18"/>
                <w:szCs w:val="18"/>
              </w:rPr>
              <w:t>1</w:t>
            </w:r>
          </w:p>
        </w:tc>
        <w:tc>
          <w:tcPr>
            <w:tcW w:w="720" w:type="dxa"/>
            <w:tcBorders>
              <w:left w:val="dashSmallGap" w:sz="4" w:space="0" w:color="auto"/>
            </w:tcBorders>
          </w:tcPr>
          <w:p w14:paraId="355C02B6" w14:textId="77777777" w:rsidR="00AB6191" w:rsidRPr="008231CB" w:rsidRDefault="00AB6191" w:rsidP="00AB6191">
            <w:pPr>
              <w:ind w:right="-29"/>
              <w:jc w:val="center"/>
              <w:rPr>
                <w:noProof/>
                <w:sz w:val="18"/>
                <w:szCs w:val="18"/>
              </w:rPr>
            </w:pPr>
            <w:r>
              <w:rPr>
                <w:noProof/>
                <w:sz w:val="18"/>
                <w:szCs w:val="18"/>
              </w:rPr>
              <w:t>2.000</w:t>
            </w:r>
          </w:p>
        </w:tc>
        <w:tc>
          <w:tcPr>
            <w:tcW w:w="900" w:type="dxa"/>
            <w:tcBorders>
              <w:right w:val="dashSmallGap" w:sz="4" w:space="0" w:color="auto"/>
            </w:tcBorders>
          </w:tcPr>
          <w:p w14:paraId="25E0D550" w14:textId="77777777" w:rsidR="00AB6191" w:rsidRPr="008231CB" w:rsidRDefault="00AB6191" w:rsidP="00AB6191">
            <w:pPr>
              <w:ind w:right="-29"/>
              <w:jc w:val="center"/>
              <w:rPr>
                <w:noProof/>
                <w:sz w:val="18"/>
                <w:szCs w:val="18"/>
              </w:rPr>
            </w:pPr>
          </w:p>
        </w:tc>
        <w:tc>
          <w:tcPr>
            <w:tcW w:w="720" w:type="dxa"/>
            <w:gridSpan w:val="2"/>
            <w:tcBorders>
              <w:left w:val="dashSmallGap" w:sz="4" w:space="0" w:color="auto"/>
            </w:tcBorders>
          </w:tcPr>
          <w:p w14:paraId="3D6425B2" w14:textId="77777777" w:rsidR="00AB6191" w:rsidRPr="008231CB" w:rsidRDefault="00AB6191" w:rsidP="00AB6191">
            <w:pPr>
              <w:ind w:right="-29"/>
              <w:jc w:val="center"/>
              <w:rPr>
                <w:noProof/>
                <w:sz w:val="18"/>
                <w:szCs w:val="18"/>
              </w:rPr>
            </w:pPr>
          </w:p>
        </w:tc>
        <w:tc>
          <w:tcPr>
            <w:tcW w:w="540" w:type="dxa"/>
            <w:tcBorders>
              <w:right w:val="dashSmallGap" w:sz="4" w:space="0" w:color="auto"/>
            </w:tcBorders>
          </w:tcPr>
          <w:p w14:paraId="4606EA04" w14:textId="77777777" w:rsidR="00AB6191" w:rsidRPr="008231CB" w:rsidRDefault="00AB6191" w:rsidP="00AB6191">
            <w:pPr>
              <w:ind w:right="-29"/>
              <w:jc w:val="center"/>
              <w:rPr>
                <w:noProof/>
                <w:sz w:val="18"/>
                <w:szCs w:val="18"/>
              </w:rPr>
            </w:pPr>
          </w:p>
        </w:tc>
        <w:tc>
          <w:tcPr>
            <w:tcW w:w="648" w:type="dxa"/>
            <w:tcBorders>
              <w:left w:val="dashSmallGap" w:sz="4" w:space="0" w:color="auto"/>
            </w:tcBorders>
          </w:tcPr>
          <w:p w14:paraId="124C78D1" w14:textId="77777777" w:rsidR="00AB6191" w:rsidRPr="008231CB" w:rsidRDefault="00AB6191" w:rsidP="00AB6191">
            <w:pPr>
              <w:ind w:right="-29"/>
              <w:jc w:val="center"/>
              <w:rPr>
                <w:noProof/>
                <w:sz w:val="18"/>
                <w:szCs w:val="18"/>
              </w:rPr>
            </w:pPr>
          </w:p>
        </w:tc>
        <w:tc>
          <w:tcPr>
            <w:tcW w:w="432" w:type="dxa"/>
            <w:tcBorders>
              <w:right w:val="dashSmallGap" w:sz="4" w:space="0" w:color="auto"/>
            </w:tcBorders>
          </w:tcPr>
          <w:p w14:paraId="1AC3A9D8" w14:textId="77777777" w:rsidR="00AB6191" w:rsidRPr="008231CB" w:rsidRDefault="00AB6191" w:rsidP="00AB6191">
            <w:pPr>
              <w:ind w:right="-29"/>
              <w:jc w:val="center"/>
              <w:rPr>
                <w:noProof/>
                <w:sz w:val="18"/>
                <w:szCs w:val="18"/>
              </w:rPr>
            </w:pPr>
          </w:p>
        </w:tc>
        <w:tc>
          <w:tcPr>
            <w:tcW w:w="720" w:type="dxa"/>
            <w:tcBorders>
              <w:left w:val="dashSmallGap" w:sz="4" w:space="0" w:color="auto"/>
            </w:tcBorders>
          </w:tcPr>
          <w:p w14:paraId="5F57749F" w14:textId="77777777" w:rsidR="00AB6191" w:rsidRPr="008231CB" w:rsidRDefault="00AB6191" w:rsidP="00AB6191">
            <w:pPr>
              <w:ind w:right="-29"/>
              <w:jc w:val="center"/>
              <w:rPr>
                <w:noProof/>
                <w:sz w:val="18"/>
                <w:szCs w:val="18"/>
              </w:rPr>
            </w:pPr>
          </w:p>
        </w:tc>
        <w:tc>
          <w:tcPr>
            <w:tcW w:w="540" w:type="dxa"/>
            <w:tcBorders>
              <w:right w:val="dashSmallGap" w:sz="4" w:space="0" w:color="auto"/>
            </w:tcBorders>
          </w:tcPr>
          <w:p w14:paraId="3921D799" w14:textId="77777777" w:rsidR="00AB6191" w:rsidRPr="008231CB" w:rsidRDefault="00AB6191" w:rsidP="00AB6191">
            <w:pPr>
              <w:ind w:right="-29"/>
              <w:jc w:val="center"/>
              <w:rPr>
                <w:noProof/>
                <w:sz w:val="18"/>
                <w:szCs w:val="18"/>
              </w:rPr>
            </w:pPr>
          </w:p>
        </w:tc>
        <w:tc>
          <w:tcPr>
            <w:tcW w:w="720" w:type="dxa"/>
            <w:tcBorders>
              <w:left w:val="dashSmallGap" w:sz="4" w:space="0" w:color="auto"/>
            </w:tcBorders>
          </w:tcPr>
          <w:p w14:paraId="6258C845" w14:textId="77777777" w:rsidR="00AB6191" w:rsidRPr="008231CB" w:rsidRDefault="00AB6191" w:rsidP="00AB6191">
            <w:pPr>
              <w:ind w:right="-29"/>
              <w:jc w:val="center"/>
              <w:rPr>
                <w:noProof/>
                <w:sz w:val="18"/>
                <w:szCs w:val="18"/>
              </w:rPr>
            </w:pPr>
          </w:p>
        </w:tc>
        <w:tc>
          <w:tcPr>
            <w:tcW w:w="720" w:type="dxa"/>
          </w:tcPr>
          <w:p w14:paraId="0307E80C" w14:textId="77777777" w:rsidR="00AB6191" w:rsidRPr="008231CB" w:rsidRDefault="00AB6191" w:rsidP="00AB6191">
            <w:pPr>
              <w:ind w:right="-29"/>
              <w:jc w:val="center"/>
              <w:rPr>
                <w:noProof/>
                <w:sz w:val="18"/>
                <w:szCs w:val="18"/>
              </w:rPr>
            </w:pPr>
          </w:p>
        </w:tc>
        <w:tc>
          <w:tcPr>
            <w:tcW w:w="900" w:type="dxa"/>
          </w:tcPr>
          <w:p w14:paraId="615DB3D4" w14:textId="77777777" w:rsidR="00AB6191" w:rsidRPr="008231CB" w:rsidRDefault="00AB6191" w:rsidP="00AB6191">
            <w:pPr>
              <w:ind w:right="-29"/>
              <w:jc w:val="center"/>
              <w:rPr>
                <w:noProof/>
                <w:sz w:val="18"/>
                <w:szCs w:val="18"/>
              </w:rPr>
            </w:pPr>
          </w:p>
        </w:tc>
      </w:tr>
      <w:tr w:rsidR="00AB6191" w:rsidRPr="008231CB" w14:paraId="17D04AF5" w14:textId="77777777" w:rsidTr="00AB6191">
        <w:trPr>
          <w:trHeight w:hRule="exact" w:val="369"/>
          <w:jc w:val="center"/>
        </w:trPr>
        <w:tc>
          <w:tcPr>
            <w:tcW w:w="1423" w:type="dxa"/>
          </w:tcPr>
          <w:p w14:paraId="48391818" w14:textId="77777777" w:rsidR="00AB6191" w:rsidRPr="008231CB" w:rsidRDefault="00AB6191" w:rsidP="00AB6191">
            <w:pPr>
              <w:ind w:right="-29"/>
              <w:jc w:val="center"/>
              <w:rPr>
                <w:noProof/>
                <w:sz w:val="18"/>
                <w:szCs w:val="18"/>
              </w:rPr>
            </w:pPr>
            <w:r w:rsidRPr="008231CB">
              <w:rPr>
                <w:noProof/>
                <w:sz w:val="18"/>
              </w:rPr>
              <w:t>- Output</w:t>
            </w:r>
          </w:p>
        </w:tc>
        <w:tc>
          <w:tcPr>
            <w:tcW w:w="720" w:type="dxa"/>
          </w:tcPr>
          <w:p w14:paraId="515E24F0" w14:textId="77777777" w:rsidR="00AB6191" w:rsidRPr="008231CB" w:rsidRDefault="00AB6191" w:rsidP="00AB6191">
            <w:pPr>
              <w:ind w:right="-29"/>
              <w:jc w:val="center"/>
              <w:rPr>
                <w:noProof/>
                <w:sz w:val="18"/>
                <w:szCs w:val="18"/>
              </w:rPr>
            </w:pPr>
          </w:p>
        </w:tc>
        <w:tc>
          <w:tcPr>
            <w:tcW w:w="701" w:type="dxa"/>
          </w:tcPr>
          <w:p w14:paraId="23BBEB53" w14:textId="77777777" w:rsidR="00AB6191" w:rsidRPr="008231CB" w:rsidRDefault="00AB6191" w:rsidP="00AB6191">
            <w:pPr>
              <w:ind w:right="-29"/>
              <w:jc w:val="center"/>
              <w:rPr>
                <w:noProof/>
                <w:sz w:val="18"/>
                <w:szCs w:val="18"/>
              </w:rPr>
            </w:pPr>
          </w:p>
        </w:tc>
        <w:tc>
          <w:tcPr>
            <w:tcW w:w="504" w:type="dxa"/>
            <w:tcBorders>
              <w:right w:val="dashSmallGap" w:sz="4" w:space="0" w:color="auto"/>
            </w:tcBorders>
          </w:tcPr>
          <w:p w14:paraId="7B3F8459" w14:textId="77777777" w:rsidR="00AB6191" w:rsidRPr="008231CB" w:rsidRDefault="00AB6191" w:rsidP="00AB6191">
            <w:pPr>
              <w:ind w:right="-29"/>
              <w:jc w:val="center"/>
              <w:rPr>
                <w:noProof/>
                <w:sz w:val="18"/>
                <w:szCs w:val="18"/>
              </w:rPr>
            </w:pPr>
          </w:p>
        </w:tc>
        <w:tc>
          <w:tcPr>
            <w:tcW w:w="720" w:type="dxa"/>
            <w:tcBorders>
              <w:left w:val="dashSmallGap" w:sz="4" w:space="0" w:color="auto"/>
            </w:tcBorders>
          </w:tcPr>
          <w:p w14:paraId="4EC5492F" w14:textId="77777777" w:rsidR="00AB6191" w:rsidRPr="008231CB" w:rsidRDefault="00AB6191" w:rsidP="00AB6191">
            <w:pPr>
              <w:ind w:right="-29"/>
              <w:jc w:val="center"/>
              <w:rPr>
                <w:noProof/>
                <w:sz w:val="18"/>
                <w:szCs w:val="18"/>
              </w:rPr>
            </w:pPr>
          </w:p>
        </w:tc>
        <w:tc>
          <w:tcPr>
            <w:tcW w:w="540" w:type="dxa"/>
            <w:tcBorders>
              <w:right w:val="dashSmallGap" w:sz="4" w:space="0" w:color="auto"/>
            </w:tcBorders>
          </w:tcPr>
          <w:p w14:paraId="01957DD9" w14:textId="77777777" w:rsidR="00AB6191" w:rsidRPr="008231CB" w:rsidRDefault="00AB6191" w:rsidP="00AB6191">
            <w:pPr>
              <w:ind w:right="-29"/>
              <w:jc w:val="center"/>
              <w:rPr>
                <w:noProof/>
                <w:sz w:val="18"/>
                <w:szCs w:val="18"/>
              </w:rPr>
            </w:pPr>
          </w:p>
        </w:tc>
        <w:tc>
          <w:tcPr>
            <w:tcW w:w="720" w:type="dxa"/>
            <w:tcBorders>
              <w:left w:val="dashSmallGap" w:sz="4" w:space="0" w:color="auto"/>
            </w:tcBorders>
          </w:tcPr>
          <w:p w14:paraId="5F09A547" w14:textId="77777777" w:rsidR="00AB6191" w:rsidRPr="008231CB" w:rsidRDefault="00AB6191" w:rsidP="00AB6191">
            <w:pPr>
              <w:ind w:right="-29"/>
              <w:jc w:val="center"/>
              <w:rPr>
                <w:noProof/>
                <w:sz w:val="18"/>
                <w:szCs w:val="18"/>
              </w:rPr>
            </w:pPr>
          </w:p>
        </w:tc>
        <w:tc>
          <w:tcPr>
            <w:tcW w:w="720" w:type="dxa"/>
            <w:tcBorders>
              <w:right w:val="dashSmallGap" w:sz="4" w:space="0" w:color="auto"/>
            </w:tcBorders>
          </w:tcPr>
          <w:p w14:paraId="10167E85" w14:textId="77777777" w:rsidR="00AB6191" w:rsidRPr="008231CB" w:rsidRDefault="00AB6191" w:rsidP="00AB6191">
            <w:pPr>
              <w:ind w:right="-29"/>
              <w:jc w:val="center"/>
              <w:rPr>
                <w:noProof/>
                <w:sz w:val="18"/>
                <w:szCs w:val="18"/>
              </w:rPr>
            </w:pPr>
          </w:p>
        </w:tc>
        <w:tc>
          <w:tcPr>
            <w:tcW w:w="720" w:type="dxa"/>
            <w:tcBorders>
              <w:left w:val="dashSmallGap" w:sz="4" w:space="0" w:color="auto"/>
            </w:tcBorders>
          </w:tcPr>
          <w:p w14:paraId="4A007E92" w14:textId="77777777" w:rsidR="00AB6191" w:rsidRPr="008231CB" w:rsidRDefault="00AB6191" w:rsidP="00AB6191">
            <w:pPr>
              <w:ind w:right="-29"/>
              <w:jc w:val="center"/>
              <w:rPr>
                <w:noProof/>
                <w:sz w:val="18"/>
                <w:szCs w:val="18"/>
              </w:rPr>
            </w:pPr>
          </w:p>
        </w:tc>
        <w:tc>
          <w:tcPr>
            <w:tcW w:w="900" w:type="dxa"/>
            <w:tcBorders>
              <w:right w:val="dashSmallGap" w:sz="4" w:space="0" w:color="auto"/>
            </w:tcBorders>
          </w:tcPr>
          <w:p w14:paraId="1004811B" w14:textId="77777777" w:rsidR="00AB6191" w:rsidRPr="008231CB" w:rsidRDefault="00AB6191" w:rsidP="00AB6191">
            <w:pPr>
              <w:ind w:right="-29"/>
              <w:jc w:val="center"/>
              <w:rPr>
                <w:noProof/>
                <w:sz w:val="18"/>
                <w:szCs w:val="18"/>
              </w:rPr>
            </w:pPr>
          </w:p>
        </w:tc>
        <w:tc>
          <w:tcPr>
            <w:tcW w:w="720" w:type="dxa"/>
            <w:gridSpan w:val="2"/>
            <w:tcBorders>
              <w:left w:val="dashSmallGap" w:sz="4" w:space="0" w:color="auto"/>
            </w:tcBorders>
          </w:tcPr>
          <w:p w14:paraId="17D9A906" w14:textId="77777777" w:rsidR="00AB6191" w:rsidRPr="008231CB" w:rsidRDefault="00AB6191" w:rsidP="00AB6191">
            <w:pPr>
              <w:ind w:right="-29"/>
              <w:jc w:val="center"/>
              <w:rPr>
                <w:noProof/>
                <w:sz w:val="18"/>
                <w:szCs w:val="18"/>
              </w:rPr>
            </w:pPr>
          </w:p>
        </w:tc>
        <w:tc>
          <w:tcPr>
            <w:tcW w:w="540" w:type="dxa"/>
            <w:tcBorders>
              <w:right w:val="dashSmallGap" w:sz="4" w:space="0" w:color="auto"/>
            </w:tcBorders>
          </w:tcPr>
          <w:p w14:paraId="14361835" w14:textId="77777777" w:rsidR="00AB6191" w:rsidRPr="008231CB" w:rsidRDefault="00AB6191" w:rsidP="00AB6191">
            <w:pPr>
              <w:ind w:right="-29"/>
              <w:jc w:val="center"/>
              <w:rPr>
                <w:noProof/>
                <w:sz w:val="18"/>
                <w:szCs w:val="18"/>
              </w:rPr>
            </w:pPr>
          </w:p>
        </w:tc>
        <w:tc>
          <w:tcPr>
            <w:tcW w:w="648" w:type="dxa"/>
            <w:tcBorders>
              <w:left w:val="dashSmallGap" w:sz="4" w:space="0" w:color="auto"/>
            </w:tcBorders>
          </w:tcPr>
          <w:p w14:paraId="7A4B789A" w14:textId="77777777" w:rsidR="00AB6191" w:rsidRPr="008231CB" w:rsidRDefault="00AB6191" w:rsidP="00AB6191">
            <w:pPr>
              <w:ind w:right="-29"/>
              <w:jc w:val="center"/>
              <w:rPr>
                <w:noProof/>
                <w:sz w:val="18"/>
                <w:szCs w:val="18"/>
              </w:rPr>
            </w:pPr>
          </w:p>
        </w:tc>
        <w:tc>
          <w:tcPr>
            <w:tcW w:w="432" w:type="dxa"/>
            <w:tcBorders>
              <w:right w:val="dashSmallGap" w:sz="4" w:space="0" w:color="auto"/>
            </w:tcBorders>
          </w:tcPr>
          <w:p w14:paraId="3C5E937F" w14:textId="77777777" w:rsidR="00AB6191" w:rsidRPr="008231CB" w:rsidRDefault="00AB6191" w:rsidP="00AB6191">
            <w:pPr>
              <w:ind w:right="-29"/>
              <w:jc w:val="center"/>
              <w:rPr>
                <w:noProof/>
                <w:sz w:val="18"/>
                <w:szCs w:val="18"/>
              </w:rPr>
            </w:pPr>
          </w:p>
        </w:tc>
        <w:tc>
          <w:tcPr>
            <w:tcW w:w="720" w:type="dxa"/>
            <w:tcBorders>
              <w:left w:val="dashSmallGap" w:sz="4" w:space="0" w:color="auto"/>
            </w:tcBorders>
          </w:tcPr>
          <w:p w14:paraId="134D4A2D" w14:textId="77777777" w:rsidR="00AB6191" w:rsidRPr="008231CB" w:rsidRDefault="00AB6191" w:rsidP="00AB6191">
            <w:pPr>
              <w:ind w:right="-29"/>
              <w:jc w:val="center"/>
              <w:rPr>
                <w:noProof/>
                <w:sz w:val="18"/>
                <w:szCs w:val="18"/>
              </w:rPr>
            </w:pPr>
          </w:p>
        </w:tc>
        <w:tc>
          <w:tcPr>
            <w:tcW w:w="540" w:type="dxa"/>
            <w:tcBorders>
              <w:right w:val="dashSmallGap" w:sz="4" w:space="0" w:color="auto"/>
            </w:tcBorders>
          </w:tcPr>
          <w:p w14:paraId="17236E6D" w14:textId="77777777" w:rsidR="00AB6191" w:rsidRPr="008231CB" w:rsidRDefault="00AB6191" w:rsidP="00AB6191">
            <w:pPr>
              <w:ind w:right="-29"/>
              <w:jc w:val="center"/>
              <w:rPr>
                <w:noProof/>
                <w:sz w:val="18"/>
                <w:szCs w:val="18"/>
              </w:rPr>
            </w:pPr>
          </w:p>
        </w:tc>
        <w:tc>
          <w:tcPr>
            <w:tcW w:w="720" w:type="dxa"/>
            <w:tcBorders>
              <w:left w:val="dashSmallGap" w:sz="4" w:space="0" w:color="auto"/>
            </w:tcBorders>
          </w:tcPr>
          <w:p w14:paraId="4550096A" w14:textId="77777777" w:rsidR="00AB6191" w:rsidRPr="008231CB" w:rsidRDefault="00AB6191" w:rsidP="00AB6191">
            <w:pPr>
              <w:ind w:right="-29"/>
              <w:jc w:val="center"/>
              <w:rPr>
                <w:noProof/>
                <w:sz w:val="18"/>
                <w:szCs w:val="18"/>
              </w:rPr>
            </w:pPr>
          </w:p>
        </w:tc>
        <w:tc>
          <w:tcPr>
            <w:tcW w:w="720" w:type="dxa"/>
          </w:tcPr>
          <w:p w14:paraId="2A85FBBB" w14:textId="77777777" w:rsidR="00AB6191" w:rsidRPr="008231CB" w:rsidRDefault="00AB6191" w:rsidP="00AB6191">
            <w:pPr>
              <w:ind w:right="-29"/>
              <w:jc w:val="center"/>
              <w:rPr>
                <w:noProof/>
                <w:sz w:val="18"/>
                <w:szCs w:val="18"/>
              </w:rPr>
            </w:pPr>
          </w:p>
        </w:tc>
        <w:tc>
          <w:tcPr>
            <w:tcW w:w="900" w:type="dxa"/>
          </w:tcPr>
          <w:p w14:paraId="7116EEB3" w14:textId="77777777" w:rsidR="00AB6191" w:rsidRPr="008231CB" w:rsidRDefault="00AB6191" w:rsidP="00AB6191">
            <w:pPr>
              <w:ind w:right="-29"/>
              <w:jc w:val="center"/>
              <w:rPr>
                <w:noProof/>
                <w:sz w:val="18"/>
                <w:szCs w:val="18"/>
              </w:rPr>
            </w:pPr>
          </w:p>
        </w:tc>
      </w:tr>
      <w:tr w:rsidR="00AB6191" w:rsidRPr="008231CB" w14:paraId="3173F614" w14:textId="77777777" w:rsidTr="00AB6191">
        <w:trPr>
          <w:trHeight w:hRule="exact" w:val="369"/>
          <w:jc w:val="center"/>
        </w:trPr>
        <w:tc>
          <w:tcPr>
            <w:tcW w:w="1423" w:type="dxa"/>
          </w:tcPr>
          <w:p w14:paraId="2CD84B48" w14:textId="77777777" w:rsidR="00AB6191" w:rsidRPr="008231CB" w:rsidRDefault="00AB6191" w:rsidP="00AB6191">
            <w:pPr>
              <w:ind w:right="-29"/>
              <w:jc w:val="center"/>
              <w:rPr>
                <w:noProof/>
                <w:sz w:val="18"/>
                <w:szCs w:val="18"/>
              </w:rPr>
            </w:pPr>
            <w:r w:rsidRPr="008231CB">
              <w:rPr>
                <w:noProof/>
                <w:sz w:val="18"/>
              </w:rPr>
              <w:t>- Output</w:t>
            </w:r>
          </w:p>
        </w:tc>
        <w:tc>
          <w:tcPr>
            <w:tcW w:w="720" w:type="dxa"/>
          </w:tcPr>
          <w:p w14:paraId="00CCDE6E" w14:textId="77777777" w:rsidR="00AB6191" w:rsidRPr="008231CB" w:rsidRDefault="00AB6191" w:rsidP="00AB6191">
            <w:pPr>
              <w:ind w:right="-29"/>
              <w:jc w:val="center"/>
              <w:rPr>
                <w:noProof/>
                <w:sz w:val="18"/>
                <w:szCs w:val="18"/>
              </w:rPr>
            </w:pPr>
          </w:p>
        </w:tc>
        <w:tc>
          <w:tcPr>
            <w:tcW w:w="701" w:type="dxa"/>
          </w:tcPr>
          <w:p w14:paraId="4E7DCA32" w14:textId="77777777" w:rsidR="00AB6191" w:rsidRPr="008231CB" w:rsidRDefault="00AB6191" w:rsidP="00AB6191">
            <w:pPr>
              <w:ind w:right="-29"/>
              <w:jc w:val="center"/>
              <w:rPr>
                <w:noProof/>
                <w:sz w:val="18"/>
                <w:szCs w:val="18"/>
              </w:rPr>
            </w:pPr>
          </w:p>
        </w:tc>
        <w:tc>
          <w:tcPr>
            <w:tcW w:w="504" w:type="dxa"/>
          </w:tcPr>
          <w:p w14:paraId="4AC2CEC2" w14:textId="77777777" w:rsidR="00AB6191" w:rsidRPr="008231CB" w:rsidRDefault="00AB6191" w:rsidP="00AB6191">
            <w:pPr>
              <w:ind w:right="-29"/>
              <w:jc w:val="center"/>
              <w:rPr>
                <w:noProof/>
                <w:sz w:val="18"/>
                <w:szCs w:val="18"/>
              </w:rPr>
            </w:pPr>
          </w:p>
        </w:tc>
        <w:tc>
          <w:tcPr>
            <w:tcW w:w="720" w:type="dxa"/>
          </w:tcPr>
          <w:p w14:paraId="2E82D1AD" w14:textId="77777777" w:rsidR="00AB6191" w:rsidRPr="008231CB" w:rsidRDefault="00AB6191" w:rsidP="00AB6191">
            <w:pPr>
              <w:ind w:right="-29"/>
              <w:jc w:val="center"/>
              <w:rPr>
                <w:noProof/>
                <w:sz w:val="18"/>
                <w:szCs w:val="18"/>
              </w:rPr>
            </w:pPr>
          </w:p>
        </w:tc>
        <w:tc>
          <w:tcPr>
            <w:tcW w:w="540" w:type="dxa"/>
          </w:tcPr>
          <w:p w14:paraId="6BB2B495" w14:textId="77777777" w:rsidR="00AB6191" w:rsidRPr="008231CB" w:rsidRDefault="00AB6191" w:rsidP="00AB6191">
            <w:pPr>
              <w:ind w:right="-29"/>
              <w:jc w:val="center"/>
              <w:rPr>
                <w:noProof/>
                <w:sz w:val="18"/>
                <w:szCs w:val="18"/>
              </w:rPr>
            </w:pPr>
          </w:p>
        </w:tc>
        <w:tc>
          <w:tcPr>
            <w:tcW w:w="720" w:type="dxa"/>
          </w:tcPr>
          <w:p w14:paraId="41C6B70F" w14:textId="77777777" w:rsidR="00AB6191" w:rsidRPr="008231CB" w:rsidRDefault="00AB6191" w:rsidP="00AB6191">
            <w:pPr>
              <w:ind w:right="-29"/>
              <w:jc w:val="center"/>
              <w:rPr>
                <w:noProof/>
                <w:sz w:val="18"/>
                <w:szCs w:val="18"/>
              </w:rPr>
            </w:pPr>
          </w:p>
        </w:tc>
        <w:tc>
          <w:tcPr>
            <w:tcW w:w="720" w:type="dxa"/>
          </w:tcPr>
          <w:p w14:paraId="7F6988E5" w14:textId="77777777" w:rsidR="00AB6191" w:rsidRPr="008231CB" w:rsidRDefault="00AB6191" w:rsidP="00AB6191">
            <w:pPr>
              <w:ind w:right="-29"/>
              <w:jc w:val="center"/>
              <w:rPr>
                <w:noProof/>
                <w:sz w:val="18"/>
                <w:szCs w:val="18"/>
              </w:rPr>
            </w:pPr>
          </w:p>
        </w:tc>
        <w:tc>
          <w:tcPr>
            <w:tcW w:w="720" w:type="dxa"/>
          </w:tcPr>
          <w:p w14:paraId="0EB5C037" w14:textId="77777777" w:rsidR="00AB6191" w:rsidRPr="008231CB" w:rsidRDefault="00AB6191" w:rsidP="00AB6191">
            <w:pPr>
              <w:ind w:right="-29"/>
              <w:jc w:val="center"/>
              <w:rPr>
                <w:noProof/>
                <w:sz w:val="18"/>
                <w:szCs w:val="18"/>
              </w:rPr>
            </w:pPr>
          </w:p>
        </w:tc>
        <w:tc>
          <w:tcPr>
            <w:tcW w:w="900" w:type="dxa"/>
          </w:tcPr>
          <w:p w14:paraId="6D9BBDBE" w14:textId="77777777" w:rsidR="00AB6191" w:rsidRPr="008231CB" w:rsidRDefault="00AB6191" w:rsidP="00AB6191">
            <w:pPr>
              <w:ind w:right="-29"/>
              <w:jc w:val="center"/>
              <w:rPr>
                <w:noProof/>
                <w:sz w:val="18"/>
                <w:szCs w:val="18"/>
              </w:rPr>
            </w:pPr>
          </w:p>
        </w:tc>
        <w:tc>
          <w:tcPr>
            <w:tcW w:w="720" w:type="dxa"/>
            <w:gridSpan w:val="2"/>
          </w:tcPr>
          <w:p w14:paraId="0ACB11F8" w14:textId="77777777" w:rsidR="00AB6191" w:rsidRPr="008231CB" w:rsidRDefault="00AB6191" w:rsidP="00AB6191">
            <w:pPr>
              <w:ind w:right="-29"/>
              <w:jc w:val="center"/>
              <w:rPr>
                <w:noProof/>
                <w:sz w:val="18"/>
                <w:szCs w:val="18"/>
              </w:rPr>
            </w:pPr>
          </w:p>
        </w:tc>
        <w:tc>
          <w:tcPr>
            <w:tcW w:w="540" w:type="dxa"/>
          </w:tcPr>
          <w:p w14:paraId="2B7D18F5" w14:textId="77777777" w:rsidR="00AB6191" w:rsidRPr="008231CB" w:rsidRDefault="00AB6191" w:rsidP="00AB6191">
            <w:pPr>
              <w:ind w:right="-29"/>
              <w:jc w:val="center"/>
              <w:rPr>
                <w:noProof/>
                <w:sz w:val="18"/>
                <w:szCs w:val="18"/>
              </w:rPr>
            </w:pPr>
          </w:p>
        </w:tc>
        <w:tc>
          <w:tcPr>
            <w:tcW w:w="648" w:type="dxa"/>
          </w:tcPr>
          <w:p w14:paraId="79333BE1" w14:textId="77777777" w:rsidR="00AB6191" w:rsidRPr="008231CB" w:rsidRDefault="00AB6191" w:rsidP="00AB6191">
            <w:pPr>
              <w:ind w:right="-29"/>
              <w:jc w:val="center"/>
              <w:rPr>
                <w:noProof/>
                <w:sz w:val="18"/>
                <w:szCs w:val="18"/>
              </w:rPr>
            </w:pPr>
          </w:p>
        </w:tc>
        <w:tc>
          <w:tcPr>
            <w:tcW w:w="432" w:type="dxa"/>
          </w:tcPr>
          <w:p w14:paraId="3D8D0E84" w14:textId="77777777" w:rsidR="00AB6191" w:rsidRPr="008231CB" w:rsidRDefault="00AB6191" w:rsidP="00AB6191">
            <w:pPr>
              <w:ind w:right="-29"/>
              <w:jc w:val="center"/>
              <w:rPr>
                <w:noProof/>
                <w:sz w:val="18"/>
                <w:szCs w:val="18"/>
              </w:rPr>
            </w:pPr>
          </w:p>
        </w:tc>
        <w:tc>
          <w:tcPr>
            <w:tcW w:w="720" w:type="dxa"/>
          </w:tcPr>
          <w:p w14:paraId="6772A775" w14:textId="77777777" w:rsidR="00AB6191" w:rsidRPr="008231CB" w:rsidRDefault="00AB6191" w:rsidP="00AB6191">
            <w:pPr>
              <w:ind w:right="-29"/>
              <w:jc w:val="center"/>
              <w:rPr>
                <w:noProof/>
                <w:sz w:val="18"/>
                <w:szCs w:val="18"/>
              </w:rPr>
            </w:pPr>
          </w:p>
        </w:tc>
        <w:tc>
          <w:tcPr>
            <w:tcW w:w="540" w:type="dxa"/>
          </w:tcPr>
          <w:p w14:paraId="348F149D" w14:textId="77777777" w:rsidR="00AB6191" w:rsidRPr="008231CB" w:rsidRDefault="00AB6191" w:rsidP="00AB6191">
            <w:pPr>
              <w:ind w:right="-29"/>
              <w:jc w:val="center"/>
              <w:rPr>
                <w:noProof/>
                <w:sz w:val="18"/>
                <w:szCs w:val="18"/>
              </w:rPr>
            </w:pPr>
          </w:p>
        </w:tc>
        <w:tc>
          <w:tcPr>
            <w:tcW w:w="720" w:type="dxa"/>
          </w:tcPr>
          <w:p w14:paraId="70168E18" w14:textId="77777777" w:rsidR="00AB6191" w:rsidRPr="008231CB" w:rsidRDefault="00AB6191" w:rsidP="00AB6191">
            <w:pPr>
              <w:ind w:right="-29"/>
              <w:jc w:val="center"/>
              <w:rPr>
                <w:noProof/>
                <w:sz w:val="18"/>
                <w:szCs w:val="18"/>
              </w:rPr>
            </w:pPr>
          </w:p>
        </w:tc>
        <w:tc>
          <w:tcPr>
            <w:tcW w:w="720" w:type="dxa"/>
          </w:tcPr>
          <w:p w14:paraId="2C561E5D" w14:textId="77777777" w:rsidR="00AB6191" w:rsidRPr="008231CB" w:rsidRDefault="00AB6191" w:rsidP="00AB6191">
            <w:pPr>
              <w:ind w:right="-29"/>
              <w:jc w:val="center"/>
              <w:rPr>
                <w:noProof/>
                <w:sz w:val="18"/>
                <w:szCs w:val="18"/>
              </w:rPr>
            </w:pPr>
          </w:p>
        </w:tc>
        <w:tc>
          <w:tcPr>
            <w:tcW w:w="900" w:type="dxa"/>
          </w:tcPr>
          <w:p w14:paraId="7ED7A222" w14:textId="77777777" w:rsidR="00AB6191" w:rsidRPr="008231CB" w:rsidRDefault="00AB6191" w:rsidP="00AB6191">
            <w:pPr>
              <w:ind w:right="-29"/>
              <w:jc w:val="center"/>
              <w:rPr>
                <w:noProof/>
                <w:sz w:val="18"/>
                <w:szCs w:val="18"/>
              </w:rPr>
            </w:pPr>
          </w:p>
        </w:tc>
      </w:tr>
      <w:tr w:rsidR="00AB6191" w:rsidRPr="008231CB" w14:paraId="14C206CA" w14:textId="77777777" w:rsidTr="00AB6191">
        <w:trPr>
          <w:trHeight w:val="77"/>
          <w:jc w:val="center"/>
        </w:trPr>
        <w:tc>
          <w:tcPr>
            <w:tcW w:w="2844" w:type="dxa"/>
            <w:gridSpan w:val="3"/>
            <w:tcBorders>
              <w:bottom w:val="single" w:sz="12" w:space="0" w:color="auto"/>
            </w:tcBorders>
            <w:vAlign w:val="center"/>
          </w:tcPr>
          <w:p w14:paraId="48B41D54" w14:textId="77777777" w:rsidR="00AB6191" w:rsidRPr="008231CB" w:rsidRDefault="00AB6191" w:rsidP="00AB6191">
            <w:pPr>
              <w:ind w:right="-29"/>
              <w:jc w:val="center"/>
              <w:rPr>
                <w:noProof/>
                <w:sz w:val="18"/>
                <w:szCs w:val="18"/>
              </w:rPr>
            </w:pPr>
            <w:r w:rsidRPr="008231CB">
              <w:rPr>
                <w:noProof/>
                <w:sz w:val="18"/>
              </w:rPr>
              <w:t>Subtotal for specific objective No 1</w:t>
            </w:r>
          </w:p>
        </w:tc>
        <w:tc>
          <w:tcPr>
            <w:tcW w:w="504" w:type="dxa"/>
            <w:tcBorders>
              <w:bottom w:val="single" w:sz="12" w:space="0" w:color="auto"/>
            </w:tcBorders>
          </w:tcPr>
          <w:p w14:paraId="40D604F8" w14:textId="77777777" w:rsidR="00AB6191" w:rsidRPr="008231CB" w:rsidRDefault="00AB6191" w:rsidP="00AB6191">
            <w:pPr>
              <w:ind w:right="-29"/>
              <w:jc w:val="center"/>
              <w:rPr>
                <w:noProof/>
                <w:sz w:val="18"/>
                <w:szCs w:val="18"/>
              </w:rPr>
            </w:pPr>
            <w:r>
              <w:rPr>
                <w:noProof/>
                <w:sz w:val="18"/>
                <w:szCs w:val="18"/>
              </w:rPr>
              <w:t>1</w:t>
            </w:r>
          </w:p>
        </w:tc>
        <w:tc>
          <w:tcPr>
            <w:tcW w:w="720" w:type="dxa"/>
            <w:tcBorders>
              <w:bottom w:val="single" w:sz="12" w:space="0" w:color="auto"/>
            </w:tcBorders>
          </w:tcPr>
          <w:p w14:paraId="6D8975AF" w14:textId="77777777" w:rsidR="00AB6191" w:rsidRPr="008231CB" w:rsidRDefault="00AB6191" w:rsidP="00AB6191">
            <w:pPr>
              <w:ind w:right="-29"/>
              <w:jc w:val="center"/>
              <w:rPr>
                <w:noProof/>
                <w:sz w:val="18"/>
                <w:szCs w:val="18"/>
              </w:rPr>
            </w:pPr>
            <w:r>
              <w:rPr>
                <w:noProof/>
                <w:sz w:val="18"/>
                <w:szCs w:val="18"/>
              </w:rPr>
              <w:t>2.000</w:t>
            </w:r>
          </w:p>
        </w:tc>
        <w:tc>
          <w:tcPr>
            <w:tcW w:w="540" w:type="dxa"/>
            <w:tcBorders>
              <w:bottom w:val="single" w:sz="12" w:space="0" w:color="auto"/>
            </w:tcBorders>
          </w:tcPr>
          <w:p w14:paraId="4D74A160" w14:textId="77777777" w:rsidR="00AB6191" w:rsidRPr="008231CB" w:rsidRDefault="00AB6191" w:rsidP="00AB6191">
            <w:pPr>
              <w:ind w:right="-29"/>
              <w:jc w:val="center"/>
              <w:rPr>
                <w:noProof/>
                <w:sz w:val="18"/>
                <w:szCs w:val="18"/>
              </w:rPr>
            </w:pPr>
            <w:r>
              <w:rPr>
                <w:noProof/>
                <w:sz w:val="18"/>
                <w:szCs w:val="18"/>
              </w:rPr>
              <w:t>1</w:t>
            </w:r>
          </w:p>
        </w:tc>
        <w:tc>
          <w:tcPr>
            <w:tcW w:w="720" w:type="dxa"/>
            <w:tcBorders>
              <w:bottom w:val="single" w:sz="12" w:space="0" w:color="auto"/>
            </w:tcBorders>
          </w:tcPr>
          <w:p w14:paraId="0E5FC1CF" w14:textId="77777777" w:rsidR="00AB6191" w:rsidRPr="008231CB" w:rsidRDefault="00AB6191" w:rsidP="00AB6191">
            <w:pPr>
              <w:ind w:right="-29"/>
              <w:jc w:val="center"/>
              <w:rPr>
                <w:noProof/>
                <w:sz w:val="18"/>
                <w:szCs w:val="18"/>
              </w:rPr>
            </w:pPr>
            <w:r>
              <w:rPr>
                <w:noProof/>
                <w:sz w:val="18"/>
                <w:szCs w:val="18"/>
              </w:rPr>
              <w:t>2.000</w:t>
            </w:r>
          </w:p>
        </w:tc>
        <w:tc>
          <w:tcPr>
            <w:tcW w:w="720" w:type="dxa"/>
            <w:tcBorders>
              <w:bottom w:val="single" w:sz="12" w:space="0" w:color="auto"/>
            </w:tcBorders>
          </w:tcPr>
          <w:p w14:paraId="0A9AE530" w14:textId="77777777" w:rsidR="00AB6191" w:rsidRPr="008231CB" w:rsidRDefault="00AB6191" w:rsidP="00AB6191">
            <w:pPr>
              <w:ind w:right="-29"/>
              <w:jc w:val="center"/>
              <w:rPr>
                <w:noProof/>
                <w:sz w:val="18"/>
                <w:szCs w:val="18"/>
              </w:rPr>
            </w:pPr>
            <w:r>
              <w:rPr>
                <w:noProof/>
                <w:sz w:val="18"/>
                <w:szCs w:val="18"/>
              </w:rPr>
              <w:t>1</w:t>
            </w:r>
          </w:p>
        </w:tc>
        <w:tc>
          <w:tcPr>
            <w:tcW w:w="720" w:type="dxa"/>
            <w:tcBorders>
              <w:bottom w:val="single" w:sz="12" w:space="0" w:color="auto"/>
            </w:tcBorders>
          </w:tcPr>
          <w:p w14:paraId="735724BF" w14:textId="77777777" w:rsidR="00AB6191" w:rsidRPr="008231CB" w:rsidRDefault="00AB6191" w:rsidP="00AB6191">
            <w:pPr>
              <w:ind w:right="-29"/>
              <w:jc w:val="center"/>
              <w:rPr>
                <w:noProof/>
                <w:sz w:val="18"/>
                <w:szCs w:val="18"/>
              </w:rPr>
            </w:pPr>
            <w:r>
              <w:rPr>
                <w:noProof/>
                <w:sz w:val="18"/>
                <w:szCs w:val="18"/>
              </w:rPr>
              <w:t>2.000</w:t>
            </w:r>
          </w:p>
        </w:tc>
        <w:tc>
          <w:tcPr>
            <w:tcW w:w="900" w:type="dxa"/>
            <w:tcBorders>
              <w:bottom w:val="single" w:sz="12" w:space="0" w:color="auto"/>
            </w:tcBorders>
          </w:tcPr>
          <w:p w14:paraId="7129AA12" w14:textId="77777777" w:rsidR="00AB6191" w:rsidRPr="008231CB" w:rsidRDefault="00AB6191" w:rsidP="00AB6191">
            <w:pPr>
              <w:ind w:right="-29"/>
              <w:jc w:val="center"/>
              <w:rPr>
                <w:noProof/>
                <w:sz w:val="18"/>
                <w:szCs w:val="18"/>
              </w:rPr>
            </w:pPr>
          </w:p>
        </w:tc>
        <w:tc>
          <w:tcPr>
            <w:tcW w:w="720" w:type="dxa"/>
            <w:gridSpan w:val="2"/>
            <w:tcBorders>
              <w:bottom w:val="single" w:sz="12" w:space="0" w:color="auto"/>
            </w:tcBorders>
          </w:tcPr>
          <w:p w14:paraId="666E69F3" w14:textId="77777777" w:rsidR="00AB6191" w:rsidRPr="008231CB" w:rsidRDefault="00AB6191" w:rsidP="00AB6191">
            <w:pPr>
              <w:ind w:right="-29"/>
              <w:jc w:val="center"/>
              <w:rPr>
                <w:noProof/>
                <w:sz w:val="18"/>
                <w:szCs w:val="18"/>
              </w:rPr>
            </w:pPr>
          </w:p>
        </w:tc>
        <w:tc>
          <w:tcPr>
            <w:tcW w:w="540" w:type="dxa"/>
            <w:tcBorders>
              <w:bottom w:val="single" w:sz="12" w:space="0" w:color="auto"/>
            </w:tcBorders>
          </w:tcPr>
          <w:p w14:paraId="34E38165" w14:textId="77777777" w:rsidR="00AB6191" w:rsidRPr="008231CB" w:rsidRDefault="00AB6191" w:rsidP="00AB6191">
            <w:pPr>
              <w:ind w:right="-29"/>
              <w:jc w:val="center"/>
              <w:rPr>
                <w:noProof/>
                <w:sz w:val="18"/>
                <w:szCs w:val="18"/>
              </w:rPr>
            </w:pPr>
          </w:p>
        </w:tc>
        <w:tc>
          <w:tcPr>
            <w:tcW w:w="648" w:type="dxa"/>
            <w:tcBorders>
              <w:bottom w:val="single" w:sz="12" w:space="0" w:color="auto"/>
            </w:tcBorders>
          </w:tcPr>
          <w:p w14:paraId="16E7CBAC" w14:textId="77777777" w:rsidR="00AB6191" w:rsidRPr="008231CB" w:rsidRDefault="00AB6191" w:rsidP="00AB6191">
            <w:pPr>
              <w:ind w:right="-29"/>
              <w:jc w:val="center"/>
              <w:rPr>
                <w:noProof/>
                <w:sz w:val="18"/>
                <w:szCs w:val="18"/>
              </w:rPr>
            </w:pPr>
          </w:p>
        </w:tc>
        <w:tc>
          <w:tcPr>
            <w:tcW w:w="432" w:type="dxa"/>
            <w:tcBorders>
              <w:bottom w:val="single" w:sz="12" w:space="0" w:color="auto"/>
            </w:tcBorders>
          </w:tcPr>
          <w:p w14:paraId="557D4001"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410D3AE2" w14:textId="77777777" w:rsidR="00AB6191" w:rsidRPr="008231CB" w:rsidRDefault="00AB6191" w:rsidP="00AB6191">
            <w:pPr>
              <w:ind w:right="-29"/>
              <w:jc w:val="center"/>
              <w:rPr>
                <w:noProof/>
                <w:sz w:val="18"/>
                <w:szCs w:val="18"/>
              </w:rPr>
            </w:pPr>
          </w:p>
        </w:tc>
        <w:tc>
          <w:tcPr>
            <w:tcW w:w="540" w:type="dxa"/>
            <w:tcBorders>
              <w:bottom w:val="single" w:sz="12" w:space="0" w:color="auto"/>
            </w:tcBorders>
          </w:tcPr>
          <w:p w14:paraId="3398C5BF"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06E6FB78"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6649DE38" w14:textId="77777777" w:rsidR="00AB6191" w:rsidRPr="008231CB" w:rsidRDefault="00AB6191" w:rsidP="00AB6191">
            <w:pPr>
              <w:ind w:right="-29"/>
              <w:jc w:val="center"/>
              <w:rPr>
                <w:noProof/>
                <w:sz w:val="18"/>
                <w:szCs w:val="18"/>
              </w:rPr>
            </w:pPr>
          </w:p>
        </w:tc>
        <w:tc>
          <w:tcPr>
            <w:tcW w:w="900" w:type="dxa"/>
            <w:tcBorders>
              <w:bottom w:val="single" w:sz="12" w:space="0" w:color="auto"/>
            </w:tcBorders>
          </w:tcPr>
          <w:p w14:paraId="3ADEE9F4" w14:textId="77777777" w:rsidR="00AB6191" w:rsidRPr="008231CB" w:rsidRDefault="00AB6191" w:rsidP="00AB6191">
            <w:pPr>
              <w:ind w:right="-29"/>
              <w:jc w:val="center"/>
              <w:rPr>
                <w:noProof/>
                <w:sz w:val="18"/>
                <w:szCs w:val="18"/>
              </w:rPr>
            </w:pPr>
          </w:p>
        </w:tc>
      </w:tr>
      <w:tr w:rsidR="00AB6191" w:rsidRPr="008231CB" w14:paraId="434BFB0F" w14:textId="77777777" w:rsidTr="00AB6191">
        <w:trPr>
          <w:jc w:val="center"/>
        </w:trPr>
        <w:tc>
          <w:tcPr>
            <w:tcW w:w="2844" w:type="dxa"/>
            <w:gridSpan w:val="3"/>
            <w:vAlign w:val="center"/>
          </w:tcPr>
          <w:p w14:paraId="728B425B" w14:textId="77777777" w:rsidR="00AB6191" w:rsidRPr="008231CB" w:rsidRDefault="00AB6191" w:rsidP="00AB6191">
            <w:pPr>
              <w:spacing w:before="60" w:after="60"/>
              <w:ind w:right="-29"/>
              <w:jc w:val="center"/>
              <w:rPr>
                <w:noProof/>
                <w:sz w:val="18"/>
                <w:szCs w:val="18"/>
              </w:rPr>
            </w:pPr>
            <w:r w:rsidRPr="008231CB">
              <w:rPr>
                <w:noProof/>
                <w:sz w:val="18"/>
              </w:rPr>
              <w:t>SPECIFIC OBJECTIVE No 2 ...</w:t>
            </w:r>
          </w:p>
        </w:tc>
        <w:tc>
          <w:tcPr>
            <w:tcW w:w="504" w:type="dxa"/>
            <w:tcBorders>
              <w:top w:val="nil"/>
              <w:left w:val="nil"/>
              <w:bottom w:val="nil"/>
              <w:right w:val="nil"/>
            </w:tcBorders>
          </w:tcPr>
          <w:p w14:paraId="637D8821"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61DC498E" w14:textId="77777777" w:rsidR="00AB6191" w:rsidRPr="008231CB"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5AFEB82F"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78ECB69E"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2C26B98B"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64A8E3EF" w14:textId="77777777" w:rsidR="00AB6191" w:rsidRPr="008231CB"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3E3D2AE1" w14:textId="77777777" w:rsidR="00AB6191" w:rsidRPr="008231CB" w:rsidRDefault="00AB6191" w:rsidP="00AB6191">
            <w:pPr>
              <w:spacing w:before="60" w:after="60"/>
              <w:ind w:right="-29"/>
              <w:jc w:val="center"/>
              <w:rPr>
                <w:noProof/>
                <w:sz w:val="18"/>
                <w:szCs w:val="18"/>
              </w:rPr>
            </w:pPr>
          </w:p>
        </w:tc>
        <w:tc>
          <w:tcPr>
            <w:tcW w:w="720" w:type="dxa"/>
            <w:gridSpan w:val="2"/>
            <w:tcBorders>
              <w:top w:val="nil"/>
              <w:left w:val="nil"/>
              <w:bottom w:val="nil"/>
              <w:right w:val="nil"/>
            </w:tcBorders>
          </w:tcPr>
          <w:p w14:paraId="4BA2D886" w14:textId="77777777" w:rsidR="00AB6191" w:rsidRPr="008231CB"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41595DE7" w14:textId="77777777" w:rsidR="00AB6191" w:rsidRPr="008231CB" w:rsidRDefault="00AB6191" w:rsidP="00AB6191">
            <w:pPr>
              <w:spacing w:before="60" w:after="60"/>
              <w:ind w:right="-29"/>
              <w:jc w:val="center"/>
              <w:rPr>
                <w:noProof/>
                <w:sz w:val="18"/>
                <w:szCs w:val="18"/>
              </w:rPr>
            </w:pPr>
          </w:p>
        </w:tc>
        <w:tc>
          <w:tcPr>
            <w:tcW w:w="648" w:type="dxa"/>
            <w:tcBorders>
              <w:top w:val="nil"/>
              <w:left w:val="nil"/>
              <w:bottom w:val="nil"/>
              <w:right w:val="nil"/>
            </w:tcBorders>
          </w:tcPr>
          <w:p w14:paraId="1C743CDD" w14:textId="77777777" w:rsidR="00AB6191" w:rsidRPr="008231CB" w:rsidRDefault="00AB6191" w:rsidP="00AB6191">
            <w:pPr>
              <w:spacing w:before="60" w:after="60"/>
              <w:ind w:right="-29"/>
              <w:jc w:val="center"/>
              <w:rPr>
                <w:noProof/>
                <w:sz w:val="18"/>
                <w:szCs w:val="18"/>
              </w:rPr>
            </w:pPr>
          </w:p>
        </w:tc>
        <w:tc>
          <w:tcPr>
            <w:tcW w:w="432" w:type="dxa"/>
            <w:tcBorders>
              <w:top w:val="nil"/>
              <w:left w:val="nil"/>
              <w:bottom w:val="nil"/>
              <w:right w:val="nil"/>
            </w:tcBorders>
          </w:tcPr>
          <w:p w14:paraId="324FAAE0"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355B1CE1" w14:textId="77777777" w:rsidR="00AB6191" w:rsidRPr="008231CB"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036FC4D9"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71DF7BE4" w14:textId="77777777" w:rsidR="00AB6191" w:rsidRPr="008231CB"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25A0C979" w14:textId="77777777" w:rsidR="00AB6191" w:rsidRPr="008231CB"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245DF350" w14:textId="77777777" w:rsidR="00AB6191" w:rsidRPr="008231CB" w:rsidRDefault="00AB6191" w:rsidP="00AB6191">
            <w:pPr>
              <w:spacing w:before="60" w:after="60"/>
              <w:ind w:right="-29"/>
              <w:jc w:val="center"/>
              <w:rPr>
                <w:noProof/>
                <w:sz w:val="18"/>
                <w:szCs w:val="18"/>
              </w:rPr>
            </w:pPr>
          </w:p>
        </w:tc>
      </w:tr>
      <w:tr w:rsidR="00AB6191" w:rsidRPr="008231CB" w14:paraId="61A51FC6" w14:textId="77777777" w:rsidTr="00AB6191">
        <w:trPr>
          <w:trHeight w:hRule="exact" w:val="369"/>
          <w:jc w:val="center"/>
        </w:trPr>
        <w:tc>
          <w:tcPr>
            <w:tcW w:w="1423" w:type="dxa"/>
          </w:tcPr>
          <w:p w14:paraId="54EB54BA" w14:textId="77777777" w:rsidR="00AB6191" w:rsidRPr="008231CB" w:rsidRDefault="00AB6191" w:rsidP="00AB6191">
            <w:pPr>
              <w:ind w:right="-29"/>
              <w:jc w:val="center"/>
              <w:rPr>
                <w:noProof/>
                <w:sz w:val="18"/>
                <w:szCs w:val="18"/>
              </w:rPr>
            </w:pPr>
            <w:r w:rsidRPr="008231CB">
              <w:rPr>
                <w:noProof/>
                <w:sz w:val="18"/>
              </w:rPr>
              <w:t>- Output</w:t>
            </w:r>
          </w:p>
        </w:tc>
        <w:tc>
          <w:tcPr>
            <w:tcW w:w="720" w:type="dxa"/>
          </w:tcPr>
          <w:p w14:paraId="631E3B16" w14:textId="77777777" w:rsidR="00AB6191" w:rsidRPr="008231CB" w:rsidRDefault="00AB6191" w:rsidP="00AB6191">
            <w:pPr>
              <w:ind w:right="-29"/>
              <w:jc w:val="center"/>
              <w:rPr>
                <w:noProof/>
                <w:sz w:val="18"/>
                <w:szCs w:val="18"/>
              </w:rPr>
            </w:pPr>
          </w:p>
        </w:tc>
        <w:tc>
          <w:tcPr>
            <w:tcW w:w="701" w:type="dxa"/>
          </w:tcPr>
          <w:p w14:paraId="19CD9AD4" w14:textId="77777777" w:rsidR="00AB6191" w:rsidRPr="008231CB" w:rsidRDefault="00AB6191" w:rsidP="00AB6191">
            <w:pPr>
              <w:ind w:right="-29"/>
              <w:jc w:val="center"/>
              <w:rPr>
                <w:noProof/>
                <w:sz w:val="18"/>
                <w:szCs w:val="18"/>
              </w:rPr>
            </w:pPr>
          </w:p>
        </w:tc>
        <w:tc>
          <w:tcPr>
            <w:tcW w:w="504" w:type="dxa"/>
          </w:tcPr>
          <w:p w14:paraId="7FB976B3" w14:textId="77777777" w:rsidR="00AB6191" w:rsidRPr="008231CB" w:rsidRDefault="00AB6191" w:rsidP="00AB6191">
            <w:pPr>
              <w:ind w:right="-29"/>
              <w:jc w:val="center"/>
              <w:rPr>
                <w:noProof/>
                <w:sz w:val="18"/>
                <w:szCs w:val="18"/>
              </w:rPr>
            </w:pPr>
          </w:p>
        </w:tc>
        <w:tc>
          <w:tcPr>
            <w:tcW w:w="720" w:type="dxa"/>
          </w:tcPr>
          <w:p w14:paraId="090BC05E" w14:textId="77777777" w:rsidR="00AB6191" w:rsidRPr="008231CB" w:rsidRDefault="00AB6191" w:rsidP="00AB6191">
            <w:pPr>
              <w:ind w:right="-29"/>
              <w:jc w:val="center"/>
              <w:rPr>
                <w:noProof/>
                <w:sz w:val="18"/>
                <w:szCs w:val="18"/>
              </w:rPr>
            </w:pPr>
          </w:p>
        </w:tc>
        <w:tc>
          <w:tcPr>
            <w:tcW w:w="540" w:type="dxa"/>
          </w:tcPr>
          <w:p w14:paraId="22DF9C0F" w14:textId="77777777" w:rsidR="00AB6191" w:rsidRPr="008231CB" w:rsidRDefault="00AB6191" w:rsidP="00AB6191">
            <w:pPr>
              <w:ind w:right="-29"/>
              <w:jc w:val="center"/>
              <w:rPr>
                <w:noProof/>
                <w:sz w:val="18"/>
                <w:szCs w:val="18"/>
              </w:rPr>
            </w:pPr>
          </w:p>
        </w:tc>
        <w:tc>
          <w:tcPr>
            <w:tcW w:w="720" w:type="dxa"/>
          </w:tcPr>
          <w:p w14:paraId="7772B0FB" w14:textId="77777777" w:rsidR="00AB6191" w:rsidRPr="008231CB" w:rsidRDefault="00AB6191" w:rsidP="00AB6191">
            <w:pPr>
              <w:ind w:right="-29"/>
              <w:jc w:val="center"/>
              <w:rPr>
                <w:noProof/>
                <w:sz w:val="18"/>
                <w:szCs w:val="18"/>
              </w:rPr>
            </w:pPr>
          </w:p>
        </w:tc>
        <w:tc>
          <w:tcPr>
            <w:tcW w:w="720" w:type="dxa"/>
          </w:tcPr>
          <w:p w14:paraId="05FC7C9B" w14:textId="77777777" w:rsidR="00AB6191" w:rsidRPr="008231CB" w:rsidRDefault="00AB6191" w:rsidP="00AB6191">
            <w:pPr>
              <w:ind w:right="-29"/>
              <w:jc w:val="center"/>
              <w:rPr>
                <w:noProof/>
                <w:sz w:val="18"/>
                <w:szCs w:val="18"/>
              </w:rPr>
            </w:pPr>
          </w:p>
        </w:tc>
        <w:tc>
          <w:tcPr>
            <w:tcW w:w="720" w:type="dxa"/>
          </w:tcPr>
          <w:p w14:paraId="4244FDAE" w14:textId="77777777" w:rsidR="00AB6191" w:rsidRPr="008231CB" w:rsidRDefault="00AB6191" w:rsidP="00AB6191">
            <w:pPr>
              <w:ind w:right="-29"/>
              <w:jc w:val="center"/>
              <w:rPr>
                <w:noProof/>
                <w:sz w:val="18"/>
                <w:szCs w:val="18"/>
              </w:rPr>
            </w:pPr>
          </w:p>
        </w:tc>
        <w:tc>
          <w:tcPr>
            <w:tcW w:w="900" w:type="dxa"/>
          </w:tcPr>
          <w:p w14:paraId="6BC4DEF7" w14:textId="77777777" w:rsidR="00AB6191" w:rsidRPr="008231CB" w:rsidRDefault="00AB6191" w:rsidP="00AB6191">
            <w:pPr>
              <w:ind w:right="-29"/>
              <w:jc w:val="center"/>
              <w:rPr>
                <w:noProof/>
                <w:sz w:val="18"/>
                <w:szCs w:val="18"/>
              </w:rPr>
            </w:pPr>
          </w:p>
        </w:tc>
        <w:tc>
          <w:tcPr>
            <w:tcW w:w="720" w:type="dxa"/>
            <w:gridSpan w:val="2"/>
          </w:tcPr>
          <w:p w14:paraId="7AAA9300" w14:textId="77777777" w:rsidR="00AB6191" w:rsidRPr="008231CB" w:rsidRDefault="00AB6191" w:rsidP="00AB6191">
            <w:pPr>
              <w:ind w:right="-29"/>
              <w:jc w:val="center"/>
              <w:rPr>
                <w:noProof/>
                <w:sz w:val="18"/>
                <w:szCs w:val="18"/>
              </w:rPr>
            </w:pPr>
          </w:p>
        </w:tc>
        <w:tc>
          <w:tcPr>
            <w:tcW w:w="540" w:type="dxa"/>
          </w:tcPr>
          <w:p w14:paraId="7CD66F24" w14:textId="77777777" w:rsidR="00AB6191" w:rsidRPr="008231CB" w:rsidRDefault="00AB6191" w:rsidP="00AB6191">
            <w:pPr>
              <w:ind w:right="-29"/>
              <w:jc w:val="center"/>
              <w:rPr>
                <w:noProof/>
                <w:sz w:val="18"/>
                <w:szCs w:val="18"/>
              </w:rPr>
            </w:pPr>
          </w:p>
        </w:tc>
        <w:tc>
          <w:tcPr>
            <w:tcW w:w="648" w:type="dxa"/>
          </w:tcPr>
          <w:p w14:paraId="4972B9EE" w14:textId="77777777" w:rsidR="00AB6191" w:rsidRPr="008231CB" w:rsidRDefault="00AB6191" w:rsidP="00AB6191">
            <w:pPr>
              <w:ind w:right="-29"/>
              <w:jc w:val="center"/>
              <w:rPr>
                <w:noProof/>
                <w:sz w:val="18"/>
                <w:szCs w:val="18"/>
              </w:rPr>
            </w:pPr>
          </w:p>
        </w:tc>
        <w:tc>
          <w:tcPr>
            <w:tcW w:w="432" w:type="dxa"/>
          </w:tcPr>
          <w:p w14:paraId="5153B10F" w14:textId="77777777" w:rsidR="00AB6191" w:rsidRPr="008231CB" w:rsidRDefault="00AB6191" w:rsidP="00AB6191">
            <w:pPr>
              <w:ind w:right="-29"/>
              <w:jc w:val="center"/>
              <w:rPr>
                <w:noProof/>
                <w:sz w:val="18"/>
                <w:szCs w:val="18"/>
              </w:rPr>
            </w:pPr>
          </w:p>
        </w:tc>
        <w:tc>
          <w:tcPr>
            <w:tcW w:w="720" w:type="dxa"/>
          </w:tcPr>
          <w:p w14:paraId="12BC5EE0" w14:textId="77777777" w:rsidR="00AB6191" w:rsidRPr="008231CB" w:rsidRDefault="00AB6191" w:rsidP="00AB6191">
            <w:pPr>
              <w:ind w:right="-29"/>
              <w:jc w:val="center"/>
              <w:rPr>
                <w:noProof/>
                <w:sz w:val="18"/>
                <w:szCs w:val="18"/>
              </w:rPr>
            </w:pPr>
          </w:p>
        </w:tc>
        <w:tc>
          <w:tcPr>
            <w:tcW w:w="540" w:type="dxa"/>
          </w:tcPr>
          <w:p w14:paraId="5F90635B" w14:textId="77777777" w:rsidR="00AB6191" w:rsidRPr="008231CB" w:rsidRDefault="00AB6191" w:rsidP="00AB6191">
            <w:pPr>
              <w:ind w:right="-29"/>
              <w:jc w:val="center"/>
              <w:rPr>
                <w:noProof/>
                <w:sz w:val="18"/>
                <w:szCs w:val="18"/>
              </w:rPr>
            </w:pPr>
          </w:p>
        </w:tc>
        <w:tc>
          <w:tcPr>
            <w:tcW w:w="720" w:type="dxa"/>
          </w:tcPr>
          <w:p w14:paraId="41408BCD" w14:textId="77777777" w:rsidR="00AB6191" w:rsidRPr="008231CB" w:rsidRDefault="00AB6191" w:rsidP="00AB6191">
            <w:pPr>
              <w:ind w:right="-29"/>
              <w:jc w:val="center"/>
              <w:rPr>
                <w:noProof/>
                <w:sz w:val="18"/>
                <w:szCs w:val="18"/>
              </w:rPr>
            </w:pPr>
          </w:p>
        </w:tc>
        <w:tc>
          <w:tcPr>
            <w:tcW w:w="720" w:type="dxa"/>
          </w:tcPr>
          <w:p w14:paraId="644006F8" w14:textId="77777777" w:rsidR="00AB6191" w:rsidRPr="008231CB" w:rsidRDefault="00AB6191" w:rsidP="00AB6191">
            <w:pPr>
              <w:ind w:right="-29"/>
              <w:jc w:val="center"/>
              <w:rPr>
                <w:noProof/>
                <w:sz w:val="18"/>
                <w:szCs w:val="18"/>
              </w:rPr>
            </w:pPr>
          </w:p>
        </w:tc>
        <w:tc>
          <w:tcPr>
            <w:tcW w:w="900" w:type="dxa"/>
          </w:tcPr>
          <w:p w14:paraId="07584D96" w14:textId="77777777" w:rsidR="00AB6191" w:rsidRPr="008231CB" w:rsidRDefault="00AB6191" w:rsidP="00AB6191">
            <w:pPr>
              <w:ind w:right="-29"/>
              <w:jc w:val="center"/>
              <w:rPr>
                <w:noProof/>
                <w:sz w:val="18"/>
                <w:szCs w:val="18"/>
              </w:rPr>
            </w:pPr>
          </w:p>
        </w:tc>
      </w:tr>
      <w:tr w:rsidR="00AB6191" w:rsidRPr="008231CB" w14:paraId="7E1875FF" w14:textId="77777777" w:rsidTr="00AB6191">
        <w:trPr>
          <w:jc w:val="center"/>
        </w:trPr>
        <w:tc>
          <w:tcPr>
            <w:tcW w:w="2844" w:type="dxa"/>
            <w:gridSpan w:val="3"/>
            <w:tcBorders>
              <w:bottom w:val="single" w:sz="12" w:space="0" w:color="auto"/>
            </w:tcBorders>
            <w:vAlign w:val="center"/>
          </w:tcPr>
          <w:p w14:paraId="16C0D62F" w14:textId="77777777" w:rsidR="00AB6191" w:rsidRPr="008231CB" w:rsidRDefault="00AB6191" w:rsidP="00AB6191">
            <w:pPr>
              <w:jc w:val="center"/>
              <w:rPr>
                <w:noProof/>
                <w:sz w:val="18"/>
                <w:szCs w:val="18"/>
              </w:rPr>
            </w:pPr>
            <w:r w:rsidRPr="008231CB">
              <w:rPr>
                <w:noProof/>
                <w:sz w:val="18"/>
              </w:rPr>
              <w:t>Subtotal for specific objective No 2</w:t>
            </w:r>
          </w:p>
        </w:tc>
        <w:tc>
          <w:tcPr>
            <w:tcW w:w="504" w:type="dxa"/>
            <w:tcBorders>
              <w:bottom w:val="single" w:sz="12" w:space="0" w:color="auto"/>
            </w:tcBorders>
          </w:tcPr>
          <w:p w14:paraId="7EE58816"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46A2AAFA" w14:textId="77777777" w:rsidR="00AB6191" w:rsidRPr="008231CB" w:rsidRDefault="00AB6191" w:rsidP="00AB6191">
            <w:pPr>
              <w:ind w:right="-29"/>
              <w:jc w:val="center"/>
              <w:rPr>
                <w:noProof/>
                <w:sz w:val="18"/>
                <w:szCs w:val="18"/>
              </w:rPr>
            </w:pPr>
          </w:p>
        </w:tc>
        <w:tc>
          <w:tcPr>
            <w:tcW w:w="540" w:type="dxa"/>
            <w:tcBorders>
              <w:bottom w:val="single" w:sz="12" w:space="0" w:color="auto"/>
            </w:tcBorders>
          </w:tcPr>
          <w:p w14:paraId="698623BE"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5A161194"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1BAD47A4"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61A20F21" w14:textId="77777777" w:rsidR="00AB6191" w:rsidRPr="008231CB" w:rsidRDefault="00AB6191" w:rsidP="00AB6191">
            <w:pPr>
              <w:ind w:right="-29"/>
              <w:jc w:val="center"/>
              <w:rPr>
                <w:noProof/>
                <w:sz w:val="18"/>
                <w:szCs w:val="18"/>
              </w:rPr>
            </w:pPr>
          </w:p>
        </w:tc>
        <w:tc>
          <w:tcPr>
            <w:tcW w:w="951" w:type="dxa"/>
            <w:gridSpan w:val="2"/>
            <w:tcBorders>
              <w:bottom w:val="single" w:sz="12" w:space="0" w:color="auto"/>
            </w:tcBorders>
          </w:tcPr>
          <w:p w14:paraId="212B59CE" w14:textId="77777777" w:rsidR="00AB6191" w:rsidRPr="008231CB" w:rsidRDefault="00AB6191" w:rsidP="00AB6191">
            <w:pPr>
              <w:ind w:right="-29"/>
              <w:jc w:val="center"/>
              <w:rPr>
                <w:noProof/>
                <w:sz w:val="18"/>
                <w:szCs w:val="18"/>
              </w:rPr>
            </w:pPr>
          </w:p>
        </w:tc>
        <w:tc>
          <w:tcPr>
            <w:tcW w:w="669" w:type="dxa"/>
            <w:tcBorders>
              <w:bottom w:val="single" w:sz="12" w:space="0" w:color="auto"/>
            </w:tcBorders>
          </w:tcPr>
          <w:p w14:paraId="1720EE22" w14:textId="77777777" w:rsidR="00AB6191" w:rsidRPr="008231CB" w:rsidRDefault="00AB6191" w:rsidP="00AB6191">
            <w:pPr>
              <w:ind w:right="-29"/>
              <w:jc w:val="center"/>
              <w:rPr>
                <w:noProof/>
                <w:sz w:val="18"/>
                <w:szCs w:val="18"/>
              </w:rPr>
            </w:pPr>
          </w:p>
        </w:tc>
        <w:tc>
          <w:tcPr>
            <w:tcW w:w="540" w:type="dxa"/>
            <w:tcBorders>
              <w:bottom w:val="single" w:sz="12" w:space="0" w:color="auto"/>
            </w:tcBorders>
          </w:tcPr>
          <w:p w14:paraId="655C4DF7" w14:textId="77777777" w:rsidR="00AB6191" w:rsidRPr="008231CB" w:rsidRDefault="00AB6191" w:rsidP="00AB6191">
            <w:pPr>
              <w:ind w:right="-29"/>
              <w:jc w:val="center"/>
              <w:rPr>
                <w:noProof/>
                <w:sz w:val="18"/>
                <w:szCs w:val="18"/>
              </w:rPr>
            </w:pPr>
          </w:p>
        </w:tc>
        <w:tc>
          <w:tcPr>
            <w:tcW w:w="648" w:type="dxa"/>
            <w:tcBorders>
              <w:bottom w:val="single" w:sz="12" w:space="0" w:color="auto"/>
            </w:tcBorders>
          </w:tcPr>
          <w:p w14:paraId="2127DEBD" w14:textId="77777777" w:rsidR="00AB6191" w:rsidRPr="008231CB" w:rsidRDefault="00AB6191" w:rsidP="00AB6191">
            <w:pPr>
              <w:ind w:right="-29"/>
              <w:jc w:val="center"/>
              <w:rPr>
                <w:noProof/>
                <w:sz w:val="18"/>
                <w:szCs w:val="18"/>
              </w:rPr>
            </w:pPr>
          </w:p>
        </w:tc>
        <w:tc>
          <w:tcPr>
            <w:tcW w:w="432" w:type="dxa"/>
            <w:tcBorders>
              <w:bottom w:val="single" w:sz="12" w:space="0" w:color="auto"/>
            </w:tcBorders>
          </w:tcPr>
          <w:p w14:paraId="1198C29E"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2C6EE597" w14:textId="77777777" w:rsidR="00AB6191" w:rsidRPr="008231CB" w:rsidRDefault="00AB6191" w:rsidP="00AB6191">
            <w:pPr>
              <w:ind w:right="-29"/>
              <w:jc w:val="center"/>
              <w:rPr>
                <w:noProof/>
                <w:sz w:val="18"/>
                <w:szCs w:val="18"/>
              </w:rPr>
            </w:pPr>
          </w:p>
        </w:tc>
        <w:tc>
          <w:tcPr>
            <w:tcW w:w="540" w:type="dxa"/>
            <w:tcBorders>
              <w:bottom w:val="single" w:sz="12" w:space="0" w:color="auto"/>
            </w:tcBorders>
          </w:tcPr>
          <w:p w14:paraId="356AA28E"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56EAED1D" w14:textId="77777777" w:rsidR="00AB6191" w:rsidRPr="008231CB" w:rsidRDefault="00AB6191" w:rsidP="00AB6191">
            <w:pPr>
              <w:ind w:right="-29"/>
              <w:jc w:val="center"/>
              <w:rPr>
                <w:noProof/>
                <w:sz w:val="18"/>
                <w:szCs w:val="18"/>
              </w:rPr>
            </w:pPr>
          </w:p>
        </w:tc>
        <w:tc>
          <w:tcPr>
            <w:tcW w:w="720" w:type="dxa"/>
            <w:tcBorders>
              <w:bottom w:val="single" w:sz="12" w:space="0" w:color="auto"/>
            </w:tcBorders>
          </w:tcPr>
          <w:p w14:paraId="0D974EF9" w14:textId="77777777" w:rsidR="00AB6191" w:rsidRPr="008231CB" w:rsidRDefault="00AB6191" w:rsidP="00AB6191">
            <w:pPr>
              <w:ind w:right="-29"/>
              <w:jc w:val="center"/>
              <w:rPr>
                <w:noProof/>
                <w:sz w:val="18"/>
                <w:szCs w:val="18"/>
              </w:rPr>
            </w:pPr>
          </w:p>
        </w:tc>
        <w:tc>
          <w:tcPr>
            <w:tcW w:w="900" w:type="dxa"/>
            <w:tcBorders>
              <w:bottom w:val="single" w:sz="12" w:space="0" w:color="auto"/>
            </w:tcBorders>
          </w:tcPr>
          <w:p w14:paraId="00BD6D58" w14:textId="77777777" w:rsidR="00AB6191" w:rsidRPr="008231CB" w:rsidRDefault="00AB6191" w:rsidP="00AB6191">
            <w:pPr>
              <w:ind w:right="-29"/>
              <w:jc w:val="center"/>
              <w:rPr>
                <w:noProof/>
                <w:sz w:val="18"/>
                <w:szCs w:val="18"/>
              </w:rPr>
            </w:pPr>
          </w:p>
        </w:tc>
      </w:tr>
      <w:tr w:rsidR="00AB6191" w:rsidRPr="008231CB" w14:paraId="7CAB126F" w14:textId="77777777" w:rsidTr="00AB6191">
        <w:trPr>
          <w:jc w:val="center"/>
        </w:trPr>
        <w:tc>
          <w:tcPr>
            <w:tcW w:w="2844" w:type="dxa"/>
            <w:gridSpan w:val="3"/>
            <w:tcBorders>
              <w:top w:val="single" w:sz="12" w:space="0" w:color="auto"/>
              <w:left w:val="single" w:sz="12" w:space="0" w:color="auto"/>
              <w:bottom w:val="single" w:sz="12" w:space="0" w:color="auto"/>
            </w:tcBorders>
            <w:vAlign w:val="center"/>
          </w:tcPr>
          <w:p w14:paraId="0B73BE36" w14:textId="77777777" w:rsidR="00AB6191" w:rsidRPr="008231CB" w:rsidRDefault="00AB6191" w:rsidP="00AB6191">
            <w:pPr>
              <w:ind w:right="-29"/>
              <w:jc w:val="center"/>
              <w:rPr>
                <w:noProof/>
                <w:sz w:val="18"/>
                <w:szCs w:val="18"/>
              </w:rPr>
            </w:pPr>
            <w:r w:rsidRPr="008231CB">
              <w:rPr>
                <w:b/>
                <w:noProof/>
                <w:sz w:val="18"/>
              </w:rPr>
              <w:t>TOTALS</w:t>
            </w:r>
          </w:p>
        </w:tc>
        <w:tc>
          <w:tcPr>
            <w:tcW w:w="504" w:type="dxa"/>
            <w:tcBorders>
              <w:top w:val="single" w:sz="12" w:space="0" w:color="auto"/>
              <w:bottom w:val="single" w:sz="12" w:space="0" w:color="auto"/>
            </w:tcBorders>
          </w:tcPr>
          <w:p w14:paraId="7254E552" w14:textId="77777777" w:rsidR="00AB6191" w:rsidRPr="008231CB" w:rsidRDefault="00AB6191" w:rsidP="00AB6191">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14:paraId="3DEE7479" w14:textId="77777777" w:rsidR="00AB6191" w:rsidRPr="008231CB" w:rsidRDefault="00AB6191" w:rsidP="00AB6191">
            <w:pPr>
              <w:spacing w:before="180" w:after="180"/>
              <w:ind w:right="-29"/>
              <w:jc w:val="center"/>
              <w:rPr>
                <w:noProof/>
                <w:sz w:val="18"/>
                <w:szCs w:val="18"/>
              </w:rPr>
            </w:pPr>
            <w:r>
              <w:rPr>
                <w:noProof/>
                <w:sz w:val="18"/>
                <w:szCs w:val="18"/>
              </w:rPr>
              <w:t>2.000</w:t>
            </w:r>
          </w:p>
        </w:tc>
        <w:tc>
          <w:tcPr>
            <w:tcW w:w="540" w:type="dxa"/>
            <w:tcBorders>
              <w:top w:val="single" w:sz="12" w:space="0" w:color="auto"/>
              <w:bottom w:val="single" w:sz="12" w:space="0" w:color="auto"/>
            </w:tcBorders>
          </w:tcPr>
          <w:p w14:paraId="7FF71F31" w14:textId="77777777" w:rsidR="00AB6191" w:rsidRPr="008231CB" w:rsidRDefault="00AB6191" w:rsidP="00AB6191">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14:paraId="4674A7D1" w14:textId="77777777" w:rsidR="00AB6191" w:rsidRPr="008231CB" w:rsidRDefault="00AB6191" w:rsidP="00AB6191">
            <w:pPr>
              <w:spacing w:before="180" w:after="180"/>
              <w:ind w:right="-29"/>
              <w:jc w:val="center"/>
              <w:rPr>
                <w:noProof/>
                <w:sz w:val="18"/>
                <w:szCs w:val="18"/>
              </w:rPr>
            </w:pPr>
            <w:r>
              <w:rPr>
                <w:noProof/>
                <w:sz w:val="18"/>
                <w:szCs w:val="18"/>
              </w:rPr>
              <w:t>2.000</w:t>
            </w:r>
          </w:p>
        </w:tc>
        <w:tc>
          <w:tcPr>
            <w:tcW w:w="720" w:type="dxa"/>
            <w:tcBorders>
              <w:top w:val="single" w:sz="12" w:space="0" w:color="auto"/>
              <w:bottom w:val="single" w:sz="12" w:space="0" w:color="auto"/>
            </w:tcBorders>
          </w:tcPr>
          <w:p w14:paraId="0456D113" w14:textId="77777777" w:rsidR="00AB6191" w:rsidRPr="008231CB" w:rsidRDefault="00AB6191" w:rsidP="00AB6191">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14:paraId="119F78B5" w14:textId="77777777" w:rsidR="00AB6191" w:rsidRPr="008231CB" w:rsidRDefault="00AB6191" w:rsidP="00AB6191">
            <w:pPr>
              <w:spacing w:before="180" w:after="180"/>
              <w:ind w:right="-29"/>
              <w:jc w:val="center"/>
              <w:rPr>
                <w:noProof/>
                <w:sz w:val="18"/>
                <w:szCs w:val="18"/>
              </w:rPr>
            </w:pPr>
            <w:r>
              <w:rPr>
                <w:noProof/>
                <w:sz w:val="18"/>
                <w:szCs w:val="18"/>
              </w:rPr>
              <w:t>2.000</w:t>
            </w:r>
          </w:p>
        </w:tc>
        <w:tc>
          <w:tcPr>
            <w:tcW w:w="900" w:type="dxa"/>
            <w:tcBorders>
              <w:top w:val="single" w:sz="12" w:space="0" w:color="auto"/>
              <w:bottom w:val="single" w:sz="12" w:space="0" w:color="auto"/>
            </w:tcBorders>
          </w:tcPr>
          <w:p w14:paraId="2DE67113" w14:textId="77777777" w:rsidR="00AB6191" w:rsidRPr="008231CB" w:rsidRDefault="00AB6191" w:rsidP="00AB619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7C8CBE04" w14:textId="77777777" w:rsidR="00AB6191" w:rsidRPr="008231CB" w:rsidRDefault="00AB6191" w:rsidP="00AB6191">
            <w:pPr>
              <w:spacing w:before="180" w:after="180"/>
              <w:ind w:right="-29"/>
              <w:jc w:val="center"/>
              <w:rPr>
                <w:noProof/>
                <w:sz w:val="18"/>
                <w:szCs w:val="18"/>
              </w:rPr>
            </w:pPr>
          </w:p>
        </w:tc>
        <w:tc>
          <w:tcPr>
            <w:tcW w:w="540" w:type="dxa"/>
            <w:tcBorders>
              <w:top w:val="single" w:sz="12" w:space="0" w:color="auto"/>
              <w:bottom w:val="single" w:sz="12" w:space="0" w:color="auto"/>
            </w:tcBorders>
          </w:tcPr>
          <w:p w14:paraId="3E6290AC" w14:textId="77777777" w:rsidR="00AB6191" w:rsidRPr="008231CB" w:rsidRDefault="00AB6191" w:rsidP="00AB6191">
            <w:pPr>
              <w:spacing w:before="180" w:after="180"/>
              <w:ind w:right="-29"/>
              <w:jc w:val="center"/>
              <w:rPr>
                <w:noProof/>
                <w:sz w:val="18"/>
                <w:szCs w:val="18"/>
              </w:rPr>
            </w:pPr>
          </w:p>
        </w:tc>
        <w:tc>
          <w:tcPr>
            <w:tcW w:w="648" w:type="dxa"/>
            <w:tcBorders>
              <w:top w:val="single" w:sz="12" w:space="0" w:color="auto"/>
              <w:bottom w:val="single" w:sz="12" w:space="0" w:color="auto"/>
            </w:tcBorders>
          </w:tcPr>
          <w:p w14:paraId="6654DBA4" w14:textId="77777777" w:rsidR="00AB6191" w:rsidRPr="008231CB" w:rsidRDefault="00AB6191" w:rsidP="00AB6191">
            <w:pPr>
              <w:spacing w:before="180" w:after="180"/>
              <w:ind w:right="-29"/>
              <w:jc w:val="center"/>
              <w:rPr>
                <w:noProof/>
                <w:sz w:val="18"/>
                <w:szCs w:val="18"/>
              </w:rPr>
            </w:pPr>
          </w:p>
        </w:tc>
        <w:tc>
          <w:tcPr>
            <w:tcW w:w="432" w:type="dxa"/>
            <w:tcBorders>
              <w:top w:val="single" w:sz="12" w:space="0" w:color="auto"/>
              <w:bottom w:val="single" w:sz="12" w:space="0" w:color="auto"/>
            </w:tcBorders>
          </w:tcPr>
          <w:p w14:paraId="607B1584" w14:textId="77777777" w:rsidR="00AB6191" w:rsidRPr="008231CB" w:rsidRDefault="00AB6191" w:rsidP="00AB6191">
            <w:pPr>
              <w:spacing w:before="180" w:after="180"/>
              <w:ind w:right="-29"/>
              <w:jc w:val="center"/>
              <w:rPr>
                <w:noProof/>
                <w:sz w:val="18"/>
                <w:szCs w:val="18"/>
              </w:rPr>
            </w:pPr>
          </w:p>
        </w:tc>
        <w:tc>
          <w:tcPr>
            <w:tcW w:w="720" w:type="dxa"/>
            <w:tcBorders>
              <w:top w:val="single" w:sz="12" w:space="0" w:color="auto"/>
              <w:bottom w:val="single" w:sz="12" w:space="0" w:color="auto"/>
            </w:tcBorders>
          </w:tcPr>
          <w:p w14:paraId="6CF55B37" w14:textId="77777777" w:rsidR="00AB6191" w:rsidRPr="008231CB" w:rsidRDefault="00AB6191" w:rsidP="00AB6191">
            <w:pPr>
              <w:spacing w:before="180" w:after="180"/>
              <w:ind w:right="-29"/>
              <w:jc w:val="center"/>
              <w:rPr>
                <w:noProof/>
                <w:sz w:val="18"/>
                <w:szCs w:val="18"/>
              </w:rPr>
            </w:pPr>
          </w:p>
        </w:tc>
        <w:tc>
          <w:tcPr>
            <w:tcW w:w="540" w:type="dxa"/>
            <w:tcBorders>
              <w:top w:val="single" w:sz="12" w:space="0" w:color="auto"/>
              <w:bottom w:val="single" w:sz="12" w:space="0" w:color="auto"/>
            </w:tcBorders>
          </w:tcPr>
          <w:p w14:paraId="1BB94D43" w14:textId="77777777" w:rsidR="00AB6191" w:rsidRPr="008231CB" w:rsidRDefault="00AB6191" w:rsidP="00AB6191">
            <w:pPr>
              <w:spacing w:before="180" w:after="180"/>
              <w:ind w:right="-29"/>
              <w:jc w:val="center"/>
              <w:rPr>
                <w:noProof/>
                <w:sz w:val="18"/>
                <w:szCs w:val="18"/>
              </w:rPr>
            </w:pPr>
          </w:p>
        </w:tc>
        <w:tc>
          <w:tcPr>
            <w:tcW w:w="720" w:type="dxa"/>
            <w:tcBorders>
              <w:top w:val="single" w:sz="12" w:space="0" w:color="auto"/>
              <w:bottom w:val="single" w:sz="12" w:space="0" w:color="auto"/>
            </w:tcBorders>
          </w:tcPr>
          <w:p w14:paraId="2ED5B59E" w14:textId="77777777" w:rsidR="00AB6191" w:rsidRPr="008231CB" w:rsidRDefault="00AB6191" w:rsidP="00AB6191">
            <w:pPr>
              <w:spacing w:before="180" w:after="180"/>
              <w:ind w:right="-29"/>
              <w:jc w:val="center"/>
              <w:rPr>
                <w:noProof/>
                <w:sz w:val="18"/>
                <w:szCs w:val="18"/>
              </w:rPr>
            </w:pPr>
          </w:p>
        </w:tc>
        <w:tc>
          <w:tcPr>
            <w:tcW w:w="720" w:type="dxa"/>
            <w:tcBorders>
              <w:top w:val="single" w:sz="12" w:space="0" w:color="auto"/>
              <w:bottom w:val="single" w:sz="12" w:space="0" w:color="auto"/>
            </w:tcBorders>
          </w:tcPr>
          <w:p w14:paraId="57A543AA" w14:textId="77777777" w:rsidR="00AB6191" w:rsidRPr="008231CB" w:rsidRDefault="00AB6191" w:rsidP="00AB619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7A21C5B8" w14:textId="77777777" w:rsidR="00AB6191" w:rsidRPr="008231CB" w:rsidRDefault="00AB6191" w:rsidP="00AB6191">
            <w:pPr>
              <w:spacing w:before="180" w:after="180"/>
              <w:ind w:right="-29"/>
              <w:jc w:val="center"/>
              <w:rPr>
                <w:noProof/>
                <w:sz w:val="18"/>
                <w:szCs w:val="18"/>
              </w:rPr>
            </w:pPr>
          </w:p>
        </w:tc>
      </w:tr>
    </w:tbl>
    <w:p w14:paraId="49EF306C" w14:textId="77777777" w:rsidR="00AB6191" w:rsidRPr="008231CB" w:rsidRDefault="00AB6191" w:rsidP="00AB6191">
      <w:pPr>
        <w:pStyle w:val="ManualHeading3"/>
        <w:rPr>
          <w:bCs/>
          <w:noProof/>
          <w:szCs w:val="24"/>
        </w:rPr>
      </w:pPr>
      <w:bookmarkStart w:id="152" w:name="_Toc514938055"/>
      <w:bookmarkStart w:id="153" w:name="_Toc520485054"/>
      <w:bookmarkStart w:id="154" w:name="_Toc126826616"/>
      <w:r w:rsidRPr="008231CB">
        <w:rPr>
          <w:noProof/>
        </w:rPr>
        <w:t>3.2.3.</w:t>
      </w:r>
      <w:r w:rsidRPr="008231CB">
        <w:rPr>
          <w:noProof/>
        </w:rPr>
        <w:tab/>
        <w:t>Summary of estimated impact on administrative appropriations</w:t>
      </w:r>
      <w:bookmarkEnd w:id="152"/>
      <w:bookmarkEnd w:id="153"/>
      <w:bookmarkEnd w:id="154"/>
      <w:r w:rsidRPr="008231CB">
        <w:rPr>
          <w:noProof/>
        </w:rPr>
        <w:t xml:space="preserve"> </w:t>
      </w:r>
    </w:p>
    <w:p w14:paraId="78218210" w14:textId="77777777" w:rsidR="00AB6191" w:rsidRPr="008231CB" w:rsidRDefault="00AB6191" w:rsidP="00AB6191">
      <w:pPr>
        <w:pStyle w:val="ListDash1"/>
        <w:rPr>
          <w:noProof/>
        </w:rPr>
      </w:pPr>
      <w:r>
        <w:rPr>
          <w:noProof/>
        </w:rPr>
        <w:t>X</w:t>
      </w:r>
      <w:r w:rsidRPr="008231CB">
        <w:rPr>
          <w:noProof/>
        </w:rPr>
        <w:tab/>
        <w:t xml:space="preserve">The proposal/initiative does not require the use of appropriations of an administrative nature </w:t>
      </w:r>
    </w:p>
    <w:p w14:paraId="3887900E" w14:textId="77777777" w:rsidR="00AB6191" w:rsidRPr="008231CB" w:rsidRDefault="00AB6191" w:rsidP="00AB6191">
      <w:pPr>
        <w:pStyle w:val="ListDash1"/>
        <w:rPr>
          <w:noProof/>
        </w:rPr>
      </w:pPr>
      <w:r w:rsidRPr="008231CB">
        <w:rPr>
          <w:rFonts w:ascii="Wingdings" w:eastAsia="Wingdings" w:hAnsi="Wingdings" w:cs="Wingdings"/>
          <w:noProof/>
        </w:rPr>
        <w:t></w:t>
      </w:r>
      <w:r w:rsidRPr="008231CB">
        <w:rPr>
          <w:noProof/>
        </w:rPr>
        <w:tab/>
        <w:t>The proposal/initiative requires the use of appropriations of an administrative nature, as explained below:</w:t>
      </w:r>
    </w:p>
    <w:p w14:paraId="43AE46D2" w14:textId="77777777" w:rsidR="00AB6191" w:rsidRPr="008231CB" w:rsidRDefault="00AB6191" w:rsidP="00AB6191">
      <w:pPr>
        <w:jc w:val="right"/>
        <w:rPr>
          <w:noProof/>
          <w:sz w:val="20"/>
        </w:rPr>
      </w:pPr>
      <w:r w:rsidRPr="008231CB">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AB6191" w:rsidRPr="008231CB" w14:paraId="715E80F6" w14:textId="77777777" w:rsidTr="00AB6191">
        <w:trPr>
          <w:trHeight w:val="585"/>
        </w:trPr>
        <w:tc>
          <w:tcPr>
            <w:tcW w:w="1980" w:type="dxa"/>
          </w:tcPr>
          <w:p w14:paraId="0FDFC90C" w14:textId="77777777" w:rsidR="00AB6191" w:rsidRPr="008231CB" w:rsidRDefault="00AB6191" w:rsidP="00AB6191">
            <w:pPr>
              <w:spacing w:before="60" w:after="60" w:line="200" w:lineRule="exact"/>
              <w:rPr>
                <w:noProof/>
                <w:sz w:val="16"/>
                <w:szCs w:val="16"/>
              </w:rPr>
            </w:pPr>
          </w:p>
        </w:tc>
        <w:tc>
          <w:tcPr>
            <w:tcW w:w="1080" w:type="dxa"/>
            <w:vAlign w:val="center"/>
          </w:tcPr>
          <w:p w14:paraId="17309446" w14:textId="77777777" w:rsidR="00AB6191" w:rsidRPr="008231CB" w:rsidRDefault="00AB6191" w:rsidP="00AB6191">
            <w:pPr>
              <w:spacing w:before="60" w:after="60" w:line="200" w:lineRule="exact"/>
              <w:jc w:val="center"/>
              <w:rPr>
                <w:noProof/>
                <w:sz w:val="16"/>
                <w:szCs w:val="16"/>
              </w:rPr>
            </w:pPr>
            <w:r>
              <w:rPr>
                <w:noProof/>
                <w:sz w:val="20"/>
              </w:rPr>
              <w:t>2025</w:t>
            </w:r>
          </w:p>
        </w:tc>
        <w:tc>
          <w:tcPr>
            <w:tcW w:w="1080" w:type="dxa"/>
            <w:vAlign w:val="center"/>
          </w:tcPr>
          <w:p w14:paraId="3DB4FCC6" w14:textId="77777777" w:rsidR="00AB6191" w:rsidRPr="008231CB" w:rsidRDefault="00AB6191" w:rsidP="00AB6191">
            <w:pPr>
              <w:spacing w:before="60" w:after="60" w:line="200" w:lineRule="exact"/>
              <w:jc w:val="center"/>
              <w:rPr>
                <w:noProof/>
                <w:sz w:val="16"/>
                <w:szCs w:val="16"/>
              </w:rPr>
            </w:pPr>
            <w:r>
              <w:rPr>
                <w:noProof/>
                <w:sz w:val="20"/>
              </w:rPr>
              <w:t>2026</w:t>
            </w:r>
          </w:p>
        </w:tc>
        <w:tc>
          <w:tcPr>
            <w:tcW w:w="1080" w:type="dxa"/>
            <w:vAlign w:val="center"/>
          </w:tcPr>
          <w:p w14:paraId="63520C5F" w14:textId="77777777" w:rsidR="00AB6191" w:rsidRPr="008231CB" w:rsidRDefault="00AB6191" w:rsidP="00AB6191">
            <w:pPr>
              <w:spacing w:before="60" w:after="60" w:line="200" w:lineRule="exact"/>
              <w:jc w:val="center"/>
              <w:rPr>
                <w:noProof/>
                <w:sz w:val="16"/>
                <w:szCs w:val="16"/>
              </w:rPr>
            </w:pPr>
            <w:r>
              <w:rPr>
                <w:noProof/>
                <w:sz w:val="20"/>
              </w:rPr>
              <w:t>2027</w:t>
            </w:r>
          </w:p>
        </w:tc>
        <w:tc>
          <w:tcPr>
            <w:tcW w:w="1080" w:type="dxa"/>
            <w:vAlign w:val="center"/>
          </w:tcPr>
          <w:p w14:paraId="5DB18D8C" w14:textId="77777777" w:rsidR="00AB6191" w:rsidRPr="008231CB" w:rsidRDefault="00AB6191" w:rsidP="00AB6191">
            <w:pPr>
              <w:spacing w:before="60" w:after="60" w:line="200" w:lineRule="exact"/>
              <w:jc w:val="center"/>
              <w:rPr>
                <w:noProof/>
                <w:sz w:val="16"/>
                <w:szCs w:val="16"/>
              </w:rPr>
            </w:pPr>
          </w:p>
        </w:tc>
        <w:tc>
          <w:tcPr>
            <w:tcW w:w="3240" w:type="dxa"/>
            <w:vAlign w:val="center"/>
          </w:tcPr>
          <w:p w14:paraId="7F90296B" w14:textId="77777777" w:rsidR="00AB6191" w:rsidRPr="008231CB" w:rsidRDefault="00AB6191" w:rsidP="00AB6191">
            <w:pPr>
              <w:spacing w:line="200" w:lineRule="exact"/>
              <w:jc w:val="center"/>
              <w:rPr>
                <w:b/>
                <w:noProof/>
                <w:sz w:val="16"/>
                <w:szCs w:val="16"/>
              </w:rPr>
            </w:pPr>
            <w:r w:rsidRPr="008231CB">
              <w:rPr>
                <w:noProof/>
                <w:sz w:val="16"/>
              </w:rPr>
              <w:t>Enter as many years as necessary to show the duration of the impact (see point 1.6)</w:t>
            </w:r>
          </w:p>
        </w:tc>
        <w:tc>
          <w:tcPr>
            <w:tcW w:w="1080" w:type="dxa"/>
            <w:vAlign w:val="center"/>
          </w:tcPr>
          <w:p w14:paraId="5891EDD9" w14:textId="77777777" w:rsidR="00AB6191" w:rsidRPr="008231CB" w:rsidRDefault="00AB6191" w:rsidP="00AB6191">
            <w:pPr>
              <w:spacing w:before="60" w:after="60" w:line="200" w:lineRule="exact"/>
              <w:jc w:val="center"/>
              <w:rPr>
                <w:b/>
                <w:noProof/>
                <w:sz w:val="16"/>
                <w:szCs w:val="16"/>
              </w:rPr>
            </w:pPr>
            <w:r w:rsidRPr="008231CB">
              <w:rPr>
                <w:b/>
                <w:noProof/>
                <w:sz w:val="16"/>
              </w:rPr>
              <w:t>TOTAL</w:t>
            </w:r>
          </w:p>
        </w:tc>
      </w:tr>
    </w:tbl>
    <w:p w14:paraId="5186431E" w14:textId="77777777" w:rsidR="00AB6191" w:rsidRPr="008231CB" w:rsidRDefault="00AB6191" w:rsidP="00AB619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8231CB" w14:paraId="7E2B1F80" w14:textId="77777777" w:rsidTr="00AB6191">
        <w:trPr>
          <w:trHeight w:val="585"/>
        </w:trPr>
        <w:tc>
          <w:tcPr>
            <w:tcW w:w="1980" w:type="dxa"/>
            <w:shd w:val="clear" w:color="auto" w:fill="CCCCCC"/>
            <w:vAlign w:val="center"/>
          </w:tcPr>
          <w:p w14:paraId="26C9C984" w14:textId="77777777" w:rsidR="00AB6191" w:rsidRPr="008231CB" w:rsidRDefault="00AB6191" w:rsidP="00AB6191">
            <w:pPr>
              <w:spacing w:before="60" w:after="60" w:line="200" w:lineRule="exact"/>
              <w:jc w:val="center"/>
              <w:rPr>
                <w:b/>
                <w:noProof/>
                <w:sz w:val="16"/>
                <w:szCs w:val="16"/>
              </w:rPr>
            </w:pPr>
            <w:r w:rsidRPr="008231CB">
              <w:rPr>
                <w:b/>
                <w:noProof/>
                <w:sz w:val="16"/>
              </w:rPr>
              <w:t>HEADING 7</w:t>
            </w:r>
            <w:r w:rsidRPr="008231CB">
              <w:rPr>
                <w:noProof/>
                <w:sz w:val="22"/>
              </w:rPr>
              <w:br/>
            </w:r>
            <w:r w:rsidRPr="008231CB">
              <w:rPr>
                <w:b/>
                <w:noProof/>
                <w:sz w:val="16"/>
              </w:rPr>
              <w:t>of the multiannual financial framework</w:t>
            </w:r>
          </w:p>
        </w:tc>
        <w:tc>
          <w:tcPr>
            <w:tcW w:w="1080" w:type="dxa"/>
            <w:vAlign w:val="center"/>
          </w:tcPr>
          <w:p w14:paraId="26448AD9"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2E8F5BA8"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4CBC180B"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66F339EE"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1C025ACC"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2161F6D7"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46474875" w14:textId="77777777" w:rsidR="00AB6191" w:rsidRPr="008231CB" w:rsidRDefault="00AB6191" w:rsidP="00AB6191">
            <w:pPr>
              <w:spacing w:before="60" w:after="60" w:line="200" w:lineRule="exact"/>
              <w:jc w:val="right"/>
              <w:rPr>
                <w:b/>
                <w:noProof/>
                <w:sz w:val="16"/>
                <w:szCs w:val="16"/>
              </w:rPr>
            </w:pPr>
          </w:p>
        </w:tc>
        <w:tc>
          <w:tcPr>
            <w:tcW w:w="1080" w:type="dxa"/>
            <w:vAlign w:val="center"/>
          </w:tcPr>
          <w:p w14:paraId="37B38CBE" w14:textId="77777777" w:rsidR="00AB6191" w:rsidRPr="008231CB" w:rsidRDefault="00AB6191" w:rsidP="00AB6191">
            <w:pPr>
              <w:spacing w:before="60" w:after="60" w:line="200" w:lineRule="exact"/>
              <w:jc w:val="right"/>
              <w:rPr>
                <w:b/>
                <w:noProof/>
                <w:sz w:val="16"/>
                <w:szCs w:val="16"/>
              </w:rPr>
            </w:pPr>
          </w:p>
        </w:tc>
      </w:tr>
      <w:tr w:rsidR="00AB6191" w:rsidRPr="008231CB" w14:paraId="1C4BEA06" w14:textId="77777777" w:rsidTr="00AB6191">
        <w:trPr>
          <w:trHeight w:val="585"/>
        </w:trPr>
        <w:tc>
          <w:tcPr>
            <w:tcW w:w="1980" w:type="dxa"/>
            <w:vAlign w:val="center"/>
          </w:tcPr>
          <w:p w14:paraId="57646078" w14:textId="77777777" w:rsidR="00AB6191" w:rsidRPr="008231CB" w:rsidRDefault="00AB6191" w:rsidP="00AB6191">
            <w:pPr>
              <w:spacing w:before="60" w:after="60" w:line="200" w:lineRule="exact"/>
              <w:ind w:left="72"/>
              <w:jc w:val="left"/>
              <w:rPr>
                <w:noProof/>
                <w:sz w:val="16"/>
                <w:szCs w:val="16"/>
              </w:rPr>
            </w:pPr>
            <w:r w:rsidRPr="008231CB">
              <w:rPr>
                <w:noProof/>
                <w:sz w:val="16"/>
              </w:rPr>
              <w:t xml:space="preserve">Human resources </w:t>
            </w:r>
          </w:p>
        </w:tc>
        <w:tc>
          <w:tcPr>
            <w:tcW w:w="1080" w:type="dxa"/>
            <w:vAlign w:val="center"/>
          </w:tcPr>
          <w:p w14:paraId="40D5B5E2"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61AF7438"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230A6F5F"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625F5FFC"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7FF22388"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074A0235"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3D437103" w14:textId="77777777" w:rsidR="00AB6191" w:rsidRPr="008231CB" w:rsidRDefault="00AB6191" w:rsidP="00AB6191">
            <w:pPr>
              <w:spacing w:before="60" w:after="60" w:line="200" w:lineRule="exact"/>
              <w:jc w:val="right"/>
              <w:rPr>
                <w:b/>
                <w:noProof/>
                <w:sz w:val="16"/>
                <w:szCs w:val="16"/>
              </w:rPr>
            </w:pPr>
          </w:p>
        </w:tc>
        <w:tc>
          <w:tcPr>
            <w:tcW w:w="1080" w:type="dxa"/>
            <w:vAlign w:val="center"/>
          </w:tcPr>
          <w:p w14:paraId="5F535E0C" w14:textId="77777777" w:rsidR="00AB6191" w:rsidRPr="008231CB" w:rsidRDefault="00AB6191" w:rsidP="00AB6191">
            <w:pPr>
              <w:spacing w:before="60" w:after="60" w:line="200" w:lineRule="exact"/>
              <w:jc w:val="right"/>
              <w:rPr>
                <w:b/>
                <w:noProof/>
                <w:sz w:val="16"/>
                <w:szCs w:val="16"/>
              </w:rPr>
            </w:pPr>
          </w:p>
        </w:tc>
      </w:tr>
      <w:tr w:rsidR="00AB6191" w:rsidRPr="008231CB" w14:paraId="5EB4CF58" w14:textId="77777777" w:rsidTr="00AB6191">
        <w:trPr>
          <w:trHeight w:val="585"/>
        </w:trPr>
        <w:tc>
          <w:tcPr>
            <w:tcW w:w="1980" w:type="dxa"/>
            <w:vAlign w:val="center"/>
          </w:tcPr>
          <w:p w14:paraId="275D9EBB" w14:textId="77777777" w:rsidR="00AB6191" w:rsidRPr="008231CB" w:rsidRDefault="00AB6191" w:rsidP="00AB6191">
            <w:pPr>
              <w:spacing w:before="60" w:after="60" w:line="200" w:lineRule="exact"/>
              <w:ind w:left="72"/>
              <w:jc w:val="left"/>
              <w:rPr>
                <w:noProof/>
                <w:sz w:val="16"/>
                <w:szCs w:val="16"/>
              </w:rPr>
            </w:pPr>
            <w:r w:rsidRPr="008231CB">
              <w:rPr>
                <w:noProof/>
                <w:sz w:val="16"/>
              </w:rPr>
              <w:t xml:space="preserve">Other administrative expenditure </w:t>
            </w:r>
          </w:p>
        </w:tc>
        <w:tc>
          <w:tcPr>
            <w:tcW w:w="1080" w:type="dxa"/>
            <w:vAlign w:val="center"/>
          </w:tcPr>
          <w:p w14:paraId="4D9F2866"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6DDDC14B"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6F4D5E31"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06237910"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19E806A6"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7553CBBE"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2ABC3621" w14:textId="77777777" w:rsidR="00AB6191" w:rsidRPr="008231CB" w:rsidRDefault="00AB6191" w:rsidP="00AB6191">
            <w:pPr>
              <w:spacing w:before="60" w:after="60" w:line="200" w:lineRule="exact"/>
              <w:jc w:val="right"/>
              <w:rPr>
                <w:b/>
                <w:noProof/>
                <w:sz w:val="16"/>
                <w:szCs w:val="16"/>
              </w:rPr>
            </w:pPr>
          </w:p>
        </w:tc>
        <w:tc>
          <w:tcPr>
            <w:tcW w:w="1080" w:type="dxa"/>
            <w:vAlign w:val="center"/>
          </w:tcPr>
          <w:p w14:paraId="11755E71" w14:textId="77777777" w:rsidR="00AB6191" w:rsidRPr="008231CB" w:rsidRDefault="00AB6191" w:rsidP="00AB6191">
            <w:pPr>
              <w:spacing w:before="60" w:after="60" w:line="200" w:lineRule="exact"/>
              <w:jc w:val="right"/>
              <w:rPr>
                <w:b/>
                <w:noProof/>
                <w:sz w:val="16"/>
                <w:szCs w:val="16"/>
              </w:rPr>
            </w:pPr>
          </w:p>
        </w:tc>
      </w:tr>
      <w:tr w:rsidR="00AB6191" w:rsidRPr="008231CB" w14:paraId="4F901282" w14:textId="77777777" w:rsidTr="00AB6191">
        <w:trPr>
          <w:trHeight w:val="585"/>
        </w:trPr>
        <w:tc>
          <w:tcPr>
            <w:tcW w:w="1980" w:type="dxa"/>
            <w:shd w:val="clear" w:color="auto" w:fill="CCCCCC"/>
            <w:vAlign w:val="center"/>
          </w:tcPr>
          <w:p w14:paraId="598348F2" w14:textId="77777777" w:rsidR="00AB6191" w:rsidRPr="008231CB" w:rsidRDefault="00AB6191" w:rsidP="00AB6191">
            <w:pPr>
              <w:spacing w:before="60" w:after="60" w:line="200" w:lineRule="exact"/>
              <w:jc w:val="center"/>
              <w:rPr>
                <w:b/>
                <w:noProof/>
                <w:sz w:val="16"/>
                <w:szCs w:val="16"/>
              </w:rPr>
            </w:pPr>
            <w:r w:rsidRPr="008231CB">
              <w:rPr>
                <w:b/>
                <w:noProof/>
                <w:sz w:val="16"/>
              </w:rPr>
              <w:t>Subtotal HEADING 7</w:t>
            </w:r>
            <w:r w:rsidRPr="008231CB">
              <w:rPr>
                <w:noProof/>
                <w:sz w:val="22"/>
              </w:rPr>
              <w:br/>
            </w:r>
            <w:r w:rsidRPr="008231CB">
              <w:rPr>
                <w:b/>
                <w:noProof/>
                <w:sz w:val="16"/>
              </w:rPr>
              <w:t xml:space="preserve">of the multiannual financial framework </w:t>
            </w:r>
          </w:p>
        </w:tc>
        <w:tc>
          <w:tcPr>
            <w:tcW w:w="1080" w:type="dxa"/>
            <w:vAlign w:val="center"/>
          </w:tcPr>
          <w:p w14:paraId="1C924DEC"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33C420B1"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0626E47F"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1D188679"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50EB9B7C"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79B8C17B"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3FE378EE" w14:textId="77777777" w:rsidR="00AB6191" w:rsidRPr="008231CB" w:rsidRDefault="00AB6191" w:rsidP="00AB6191">
            <w:pPr>
              <w:spacing w:before="60" w:after="60" w:line="200" w:lineRule="exact"/>
              <w:jc w:val="right"/>
              <w:rPr>
                <w:b/>
                <w:noProof/>
                <w:sz w:val="16"/>
                <w:szCs w:val="16"/>
              </w:rPr>
            </w:pPr>
          </w:p>
        </w:tc>
        <w:tc>
          <w:tcPr>
            <w:tcW w:w="1080" w:type="dxa"/>
            <w:vAlign w:val="center"/>
          </w:tcPr>
          <w:p w14:paraId="14A31602" w14:textId="77777777" w:rsidR="00AB6191" w:rsidRPr="008231CB" w:rsidRDefault="00AB6191" w:rsidP="00AB6191">
            <w:pPr>
              <w:spacing w:before="60" w:after="60" w:line="200" w:lineRule="exact"/>
              <w:jc w:val="right"/>
              <w:rPr>
                <w:b/>
                <w:noProof/>
                <w:sz w:val="16"/>
                <w:szCs w:val="16"/>
              </w:rPr>
            </w:pPr>
          </w:p>
        </w:tc>
      </w:tr>
    </w:tbl>
    <w:p w14:paraId="6522DF83" w14:textId="77777777" w:rsidR="00AB6191" w:rsidRPr="008231CB" w:rsidRDefault="00AB6191" w:rsidP="00AB619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8231CB" w14:paraId="016C159B" w14:textId="77777777" w:rsidTr="00AB6191">
        <w:trPr>
          <w:trHeight w:val="585"/>
        </w:trPr>
        <w:tc>
          <w:tcPr>
            <w:tcW w:w="1980" w:type="dxa"/>
            <w:shd w:val="clear" w:color="auto" w:fill="CCCCCC"/>
            <w:vAlign w:val="center"/>
          </w:tcPr>
          <w:p w14:paraId="05E5A013" w14:textId="77777777" w:rsidR="00AB6191" w:rsidRPr="008231CB" w:rsidRDefault="00AB6191" w:rsidP="00AB6191">
            <w:pPr>
              <w:spacing w:before="60" w:after="60" w:line="200" w:lineRule="exact"/>
              <w:jc w:val="center"/>
              <w:rPr>
                <w:noProof/>
                <w:sz w:val="16"/>
                <w:szCs w:val="16"/>
              </w:rPr>
            </w:pPr>
            <w:r w:rsidRPr="008231CB">
              <w:rPr>
                <w:b/>
                <w:noProof/>
                <w:sz w:val="16"/>
              </w:rPr>
              <w:t>Outside HEADING 7</w:t>
            </w:r>
            <w:r w:rsidRPr="00EC6C35">
              <w:rPr>
                <w:rStyle w:val="FootnoteReference"/>
                <w:noProof/>
              </w:rPr>
              <w:footnoteReference w:id="79"/>
            </w:r>
            <w:r w:rsidRPr="008231CB">
              <w:rPr>
                <w:noProof/>
                <w:sz w:val="22"/>
              </w:rPr>
              <w:br/>
            </w:r>
            <w:r w:rsidRPr="008231CB">
              <w:rPr>
                <w:b/>
                <w:noProof/>
                <w:sz w:val="16"/>
              </w:rPr>
              <w:t xml:space="preserve">of the multiannual financial framework </w:t>
            </w:r>
          </w:p>
          <w:p w14:paraId="553AB991" w14:textId="77777777" w:rsidR="00AB6191" w:rsidRPr="008231CB" w:rsidRDefault="00AB6191" w:rsidP="00AB6191">
            <w:pPr>
              <w:spacing w:before="0" w:after="0" w:line="200" w:lineRule="exact"/>
              <w:jc w:val="center"/>
              <w:rPr>
                <w:b/>
                <w:noProof/>
                <w:sz w:val="16"/>
                <w:szCs w:val="16"/>
              </w:rPr>
            </w:pPr>
          </w:p>
        </w:tc>
        <w:tc>
          <w:tcPr>
            <w:tcW w:w="1080" w:type="dxa"/>
            <w:vAlign w:val="center"/>
          </w:tcPr>
          <w:p w14:paraId="48EDC026"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63F14ECA"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3B68852F"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33CA21D5"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6C80C656"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2345C8E8"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473922E7" w14:textId="77777777" w:rsidR="00AB6191" w:rsidRPr="008231CB" w:rsidRDefault="00AB6191" w:rsidP="00AB6191">
            <w:pPr>
              <w:spacing w:before="60" w:after="60" w:line="200" w:lineRule="exact"/>
              <w:jc w:val="right"/>
              <w:rPr>
                <w:b/>
                <w:noProof/>
                <w:sz w:val="16"/>
                <w:szCs w:val="16"/>
              </w:rPr>
            </w:pPr>
          </w:p>
        </w:tc>
        <w:tc>
          <w:tcPr>
            <w:tcW w:w="1080" w:type="dxa"/>
            <w:vAlign w:val="center"/>
          </w:tcPr>
          <w:p w14:paraId="75FCE1B7" w14:textId="77777777" w:rsidR="00AB6191" w:rsidRPr="008231CB" w:rsidRDefault="00AB6191" w:rsidP="00AB6191">
            <w:pPr>
              <w:spacing w:before="60" w:after="60" w:line="200" w:lineRule="exact"/>
              <w:jc w:val="right"/>
              <w:rPr>
                <w:b/>
                <w:noProof/>
                <w:sz w:val="16"/>
                <w:szCs w:val="16"/>
              </w:rPr>
            </w:pPr>
          </w:p>
        </w:tc>
      </w:tr>
      <w:tr w:rsidR="00AB6191" w:rsidRPr="008231CB" w14:paraId="1004AF4C" w14:textId="77777777" w:rsidTr="00AB6191">
        <w:trPr>
          <w:trHeight w:val="585"/>
        </w:trPr>
        <w:tc>
          <w:tcPr>
            <w:tcW w:w="1980" w:type="dxa"/>
            <w:vAlign w:val="center"/>
          </w:tcPr>
          <w:p w14:paraId="2A8592FB" w14:textId="77777777" w:rsidR="00AB6191" w:rsidRPr="008231CB" w:rsidRDefault="00AB6191" w:rsidP="00AB6191">
            <w:pPr>
              <w:spacing w:before="60" w:after="60" w:line="200" w:lineRule="exact"/>
              <w:ind w:left="72"/>
              <w:jc w:val="left"/>
              <w:rPr>
                <w:noProof/>
                <w:sz w:val="16"/>
                <w:szCs w:val="16"/>
              </w:rPr>
            </w:pPr>
            <w:r w:rsidRPr="008231CB">
              <w:rPr>
                <w:noProof/>
                <w:sz w:val="16"/>
              </w:rPr>
              <w:t xml:space="preserve">Human resources </w:t>
            </w:r>
          </w:p>
        </w:tc>
        <w:tc>
          <w:tcPr>
            <w:tcW w:w="1080" w:type="dxa"/>
            <w:vAlign w:val="center"/>
          </w:tcPr>
          <w:p w14:paraId="61647F73"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677A4311"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586BD511"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3BD9CA9D"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2D3EAFEB"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58EF9DC4"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7B844868" w14:textId="77777777" w:rsidR="00AB6191" w:rsidRPr="008231CB" w:rsidRDefault="00AB6191" w:rsidP="00AB6191">
            <w:pPr>
              <w:spacing w:before="60" w:after="60" w:line="200" w:lineRule="exact"/>
              <w:jc w:val="right"/>
              <w:rPr>
                <w:b/>
                <w:noProof/>
                <w:sz w:val="16"/>
                <w:szCs w:val="16"/>
              </w:rPr>
            </w:pPr>
          </w:p>
        </w:tc>
        <w:tc>
          <w:tcPr>
            <w:tcW w:w="1080" w:type="dxa"/>
            <w:vAlign w:val="center"/>
          </w:tcPr>
          <w:p w14:paraId="1CDAC6AD" w14:textId="77777777" w:rsidR="00AB6191" w:rsidRPr="008231CB" w:rsidRDefault="00AB6191" w:rsidP="00AB6191">
            <w:pPr>
              <w:spacing w:before="60" w:after="60" w:line="200" w:lineRule="exact"/>
              <w:jc w:val="right"/>
              <w:rPr>
                <w:b/>
                <w:noProof/>
                <w:sz w:val="16"/>
                <w:szCs w:val="16"/>
              </w:rPr>
            </w:pPr>
          </w:p>
        </w:tc>
      </w:tr>
      <w:tr w:rsidR="00AB6191" w:rsidRPr="008231CB" w14:paraId="78236E94" w14:textId="77777777" w:rsidTr="00AB6191">
        <w:trPr>
          <w:trHeight w:val="585"/>
        </w:trPr>
        <w:tc>
          <w:tcPr>
            <w:tcW w:w="1980" w:type="dxa"/>
            <w:vAlign w:val="center"/>
          </w:tcPr>
          <w:p w14:paraId="1EC59EEC" w14:textId="77777777" w:rsidR="00AB6191" w:rsidRPr="008231CB" w:rsidRDefault="00AB6191" w:rsidP="00AB6191">
            <w:pPr>
              <w:spacing w:before="60" w:after="60" w:line="200" w:lineRule="exact"/>
              <w:ind w:left="72"/>
              <w:jc w:val="left"/>
              <w:rPr>
                <w:noProof/>
                <w:sz w:val="16"/>
                <w:szCs w:val="16"/>
              </w:rPr>
            </w:pPr>
            <w:r w:rsidRPr="008231CB">
              <w:rPr>
                <w:noProof/>
                <w:sz w:val="16"/>
              </w:rPr>
              <w:t xml:space="preserve">Other expenditure </w:t>
            </w:r>
            <w:r w:rsidRPr="008231CB">
              <w:rPr>
                <w:noProof/>
                <w:sz w:val="22"/>
              </w:rPr>
              <w:br/>
            </w:r>
            <w:r w:rsidRPr="008231CB">
              <w:rPr>
                <w:noProof/>
                <w:sz w:val="16"/>
              </w:rPr>
              <w:t>of an administrative nature</w:t>
            </w:r>
          </w:p>
        </w:tc>
        <w:tc>
          <w:tcPr>
            <w:tcW w:w="1080" w:type="dxa"/>
            <w:vAlign w:val="center"/>
          </w:tcPr>
          <w:p w14:paraId="1E6E92F0"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1307B471"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29A20FD2"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4945AAAE"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10B1A251"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09ACAD62"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408445AB" w14:textId="77777777" w:rsidR="00AB6191" w:rsidRPr="008231CB" w:rsidRDefault="00AB6191" w:rsidP="00AB6191">
            <w:pPr>
              <w:spacing w:before="60" w:after="60" w:line="200" w:lineRule="exact"/>
              <w:jc w:val="right"/>
              <w:rPr>
                <w:b/>
                <w:noProof/>
                <w:sz w:val="16"/>
                <w:szCs w:val="16"/>
              </w:rPr>
            </w:pPr>
          </w:p>
        </w:tc>
        <w:tc>
          <w:tcPr>
            <w:tcW w:w="1080" w:type="dxa"/>
            <w:vAlign w:val="center"/>
          </w:tcPr>
          <w:p w14:paraId="2D718C63" w14:textId="77777777" w:rsidR="00AB6191" w:rsidRPr="008231CB" w:rsidRDefault="00AB6191" w:rsidP="00AB6191">
            <w:pPr>
              <w:spacing w:before="60" w:after="60" w:line="200" w:lineRule="exact"/>
              <w:jc w:val="right"/>
              <w:rPr>
                <w:b/>
                <w:noProof/>
                <w:sz w:val="16"/>
                <w:szCs w:val="16"/>
              </w:rPr>
            </w:pPr>
          </w:p>
        </w:tc>
      </w:tr>
      <w:tr w:rsidR="00AB6191" w:rsidRPr="008231CB" w14:paraId="06E5035B" w14:textId="77777777" w:rsidTr="00AB6191">
        <w:trPr>
          <w:trHeight w:val="585"/>
        </w:trPr>
        <w:tc>
          <w:tcPr>
            <w:tcW w:w="1980" w:type="dxa"/>
            <w:shd w:val="clear" w:color="auto" w:fill="CCCCCC"/>
            <w:vAlign w:val="center"/>
          </w:tcPr>
          <w:p w14:paraId="025621F3" w14:textId="77777777" w:rsidR="00AB6191" w:rsidRPr="008231CB" w:rsidRDefault="00AB6191" w:rsidP="00AB6191">
            <w:pPr>
              <w:spacing w:before="60" w:after="60" w:line="200" w:lineRule="exact"/>
              <w:jc w:val="center"/>
              <w:rPr>
                <w:b/>
                <w:noProof/>
                <w:sz w:val="16"/>
                <w:szCs w:val="16"/>
              </w:rPr>
            </w:pPr>
            <w:r w:rsidRPr="008231CB">
              <w:rPr>
                <w:b/>
                <w:noProof/>
                <w:sz w:val="16"/>
              </w:rPr>
              <w:t xml:space="preserve">Subtotal </w:t>
            </w:r>
            <w:r w:rsidRPr="008231CB">
              <w:rPr>
                <w:noProof/>
                <w:sz w:val="22"/>
              </w:rPr>
              <w:br/>
            </w:r>
            <w:r w:rsidRPr="008231CB">
              <w:rPr>
                <w:b/>
                <w:noProof/>
                <w:sz w:val="16"/>
              </w:rPr>
              <w:t>outside HEADING 7</w:t>
            </w:r>
            <w:r w:rsidRPr="008231CB">
              <w:rPr>
                <w:noProof/>
                <w:sz w:val="22"/>
              </w:rPr>
              <w:br/>
            </w:r>
            <w:r w:rsidRPr="008231CB">
              <w:rPr>
                <w:b/>
                <w:noProof/>
                <w:sz w:val="16"/>
              </w:rPr>
              <w:t xml:space="preserve">of the multiannual financial framework </w:t>
            </w:r>
          </w:p>
        </w:tc>
        <w:tc>
          <w:tcPr>
            <w:tcW w:w="1080" w:type="dxa"/>
            <w:vAlign w:val="center"/>
          </w:tcPr>
          <w:p w14:paraId="3D611642"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509FB78C"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1A5150FA"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3C9C3580"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4FBD4F8F"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2CA1F58B" w14:textId="77777777" w:rsidR="00AB6191" w:rsidRPr="008231CB" w:rsidRDefault="00AB6191" w:rsidP="00AB6191">
            <w:pPr>
              <w:spacing w:before="60" w:after="60" w:line="200" w:lineRule="exact"/>
              <w:jc w:val="right"/>
              <w:rPr>
                <w:noProof/>
                <w:sz w:val="16"/>
                <w:szCs w:val="16"/>
              </w:rPr>
            </w:pPr>
          </w:p>
        </w:tc>
        <w:tc>
          <w:tcPr>
            <w:tcW w:w="1080" w:type="dxa"/>
            <w:vAlign w:val="center"/>
          </w:tcPr>
          <w:p w14:paraId="5C55B21B" w14:textId="77777777" w:rsidR="00AB6191" w:rsidRPr="008231CB" w:rsidRDefault="00AB6191" w:rsidP="00AB6191">
            <w:pPr>
              <w:spacing w:before="60" w:after="60" w:line="200" w:lineRule="exact"/>
              <w:jc w:val="right"/>
              <w:rPr>
                <w:b/>
                <w:noProof/>
                <w:sz w:val="16"/>
                <w:szCs w:val="16"/>
              </w:rPr>
            </w:pPr>
          </w:p>
        </w:tc>
        <w:tc>
          <w:tcPr>
            <w:tcW w:w="1080" w:type="dxa"/>
            <w:vAlign w:val="center"/>
          </w:tcPr>
          <w:p w14:paraId="5E9EA321" w14:textId="77777777" w:rsidR="00AB6191" w:rsidRPr="008231CB" w:rsidRDefault="00AB6191" w:rsidP="00AB6191">
            <w:pPr>
              <w:spacing w:before="60" w:after="60" w:line="200" w:lineRule="exact"/>
              <w:jc w:val="right"/>
              <w:rPr>
                <w:b/>
                <w:noProof/>
                <w:sz w:val="16"/>
                <w:szCs w:val="16"/>
              </w:rPr>
            </w:pPr>
          </w:p>
        </w:tc>
      </w:tr>
    </w:tbl>
    <w:p w14:paraId="1ABE6FC9" w14:textId="77777777" w:rsidR="00AB6191" w:rsidRPr="008231CB" w:rsidRDefault="00AB6191" w:rsidP="00AB6191">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8231CB" w14:paraId="2A862996" w14:textId="77777777" w:rsidTr="00AB619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6D32E90" w14:textId="77777777" w:rsidR="00AB6191" w:rsidRPr="008231CB" w:rsidRDefault="00AB6191" w:rsidP="00AB6191">
            <w:pPr>
              <w:spacing w:before="60" w:after="60" w:line="200" w:lineRule="exact"/>
              <w:jc w:val="center"/>
              <w:rPr>
                <w:noProof/>
                <w:sz w:val="16"/>
                <w:szCs w:val="16"/>
              </w:rPr>
            </w:pPr>
            <w:r w:rsidRPr="008231CB">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3EAE1B29" w14:textId="77777777" w:rsidR="00AB6191" w:rsidRPr="008231CB"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854CD5C" w14:textId="77777777" w:rsidR="00AB6191" w:rsidRPr="008231CB"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857179E" w14:textId="77777777" w:rsidR="00AB6191" w:rsidRPr="008231CB"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031D008" w14:textId="77777777" w:rsidR="00AB6191" w:rsidRPr="008231CB"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2068F43" w14:textId="77777777" w:rsidR="00AB6191" w:rsidRPr="008231CB"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0B2B456" w14:textId="77777777" w:rsidR="00AB6191" w:rsidRPr="008231CB"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2BD2D85" w14:textId="77777777" w:rsidR="00AB6191" w:rsidRPr="008231CB"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5E8835D6" w14:textId="77777777" w:rsidR="00AB6191" w:rsidRPr="008231CB" w:rsidRDefault="00AB6191" w:rsidP="00AB6191">
            <w:pPr>
              <w:spacing w:before="60" w:after="60" w:line="200" w:lineRule="exact"/>
              <w:jc w:val="right"/>
              <w:rPr>
                <w:b/>
                <w:noProof/>
                <w:sz w:val="16"/>
                <w:szCs w:val="16"/>
              </w:rPr>
            </w:pPr>
          </w:p>
        </w:tc>
      </w:tr>
    </w:tbl>
    <w:p w14:paraId="77F626F8" w14:textId="77777777" w:rsidR="00AB6191" w:rsidRPr="008231CB" w:rsidRDefault="00AB6191" w:rsidP="00AB6191">
      <w:pPr>
        <w:rPr>
          <w:noProof/>
          <w:sz w:val="18"/>
        </w:rPr>
      </w:pPr>
      <w:r w:rsidRPr="008231CB">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3942033C" w14:textId="77777777" w:rsidR="00AC6E63" w:rsidRDefault="00AC6E63">
      <w:pPr>
        <w:spacing w:before="0" w:after="200" w:line="276" w:lineRule="auto"/>
        <w:jc w:val="left"/>
        <w:rPr>
          <w:noProof/>
        </w:rPr>
      </w:pPr>
      <w:r>
        <w:rPr>
          <w:noProof/>
        </w:rPr>
        <w:br w:type="page"/>
      </w:r>
    </w:p>
    <w:p w14:paraId="3482FA7A" w14:textId="77777777" w:rsidR="00AB6191" w:rsidRPr="008231CB" w:rsidRDefault="00AB6191" w:rsidP="00AB6191">
      <w:pPr>
        <w:pStyle w:val="ManualHeading4"/>
        <w:rPr>
          <w:bCs/>
          <w:noProof/>
          <w:szCs w:val="24"/>
        </w:rPr>
      </w:pPr>
      <w:r w:rsidRPr="008231CB">
        <w:rPr>
          <w:noProof/>
        </w:rPr>
        <w:t>3.2.3.1.</w:t>
      </w:r>
      <w:r w:rsidRPr="008231CB">
        <w:rPr>
          <w:noProof/>
        </w:rPr>
        <w:tab/>
        <w:t xml:space="preserve">Estimated requirements of human resources </w:t>
      </w:r>
    </w:p>
    <w:p w14:paraId="1FCFE075" w14:textId="77777777" w:rsidR="00AB6191" w:rsidRPr="008231CB" w:rsidRDefault="00AB6191" w:rsidP="00AB6191">
      <w:pPr>
        <w:pStyle w:val="ListDash1"/>
        <w:rPr>
          <w:noProof/>
        </w:rPr>
      </w:pPr>
      <w:r w:rsidRPr="008231CB">
        <w:rPr>
          <w:rFonts w:ascii="Wingdings" w:eastAsia="Wingdings" w:hAnsi="Wingdings" w:cs="Wingdings"/>
          <w:noProof/>
        </w:rPr>
        <w:t></w:t>
      </w:r>
      <w:r w:rsidRPr="008231CB">
        <w:rPr>
          <w:noProof/>
        </w:rPr>
        <w:tab/>
        <w:t xml:space="preserve">The proposal/initiative does not require the use of human resources. </w:t>
      </w:r>
    </w:p>
    <w:p w14:paraId="04E29C95" w14:textId="77777777" w:rsidR="00AB6191" w:rsidRPr="008231CB" w:rsidRDefault="00AB6191" w:rsidP="00AB6191">
      <w:pPr>
        <w:pStyle w:val="ListDash1"/>
        <w:rPr>
          <w:noProof/>
        </w:rPr>
      </w:pPr>
      <w:r>
        <w:rPr>
          <w:noProof/>
        </w:rPr>
        <w:t>X</w:t>
      </w:r>
      <w:r w:rsidRPr="008231CB">
        <w:rPr>
          <w:noProof/>
        </w:rPr>
        <w:tab/>
        <w:t>The proposal/initiative requires the use of human resources, as explained below:</w:t>
      </w:r>
    </w:p>
    <w:p w14:paraId="049DBCD3" w14:textId="77777777" w:rsidR="00AB6191" w:rsidRPr="008231CB" w:rsidRDefault="00AB6191" w:rsidP="00AB6191">
      <w:pPr>
        <w:spacing w:after="60"/>
        <w:jc w:val="right"/>
        <w:rPr>
          <w:i/>
          <w:noProof/>
          <w:sz w:val="20"/>
        </w:rPr>
      </w:pPr>
      <w:r w:rsidRPr="008231CB">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840"/>
        <w:gridCol w:w="622"/>
        <w:gridCol w:w="731"/>
        <w:gridCol w:w="731"/>
        <w:gridCol w:w="731"/>
      </w:tblGrid>
      <w:tr w:rsidR="00AB6191" w:rsidRPr="008231CB" w14:paraId="1654D3AA" w14:textId="77777777" w:rsidTr="00AB6191">
        <w:trPr>
          <w:gridBefore w:val="1"/>
          <w:wBefore w:w="15" w:type="dxa"/>
          <w:trHeight w:val="289"/>
          <w:jc w:val="center"/>
        </w:trPr>
        <w:tc>
          <w:tcPr>
            <w:tcW w:w="4754" w:type="dxa"/>
            <w:gridSpan w:val="2"/>
            <w:shd w:val="clear" w:color="auto" w:fill="auto"/>
          </w:tcPr>
          <w:p w14:paraId="3261A313" w14:textId="77777777" w:rsidR="00AB6191" w:rsidRPr="008231CB" w:rsidRDefault="00AB6191" w:rsidP="00AB6191">
            <w:pPr>
              <w:pStyle w:val="Text1"/>
              <w:spacing w:before="40" w:after="40"/>
              <w:ind w:left="0"/>
              <w:jc w:val="center"/>
              <w:rPr>
                <w:i/>
                <w:noProof/>
                <w:sz w:val="16"/>
                <w:szCs w:val="16"/>
              </w:rPr>
            </w:pPr>
          </w:p>
        </w:tc>
        <w:tc>
          <w:tcPr>
            <w:tcW w:w="731" w:type="dxa"/>
            <w:shd w:val="clear" w:color="auto" w:fill="auto"/>
            <w:vAlign w:val="center"/>
          </w:tcPr>
          <w:p w14:paraId="66B9E11F" w14:textId="77777777" w:rsidR="00AB6191" w:rsidRPr="008231CB" w:rsidRDefault="00AB6191" w:rsidP="00AB6191">
            <w:pPr>
              <w:spacing w:before="20" w:after="20"/>
              <w:jc w:val="center"/>
              <w:rPr>
                <w:noProof/>
                <w:sz w:val="16"/>
                <w:szCs w:val="16"/>
              </w:rPr>
            </w:pPr>
            <w:r>
              <w:rPr>
                <w:noProof/>
                <w:sz w:val="20"/>
              </w:rPr>
              <w:t>2025</w:t>
            </w:r>
          </w:p>
        </w:tc>
        <w:tc>
          <w:tcPr>
            <w:tcW w:w="731" w:type="dxa"/>
            <w:shd w:val="clear" w:color="auto" w:fill="auto"/>
            <w:vAlign w:val="center"/>
          </w:tcPr>
          <w:p w14:paraId="03FE5E92" w14:textId="77777777" w:rsidR="00AB6191" w:rsidRPr="008231CB" w:rsidRDefault="00AB6191" w:rsidP="00AB6191">
            <w:pPr>
              <w:spacing w:before="20" w:after="20"/>
              <w:jc w:val="center"/>
              <w:rPr>
                <w:noProof/>
                <w:sz w:val="16"/>
                <w:szCs w:val="16"/>
              </w:rPr>
            </w:pPr>
            <w:r>
              <w:rPr>
                <w:noProof/>
                <w:sz w:val="20"/>
              </w:rPr>
              <w:t>2026</w:t>
            </w:r>
          </w:p>
        </w:tc>
        <w:tc>
          <w:tcPr>
            <w:tcW w:w="840" w:type="dxa"/>
            <w:shd w:val="clear" w:color="auto" w:fill="auto"/>
            <w:vAlign w:val="center"/>
          </w:tcPr>
          <w:p w14:paraId="507EC7A0" w14:textId="77777777" w:rsidR="00AB6191" w:rsidRPr="008231CB" w:rsidRDefault="00AB6191" w:rsidP="00AB6191">
            <w:pPr>
              <w:spacing w:before="20" w:after="20"/>
              <w:jc w:val="center"/>
              <w:rPr>
                <w:noProof/>
                <w:sz w:val="16"/>
                <w:szCs w:val="16"/>
              </w:rPr>
            </w:pPr>
            <w:r>
              <w:rPr>
                <w:noProof/>
                <w:sz w:val="20"/>
              </w:rPr>
              <w:t>2027</w:t>
            </w:r>
            <w:r w:rsidRPr="00EC6C35">
              <w:rPr>
                <w:rStyle w:val="FootnoteReference"/>
                <w:noProof/>
              </w:rPr>
              <w:footnoteReference w:id="80"/>
            </w:r>
          </w:p>
        </w:tc>
        <w:tc>
          <w:tcPr>
            <w:tcW w:w="622" w:type="dxa"/>
            <w:shd w:val="clear" w:color="auto" w:fill="auto"/>
            <w:vAlign w:val="center"/>
          </w:tcPr>
          <w:p w14:paraId="2ABD34FF" w14:textId="77777777" w:rsidR="00AB6191" w:rsidRPr="008231CB" w:rsidRDefault="00AB6191" w:rsidP="00AB6191">
            <w:pPr>
              <w:spacing w:before="20" w:after="20"/>
              <w:jc w:val="center"/>
              <w:rPr>
                <w:noProof/>
                <w:sz w:val="16"/>
                <w:szCs w:val="16"/>
              </w:rPr>
            </w:pPr>
          </w:p>
        </w:tc>
        <w:tc>
          <w:tcPr>
            <w:tcW w:w="2193" w:type="dxa"/>
            <w:gridSpan w:val="3"/>
            <w:shd w:val="clear" w:color="auto" w:fill="auto"/>
            <w:vAlign w:val="center"/>
          </w:tcPr>
          <w:p w14:paraId="37A6D562" w14:textId="77777777" w:rsidR="00AB6191" w:rsidRPr="008231CB" w:rsidRDefault="00AB6191" w:rsidP="00AB6191">
            <w:pPr>
              <w:jc w:val="center"/>
              <w:rPr>
                <w:b/>
                <w:noProof/>
                <w:sz w:val="16"/>
                <w:szCs w:val="16"/>
              </w:rPr>
            </w:pPr>
            <w:r w:rsidRPr="008231CB">
              <w:rPr>
                <w:noProof/>
                <w:sz w:val="16"/>
              </w:rPr>
              <w:t>Enter as many years as necessary to show the duration of the impact (see point 1.6)</w:t>
            </w:r>
          </w:p>
        </w:tc>
      </w:tr>
      <w:tr w:rsidR="00AB6191" w:rsidRPr="008231CB" w14:paraId="3B474DD6" w14:textId="77777777" w:rsidTr="00AB6191">
        <w:trPr>
          <w:gridBefore w:val="1"/>
          <w:wBefore w:w="15" w:type="dxa"/>
          <w:trHeight w:val="289"/>
          <w:jc w:val="center"/>
        </w:trPr>
        <w:tc>
          <w:tcPr>
            <w:tcW w:w="9871" w:type="dxa"/>
            <w:gridSpan w:val="9"/>
            <w:shd w:val="clear" w:color="auto" w:fill="auto"/>
          </w:tcPr>
          <w:p w14:paraId="4F48EA09" w14:textId="77777777" w:rsidR="00AB6191" w:rsidRPr="008231CB" w:rsidRDefault="00AB6191" w:rsidP="00AB6191">
            <w:pPr>
              <w:jc w:val="left"/>
              <w:rPr>
                <w:noProof/>
                <w:sz w:val="16"/>
                <w:szCs w:val="16"/>
              </w:rPr>
            </w:pPr>
            <w:r w:rsidRPr="008231CB">
              <w:rPr>
                <w:rFonts w:ascii="Wingdings" w:eastAsia="Wingdings" w:hAnsi="Wingdings" w:cs="Wingdings"/>
                <w:b/>
                <w:noProof/>
                <w:sz w:val="16"/>
              </w:rPr>
              <w:t>□</w:t>
            </w:r>
            <w:r w:rsidRPr="008231CB">
              <w:rPr>
                <w:b/>
                <w:noProof/>
                <w:sz w:val="16"/>
              </w:rPr>
              <w:t xml:space="preserve"> Establishment plan posts (officials and temporary staff)</w:t>
            </w:r>
          </w:p>
        </w:tc>
      </w:tr>
      <w:tr w:rsidR="00AB6191" w:rsidRPr="008231CB" w14:paraId="00964F9B" w14:textId="77777777" w:rsidTr="00AB6191">
        <w:trPr>
          <w:gridBefore w:val="1"/>
          <w:wBefore w:w="15" w:type="dxa"/>
          <w:trHeight w:val="289"/>
          <w:jc w:val="center"/>
        </w:trPr>
        <w:tc>
          <w:tcPr>
            <w:tcW w:w="4754" w:type="dxa"/>
            <w:gridSpan w:val="2"/>
            <w:shd w:val="clear" w:color="auto" w:fill="auto"/>
            <w:vAlign w:val="center"/>
          </w:tcPr>
          <w:p w14:paraId="3981DA2B" w14:textId="77777777" w:rsidR="00AB6191" w:rsidRPr="008231CB" w:rsidRDefault="00AB6191" w:rsidP="00AB6191">
            <w:pPr>
              <w:pStyle w:val="Text1"/>
              <w:spacing w:beforeLines="20" w:before="48" w:afterLines="20" w:after="48"/>
              <w:ind w:left="134"/>
              <w:jc w:val="left"/>
              <w:rPr>
                <w:b/>
                <w:noProof/>
                <w:sz w:val="16"/>
                <w:szCs w:val="16"/>
              </w:rPr>
            </w:pPr>
            <w:r w:rsidRPr="008231CB">
              <w:rPr>
                <w:noProof/>
                <w:sz w:val="16"/>
              </w:rPr>
              <w:t>20 01 02 01</w:t>
            </w:r>
            <w:r w:rsidRPr="008231CB">
              <w:rPr>
                <w:rFonts w:ascii="Arial Narrow" w:hAnsi="Arial Narrow"/>
                <w:noProof/>
                <w:color w:val="000000"/>
                <w:sz w:val="20"/>
                <w:szCs w:val="20"/>
              </w:rPr>
              <w:t xml:space="preserve"> </w:t>
            </w:r>
            <w:r w:rsidRPr="008231CB">
              <w:rPr>
                <w:noProof/>
                <w:sz w:val="16"/>
              </w:rPr>
              <w:t>(Headquarters and Commission’s Representation Offices)</w:t>
            </w:r>
          </w:p>
        </w:tc>
        <w:tc>
          <w:tcPr>
            <w:tcW w:w="731" w:type="dxa"/>
            <w:shd w:val="clear" w:color="auto" w:fill="auto"/>
          </w:tcPr>
          <w:p w14:paraId="459B6BC7" w14:textId="77777777" w:rsidR="00AB6191" w:rsidRPr="008231CB" w:rsidRDefault="00AB6191" w:rsidP="00AB6191">
            <w:pPr>
              <w:spacing w:beforeLines="20" w:before="48" w:afterLines="20" w:after="48"/>
              <w:jc w:val="center"/>
              <w:rPr>
                <w:noProof/>
                <w:sz w:val="16"/>
                <w:szCs w:val="16"/>
              </w:rPr>
            </w:pPr>
            <w:r w:rsidRPr="00DE5029">
              <w:rPr>
                <w:noProof/>
                <w:sz w:val="16"/>
                <w:szCs w:val="16"/>
              </w:rPr>
              <w:t>2.25</w:t>
            </w:r>
          </w:p>
        </w:tc>
        <w:tc>
          <w:tcPr>
            <w:tcW w:w="731" w:type="dxa"/>
            <w:shd w:val="clear" w:color="auto" w:fill="auto"/>
          </w:tcPr>
          <w:p w14:paraId="7682880F" w14:textId="77777777" w:rsidR="00AB6191" w:rsidRPr="008231CB" w:rsidRDefault="00AB6191" w:rsidP="00AB6191">
            <w:pPr>
              <w:spacing w:beforeLines="20" w:before="48" w:afterLines="20" w:after="48"/>
              <w:jc w:val="center"/>
              <w:rPr>
                <w:noProof/>
                <w:sz w:val="16"/>
                <w:szCs w:val="16"/>
              </w:rPr>
            </w:pPr>
            <w:r w:rsidRPr="00DE5029">
              <w:rPr>
                <w:noProof/>
                <w:sz w:val="16"/>
                <w:szCs w:val="16"/>
              </w:rPr>
              <w:t>2.25</w:t>
            </w:r>
          </w:p>
        </w:tc>
        <w:tc>
          <w:tcPr>
            <w:tcW w:w="840" w:type="dxa"/>
            <w:shd w:val="clear" w:color="auto" w:fill="auto"/>
          </w:tcPr>
          <w:p w14:paraId="08AA8E54" w14:textId="77777777" w:rsidR="00AB6191" w:rsidRPr="008231CB" w:rsidRDefault="00AB6191" w:rsidP="00AB6191">
            <w:pPr>
              <w:spacing w:beforeLines="20" w:before="48" w:afterLines="20" w:after="48"/>
              <w:jc w:val="center"/>
              <w:rPr>
                <w:noProof/>
                <w:sz w:val="16"/>
                <w:szCs w:val="16"/>
              </w:rPr>
            </w:pPr>
            <w:r w:rsidRPr="00DE5029">
              <w:rPr>
                <w:noProof/>
                <w:sz w:val="16"/>
                <w:szCs w:val="16"/>
              </w:rPr>
              <w:t>2.25</w:t>
            </w:r>
          </w:p>
        </w:tc>
        <w:tc>
          <w:tcPr>
            <w:tcW w:w="622" w:type="dxa"/>
            <w:shd w:val="clear" w:color="auto" w:fill="auto"/>
          </w:tcPr>
          <w:p w14:paraId="1222EF21"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613C8AD2"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6AA67F37"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06B5486" w14:textId="77777777" w:rsidR="00AB6191" w:rsidRPr="008231CB" w:rsidRDefault="00AB6191" w:rsidP="00AB6191">
            <w:pPr>
              <w:spacing w:beforeLines="20" w:before="48" w:afterLines="20" w:after="48"/>
              <w:jc w:val="center"/>
              <w:rPr>
                <w:noProof/>
                <w:sz w:val="16"/>
                <w:szCs w:val="16"/>
              </w:rPr>
            </w:pPr>
          </w:p>
        </w:tc>
      </w:tr>
      <w:tr w:rsidR="00AB6191" w:rsidRPr="008231CB" w14:paraId="792350E8" w14:textId="77777777" w:rsidTr="00AB6191">
        <w:trPr>
          <w:gridBefore w:val="1"/>
          <w:wBefore w:w="15" w:type="dxa"/>
          <w:trHeight w:val="289"/>
          <w:jc w:val="center"/>
        </w:trPr>
        <w:tc>
          <w:tcPr>
            <w:tcW w:w="4754" w:type="dxa"/>
            <w:gridSpan w:val="2"/>
            <w:shd w:val="clear" w:color="auto" w:fill="auto"/>
            <w:vAlign w:val="center"/>
          </w:tcPr>
          <w:p w14:paraId="2178A642" w14:textId="77777777" w:rsidR="00AB6191" w:rsidRPr="008231CB" w:rsidRDefault="00AB6191" w:rsidP="00AB6191">
            <w:pPr>
              <w:pStyle w:val="Text1"/>
              <w:spacing w:beforeLines="20" w:before="48" w:afterLines="20" w:after="48"/>
              <w:ind w:left="134"/>
              <w:jc w:val="left"/>
              <w:rPr>
                <w:noProof/>
                <w:sz w:val="16"/>
              </w:rPr>
            </w:pPr>
            <w:r w:rsidRPr="008231CB">
              <w:rPr>
                <w:noProof/>
                <w:sz w:val="16"/>
              </w:rPr>
              <w:t>20 01 02 03 (Delegations)</w:t>
            </w:r>
          </w:p>
        </w:tc>
        <w:tc>
          <w:tcPr>
            <w:tcW w:w="731" w:type="dxa"/>
            <w:shd w:val="clear" w:color="auto" w:fill="auto"/>
            <w:vAlign w:val="center"/>
          </w:tcPr>
          <w:p w14:paraId="2C8EE741"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014A6D37"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1F4C827B"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553659F3"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2125A1E3"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3BC03671"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57F550A3" w14:textId="77777777" w:rsidR="00AB6191" w:rsidRPr="008231CB" w:rsidRDefault="00AB6191" w:rsidP="00AB6191">
            <w:pPr>
              <w:spacing w:beforeLines="20" w:before="48" w:afterLines="20" w:after="48"/>
              <w:jc w:val="center"/>
              <w:rPr>
                <w:noProof/>
                <w:sz w:val="16"/>
                <w:szCs w:val="16"/>
              </w:rPr>
            </w:pPr>
          </w:p>
        </w:tc>
      </w:tr>
      <w:tr w:rsidR="00AB6191" w:rsidRPr="008231CB" w14:paraId="78D5973A" w14:textId="77777777" w:rsidTr="00AB6191">
        <w:trPr>
          <w:gridBefore w:val="1"/>
          <w:wBefore w:w="15" w:type="dxa"/>
          <w:trHeight w:val="289"/>
          <w:jc w:val="center"/>
        </w:trPr>
        <w:tc>
          <w:tcPr>
            <w:tcW w:w="4754" w:type="dxa"/>
            <w:gridSpan w:val="2"/>
            <w:shd w:val="clear" w:color="auto" w:fill="auto"/>
            <w:vAlign w:val="center"/>
          </w:tcPr>
          <w:p w14:paraId="5AE3D05C" w14:textId="77777777" w:rsidR="00AB6191" w:rsidRPr="008231CB" w:rsidRDefault="00AB6191" w:rsidP="00AB6191">
            <w:pPr>
              <w:pStyle w:val="Text1"/>
              <w:spacing w:beforeLines="20" w:before="48" w:afterLines="20" w:after="48"/>
              <w:ind w:left="134"/>
              <w:jc w:val="left"/>
              <w:rPr>
                <w:noProof/>
                <w:sz w:val="16"/>
                <w:szCs w:val="16"/>
              </w:rPr>
            </w:pPr>
            <w:r w:rsidRPr="008231CB">
              <w:rPr>
                <w:noProof/>
                <w:sz w:val="16"/>
              </w:rPr>
              <w:t>01 01 01 01</w:t>
            </w:r>
            <w:r w:rsidRPr="008231CB">
              <w:rPr>
                <w:rFonts w:ascii="Arial Narrow" w:hAnsi="Arial Narrow"/>
                <w:noProof/>
                <w:color w:val="000000"/>
                <w:sz w:val="20"/>
                <w:szCs w:val="20"/>
              </w:rPr>
              <w:t xml:space="preserve"> </w:t>
            </w:r>
            <w:r w:rsidRPr="008231CB">
              <w:rPr>
                <w:noProof/>
                <w:sz w:val="16"/>
              </w:rPr>
              <w:t xml:space="preserve"> (Indirect research)</w:t>
            </w:r>
          </w:p>
        </w:tc>
        <w:tc>
          <w:tcPr>
            <w:tcW w:w="731" w:type="dxa"/>
            <w:shd w:val="clear" w:color="auto" w:fill="auto"/>
            <w:vAlign w:val="center"/>
          </w:tcPr>
          <w:p w14:paraId="70BD51D4"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29F92E40"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57700705"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7FCA2660"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092F2FBB"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7246E056"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2419476B" w14:textId="77777777" w:rsidR="00AB6191" w:rsidRPr="008231CB" w:rsidRDefault="00AB6191" w:rsidP="00AB6191">
            <w:pPr>
              <w:spacing w:beforeLines="20" w:before="48" w:afterLines="20" w:after="48"/>
              <w:jc w:val="center"/>
              <w:rPr>
                <w:noProof/>
                <w:sz w:val="16"/>
                <w:szCs w:val="16"/>
              </w:rPr>
            </w:pPr>
          </w:p>
        </w:tc>
      </w:tr>
      <w:tr w:rsidR="00AB6191" w:rsidRPr="008231CB" w14:paraId="6D631956" w14:textId="77777777" w:rsidTr="00AB6191">
        <w:trPr>
          <w:gridBefore w:val="1"/>
          <w:wBefore w:w="15" w:type="dxa"/>
          <w:trHeight w:val="289"/>
          <w:jc w:val="center"/>
        </w:trPr>
        <w:tc>
          <w:tcPr>
            <w:tcW w:w="4754" w:type="dxa"/>
            <w:gridSpan w:val="2"/>
            <w:shd w:val="clear" w:color="auto" w:fill="auto"/>
            <w:vAlign w:val="center"/>
          </w:tcPr>
          <w:p w14:paraId="35179796" w14:textId="77777777" w:rsidR="00AB6191" w:rsidRPr="008231CB" w:rsidRDefault="00AB6191" w:rsidP="00AB6191">
            <w:pPr>
              <w:pStyle w:val="Text1"/>
              <w:spacing w:beforeLines="20" w:before="48" w:afterLines="20" w:after="48"/>
              <w:ind w:left="134"/>
              <w:jc w:val="left"/>
              <w:rPr>
                <w:noProof/>
                <w:sz w:val="16"/>
                <w:szCs w:val="16"/>
              </w:rPr>
            </w:pPr>
            <w:r w:rsidRPr="008231CB">
              <w:rPr>
                <w:noProof/>
                <w:sz w:val="16"/>
              </w:rPr>
              <w:t xml:space="preserve"> 01 01 01 11 (Direct research)</w:t>
            </w:r>
          </w:p>
        </w:tc>
        <w:tc>
          <w:tcPr>
            <w:tcW w:w="731" w:type="dxa"/>
            <w:shd w:val="clear" w:color="auto" w:fill="auto"/>
            <w:vAlign w:val="center"/>
          </w:tcPr>
          <w:p w14:paraId="651F37B9"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79A99310"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797BCB5D"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1D35A70C"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2E563F5E"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3DC9C1FB"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002382F1" w14:textId="77777777" w:rsidR="00AB6191" w:rsidRPr="008231CB" w:rsidRDefault="00AB6191" w:rsidP="00AB6191">
            <w:pPr>
              <w:spacing w:beforeLines="20" w:before="48" w:afterLines="20" w:after="48"/>
              <w:jc w:val="center"/>
              <w:rPr>
                <w:noProof/>
                <w:sz w:val="16"/>
                <w:szCs w:val="16"/>
              </w:rPr>
            </w:pPr>
          </w:p>
        </w:tc>
      </w:tr>
      <w:tr w:rsidR="00AB6191" w:rsidRPr="008231CB" w14:paraId="0B62CC0F" w14:textId="77777777" w:rsidTr="00AB6191">
        <w:trPr>
          <w:gridBefore w:val="1"/>
          <w:wBefore w:w="15" w:type="dxa"/>
          <w:trHeight w:val="289"/>
          <w:jc w:val="center"/>
        </w:trPr>
        <w:tc>
          <w:tcPr>
            <w:tcW w:w="4754" w:type="dxa"/>
            <w:gridSpan w:val="2"/>
            <w:shd w:val="clear" w:color="auto" w:fill="auto"/>
            <w:vAlign w:val="center"/>
          </w:tcPr>
          <w:p w14:paraId="0DCFE485" w14:textId="77777777" w:rsidR="00AB6191" w:rsidRPr="008231CB" w:rsidRDefault="00AB6191" w:rsidP="00AB6191">
            <w:pPr>
              <w:pStyle w:val="Text1"/>
              <w:spacing w:beforeLines="20" w:before="48" w:afterLines="20" w:after="48"/>
              <w:ind w:left="134"/>
              <w:jc w:val="left"/>
              <w:rPr>
                <w:noProof/>
                <w:sz w:val="16"/>
              </w:rPr>
            </w:pPr>
            <w:r w:rsidRPr="008231CB">
              <w:rPr>
                <w:noProof/>
                <w:sz w:val="16"/>
              </w:rPr>
              <w:t>Other budget lines (specify)</w:t>
            </w:r>
          </w:p>
        </w:tc>
        <w:tc>
          <w:tcPr>
            <w:tcW w:w="731" w:type="dxa"/>
            <w:shd w:val="clear" w:color="auto" w:fill="auto"/>
            <w:vAlign w:val="center"/>
          </w:tcPr>
          <w:p w14:paraId="7B7E6FF2"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3C998882"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6916A4C9"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24BCB0C0"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75D587A5"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BC1B33D"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7105ED05" w14:textId="77777777" w:rsidR="00AB6191" w:rsidRPr="008231CB" w:rsidRDefault="00AB6191" w:rsidP="00AB6191">
            <w:pPr>
              <w:spacing w:beforeLines="20" w:before="48" w:afterLines="20" w:after="48"/>
              <w:jc w:val="center"/>
              <w:rPr>
                <w:noProof/>
                <w:sz w:val="16"/>
                <w:szCs w:val="16"/>
              </w:rPr>
            </w:pPr>
          </w:p>
        </w:tc>
      </w:tr>
      <w:tr w:rsidR="00AB6191" w:rsidRPr="008231CB" w14:paraId="05C10168" w14:textId="77777777" w:rsidTr="00AB6191">
        <w:trPr>
          <w:trHeight w:val="248"/>
          <w:jc w:val="center"/>
        </w:trPr>
        <w:tc>
          <w:tcPr>
            <w:tcW w:w="9886" w:type="dxa"/>
            <w:gridSpan w:val="10"/>
            <w:shd w:val="clear" w:color="auto" w:fill="auto"/>
            <w:vAlign w:val="center"/>
          </w:tcPr>
          <w:p w14:paraId="683B1D02" w14:textId="77777777" w:rsidR="00AB6191" w:rsidRPr="008231CB" w:rsidRDefault="00AB6191" w:rsidP="00AB6191">
            <w:pPr>
              <w:pStyle w:val="Text1"/>
              <w:spacing w:before="60" w:after="60"/>
              <w:ind w:left="0"/>
              <w:jc w:val="left"/>
              <w:rPr>
                <w:b/>
                <w:noProof/>
                <w:sz w:val="16"/>
                <w:szCs w:val="16"/>
              </w:rPr>
            </w:pPr>
            <w:r w:rsidRPr="008231CB">
              <w:rPr>
                <w:rFonts w:ascii="Wingdings" w:eastAsia="Wingdings" w:hAnsi="Wingdings" w:cs="Wingdings"/>
                <w:b/>
                <w:noProof/>
                <w:sz w:val="16"/>
              </w:rPr>
              <w:t>□</w:t>
            </w:r>
            <w:r w:rsidRPr="008231CB">
              <w:rPr>
                <w:b/>
                <w:noProof/>
                <w:sz w:val="16"/>
              </w:rPr>
              <w:t xml:space="preserve"> External staff (in Full Time Equivalent unit: FTE)</w:t>
            </w:r>
            <w:r w:rsidRPr="00EC6C35">
              <w:rPr>
                <w:rStyle w:val="FootnoteReference"/>
                <w:noProof/>
              </w:rPr>
              <w:footnoteReference w:id="81"/>
            </w:r>
          </w:p>
          <w:p w14:paraId="3ED4D375" w14:textId="77777777" w:rsidR="00AB6191" w:rsidRPr="008231CB" w:rsidRDefault="00AB6191" w:rsidP="00AB6191">
            <w:pPr>
              <w:pStyle w:val="Text1"/>
              <w:spacing w:before="0" w:after="0"/>
              <w:ind w:left="0"/>
              <w:jc w:val="left"/>
              <w:rPr>
                <w:noProof/>
                <w:sz w:val="16"/>
                <w:szCs w:val="16"/>
              </w:rPr>
            </w:pPr>
          </w:p>
        </w:tc>
      </w:tr>
      <w:tr w:rsidR="00AB6191" w:rsidRPr="008231CB" w14:paraId="42B17A40" w14:textId="77777777" w:rsidTr="00AB6191">
        <w:trPr>
          <w:gridBefore w:val="1"/>
          <w:wBefore w:w="15" w:type="dxa"/>
          <w:trHeight w:val="289"/>
          <w:jc w:val="center"/>
        </w:trPr>
        <w:tc>
          <w:tcPr>
            <w:tcW w:w="4754" w:type="dxa"/>
            <w:gridSpan w:val="2"/>
            <w:shd w:val="clear" w:color="auto" w:fill="auto"/>
            <w:vAlign w:val="center"/>
          </w:tcPr>
          <w:p w14:paraId="585F9459" w14:textId="77777777" w:rsidR="00AB6191" w:rsidRPr="008231CB" w:rsidRDefault="00AB6191" w:rsidP="00AB6191">
            <w:pPr>
              <w:pStyle w:val="Text1"/>
              <w:spacing w:beforeLines="20" w:before="48" w:afterLines="20" w:after="48"/>
              <w:ind w:left="136"/>
              <w:jc w:val="left"/>
              <w:rPr>
                <w:b/>
                <w:noProof/>
                <w:sz w:val="16"/>
                <w:szCs w:val="16"/>
              </w:rPr>
            </w:pPr>
            <w:r w:rsidRPr="008231CB">
              <w:rPr>
                <w:noProof/>
                <w:sz w:val="16"/>
              </w:rPr>
              <w:t>20 02 01</w:t>
            </w:r>
            <w:r w:rsidRPr="008231CB">
              <w:rPr>
                <w:rFonts w:ascii="Arial Narrow" w:hAnsi="Arial Narrow"/>
                <w:noProof/>
                <w:color w:val="000000"/>
                <w:sz w:val="20"/>
                <w:szCs w:val="20"/>
              </w:rPr>
              <w:t xml:space="preserve"> </w:t>
            </w:r>
            <w:r w:rsidRPr="008231CB">
              <w:rPr>
                <w:noProof/>
                <w:sz w:val="16"/>
              </w:rPr>
              <w:t>(AC, END, INT from the ‘global envelope’)</w:t>
            </w:r>
          </w:p>
        </w:tc>
        <w:tc>
          <w:tcPr>
            <w:tcW w:w="731" w:type="dxa"/>
            <w:shd w:val="clear" w:color="auto" w:fill="auto"/>
            <w:vAlign w:val="center"/>
          </w:tcPr>
          <w:p w14:paraId="65CB028E"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382DF4D4"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56162A6D"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2B668764"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764E178"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42A7FC7"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3D74BE33" w14:textId="77777777" w:rsidR="00AB6191" w:rsidRPr="008231CB" w:rsidRDefault="00AB6191" w:rsidP="00AB6191">
            <w:pPr>
              <w:spacing w:beforeLines="20" w:before="48" w:afterLines="20" w:after="48"/>
              <w:jc w:val="center"/>
              <w:rPr>
                <w:noProof/>
                <w:sz w:val="16"/>
                <w:szCs w:val="16"/>
              </w:rPr>
            </w:pPr>
          </w:p>
        </w:tc>
      </w:tr>
      <w:tr w:rsidR="00AB6191" w:rsidRPr="008231CB" w14:paraId="2104F265" w14:textId="77777777" w:rsidTr="00AB6191">
        <w:trPr>
          <w:gridBefore w:val="1"/>
          <w:wBefore w:w="15" w:type="dxa"/>
          <w:trHeight w:val="289"/>
          <w:jc w:val="center"/>
        </w:trPr>
        <w:tc>
          <w:tcPr>
            <w:tcW w:w="4754" w:type="dxa"/>
            <w:gridSpan w:val="2"/>
            <w:shd w:val="clear" w:color="auto" w:fill="auto"/>
            <w:vAlign w:val="center"/>
          </w:tcPr>
          <w:p w14:paraId="2DABCD48" w14:textId="77777777" w:rsidR="00AB6191" w:rsidRPr="008231CB" w:rsidRDefault="00AB6191" w:rsidP="00AB6191">
            <w:pPr>
              <w:pStyle w:val="Text1"/>
              <w:spacing w:beforeLines="20" w:before="48" w:afterLines="20" w:after="48"/>
              <w:ind w:left="136"/>
              <w:jc w:val="left"/>
              <w:rPr>
                <w:noProof/>
                <w:sz w:val="16"/>
              </w:rPr>
            </w:pPr>
            <w:r w:rsidRPr="008231CB">
              <w:rPr>
                <w:noProof/>
                <w:sz w:val="16"/>
              </w:rPr>
              <w:t>20 02 03 (AC, AL, END, INT and JPD in the delegations)</w:t>
            </w:r>
          </w:p>
        </w:tc>
        <w:tc>
          <w:tcPr>
            <w:tcW w:w="731" w:type="dxa"/>
            <w:shd w:val="clear" w:color="auto" w:fill="auto"/>
            <w:vAlign w:val="center"/>
          </w:tcPr>
          <w:p w14:paraId="32EF0971"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749F611"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0B719EA1"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20DF3FA9"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2F9A0093"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4214DA7F"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350F24D6" w14:textId="77777777" w:rsidR="00AB6191" w:rsidRPr="008231CB" w:rsidRDefault="00AB6191" w:rsidP="00AB6191">
            <w:pPr>
              <w:spacing w:beforeLines="20" w:before="48" w:afterLines="20" w:after="48"/>
              <w:jc w:val="center"/>
              <w:rPr>
                <w:noProof/>
                <w:sz w:val="16"/>
                <w:szCs w:val="16"/>
              </w:rPr>
            </w:pPr>
          </w:p>
        </w:tc>
      </w:tr>
      <w:tr w:rsidR="00AB6191" w:rsidRPr="008231CB" w14:paraId="20E3D273" w14:textId="77777777" w:rsidTr="00AB6191">
        <w:trPr>
          <w:gridBefore w:val="1"/>
          <w:wBefore w:w="15" w:type="dxa"/>
          <w:trHeight w:val="289"/>
          <w:jc w:val="center"/>
        </w:trPr>
        <w:tc>
          <w:tcPr>
            <w:tcW w:w="2376" w:type="dxa"/>
            <w:vMerge w:val="restart"/>
            <w:shd w:val="clear" w:color="auto" w:fill="auto"/>
            <w:vAlign w:val="center"/>
          </w:tcPr>
          <w:p w14:paraId="55D3DF90" w14:textId="77777777" w:rsidR="00AB6191" w:rsidRPr="008231CB" w:rsidRDefault="00AB6191" w:rsidP="00AB6191">
            <w:pPr>
              <w:pStyle w:val="Text1"/>
              <w:spacing w:beforeLines="20" w:before="48" w:afterLines="20" w:after="48"/>
              <w:ind w:left="136"/>
              <w:jc w:val="left"/>
              <w:rPr>
                <w:b/>
                <w:noProof/>
                <w:sz w:val="16"/>
                <w:szCs w:val="16"/>
              </w:rPr>
            </w:pPr>
            <w:r w:rsidRPr="008231CB">
              <w:rPr>
                <w:b/>
                <w:noProof/>
                <w:sz w:val="16"/>
                <w:szCs w:val="16"/>
              </w:rPr>
              <w:t>XX</w:t>
            </w:r>
            <w:r w:rsidRPr="008231CB">
              <w:rPr>
                <w:noProof/>
                <w:sz w:val="16"/>
                <w:szCs w:val="16"/>
              </w:rPr>
              <w:t xml:space="preserve"> 01  xx </w:t>
            </w:r>
            <w:r w:rsidRPr="008231CB">
              <w:rPr>
                <w:b/>
                <w:noProof/>
                <w:sz w:val="16"/>
                <w:szCs w:val="16"/>
              </w:rPr>
              <w:t xml:space="preserve">yy zz </w:t>
            </w:r>
            <w:r w:rsidRPr="008231CB">
              <w:rPr>
                <w:b/>
                <w:i/>
                <w:noProof/>
                <w:sz w:val="16"/>
              </w:rPr>
              <w:t xml:space="preserve"> </w:t>
            </w:r>
            <w:r w:rsidRPr="00EC6C35">
              <w:rPr>
                <w:rStyle w:val="FootnoteReference"/>
                <w:noProof/>
              </w:rPr>
              <w:footnoteReference w:id="82"/>
            </w:r>
          </w:p>
          <w:p w14:paraId="3C346D1B" w14:textId="77777777" w:rsidR="00AB6191" w:rsidRPr="008231CB" w:rsidRDefault="00AB6191" w:rsidP="00AB6191">
            <w:pPr>
              <w:pStyle w:val="Text1"/>
              <w:spacing w:beforeLines="20" w:before="48" w:afterLines="20" w:after="48"/>
              <w:ind w:left="136"/>
              <w:jc w:val="left"/>
              <w:rPr>
                <w:b/>
                <w:noProof/>
                <w:sz w:val="16"/>
                <w:szCs w:val="16"/>
              </w:rPr>
            </w:pPr>
          </w:p>
        </w:tc>
        <w:tc>
          <w:tcPr>
            <w:tcW w:w="2378" w:type="dxa"/>
            <w:shd w:val="clear" w:color="auto" w:fill="auto"/>
            <w:vAlign w:val="center"/>
          </w:tcPr>
          <w:p w14:paraId="424A7DD3" w14:textId="77777777" w:rsidR="00AB6191" w:rsidRPr="008231CB" w:rsidRDefault="00AB6191" w:rsidP="00AB6191">
            <w:pPr>
              <w:pStyle w:val="Text1"/>
              <w:spacing w:beforeLines="20" w:before="48" w:afterLines="20" w:after="48"/>
              <w:ind w:left="136"/>
              <w:jc w:val="left"/>
              <w:rPr>
                <w:b/>
                <w:noProof/>
                <w:sz w:val="16"/>
                <w:szCs w:val="16"/>
              </w:rPr>
            </w:pPr>
            <w:r w:rsidRPr="008231CB">
              <w:rPr>
                <w:noProof/>
                <w:sz w:val="16"/>
              </w:rPr>
              <w:t>- at Headquarters</w:t>
            </w:r>
          </w:p>
          <w:p w14:paraId="3EC9D966" w14:textId="77777777" w:rsidR="00AB6191" w:rsidRPr="008231CB" w:rsidRDefault="00AB6191" w:rsidP="00AB6191">
            <w:pPr>
              <w:pStyle w:val="Text1"/>
              <w:spacing w:beforeLines="20" w:before="48" w:afterLines="20" w:after="48"/>
              <w:ind w:left="136"/>
              <w:jc w:val="left"/>
              <w:rPr>
                <w:b/>
                <w:noProof/>
                <w:sz w:val="16"/>
                <w:szCs w:val="16"/>
              </w:rPr>
            </w:pPr>
          </w:p>
        </w:tc>
        <w:tc>
          <w:tcPr>
            <w:tcW w:w="731" w:type="dxa"/>
            <w:shd w:val="clear" w:color="auto" w:fill="auto"/>
            <w:vAlign w:val="center"/>
          </w:tcPr>
          <w:p w14:paraId="60A5FE69" w14:textId="77777777" w:rsidR="00AB6191" w:rsidRPr="008231CB" w:rsidRDefault="00AB6191" w:rsidP="00AB6191">
            <w:pPr>
              <w:pStyle w:val="Text1"/>
              <w:spacing w:beforeLines="20" w:before="48" w:afterLines="20" w:after="48"/>
              <w:ind w:left="0"/>
              <w:rPr>
                <w:noProof/>
                <w:sz w:val="16"/>
                <w:szCs w:val="16"/>
              </w:rPr>
            </w:pPr>
          </w:p>
        </w:tc>
        <w:tc>
          <w:tcPr>
            <w:tcW w:w="731" w:type="dxa"/>
            <w:shd w:val="clear" w:color="auto" w:fill="auto"/>
            <w:vAlign w:val="center"/>
          </w:tcPr>
          <w:p w14:paraId="5B1DF29C"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26F13D2A"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0FC43CB7"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765A04C1"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76755CDE"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0F789B20" w14:textId="77777777" w:rsidR="00AB6191" w:rsidRPr="008231CB" w:rsidRDefault="00AB6191" w:rsidP="00AB6191">
            <w:pPr>
              <w:spacing w:beforeLines="20" w:before="48" w:afterLines="20" w:after="48"/>
              <w:jc w:val="center"/>
              <w:rPr>
                <w:noProof/>
                <w:sz w:val="16"/>
                <w:szCs w:val="16"/>
              </w:rPr>
            </w:pPr>
          </w:p>
        </w:tc>
      </w:tr>
      <w:tr w:rsidR="00AB6191" w:rsidRPr="008231CB" w14:paraId="6DC7ABDB" w14:textId="77777777" w:rsidTr="00AB6191">
        <w:trPr>
          <w:gridBefore w:val="1"/>
          <w:wBefore w:w="15" w:type="dxa"/>
          <w:trHeight w:val="289"/>
          <w:jc w:val="center"/>
        </w:trPr>
        <w:tc>
          <w:tcPr>
            <w:tcW w:w="2376" w:type="dxa"/>
            <w:vMerge/>
            <w:shd w:val="clear" w:color="auto" w:fill="auto"/>
            <w:vAlign w:val="center"/>
          </w:tcPr>
          <w:p w14:paraId="5F0D459D" w14:textId="77777777" w:rsidR="00AB6191" w:rsidRPr="008231CB" w:rsidRDefault="00AB6191" w:rsidP="00AB6191">
            <w:pPr>
              <w:pStyle w:val="Text1"/>
              <w:spacing w:beforeLines="20" w:before="48" w:afterLines="20" w:after="48"/>
              <w:ind w:left="136"/>
              <w:jc w:val="left"/>
              <w:rPr>
                <w:b/>
                <w:noProof/>
                <w:sz w:val="16"/>
                <w:szCs w:val="16"/>
              </w:rPr>
            </w:pPr>
          </w:p>
        </w:tc>
        <w:tc>
          <w:tcPr>
            <w:tcW w:w="2378" w:type="dxa"/>
            <w:shd w:val="clear" w:color="auto" w:fill="auto"/>
            <w:vAlign w:val="center"/>
          </w:tcPr>
          <w:p w14:paraId="1B348EF3" w14:textId="77777777" w:rsidR="00AB6191" w:rsidRPr="008231CB" w:rsidRDefault="00AB6191" w:rsidP="00AB6191">
            <w:pPr>
              <w:pStyle w:val="Text1"/>
              <w:spacing w:beforeLines="20" w:before="48" w:afterLines="20" w:after="48"/>
              <w:ind w:left="136"/>
              <w:jc w:val="left"/>
              <w:rPr>
                <w:b/>
                <w:noProof/>
                <w:sz w:val="16"/>
                <w:szCs w:val="16"/>
              </w:rPr>
            </w:pPr>
            <w:r w:rsidRPr="008231CB">
              <w:rPr>
                <w:noProof/>
                <w:sz w:val="16"/>
              </w:rPr>
              <w:t xml:space="preserve">- in Delegations </w:t>
            </w:r>
          </w:p>
        </w:tc>
        <w:tc>
          <w:tcPr>
            <w:tcW w:w="731" w:type="dxa"/>
            <w:shd w:val="clear" w:color="auto" w:fill="auto"/>
            <w:vAlign w:val="center"/>
          </w:tcPr>
          <w:p w14:paraId="4A5CBDDE" w14:textId="77777777" w:rsidR="00AB6191" w:rsidRPr="008231CB" w:rsidRDefault="00AB6191" w:rsidP="00AB6191">
            <w:pPr>
              <w:pStyle w:val="Text1"/>
              <w:spacing w:beforeLines="20" w:before="48" w:afterLines="20" w:after="48"/>
              <w:ind w:left="0"/>
              <w:rPr>
                <w:noProof/>
                <w:sz w:val="16"/>
                <w:szCs w:val="16"/>
              </w:rPr>
            </w:pPr>
          </w:p>
        </w:tc>
        <w:tc>
          <w:tcPr>
            <w:tcW w:w="731" w:type="dxa"/>
            <w:shd w:val="clear" w:color="auto" w:fill="auto"/>
            <w:vAlign w:val="center"/>
          </w:tcPr>
          <w:p w14:paraId="62ECD353"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327403A6"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27BCD1BF"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1C74915"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254B630D"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5823BAF2" w14:textId="77777777" w:rsidR="00AB6191" w:rsidRPr="008231CB" w:rsidRDefault="00AB6191" w:rsidP="00AB6191">
            <w:pPr>
              <w:spacing w:beforeLines="20" w:before="48" w:afterLines="20" w:after="48"/>
              <w:jc w:val="center"/>
              <w:rPr>
                <w:noProof/>
                <w:sz w:val="16"/>
                <w:szCs w:val="16"/>
              </w:rPr>
            </w:pPr>
          </w:p>
        </w:tc>
      </w:tr>
      <w:tr w:rsidR="00AB6191" w:rsidRPr="008231CB" w14:paraId="7C917EBD" w14:textId="77777777" w:rsidTr="00AB6191">
        <w:trPr>
          <w:gridBefore w:val="1"/>
          <w:wBefore w:w="15" w:type="dxa"/>
          <w:trHeight w:val="289"/>
          <w:jc w:val="center"/>
        </w:trPr>
        <w:tc>
          <w:tcPr>
            <w:tcW w:w="4754" w:type="dxa"/>
            <w:gridSpan w:val="2"/>
            <w:shd w:val="clear" w:color="auto" w:fill="auto"/>
            <w:vAlign w:val="center"/>
          </w:tcPr>
          <w:p w14:paraId="2018D783" w14:textId="77777777" w:rsidR="00AB6191" w:rsidRPr="008231CB" w:rsidRDefault="00AB6191" w:rsidP="00AB6191">
            <w:pPr>
              <w:pStyle w:val="Text1"/>
              <w:spacing w:beforeLines="20" w:before="48" w:afterLines="20" w:after="48"/>
              <w:ind w:left="136"/>
              <w:jc w:val="left"/>
              <w:rPr>
                <w:noProof/>
                <w:sz w:val="16"/>
                <w:szCs w:val="16"/>
              </w:rPr>
            </w:pPr>
            <w:r w:rsidRPr="008231CB">
              <w:rPr>
                <w:noProof/>
                <w:sz w:val="16"/>
              </w:rPr>
              <w:t>01 01 01 02</w:t>
            </w:r>
            <w:r w:rsidRPr="008231CB">
              <w:rPr>
                <w:rFonts w:ascii="Arial Narrow" w:hAnsi="Arial Narrow"/>
                <w:noProof/>
                <w:color w:val="000000"/>
                <w:sz w:val="20"/>
                <w:szCs w:val="20"/>
              </w:rPr>
              <w:t xml:space="preserve"> </w:t>
            </w:r>
            <w:r w:rsidRPr="008231CB">
              <w:rPr>
                <w:noProof/>
                <w:sz w:val="16"/>
                <w:szCs w:val="16"/>
              </w:rPr>
              <w:t>(AC, END, INT - Indirect research)</w:t>
            </w:r>
          </w:p>
        </w:tc>
        <w:tc>
          <w:tcPr>
            <w:tcW w:w="731" w:type="dxa"/>
            <w:shd w:val="clear" w:color="auto" w:fill="auto"/>
            <w:vAlign w:val="center"/>
          </w:tcPr>
          <w:p w14:paraId="7410863E"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38FAE791"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0C928703"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6C522FB1"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27FC7C95"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C442D88"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7E93863B" w14:textId="77777777" w:rsidR="00AB6191" w:rsidRPr="008231CB" w:rsidRDefault="00AB6191" w:rsidP="00AB6191">
            <w:pPr>
              <w:spacing w:beforeLines="20" w:before="48" w:afterLines="20" w:after="48"/>
              <w:jc w:val="center"/>
              <w:rPr>
                <w:noProof/>
                <w:sz w:val="16"/>
                <w:szCs w:val="16"/>
              </w:rPr>
            </w:pPr>
          </w:p>
        </w:tc>
      </w:tr>
      <w:tr w:rsidR="00AB6191" w:rsidRPr="008231CB" w14:paraId="348EC303" w14:textId="77777777" w:rsidTr="00AB6191">
        <w:trPr>
          <w:gridBefore w:val="1"/>
          <w:wBefore w:w="15" w:type="dxa"/>
          <w:trHeight w:val="289"/>
          <w:jc w:val="center"/>
        </w:trPr>
        <w:tc>
          <w:tcPr>
            <w:tcW w:w="4754" w:type="dxa"/>
            <w:gridSpan w:val="2"/>
            <w:shd w:val="clear" w:color="auto" w:fill="auto"/>
            <w:vAlign w:val="center"/>
          </w:tcPr>
          <w:p w14:paraId="74B81BDB" w14:textId="77777777" w:rsidR="00AB6191" w:rsidRPr="008231CB" w:rsidRDefault="00AB6191" w:rsidP="00AB6191">
            <w:pPr>
              <w:pStyle w:val="Text1"/>
              <w:spacing w:beforeLines="20" w:before="48" w:afterLines="20" w:after="48"/>
              <w:ind w:left="136"/>
              <w:jc w:val="left"/>
              <w:rPr>
                <w:noProof/>
                <w:color w:val="FF0000"/>
                <w:sz w:val="16"/>
                <w:szCs w:val="16"/>
              </w:rPr>
            </w:pPr>
            <w:r w:rsidRPr="008231CB">
              <w:rPr>
                <w:noProof/>
                <w:sz w:val="16"/>
              </w:rPr>
              <w:t xml:space="preserve"> 01 01 01 12 (AC, END, INT - Direct research)</w:t>
            </w:r>
          </w:p>
        </w:tc>
        <w:tc>
          <w:tcPr>
            <w:tcW w:w="731" w:type="dxa"/>
            <w:shd w:val="clear" w:color="auto" w:fill="auto"/>
            <w:vAlign w:val="center"/>
          </w:tcPr>
          <w:p w14:paraId="5611A2DC"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7DA1A6F6"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3D8F31CA"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3975E721"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7B30A12B"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3A3FA11"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4BD1301" w14:textId="77777777" w:rsidR="00AB6191" w:rsidRPr="008231CB" w:rsidRDefault="00AB6191" w:rsidP="00AB6191">
            <w:pPr>
              <w:spacing w:beforeLines="20" w:before="48" w:afterLines="20" w:after="48"/>
              <w:jc w:val="center"/>
              <w:rPr>
                <w:noProof/>
                <w:sz w:val="16"/>
                <w:szCs w:val="16"/>
              </w:rPr>
            </w:pPr>
          </w:p>
        </w:tc>
      </w:tr>
      <w:tr w:rsidR="00AB6191" w:rsidRPr="008231CB" w14:paraId="73B54F71" w14:textId="77777777" w:rsidTr="00AB6191">
        <w:trPr>
          <w:gridBefore w:val="1"/>
          <w:wBefore w:w="15" w:type="dxa"/>
          <w:trHeight w:val="289"/>
          <w:jc w:val="center"/>
        </w:trPr>
        <w:tc>
          <w:tcPr>
            <w:tcW w:w="4754" w:type="dxa"/>
            <w:gridSpan w:val="2"/>
            <w:shd w:val="clear" w:color="auto" w:fill="auto"/>
            <w:vAlign w:val="center"/>
          </w:tcPr>
          <w:p w14:paraId="63DC2606" w14:textId="77777777" w:rsidR="00AB6191" w:rsidRPr="008231CB" w:rsidRDefault="00AB6191" w:rsidP="00AB6191">
            <w:pPr>
              <w:pStyle w:val="Text1"/>
              <w:spacing w:beforeLines="20" w:before="48" w:afterLines="20" w:after="48"/>
              <w:ind w:left="136"/>
              <w:jc w:val="left"/>
              <w:rPr>
                <w:noProof/>
                <w:sz w:val="16"/>
              </w:rPr>
            </w:pPr>
            <w:r w:rsidRPr="008231CB">
              <w:rPr>
                <w:noProof/>
                <w:sz w:val="16"/>
              </w:rPr>
              <w:t>Other budget lines (specify)</w:t>
            </w:r>
          </w:p>
        </w:tc>
        <w:tc>
          <w:tcPr>
            <w:tcW w:w="731" w:type="dxa"/>
            <w:shd w:val="clear" w:color="auto" w:fill="auto"/>
            <w:vAlign w:val="center"/>
          </w:tcPr>
          <w:p w14:paraId="0FABAF84"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48790DAE" w14:textId="77777777" w:rsidR="00AB6191" w:rsidRPr="008231CB" w:rsidRDefault="00AB6191" w:rsidP="00AB6191">
            <w:pPr>
              <w:spacing w:beforeLines="20" w:before="48" w:afterLines="20" w:after="48"/>
              <w:jc w:val="center"/>
              <w:rPr>
                <w:noProof/>
                <w:sz w:val="16"/>
                <w:szCs w:val="16"/>
              </w:rPr>
            </w:pPr>
          </w:p>
        </w:tc>
        <w:tc>
          <w:tcPr>
            <w:tcW w:w="840" w:type="dxa"/>
            <w:shd w:val="clear" w:color="auto" w:fill="auto"/>
            <w:vAlign w:val="center"/>
          </w:tcPr>
          <w:p w14:paraId="670EA4ED" w14:textId="77777777" w:rsidR="00AB6191" w:rsidRPr="008231CB" w:rsidRDefault="00AB6191" w:rsidP="00AB6191">
            <w:pPr>
              <w:spacing w:beforeLines="20" w:before="48" w:afterLines="20" w:after="48"/>
              <w:jc w:val="center"/>
              <w:rPr>
                <w:noProof/>
                <w:sz w:val="16"/>
                <w:szCs w:val="16"/>
              </w:rPr>
            </w:pPr>
          </w:p>
        </w:tc>
        <w:tc>
          <w:tcPr>
            <w:tcW w:w="622" w:type="dxa"/>
            <w:shd w:val="clear" w:color="auto" w:fill="auto"/>
            <w:vAlign w:val="center"/>
          </w:tcPr>
          <w:p w14:paraId="37D9F456"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3F7F51B9"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126EEED1" w14:textId="77777777" w:rsidR="00AB6191" w:rsidRPr="008231CB" w:rsidRDefault="00AB6191" w:rsidP="00AB6191">
            <w:pPr>
              <w:spacing w:beforeLines="20" w:before="48" w:afterLines="20" w:after="48"/>
              <w:jc w:val="center"/>
              <w:rPr>
                <w:noProof/>
                <w:sz w:val="16"/>
                <w:szCs w:val="16"/>
              </w:rPr>
            </w:pPr>
          </w:p>
        </w:tc>
        <w:tc>
          <w:tcPr>
            <w:tcW w:w="731" w:type="dxa"/>
            <w:shd w:val="clear" w:color="auto" w:fill="auto"/>
            <w:vAlign w:val="center"/>
          </w:tcPr>
          <w:p w14:paraId="44CC7BC7" w14:textId="77777777" w:rsidR="00AB6191" w:rsidRPr="008231CB" w:rsidRDefault="00AB6191" w:rsidP="00AB6191">
            <w:pPr>
              <w:spacing w:beforeLines="20" w:before="48" w:afterLines="20" w:after="48"/>
              <w:jc w:val="center"/>
              <w:rPr>
                <w:noProof/>
                <w:sz w:val="16"/>
                <w:szCs w:val="16"/>
              </w:rPr>
            </w:pPr>
          </w:p>
        </w:tc>
      </w:tr>
      <w:tr w:rsidR="00AB6191" w:rsidRPr="008231CB" w14:paraId="748D9B53" w14:textId="77777777" w:rsidTr="00AB6191">
        <w:trPr>
          <w:gridBefore w:val="1"/>
          <w:wBefore w:w="15" w:type="dxa"/>
          <w:trHeight w:val="289"/>
          <w:jc w:val="center"/>
        </w:trPr>
        <w:tc>
          <w:tcPr>
            <w:tcW w:w="4754" w:type="dxa"/>
            <w:gridSpan w:val="2"/>
            <w:tcBorders>
              <w:top w:val="double" w:sz="4" w:space="0" w:color="auto"/>
            </w:tcBorders>
            <w:shd w:val="clear" w:color="auto" w:fill="auto"/>
            <w:vAlign w:val="center"/>
          </w:tcPr>
          <w:p w14:paraId="0DB58D34" w14:textId="77777777" w:rsidR="00AB6191" w:rsidRPr="008231CB" w:rsidRDefault="00AB6191" w:rsidP="00AB6191">
            <w:pPr>
              <w:pStyle w:val="Text1"/>
              <w:spacing w:beforeLines="20" w:before="48" w:afterLines="20" w:after="48"/>
              <w:ind w:left="136"/>
              <w:jc w:val="left"/>
              <w:rPr>
                <w:noProof/>
                <w:sz w:val="16"/>
                <w:szCs w:val="16"/>
              </w:rPr>
            </w:pPr>
            <w:r w:rsidRPr="008231CB">
              <w:rPr>
                <w:b/>
                <w:noProof/>
                <w:sz w:val="16"/>
              </w:rPr>
              <w:t>TOTAL</w:t>
            </w:r>
          </w:p>
        </w:tc>
        <w:tc>
          <w:tcPr>
            <w:tcW w:w="731" w:type="dxa"/>
            <w:tcBorders>
              <w:top w:val="double" w:sz="4" w:space="0" w:color="auto"/>
            </w:tcBorders>
            <w:shd w:val="clear" w:color="auto" w:fill="auto"/>
          </w:tcPr>
          <w:p w14:paraId="08F6ADC7" w14:textId="77777777" w:rsidR="00AB6191" w:rsidRPr="008231CB" w:rsidRDefault="00AB6191" w:rsidP="00AB6191">
            <w:pPr>
              <w:spacing w:beforeLines="20" w:before="48" w:afterLines="20" w:after="48"/>
              <w:jc w:val="center"/>
              <w:rPr>
                <w:b/>
                <w:noProof/>
                <w:sz w:val="16"/>
                <w:szCs w:val="16"/>
              </w:rPr>
            </w:pPr>
            <w:r w:rsidRPr="00DE5029">
              <w:rPr>
                <w:noProof/>
                <w:sz w:val="16"/>
                <w:szCs w:val="16"/>
              </w:rPr>
              <w:t>2.25</w:t>
            </w:r>
          </w:p>
        </w:tc>
        <w:tc>
          <w:tcPr>
            <w:tcW w:w="731" w:type="dxa"/>
            <w:tcBorders>
              <w:top w:val="double" w:sz="4" w:space="0" w:color="auto"/>
            </w:tcBorders>
            <w:shd w:val="clear" w:color="auto" w:fill="auto"/>
          </w:tcPr>
          <w:p w14:paraId="7A75735F" w14:textId="77777777" w:rsidR="00AB6191" w:rsidRPr="008231CB" w:rsidRDefault="00AB6191" w:rsidP="00AB6191">
            <w:pPr>
              <w:spacing w:beforeLines="20" w:before="48" w:afterLines="20" w:after="48"/>
              <w:jc w:val="center"/>
              <w:rPr>
                <w:b/>
                <w:noProof/>
                <w:sz w:val="16"/>
                <w:szCs w:val="16"/>
              </w:rPr>
            </w:pPr>
            <w:r w:rsidRPr="00DE5029">
              <w:rPr>
                <w:noProof/>
                <w:sz w:val="16"/>
                <w:szCs w:val="16"/>
              </w:rPr>
              <w:t>2.25</w:t>
            </w:r>
          </w:p>
        </w:tc>
        <w:tc>
          <w:tcPr>
            <w:tcW w:w="840" w:type="dxa"/>
            <w:tcBorders>
              <w:top w:val="double" w:sz="4" w:space="0" w:color="auto"/>
            </w:tcBorders>
            <w:shd w:val="clear" w:color="auto" w:fill="auto"/>
          </w:tcPr>
          <w:p w14:paraId="06D7F9AD" w14:textId="77777777" w:rsidR="00AB6191" w:rsidRPr="008231CB" w:rsidRDefault="00AB6191" w:rsidP="00AB6191">
            <w:pPr>
              <w:spacing w:beforeLines="20" w:before="48" w:afterLines="20" w:after="48"/>
              <w:jc w:val="center"/>
              <w:rPr>
                <w:b/>
                <w:noProof/>
                <w:sz w:val="16"/>
                <w:szCs w:val="16"/>
              </w:rPr>
            </w:pPr>
            <w:r w:rsidRPr="00DE5029">
              <w:rPr>
                <w:noProof/>
                <w:sz w:val="16"/>
                <w:szCs w:val="16"/>
              </w:rPr>
              <w:t>2.25</w:t>
            </w:r>
          </w:p>
        </w:tc>
        <w:tc>
          <w:tcPr>
            <w:tcW w:w="622" w:type="dxa"/>
            <w:tcBorders>
              <w:top w:val="double" w:sz="4" w:space="0" w:color="auto"/>
            </w:tcBorders>
            <w:shd w:val="clear" w:color="auto" w:fill="auto"/>
          </w:tcPr>
          <w:p w14:paraId="2692268F" w14:textId="77777777" w:rsidR="00AB6191" w:rsidRPr="008231CB" w:rsidRDefault="00AB6191" w:rsidP="00AB619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4FDE0514" w14:textId="77777777" w:rsidR="00AB6191" w:rsidRPr="008231CB" w:rsidRDefault="00AB6191" w:rsidP="00AB619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1375B4E6" w14:textId="77777777" w:rsidR="00AB6191" w:rsidRPr="008231CB" w:rsidRDefault="00AB6191" w:rsidP="00AB619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25A98CDC" w14:textId="77777777" w:rsidR="00AB6191" w:rsidRPr="008231CB" w:rsidRDefault="00AB6191" w:rsidP="00AB6191">
            <w:pPr>
              <w:spacing w:beforeLines="20" w:before="48" w:afterLines="20" w:after="48"/>
              <w:jc w:val="center"/>
              <w:rPr>
                <w:b/>
                <w:noProof/>
                <w:sz w:val="16"/>
                <w:szCs w:val="16"/>
              </w:rPr>
            </w:pPr>
          </w:p>
        </w:tc>
      </w:tr>
    </w:tbl>
    <w:p w14:paraId="778CC353" w14:textId="77777777" w:rsidR="00AB6191" w:rsidRPr="008231CB" w:rsidRDefault="00AB6191" w:rsidP="00AB6191">
      <w:pPr>
        <w:pStyle w:val="Text1"/>
        <w:spacing w:before="60" w:after="60"/>
        <w:ind w:left="851"/>
        <w:rPr>
          <w:noProof/>
          <w:sz w:val="18"/>
          <w:szCs w:val="18"/>
        </w:rPr>
      </w:pPr>
      <w:r w:rsidRPr="008231CB">
        <w:rPr>
          <w:b/>
          <w:noProof/>
          <w:sz w:val="18"/>
          <w:szCs w:val="18"/>
        </w:rPr>
        <w:t>XX</w:t>
      </w:r>
      <w:r w:rsidRPr="008231CB">
        <w:rPr>
          <w:noProof/>
          <w:sz w:val="18"/>
          <w:szCs w:val="18"/>
        </w:rPr>
        <w:t xml:space="preserve"> is the policy area or budget title concerned.</w:t>
      </w:r>
    </w:p>
    <w:p w14:paraId="6E2E30E0" w14:textId="77777777" w:rsidR="00AB6191" w:rsidRPr="008231CB" w:rsidRDefault="00AB6191" w:rsidP="00AB6191">
      <w:pPr>
        <w:pStyle w:val="Text1"/>
        <w:rPr>
          <w:noProof/>
          <w:sz w:val="18"/>
          <w:szCs w:val="18"/>
        </w:rPr>
      </w:pPr>
      <w:r w:rsidRPr="008231CB">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7D15E69A" w14:textId="77777777" w:rsidR="00AB6191" w:rsidRPr="008231CB" w:rsidRDefault="00AB6191" w:rsidP="00AB6191">
      <w:pPr>
        <w:rPr>
          <w:noProof/>
          <w:sz w:val="20"/>
        </w:rPr>
      </w:pPr>
      <w:r w:rsidRPr="008231CB">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B6191" w:rsidRPr="008231CB" w14:paraId="00CB6443" w14:textId="77777777" w:rsidTr="00AB6191">
        <w:tc>
          <w:tcPr>
            <w:tcW w:w="3240" w:type="dxa"/>
          </w:tcPr>
          <w:p w14:paraId="4C3C8B12" w14:textId="77777777" w:rsidR="00AB6191" w:rsidRPr="008231CB" w:rsidRDefault="00AB6191" w:rsidP="00AB6191">
            <w:pPr>
              <w:rPr>
                <w:noProof/>
                <w:sz w:val="20"/>
              </w:rPr>
            </w:pPr>
            <w:r w:rsidRPr="008231CB">
              <w:rPr>
                <w:noProof/>
                <w:sz w:val="20"/>
              </w:rPr>
              <w:t>Officials and temporary staff</w:t>
            </w:r>
          </w:p>
        </w:tc>
        <w:tc>
          <w:tcPr>
            <w:tcW w:w="7200" w:type="dxa"/>
          </w:tcPr>
          <w:p w14:paraId="49B00562" w14:textId="77777777" w:rsidR="00AB6191" w:rsidRPr="008231CB" w:rsidRDefault="00AB6191" w:rsidP="00AB6191">
            <w:pPr>
              <w:rPr>
                <w:noProof/>
                <w:sz w:val="20"/>
              </w:rPr>
            </w:pPr>
            <w:r>
              <w:rPr>
                <w:noProof/>
                <w:sz w:val="20"/>
              </w:rPr>
              <w:t xml:space="preserve">This proposal </w:t>
            </w:r>
            <w:r w:rsidRPr="009767F7">
              <w:rPr>
                <w:noProof/>
                <w:sz w:val="20"/>
              </w:rPr>
              <w:t xml:space="preserve">does not increase the current staffing of Commission’s services </w:t>
            </w:r>
            <w:r>
              <w:rPr>
                <w:noProof/>
                <w:sz w:val="20"/>
              </w:rPr>
              <w:t xml:space="preserve">already </w:t>
            </w:r>
            <w:r w:rsidRPr="009767F7">
              <w:rPr>
                <w:noProof/>
                <w:sz w:val="20"/>
              </w:rPr>
              <w:t xml:space="preserve">working on the business management (1 FTE) and project management (1.25 FTEs) of </w:t>
            </w:r>
            <w:r>
              <w:rPr>
                <w:noProof/>
                <w:sz w:val="20"/>
              </w:rPr>
              <w:t xml:space="preserve">the </w:t>
            </w:r>
            <w:r w:rsidRPr="009767F7">
              <w:rPr>
                <w:noProof/>
                <w:sz w:val="20"/>
              </w:rPr>
              <w:t>BRIS</w:t>
            </w:r>
            <w:r>
              <w:rPr>
                <w:noProof/>
                <w:sz w:val="20"/>
              </w:rPr>
              <w:t xml:space="preserve"> system</w:t>
            </w:r>
            <w:r w:rsidRPr="009767F7">
              <w:rPr>
                <w:noProof/>
                <w:sz w:val="20"/>
              </w:rPr>
              <w:t>.</w:t>
            </w:r>
          </w:p>
        </w:tc>
      </w:tr>
      <w:tr w:rsidR="00AB6191" w:rsidRPr="008231CB" w14:paraId="3FFE5DDF" w14:textId="77777777" w:rsidTr="00AB6191">
        <w:tc>
          <w:tcPr>
            <w:tcW w:w="3240" w:type="dxa"/>
          </w:tcPr>
          <w:p w14:paraId="15D201C9" w14:textId="77777777" w:rsidR="00AB6191" w:rsidRPr="008231CB" w:rsidRDefault="00AB6191" w:rsidP="00AB6191">
            <w:pPr>
              <w:spacing w:before="60" w:after="60"/>
              <w:rPr>
                <w:noProof/>
                <w:sz w:val="20"/>
              </w:rPr>
            </w:pPr>
            <w:r w:rsidRPr="008231CB">
              <w:rPr>
                <w:noProof/>
                <w:sz w:val="20"/>
              </w:rPr>
              <w:t>External staff</w:t>
            </w:r>
          </w:p>
        </w:tc>
        <w:tc>
          <w:tcPr>
            <w:tcW w:w="7200" w:type="dxa"/>
          </w:tcPr>
          <w:p w14:paraId="349B2C47" w14:textId="77777777" w:rsidR="00AB6191" w:rsidRPr="008231CB" w:rsidRDefault="00AB6191" w:rsidP="00AB6191">
            <w:pPr>
              <w:rPr>
                <w:noProof/>
                <w:sz w:val="20"/>
              </w:rPr>
            </w:pPr>
          </w:p>
        </w:tc>
      </w:tr>
    </w:tbl>
    <w:p w14:paraId="1C640D71" w14:textId="77777777" w:rsidR="00AC6E63" w:rsidRDefault="00AC6E63">
      <w:pPr>
        <w:spacing w:before="0" w:after="200" w:line="276" w:lineRule="auto"/>
        <w:jc w:val="left"/>
        <w:rPr>
          <w:i/>
          <w:noProof/>
        </w:rPr>
      </w:pPr>
      <w:bookmarkStart w:id="155" w:name="_Toc514938056"/>
      <w:bookmarkStart w:id="156" w:name="_Toc520485055"/>
      <w:bookmarkStart w:id="157" w:name="_Toc126826617"/>
      <w:r>
        <w:rPr>
          <w:noProof/>
        </w:rPr>
        <w:br w:type="page"/>
      </w:r>
    </w:p>
    <w:p w14:paraId="4564668A" w14:textId="77777777" w:rsidR="00AB6191" w:rsidRPr="008231CB" w:rsidRDefault="00AB6191" w:rsidP="00AB6191">
      <w:pPr>
        <w:pStyle w:val="ManualHeading3"/>
        <w:rPr>
          <w:noProof/>
        </w:rPr>
      </w:pPr>
      <w:r w:rsidRPr="008231CB">
        <w:rPr>
          <w:noProof/>
        </w:rPr>
        <w:t>3.2.4.</w:t>
      </w:r>
      <w:r w:rsidRPr="008231CB">
        <w:rPr>
          <w:noProof/>
        </w:rPr>
        <w:tab/>
        <w:t>Compatibility with the current multiannual financial framework</w:t>
      </w:r>
      <w:bookmarkEnd w:id="155"/>
      <w:bookmarkEnd w:id="156"/>
      <w:bookmarkEnd w:id="157"/>
      <w:r w:rsidRPr="008231CB">
        <w:rPr>
          <w:noProof/>
        </w:rPr>
        <w:t xml:space="preserve"> </w:t>
      </w:r>
    </w:p>
    <w:p w14:paraId="37BEA8B4" w14:textId="77777777" w:rsidR="00AB6191" w:rsidRPr="008231CB" w:rsidRDefault="00AB6191" w:rsidP="00AB6191">
      <w:pPr>
        <w:pStyle w:val="Text1"/>
        <w:rPr>
          <w:noProof/>
        </w:rPr>
      </w:pPr>
      <w:r w:rsidRPr="008231CB">
        <w:rPr>
          <w:noProof/>
        </w:rPr>
        <w:t>The proposal/initiative:</w:t>
      </w:r>
    </w:p>
    <w:p w14:paraId="285AE2CD" w14:textId="77777777" w:rsidR="00AB6191" w:rsidRPr="008231CB" w:rsidRDefault="00AB6191" w:rsidP="00AB6191">
      <w:pPr>
        <w:pStyle w:val="ListDash1"/>
        <w:rPr>
          <w:noProof/>
        </w:rPr>
      </w:pPr>
      <w:r>
        <w:rPr>
          <w:noProof/>
        </w:rPr>
        <w:t>X</w:t>
      </w:r>
      <w:r w:rsidRPr="008231CB">
        <w:rPr>
          <w:noProof/>
        </w:rPr>
        <w:tab/>
        <w:t>can be fully financed through redeployment within the relevant heading of the Multiannual Financial Framework (MFF).</w:t>
      </w:r>
    </w:p>
    <w:p w14:paraId="41BB8B0B" w14:textId="77777777" w:rsidR="00AB6191"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8231CB">
        <w:rPr>
          <w:noProof/>
          <w:sz w:val="20"/>
        </w:rPr>
        <w:t>Explain what reprogramming is required, specifying the budget lines concerned and the corresponding amounts.</w:t>
      </w:r>
      <w:r w:rsidRPr="008231CB">
        <w:rPr>
          <w:noProof/>
        </w:rPr>
        <w:t xml:space="preserve"> </w:t>
      </w:r>
      <w:r w:rsidRPr="008231CB">
        <w:rPr>
          <w:noProof/>
          <w:sz w:val="20"/>
        </w:rPr>
        <w:t>Please provide an excel table in the case of major reprogramming.</w:t>
      </w:r>
    </w:p>
    <w:p w14:paraId="52D20427" w14:textId="77777777" w:rsidR="00AB6191" w:rsidRDefault="00AB6191" w:rsidP="00906F88">
      <w:pPr>
        <w:pStyle w:val="Text1"/>
        <w:pBdr>
          <w:top w:val="single" w:sz="4" w:space="1" w:color="auto"/>
          <w:left w:val="single" w:sz="4" w:space="4" w:color="auto"/>
          <w:bottom w:val="single" w:sz="4" w:space="1" w:color="auto"/>
          <w:right w:val="single" w:sz="4" w:space="4" w:color="auto"/>
        </w:pBdr>
        <w:spacing w:before="0" w:after="0"/>
        <w:rPr>
          <w:noProof/>
          <w:sz w:val="20"/>
        </w:rPr>
      </w:pPr>
    </w:p>
    <w:p w14:paraId="5DF6403B" w14:textId="77777777" w:rsidR="00AB6191" w:rsidRPr="00906F88" w:rsidRDefault="00AB6191" w:rsidP="00AB6191">
      <w:pPr>
        <w:pStyle w:val="Text1"/>
        <w:pBdr>
          <w:top w:val="single" w:sz="4" w:space="1" w:color="auto"/>
          <w:left w:val="single" w:sz="4" w:space="4" w:color="auto"/>
          <w:bottom w:val="single" w:sz="4" w:space="1" w:color="auto"/>
          <w:right w:val="single" w:sz="4" w:space="4" w:color="auto"/>
        </w:pBdr>
        <w:rPr>
          <w:noProof/>
          <w:szCs w:val="24"/>
        </w:rPr>
      </w:pPr>
      <w:r w:rsidRPr="00906F88">
        <w:rPr>
          <w:noProof/>
          <w:szCs w:val="24"/>
        </w:rPr>
        <w:t xml:space="preserve">BRIS development is already covered by the Digital Europe Programme. This new </w:t>
      </w:r>
      <w:r w:rsidR="00906F88">
        <w:rPr>
          <w:noProof/>
          <w:szCs w:val="24"/>
        </w:rPr>
        <w:t>proposal</w:t>
      </w:r>
      <w:r w:rsidRPr="00906F88">
        <w:rPr>
          <w:noProof/>
          <w:szCs w:val="24"/>
        </w:rPr>
        <w:t xml:space="preserve"> does not require additional budget compared to the budget already being provided for the IT development by the Digital Europe Programme for the evolutive maintenance (new development) and conservative maintenance (bug fixing) of BRIS (i.e. 2 million EUR per year).</w:t>
      </w:r>
    </w:p>
    <w:p w14:paraId="4B0AFF22" w14:textId="77777777" w:rsidR="00AB6191" w:rsidRPr="008231CB" w:rsidRDefault="00AB6191" w:rsidP="00AB6191">
      <w:pPr>
        <w:pStyle w:val="ListDash1"/>
        <w:rPr>
          <w:noProof/>
        </w:rPr>
      </w:pPr>
      <w:r w:rsidRPr="008231CB">
        <w:rPr>
          <w:rFonts w:ascii="Wingdings" w:eastAsia="Wingdings" w:hAnsi="Wingdings" w:cs="Wingdings"/>
          <w:noProof/>
        </w:rPr>
        <w:t></w:t>
      </w:r>
      <w:r w:rsidRPr="008231CB">
        <w:rPr>
          <w:noProof/>
        </w:rPr>
        <w:tab/>
        <w:t>requires use of the unallocated margin under the relevant heading of the MFF and/or use of the special instruments as defined in the MFF Regulation.</w:t>
      </w:r>
    </w:p>
    <w:p w14:paraId="7FEAA42C"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8231CB">
        <w:rPr>
          <w:noProof/>
          <w:sz w:val="20"/>
        </w:rPr>
        <w:t>Explain what is required, specifying the headings and budget lines concerned, the corresponding amounts, and the instruments proposed to be used.</w:t>
      </w:r>
    </w:p>
    <w:p w14:paraId="67A9309B" w14:textId="77777777" w:rsidR="00AB6191" w:rsidRPr="008231CB" w:rsidRDefault="00AB6191" w:rsidP="00AB6191">
      <w:pPr>
        <w:pStyle w:val="ListDash1"/>
        <w:rPr>
          <w:noProof/>
        </w:rPr>
      </w:pPr>
      <w:r w:rsidRPr="008231CB">
        <w:rPr>
          <w:rFonts w:ascii="Wingdings" w:eastAsia="Wingdings" w:hAnsi="Wingdings" w:cs="Wingdings"/>
          <w:noProof/>
        </w:rPr>
        <w:t></w:t>
      </w:r>
      <w:r w:rsidRPr="008231CB">
        <w:rPr>
          <w:noProof/>
        </w:rPr>
        <w:tab/>
        <w:t>requires a revision of the MFF.</w:t>
      </w:r>
    </w:p>
    <w:p w14:paraId="60BA97A1"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8231CB">
        <w:rPr>
          <w:noProof/>
          <w:sz w:val="20"/>
        </w:rPr>
        <w:t>Explain what is required, specifying the headings and budget lines concerned and the corresponding amounts.</w:t>
      </w:r>
    </w:p>
    <w:p w14:paraId="7157D5D9" w14:textId="77777777" w:rsidR="00AB6191" w:rsidRPr="008231CB" w:rsidRDefault="00AB6191" w:rsidP="00AB6191">
      <w:pPr>
        <w:pStyle w:val="ManualHeading3"/>
        <w:rPr>
          <w:bCs/>
          <w:noProof/>
          <w:szCs w:val="24"/>
        </w:rPr>
      </w:pPr>
      <w:bookmarkStart w:id="158" w:name="_Toc514938058"/>
      <w:bookmarkStart w:id="159" w:name="_Toc520485056"/>
      <w:bookmarkStart w:id="160" w:name="_Toc126826618"/>
      <w:r w:rsidRPr="008231CB">
        <w:rPr>
          <w:noProof/>
        </w:rPr>
        <w:t>3.2.5.</w:t>
      </w:r>
      <w:r w:rsidRPr="008231CB">
        <w:rPr>
          <w:noProof/>
        </w:rPr>
        <w:tab/>
        <w:t>Third-party contributions</w:t>
      </w:r>
      <w:bookmarkEnd w:id="158"/>
      <w:bookmarkEnd w:id="159"/>
      <w:bookmarkEnd w:id="160"/>
      <w:r w:rsidRPr="008231CB">
        <w:rPr>
          <w:noProof/>
        </w:rPr>
        <w:t xml:space="preserve"> </w:t>
      </w:r>
    </w:p>
    <w:p w14:paraId="51B3E848" w14:textId="77777777" w:rsidR="00AB6191" w:rsidRPr="008231CB" w:rsidRDefault="00AB6191" w:rsidP="00AB6191">
      <w:pPr>
        <w:pStyle w:val="Text1"/>
        <w:rPr>
          <w:noProof/>
        </w:rPr>
      </w:pPr>
      <w:r w:rsidRPr="008231CB">
        <w:rPr>
          <w:noProof/>
        </w:rPr>
        <w:t>The proposal/initiative:</w:t>
      </w:r>
    </w:p>
    <w:p w14:paraId="7DE2F522" w14:textId="77777777" w:rsidR="00AB6191" w:rsidRPr="008231CB" w:rsidRDefault="00AB6191" w:rsidP="00AB6191">
      <w:pPr>
        <w:pStyle w:val="ListDash1"/>
        <w:rPr>
          <w:noProof/>
        </w:rPr>
      </w:pPr>
      <w:r>
        <w:rPr>
          <w:noProof/>
        </w:rPr>
        <w:t>X</w:t>
      </w:r>
      <w:r w:rsidRPr="008231CB">
        <w:rPr>
          <w:noProof/>
        </w:rPr>
        <w:tab/>
        <w:t>does not provide for co-financing by third parties</w:t>
      </w:r>
    </w:p>
    <w:p w14:paraId="06E31789" w14:textId="77777777" w:rsidR="00AB6191" w:rsidRPr="008231CB" w:rsidRDefault="00AB6191" w:rsidP="00AB6191">
      <w:pPr>
        <w:pStyle w:val="ListDash1"/>
        <w:rPr>
          <w:noProof/>
        </w:rPr>
      </w:pPr>
      <w:r w:rsidRPr="008231CB">
        <w:rPr>
          <w:rFonts w:ascii="Wingdings" w:eastAsia="Wingdings" w:hAnsi="Wingdings" w:cs="Wingdings"/>
          <w:noProof/>
        </w:rPr>
        <w:t></w:t>
      </w:r>
      <w:r w:rsidRPr="008231CB">
        <w:rPr>
          <w:noProof/>
        </w:rPr>
        <w:tab/>
        <w:t>provides for the co-financing by third parties estimated below:</w:t>
      </w:r>
    </w:p>
    <w:p w14:paraId="510A91C0" w14:textId="77777777" w:rsidR="00AB6191" w:rsidRPr="008231CB" w:rsidRDefault="00AB6191" w:rsidP="00AB6191">
      <w:pPr>
        <w:jc w:val="right"/>
        <w:rPr>
          <w:noProof/>
          <w:sz w:val="20"/>
        </w:rPr>
      </w:pPr>
      <w:r w:rsidRPr="008231CB">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B6191" w:rsidRPr="008231CB" w14:paraId="7B998E2C" w14:textId="77777777" w:rsidTr="00AB6191">
        <w:trPr>
          <w:cantSplit/>
        </w:trPr>
        <w:tc>
          <w:tcPr>
            <w:tcW w:w="2340" w:type="dxa"/>
          </w:tcPr>
          <w:p w14:paraId="1D864852" w14:textId="77777777" w:rsidR="00AB6191" w:rsidRPr="008231CB" w:rsidRDefault="00AB6191" w:rsidP="00AB6191">
            <w:pPr>
              <w:spacing w:before="60" w:after="60"/>
              <w:rPr>
                <w:noProof/>
                <w:sz w:val="20"/>
              </w:rPr>
            </w:pPr>
          </w:p>
        </w:tc>
        <w:tc>
          <w:tcPr>
            <w:tcW w:w="964" w:type="dxa"/>
            <w:vAlign w:val="center"/>
          </w:tcPr>
          <w:p w14:paraId="439135E6" w14:textId="77777777" w:rsidR="00AB6191" w:rsidRPr="008231CB" w:rsidRDefault="00AB6191" w:rsidP="00AB6191">
            <w:pPr>
              <w:jc w:val="center"/>
              <w:rPr>
                <w:noProof/>
                <w:sz w:val="20"/>
              </w:rPr>
            </w:pPr>
            <w:r>
              <w:rPr>
                <w:noProof/>
                <w:sz w:val="20"/>
              </w:rPr>
              <w:t>2025</w:t>
            </w:r>
          </w:p>
        </w:tc>
        <w:tc>
          <w:tcPr>
            <w:tcW w:w="964" w:type="dxa"/>
            <w:vAlign w:val="center"/>
          </w:tcPr>
          <w:p w14:paraId="34CD96AA" w14:textId="77777777" w:rsidR="00AB6191" w:rsidRPr="008231CB" w:rsidRDefault="00AB6191" w:rsidP="00AB6191">
            <w:pPr>
              <w:jc w:val="center"/>
              <w:rPr>
                <w:noProof/>
                <w:sz w:val="20"/>
              </w:rPr>
            </w:pPr>
            <w:r>
              <w:rPr>
                <w:noProof/>
                <w:sz w:val="20"/>
              </w:rPr>
              <w:t>2026</w:t>
            </w:r>
          </w:p>
        </w:tc>
        <w:tc>
          <w:tcPr>
            <w:tcW w:w="964" w:type="dxa"/>
            <w:vAlign w:val="center"/>
          </w:tcPr>
          <w:p w14:paraId="4E19D6FE" w14:textId="77777777" w:rsidR="00AB6191" w:rsidRPr="008231CB" w:rsidRDefault="00AB6191" w:rsidP="00AB6191">
            <w:pPr>
              <w:jc w:val="center"/>
              <w:rPr>
                <w:noProof/>
                <w:sz w:val="20"/>
              </w:rPr>
            </w:pPr>
            <w:r>
              <w:rPr>
                <w:noProof/>
                <w:sz w:val="20"/>
              </w:rPr>
              <w:t>2027</w:t>
            </w:r>
          </w:p>
        </w:tc>
        <w:tc>
          <w:tcPr>
            <w:tcW w:w="964" w:type="dxa"/>
            <w:vAlign w:val="center"/>
          </w:tcPr>
          <w:p w14:paraId="5059A2F1" w14:textId="77777777" w:rsidR="00AB6191" w:rsidRPr="008231CB" w:rsidRDefault="00AB6191" w:rsidP="00AB6191">
            <w:pPr>
              <w:jc w:val="center"/>
              <w:rPr>
                <w:noProof/>
                <w:sz w:val="20"/>
              </w:rPr>
            </w:pPr>
          </w:p>
        </w:tc>
        <w:tc>
          <w:tcPr>
            <w:tcW w:w="2892" w:type="dxa"/>
            <w:gridSpan w:val="3"/>
            <w:vAlign w:val="center"/>
          </w:tcPr>
          <w:p w14:paraId="19CCDB22" w14:textId="77777777" w:rsidR="00AB6191" w:rsidRPr="008231CB" w:rsidRDefault="00AB6191" w:rsidP="00AB6191">
            <w:pPr>
              <w:jc w:val="center"/>
              <w:rPr>
                <w:b/>
                <w:noProof/>
                <w:sz w:val="20"/>
              </w:rPr>
            </w:pPr>
            <w:r w:rsidRPr="008231CB">
              <w:rPr>
                <w:noProof/>
                <w:sz w:val="20"/>
              </w:rPr>
              <w:t>Enter as many years as necessary to show the duration of the impact (see point 1.6)</w:t>
            </w:r>
          </w:p>
        </w:tc>
        <w:tc>
          <w:tcPr>
            <w:tcW w:w="1158" w:type="dxa"/>
            <w:vAlign w:val="center"/>
          </w:tcPr>
          <w:p w14:paraId="62FF6A30" w14:textId="77777777" w:rsidR="00AB6191" w:rsidRPr="008231CB" w:rsidRDefault="00AB6191" w:rsidP="00AB6191">
            <w:pPr>
              <w:spacing w:before="60" w:after="60"/>
              <w:jc w:val="center"/>
              <w:rPr>
                <w:noProof/>
                <w:sz w:val="20"/>
              </w:rPr>
            </w:pPr>
            <w:r w:rsidRPr="008231CB">
              <w:rPr>
                <w:noProof/>
                <w:sz w:val="20"/>
              </w:rPr>
              <w:t>Total</w:t>
            </w:r>
          </w:p>
        </w:tc>
      </w:tr>
      <w:tr w:rsidR="00AB6191" w:rsidRPr="008231CB" w14:paraId="7A05797F" w14:textId="77777777" w:rsidTr="00AB6191">
        <w:trPr>
          <w:cantSplit/>
        </w:trPr>
        <w:tc>
          <w:tcPr>
            <w:tcW w:w="2340" w:type="dxa"/>
          </w:tcPr>
          <w:p w14:paraId="4CF02CEA" w14:textId="77777777" w:rsidR="00AB6191" w:rsidRPr="008231CB" w:rsidRDefault="00AB6191" w:rsidP="00AB6191">
            <w:pPr>
              <w:rPr>
                <w:noProof/>
              </w:rPr>
            </w:pPr>
            <w:r w:rsidRPr="008231CB">
              <w:rPr>
                <w:noProof/>
                <w:sz w:val="20"/>
              </w:rPr>
              <w:t>Specify the co-financing body</w:t>
            </w:r>
            <w:r w:rsidRPr="008231CB">
              <w:rPr>
                <w:i/>
                <w:noProof/>
                <w:sz w:val="20"/>
              </w:rPr>
              <w:t xml:space="preserve"> </w:t>
            </w:r>
          </w:p>
        </w:tc>
        <w:tc>
          <w:tcPr>
            <w:tcW w:w="964" w:type="dxa"/>
            <w:vAlign w:val="center"/>
          </w:tcPr>
          <w:p w14:paraId="34F7DB75" w14:textId="77777777" w:rsidR="00AB6191" w:rsidRPr="008231CB" w:rsidRDefault="00AB6191" w:rsidP="00AB6191">
            <w:pPr>
              <w:spacing w:before="60" w:after="60"/>
              <w:jc w:val="center"/>
              <w:rPr>
                <w:noProof/>
                <w:sz w:val="20"/>
              </w:rPr>
            </w:pPr>
          </w:p>
        </w:tc>
        <w:tc>
          <w:tcPr>
            <w:tcW w:w="964" w:type="dxa"/>
            <w:vAlign w:val="center"/>
          </w:tcPr>
          <w:p w14:paraId="23AAF82A" w14:textId="77777777" w:rsidR="00AB6191" w:rsidRPr="008231CB" w:rsidRDefault="00AB6191" w:rsidP="00AB6191">
            <w:pPr>
              <w:spacing w:before="60" w:after="60"/>
              <w:jc w:val="center"/>
              <w:rPr>
                <w:noProof/>
                <w:sz w:val="20"/>
              </w:rPr>
            </w:pPr>
          </w:p>
        </w:tc>
        <w:tc>
          <w:tcPr>
            <w:tcW w:w="964" w:type="dxa"/>
            <w:vAlign w:val="center"/>
          </w:tcPr>
          <w:p w14:paraId="70FF22DF" w14:textId="77777777" w:rsidR="00AB6191" w:rsidRPr="008231CB" w:rsidRDefault="00AB6191" w:rsidP="00AB6191">
            <w:pPr>
              <w:spacing w:before="60" w:after="60"/>
              <w:jc w:val="center"/>
              <w:rPr>
                <w:noProof/>
                <w:sz w:val="20"/>
              </w:rPr>
            </w:pPr>
          </w:p>
        </w:tc>
        <w:tc>
          <w:tcPr>
            <w:tcW w:w="964" w:type="dxa"/>
            <w:vAlign w:val="center"/>
          </w:tcPr>
          <w:p w14:paraId="06E9A706" w14:textId="77777777" w:rsidR="00AB6191" w:rsidRPr="008231CB" w:rsidRDefault="00AB6191" w:rsidP="00AB6191">
            <w:pPr>
              <w:spacing w:before="60" w:after="60"/>
              <w:jc w:val="center"/>
              <w:rPr>
                <w:noProof/>
                <w:sz w:val="20"/>
              </w:rPr>
            </w:pPr>
          </w:p>
        </w:tc>
        <w:tc>
          <w:tcPr>
            <w:tcW w:w="964" w:type="dxa"/>
            <w:vAlign w:val="center"/>
          </w:tcPr>
          <w:p w14:paraId="4CB934C5" w14:textId="77777777" w:rsidR="00AB6191" w:rsidRPr="008231CB" w:rsidRDefault="00AB6191" w:rsidP="00AB6191">
            <w:pPr>
              <w:spacing w:before="60" w:after="60"/>
              <w:jc w:val="center"/>
              <w:rPr>
                <w:noProof/>
                <w:sz w:val="20"/>
              </w:rPr>
            </w:pPr>
          </w:p>
        </w:tc>
        <w:tc>
          <w:tcPr>
            <w:tcW w:w="964" w:type="dxa"/>
            <w:vAlign w:val="center"/>
          </w:tcPr>
          <w:p w14:paraId="782A4E1E" w14:textId="77777777" w:rsidR="00AB6191" w:rsidRPr="008231CB" w:rsidRDefault="00AB6191" w:rsidP="00AB6191">
            <w:pPr>
              <w:spacing w:before="60" w:after="60"/>
              <w:jc w:val="center"/>
              <w:rPr>
                <w:noProof/>
                <w:sz w:val="20"/>
              </w:rPr>
            </w:pPr>
          </w:p>
        </w:tc>
        <w:tc>
          <w:tcPr>
            <w:tcW w:w="964" w:type="dxa"/>
            <w:vAlign w:val="center"/>
          </w:tcPr>
          <w:p w14:paraId="0A03CBF7" w14:textId="77777777" w:rsidR="00AB6191" w:rsidRPr="008231CB" w:rsidRDefault="00AB6191" w:rsidP="00AB6191">
            <w:pPr>
              <w:spacing w:before="60" w:after="60"/>
              <w:jc w:val="center"/>
              <w:rPr>
                <w:noProof/>
                <w:sz w:val="20"/>
              </w:rPr>
            </w:pPr>
          </w:p>
        </w:tc>
        <w:tc>
          <w:tcPr>
            <w:tcW w:w="1158" w:type="dxa"/>
            <w:vAlign w:val="center"/>
          </w:tcPr>
          <w:p w14:paraId="4EB467F8" w14:textId="77777777" w:rsidR="00AB6191" w:rsidRPr="008231CB" w:rsidRDefault="00AB6191" w:rsidP="00AB6191">
            <w:pPr>
              <w:spacing w:before="60" w:after="60"/>
              <w:jc w:val="center"/>
              <w:rPr>
                <w:noProof/>
                <w:sz w:val="20"/>
              </w:rPr>
            </w:pPr>
          </w:p>
        </w:tc>
      </w:tr>
      <w:tr w:rsidR="00AB6191" w:rsidRPr="008231CB" w14:paraId="401DD66F" w14:textId="77777777" w:rsidTr="00AB6191">
        <w:trPr>
          <w:cantSplit/>
        </w:trPr>
        <w:tc>
          <w:tcPr>
            <w:tcW w:w="2340" w:type="dxa"/>
          </w:tcPr>
          <w:p w14:paraId="3F12E643" w14:textId="77777777" w:rsidR="00AB6191" w:rsidRPr="008231CB" w:rsidRDefault="00AB6191" w:rsidP="00AB6191">
            <w:pPr>
              <w:spacing w:before="60" w:after="60"/>
              <w:jc w:val="left"/>
              <w:rPr>
                <w:noProof/>
                <w:sz w:val="20"/>
              </w:rPr>
            </w:pPr>
            <w:r w:rsidRPr="008231CB">
              <w:rPr>
                <w:noProof/>
                <w:sz w:val="20"/>
              </w:rPr>
              <w:t xml:space="preserve">TOTAL appropriations co-financed </w:t>
            </w:r>
          </w:p>
        </w:tc>
        <w:tc>
          <w:tcPr>
            <w:tcW w:w="964" w:type="dxa"/>
            <w:vAlign w:val="center"/>
          </w:tcPr>
          <w:p w14:paraId="53186C2F" w14:textId="77777777" w:rsidR="00AB6191" w:rsidRPr="008231CB" w:rsidRDefault="00AB6191" w:rsidP="00AB6191">
            <w:pPr>
              <w:spacing w:before="60" w:after="60"/>
              <w:jc w:val="center"/>
              <w:rPr>
                <w:noProof/>
                <w:sz w:val="20"/>
              </w:rPr>
            </w:pPr>
          </w:p>
        </w:tc>
        <w:tc>
          <w:tcPr>
            <w:tcW w:w="964" w:type="dxa"/>
            <w:vAlign w:val="center"/>
          </w:tcPr>
          <w:p w14:paraId="6AFB2ABA" w14:textId="77777777" w:rsidR="00AB6191" w:rsidRPr="008231CB" w:rsidRDefault="00AB6191" w:rsidP="00AB6191">
            <w:pPr>
              <w:spacing w:before="60" w:after="60"/>
              <w:jc w:val="center"/>
              <w:rPr>
                <w:noProof/>
                <w:sz w:val="20"/>
              </w:rPr>
            </w:pPr>
          </w:p>
        </w:tc>
        <w:tc>
          <w:tcPr>
            <w:tcW w:w="964" w:type="dxa"/>
            <w:vAlign w:val="center"/>
          </w:tcPr>
          <w:p w14:paraId="40A311BD" w14:textId="77777777" w:rsidR="00AB6191" w:rsidRPr="008231CB" w:rsidRDefault="00AB6191" w:rsidP="00AB6191">
            <w:pPr>
              <w:spacing w:before="60" w:after="60"/>
              <w:jc w:val="center"/>
              <w:rPr>
                <w:noProof/>
                <w:sz w:val="20"/>
              </w:rPr>
            </w:pPr>
          </w:p>
        </w:tc>
        <w:tc>
          <w:tcPr>
            <w:tcW w:w="964" w:type="dxa"/>
            <w:vAlign w:val="center"/>
          </w:tcPr>
          <w:p w14:paraId="4AEC565A" w14:textId="77777777" w:rsidR="00AB6191" w:rsidRPr="008231CB" w:rsidRDefault="00AB6191" w:rsidP="00AB6191">
            <w:pPr>
              <w:spacing w:before="60" w:after="60"/>
              <w:jc w:val="center"/>
              <w:rPr>
                <w:noProof/>
                <w:sz w:val="20"/>
              </w:rPr>
            </w:pPr>
          </w:p>
        </w:tc>
        <w:tc>
          <w:tcPr>
            <w:tcW w:w="964" w:type="dxa"/>
            <w:vAlign w:val="center"/>
          </w:tcPr>
          <w:p w14:paraId="67B99A9A" w14:textId="77777777" w:rsidR="00AB6191" w:rsidRPr="008231CB" w:rsidRDefault="00AB6191" w:rsidP="00AB6191">
            <w:pPr>
              <w:spacing w:before="60" w:after="60"/>
              <w:jc w:val="center"/>
              <w:rPr>
                <w:noProof/>
                <w:sz w:val="20"/>
              </w:rPr>
            </w:pPr>
          </w:p>
        </w:tc>
        <w:tc>
          <w:tcPr>
            <w:tcW w:w="964" w:type="dxa"/>
            <w:vAlign w:val="center"/>
          </w:tcPr>
          <w:p w14:paraId="566CF2F7" w14:textId="77777777" w:rsidR="00AB6191" w:rsidRPr="008231CB" w:rsidRDefault="00AB6191" w:rsidP="00AB6191">
            <w:pPr>
              <w:spacing w:before="60" w:after="60"/>
              <w:jc w:val="center"/>
              <w:rPr>
                <w:noProof/>
                <w:sz w:val="20"/>
              </w:rPr>
            </w:pPr>
          </w:p>
        </w:tc>
        <w:tc>
          <w:tcPr>
            <w:tcW w:w="964" w:type="dxa"/>
            <w:vAlign w:val="center"/>
          </w:tcPr>
          <w:p w14:paraId="2CB1D296" w14:textId="77777777" w:rsidR="00AB6191" w:rsidRPr="008231CB" w:rsidRDefault="00AB6191" w:rsidP="00AB6191">
            <w:pPr>
              <w:spacing w:before="60" w:after="60"/>
              <w:jc w:val="center"/>
              <w:rPr>
                <w:noProof/>
                <w:sz w:val="20"/>
              </w:rPr>
            </w:pPr>
          </w:p>
        </w:tc>
        <w:tc>
          <w:tcPr>
            <w:tcW w:w="1158" w:type="dxa"/>
            <w:vAlign w:val="center"/>
          </w:tcPr>
          <w:p w14:paraId="3CE88AB3" w14:textId="77777777" w:rsidR="00AB6191" w:rsidRPr="008231CB" w:rsidRDefault="00AB6191" w:rsidP="00AB6191">
            <w:pPr>
              <w:spacing w:before="60" w:after="60"/>
              <w:jc w:val="center"/>
              <w:rPr>
                <w:noProof/>
                <w:sz w:val="20"/>
              </w:rPr>
            </w:pPr>
          </w:p>
        </w:tc>
      </w:tr>
    </w:tbl>
    <w:p w14:paraId="53B83F42" w14:textId="77777777" w:rsidR="00AB6191" w:rsidRPr="008231CB" w:rsidRDefault="00AB6191" w:rsidP="00AB6191">
      <w:pPr>
        <w:rPr>
          <w:noProof/>
        </w:rPr>
      </w:pPr>
      <w:r w:rsidRPr="008231CB">
        <w:rPr>
          <w:noProof/>
        </w:rPr>
        <w:br/>
      </w:r>
    </w:p>
    <w:p w14:paraId="5E5FA622" w14:textId="77777777" w:rsidR="00AB6191" w:rsidRPr="008231CB" w:rsidRDefault="00AB6191" w:rsidP="00AB6191">
      <w:pPr>
        <w:pStyle w:val="ManualHeading2"/>
        <w:rPr>
          <w:bCs/>
          <w:noProof/>
          <w:szCs w:val="24"/>
        </w:rPr>
      </w:pPr>
      <w:r w:rsidRPr="008231CB">
        <w:rPr>
          <w:noProof/>
        </w:rPr>
        <w:br w:type="page"/>
      </w:r>
      <w:bookmarkStart w:id="161" w:name="_Toc514938059"/>
      <w:bookmarkStart w:id="162" w:name="_Toc520485057"/>
      <w:bookmarkStart w:id="163" w:name="_Toc126826619"/>
      <w:r w:rsidRPr="008231CB">
        <w:rPr>
          <w:noProof/>
        </w:rPr>
        <w:t>3.3.</w:t>
      </w:r>
      <w:r w:rsidRPr="008231CB">
        <w:rPr>
          <w:noProof/>
        </w:rPr>
        <w:tab/>
        <w:t>Estimated impact on revenue</w:t>
      </w:r>
      <w:bookmarkEnd w:id="161"/>
      <w:bookmarkEnd w:id="162"/>
      <w:bookmarkEnd w:id="163"/>
      <w:r w:rsidRPr="008231CB">
        <w:rPr>
          <w:noProof/>
        </w:rPr>
        <w:t xml:space="preserve"> </w:t>
      </w:r>
    </w:p>
    <w:p w14:paraId="16755A6B" w14:textId="77777777" w:rsidR="00AB6191" w:rsidRPr="008231CB" w:rsidRDefault="00AB6191" w:rsidP="00AB6191">
      <w:pPr>
        <w:pStyle w:val="ListDash1"/>
        <w:rPr>
          <w:noProof/>
        </w:rPr>
      </w:pPr>
      <w:r w:rsidRPr="008231CB">
        <w:rPr>
          <w:rFonts w:ascii="Segoe UI Symbol" w:hAnsi="Segoe UI Symbol" w:cs="Segoe UI Symbol"/>
          <w:noProof/>
          <w:color w:val="333333"/>
          <w:sz w:val="27"/>
          <w:szCs w:val="27"/>
          <w:shd w:val="clear" w:color="auto" w:fill="FFFFFF"/>
        </w:rPr>
        <w:t>☒</w:t>
      </w:r>
      <w:r w:rsidRPr="008231CB">
        <w:rPr>
          <w:noProof/>
        </w:rPr>
        <w:tab/>
        <w:t>The proposal/initiative has no financial impact on revenue.</w:t>
      </w:r>
    </w:p>
    <w:p w14:paraId="2F1A7C36" w14:textId="77777777" w:rsidR="00AB6191" w:rsidRPr="008231CB" w:rsidRDefault="00AB6191" w:rsidP="00AB6191">
      <w:pPr>
        <w:pStyle w:val="ListDash1"/>
        <w:rPr>
          <w:noProof/>
        </w:rPr>
      </w:pPr>
      <w:r w:rsidRPr="008231CB">
        <w:rPr>
          <w:rFonts w:ascii="Wingdings" w:eastAsia="Wingdings" w:hAnsi="Wingdings" w:cs="Wingdings"/>
          <w:noProof/>
        </w:rPr>
        <w:t></w:t>
      </w:r>
      <w:r w:rsidRPr="008231CB">
        <w:rPr>
          <w:noProof/>
        </w:rPr>
        <w:tab/>
        <w:t>The proposal/initiative has the following financial impact:</w:t>
      </w:r>
    </w:p>
    <w:p w14:paraId="261BE615" w14:textId="77777777" w:rsidR="00AB6191" w:rsidRPr="008231CB" w:rsidRDefault="00AB6191" w:rsidP="00AB6191">
      <w:pPr>
        <w:pStyle w:val="ListNumberLevel3"/>
        <w:tabs>
          <w:tab w:val="clear" w:pos="2126"/>
          <w:tab w:val="num" w:pos="1843"/>
        </w:tabs>
        <w:rPr>
          <w:noProof/>
        </w:rPr>
      </w:pPr>
      <w:r w:rsidRPr="008231CB">
        <w:rPr>
          <w:rFonts w:ascii="Wingdings" w:eastAsia="Wingdings" w:hAnsi="Wingdings" w:cs="Wingdings"/>
          <w:noProof/>
        </w:rPr>
        <w:t></w:t>
      </w:r>
      <w:r w:rsidRPr="008231CB">
        <w:rPr>
          <w:noProof/>
        </w:rPr>
        <w:tab/>
        <w:t xml:space="preserve">on own resources </w:t>
      </w:r>
    </w:p>
    <w:p w14:paraId="17566B87" w14:textId="77777777" w:rsidR="00AB6191" w:rsidRPr="008231CB" w:rsidRDefault="00AB6191" w:rsidP="00AB6191">
      <w:pPr>
        <w:pStyle w:val="ListNumberLevel3"/>
        <w:tabs>
          <w:tab w:val="clear" w:pos="2126"/>
          <w:tab w:val="num" w:pos="1843"/>
        </w:tabs>
        <w:rPr>
          <w:noProof/>
        </w:rPr>
      </w:pPr>
      <w:r w:rsidRPr="008231CB">
        <w:rPr>
          <w:rFonts w:ascii="Wingdings" w:eastAsia="Wingdings" w:hAnsi="Wingdings" w:cs="Wingdings"/>
          <w:noProof/>
        </w:rPr>
        <w:t></w:t>
      </w:r>
      <w:r w:rsidRPr="008231CB">
        <w:rPr>
          <w:noProof/>
        </w:rPr>
        <w:tab/>
        <w:t>on other revenue</w:t>
      </w:r>
    </w:p>
    <w:p w14:paraId="6967E0D9" w14:textId="77777777" w:rsidR="00AB6191" w:rsidRPr="008231CB" w:rsidRDefault="00AB6191" w:rsidP="00AB6191">
      <w:pPr>
        <w:pStyle w:val="ListNumberLevel3"/>
        <w:rPr>
          <w:noProof/>
        </w:rPr>
      </w:pPr>
      <w:r w:rsidRPr="008231CB">
        <w:rPr>
          <w:noProof/>
        </w:rPr>
        <w:t xml:space="preserve">please indicate, if the revenue is assigned to expenditure lines </w:t>
      </w:r>
      <w:r w:rsidRPr="008231CB">
        <w:rPr>
          <w:rFonts w:ascii="Wingdings" w:eastAsia="Wingdings" w:hAnsi="Wingdings" w:cs="Wingdings"/>
          <w:noProof/>
        </w:rPr>
        <w:t></w:t>
      </w:r>
      <w:r w:rsidRPr="008231CB">
        <w:rPr>
          <w:noProof/>
        </w:rPr>
        <w:tab/>
      </w:r>
    </w:p>
    <w:p w14:paraId="5129D79F" w14:textId="77777777" w:rsidR="00AB6191" w:rsidRPr="008231CB" w:rsidRDefault="00AB6191" w:rsidP="00AB6191">
      <w:pPr>
        <w:ind w:left="4320"/>
        <w:rPr>
          <w:i/>
          <w:noProof/>
          <w:sz w:val="20"/>
        </w:rPr>
      </w:pPr>
      <w:r w:rsidRPr="008231CB">
        <w:rPr>
          <w:noProof/>
        </w:rPr>
        <w:t xml:space="preserve">     EUR million (to three decimal places)</w:t>
      </w:r>
    </w:p>
    <w:tbl>
      <w:tblPr>
        <w:tblW w:w="1062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AB6191" w:rsidRPr="008231CB" w14:paraId="19D85313" w14:textId="77777777" w:rsidTr="0078522B">
        <w:trPr>
          <w:trHeight w:val="388"/>
        </w:trPr>
        <w:tc>
          <w:tcPr>
            <w:tcW w:w="2144" w:type="dxa"/>
            <w:vMerge w:val="restart"/>
            <w:vAlign w:val="center"/>
          </w:tcPr>
          <w:p w14:paraId="4D41D317" w14:textId="77777777" w:rsidR="00AB6191" w:rsidRPr="008231CB" w:rsidRDefault="00AB6191" w:rsidP="00AB6191">
            <w:pPr>
              <w:spacing w:before="40" w:after="40"/>
              <w:rPr>
                <w:noProof/>
                <w:sz w:val="18"/>
              </w:rPr>
            </w:pPr>
            <w:r w:rsidRPr="008231CB">
              <w:rPr>
                <w:noProof/>
                <w:sz w:val="18"/>
              </w:rPr>
              <w:t>Budget revenue line:</w:t>
            </w:r>
          </w:p>
        </w:tc>
        <w:tc>
          <w:tcPr>
            <w:tcW w:w="1325" w:type="dxa"/>
            <w:vMerge w:val="restart"/>
            <w:vAlign w:val="center"/>
          </w:tcPr>
          <w:p w14:paraId="714BFB82" w14:textId="77777777" w:rsidR="00AB6191" w:rsidRPr="008231CB" w:rsidRDefault="00AB6191" w:rsidP="00AB6191">
            <w:pPr>
              <w:jc w:val="center"/>
              <w:rPr>
                <w:noProof/>
                <w:sz w:val="18"/>
              </w:rPr>
            </w:pPr>
            <w:r w:rsidRPr="008231CB">
              <w:rPr>
                <w:noProof/>
                <w:sz w:val="18"/>
              </w:rPr>
              <w:t>Appropriations available for the current financial year</w:t>
            </w:r>
          </w:p>
        </w:tc>
        <w:tc>
          <w:tcPr>
            <w:tcW w:w="7151" w:type="dxa"/>
            <w:gridSpan w:val="7"/>
            <w:vAlign w:val="center"/>
          </w:tcPr>
          <w:p w14:paraId="0AFCA87C" w14:textId="77777777" w:rsidR="00AB6191" w:rsidRPr="008231CB" w:rsidRDefault="00AB6191" w:rsidP="00AB6191">
            <w:pPr>
              <w:jc w:val="center"/>
              <w:rPr>
                <w:noProof/>
                <w:sz w:val="18"/>
              </w:rPr>
            </w:pPr>
            <w:r w:rsidRPr="008231CB">
              <w:rPr>
                <w:noProof/>
                <w:sz w:val="18"/>
              </w:rPr>
              <w:t>Impact of the proposal/initiative</w:t>
            </w:r>
            <w:r w:rsidRPr="00EC6C35">
              <w:rPr>
                <w:rStyle w:val="FootnoteReference"/>
                <w:noProof/>
              </w:rPr>
              <w:footnoteReference w:id="83"/>
            </w:r>
          </w:p>
        </w:tc>
      </w:tr>
      <w:tr w:rsidR="00AB6191" w:rsidRPr="008231CB" w14:paraId="2B3F4E07" w14:textId="77777777" w:rsidTr="0078522B">
        <w:trPr>
          <w:trHeight w:val="388"/>
        </w:trPr>
        <w:tc>
          <w:tcPr>
            <w:tcW w:w="2144" w:type="dxa"/>
            <w:vMerge/>
          </w:tcPr>
          <w:p w14:paraId="1AF7B1F5" w14:textId="77777777" w:rsidR="00AB6191" w:rsidRPr="008231CB" w:rsidRDefault="00AB6191" w:rsidP="00AB6191">
            <w:pPr>
              <w:spacing w:before="40" w:after="40"/>
              <w:rPr>
                <w:noProof/>
                <w:sz w:val="18"/>
              </w:rPr>
            </w:pPr>
          </w:p>
        </w:tc>
        <w:tc>
          <w:tcPr>
            <w:tcW w:w="1325" w:type="dxa"/>
            <w:vMerge/>
          </w:tcPr>
          <w:p w14:paraId="2B72C45E" w14:textId="77777777" w:rsidR="00AB6191" w:rsidRPr="008231CB" w:rsidRDefault="00AB6191" w:rsidP="00AB6191">
            <w:pPr>
              <w:spacing w:beforeLines="40" w:before="96" w:afterLines="40" w:after="96"/>
              <w:rPr>
                <w:i/>
                <w:noProof/>
                <w:sz w:val="18"/>
              </w:rPr>
            </w:pPr>
          </w:p>
        </w:tc>
        <w:tc>
          <w:tcPr>
            <w:tcW w:w="1031" w:type="dxa"/>
            <w:vAlign w:val="center"/>
          </w:tcPr>
          <w:p w14:paraId="6CE4251C" w14:textId="77777777" w:rsidR="00AB6191" w:rsidRPr="008231CB" w:rsidRDefault="00AB6191" w:rsidP="00AB6191">
            <w:pPr>
              <w:jc w:val="center"/>
              <w:rPr>
                <w:noProof/>
                <w:sz w:val="18"/>
              </w:rPr>
            </w:pPr>
            <w:r>
              <w:rPr>
                <w:noProof/>
                <w:sz w:val="18"/>
              </w:rPr>
              <w:t>2025</w:t>
            </w:r>
          </w:p>
        </w:tc>
        <w:tc>
          <w:tcPr>
            <w:tcW w:w="900" w:type="dxa"/>
            <w:vAlign w:val="center"/>
          </w:tcPr>
          <w:p w14:paraId="077090A5" w14:textId="77777777" w:rsidR="00AB6191" w:rsidRPr="008231CB" w:rsidRDefault="00AB6191" w:rsidP="00AB6191">
            <w:pPr>
              <w:jc w:val="center"/>
              <w:rPr>
                <w:noProof/>
                <w:sz w:val="18"/>
              </w:rPr>
            </w:pPr>
            <w:r>
              <w:rPr>
                <w:noProof/>
                <w:sz w:val="18"/>
              </w:rPr>
              <w:t>2026</w:t>
            </w:r>
          </w:p>
        </w:tc>
        <w:tc>
          <w:tcPr>
            <w:tcW w:w="900" w:type="dxa"/>
            <w:vAlign w:val="center"/>
          </w:tcPr>
          <w:p w14:paraId="0469CBF5" w14:textId="77777777" w:rsidR="00AB6191" w:rsidRPr="008231CB" w:rsidRDefault="00AB6191" w:rsidP="00AB6191">
            <w:pPr>
              <w:jc w:val="center"/>
              <w:rPr>
                <w:noProof/>
                <w:sz w:val="18"/>
              </w:rPr>
            </w:pPr>
            <w:r>
              <w:rPr>
                <w:noProof/>
                <w:sz w:val="18"/>
              </w:rPr>
              <w:t>2027</w:t>
            </w:r>
          </w:p>
        </w:tc>
        <w:tc>
          <w:tcPr>
            <w:tcW w:w="1080" w:type="dxa"/>
            <w:vAlign w:val="center"/>
          </w:tcPr>
          <w:p w14:paraId="69C22A74" w14:textId="77777777" w:rsidR="00AB6191" w:rsidRPr="008231CB" w:rsidRDefault="00AB6191" w:rsidP="00AB6191">
            <w:pPr>
              <w:jc w:val="center"/>
              <w:rPr>
                <w:noProof/>
                <w:sz w:val="18"/>
              </w:rPr>
            </w:pPr>
          </w:p>
        </w:tc>
        <w:tc>
          <w:tcPr>
            <w:tcW w:w="3240" w:type="dxa"/>
            <w:gridSpan w:val="3"/>
            <w:vAlign w:val="center"/>
          </w:tcPr>
          <w:p w14:paraId="58E383AC" w14:textId="77777777" w:rsidR="00AB6191" w:rsidRPr="008231CB" w:rsidRDefault="00AB6191" w:rsidP="00AB6191">
            <w:pPr>
              <w:jc w:val="center"/>
              <w:rPr>
                <w:b/>
                <w:noProof/>
                <w:sz w:val="18"/>
              </w:rPr>
            </w:pPr>
            <w:r w:rsidRPr="008231CB">
              <w:rPr>
                <w:noProof/>
                <w:sz w:val="18"/>
              </w:rPr>
              <w:t>Enter as many years as necessary to show the duration of the impact (see point 1.6)</w:t>
            </w:r>
          </w:p>
        </w:tc>
      </w:tr>
      <w:tr w:rsidR="00AB6191" w:rsidRPr="008231CB" w14:paraId="3FEFA38E" w14:textId="77777777" w:rsidTr="0078522B">
        <w:trPr>
          <w:trHeight w:val="388"/>
        </w:trPr>
        <w:tc>
          <w:tcPr>
            <w:tcW w:w="2144" w:type="dxa"/>
            <w:vAlign w:val="center"/>
          </w:tcPr>
          <w:p w14:paraId="36A135A4" w14:textId="77777777" w:rsidR="00AB6191" w:rsidRPr="008231CB" w:rsidRDefault="00AB6191" w:rsidP="00AB6191">
            <w:pPr>
              <w:spacing w:before="40" w:after="40"/>
              <w:rPr>
                <w:noProof/>
                <w:sz w:val="18"/>
              </w:rPr>
            </w:pPr>
            <w:r w:rsidRPr="008231CB">
              <w:rPr>
                <w:noProof/>
                <w:sz w:val="18"/>
              </w:rPr>
              <w:t>Article ………….</w:t>
            </w:r>
          </w:p>
        </w:tc>
        <w:tc>
          <w:tcPr>
            <w:tcW w:w="1325" w:type="dxa"/>
          </w:tcPr>
          <w:p w14:paraId="619398E9" w14:textId="77777777" w:rsidR="00AB6191" w:rsidRPr="008231CB" w:rsidRDefault="00AB6191" w:rsidP="00AB6191">
            <w:pPr>
              <w:spacing w:beforeLines="40" w:before="96" w:afterLines="40" w:after="96"/>
              <w:jc w:val="center"/>
              <w:rPr>
                <w:i/>
                <w:noProof/>
                <w:sz w:val="18"/>
              </w:rPr>
            </w:pPr>
          </w:p>
        </w:tc>
        <w:tc>
          <w:tcPr>
            <w:tcW w:w="1031" w:type="dxa"/>
          </w:tcPr>
          <w:p w14:paraId="765E15A8" w14:textId="77777777" w:rsidR="00AB6191" w:rsidRPr="008231CB" w:rsidRDefault="00AB6191" w:rsidP="00AB6191">
            <w:pPr>
              <w:spacing w:beforeLines="40" w:before="96" w:afterLines="40" w:after="96"/>
              <w:jc w:val="center"/>
              <w:rPr>
                <w:noProof/>
                <w:sz w:val="18"/>
              </w:rPr>
            </w:pPr>
          </w:p>
        </w:tc>
        <w:tc>
          <w:tcPr>
            <w:tcW w:w="900" w:type="dxa"/>
          </w:tcPr>
          <w:p w14:paraId="1271C745" w14:textId="77777777" w:rsidR="00AB6191" w:rsidRPr="008231CB" w:rsidRDefault="00AB6191" w:rsidP="00AB6191">
            <w:pPr>
              <w:spacing w:beforeLines="40" w:before="96" w:afterLines="40" w:after="96"/>
              <w:jc w:val="center"/>
              <w:rPr>
                <w:noProof/>
                <w:sz w:val="18"/>
              </w:rPr>
            </w:pPr>
          </w:p>
        </w:tc>
        <w:tc>
          <w:tcPr>
            <w:tcW w:w="900" w:type="dxa"/>
          </w:tcPr>
          <w:p w14:paraId="31F651A6" w14:textId="77777777" w:rsidR="00AB6191" w:rsidRPr="008231CB" w:rsidRDefault="00AB6191" w:rsidP="00AB6191">
            <w:pPr>
              <w:spacing w:beforeLines="40" w:before="96" w:afterLines="40" w:after="96"/>
              <w:jc w:val="center"/>
              <w:rPr>
                <w:noProof/>
                <w:sz w:val="18"/>
              </w:rPr>
            </w:pPr>
          </w:p>
        </w:tc>
        <w:tc>
          <w:tcPr>
            <w:tcW w:w="1080" w:type="dxa"/>
          </w:tcPr>
          <w:p w14:paraId="51A70DE4" w14:textId="77777777" w:rsidR="00AB6191" w:rsidRPr="008231CB" w:rsidRDefault="00AB6191" w:rsidP="00AB6191">
            <w:pPr>
              <w:spacing w:beforeLines="40" w:before="96" w:afterLines="40" w:after="96"/>
              <w:jc w:val="center"/>
              <w:rPr>
                <w:noProof/>
                <w:sz w:val="18"/>
              </w:rPr>
            </w:pPr>
          </w:p>
        </w:tc>
        <w:tc>
          <w:tcPr>
            <w:tcW w:w="1080" w:type="dxa"/>
          </w:tcPr>
          <w:p w14:paraId="10CCD3B3" w14:textId="77777777" w:rsidR="00AB6191" w:rsidRPr="008231CB" w:rsidRDefault="00AB6191" w:rsidP="00AB6191">
            <w:pPr>
              <w:spacing w:beforeLines="40" w:before="96" w:afterLines="40" w:after="96"/>
              <w:jc w:val="center"/>
              <w:rPr>
                <w:noProof/>
                <w:sz w:val="18"/>
              </w:rPr>
            </w:pPr>
          </w:p>
        </w:tc>
        <w:tc>
          <w:tcPr>
            <w:tcW w:w="1080" w:type="dxa"/>
          </w:tcPr>
          <w:p w14:paraId="1CE234C6" w14:textId="77777777" w:rsidR="00AB6191" w:rsidRPr="008231CB" w:rsidRDefault="00AB6191" w:rsidP="00AB6191">
            <w:pPr>
              <w:spacing w:beforeLines="40" w:before="96" w:afterLines="40" w:after="96"/>
              <w:jc w:val="center"/>
              <w:rPr>
                <w:noProof/>
                <w:sz w:val="18"/>
              </w:rPr>
            </w:pPr>
          </w:p>
        </w:tc>
        <w:tc>
          <w:tcPr>
            <w:tcW w:w="1080" w:type="dxa"/>
          </w:tcPr>
          <w:p w14:paraId="2D0F52FE" w14:textId="77777777" w:rsidR="00AB6191" w:rsidRPr="008231CB" w:rsidRDefault="00AB6191" w:rsidP="00AB6191">
            <w:pPr>
              <w:spacing w:beforeLines="40" w:before="96" w:afterLines="40" w:after="96"/>
              <w:jc w:val="center"/>
              <w:rPr>
                <w:noProof/>
                <w:sz w:val="18"/>
              </w:rPr>
            </w:pPr>
          </w:p>
        </w:tc>
      </w:tr>
    </w:tbl>
    <w:p w14:paraId="67624AC9" w14:textId="77777777" w:rsidR="00AB6191" w:rsidRPr="008231CB" w:rsidRDefault="00AB6191" w:rsidP="00AB6191">
      <w:pPr>
        <w:pStyle w:val="Text1"/>
        <w:rPr>
          <w:noProof/>
          <w:sz w:val="20"/>
        </w:rPr>
      </w:pPr>
      <w:r w:rsidRPr="008231CB">
        <w:rPr>
          <w:noProof/>
          <w:sz w:val="20"/>
        </w:rPr>
        <w:t>For assigned revenue, specify the budget expenditure line(s) affected.</w:t>
      </w:r>
    </w:p>
    <w:p w14:paraId="40DBF6CF"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p>
    <w:p w14:paraId="51982B5B" w14:textId="77777777" w:rsidR="00AB6191" w:rsidRPr="008231CB" w:rsidRDefault="00AB6191" w:rsidP="00AB6191">
      <w:pPr>
        <w:pStyle w:val="Text1"/>
        <w:rPr>
          <w:noProof/>
          <w:sz w:val="20"/>
        </w:rPr>
      </w:pPr>
      <w:r w:rsidRPr="008231CB">
        <w:rPr>
          <w:noProof/>
          <w:sz w:val="20"/>
        </w:rPr>
        <w:t>Other remarks (e.g. method/formula used for calculating the impact on revenue or any other information).</w:t>
      </w:r>
    </w:p>
    <w:p w14:paraId="55C418D3" w14:textId="77777777" w:rsidR="00AB6191" w:rsidRPr="008231CB" w:rsidRDefault="00AB6191" w:rsidP="00AB6191">
      <w:pPr>
        <w:pStyle w:val="Text1"/>
        <w:pBdr>
          <w:top w:val="single" w:sz="4" w:space="1" w:color="auto"/>
          <w:left w:val="single" w:sz="4" w:space="4" w:color="auto"/>
          <w:bottom w:val="single" w:sz="4" w:space="1" w:color="auto"/>
          <w:right w:val="single" w:sz="4" w:space="4" w:color="auto"/>
        </w:pBdr>
        <w:rPr>
          <w:noProof/>
        </w:rPr>
      </w:pPr>
    </w:p>
    <w:p w14:paraId="5EF93D87" w14:textId="77777777" w:rsidR="00AB6191" w:rsidRPr="008231CB" w:rsidRDefault="00AB6191" w:rsidP="00AB6191">
      <w:pPr>
        <w:rPr>
          <w:noProof/>
        </w:rPr>
      </w:pPr>
    </w:p>
    <w:p w14:paraId="1ABA4CF2" w14:textId="77777777" w:rsidR="00836BD4" w:rsidRDefault="00836BD4" w:rsidP="00AB6191">
      <w:pPr>
        <w:keepNext/>
        <w:tabs>
          <w:tab w:val="left" w:pos="850"/>
        </w:tabs>
        <w:spacing w:before="360"/>
        <w:ind w:left="850" w:hanging="850"/>
        <w:outlineLvl w:val="0"/>
        <w:rPr>
          <w:noProof/>
        </w:rPr>
      </w:pPr>
    </w:p>
    <w:sectPr w:rsidR="00836BD4" w:rsidSect="00B21379">
      <w:headerReference w:type="default" r:id="rId18"/>
      <w:footerReference w:type="default" r:id="rId19"/>
      <w:headerReference w:type="first" r:id="rId20"/>
      <w:footerReference w:type="first" r:id="rId21"/>
      <w:footnotePr>
        <w:numRestart w:val="eachSect"/>
      </w:footnotePr>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46AF3" w14:textId="77777777" w:rsidR="0094103F" w:rsidRDefault="0094103F" w:rsidP="00573A63">
      <w:pPr>
        <w:spacing w:before="0" w:after="0"/>
      </w:pPr>
      <w:r>
        <w:separator/>
      </w:r>
    </w:p>
  </w:endnote>
  <w:endnote w:type="continuationSeparator" w:id="0">
    <w:p w14:paraId="1B692287" w14:textId="77777777" w:rsidR="0094103F" w:rsidRDefault="0094103F" w:rsidP="00573A63">
      <w:pPr>
        <w:spacing w:before="0" w:after="0"/>
      </w:pPr>
      <w:r>
        <w:continuationSeparator/>
      </w:r>
    </w:p>
  </w:endnote>
  <w:endnote w:type="continuationNotice" w:id="1">
    <w:p w14:paraId="5A3671D1" w14:textId="77777777" w:rsidR="0094103F" w:rsidRDefault="009410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C576" w14:textId="77777777" w:rsidR="00B21379" w:rsidRPr="00B21379" w:rsidRDefault="00B21379" w:rsidP="00B2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017C" w14:textId="313C398C" w:rsidR="0094103F" w:rsidRPr="00B21379" w:rsidRDefault="00B21379" w:rsidP="00B21379">
    <w:pPr>
      <w:pStyle w:val="Footer"/>
      <w:rPr>
        <w:rFonts w:ascii="Arial" w:hAnsi="Arial" w:cs="Arial"/>
        <w:b/>
        <w:sz w:val="48"/>
      </w:rPr>
    </w:pPr>
    <w:r w:rsidRPr="00B21379">
      <w:rPr>
        <w:rFonts w:ascii="Arial" w:hAnsi="Arial" w:cs="Arial"/>
        <w:b/>
        <w:sz w:val="48"/>
      </w:rPr>
      <w:t>EN</w:t>
    </w:r>
    <w:r w:rsidRPr="00B21379">
      <w:rPr>
        <w:rFonts w:ascii="Arial" w:hAnsi="Arial" w:cs="Arial"/>
        <w:b/>
        <w:sz w:val="48"/>
      </w:rPr>
      <w:tab/>
    </w:r>
    <w:r w:rsidRPr="00B21379">
      <w:rPr>
        <w:rFonts w:ascii="Arial" w:hAnsi="Arial" w:cs="Arial"/>
        <w:b/>
        <w:sz w:val="48"/>
      </w:rPr>
      <w:tab/>
    </w:r>
    <w:r w:rsidRPr="00B21379">
      <w:tab/>
    </w:r>
    <w:r w:rsidRPr="00B2137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EC2F5" w14:textId="77777777" w:rsidR="00B21379" w:rsidRPr="00B21379" w:rsidRDefault="00B21379" w:rsidP="00B213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01F6" w14:textId="20E0A77B" w:rsidR="00CC2BD8" w:rsidRPr="00B21379" w:rsidRDefault="00B21379" w:rsidP="00B21379">
    <w:pPr>
      <w:pStyle w:val="Footer"/>
      <w:rPr>
        <w:rFonts w:ascii="Arial" w:hAnsi="Arial" w:cs="Arial"/>
        <w:b/>
        <w:sz w:val="48"/>
      </w:rPr>
    </w:pPr>
    <w:r w:rsidRPr="00B21379">
      <w:rPr>
        <w:rFonts w:ascii="Arial" w:hAnsi="Arial" w:cs="Arial"/>
        <w:b/>
        <w:sz w:val="48"/>
      </w:rPr>
      <w:t>EN</w:t>
    </w:r>
    <w:r w:rsidRPr="00B21379">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rsidRPr="00B21379">
      <w:tab/>
    </w:r>
    <w:r w:rsidRPr="00B2137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D64F" w14:textId="77777777" w:rsidR="00B21379" w:rsidRPr="00B21379" w:rsidRDefault="00B21379" w:rsidP="00B213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F632" w14:textId="672D5553" w:rsidR="00B21379" w:rsidRPr="00B21379" w:rsidRDefault="00B21379" w:rsidP="00B21379">
    <w:pPr>
      <w:pStyle w:val="FooterLandscape"/>
      <w:rPr>
        <w:rFonts w:ascii="Arial" w:hAnsi="Arial" w:cs="Arial"/>
        <w:b/>
        <w:sz w:val="48"/>
      </w:rPr>
    </w:pPr>
    <w:r w:rsidRPr="00B21379">
      <w:rPr>
        <w:rFonts w:ascii="Arial" w:hAnsi="Arial" w:cs="Arial"/>
        <w:b/>
        <w:sz w:val="48"/>
      </w:rPr>
      <w:t>EN</w:t>
    </w:r>
    <w:r w:rsidRPr="00B21379">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B21379">
      <w:tab/>
    </w:r>
    <w:r w:rsidRPr="00B21379">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8197" w14:textId="77777777" w:rsidR="00B21379" w:rsidRPr="00B21379" w:rsidRDefault="00B21379" w:rsidP="00B21379">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F9EC" w14:textId="77777777" w:rsidR="0094103F" w:rsidRDefault="0094103F" w:rsidP="00573A63">
      <w:pPr>
        <w:spacing w:before="0" w:after="0"/>
      </w:pPr>
      <w:r>
        <w:separator/>
      </w:r>
    </w:p>
  </w:footnote>
  <w:footnote w:type="continuationSeparator" w:id="0">
    <w:p w14:paraId="07AF7315" w14:textId="77777777" w:rsidR="0094103F" w:rsidRDefault="0094103F" w:rsidP="00573A63">
      <w:pPr>
        <w:spacing w:before="0" w:after="0"/>
      </w:pPr>
      <w:r>
        <w:continuationSeparator/>
      </w:r>
    </w:p>
  </w:footnote>
  <w:footnote w:type="continuationNotice" w:id="1">
    <w:p w14:paraId="2732832C" w14:textId="77777777" w:rsidR="0094103F" w:rsidRDefault="0094103F">
      <w:pPr>
        <w:spacing w:before="0" w:after="0"/>
      </w:pPr>
    </w:p>
  </w:footnote>
  <w:footnote w:id="2">
    <w:p w14:paraId="5FF84062" w14:textId="77777777" w:rsidR="0094103F" w:rsidRPr="005D20D4" w:rsidRDefault="0094103F" w:rsidP="00AD4379">
      <w:pPr>
        <w:pStyle w:val="FootnoteText"/>
        <w:rPr>
          <w:lang w:val="en-US"/>
        </w:rPr>
      </w:pPr>
      <w:r w:rsidRPr="00EC6C35">
        <w:rPr>
          <w:rStyle w:val="FootnoteReference"/>
        </w:rPr>
        <w:footnoteRef/>
      </w:r>
      <w:r>
        <w:rPr>
          <w:lang w:val="en-US"/>
        </w:rPr>
        <w:tab/>
      </w:r>
      <w:r w:rsidRPr="002F5375">
        <w:rPr>
          <w:shd w:val="clear" w:color="auto" w:fill="FFFFFF"/>
          <w:lang w:val="en-US"/>
        </w:rPr>
        <w:t>COM(2021) 118 final</w:t>
      </w:r>
      <w:r w:rsidRPr="005D20D4">
        <w:rPr>
          <w:color w:val="333333"/>
          <w:shd w:val="clear" w:color="auto" w:fill="FFFFFF"/>
          <w:lang w:val="en-US"/>
        </w:rPr>
        <w:t xml:space="preserve">. </w:t>
      </w:r>
    </w:p>
  </w:footnote>
  <w:footnote w:id="3">
    <w:p w14:paraId="51CAE191" w14:textId="77777777" w:rsidR="0094103F" w:rsidRDefault="0094103F" w:rsidP="00304A64">
      <w:pPr>
        <w:pStyle w:val="FootnoteText"/>
      </w:pPr>
      <w:r w:rsidRPr="00EC6C35">
        <w:rPr>
          <w:rStyle w:val="FootnoteReference"/>
        </w:rPr>
        <w:footnoteRef/>
      </w:r>
      <w:r>
        <w:rPr>
          <w:lang w:val="en-US"/>
        </w:rPr>
        <w:tab/>
      </w:r>
      <w:r w:rsidRPr="4FD204E9">
        <w:rPr>
          <w:lang w:val="en-US"/>
        </w:rPr>
        <w:t xml:space="preserve">COM(2021) </w:t>
      </w:r>
      <w:r>
        <w:t xml:space="preserve">350 final. </w:t>
      </w:r>
    </w:p>
  </w:footnote>
  <w:footnote w:id="4">
    <w:p w14:paraId="6F3C5C14" w14:textId="77777777" w:rsidR="0094103F" w:rsidRDefault="0094103F" w:rsidP="00304A64">
      <w:pPr>
        <w:pStyle w:val="FootnoteText"/>
        <w:rPr>
          <w:lang w:val="en-US"/>
        </w:rPr>
      </w:pPr>
      <w:r w:rsidRPr="00EC6C35">
        <w:rPr>
          <w:rStyle w:val="FootnoteReference"/>
        </w:rPr>
        <w:footnoteRef/>
      </w:r>
      <w:r>
        <w:tab/>
        <w:t xml:space="preserve">COM (2020) 103 final. </w:t>
      </w:r>
    </w:p>
  </w:footnote>
  <w:footnote w:id="5">
    <w:p w14:paraId="79A55463" w14:textId="77777777" w:rsidR="0094103F" w:rsidRPr="00A30433" w:rsidRDefault="0094103F">
      <w:pPr>
        <w:pStyle w:val="FootnoteText"/>
        <w:rPr>
          <w:lang w:val="en-IE"/>
        </w:rPr>
      </w:pPr>
      <w:r w:rsidRPr="00EC6C35">
        <w:rPr>
          <w:rStyle w:val="FootnoteReference"/>
        </w:rPr>
        <w:footnoteRef/>
      </w:r>
      <w:r>
        <w:tab/>
      </w:r>
      <w:hyperlink r:id="rId1" w:history="1">
        <w:r w:rsidRPr="006B46D5">
          <w:rPr>
            <w:rStyle w:val="Hyperlink"/>
          </w:rPr>
          <w:t>Business registers – search for a company in the EU</w:t>
        </w:r>
      </w:hyperlink>
    </w:p>
  </w:footnote>
  <w:footnote w:id="6">
    <w:p w14:paraId="56A3542C" w14:textId="77777777" w:rsidR="0094103F" w:rsidRPr="00FE462E" w:rsidRDefault="0094103F" w:rsidP="009E325B">
      <w:pPr>
        <w:pStyle w:val="FootnoteText"/>
        <w:rPr>
          <w:lang w:val="en-US"/>
        </w:rPr>
      </w:pPr>
      <w:r w:rsidRPr="00EC6C35">
        <w:rPr>
          <w:rStyle w:val="FootnoteReference"/>
        </w:rPr>
        <w:footnoteRef/>
      </w:r>
      <w:r>
        <w:rPr>
          <w:lang w:val="en-US"/>
        </w:rPr>
        <w:tab/>
      </w:r>
      <w:r>
        <w:t>COM(2022) 548 final.</w:t>
      </w:r>
    </w:p>
  </w:footnote>
  <w:footnote w:id="7">
    <w:p w14:paraId="52E0FFB7" w14:textId="77777777" w:rsidR="0094103F" w:rsidRPr="00F9205A" w:rsidRDefault="0094103F" w:rsidP="00052DA1">
      <w:pPr>
        <w:pStyle w:val="FootnoteText"/>
      </w:pPr>
      <w:r w:rsidRPr="00EC6C35">
        <w:rPr>
          <w:rStyle w:val="FootnoteReference"/>
        </w:rPr>
        <w:footnoteRef/>
      </w:r>
      <w:r w:rsidRPr="00F9205A">
        <w:tab/>
        <w:t xml:space="preserve">Directive (EU) 2019/1151 amending Directive (EU) 2017/1132.  </w:t>
      </w:r>
    </w:p>
  </w:footnote>
  <w:footnote w:id="8">
    <w:p w14:paraId="1CBEE041" w14:textId="77777777" w:rsidR="0094103F" w:rsidRPr="005D20D4" w:rsidRDefault="0094103F" w:rsidP="00B423B0">
      <w:pPr>
        <w:pStyle w:val="FootnoteText"/>
        <w:rPr>
          <w:lang w:val="en-US"/>
        </w:rPr>
      </w:pPr>
      <w:r w:rsidRPr="00EC6C35">
        <w:rPr>
          <w:rStyle w:val="FootnoteReference"/>
        </w:rPr>
        <w:footnoteRef/>
      </w:r>
      <w:r>
        <w:rPr>
          <w:lang w:val="en-US"/>
        </w:rPr>
        <w:tab/>
      </w:r>
      <w:r w:rsidRPr="002F5375">
        <w:rPr>
          <w:shd w:val="clear" w:color="auto" w:fill="FFFFFF"/>
          <w:lang w:val="en-US"/>
        </w:rPr>
        <w:t>COM(2021) 118 final</w:t>
      </w:r>
      <w:r w:rsidRPr="005D20D4">
        <w:rPr>
          <w:color w:val="333333"/>
          <w:shd w:val="clear" w:color="auto" w:fill="FFFFFF"/>
          <w:lang w:val="en-US"/>
        </w:rPr>
        <w:t xml:space="preserve">. </w:t>
      </w:r>
    </w:p>
  </w:footnote>
  <w:footnote w:id="9">
    <w:p w14:paraId="61ADF01C" w14:textId="77777777" w:rsidR="0094103F" w:rsidRPr="005D20D4" w:rsidRDefault="0094103F" w:rsidP="00377F78">
      <w:pPr>
        <w:pStyle w:val="FootnoteText"/>
        <w:rPr>
          <w:lang w:val="en-US"/>
        </w:rPr>
      </w:pPr>
      <w:r w:rsidRPr="00EC6C35">
        <w:rPr>
          <w:rStyle w:val="FootnoteReference"/>
        </w:rPr>
        <w:footnoteRef/>
      </w:r>
      <w:r>
        <w:rPr>
          <w:lang w:val="en-US"/>
        </w:rPr>
        <w:tab/>
      </w:r>
      <w:r w:rsidRPr="0051657B">
        <w:rPr>
          <w:shd w:val="clear" w:color="auto" w:fill="FFFFFF"/>
          <w:lang w:val="en-US"/>
        </w:rPr>
        <w:t>COM(2020) 710 final</w:t>
      </w:r>
      <w:r w:rsidRPr="005D20D4">
        <w:rPr>
          <w:color w:val="333333"/>
          <w:shd w:val="clear" w:color="auto" w:fill="FFFFFF"/>
          <w:lang w:val="en-US"/>
        </w:rPr>
        <w:t xml:space="preserve">. </w:t>
      </w:r>
    </w:p>
  </w:footnote>
  <w:footnote w:id="10">
    <w:p w14:paraId="68E13B7C" w14:textId="77777777" w:rsidR="0094103F" w:rsidRDefault="0094103F" w:rsidP="00B423B0">
      <w:pPr>
        <w:pStyle w:val="FootnoteText"/>
      </w:pPr>
      <w:r w:rsidRPr="00EC6C35">
        <w:rPr>
          <w:rStyle w:val="FootnoteReference"/>
        </w:rPr>
        <w:footnoteRef/>
      </w:r>
      <w:r>
        <w:rPr>
          <w:lang w:val="en-US"/>
        </w:rPr>
        <w:tab/>
      </w:r>
      <w:r w:rsidRPr="4FD204E9">
        <w:rPr>
          <w:lang w:val="en-US"/>
        </w:rPr>
        <w:t xml:space="preserve">COM(2021) </w:t>
      </w:r>
      <w:r>
        <w:t xml:space="preserve">350 final. </w:t>
      </w:r>
    </w:p>
  </w:footnote>
  <w:footnote w:id="11">
    <w:p w14:paraId="23B3F1AB" w14:textId="77777777" w:rsidR="0094103F" w:rsidRDefault="0094103F" w:rsidP="00B423B0">
      <w:pPr>
        <w:pStyle w:val="FootnoteText"/>
        <w:rPr>
          <w:lang w:val="en-US"/>
        </w:rPr>
      </w:pPr>
      <w:r w:rsidRPr="00EC6C35">
        <w:rPr>
          <w:rStyle w:val="FootnoteReference"/>
        </w:rPr>
        <w:footnoteRef/>
      </w:r>
      <w:r>
        <w:tab/>
        <w:t xml:space="preserve">COM (2020) 103 final. </w:t>
      </w:r>
    </w:p>
  </w:footnote>
  <w:footnote w:id="12">
    <w:p w14:paraId="494AFCFF" w14:textId="77777777" w:rsidR="0094103F" w:rsidRPr="007454B5" w:rsidRDefault="0094103F" w:rsidP="00542EB2">
      <w:pPr>
        <w:pStyle w:val="FootnoteText"/>
        <w:rPr>
          <w:lang w:val="en-IE"/>
        </w:rPr>
      </w:pPr>
      <w:r w:rsidRPr="00EC6C35">
        <w:rPr>
          <w:rStyle w:val="FootnoteReference"/>
        </w:rPr>
        <w:footnoteRef/>
      </w:r>
      <w:r>
        <w:tab/>
      </w:r>
      <w:hyperlink r:id="rId2" w:anchor=":~:text=On%2024%2D25%20March%202022,President%20of%20the%20European%20Council." w:history="1">
        <w:r>
          <w:rPr>
            <w:rStyle w:val="Hyperlink"/>
          </w:rPr>
          <w:t>European Council conclusions, 24-25 March 2022 – Consilium (europa.eu)</w:t>
        </w:r>
      </w:hyperlink>
    </w:p>
  </w:footnote>
  <w:footnote w:id="13">
    <w:p w14:paraId="5CD88E3D" w14:textId="77777777" w:rsidR="0094103F" w:rsidRPr="005D20D4" w:rsidRDefault="0094103F" w:rsidP="00CE763C">
      <w:pPr>
        <w:pStyle w:val="FootnoteText"/>
        <w:rPr>
          <w:lang w:val="hu-HU"/>
        </w:rPr>
      </w:pPr>
      <w:r w:rsidRPr="00EC6C35">
        <w:rPr>
          <w:rStyle w:val="FootnoteReference"/>
        </w:rPr>
        <w:footnoteRef/>
      </w:r>
      <w:r>
        <w:tab/>
      </w:r>
      <w:r w:rsidRPr="00321FD2">
        <w:t>Regulation (EU) 910/2014</w:t>
      </w:r>
      <w:r>
        <w:t>.</w:t>
      </w:r>
    </w:p>
  </w:footnote>
  <w:footnote w:id="14">
    <w:p w14:paraId="7AD59E90" w14:textId="77777777" w:rsidR="0094103F" w:rsidRPr="005D20D4" w:rsidRDefault="0094103F" w:rsidP="00CE763C">
      <w:pPr>
        <w:pStyle w:val="FootnoteText"/>
        <w:rPr>
          <w:lang w:val="hu-HU"/>
        </w:rPr>
      </w:pPr>
      <w:r w:rsidRPr="00EC6C35">
        <w:rPr>
          <w:rStyle w:val="FootnoteReference"/>
        </w:rPr>
        <w:footnoteRef/>
      </w:r>
      <w:r>
        <w:tab/>
      </w:r>
      <w:r w:rsidRPr="00321FD2">
        <w:t>COM(2021) 281 final</w:t>
      </w:r>
      <w:r>
        <w:t>.</w:t>
      </w:r>
    </w:p>
  </w:footnote>
  <w:footnote w:id="15">
    <w:p w14:paraId="7030E36F" w14:textId="77777777" w:rsidR="0094103F" w:rsidRPr="00542EB2" w:rsidRDefault="0094103F" w:rsidP="00542EB2">
      <w:pPr>
        <w:pStyle w:val="FootnoteText"/>
        <w:rPr>
          <w:lang w:val="hu-HU"/>
        </w:rPr>
      </w:pPr>
      <w:r w:rsidRPr="00EC6C35">
        <w:rPr>
          <w:rStyle w:val="FootnoteReference"/>
        </w:rPr>
        <w:footnoteRef/>
      </w:r>
      <w:r w:rsidRPr="00542EB2">
        <w:rPr>
          <w:lang w:val="hu-HU"/>
        </w:rPr>
        <w:tab/>
        <w:t>Directive (EU) 2015/849 as amended by Directive (EU) 2018/843.</w:t>
      </w:r>
    </w:p>
  </w:footnote>
  <w:footnote w:id="16">
    <w:p w14:paraId="1E921389" w14:textId="77777777" w:rsidR="0094103F" w:rsidRPr="00542EB2" w:rsidRDefault="0094103F" w:rsidP="00542EB2">
      <w:pPr>
        <w:pStyle w:val="FootnoteText"/>
        <w:rPr>
          <w:lang w:val="hu-HU"/>
        </w:rPr>
      </w:pPr>
      <w:r w:rsidRPr="00EC6C35">
        <w:rPr>
          <w:rStyle w:val="FootnoteReference"/>
        </w:rPr>
        <w:footnoteRef/>
      </w:r>
      <w:r w:rsidRPr="00542EB2">
        <w:rPr>
          <w:lang w:val="hu-HU"/>
        </w:rPr>
        <w:tab/>
        <w:t>Regulation (EU) 2015/848.</w:t>
      </w:r>
    </w:p>
  </w:footnote>
  <w:footnote w:id="17">
    <w:p w14:paraId="65042C22" w14:textId="77777777" w:rsidR="0094103F" w:rsidRPr="00955567" w:rsidRDefault="0094103F" w:rsidP="00955567">
      <w:pPr>
        <w:pStyle w:val="FootnoteText"/>
        <w:ind w:left="709" w:hanging="709"/>
      </w:pPr>
      <w:r w:rsidRPr="00EC6C35">
        <w:rPr>
          <w:rStyle w:val="FootnoteReference"/>
        </w:rPr>
        <w:footnoteRef/>
      </w:r>
      <w:r>
        <w:tab/>
      </w:r>
      <w:hyperlink r:id="rId3" w:history="1">
        <w:r w:rsidRPr="00955567">
          <w:rPr>
            <w:rStyle w:val="Hyperlink"/>
          </w:rPr>
          <w:t>European e-Justice Portal – Beneficial ownership registers interconnection system (BORIS) (europa.eu)</w:t>
        </w:r>
      </w:hyperlink>
    </w:p>
  </w:footnote>
  <w:footnote w:id="18">
    <w:p w14:paraId="6C1E0B7C" w14:textId="77777777" w:rsidR="0094103F" w:rsidRPr="005D20D4" w:rsidRDefault="0094103F" w:rsidP="00793B6F">
      <w:pPr>
        <w:pStyle w:val="FootnoteText"/>
      </w:pPr>
      <w:r w:rsidRPr="00EC6C35">
        <w:rPr>
          <w:rStyle w:val="FootnoteReference"/>
        </w:rPr>
        <w:footnoteRef/>
      </w:r>
      <w:r>
        <w:tab/>
      </w:r>
      <w:hyperlink r:id="rId4" w:history="1">
        <w:r w:rsidRPr="005D20D4">
          <w:rPr>
            <w:rStyle w:val="Hyperlink"/>
          </w:rPr>
          <w:t>European e-Justice Portal - Bankruptcy &amp; insolvency registers - search for insolvent debtors in the EU (europa.eu)</w:t>
        </w:r>
      </w:hyperlink>
    </w:p>
  </w:footnote>
  <w:footnote w:id="19">
    <w:p w14:paraId="57AB8CE8" w14:textId="77777777" w:rsidR="0094103F" w:rsidRPr="005D20D4" w:rsidRDefault="0094103F" w:rsidP="00926ACD">
      <w:pPr>
        <w:pStyle w:val="title-bold"/>
        <w:shd w:val="clear" w:color="auto" w:fill="FFFFFF"/>
        <w:spacing w:before="0" w:beforeAutospacing="0" w:after="0" w:afterAutospacing="0"/>
        <w:ind w:left="709" w:hanging="709"/>
        <w:jc w:val="both"/>
        <w:rPr>
          <w:b/>
          <w:bCs/>
          <w:color w:val="333333"/>
          <w:sz w:val="20"/>
          <w:szCs w:val="20"/>
          <w:lang w:val="en"/>
        </w:rPr>
      </w:pPr>
      <w:r w:rsidRPr="00EC6C35">
        <w:rPr>
          <w:rStyle w:val="FootnoteReference"/>
          <w:rFonts w:eastAsiaTheme="minorHAnsi"/>
        </w:rPr>
        <w:footnoteRef/>
      </w:r>
      <w:r>
        <w:rPr>
          <w:sz w:val="20"/>
          <w:szCs w:val="20"/>
        </w:rPr>
        <w:tab/>
      </w:r>
      <w:r>
        <w:rPr>
          <w:sz w:val="20"/>
          <w:szCs w:val="20"/>
        </w:rPr>
        <w:tab/>
      </w:r>
      <w:r w:rsidRPr="005D20D4">
        <w:rPr>
          <w:bCs/>
          <w:sz w:val="20"/>
          <w:szCs w:val="20"/>
          <w:lang w:val="en"/>
        </w:rPr>
        <w:t xml:space="preserve">Proposal for a </w:t>
      </w:r>
      <w:r>
        <w:rPr>
          <w:bCs/>
          <w:sz w:val="20"/>
          <w:szCs w:val="20"/>
          <w:lang w:val="en"/>
        </w:rPr>
        <w:t>Council Directive</w:t>
      </w:r>
      <w:r w:rsidRPr="005D20D4">
        <w:rPr>
          <w:bCs/>
          <w:sz w:val="20"/>
          <w:szCs w:val="20"/>
          <w:lang w:val="en"/>
        </w:rPr>
        <w:t xml:space="preserve"> laying down rules to prevent the misuse of shell entities for tax purposes and amending Directive 2011/16/EU</w:t>
      </w:r>
      <w:r w:rsidRPr="005D20D4">
        <w:rPr>
          <w:b/>
          <w:bCs/>
          <w:sz w:val="20"/>
          <w:szCs w:val="20"/>
          <w:lang w:val="en"/>
        </w:rPr>
        <w:t xml:space="preserve"> (</w:t>
      </w:r>
      <w:r w:rsidRPr="005D20D4">
        <w:rPr>
          <w:sz w:val="20"/>
          <w:szCs w:val="20"/>
          <w:lang w:val="en"/>
        </w:rPr>
        <w:t>COM/2021/565 final).</w:t>
      </w:r>
    </w:p>
  </w:footnote>
  <w:footnote w:id="20">
    <w:p w14:paraId="6B4979AB" w14:textId="77777777" w:rsidR="0094103F" w:rsidRPr="005D20D4" w:rsidRDefault="0094103F" w:rsidP="00E10029">
      <w:pPr>
        <w:pStyle w:val="FootnoteText"/>
        <w:ind w:left="142" w:hanging="142"/>
        <w:rPr>
          <w:lang w:val="en-IE"/>
        </w:rPr>
      </w:pPr>
      <w:r w:rsidRPr="00EC6C35">
        <w:rPr>
          <w:rStyle w:val="FootnoteReference"/>
        </w:rPr>
        <w:footnoteRef/>
      </w:r>
      <w:r>
        <w:rPr>
          <w:lang w:val="en-IE"/>
        </w:rPr>
        <w:tab/>
      </w:r>
      <w:r w:rsidDel="00C677F8">
        <w:rPr>
          <w:lang w:val="en-IE"/>
        </w:rPr>
        <w:tab/>
      </w:r>
      <w:r w:rsidRPr="005D20D4">
        <w:rPr>
          <w:lang w:val="en-IE"/>
        </w:rPr>
        <w:t>Regulation (EU) 2018/1724</w:t>
      </w:r>
      <w:r>
        <w:rPr>
          <w:lang w:val="en-IE"/>
        </w:rPr>
        <w:t>.</w:t>
      </w:r>
    </w:p>
  </w:footnote>
  <w:footnote w:id="21">
    <w:p w14:paraId="7CCD89B5" w14:textId="77777777" w:rsidR="0094103F" w:rsidRPr="005D20D4" w:rsidRDefault="0094103F" w:rsidP="00926ACD">
      <w:pPr>
        <w:pStyle w:val="FootnoteText"/>
        <w:ind w:left="709" w:hanging="709"/>
      </w:pPr>
      <w:r w:rsidRPr="00EC6C35">
        <w:rPr>
          <w:rStyle w:val="FootnoteReference"/>
        </w:rPr>
        <w:footnoteRef/>
      </w:r>
      <w:r>
        <w:tab/>
      </w:r>
      <w:r w:rsidDel="00C677F8">
        <w:tab/>
      </w:r>
      <w:r w:rsidRPr="005D20D4">
        <w:t xml:space="preserve">Proposal for a </w:t>
      </w:r>
      <w:r>
        <w:t xml:space="preserve">Regulation of the European Parliament and of the Council </w:t>
      </w:r>
      <w:r w:rsidRPr="005D20D4">
        <w:t>establishing a European single access point providing centralised access to publicly available information of relevance to financial services, capital markets and sustainability (COM/2021/723 final)</w:t>
      </w:r>
      <w:r>
        <w:t>.</w:t>
      </w:r>
    </w:p>
  </w:footnote>
  <w:footnote w:id="22">
    <w:p w14:paraId="7428D6DE" w14:textId="77777777" w:rsidR="0094103F" w:rsidRPr="008B5743" w:rsidRDefault="0094103F" w:rsidP="00803B13">
      <w:pPr>
        <w:pStyle w:val="FootnoteText"/>
      </w:pPr>
      <w:r w:rsidRPr="00EC6C35">
        <w:rPr>
          <w:rStyle w:val="FootnoteReference"/>
        </w:rPr>
        <w:footnoteRef/>
      </w:r>
      <w:r>
        <w:tab/>
        <w:t>See recital 23 and Annex II of</w:t>
      </w:r>
      <w:r w:rsidRPr="008B5743">
        <w:rPr>
          <w:lang w:val="en-IE"/>
        </w:rPr>
        <w:t xml:space="preserve"> </w:t>
      </w:r>
      <w:r w:rsidRPr="005D20D4">
        <w:rPr>
          <w:lang w:val="en-IE"/>
        </w:rPr>
        <w:t>Regulation (EU) 2018/1724</w:t>
      </w:r>
      <w:r>
        <w:rPr>
          <w:lang w:val="en-IE"/>
        </w:rPr>
        <w:t>.</w:t>
      </w:r>
    </w:p>
  </w:footnote>
  <w:footnote w:id="23">
    <w:p w14:paraId="5DC7F510" w14:textId="77777777" w:rsidR="0094103F" w:rsidRPr="00F978B1" w:rsidRDefault="0094103F">
      <w:pPr>
        <w:pStyle w:val="FootnoteText"/>
        <w:rPr>
          <w:lang w:val="en-IE"/>
        </w:rPr>
      </w:pPr>
      <w:r w:rsidRPr="00EC6C35">
        <w:rPr>
          <w:rStyle w:val="FootnoteReference"/>
        </w:rPr>
        <w:footnoteRef/>
      </w:r>
      <w:r>
        <w:tab/>
      </w:r>
      <w:r>
        <w:rPr>
          <w:lang w:val="en-IE"/>
        </w:rPr>
        <w:t>Following the approach introduced in Directive (EU) 2019/1151, recital 9 and Article 13f. Recital 9 also clarifies the distinction between that Directive and the SDG Regulation.</w:t>
      </w:r>
    </w:p>
  </w:footnote>
  <w:footnote w:id="24">
    <w:p w14:paraId="5B114EBD" w14:textId="77777777" w:rsidR="0094103F" w:rsidRPr="00F101D4" w:rsidRDefault="0094103F" w:rsidP="00A42D58">
      <w:pPr>
        <w:pStyle w:val="FootnoteText"/>
        <w:ind w:left="142" w:hanging="142"/>
        <w:rPr>
          <w:lang w:val="fr-BE"/>
        </w:rPr>
      </w:pPr>
      <w:r w:rsidRPr="00EC6C35">
        <w:rPr>
          <w:rStyle w:val="FootnoteReference"/>
        </w:rPr>
        <w:footnoteRef/>
      </w:r>
      <w:r>
        <w:rPr>
          <w:lang w:val="fr-BE"/>
        </w:rPr>
        <w:tab/>
      </w:r>
      <w:r>
        <w:rPr>
          <w:lang w:val="fr-BE"/>
        </w:rPr>
        <w:tab/>
      </w:r>
      <w:r w:rsidRPr="00EB0649">
        <w:rPr>
          <w:lang w:val="fr-BE"/>
        </w:rPr>
        <w:t>Directive (EU) 2019/1024</w:t>
      </w:r>
      <w:r w:rsidRPr="00F101D4">
        <w:rPr>
          <w:lang w:val="fr-BE"/>
        </w:rPr>
        <w:t>.</w:t>
      </w:r>
    </w:p>
  </w:footnote>
  <w:footnote w:id="25">
    <w:p w14:paraId="42068007" w14:textId="77777777" w:rsidR="0094103F" w:rsidRPr="00F101D4" w:rsidRDefault="0094103F" w:rsidP="00A42D58">
      <w:pPr>
        <w:pStyle w:val="FootnoteText"/>
        <w:ind w:left="142" w:hanging="142"/>
        <w:rPr>
          <w:lang w:val="fr-BE"/>
        </w:rPr>
      </w:pPr>
      <w:r w:rsidRPr="00EC6C35">
        <w:rPr>
          <w:rStyle w:val="FootnoteReference"/>
        </w:rPr>
        <w:footnoteRef/>
      </w:r>
      <w:r>
        <w:rPr>
          <w:lang w:val="fr-BE"/>
        </w:rPr>
        <w:tab/>
      </w:r>
      <w:r>
        <w:rPr>
          <w:lang w:val="fr-BE"/>
        </w:rPr>
        <w:tab/>
      </w:r>
      <w:r w:rsidRPr="00EB0649">
        <w:rPr>
          <w:lang w:val="fr-BE"/>
        </w:rPr>
        <w:t>Regulation (EU) 2019/2152</w:t>
      </w:r>
      <w:r w:rsidRPr="00F101D4">
        <w:rPr>
          <w:color w:val="000000"/>
          <w:lang w:val="fr-BE"/>
        </w:rPr>
        <w:t>.</w:t>
      </w:r>
    </w:p>
  </w:footnote>
  <w:footnote w:id="26">
    <w:p w14:paraId="0E6A5E71" w14:textId="77777777" w:rsidR="0094103F" w:rsidRPr="00606ADA" w:rsidRDefault="0094103F" w:rsidP="00A42D58">
      <w:pPr>
        <w:pStyle w:val="FootnoteText"/>
        <w:ind w:left="142" w:hanging="142"/>
        <w:rPr>
          <w:lang w:val="fr-BE"/>
        </w:rPr>
      </w:pPr>
      <w:r w:rsidRPr="00EC6C35">
        <w:rPr>
          <w:rStyle w:val="FootnoteReference"/>
        </w:rPr>
        <w:footnoteRef/>
      </w:r>
      <w:r>
        <w:rPr>
          <w:lang w:val="fr-BE"/>
        </w:rPr>
        <w:tab/>
      </w:r>
      <w:r>
        <w:rPr>
          <w:lang w:val="fr-BE"/>
        </w:rPr>
        <w:tab/>
      </w:r>
      <w:r w:rsidRPr="00606ADA">
        <w:rPr>
          <w:lang w:val="fr-BE"/>
        </w:rPr>
        <w:t>Regulation (EU) 2016/1191.</w:t>
      </w:r>
    </w:p>
  </w:footnote>
  <w:footnote w:id="27">
    <w:p w14:paraId="21B5DCFC" w14:textId="77777777" w:rsidR="0094103F" w:rsidRPr="005D20D4" w:rsidRDefault="0094103F" w:rsidP="00293086">
      <w:pPr>
        <w:pStyle w:val="FootnoteText"/>
        <w:rPr>
          <w:lang w:val="hu-HU"/>
        </w:rPr>
      </w:pPr>
      <w:r w:rsidRPr="00EC6C35">
        <w:rPr>
          <w:rStyle w:val="FootnoteReference"/>
        </w:rPr>
        <w:footnoteRef/>
      </w:r>
      <w:r>
        <w:tab/>
      </w:r>
      <w:r w:rsidRPr="00321FD2">
        <w:t>Regulation (EU) 910/2014</w:t>
      </w:r>
      <w:r>
        <w:t>.</w:t>
      </w:r>
    </w:p>
  </w:footnote>
  <w:footnote w:id="28">
    <w:p w14:paraId="58EB7168" w14:textId="77777777" w:rsidR="0094103F" w:rsidRPr="005D20D4" w:rsidRDefault="0094103F" w:rsidP="00293086">
      <w:pPr>
        <w:pStyle w:val="FootnoteText"/>
        <w:rPr>
          <w:lang w:val="hu-HU"/>
        </w:rPr>
      </w:pPr>
      <w:r w:rsidRPr="00EC6C35">
        <w:rPr>
          <w:rStyle w:val="FootnoteReference"/>
        </w:rPr>
        <w:footnoteRef/>
      </w:r>
      <w:r>
        <w:tab/>
      </w:r>
      <w:r w:rsidRPr="00321FD2">
        <w:t>COM(2021) 281 final</w:t>
      </w:r>
      <w:r>
        <w:t>.</w:t>
      </w:r>
    </w:p>
  </w:footnote>
  <w:footnote w:id="29">
    <w:p w14:paraId="5B6A9605" w14:textId="77777777" w:rsidR="0094103F" w:rsidRPr="00031288" w:rsidRDefault="0094103F" w:rsidP="00C11365">
      <w:pPr>
        <w:pStyle w:val="FootnoteText"/>
      </w:pPr>
      <w:r w:rsidRPr="00EC6C35">
        <w:rPr>
          <w:rStyle w:val="FootnoteReference"/>
        </w:rPr>
        <w:footnoteRef/>
      </w:r>
      <w:r>
        <w:tab/>
      </w:r>
      <w:hyperlink r:id="rId5" w:history="1">
        <w:r>
          <w:rPr>
            <w:rStyle w:val="Hyperlink"/>
          </w:rPr>
          <w:t>Upgrading digital company law (europa.eu)</w:t>
        </w:r>
      </w:hyperlink>
    </w:p>
  </w:footnote>
  <w:footnote w:id="30">
    <w:p w14:paraId="230A2598" w14:textId="77777777" w:rsidR="0094103F" w:rsidRPr="00511FD6" w:rsidRDefault="0094103F" w:rsidP="00C11365">
      <w:pPr>
        <w:pStyle w:val="FootnoteText"/>
      </w:pPr>
      <w:r w:rsidRPr="00EC6C35">
        <w:rPr>
          <w:rStyle w:val="FootnoteReference"/>
        </w:rPr>
        <w:footnoteRef/>
      </w:r>
      <w:r>
        <w:tab/>
      </w:r>
      <w:r w:rsidRPr="00511FD6">
        <w:t xml:space="preserve">The SME panel is a </w:t>
      </w:r>
      <w:r w:rsidRPr="00511FD6">
        <w:rPr>
          <w:lang w:val="en-IE"/>
        </w:rPr>
        <w:t xml:space="preserve">tool that allows </w:t>
      </w:r>
      <w:r>
        <w:rPr>
          <w:lang w:val="en-IE"/>
        </w:rPr>
        <w:t xml:space="preserve">the </w:t>
      </w:r>
      <w:r w:rsidRPr="00511FD6">
        <w:rPr>
          <w:lang w:val="en-IE"/>
        </w:rPr>
        <w:t xml:space="preserve">Commission to reach SMEs in a targeted way and </w:t>
      </w:r>
      <w:r>
        <w:rPr>
          <w:lang w:val="en-IE"/>
        </w:rPr>
        <w:t>is</w:t>
      </w:r>
      <w:r w:rsidRPr="00511FD6">
        <w:rPr>
          <w:lang w:val="en-IE"/>
        </w:rPr>
        <w:t xml:space="preserve"> organised in cooperation with the partners in the Enterprise Europe Network.</w:t>
      </w:r>
    </w:p>
  </w:footnote>
  <w:footnote w:id="31">
    <w:p w14:paraId="575101A6" w14:textId="77777777" w:rsidR="0094103F" w:rsidRPr="00D86C99" w:rsidRDefault="0094103F" w:rsidP="00C11365">
      <w:pPr>
        <w:pStyle w:val="FootnoteText"/>
      </w:pPr>
      <w:r w:rsidRPr="00EC6C35">
        <w:rPr>
          <w:rStyle w:val="FootnoteReference"/>
        </w:rPr>
        <w:footnoteRef/>
      </w:r>
      <w:r>
        <w:tab/>
      </w:r>
      <w:hyperlink r:id="rId6" w:anchor="studies" w:history="1">
        <w:r w:rsidRPr="00511FD6">
          <w:rPr>
            <w:rStyle w:val="Hyperlink"/>
          </w:rPr>
          <w:t>Company law and corporate governance (europa.eu)</w:t>
        </w:r>
      </w:hyperlink>
    </w:p>
  </w:footnote>
  <w:footnote w:id="32">
    <w:p w14:paraId="59B91771" w14:textId="77777777" w:rsidR="0094103F" w:rsidRPr="00D6511F" w:rsidRDefault="0094103F" w:rsidP="00B259B2">
      <w:pPr>
        <w:pStyle w:val="FootnoteText"/>
        <w:rPr>
          <w:lang w:val="en-IE"/>
        </w:rPr>
      </w:pPr>
      <w:r w:rsidRPr="00EC6C35">
        <w:rPr>
          <w:rStyle w:val="FootnoteReference"/>
        </w:rPr>
        <w:footnoteRef/>
      </w:r>
      <w:r>
        <w:tab/>
      </w:r>
      <w:hyperlink r:id="rId7" w:history="1">
        <w:r>
          <w:rPr>
            <w:rStyle w:val="Hyperlink"/>
          </w:rPr>
          <w:t>Register of Commission expert groups and other similar entities (europa.eu)</w:t>
        </w:r>
      </w:hyperlink>
    </w:p>
  </w:footnote>
  <w:footnote w:id="33">
    <w:p w14:paraId="2CC53799" w14:textId="77777777" w:rsidR="0094103F" w:rsidRPr="00D876E8" w:rsidRDefault="0094103F" w:rsidP="00B259B2">
      <w:pPr>
        <w:pStyle w:val="FootnoteText"/>
        <w:rPr>
          <w:lang w:val="en-IE"/>
        </w:rPr>
      </w:pPr>
      <w:r w:rsidRPr="00EC6C35">
        <w:rPr>
          <w:rStyle w:val="FootnoteReference"/>
        </w:rPr>
        <w:footnoteRef/>
      </w:r>
      <w:r>
        <w:tab/>
      </w:r>
      <w:r w:rsidRPr="00D876E8">
        <w:rPr>
          <w:lang w:val="en-IE"/>
        </w:rPr>
        <w:t xml:space="preserve">The subgroup of CLEG dealing with BRIS, the CLEG-BRIS, </w:t>
      </w:r>
      <w:r>
        <w:rPr>
          <w:lang w:val="en-IE"/>
        </w:rPr>
        <w:t xml:space="preserve">which </w:t>
      </w:r>
      <w:r w:rsidRPr="00D876E8">
        <w:rPr>
          <w:lang w:val="en-IE"/>
        </w:rPr>
        <w:t>bring</w:t>
      </w:r>
      <w:r>
        <w:rPr>
          <w:lang w:val="en-IE"/>
        </w:rPr>
        <w:t>s</w:t>
      </w:r>
      <w:r w:rsidRPr="00D876E8">
        <w:rPr>
          <w:lang w:val="en-IE"/>
        </w:rPr>
        <w:t xml:space="preserve"> together Member State representatives from business registers, also </w:t>
      </w:r>
      <w:r>
        <w:rPr>
          <w:lang w:val="en-IE"/>
        </w:rPr>
        <w:t xml:space="preserve">took part in two of these </w:t>
      </w:r>
      <w:r w:rsidRPr="00D876E8">
        <w:rPr>
          <w:lang w:val="en-IE"/>
        </w:rPr>
        <w:t>meeting</w:t>
      </w:r>
      <w:r>
        <w:rPr>
          <w:lang w:val="en-IE"/>
        </w:rPr>
        <w:t>s.</w:t>
      </w:r>
    </w:p>
  </w:footnote>
  <w:footnote w:id="34">
    <w:p w14:paraId="24F2B17D" w14:textId="77777777" w:rsidR="0094103F" w:rsidRPr="00D86C99" w:rsidRDefault="0094103F" w:rsidP="00110F80">
      <w:pPr>
        <w:pStyle w:val="FootnoteText"/>
      </w:pPr>
      <w:r w:rsidRPr="00EC6C35">
        <w:rPr>
          <w:rStyle w:val="FootnoteReference"/>
        </w:rPr>
        <w:footnoteRef/>
      </w:r>
      <w:r>
        <w:tab/>
      </w:r>
      <w:hyperlink r:id="rId8" w:anchor="studies" w:history="1">
        <w:r w:rsidRPr="00832A52">
          <w:rPr>
            <w:rStyle w:val="Hyperlink"/>
          </w:rPr>
          <w:t>Company law and corporate governance (europa.eu)</w:t>
        </w:r>
      </w:hyperlink>
    </w:p>
  </w:footnote>
  <w:footnote w:id="35">
    <w:p w14:paraId="0D8FD823" w14:textId="77777777" w:rsidR="0094103F" w:rsidRDefault="0094103F" w:rsidP="00110F80">
      <w:pPr>
        <w:pStyle w:val="FootnoteText"/>
      </w:pPr>
      <w:r w:rsidRPr="00EC6C35">
        <w:rPr>
          <w:rStyle w:val="FootnoteReference"/>
        </w:rPr>
        <w:footnoteRef/>
      </w:r>
      <w:r>
        <w:tab/>
      </w:r>
      <w:hyperlink r:id="rId9" w:history="1">
        <w:r>
          <w:rPr>
            <w:rStyle w:val="Hyperlink"/>
          </w:rPr>
          <w:t>Register of Commission expert groups and other similar entities (europa.eu)</w:t>
        </w:r>
      </w:hyperlink>
    </w:p>
  </w:footnote>
  <w:footnote w:id="36">
    <w:p w14:paraId="62637461" w14:textId="0E1C287E" w:rsidR="0094103F" w:rsidRPr="00040421" w:rsidRDefault="0094103F">
      <w:pPr>
        <w:pStyle w:val="FootnoteText"/>
      </w:pPr>
      <w:r w:rsidRPr="00EC6C35">
        <w:rPr>
          <w:rStyle w:val="FootnoteReference"/>
        </w:rPr>
        <w:footnoteRef/>
      </w:r>
      <w:r>
        <w:tab/>
      </w:r>
      <w:r w:rsidR="006D098C" w:rsidRPr="006D098C">
        <w:t>SWD(2023)</w:t>
      </w:r>
      <w:r w:rsidR="00406F4F">
        <w:t xml:space="preserve"> </w:t>
      </w:r>
      <w:r w:rsidR="006D098C" w:rsidRPr="006D098C">
        <w:t>179</w:t>
      </w:r>
    </w:p>
  </w:footnote>
  <w:footnote w:id="37">
    <w:p w14:paraId="1C7499E3" w14:textId="77777777" w:rsidR="0094103F" w:rsidRDefault="0094103F" w:rsidP="0016589C">
      <w:pPr>
        <w:pStyle w:val="FootnoteText"/>
        <w:rPr>
          <w:lang w:val="en-IE"/>
        </w:rPr>
      </w:pPr>
      <w:r w:rsidRPr="00EC6C35">
        <w:rPr>
          <w:rStyle w:val="FootnoteReference"/>
        </w:rPr>
        <w:footnoteRef/>
      </w:r>
      <w:r>
        <w:rPr>
          <w:lang w:val="en-IE"/>
        </w:rPr>
        <w:tab/>
      </w:r>
      <w:hyperlink r:id="rId10" w:history="1">
        <w:r>
          <w:rPr>
            <w:rStyle w:val="Hyperlink"/>
            <w:lang w:val="en-IE"/>
          </w:rPr>
          <w:t>Startup Nations Standard</w:t>
        </w:r>
      </w:hyperlink>
      <w:r>
        <w:rPr>
          <w:rStyle w:val="Hyperlink"/>
          <w:lang w:val="en-IE"/>
        </w:rPr>
        <w:t xml:space="preserve"> - </w:t>
      </w:r>
      <w:r>
        <w:t>to make it possible to submit legal documents from other EU jurisdictions as proof for the incorporation of a start-up (or creation of a subsidiary of an existing start-up expanding in the single market)</w:t>
      </w:r>
    </w:p>
  </w:footnote>
  <w:footnote w:id="38">
    <w:p w14:paraId="40405B7A" w14:textId="77777777" w:rsidR="0094103F" w:rsidRPr="009C250A" w:rsidRDefault="0094103F" w:rsidP="0007416B">
      <w:pPr>
        <w:pStyle w:val="FootnoteText"/>
        <w:rPr>
          <w:lang w:val="en-IE"/>
        </w:rPr>
      </w:pPr>
      <w:r w:rsidRPr="00EC6C35">
        <w:rPr>
          <w:rStyle w:val="FootnoteReference"/>
        </w:rPr>
        <w:footnoteRef/>
      </w:r>
      <w:r>
        <w:tab/>
        <w:t>Regulation (EU) 2021/1119 of 30 June 2021 establishing the framework for achieving climate neutrality.</w:t>
      </w:r>
    </w:p>
  </w:footnote>
  <w:footnote w:id="39">
    <w:p w14:paraId="00023223" w14:textId="77777777" w:rsidR="0094103F" w:rsidRDefault="0094103F" w:rsidP="001349A7">
      <w:pPr>
        <w:spacing w:after="0"/>
        <w:rPr>
          <w:sz w:val="20"/>
          <w:szCs w:val="20"/>
        </w:rPr>
      </w:pPr>
      <w:r w:rsidRPr="00EC6C35">
        <w:rPr>
          <w:rStyle w:val="FootnoteReference"/>
        </w:rPr>
        <w:footnoteRef/>
      </w:r>
      <w:r>
        <w:rPr>
          <w:rFonts w:eastAsia="Times New Roman"/>
          <w:sz w:val="20"/>
          <w:szCs w:val="20"/>
        </w:rPr>
        <w:tab/>
        <w:t>R</w:t>
      </w:r>
      <w:r>
        <w:rPr>
          <w:color w:val="333333"/>
          <w:sz w:val="20"/>
          <w:szCs w:val="20"/>
          <w:shd w:val="clear" w:color="auto" w:fill="FFFFFF"/>
        </w:rPr>
        <w:t xml:space="preserve">egulation (EU) 2016/679, </w:t>
      </w:r>
      <w:r>
        <w:rPr>
          <w:rFonts w:eastAsia="Times New Roman"/>
          <w:sz w:val="20"/>
          <w:szCs w:val="20"/>
        </w:rPr>
        <w:t xml:space="preserve">Regulation (EU) 2018/1725, </w:t>
      </w:r>
      <w:r>
        <w:rPr>
          <w:sz w:val="20"/>
          <w:szCs w:val="20"/>
        </w:rPr>
        <w:t>e.g. Case C-398/15 Manni.</w:t>
      </w:r>
    </w:p>
    <w:p w14:paraId="6F4A21E2" w14:textId="77777777" w:rsidR="0094103F" w:rsidRDefault="0094103F" w:rsidP="001349A7">
      <w:pPr>
        <w:pStyle w:val="FootnoteText"/>
      </w:pPr>
    </w:p>
  </w:footnote>
  <w:footnote w:id="40">
    <w:p w14:paraId="0A02CBA6" w14:textId="77777777" w:rsidR="0094103F" w:rsidRDefault="0094103F">
      <w:pPr>
        <w:pStyle w:val="FootnoteText"/>
      </w:pPr>
      <w:r w:rsidRPr="00EC6C35">
        <w:rPr>
          <w:rStyle w:val="FootnoteReference"/>
        </w:rPr>
        <w:footnoteRef/>
      </w:r>
      <w:r>
        <w:tab/>
        <w:t>Additional assistance could be available through EU instruments, and among others, t</w:t>
      </w:r>
      <w:r w:rsidRPr="00284A23">
        <w:t>he Technical Support Instrument</w:t>
      </w:r>
      <w:r>
        <w:t>, which</w:t>
      </w:r>
      <w:r w:rsidRPr="00284A23">
        <w:t xml:space="preserve"> supports Member States with tailor-made technical expertise to design, develop and implement reforms including on the ease-of-doing business, digitalisation agenda and the use of digital tools.</w:t>
      </w:r>
    </w:p>
  </w:footnote>
  <w:footnote w:id="41">
    <w:p w14:paraId="284B59FA" w14:textId="77777777" w:rsidR="0094103F" w:rsidRPr="003D217C" w:rsidRDefault="0094103F">
      <w:pPr>
        <w:pStyle w:val="FootnoteText"/>
        <w:rPr>
          <w:lang w:val="en-IE"/>
        </w:rPr>
      </w:pPr>
      <w:r w:rsidRPr="00EC6C35">
        <w:rPr>
          <w:rStyle w:val="FootnoteReference"/>
        </w:rPr>
        <w:footnoteRef/>
      </w:r>
      <w:r>
        <w:tab/>
        <w:t>COM(2022) 720 final.</w:t>
      </w:r>
    </w:p>
  </w:footnote>
  <w:footnote w:id="42">
    <w:p w14:paraId="6DC787E9" w14:textId="77777777" w:rsidR="0094103F" w:rsidRPr="00A95639" w:rsidRDefault="0094103F">
      <w:pPr>
        <w:pStyle w:val="FootnoteText"/>
        <w:rPr>
          <w:lang w:val="en-IE"/>
        </w:rPr>
      </w:pPr>
      <w:r w:rsidRPr="00EC6C35">
        <w:rPr>
          <w:rStyle w:val="FootnoteReference"/>
        </w:rPr>
        <w:footnoteRef/>
      </w:r>
      <w:r>
        <w:tab/>
        <w:t>COM(2017) 134 final.</w:t>
      </w:r>
    </w:p>
  </w:footnote>
  <w:footnote w:id="43">
    <w:p w14:paraId="1AB5E969" w14:textId="77777777" w:rsidR="0094103F" w:rsidRPr="005558C4" w:rsidRDefault="0094103F" w:rsidP="000B414B">
      <w:pPr>
        <w:pStyle w:val="FootnoteText"/>
      </w:pPr>
      <w:r w:rsidRPr="00EC6C35">
        <w:rPr>
          <w:rStyle w:val="FootnoteReference"/>
        </w:rPr>
        <w:footnoteRef/>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73–117.</w:t>
      </w:r>
    </w:p>
  </w:footnote>
  <w:footnote w:id="44">
    <w:p w14:paraId="4FC82D0C" w14:textId="77777777" w:rsidR="0094103F" w:rsidRPr="005558C4" w:rsidRDefault="0094103F" w:rsidP="000B414B">
      <w:pPr>
        <w:pStyle w:val="FootnoteText"/>
      </w:pPr>
      <w:r w:rsidRPr="00EC6C35">
        <w:rPr>
          <w:rStyle w:val="FootnoteReference"/>
        </w:rPr>
        <w:footnoteRef/>
      </w:r>
      <w:r>
        <w:tab/>
        <w:t>Regulation (EU) 2015/848 of the European Parliament and of the Council of 20 May 2015 on insolvency proceedings (recast), OJ L 141, 5.6.2015, p. 19–72.</w:t>
      </w:r>
    </w:p>
  </w:footnote>
  <w:footnote w:id="45">
    <w:p w14:paraId="4D74FF46" w14:textId="1DD317E9" w:rsidR="0094103F" w:rsidRPr="002A6761" w:rsidRDefault="0094103F" w:rsidP="00FD087E">
      <w:pPr>
        <w:pStyle w:val="FootnoteText"/>
        <w:rPr>
          <w:lang w:val="en-IE"/>
        </w:rPr>
      </w:pPr>
      <w:r w:rsidRPr="00EC6C35">
        <w:rPr>
          <w:rStyle w:val="FootnoteReference"/>
        </w:rPr>
        <w:footnoteRef/>
      </w:r>
      <w:r w:rsidRPr="002A6761">
        <w:rPr>
          <w:lang w:val="en-IE"/>
        </w:rPr>
        <w:tab/>
        <w:t>OJ C , , p. .</w:t>
      </w:r>
    </w:p>
  </w:footnote>
  <w:footnote w:id="46">
    <w:p w14:paraId="1C71F913" w14:textId="16AB1F3F" w:rsidR="0094103F" w:rsidRPr="002A6761" w:rsidRDefault="0094103F" w:rsidP="00FD087E">
      <w:pPr>
        <w:pStyle w:val="FootnoteText"/>
        <w:rPr>
          <w:lang w:val="en-IE"/>
        </w:rPr>
      </w:pPr>
      <w:r w:rsidRPr="00EC6C35">
        <w:rPr>
          <w:rStyle w:val="FootnoteReference"/>
        </w:rPr>
        <w:footnoteRef/>
      </w:r>
      <w:r w:rsidRPr="002A6761">
        <w:rPr>
          <w:lang w:val="en-IE"/>
        </w:rPr>
        <w:tab/>
        <w:t>OJ C , , p. .</w:t>
      </w:r>
    </w:p>
  </w:footnote>
  <w:footnote w:id="47">
    <w:p w14:paraId="5B6CFCCE" w14:textId="77777777" w:rsidR="0094103F" w:rsidRPr="001E1533" w:rsidRDefault="0094103F" w:rsidP="00FD087E">
      <w:pPr>
        <w:pStyle w:val="FootnoteText"/>
        <w:rPr>
          <w:lang w:val="en-IE"/>
        </w:rPr>
      </w:pPr>
      <w:r w:rsidRPr="00EC6C35">
        <w:rPr>
          <w:rStyle w:val="FootnoteReference"/>
        </w:rPr>
        <w:footnoteRef/>
      </w:r>
      <w:r w:rsidRPr="00CE1BEC">
        <w:rPr>
          <w:lang w:val="en-IE"/>
        </w:rPr>
        <w:tab/>
        <w:t>Directive (EU) 2017/1132 of the European Parliament and of the Council of 14 June 2017 relating to certain aspects of company law (OJ L 169, 30.6.2017, p. 46)</w:t>
      </w:r>
      <w:r>
        <w:rPr>
          <w:lang w:val="en-IE"/>
        </w:rPr>
        <w:t>.</w:t>
      </w:r>
    </w:p>
  </w:footnote>
  <w:footnote w:id="48">
    <w:p w14:paraId="7F2B5FCC" w14:textId="77777777" w:rsidR="0094103F" w:rsidRPr="00115338" w:rsidRDefault="0094103F" w:rsidP="00FD087E">
      <w:pPr>
        <w:pStyle w:val="FootnoteText"/>
      </w:pPr>
      <w:r w:rsidRPr="00EC6C35">
        <w:rPr>
          <w:rStyle w:val="FootnoteReference"/>
        </w:rPr>
        <w:footnoteRef/>
      </w:r>
      <w:r>
        <w:tab/>
        <w:t>Directive (EU) 2019/1151 of the European Parliament and of the Council of 20 June 2019 amending Directive (EU) 2017/1132 as regards the use of digital tools and processes in company law (OJ L 186, 11.7.2019, p. 80)</w:t>
      </w:r>
      <w:r w:rsidRPr="00115338">
        <w:t>.</w:t>
      </w:r>
    </w:p>
  </w:footnote>
  <w:footnote w:id="49">
    <w:p w14:paraId="3E0703B4" w14:textId="77777777" w:rsidR="0094103F" w:rsidRPr="000A0265" w:rsidRDefault="0094103F">
      <w:pPr>
        <w:pStyle w:val="FootnoteText"/>
      </w:pPr>
      <w:r w:rsidRPr="00EC6C35">
        <w:rPr>
          <w:rStyle w:val="FootnoteReference"/>
        </w:rPr>
        <w:footnoteRef/>
      </w:r>
      <w:r>
        <w:tab/>
      </w:r>
      <w:r w:rsidRPr="00E33E2B">
        <w:rPr>
          <w:lang w:val="en-IE"/>
        </w:rPr>
        <w:t>Commission Recommendation of 6 May 2003 concerning the definition of micro, small and medium-sized enterprises (OJ L 124, 20.5.2003, p. 36</w:t>
      </w:r>
      <w:r>
        <w:rPr>
          <w:lang w:val="en-IE"/>
        </w:rPr>
        <w:t>).</w:t>
      </w:r>
    </w:p>
  </w:footnote>
  <w:footnote w:id="50">
    <w:p w14:paraId="2E25EE21" w14:textId="77777777" w:rsidR="0094103F" w:rsidRPr="005D20D4" w:rsidRDefault="0094103F" w:rsidP="00FD087E">
      <w:pPr>
        <w:pStyle w:val="FootnoteText"/>
        <w:rPr>
          <w:lang w:val="en-US"/>
        </w:rPr>
      </w:pPr>
      <w:r w:rsidRPr="00EC6C35">
        <w:rPr>
          <w:rStyle w:val="FootnoteReference"/>
        </w:rPr>
        <w:footnoteRef/>
      </w:r>
      <w:r>
        <w:rPr>
          <w:lang w:val="en-US"/>
        </w:rPr>
        <w:tab/>
      </w:r>
      <w:r w:rsidRPr="00150048">
        <w:rPr>
          <w:shd w:val="clear" w:color="auto" w:fill="FFFFFF"/>
          <w:lang w:val="en-US"/>
        </w:rPr>
        <w:t>COM(2021) 118 final</w:t>
      </w:r>
      <w:r w:rsidRPr="005D20D4">
        <w:rPr>
          <w:color w:val="333333"/>
          <w:shd w:val="clear" w:color="auto" w:fill="FFFFFF"/>
          <w:lang w:val="en-US"/>
        </w:rPr>
        <w:t xml:space="preserve">. </w:t>
      </w:r>
    </w:p>
  </w:footnote>
  <w:footnote w:id="51">
    <w:p w14:paraId="002D2462" w14:textId="77777777" w:rsidR="0094103F" w:rsidRPr="00150048" w:rsidRDefault="0094103F" w:rsidP="00FD087E">
      <w:pPr>
        <w:pStyle w:val="FootnoteText"/>
        <w:rPr>
          <w:lang w:val="en-IE"/>
        </w:rPr>
      </w:pPr>
      <w:r w:rsidRPr="00EC6C35">
        <w:rPr>
          <w:rStyle w:val="FootnoteReference"/>
        </w:rPr>
        <w:footnoteRef/>
      </w:r>
      <w:r>
        <w:tab/>
      </w:r>
      <w:r w:rsidRPr="0051657B">
        <w:rPr>
          <w:shd w:val="clear" w:color="auto" w:fill="FFFFFF"/>
          <w:lang w:val="en-US"/>
        </w:rPr>
        <w:t>COM(2020) 710 final</w:t>
      </w:r>
      <w:r>
        <w:rPr>
          <w:shd w:val="clear" w:color="auto" w:fill="FFFFFF"/>
          <w:lang w:val="en-US"/>
        </w:rPr>
        <w:t>.</w:t>
      </w:r>
    </w:p>
  </w:footnote>
  <w:footnote w:id="52">
    <w:p w14:paraId="5ED98683" w14:textId="77777777" w:rsidR="0094103F" w:rsidRPr="007307CA" w:rsidRDefault="0094103F" w:rsidP="00FD087E">
      <w:pPr>
        <w:pStyle w:val="FootnoteText"/>
        <w:rPr>
          <w:lang w:val="en-IE"/>
        </w:rPr>
      </w:pPr>
      <w:r w:rsidRPr="00EC6C35">
        <w:rPr>
          <w:rStyle w:val="FootnoteReference"/>
        </w:rPr>
        <w:footnoteRef/>
      </w:r>
      <w:r>
        <w:tab/>
      </w:r>
      <w:r>
        <w:rPr>
          <w:lang w:val="en-US"/>
        </w:rPr>
        <w:t xml:space="preserve">COM(2021) </w:t>
      </w:r>
      <w:r>
        <w:t>350 final.</w:t>
      </w:r>
    </w:p>
  </w:footnote>
  <w:footnote w:id="53">
    <w:p w14:paraId="5A0A314C" w14:textId="77777777" w:rsidR="0094103F" w:rsidRPr="008264A6" w:rsidRDefault="0094103F" w:rsidP="00FD087E">
      <w:pPr>
        <w:pStyle w:val="FootnoteText"/>
        <w:rPr>
          <w:lang w:val="en-US"/>
        </w:rPr>
      </w:pPr>
      <w:r w:rsidRPr="00EC6C35">
        <w:rPr>
          <w:rStyle w:val="FootnoteReference"/>
        </w:rPr>
        <w:footnoteRef/>
      </w:r>
      <w:r>
        <w:tab/>
      </w:r>
      <w:r w:rsidRPr="00E84138">
        <w:t>COM(2020) 103 final</w:t>
      </w:r>
      <w:r w:rsidRPr="008264A6">
        <w:t xml:space="preserve">. </w:t>
      </w:r>
    </w:p>
  </w:footnote>
  <w:footnote w:id="54">
    <w:p w14:paraId="54121370" w14:textId="77777777" w:rsidR="0094103F" w:rsidRPr="00DA6539" w:rsidRDefault="0094103F" w:rsidP="00DA6539">
      <w:pPr>
        <w:pStyle w:val="FootnoteText"/>
      </w:pPr>
      <w:r w:rsidRPr="00EC6C35">
        <w:rPr>
          <w:rStyle w:val="FootnoteReference"/>
        </w:rPr>
        <w:footnoteRef/>
      </w:r>
      <w:r>
        <w:tab/>
        <w:t>Regulation (EU) 2018/1724 of the European Parliament and of the Council of 2 October 2018 establishing a single digital gateway to provide access to information, to procedures and to assistance and problem-solving services and amending Regulation (EU) No 1024/2012 (OJ L 295, 21.11.2018, p. 1).</w:t>
      </w:r>
    </w:p>
  </w:footnote>
  <w:footnote w:id="55">
    <w:p w14:paraId="54809FEE" w14:textId="77777777" w:rsidR="0094103F" w:rsidRPr="00DC2BD7" w:rsidRDefault="0094103F" w:rsidP="007B4A88">
      <w:pPr>
        <w:pStyle w:val="FootnoteText"/>
      </w:pPr>
      <w:r w:rsidRPr="00EC6C35">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56">
    <w:p w14:paraId="65844B0B" w14:textId="77777777" w:rsidR="0094103F" w:rsidRPr="003C3A10" w:rsidRDefault="0094103F" w:rsidP="00026874">
      <w:pPr>
        <w:pStyle w:val="FootnoteText"/>
        <w:rPr>
          <w:color w:val="00B050"/>
        </w:rPr>
      </w:pPr>
      <w:r w:rsidRPr="00EC6C35">
        <w:rPr>
          <w:rStyle w:val="FootnoteReference"/>
        </w:rPr>
        <w:footnoteRef/>
      </w:r>
      <w:r w:rsidRPr="003C3A10">
        <w:rPr>
          <w:color w:val="000000" w:themeColor="text1"/>
        </w:rP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w:t>
      </w:r>
      <w:r w:rsidRPr="003C3A10">
        <w:t>OJ L 182, 29.6.2013, p. 19</w:t>
      </w:r>
      <w:r>
        <w:t>)</w:t>
      </w:r>
      <w:r w:rsidRPr="003C3A10">
        <w:t>.</w:t>
      </w:r>
    </w:p>
  </w:footnote>
  <w:footnote w:id="57">
    <w:p w14:paraId="1F3FE02E" w14:textId="77777777" w:rsidR="0094103F" w:rsidRPr="003C05D5" w:rsidRDefault="0094103F">
      <w:pPr>
        <w:pStyle w:val="FootnoteText"/>
      </w:pPr>
      <w:r w:rsidRPr="00EC6C35">
        <w:rPr>
          <w:rStyle w:val="FootnoteReference"/>
        </w:rPr>
        <w:footnoteRef/>
      </w:r>
      <w:r>
        <w:tab/>
        <w:t>Regulation (EU) No 910/2014 of the European Parliament and of the Council of 23 July 2014 on electronic identification and trust services for electronic transactions in the internal market and repealing Directive 1999/93/EC (OJ L 257, 28.8.2014, p. 73).</w:t>
      </w:r>
    </w:p>
  </w:footnote>
  <w:footnote w:id="58">
    <w:p w14:paraId="70880FDD" w14:textId="77777777" w:rsidR="0094103F" w:rsidRPr="002C5E41" w:rsidRDefault="0094103F">
      <w:pPr>
        <w:pStyle w:val="FootnoteText"/>
      </w:pPr>
      <w:r w:rsidRPr="00EC6C35">
        <w:rPr>
          <w:rStyle w:val="FootnoteReference"/>
        </w:rPr>
        <w:footnoteRef/>
      </w:r>
      <w:r>
        <w:tab/>
      </w:r>
      <w:r w:rsidRPr="002F73A1">
        <w:rPr>
          <w:lang w:val="en-IE"/>
        </w:rP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footnote>
  <w:footnote w:id="59">
    <w:p w14:paraId="2ED5723E" w14:textId="77777777" w:rsidR="0094103F" w:rsidRPr="00BD7050" w:rsidRDefault="0094103F" w:rsidP="00FD087E">
      <w:pPr>
        <w:pStyle w:val="FootnoteText"/>
      </w:pPr>
      <w:r w:rsidRPr="00EC6C35">
        <w:rPr>
          <w:rStyle w:val="FootnoteReference"/>
        </w:rPr>
        <w:footnoteRef/>
      </w:r>
      <w:r w:rsidRPr="00BD7050">
        <w:tab/>
        <w:t>Directive (EU) 2018/843 of the European Parliament and of the Council of 30 May 2018 amending Directive (EU) 2015/849 on the prevention of the use of the financial system for the purposes of money laundering or terrorist financing, and amending Directives 2009/138/EC and 2013/36/EU (OJ L 156, 19.6.2018, p. 43)</w:t>
      </w:r>
      <w:r>
        <w:t>.</w:t>
      </w:r>
    </w:p>
  </w:footnote>
  <w:footnote w:id="60">
    <w:p w14:paraId="4D8C9029" w14:textId="77777777" w:rsidR="0094103F" w:rsidRPr="00BD7050" w:rsidRDefault="0094103F" w:rsidP="00FD087E">
      <w:pPr>
        <w:pStyle w:val="FootnoteText"/>
      </w:pPr>
      <w:r w:rsidRPr="00EC6C35">
        <w:rPr>
          <w:rStyle w:val="FootnoteReference"/>
        </w:rPr>
        <w:footnoteRef/>
      </w:r>
      <w:r w:rsidRPr="00BD7050">
        <w:tab/>
        <w:t>Regulation (EU) 2015/848 of the European Parliament and of the Council of 20 May 2015 on insolvency proceedings (recast) (OJ L 141, 5.6.2015, p. 19).</w:t>
      </w:r>
    </w:p>
  </w:footnote>
  <w:footnote w:id="61">
    <w:p w14:paraId="2483545B" w14:textId="77777777" w:rsidR="0094103F" w:rsidRPr="005B76A1" w:rsidRDefault="0094103F" w:rsidP="00AD4980">
      <w:pPr>
        <w:pStyle w:val="FootnoteText"/>
        <w:rPr>
          <w:lang w:val="en-IE"/>
        </w:rPr>
      </w:pPr>
      <w:r w:rsidRPr="00EC6C35">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62">
    <w:p w14:paraId="5D47EA45" w14:textId="77777777" w:rsidR="0094103F" w:rsidRPr="00AD55BE" w:rsidRDefault="0094103F" w:rsidP="00253B22">
      <w:pPr>
        <w:pStyle w:val="FootnoteText"/>
        <w:rPr>
          <w:lang w:val="en-IE"/>
        </w:rPr>
      </w:pPr>
      <w:r w:rsidRPr="00EC6C35">
        <w:rPr>
          <w:rStyle w:val="FootnoteReference"/>
        </w:rPr>
        <w:footnoteRef/>
      </w:r>
      <w:r>
        <w:tab/>
      </w:r>
      <w:r w:rsidRPr="00AD55BE">
        <w:t>Directive (EU) 2016/2102 of the European Parliament and of the Council of 26 October 2016 on the accessibility of the websites and mobile applications of public sector bodies (OJ L 327, 2.12.2016, p. 1</w:t>
      </w:r>
      <w:r>
        <w:t>).</w:t>
      </w:r>
    </w:p>
  </w:footnote>
  <w:footnote w:id="63">
    <w:p w14:paraId="2AF33049" w14:textId="77777777" w:rsidR="0094103F" w:rsidRPr="00186414" w:rsidRDefault="0094103F">
      <w:pPr>
        <w:pStyle w:val="FootnoteText"/>
      </w:pPr>
      <w:r w:rsidRPr="00EC6C35">
        <w:rPr>
          <w:rStyle w:val="FootnoteReference"/>
        </w:rPr>
        <w:footnoteRef/>
      </w:r>
      <w:r>
        <w:tab/>
      </w:r>
      <w:r w:rsidRPr="006A4834">
        <w:t>Directive (EU) 2019/882 of the European Parliament and of the Council of 17 April 2019 on the accessibility requirements for products and services</w:t>
      </w:r>
      <w:r>
        <w:t xml:space="preserve"> (</w:t>
      </w:r>
      <w:r w:rsidRPr="006A4834">
        <w:t>OJ L 151, 7.6.2019, p. 70</w:t>
      </w:r>
      <w:r>
        <w:t>).</w:t>
      </w:r>
    </w:p>
  </w:footnote>
  <w:footnote w:id="64">
    <w:p w14:paraId="4E90247B" w14:textId="77777777" w:rsidR="0094103F" w:rsidRPr="00296930" w:rsidRDefault="0094103F" w:rsidP="00FD087E">
      <w:pPr>
        <w:pStyle w:val="FootnoteText"/>
        <w:rPr>
          <w:lang w:val="en-US"/>
        </w:rPr>
      </w:pPr>
      <w:r w:rsidRPr="00EC6C35">
        <w:rPr>
          <w:rStyle w:val="FootnoteReference"/>
        </w:rPr>
        <w:footnoteRef/>
      </w:r>
      <w:r w:rsidRPr="00296930">
        <w:rPr>
          <w:lang w:val="en-US"/>
        </w:rPr>
        <w:tab/>
        <w:t>OJ C 369, 17.12.2011, p. 14.</w:t>
      </w:r>
    </w:p>
  </w:footnote>
  <w:footnote w:id="65">
    <w:p w14:paraId="0AD452DC" w14:textId="77777777" w:rsidR="0094103F" w:rsidRPr="004435A0" w:rsidRDefault="0094103F" w:rsidP="00393F70">
      <w:pPr>
        <w:pStyle w:val="FootnoteText"/>
        <w:rPr>
          <w:lang w:val="en-IE"/>
        </w:rPr>
      </w:pPr>
      <w:r w:rsidRPr="00EC6C35">
        <w:rPr>
          <w:rStyle w:val="FootnoteReference"/>
        </w:rPr>
        <w:footnoteRef/>
      </w:r>
      <w:r>
        <w:tab/>
        <w:t>Regulation (EU) 2018/1724 of the European Parliament and of the Council of 2 October 2018 establishing a single digital gateway to provide access to information, to procedures and to assistance and problem-solving services and amending Regulation (EU) No 1024/2012 (OJ L 295, 21.11.2018, p. 1).</w:t>
      </w:r>
    </w:p>
  </w:footnote>
  <w:footnote w:id="66">
    <w:p w14:paraId="3FCD5016" w14:textId="6B2EDE96" w:rsidR="00452839" w:rsidRPr="00452839" w:rsidRDefault="00452839">
      <w:pPr>
        <w:pStyle w:val="FootnoteText"/>
      </w:pPr>
      <w:r w:rsidRPr="00F433C6">
        <w:rPr>
          <w:rStyle w:val="FootnoteReference"/>
        </w:rPr>
        <w:footnoteRef/>
      </w:r>
      <w:r w:rsidR="00F433C6">
        <w:tab/>
      </w:r>
      <w:r>
        <w:t xml:space="preserve">See also </w:t>
      </w:r>
      <w:r w:rsidR="0027037F">
        <w:t>Proposal for a R</w:t>
      </w:r>
      <w:r w:rsidRPr="00452839">
        <w:t xml:space="preserve">egulation of the European Parliament and of the Council laying down measures for a high level of public sector interoperability across the Union (Interoperable Europe Act) (COM(2022) 720 final), Communication on a strengthened public sector interoperability policy </w:t>
      </w:r>
      <w:r w:rsidR="0027037F">
        <w:t xml:space="preserve">- </w:t>
      </w:r>
      <w:r w:rsidRPr="00452839">
        <w:t>Linking public services, supporting public policies and delivering public benefits - Towards an ‘Interoperable Europe’ (COM(2022)710 final)</w:t>
      </w:r>
    </w:p>
  </w:footnote>
  <w:footnote w:id="67">
    <w:p w14:paraId="0E7B830A" w14:textId="77777777" w:rsidR="0094103F" w:rsidRPr="00D7685F" w:rsidRDefault="0094103F" w:rsidP="00CC393A">
      <w:pPr>
        <w:pStyle w:val="FootnoteText"/>
        <w:rPr>
          <w:lang w:val="hu-HU"/>
        </w:rPr>
      </w:pPr>
      <w:r w:rsidRPr="00EC6C35">
        <w:rPr>
          <w:rStyle w:val="FootnoteReference"/>
        </w:rPr>
        <w:footnoteRef/>
      </w:r>
      <w:r>
        <w:tab/>
      </w:r>
      <w:r>
        <w:rPr>
          <w:lang w:val="hu-HU"/>
        </w:rPr>
        <w:t>OJ…</w:t>
      </w:r>
    </w:p>
  </w:footnote>
  <w:footnote w:id="68">
    <w:p w14:paraId="335EC431" w14:textId="77777777" w:rsidR="0094103F" w:rsidRDefault="0094103F" w:rsidP="00AB6191">
      <w:pPr>
        <w:pStyle w:val="FootnoteText"/>
        <w:rPr>
          <w:szCs w:val="24"/>
        </w:rPr>
      </w:pPr>
      <w:r w:rsidRPr="00EC6C35">
        <w:rPr>
          <w:rStyle w:val="FootnoteReference"/>
        </w:rPr>
        <w:footnoteRef/>
      </w:r>
      <w:r>
        <w:tab/>
        <w:t>As referred to in Article 58(2)(a) or (b) of the Financial Regulation.</w:t>
      </w:r>
    </w:p>
  </w:footnote>
  <w:footnote w:id="69">
    <w:p w14:paraId="5599500F" w14:textId="77777777" w:rsidR="0094103F" w:rsidRDefault="0094103F" w:rsidP="00AB6191">
      <w:pPr>
        <w:pStyle w:val="FootnoteText"/>
        <w:jc w:val="left"/>
        <w:rPr>
          <w:szCs w:val="24"/>
        </w:rPr>
      </w:pPr>
      <w:r w:rsidRPr="00EC6C35">
        <w:rPr>
          <w:rStyle w:val="FootnoteReference"/>
        </w:rPr>
        <w:footnoteRef/>
      </w:r>
      <w:r>
        <w:tab/>
        <w:t xml:space="preserve">Details of budget implementation methods and references to the Financial Regulation may be found on the BUDGpedia site: </w:t>
      </w:r>
      <w:hyperlink r:id="rId11" w:history="1">
        <w:r w:rsidRPr="00974254">
          <w:rPr>
            <w:rStyle w:val="Hyperlink"/>
          </w:rPr>
          <w:t>https://myintracomm.ec.europa.eu/corp/budget/financial-rules/budget-implementation/Pages/implementation-methods.aspx</w:t>
        </w:r>
      </w:hyperlink>
    </w:p>
  </w:footnote>
  <w:footnote w:id="70">
    <w:p w14:paraId="75A13B7E" w14:textId="77777777" w:rsidR="0094103F" w:rsidRDefault="0094103F" w:rsidP="00AB6191">
      <w:pPr>
        <w:pStyle w:val="FootnoteText"/>
        <w:rPr>
          <w:szCs w:val="24"/>
        </w:rPr>
      </w:pPr>
      <w:r w:rsidRPr="00EC6C35">
        <w:rPr>
          <w:rStyle w:val="FootnoteReference"/>
        </w:rPr>
        <w:footnoteRef/>
      </w:r>
      <w:r>
        <w:tab/>
        <w:t>Diff. = Differentiated appropriations / Non-diff. = Non-differentiated appropriations.</w:t>
      </w:r>
    </w:p>
  </w:footnote>
  <w:footnote w:id="71">
    <w:p w14:paraId="45744E21" w14:textId="77777777" w:rsidR="0094103F" w:rsidRDefault="0094103F" w:rsidP="00AB6191">
      <w:pPr>
        <w:pStyle w:val="FootnoteText"/>
        <w:rPr>
          <w:szCs w:val="24"/>
        </w:rPr>
      </w:pPr>
      <w:r w:rsidRPr="00EC6C35">
        <w:rPr>
          <w:rStyle w:val="FootnoteReference"/>
        </w:rPr>
        <w:footnoteRef/>
      </w:r>
      <w:r>
        <w:tab/>
        <w:t xml:space="preserve">EFTA: European Free Trade Association. </w:t>
      </w:r>
    </w:p>
  </w:footnote>
  <w:footnote w:id="72">
    <w:p w14:paraId="19E61D7C" w14:textId="77777777" w:rsidR="0094103F" w:rsidRDefault="0094103F" w:rsidP="00AB6191">
      <w:pPr>
        <w:pStyle w:val="FootnoteText"/>
        <w:rPr>
          <w:szCs w:val="24"/>
        </w:rPr>
      </w:pPr>
      <w:r w:rsidRPr="00EC6C35">
        <w:rPr>
          <w:rStyle w:val="FootnoteReference"/>
        </w:rPr>
        <w:footnoteRef/>
      </w:r>
      <w:r>
        <w:tab/>
        <w:t>Candidate countries and, where applicable, potential candidates from the Western Balkans.</w:t>
      </w:r>
    </w:p>
  </w:footnote>
  <w:footnote w:id="73">
    <w:p w14:paraId="2C05DB31" w14:textId="77777777" w:rsidR="0094103F" w:rsidRPr="0000351E" w:rsidRDefault="0094103F" w:rsidP="00AB6191">
      <w:pPr>
        <w:pStyle w:val="FootnoteText"/>
        <w:rPr>
          <w:sz w:val="18"/>
          <w:szCs w:val="18"/>
        </w:rPr>
      </w:pPr>
      <w:r w:rsidRPr="00EC6C35">
        <w:rPr>
          <w:rStyle w:val="FootnoteReference"/>
        </w:rPr>
        <w:footnoteRef/>
      </w:r>
      <w:r>
        <w:tab/>
      </w:r>
      <w:r w:rsidRPr="0000351E">
        <w:rPr>
          <w:sz w:val="18"/>
          <w:szCs w:val="18"/>
        </w:rPr>
        <w:t xml:space="preserve">IT development will be </w:t>
      </w:r>
      <w:r>
        <w:rPr>
          <w:sz w:val="18"/>
          <w:szCs w:val="18"/>
        </w:rPr>
        <w:t xml:space="preserve">also </w:t>
      </w:r>
      <w:r w:rsidRPr="0000351E">
        <w:rPr>
          <w:sz w:val="18"/>
          <w:szCs w:val="18"/>
        </w:rPr>
        <w:t>required</w:t>
      </w:r>
      <w:r>
        <w:rPr>
          <w:sz w:val="18"/>
          <w:szCs w:val="18"/>
        </w:rPr>
        <w:t xml:space="preserve"> in the period starting from 2028, to complete the evolutive maintenance, followed by conservative maintenance</w:t>
      </w:r>
      <w:r w:rsidRPr="0000351E">
        <w:rPr>
          <w:sz w:val="18"/>
          <w:szCs w:val="18"/>
        </w:rPr>
        <w:t xml:space="preserve"> </w:t>
      </w:r>
    </w:p>
  </w:footnote>
  <w:footnote w:id="74">
    <w:p w14:paraId="77B6A2AA" w14:textId="77777777" w:rsidR="0094103F" w:rsidRDefault="0094103F" w:rsidP="00AB6191">
      <w:pPr>
        <w:pStyle w:val="FootnoteText"/>
        <w:rPr>
          <w:szCs w:val="24"/>
        </w:rPr>
      </w:pPr>
      <w:r w:rsidRPr="00EC6C35">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75">
    <w:p w14:paraId="348B58FB" w14:textId="77777777" w:rsidR="0094103F" w:rsidRPr="0000351E" w:rsidRDefault="0094103F" w:rsidP="00AB6191">
      <w:pPr>
        <w:pStyle w:val="FootnoteText"/>
        <w:rPr>
          <w:sz w:val="18"/>
          <w:szCs w:val="18"/>
        </w:rPr>
      </w:pPr>
      <w:r w:rsidRPr="00EC6C35">
        <w:rPr>
          <w:rStyle w:val="FootnoteReference"/>
        </w:rPr>
        <w:footnoteRef/>
      </w:r>
      <w:r>
        <w:tab/>
      </w:r>
      <w:r w:rsidRPr="0000351E">
        <w:rPr>
          <w:sz w:val="18"/>
          <w:szCs w:val="18"/>
        </w:rPr>
        <w:t xml:space="preserve">IT development will be </w:t>
      </w:r>
      <w:r>
        <w:rPr>
          <w:sz w:val="18"/>
          <w:szCs w:val="18"/>
        </w:rPr>
        <w:t xml:space="preserve">also </w:t>
      </w:r>
      <w:r w:rsidRPr="0000351E">
        <w:rPr>
          <w:sz w:val="18"/>
          <w:szCs w:val="18"/>
        </w:rPr>
        <w:t>required</w:t>
      </w:r>
      <w:r>
        <w:rPr>
          <w:sz w:val="18"/>
          <w:szCs w:val="18"/>
        </w:rPr>
        <w:t xml:space="preserve"> in the period starting from 2028, to complete the evolutive maintenance, followed by conservative maintenance</w:t>
      </w:r>
      <w:r w:rsidRPr="0000351E">
        <w:rPr>
          <w:sz w:val="18"/>
          <w:szCs w:val="18"/>
        </w:rPr>
        <w:t xml:space="preserve"> </w:t>
      </w:r>
    </w:p>
  </w:footnote>
  <w:footnote w:id="76">
    <w:p w14:paraId="60E16D86" w14:textId="77777777" w:rsidR="0094103F" w:rsidRPr="0000351E" w:rsidRDefault="0094103F" w:rsidP="00AB6191">
      <w:pPr>
        <w:pStyle w:val="FootnoteText"/>
        <w:rPr>
          <w:sz w:val="18"/>
          <w:szCs w:val="18"/>
        </w:rPr>
      </w:pPr>
      <w:r w:rsidRPr="00EC6C35">
        <w:rPr>
          <w:rStyle w:val="FootnoteReference"/>
        </w:rPr>
        <w:footnoteRef/>
      </w:r>
      <w:r>
        <w:tab/>
      </w:r>
      <w:r w:rsidRPr="0000351E">
        <w:rPr>
          <w:sz w:val="18"/>
          <w:szCs w:val="18"/>
        </w:rPr>
        <w:t xml:space="preserve">IT development will be </w:t>
      </w:r>
      <w:r>
        <w:rPr>
          <w:sz w:val="18"/>
          <w:szCs w:val="18"/>
        </w:rPr>
        <w:t xml:space="preserve">also </w:t>
      </w:r>
      <w:r w:rsidRPr="0000351E">
        <w:rPr>
          <w:sz w:val="18"/>
          <w:szCs w:val="18"/>
        </w:rPr>
        <w:t>required</w:t>
      </w:r>
      <w:r>
        <w:rPr>
          <w:sz w:val="18"/>
          <w:szCs w:val="18"/>
        </w:rPr>
        <w:t xml:space="preserve"> in the period starting from 2028, to complete the evolutive maintenance, followed by conservative maintenance</w:t>
      </w:r>
      <w:r w:rsidRPr="0000351E">
        <w:rPr>
          <w:sz w:val="18"/>
          <w:szCs w:val="18"/>
        </w:rPr>
        <w:t xml:space="preserve"> </w:t>
      </w:r>
    </w:p>
  </w:footnote>
  <w:footnote w:id="77">
    <w:p w14:paraId="43338D70" w14:textId="77777777" w:rsidR="0094103F" w:rsidRDefault="0094103F" w:rsidP="00AB6191">
      <w:pPr>
        <w:pStyle w:val="FootnoteText"/>
        <w:rPr>
          <w:szCs w:val="24"/>
        </w:rPr>
      </w:pPr>
      <w:r w:rsidRPr="00EC6C35">
        <w:rPr>
          <w:rStyle w:val="FootnoteReference"/>
        </w:rPr>
        <w:footnoteRef/>
      </w:r>
      <w:r>
        <w:tab/>
        <w:t>Outputs are products and services to be supplied (e.g.: number of student exchanges financed, number of km of roads built, etc.).</w:t>
      </w:r>
    </w:p>
  </w:footnote>
  <w:footnote w:id="78">
    <w:p w14:paraId="2BC5E0C6" w14:textId="77777777" w:rsidR="0094103F" w:rsidRDefault="0094103F" w:rsidP="00AB6191">
      <w:pPr>
        <w:pStyle w:val="FootnoteText"/>
        <w:rPr>
          <w:szCs w:val="24"/>
        </w:rPr>
      </w:pPr>
      <w:r w:rsidRPr="00EC6C35">
        <w:rPr>
          <w:rStyle w:val="FootnoteReference"/>
        </w:rPr>
        <w:footnoteRef/>
      </w:r>
      <w:r>
        <w:rPr>
          <w:szCs w:val="24"/>
        </w:rPr>
        <w:tab/>
      </w:r>
    </w:p>
  </w:footnote>
  <w:footnote w:id="79">
    <w:p w14:paraId="614CD2A9" w14:textId="77777777" w:rsidR="0094103F" w:rsidRDefault="0094103F" w:rsidP="00AB6191">
      <w:pPr>
        <w:pStyle w:val="FootnoteText"/>
        <w:rPr>
          <w:szCs w:val="24"/>
        </w:rPr>
      </w:pPr>
      <w:r w:rsidRPr="00EC6C35">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80">
    <w:p w14:paraId="5B3A8937" w14:textId="77777777" w:rsidR="0094103F" w:rsidRPr="0000351E" w:rsidRDefault="0094103F" w:rsidP="00AB6191">
      <w:pPr>
        <w:pStyle w:val="FootnoteText"/>
        <w:rPr>
          <w:sz w:val="18"/>
          <w:szCs w:val="18"/>
        </w:rPr>
      </w:pPr>
      <w:r w:rsidRPr="00EC6C35">
        <w:rPr>
          <w:rStyle w:val="FootnoteReference"/>
        </w:rPr>
        <w:footnoteRef/>
      </w:r>
      <w:r>
        <w:tab/>
        <w:t xml:space="preserve">Human resources </w:t>
      </w:r>
      <w:r w:rsidRPr="0000351E">
        <w:rPr>
          <w:sz w:val="18"/>
          <w:szCs w:val="18"/>
        </w:rPr>
        <w:t xml:space="preserve">will be </w:t>
      </w:r>
      <w:r>
        <w:rPr>
          <w:sz w:val="18"/>
          <w:szCs w:val="18"/>
        </w:rPr>
        <w:t xml:space="preserve">also </w:t>
      </w:r>
      <w:r w:rsidRPr="0000351E">
        <w:rPr>
          <w:sz w:val="18"/>
          <w:szCs w:val="18"/>
        </w:rPr>
        <w:t>required</w:t>
      </w:r>
      <w:r>
        <w:rPr>
          <w:sz w:val="18"/>
          <w:szCs w:val="18"/>
        </w:rPr>
        <w:t xml:space="preserve"> in the period starting from 2028, to provide business and project management for the system.</w:t>
      </w:r>
      <w:r w:rsidRPr="0000351E">
        <w:rPr>
          <w:sz w:val="18"/>
          <w:szCs w:val="18"/>
        </w:rPr>
        <w:t xml:space="preserve"> </w:t>
      </w:r>
    </w:p>
  </w:footnote>
  <w:footnote w:id="81">
    <w:p w14:paraId="6FAEEB6E" w14:textId="77777777" w:rsidR="0094103F" w:rsidRDefault="0094103F" w:rsidP="00AB6191">
      <w:pPr>
        <w:pStyle w:val="FootnoteText"/>
        <w:rPr>
          <w:szCs w:val="24"/>
        </w:rPr>
      </w:pPr>
      <w:r w:rsidRPr="00EC6C35">
        <w:rPr>
          <w:rStyle w:val="FootnoteReference"/>
        </w:rPr>
        <w:footnoteRef/>
      </w:r>
      <w:r>
        <w:tab/>
        <w:t xml:space="preserve">AC= Contract Staff; AL = Local Staff; END= Seconded National Expert; INT = agency staff; JPD= Junior Professionals in Delegations. </w:t>
      </w:r>
    </w:p>
  </w:footnote>
  <w:footnote w:id="82">
    <w:p w14:paraId="248ABCBF" w14:textId="77777777" w:rsidR="0094103F" w:rsidRDefault="0094103F" w:rsidP="00AB6191">
      <w:pPr>
        <w:pStyle w:val="FootnoteText"/>
        <w:rPr>
          <w:szCs w:val="24"/>
        </w:rPr>
      </w:pPr>
      <w:r w:rsidRPr="00EC6C35">
        <w:rPr>
          <w:rStyle w:val="FootnoteReference"/>
        </w:rPr>
        <w:footnoteRef/>
      </w:r>
      <w:r>
        <w:tab/>
        <w:t>Sub-ceiling for external staff covered by operational appropriations (former ‘BA’ lines).</w:t>
      </w:r>
    </w:p>
  </w:footnote>
  <w:footnote w:id="83">
    <w:p w14:paraId="7977A082" w14:textId="77777777" w:rsidR="0094103F" w:rsidRDefault="0094103F" w:rsidP="00AB6191">
      <w:pPr>
        <w:pStyle w:val="FootnoteText"/>
        <w:rPr>
          <w:szCs w:val="24"/>
        </w:rPr>
      </w:pPr>
      <w:r w:rsidRPr="00EC6C35">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ADC2" w14:textId="77777777" w:rsidR="00B21379" w:rsidRPr="00B21379" w:rsidRDefault="00B21379" w:rsidP="00B2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BD19" w14:textId="77777777" w:rsidR="00B21379" w:rsidRPr="00B21379" w:rsidRDefault="00B21379" w:rsidP="00B21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F2C5" w14:textId="77777777" w:rsidR="00B21379" w:rsidRPr="00B21379" w:rsidRDefault="00B21379" w:rsidP="00B213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3BCC" w14:textId="77777777" w:rsidR="00B21379" w:rsidRPr="00B21379" w:rsidRDefault="00B21379" w:rsidP="00B21379">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A421" w14:textId="77777777" w:rsidR="00B21379" w:rsidRPr="00B21379" w:rsidRDefault="00B21379" w:rsidP="00B21379">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85E121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266C80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500AB3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B0CBDF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9"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4996626"/>
    <w:multiLevelType w:val="hybridMultilevel"/>
    <w:tmpl w:val="69767304"/>
    <w:lvl w:ilvl="0" w:tplc="17BE2C34">
      <w:start w:val="1"/>
      <w:numFmt w:val="bullet"/>
      <w:pStyle w:val="B0List"/>
      <w:lvlText w:val=""/>
      <w:lvlJc w:val="left"/>
      <w:pPr>
        <w:tabs>
          <w:tab w:val="num" w:pos="426"/>
        </w:tabs>
        <w:ind w:left="426" w:hanging="284"/>
      </w:pPr>
      <w:rPr>
        <w:rFonts w:ascii="Symbol" w:hAnsi="Symbol" w:hint="default"/>
        <w:b w:val="0"/>
        <w:i w:val="0"/>
        <w:color w:val="auto"/>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2"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518069EC"/>
    <w:multiLevelType w:val="multilevel"/>
    <w:tmpl w:val="3092B0E6"/>
    <w:lvl w:ilvl="0">
      <w:start w:val="1"/>
      <w:numFmt w:val="none"/>
      <w:lvlText w:val=""/>
      <w:lvlJc w:val="left"/>
      <w:pPr>
        <w:ind w:left="0" w:firstLine="0"/>
      </w:pPr>
    </w:lvl>
    <w:lvl w:ilvl="1">
      <w:start w:val="1"/>
      <w:numFmt w:val="decimal"/>
      <w:lvlText w:val="%2."/>
      <w:lvlJc w:val="left"/>
      <w:pPr>
        <w:ind w:left="851" w:hanging="85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0"/>
  </w:num>
  <w:num w:numId="6">
    <w:abstractNumId w:val="7"/>
  </w:num>
  <w:num w:numId="7">
    <w:abstractNumId w:val="15"/>
  </w:num>
  <w:num w:numId="8">
    <w:abstractNumId w:val="22"/>
  </w:num>
  <w:num w:numId="9">
    <w:abstractNumId w:val="21"/>
  </w:num>
  <w:num w:numId="10">
    <w:abstractNumId w:val="30"/>
  </w:num>
  <w:num w:numId="11">
    <w:abstractNumId w:val="2"/>
  </w:num>
  <w:num w:numId="12">
    <w:abstractNumId w:val="1"/>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9"/>
  </w:num>
  <w:num w:numId="18">
    <w:abstractNumId w:val="20"/>
    <w:lvlOverride w:ilvl="0">
      <w:startOverride w:val="1"/>
    </w:lvlOverride>
  </w:num>
  <w:num w:numId="19">
    <w:abstractNumId w:val="17"/>
    <w:lvlOverride w:ilvl="0">
      <w:startOverride w:val="1"/>
    </w:lvlOverride>
  </w:num>
  <w:num w:numId="20">
    <w:abstractNumId w:val="27"/>
  </w:num>
  <w:num w:numId="21">
    <w:abstractNumId w:val="17"/>
  </w:num>
  <w:num w:numId="22">
    <w:abstractNumId w:val="29"/>
  </w:num>
  <w:num w:numId="23">
    <w:abstractNumId w:val="14"/>
  </w:num>
  <w:num w:numId="24">
    <w:abstractNumId w:val="18"/>
  </w:num>
  <w:num w:numId="25">
    <w:abstractNumId w:val="19"/>
  </w:num>
  <w:num w:numId="26">
    <w:abstractNumId w:val="12"/>
  </w:num>
  <w:num w:numId="27">
    <w:abstractNumId w:val="28"/>
  </w:num>
  <w:num w:numId="28">
    <w:abstractNumId w:val="11"/>
  </w:num>
  <w:num w:numId="29">
    <w:abstractNumId w:val="20"/>
  </w:num>
  <w:num w:numId="30">
    <w:abstractNumId w:val="25"/>
  </w:num>
  <w:num w:numId="31">
    <w:abstractNumId w:val="26"/>
  </w:num>
  <w:num w:numId="32">
    <w:abstractNumId w:val="13"/>
  </w:num>
  <w:num w:numId="33">
    <w:abstractNumId w:val="24"/>
  </w:num>
  <w:num w:numId="34">
    <w:abstractNumId w:val="31"/>
  </w:num>
  <w:num w:numId="35">
    <w:abstractNumId w:val="27"/>
  </w:num>
  <w:num w:numId="36">
    <w:abstractNumId w:val="17"/>
  </w:num>
  <w:num w:numId="37">
    <w:abstractNumId w:val="29"/>
  </w:num>
  <w:num w:numId="38">
    <w:abstractNumId w:val="14"/>
  </w:num>
  <w:num w:numId="39">
    <w:abstractNumId w:val="18"/>
  </w:num>
  <w:num w:numId="40">
    <w:abstractNumId w:val="19"/>
  </w:num>
  <w:num w:numId="41">
    <w:abstractNumId w:val="12"/>
  </w:num>
  <w:num w:numId="42">
    <w:abstractNumId w:val="28"/>
  </w:num>
  <w:num w:numId="43">
    <w:abstractNumId w:val="11"/>
  </w:num>
  <w:num w:numId="44">
    <w:abstractNumId w:val="20"/>
  </w:num>
  <w:num w:numId="45">
    <w:abstractNumId w:val="25"/>
  </w:num>
  <w:num w:numId="46">
    <w:abstractNumId w:val="26"/>
  </w:num>
  <w:num w:numId="47">
    <w:abstractNumId w:val="13"/>
  </w:num>
  <w:num w:numId="48">
    <w:abstractNumId w:val="24"/>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ctiveWritingStyle w:appName="MSWord" w:lang="pl-PL" w:vendorID="64" w:dllVersion="0" w:nlCheck="1" w:checkStyle="0"/>
  <w:activeWritingStyle w:appName="MSWord" w:lang="hu-H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28 17:50:06"/>
    <w:docVar w:name="DQCNUMB_10" w:val="340"/>
    <w:docVar w:name="DQCNUMB_100" w:val="604"/>
    <w:docVar w:name="DQCNUMB_101" w:val="605"/>
    <w:docVar w:name="DQCNUMB_102" w:val="606"/>
    <w:docVar w:name="DQCNUMB_103" w:val="623"/>
    <w:docVar w:name="DQCNUMB_104" w:val="624"/>
    <w:docVar w:name="DQCNUMB_105" w:val="630"/>
    <w:docVar w:name="DQCNUMB_106" w:val="647"/>
    <w:docVar w:name="DQCNUMB_11" w:val="341"/>
    <w:docVar w:name="DQCNUMB_12" w:val="342"/>
    <w:docVar w:name="DQCNUMB_13" w:val="343"/>
    <w:docVar w:name="DQCNUMB_14" w:val="344"/>
    <w:docVar w:name="DQCNUMB_15" w:val="345"/>
    <w:docVar w:name="DQCNUMB_16" w:val="346"/>
    <w:docVar w:name="DQCNUMB_17" w:val="347"/>
    <w:docVar w:name="DQCNUMB_18" w:val="348"/>
    <w:docVar w:name="DQCNUMB_19" w:val="349"/>
    <w:docVar w:name="DQCNUMB_20" w:val="350"/>
    <w:docVar w:name="DQCNUMB_21" w:val="351"/>
    <w:docVar w:name="DQCNUMB_22" w:val="352"/>
    <w:docVar w:name="DQCNUMB_23" w:val="353"/>
    <w:docVar w:name="DQCNUMB_24" w:val="354"/>
    <w:docVar w:name="DQCNUMB_25" w:val="492"/>
    <w:docVar w:name="DQCNUMB_26" w:val="493"/>
    <w:docVar w:name="DQCNUMB_27" w:val="494"/>
    <w:docVar w:name="DQCNUMB_28" w:val="582"/>
    <w:docVar w:name="DQCNUMB_29" w:val="583"/>
    <w:docVar w:name="DQCNUMB_3" w:val="281"/>
    <w:docVar w:name="DQCNUMB_30" w:val="584"/>
    <w:docVar w:name="DQCNUMB_31" w:val="585"/>
    <w:docVar w:name="DQCNUMB_32" w:val="586"/>
    <w:docVar w:name="DQCNUMB_33" w:val="587"/>
    <w:docVar w:name="DQCNUMB_34" w:val="591"/>
    <w:docVar w:name="DQCNUMB_35" w:val="400"/>
    <w:docVar w:name="DQCNUMB_36" w:val="404"/>
    <w:docVar w:name="DQCNUMB_37" w:val="461"/>
    <w:docVar w:name="DQCNUMB_38" w:val="465"/>
    <w:docVar w:name="DQCNUMB_39" w:val="467"/>
    <w:docVar w:name="DQCNUMB_4" w:val="284"/>
    <w:docVar w:name="DQCNUMB_40" w:val="497"/>
    <w:docVar w:name="DQCNUMB_41" w:val="500"/>
    <w:docVar w:name="DQCNUMB_42" w:val="516"/>
    <w:docVar w:name="DQCNUMB_43" w:val="519"/>
    <w:docVar w:name="DQCNUMB_44" w:val="520"/>
    <w:docVar w:name="DQCNUMB_45" w:val="530"/>
    <w:docVar w:name="DQCNUMB_46" w:val="533"/>
    <w:docVar w:name="DQCNUMB_47" w:val="537"/>
    <w:docVar w:name="DQCNUMB_48" w:val="550"/>
    <w:docVar w:name="DQCNUMB_49" w:val="553"/>
    <w:docVar w:name="DQCNUMB_5" w:val="305"/>
    <w:docVar w:name="DQCNUMB_50" w:val="562"/>
    <w:docVar w:name="DQCNUMB_51" w:val="565"/>
    <w:docVar w:name="DQCNUMB_52" w:val="566"/>
    <w:docVar w:name="DQCNUMB_53" w:val="571"/>
    <w:docVar w:name="DQCNUMB_54" w:val="574"/>
    <w:docVar w:name="DQCNUMB_55" w:val="576"/>
    <w:docVar w:name="DQCNUMB_56" w:val="592"/>
    <w:docVar w:name="DQCNUMB_57" w:val="615"/>
    <w:docVar w:name="DQCNUMB_58" w:val="616"/>
    <w:docVar w:name="DQCNUMB_59" w:val="407"/>
    <w:docVar w:name="DQCNUMB_6" w:val="307"/>
    <w:docVar w:name="DQCNUMB_60" w:val="408"/>
    <w:docVar w:name="DQCNUMB_61" w:val="413"/>
    <w:docVar w:name="DQCNUMB_62" w:val="416"/>
    <w:docVar w:name="DQCNUMB_63" w:val="421"/>
    <w:docVar w:name="DQCNUMB_64" w:val="517"/>
    <w:docVar w:name="DQCNUMB_65" w:val="518"/>
    <w:docVar w:name="DQCNUMB_66" w:val="520"/>
    <w:docVar w:name="DQCNUMB_67" w:val="521"/>
    <w:docVar w:name="DQCNUMB_68" w:val="539"/>
    <w:docVar w:name="DQCNUMB_69" w:val="540"/>
    <w:docVar w:name="DQCNUMB_7" w:val="337"/>
    <w:docVar w:name="DQCNUMB_70" w:val="541"/>
    <w:docVar w:name="DQCNUMB_71" w:val="542"/>
    <w:docVar w:name="DQCNUMB_72" w:val="543"/>
    <w:docVar w:name="DQCNUMB_73" w:val="544"/>
    <w:docVar w:name="DQCNUMB_74" w:val="545"/>
    <w:docVar w:name="DQCNUMB_75" w:val="546"/>
    <w:docVar w:name="DQCNUMB_76" w:val="547"/>
    <w:docVar w:name="DQCNUMB_77" w:val="548"/>
    <w:docVar w:name="DQCNUMB_78" w:val="549"/>
    <w:docVar w:name="DQCNUMB_79" w:val="550"/>
    <w:docVar w:name="DQCNUMB_8" w:val="338"/>
    <w:docVar w:name="DQCNUMB_80" w:val="551"/>
    <w:docVar w:name="DQCNUMB_81" w:val="552"/>
    <w:docVar w:name="DQCNUMB_82" w:val="553"/>
    <w:docVar w:name="DQCNUMB_83" w:val="554"/>
    <w:docVar w:name="DQCNUMB_84" w:val="555"/>
    <w:docVar w:name="DQCNUMB_85" w:val="557"/>
    <w:docVar w:name="DQCNUMB_86" w:val="558"/>
    <w:docVar w:name="DQCNUMB_87" w:val="564"/>
    <w:docVar w:name="DQCNUMB_88" w:val="577"/>
    <w:docVar w:name="DQCNUMB_89" w:val="579"/>
    <w:docVar w:name="DQCNUMB_9" w:val="339"/>
    <w:docVar w:name="DQCNUMB_90" w:val="582"/>
    <w:docVar w:name="DQCNUMB_91" w:val="583"/>
    <w:docVar w:name="DQCNUMB_92" w:val="590"/>
    <w:docVar w:name="DQCNUMB_93" w:val="591"/>
    <w:docVar w:name="DQCNUMB_94" w:val="594"/>
    <w:docVar w:name="DQCNUMB_95" w:val="595"/>
    <w:docVar w:name="DQCNUMB_96" w:val="596"/>
    <w:docVar w:name="DQCNUMB_97" w:val="601"/>
    <w:docVar w:name="DQCNUMB_98" w:val="602"/>
    <w:docVar w:name="DQCNUMB_99" w:val="60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1817398-CF4D-41D7-967F-DDE8C4BC2923"/>
    <w:docVar w:name="LW_COVERPAGE_TYPE" w:val="1"/>
    <w:docVar w:name="LW_CROSSREFERENCE" w:val="{SEC(2023) 377 final} - {SWD(2023) 177 final} - {SWD(2023) 178 final} - {SWD(2023) 179 final}"/>
    <w:docVar w:name="LW_DocType" w:val="COM"/>
    <w:docVar w:name="LW_EMISSION" w:val="29.3.2023"/>
    <w:docVar w:name="LW_EMISSION_ISODATE" w:val="2023-03-29"/>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89"/>
    <w:docVar w:name="LW_REF.II.NEW.CP_YEAR" w:val="2023"/>
    <w:docVar w:name="LW_REF.INST.NEW" w:val="COM"/>
    <w:docVar w:name="LW_REF.INST.NEW_ADOPTED" w:val="final"/>
    <w:docVar w:name="LW_REF.INST.NEW_TEXT" w:val="(2023)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s 2009/102/EC and (EU) 2017/1132 as regards further expanding and upgrading the use of digital tools and processes in company law"/>
    <w:docVar w:name="LW_TYPE.DOC.CP" w:val="DIRECTIVE OF THE EUROPEAN PARLIAMENT AND OF THE COUNCIL"/>
    <w:docVar w:name="LwApiVersions" w:val="LW4CoDe 1.23.2.0; LW 8.0, Build 20211117"/>
  </w:docVars>
  <w:rsids>
    <w:rsidRoot w:val="00573A63"/>
    <w:rsid w:val="00000502"/>
    <w:rsid w:val="0000096C"/>
    <w:rsid w:val="00000B2D"/>
    <w:rsid w:val="00001C01"/>
    <w:rsid w:val="000021C2"/>
    <w:rsid w:val="000023D9"/>
    <w:rsid w:val="00002EF2"/>
    <w:rsid w:val="000038D0"/>
    <w:rsid w:val="000043C7"/>
    <w:rsid w:val="0000570B"/>
    <w:rsid w:val="00005C44"/>
    <w:rsid w:val="00007B33"/>
    <w:rsid w:val="000102AC"/>
    <w:rsid w:val="0001116E"/>
    <w:rsid w:val="00011457"/>
    <w:rsid w:val="000116FA"/>
    <w:rsid w:val="0001208A"/>
    <w:rsid w:val="00012767"/>
    <w:rsid w:val="00012FCC"/>
    <w:rsid w:val="000148F2"/>
    <w:rsid w:val="00014A04"/>
    <w:rsid w:val="0001773D"/>
    <w:rsid w:val="00017A82"/>
    <w:rsid w:val="00017B87"/>
    <w:rsid w:val="00017BAC"/>
    <w:rsid w:val="00017FBE"/>
    <w:rsid w:val="00020BC8"/>
    <w:rsid w:val="00021F0A"/>
    <w:rsid w:val="000225F1"/>
    <w:rsid w:val="000234B9"/>
    <w:rsid w:val="0002366E"/>
    <w:rsid w:val="00023B75"/>
    <w:rsid w:val="00023DB1"/>
    <w:rsid w:val="00024075"/>
    <w:rsid w:val="000243C5"/>
    <w:rsid w:val="000261D6"/>
    <w:rsid w:val="00026874"/>
    <w:rsid w:val="00026DAD"/>
    <w:rsid w:val="000271E1"/>
    <w:rsid w:val="00027916"/>
    <w:rsid w:val="0002794B"/>
    <w:rsid w:val="00030B18"/>
    <w:rsid w:val="00031288"/>
    <w:rsid w:val="00031396"/>
    <w:rsid w:val="00031780"/>
    <w:rsid w:val="00032099"/>
    <w:rsid w:val="000321A3"/>
    <w:rsid w:val="000323B4"/>
    <w:rsid w:val="000327D7"/>
    <w:rsid w:val="00032A27"/>
    <w:rsid w:val="00033683"/>
    <w:rsid w:val="00033D02"/>
    <w:rsid w:val="00034166"/>
    <w:rsid w:val="000344CF"/>
    <w:rsid w:val="0003493F"/>
    <w:rsid w:val="000350D7"/>
    <w:rsid w:val="000352F4"/>
    <w:rsid w:val="00036539"/>
    <w:rsid w:val="000366BF"/>
    <w:rsid w:val="00036B99"/>
    <w:rsid w:val="00036E2D"/>
    <w:rsid w:val="0004018E"/>
    <w:rsid w:val="000403A8"/>
    <w:rsid w:val="00040421"/>
    <w:rsid w:val="000434FF"/>
    <w:rsid w:val="000441BD"/>
    <w:rsid w:val="00044E7C"/>
    <w:rsid w:val="00045018"/>
    <w:rsid w:val="00046214"/>
    <w:rsid w:val="00046B78"/>
    <w:rsid w:val="00047C83"/>
    <w:rsid w:val="0005007D"/>
    <w:rsid w:val="000500C2"/>
    <w:rsid w:val="00051EBB"/>
    <w:rsid w:val="0005236C"/>
    <w:rsid w:val="000528DB"/>
    <w:rsid w:val="00052DA1"/>
    <w:rsid w:val="00052F9F"/>
    <w:rsid w:val="00053398"/>
    <w:rsid w:val="000543AD"/>
    <w:rsid w:val="00054BC7"/>
    <w:rsid w:val="00054D9E"/>
    <w:rsid w:val="000576A2"/>
    <w:rsid w:val="00057EB6"/>
    <w:rsid w:val="00060D1F"/>
    <w:rsid w:val="00061374"/>
    <w:rsid w:val="000620ED"/>
    <w:rsid w:val="000627A1"/>
    <w:rsid w:val="00062D0B"/>
    <w:rsid w:val="0006308B"/>
    <w:rsid w:val="00063755"/>
    <w:rsid w:val="0006440D"/>
    <w:rsid w:val="00064E37"/>
    <w:rsid w:val="000668B1"/>
    <w:rsid w:val="000668F5"/>
    <w:rsid w:val="00066D51"/>
    <w:rsid w:val="00066DCF"/>
    <w:rsid w:val="000706FC"/>
    <w:rsid w:val="00071BA0"/>
    <w:rsid w:val="00072CA3"/>
    <w:rsid w:val="00073434"/>
    <w:rsid w:val="000740C4"/>
    <w:rsid w:val="0007416B"/>
    <w:rsid w:val="00074653"/>
    <w:rsid w:val="000764C5"/>
    <w:rsid w:val="00076E46"/>
    <w:rsid w:val="00077B64"/>
    <w:rsid w:val="00077BB7"/>
    <w:rsid w:val="00077E88"/>
    <w:rsid w:val="00080C85"/>
    <w:rsid w:val="00080CDB"/>
    <w:rsid w:val="00080FE3"/>
    <w:rsid w:val="0008197C"/>
    <w:rsid w:val="00084193"/>
    <w:rsid w:val="0008516D"/>
    <w:rsid w:val="00085218"/>
    <w:rsid w:val="00085E73"/>
    <w:rsid w:val="00085FBD"/>
    <w:rsid w:val="0008782A"/>
    <w:rsid w:val="00087DEF"/>
    <w:rsid w:val="00087F13"/>
    <w:rsid w:val="000918D0"/>
    <w:rsid w:val="000929C5"/>
    <w:rsid w:val="00092C1F"/>
    <w:rsid w:val="00093435"/>
    <w:rsid w:val="000935C8"/>
    <w:rsid w:val="00093BA3"/>
    <w:rsid w:val="0009554F"/>
    <w:rsid w:val="00095927"/>
    <w:rsid w:val="00096C5C"/>
    <w:rsid w:val="000979C4"/>
    <w:rsid w:val="00097DFE"/>
    <w:rsid w:val="000A0265"/>
    <w:rsid w:val="000A0481"/>
    <w:rsid w:val="000A146F"/>
    <w:rsid w:val="000A24B3"/>
    <w:rsid w:val="000A2B70"/>
    <w:rsid w:val="000A37F8"/>
    <w:rsid w:val="000A4CB4"/>
    <w:rsid w:val="000A4D06"/>
    <w:rsid w:val="000A5986"/>
    <w:rsid w:val="000A6A57"/>
    <w:rsid w:val="000A6F0D"/>
    <w:rsid w:val="000A6FBA"/>
    <w:rsid w:val="000B08A6"/>
    <w:rsid w:val="000B0AC9"/>
    <w:rsid w:val="000B13E0"/>
    <w:rsid w:val="000B1B57"/>
    <w:rsid w:val="000B1D03"/>
    <w:rsid w:val="000B311E"/>
    <w:rsid w:val="000B349A"/>
    <w:rsid w:val="000B3627"/>
    <w:rsid w:val="000B3E62"/>
    <w:rsid w:val="000B3EDA"/>
    <w:rsid w:val="000B414B"/>
    <w:rsid w:val="000B5DED"/>
    <w:rsid w:val="000B6404"/>
    <w:rsid w:val="000B660F"/>
    <w:rsid w:val="000B6C90"/>
    <w:rsid w:val="000C1A83"/>
    <w:rsid w:val="000C35A6"/>
    <w:rsid w:val="000C6816"/>
    <w:rsid w:val="000C695E"/>
    <w:rsid w:val="000C6B24"/>
    <w:rsid w:val="000C721D"/>
    <w:rsid w:val="000D043E"/>
    <w:rsid w:val="000D04DB"/>
    <w:rsid w:val="000D0DC5"/>
    <w:rsid w:val="000D1C3A"/>
    <w:rsid w:val="000D1D89"/>
    <w:rsid w:val="000D272A"/>
    <w:rsid w:val="000D2A27"/>
    <w:rsid w:val="000D4032"/>
    <w:rsid w:val="000D509F"/>
    <w:rsid w:val="000D5211"/>
    <w:rsid w:val="000D6987"/>
    <w:rsid w:val="000D7976"/>
    <w:rsid w:val="000E0091"/>
    <w:rsid w:val="000E0241"/>
    <w:rsid w:val="000E0E42"/>
    <w:rsid w:val="000E101D"/>
    <w:rsid w:val="000E1A04"/>
    <w:rsid w:val="000E23AF"/>
    <w:rsid w:val="000E2577"/>
    <w:rsid w:val="000E2CD6"/>
    <w:rsid w:val="000E3BEF"/>
    <w:rsid w:val="000E772B"/>
    <w:rsid w:val="000E795B"/>
    <w:rsid w:val="000F04A0"/>
    <w:rsid w:val="000F1793"/>
    <w:rsid w:val="000F276A"/>
    <w:rsid w:val="000F27FC"/>
    <w:rsid w:val="000F354C"/>
    <w:rsid w:val="000F4334"/>
    <w:rsid w:val="000F5113"/>
    <w:rsid w:val="000F533A"/>
    <w:rsid w:val="000F5567"/>
    <w:rsid w:val="000F55AE"/>
    <w:rsid w:val="000F5759"/>
    <w:rsid w:val="000F5E17"/>
    <w:rsid w:val="000F6080"/>
    <w:rsid w:val="000F7962"/>
    <w:rsid w:val="000F7C99"/>
    <w:rsid w:val="0010025D"/>
    <w:rsid w:val="00100EBF"/>
    <w:rsid w:val="00101507"/>
    <w:rsid w:val="00101B5D"/>
    <w:rsid w:val="00101BE2"/>
    <w:rsid w:val="00101C79"/>
    <w:rsid w:val="00102333"/>
    <w:rsid w:val="001037F9"/>
    <w:rsid w:val="001065F5"/>
    <w:rsid w:val="00106925"/>
    <w:rsid w:val="001075D0"/>
    <w:rsid w:val="00107769"/>
    <w:rsid w:val="001077CA"/>
    <w:rsid w:val="001078B6"/>
    <w:rsid w:val="00107F1C"/>
    <w:rsid w:val="00110F62"/>
    <w:rsid w:val="00110F80"/>
    <w:rsid w:val="0011185F"/>
    <w:rsid w:val="00112AC1"/>
    <w:rsid w:val="00116971"/>
    <w:rsid w:val="001177F4"/>
    <w:rsid w:val="00117878"/>
    <w:rsid w:val="0011797E"/>
    <w:rsid w:val="00117C3A"/>
    <w:rsid w:val="00117EB9"/>
    <w:rsid w:val="00117EFE"/>
    <w:rsid w:val="001203CB"/>
    <w:rsid w:val="0012092B"/>
    <w:rsid w:val="00120CC6"/>
    <w:rsid w:val="0012262C"/>
    <w:rsid w:val="00122A7A"/>
    <w:rsid w:val="001238EF"/>
    <w:rsid w:val="00124473"/>
    <w:rsid w:val="00125C90"/>
    <w:rsid w:val="00125F7D"/>
    <w:rsid w:val="00126DE4"/>
    <w:rsid w:val="00127E6A"/>
    <w:rsid w:val="001309A4"/>
    <w:rsid w:val="0013239F"/>
    <w:rsid w:val="00132462"/>
    <w:rsid w:val="00133086"/>
    <w:rsid w:val="0013342A"/>
    <w:rsid w:val="00133B04"/>
    <w:rsid w:val="00133D12"/>
    <w:rsid w:val="001349A7"/>
    <w:rsid w:val="00135111"/>
    <w:rsid w:val="001355DA"/>
    <w:rsid w:val="00136041"/>
    <w:rsid w:val="0013636A"/>
    <w:rsid w:val="00136EB3"/>
    <w:rsid w:val="0014016E"/>
    <w:rsid w:val="00141AD8"/>
    <w:rsid w:val="00141AD9"/>
    <w:rsid w:val="00144325"/>
    <w:rsid w:val="0014557D"/>
    <w:rsid w:val="001467EF"/>
    <w:rsid w:val="00147335"/>
    <w:rsid w:val="00147A2F"/>
    <w:rsid w:val="00147B2E"/>
    <w:rsid w:val="001523A0"/>
    <w:rsid w:val="00153088"/>
    <w:rsid w:val="00153163"/>
    <w:rsid w:val="001548D7"/>
    <w:rsid w:val="00154B1D"/>
    <w:rsid w:val="00154E1E"/>
    <w:rsid w:val="00154EC7"/>
    <w:rsid w:val="00155683"/>
    <w:rsid w:val="00155F15"/>
    <w:rsid w:val="00156364"/>
    <w:rsid w:val="00156415"/>
    <w:rsid w:val="0015778A"/>
    <w:rsid w:val="00160190"/>
    <w:rsid w:val="00160D4D"/>
    <w:rsid w:val="00160ECE"/>
    <w:rsid w:val="00162FEA"/>
    <w:rsid w:val="00163719"/>
    <w:rsid w:val="001637AB"/>
    <w:rsid w:val="001639A7"/>
    <w:rsid w:val="0016589C"/>
    <w:rsid w:val="00166AAC"/>
    <w:rsid w:val="0016771A"/>
    <w:rsid w:val="0016786B"/>
    <w:rsid w:val="001678AF"/>
    <w:rsid w:val="001678B0"/>
    <w:rsid w:val="00170A19"/>
    <w:rsid w:val="0017105B"/>
    <w:rsid w:val="00171097"/>
    <w:rsid w:val="00171824"/>
    <w:rsid w:val="00172617"/>
    <w:rsid w:val="001744FE"/>
    <w:rsid w:val="00174F2B"/>
    <w:rsid w:val="001755F8"/>
    <w:rsid w:val="0017581A"/>
    <w:rsid w:val="00175B0B"/>
    <w:rsid w:val="00175EBD"/>
    <w:rsid w:val="00176122"/>
    <w:rsid w:val="00176826"/>
    <w:rsid w:val="00176986"/>
    <w:rsid w:val="00177280"/>
    <w:rsid w:val="001772F5"/>
    <w:rsid w:val="00177558"/>
    <w:rsid w:val="001802CE"/>
    <w:rsid w:val="00180301"/>
    <w:rsid w:val="0018168A"/>
    <w:rsid w:val="001826C7"/>
    <w:rsid w:val="00184A49"/>
    <w:rsid w:val="00184ACD"/>
    <w:rsid w:val="001853A3"/>
    <w:rsid w:val="00186414"/>
    <w:rsid w:val="00190A25"/>
    <w:rsid w:val="00191053"/>
    <w:rsid w:val="00191A9C"/>
    <w:rsid w:val="00191B7A"/>
    <w:rsid w:val="001928F9"/>
    <w:rsid w:val="0019303F"/>
    <w:rsid w:val="001938F6"/>
    <w:rsid w:val="001946B5"/>
    <w:rsid w:val="0019636F"/>
    <w:rsid w:val="00196666"/>
    <w:rsid w:val="001969F8"/>
    <w:rsid w:val="00197613"/>
    <w:rsid w:val="00197996"/>
    <w:rsid w:val="00197C4C"/>
    <w:rsid w:val="00197D0C"/>
    <w:rsid w:val="001A0DA9"/>
    <w:rsid w:val="001A12ED"/>
    <w:rsid w:val="001A2107"/>
    <w:rsid w:val="001A37D7"/>
    <w:rsid w:val="001A3979"/>
    <w:rsid w:val="001A3A6E"/>
    <w:rsid w:val="001A490F"/>
    <w:rsid w:val="001A4B1B"/>
    <w:rsid w:val="001A4D65"/>
    <w:rsid w:val="001A5497"/>
    <w:rsid w:val="001A62D7"/>
    <w:rsid w:val="001A6B51"/>
    <w:rsid w:val="001A6CDA"/>
    <w:rsid w:val="001B0E85"/>
    <w:rsid w:val="001B231F"/>
    <w:rsid w:val="001B40E8"/>
    <w:rsid w:val="001B4984"/>
    <w:rsid w:val="001B49CE"/>
    <w:rsid w:val="001B6193"/>
    <w:rsid w:val="001B7AD4"/>
    <w:rsid w:val="001B7CA1"/>
    <w:rsid w:val="001C08D3"/>
    <w:rsid w:val="001C1F06"/>
    <w:rsid w:val="001C29E0"/>
    <w:rsid w:val="001C33EF"/>
    <w:rsid w:val="001C4261"/>
    <w:rsid w:val="001C43F9"/>
    <w:rsid w:val="001C538B"/>
    <w:rsid w:val="001C5ACE"/>
    <w:rsid w:val="001C6737"/>
    <w:rsid w:val="001C68F9"/>
    <w:rsid w:val="001C7356"/>
    <w:rsid w:val="001C7A63"/>
    <w:rsid w:val="001C7AA4"/>
    <w:rsid w:val="001D07AE"/>
    <w:rsid w:val="001D09B9"/>
    <w:rsid w:val="001D0CFB"/>
    <w:rsid w:val="001D10F8"/>
    <w:rsid w:val="001D1D0C"/>
    <w:rsid w:val="001D44BE"/>
    <w:rsid w:val="001D5419"/>
    <w:rsid w:val="001D5C33"/>
    <w:rsid w:val="001D5D8A"/>
    <w:rsid w:val="001E034D"/>
    <w:rsid w:val="001E0460"/>
    <w:rsid w:val="001E0762"/>
    <w:rsid w:val="001E0E41"/>
    <w:rsid w:val="001E1533"/>
    <w:rsid w:val="001E1B03"/>
    <w:rsid w:val="001E2202"/>
    <w:rsid w:val="001E2363"/>
    <w:rsid w:val="001E24E2"/>
    <w:rsid w:val="001E27F2"/>
    <w:rsid w:val="001E2AA9"/>
    <w:rsid w:val="001E32A5"/>
    <w:rsid w:val="001E37C5"/>
    <w:rsid w:val="001E476E"/>
    <w:rsid w:val="001E503D"/>
    <w:rsid w:val="001E54BF"/>
    <w:rsid w:val="001E5EB8"/>
    <w:rsid w:val="001E735E"/>
    <w:rsid w:val="001F0B77"/>
    <w:rsid w:val="001F15A9"/>
    <w:rsid w:val="001F1BFF"/>
    <w:rsid w:val="001F1D59"/>
    <w:rsid w:val="001F1DCF"/>
    <w:rsid w:val="001F2095"/>
    <w:rsid w:val="001F23C2"/>
    <w:rsid w:val="001F34EC"/>
    <w:rsid w:val="001F35E0"/>
    <w:rsid w:val="001F3BC6"/>
    <w:rsid w:val="001F3EC3"/>
    <w:rsid w:val="001F5625"/>
    <w:rsid w:val="001F5928"/>
    <w:rsid w:val="001F5E0A"/>
    <w:rsid w:val="001F6092"/>
    <w:rsid w:val="001F6120"/>
    <w:rsid w:val="001F6BB6"/>
    <w:rsid w:val="001F6F58"/>
    <w:rsid w:val="0020077F"/>
    <w:rsid w:val="0020321A"/>
    <w:rsid w:val="002043F1"/>
    <w:rsid w:val="0020463E"/>
    <w:rsid w:val="00204D17"/>
    <w:rsid w:val="0020630D"/>
    <w:rsid w:val="0020658E"/>
    <w:rsid w:val="0020666D"/>
    <w:rsid w:val="0021026C"/>
    <w:rsid w:val="00210CE6"/>
    <w:rsid w:val="00212A93"/>
    <w:rsid w:val="00212C48"/>
    <w:rsid w:val="00212CFD"/>
    <w:rsid w:val="0021406E"/>
    <w:rsid w:val="00214D35"/>
    <w:rsid w:val="002165ED"/>
    <w:rsid w:val="0021674F"/>
    <w:rsid w:val="00216862"/>
    <w:rsid w:val="0021701F"/>
    <w:rsid w:val="002207F8"/>
    <w:rsid w:val="00223037"/>
    <w:rsid w:val="00223657"/>
    <w:rsid w:val="00223E41"/>
    <w:rsid w:val="00224E30"/>
    <w:rsid w:val="002255DF"/>
    <w:rsid w:val="00226594"/>
    <w:rsid w:val="002265EE"/>
    <w:rsid w:val="00226758"/>
    <w:rsid w:val="0022740B"/>
    <w:rsid w:val="00230464"/>
    <w:rsid w:val="0023112C"/>
    <w:rsid w:val="00231800"/>
    <w:rsid w:val="00233412"/>
    <w:rsid w:val="002335CB"/>
    <w:rsid w:val="00233A41"/>
    <w:rsid w:val="00233DC7"/>
    <w:rsid w:val="00233F43"/>
    <w:rsid w:val="00234B44"/>
    <w:rsid w:val="00234C6F"/>
    <w:rsid w:val="00234E75"/>
    <w:rsid w:val="0023532D"/>
    <w:rsid w:val="00235538"/>
    <w:rsid w:val="002369CA"/>
    <w:rsid w:val="00236EF7"/>
    <w:rsid w:val="00237099"/>
    <w:rsid w:val="002419C5"/>
    <w:rsid w:val="0024202B"/>
    <w:rsid w:val="00242634"/>
    <w:rsid w:val="00242ACA"/>
    <w:rsid w:val="00242C48"/>
    <w:rsid w:val="002436BF"/>
    <w:rsid w:val="002440B1"/>
    <w:rsid w:val="002444CF"/>
    <w:rsid w:val="00244665"/>
    <w:rsid w:val="002448B7"/>
    <w:rsid w:val="00245362"/>
    <w:rsid w:val="00245B0B"/>
    <w:rsid w:val="00245C49"/>
    <w:rsid w:val="00246977"/>
    <w:rsid w:val="00246D58"/>
    <w:rsid w:val="00247779"/>
    <w:rsid w:val="00247AA1"/>
    <w:rsid w:val="00250E6A"/>
    <w:rsid w:val="00251BE1"/>
    <w:rsid w:val="00251EF8"/>
    <w:rsid w:val="00252440"/>
    <w:rsid w:val="00252E36"/>
    <w:rsid w:val="00253887"/>
    <w:rsid w:val="00253B22"/>
    <w:rsid w:val="00253C2D"/>
    <w:rsid w:val="00254625"/>
    <w:rsid w:val="002547F9"/>
    <w:rsid w:val="00255A6D"/>
    <w:rsid w:val="00255B05"/>
    <w:rsid w:val="00255C2A"/>
    <w:rsid w:val="00256BBD"/>
    <w:rsid w:val="00256BF8"/>
    <w:rsid w:val="0025709E"/>
    <w:rsid w:val="002578E2"/>
    <w:rsid w:val="00260F72"/>
    <w:rsid w:val="002623AE"/>
    <w:rsid w:val="0026349F"/>
    <w:rsid w:val="00263FE5"/>
    <w:rsid w:val="002645A5"/>
    <w:rsid w:val="002645BA"/>
    <w:rsid w:val="002648F8"/>
    <w:rsid w:val="00265124"/>
    <w:rsid w:val="00266114"/>
    <w:rsid w:val="00266657"/>
    <w:rsid w:val="002671CA"/>
    <w:rsid w:val="0026760A"/>
    <w:rsid w:val="0026769C"/>
    <w:rsid w:val="00270227"/>
    <w:rsid w:val="0027037F"/>
    <w:rsid w:val="00270C64"/>
    <w:rsid w:val="00272420"/>
    <w:rsid w:val="00272473"/>
    <w:rsid w:val="00272EEF"/>
    <w:rsid w:val="00273011"/>
    <w:rsid w:val="00273462"/>
    <w:rsid w:val="00273AE9"/>
    <w:rsid w:val="00275212"/>
    <w:rsid w:val="0027522A"/>
    <w:rsid w:val="00275D3D"/>
    <w:rsid w:val="00275D68"/>
    <w:rsid w:val="002764F1"/>
    <w:rsid w:val="00277333"/>
    <w:rsid w:val="00277D89"/>
    <w:rsid w:val="00280D61"/>
    <w:rsid w:val="002812B5"/>
    <w:rsid w:val="00281311"/>
    <w:rsid w:val="00281387"/>
    <w:rsid w:val="002813AC"/>
    <w:rsid w:val="00281D77"/>
    <w:rsid w:val="00282AA8"/>
    <w:rsid w:val="00283375"/>
    <w:rsid w:val="00284289"/>
    <w:rsid w:val="00284A23"/>
    <w:rsid w:val="00284EB4"/>
    <w:rsid w:val="002857F0"/>
    <w:rsid w:val="00285BEE"/>
    <w:rsid w:val="00286000"/>
    <w:rsid w:val="002862BA"/>
    <w:rsid w:val="00287D35"/>
    <w:rsid w:val="00287DB7"/>
    <w:rsid w:val="00290123"/>
    <w:rsid w:val="0029031E"/>
    <w:rsid w:val="00292393"/>
    <w:rsid w:val="00292E50"/>
    <w:rsid w:val="00293064"/>
    <w:rsid w:val="00293086"/>
    <w:rsid w:val="002931C6"/>
    <w:rsid w:val="00293A78"/>
    <w:rsid w:val="002942F9"/>
    <w:rsid w:val="0029533F"/>
    <w:rsid w:val="00295594"/>
    <w:rsid w:val="00296065"/>
    <w:rsid w:val="00296FA6"/>
    <w:rsid w:val="002978C1"/>
    <w:rsid w:val="002A2194"/>
    <w:rsid w:val="002A4899"/>
    <w:rsid w:val="002A5EB0"/>
    <w:rsid w:val="002A6761"/>
    <w:rsid w:val="002A68AD"/>
    <w:rsid w:val="002B1511"/>
    <w:rsid w:val="002B1C40"/>
    <w:rsid w:val="002B1E77"/>
    <w:rsid w:val="002B2666"/>
    <w:rsid w:val="002B2FE8"/>
    <w:rsid w:val="002B30AF"/>
    <w:rsid w:val="002B4470"/>
    <w:rsid w:val="002B51D3"/>
    <w:rsid w:val="002B666F"/>
    <w:rsid w:val="002B694A"/>
    <w:rsid w:val="002B7AFE"/>
    <w:rsid w:val="002C154A"/>
    <w:rsid w:val="002C1AEF"/>
    <w:rsid w:val="002C23BB"/>
    <w:rsid w:val="002C2E0D"/>
    <w:rsid w:val="002C366B"/>
    <w:rsid w:val="002C4105"/>
    <w:rsid w:val="002C451F"/>
    <w:rsid w:val="002C46CB"/>
    <w:rsid w:val="002C4A91"/>
    <w:rsid w:val="002C4BC9"/>
    <w:rsid w:val="002C4F0F"/>
    <w:rsid w:val="002C5593"/>
    <w:rsid w:val="002C5E41"/>
    <w:rsid w:val="002C70B9"/>
    <w:rsid w:val="002C74D2"/>
    <w:rsid w:val="002D199A"/>
    <w:rsid w:val="002D3975"/>
    <w:rsid w:val="002D39E8"/>
    <w:rsid w:val="002D5E19"/>
    <w:rsid w:val="002D5FED"/>
    <w:rsid w:val="002D7331"/>
    <w:rsid w:val="002E0F2D"/>
    <w:rsid w:val="002E1303"/>
    <w:rsid w:val="002E1D1F"/>
    <w:rsid w:val="002E2324"/>
    <w:rsid w:val="002E4074"/>
    <w:rsid w:val="002E40DF"/>
    <w:rsid w:val="002E5030"/>
    <w:rsid w:val="002E61DD"/>
    <w:rsid w:val="002E79A1"/>
    <w:rsid w:val="002E7C90"/>
    <w:rsid w:val="002E7D55"/>
    <w:rsid w:val="002F037C"/>
    <w:rsid w:val="002F0EBD"/>
    <w:rsid w:val="002F1EBD"/>
    <w:rsid w:val="002F27D5"/>
    <w:rsid w:val="002F285B"/>
    <w:rsid w:val="002F2C70"/>
    <w:rsid w:val="002F2FAC"/>
    <w:rsid w:val="002F3669"/>
    <w:rsid w:val="002F410A"/>
    <w:rsid w:val="002F4735"/>
    <w:rsid w:val="002F48AE"/>
    <w:rsid w:val="002F5375"/>
    <w:rsid w:val="002F5652"/>
    <w:rsid w:val="002F57F7"/>
    <w:rsid w:val="002F69DA"/>
    <w:rsid w:val="002F6BC3"/>
    <w:rsid w:val="002F7410"/>
    <w:rsid w:val="002F77DB"/>
    <w:rsid w:val="002F7A2A"/>
    <w:rsid w:val="002F7F3B"/>
    <w:rsid w:val="00300128"/>
    <w:rsid w:val="00300850"/>
    <w:rsid w:val="0030087D"/>
    <w:rsid w:val="00301035"/>
    <w:rsid w:val="003010D9"/>
    <w:rsid w:val="00301785"/>
    <w:rsid w:val="0030292F"/>
    <w:rsid w:val="003034E1"/>
    <w:rsid w:val="003038B4"/>
    <w:rsid w:val="003041D0"/>
    <w:rsid w:val="00304249"/>
    <w:rsid w:val="00304A64"/>
    <w:rsid w:val="003063B1"/>
    <w:rsid w:val="00306588"/>
    <w:rsid w:val="003065F1"/>
    <w:rsid w:val="00306C4C"/>
    <w:rsid w:val="00307152"/>
    <w:rsid w:val="00307445"/>
    <w:rsid w:val="00307CA2"/>
    <w:rsid w:val="0031034C"/>
    <w:rsid w:val="003109CB"/>
    <w:rsid w:val="00310B4C"/>
    <w:rsid w:val="0031108B"/>
    <w:rsid w:val="00312CD5"/>
    <w:rsid w:val="003138B3"/>
    <w:rsid w:val="003142D6"/>
    <w:rsid w:val="00314698"/>
    <w:rsid w:val="003146E6"/>
    <w:rsid w:val="00314A63"/>
    <w:rsid w:val="00315343"/>
    <w:rsid w:val="003153BE"/>
    <w:rsid w:val="003171D7"/>
    <w:rsid w:val="003174C1"/>
    <w:rsid w:val="00317E0D"/>
    <w:rsid w:val="00320B07"/>
    <w:rsid w:val="003213EA"/>
    <w:rsid w:val="00321FD2"/>
    <w:rsid w:val="0032306C"/>
    <w:rsid w:val="003231D1"/>
    <w:rsid w:val="00323500"/>
    <w:rsid w:val="0032384D"/>
    <w:rsid w:val="00323F1E"/>
    <w:rsid w:val="00324140"/>
    <w:rsid w:val="00324938"/>
    <w:rsid w:val="00324E22"/>
    <w:rsid w:val="00325B5D"/>
    <w:rsid w:val="00326733"/>
    <w:rsid w:val="00326B61"/>
    <w:rsid w:val="00327368"/>
    <w:rsid w:val="00327498"/>
    <w:rsid w:val="00327537"/>
    <w:rsid w:val="00327B6F"/>
    <w:rsid w:val="00327EE4"/>
    <w:rsid w:val="00327F4C"/>
    <w:rsid w:val="0033071B"/>
    <w:rsid w:val="0033154D"/>
    <w:rsid w:val="00331648"/>
    <w:rsid w:val="00332815"/>
    <w:rsid w:val="00333357"/>
    <w:rsid w:val="0033344A"/>
    <w:rsid w:val="003347A6"/>
    <w:rsid w:val="00334C70"/>
    <w:rsid w:val="0033545F"/>
    <w:rsid w:val="00336BE1"/>
    <w:rsid w:val="00336D9C"/>
    <w:rsid w:val="00337783"/>
    <w:rsid w:val="003379F6"/>
    <w:rsid w:val="00340B04"/>
    <w:rsid w:val="00340C66"/>
    <w:rsid w:val="00341998"/>
    <w:rsid w:val="00342803"/>
    <w:rsid w:val="00344A84"/>
    <w:rsid w:val="00346166"/>
    <w:rsid w:val="00346701"/>
    <w:rsid w:val="00346AD6"/>
    <w:rsid w:val="00346AF7"/>
    <w:rsid w:val="003471BF"/>
    <w:rsid w:val="003526B2"/>
    <w:rsid w:val="00352D08"/>
    <w:rsid w:val="003550FD"/>
    <w:rsid w:val="00355C4F"/>
    <w:rsid w:val="003565F6"/>
    <w:rsid w:val="0035669F"/>
    <w:rsid w:val="00356A10"/>
    <w:rsid w:val="00356C9D"/>
    <w:rsid w:val="00356EEB"/>
    <w:rsid w:val="003571AA"/>
    <w:rsid w:val="00357EBB"/>
    <w:rsid w:val="00360013"/>
    <w:rsid w:val="00360375"/>
    <w:rsid w:val="00360F9E"/>
    <w:rsid w:val="00361240"/>
    <w:rsid w:val="003616B3"/>
    <w:rsid w:val="00361DC7"/>
    <w:rsid w:val="0036281F"/>
    <w:rsid w:val="003628C3"/>
    <w:rsid w:val="00362F76"/>
    <w:rsid w:val="003638C7"/>
    <w:rsid w:val="00365A44"/>
    <w:rsid w:val="00365A4C"/>
    <w:rsid w:val="00366467"/>
    <w:rsid w:val="0036688A"/>
    <w:rsid w:val="00366905"/>
    <w:rsid w:val="00366C9E"/>
    <w:rsid w:val="003675E3"/>
    <w:rsid w:val="00367DE8"/>
    <w:rsid w:val="00371FA0"/>
    <w:rsid w:val="0037505A"/>
    <w:rsid w:val="00376D4A"/>
    <w:rsid w:val="00377096"/>
    <w:rsid w:val="00377A0C"/>
    <w:rsid w:val="00377A98"/>
    <w:rsid w:val="00377F78"/>
    <w:rsid w:val="00380B43"/>
    <w:rsid w:val="00380FD1"/>
    <w:rsid w:val="00382582"/>
    <w:rsid w:val="0038287E"/>
    <w:rsid w:val="00383135"/>
    <w:rsid w:val="00383382"/>
    <w:rsid w:val="00385E48"/>
    <w:rsid w:val="00385EAD"/>
    <w:rsid w:val="00386B81"/>
    <w:rsid w:val="00390821"/>
    <w:rsid w:val="00391A85"/>
    <w:rsid w:val="00391D6B"/>
    <w:rsid w:val="00391F0E"/>
    <w:rsid w:val="00392100"/>
    <w:rsid w:val="00392D72"/>
    <w:rsid w:val="00393142"/>
    <w:rsid w:val="00393F64"/>
    <w:rsid w:val="00393F70"/>
    <w:rsid w:val="00394EA4"/>
    <w:rsid w:val="003951B9"/>
    <w:rsid w:val="003951FC"/>
    <w:rsid w:val="003957A8"/>
    <w:rsid w:val="00395811"/>
    <w:rsid w:val="003958BF"/>
    <w:rsid w:val="00395ABF"/>
    <w:rsid w:val="003966F9"/>
    <w:rsid w:val="00396ACE"/>
    <w:rsid w:val="003978B2"/>
    <w:rsid w:val="00397956"/>
    <w:rsid w:val="003A098D"/>
    <w:rsid w:val="003A1923"/>
    <w:rsid w:val="003A2640"/>
    <w:rsid w:val="003A2AE4"/>
    <w:rsid w:val="003A2C89"/>
    <w:rsid w:val="003A3689"/>
    <w:rsid w:val="003A39D4"/>
    <w:rsid w:val="003A5FF8"/>
    <w:rsid w:val="003A6731"/>
    <w:rsid w:val="003A6BE6"/>
    <w:rsid w:val="003A6CEE"/>
    <w:rsid w:val="003A7D7C"/>
    <w:rsid w:val="003B0392"/>
    <w:rsid w:val="003B07AB"/>
    <w:rsid w:val="003B07E4"/>
    <w:rsid w:val="003B0E49"/>
    <w:rsid w:val="003B1AC9"/>
    <w:rsid w:val="003B22BC"/>
    <w:rsid w:val="003B28A6"/>
    <w:rsid w:val="003B2B72"/>
    <w:rsid w:val="003B3B14"/>
    <w:rsid w:val="003B3BD9"/>
    <w:rsid w:val="003B56F8"/>
    <w:rsid w:val="003B5E84"/>
    <w:rsid w:val="003B5ED5"/>
    <w:rsid w:val="003B6472"/>
    <w:rsid w:val="003B6576"/>
    <w:rsid w:val="003C05D5"/>
    <w:rsid w:val="003C0C45"/>
    <w:rsid w:val="003C1508"/>
    <w:rsid w:val="003C3A10"/>
    <w:rsid w:val="003C4DDE"/>
    <w:rsid w:val="003C6029"/>
    <w:rsid w:val="003C7520"/>
    <w:rsid w:val="003C7CCF"/>
    <w:rsid w:val="003C7FDB"/>
    <w:rsid w:val="003D0801"/>
    <w:rsid w:val="003D0FDA"/>
    <w:rsid w:val="003D1146"/>
    <w:rsid w:val="003D13DC"/>
    <w:rsid w:val="003D1A46"/>
    <w:rsid w:val="003D1B07"/>
    <w:rsid w:val="003D217C"/>
    <w:rsid w:val="003D32D5"/>
    <w:rsid w:val="003D37A0"/>
    <w:rsid w:val="003D39C8"/>
    <w:rsid w:val="003D3B58"/>
    <w:rsid w:val="003D3E8E"/>
    <w:rsid w:val="003D43E4"/>
    <w:rsid w:val="003D4BFD"/>
    <w:rsid w:val="003D4F03"/>
    <w:rsid w:val="003D679F"/>
    <w:rsid w:val="003D7229"/>
    <w:rsid w:val="003D76CC"/>
    <w:rsid w:val="003D7DF5"/>
    <w:rsid w:val="003E0005"/>
    <w:rsid w:val="003E1594"/>
    <w:rsid w:val="003E2DA6"/>
    <w:rsid w:val="003E3D2F"/>
    <w:rsid w:val="003E6575"/>
    <w:rsid w:val="003E6801"/>
    <w:rsid w:val="003E689A"/>
    <w:rsid w:val="003E722A"/>
    <w:rsid w:val="003E76E7"/>
    <w:rsid w:val="003E7A47"/>
    <w:rsid w:val="003F0A31"/>
    <w:rsid w:val="003F1AA8"/>
    <w:rsid w:val="003F21D6"/>
    <w:rsid w:val="003F2C58"/>
    <w:rsid w:val="003F2EA4"/>
    <w:rsid w:val="003F2EF3"/>
    <w:rsid w:val="003F2F78"/>
    <w:rsid w:val="003F448C"/>
    <w:rsid w:val="003F4597"/>
    <w:rsid w:val="003F5797"/>
    <w:rsid w:val="003F683D"/>
    <w:rsid w:val="003F6ABD"/>
    <w:rsid w:val="003F6C74"/>
    <w:rsid w:val="00401FAC"/>
    <w:rsid w:val="004028C7"/>
    <w:rsid w:val="00404F42"/>
    <w:rsid w:val="00405812"/>
    <w:rsid w:val="00406127"/>
    <w:rsid w:val="00406CF4"/>
    <w:rsid w:val="00406F4F"/>
    <w:rsid w:val="00412343"/>
    <w:rsid w:val="00413CD5"/>
    <w:rsid w:val="00414C94"/>
    <w:rsid w:val="004157E0"/>
    <w:rsid w:val="004203DD"/>
    <w:rsid w:val="00420506"/>
    <w:rsid w:val="00420BBA"/>
    <w:rsid w:val="004222CD"/>
    <w:rsid w:val="0042322B"/>
    <w:rsid w:val="004257C4"/>
    <w:rsid w:val="0042648E"/>
    <w:rsid w:val="0042707C"/>
    <w:rsid w:val="004274B9"/>
    <w:rsid w:val="0042780D"/>
    <w:rsid w:val="004320E3"/>
    <w:rsid w:val="00432A4D"/>
    <w:rsid w:val="0043453C"/>
    <w:rsid w:val="00435BCE"/>
    <w:rsid w:val="00435C8E"/>
    <w:rsid w:val="00440B2C"/>
    <w:rsid w:val="00440CD5"/>
    <w:rsid w:val="004419D7"/>
    <w:rsid w:val="00442248"/>
    <w:rsid w:val="00442909"/>
    <w:rsid w:val="00442DCA"/>
    <w:rsid w:val="004431BF"/>
    <w:rsid w:val="0044335D"/>
    <w:rsid w:val="0044354D"/>
    <w:rsid w:val="0044382D"/>
    <w:rsid w:val="0044420D"/>
    <w:rsid w:val="004456BC"/>
    <w:rsid w:val="00446222"/>
    <w:rsid w:val="00446865"/>
    <w:rsid w:val="00446E1E"/>
    <w:rsid w:val="00446F3D"/>
    <w:rsid w:val="00447095"/>
    <w:rsid w:val="00447382"/>
    <w:rsid w:val="00447BFD"/>
    <w:rsid w:val="0045124E"/>
    <w:rsid w:val="004514AE"/>
    <w:rsid w:val="00451BA2"/>
    <w:rsid w:val="00451DD7"/>
    <w:rsid w:val="00451DFD"/>
    <w:rsid w:val="00452325"/>
    <w:rsid w:val="0045249D"/>
    <w:rsid w:val="00452839"/>
    <w:rsid w:val="00452CC9"/>
    <w:rsid w:val="00453103"/>
    <w:rsid w:val="004535A6"/>
    <w:rsid w:val="00454767"/>
    <w:rsid w:val="00454A43"/>
    <w:rsid w:val="0045549C"/>
    <w:rsid w:val="00455DFA"/>
    <w:rsid w:val="004578C6"/>
    <w:rsid w:val="00457DF0"/>
    <w:rsid w:val="004607C9"/>
    <w:rsid w:val="004617E8"/>
    <w:rsid w:val="00462929"/>
    <w:rsid w:val="00462C7C"/>
    <w:rsid w:val="00462CC9"/>
    <w:rsid w:val="00462DBF"/>
    <w:rsid w:val="004634CC"/>
    <w:rsid w:val="00464249"/>
    <w:rsid w:val="004642C7"/>
    <w:rsid w:val="004646CE"/>
    <w:rsid w:val="00464A51"/>
    <w:rsid w:val="00464BE0"/>
    <w:rsid w:val="004653EA"/>
    <w:rsid w:val="00466920"/>
    <w:rsid w:val="00466A5A"/>
    <w:rsid w:val="00467E2A"/>
    <w:rsid w:val="00470498"/>
    <w:rsid w:val="00470C3B"/>
    <w:rsid w:val="00471F70"/>
    <w:rsid w:val="0047204C"/>
    <w:rsid w:val="0047227A"/>
    <w:rsid w:val="00473162"/>
    <w:rsid w:val="0047318A"/>
    <w:rsid w:val="0047355D"/>
    <w:rsid w:val="00473E54"/>
    <w:rsid w:val="0047401E"/>
    <w:rsid w:val="00474067"/>
    <w:rsid w:val="004757C1"/>
    <w:rsid w:val="0047738B"/>
    <w:rsid w:val="004774EA"/>
    <w:rsid w:val="00477A19"/>
    <w:rsid w:val="00481462"/>
    <w:rsid w:val="004825B1"/>
    <w:rsid w:val="00482C95"/>
    <w:rsid w:val="00483D42"/>
    <w:rsid w:val="00484420"/>
    <w:rsid w:val="00485631"/>
    <w:rsid w:val="00485D39"/>
    <w:rsid w:val="00486902"/>
    <w:rsid w:val="00486EBA"/>
    <w:rsid w:val="0049067B"/>
    <w:rsid w:val="004913DF"/>
    <w:rsid w:val="004926FA"/>
    <w:rsid w:val="00492B68"/>
    <w:rsid w:val="00493578"/>
    <w:rsid w:val="004936D2"/>
    <w:rsid w:val="0049397B"/>
    <w:rsid w:val="00493CB4"/>
    <w:rsid w:val="00495948"/>
    <w:rsid w:val="00495EA3"/>
    <w:rsid w:val="004966F5"/>
    <w:rsid w:val="00496E30"/>
    <w:rsid w:val="00497929"/>
    <w:rsid w:val="00497947"/>
    <w:rsid w:val="00497A88"/>
    <w:rsid w:val="00497E30"/>
    <w:rsid w:val="004A0551"/>
    <w:rsid w:val="004A0669"/>
    <w:rsid w:val="004A1F78"/>
    <w:rsid w:val="004A206B"/>
    <w:rsid w:val="004A359A"/>
    <w:rsid w:val="004A3951"/>
    <w:rsid w:val="004A3C3C"/>
    <w:rsid w:val="004A4FD2"/>
    <w:rsid w:val="004A5122"/>
    <w:rsid w:val="004A54F7"/>
    <w:rsid w:val="004A564D"/>
    <w:rsid w:val="004A6465"/>
    <w:rsid w:val="004A70A5"/>
    <w:rsid w:val="004B018F"/>
    <w:rsid w:val="004B03F4"/>
    <w:rsid w:val="004B0631"/>
    <w:rsid w:val="004B06E1"/>
    <w:rsid w:val="004B11AB"/>
    <w:rsid w:val="004B2FB4"/>
    <w:rsid w:val="004B39E9"/>
    <w:rsid w:val="004B4C2E"/>
    <w:rsid w:val="004B5A7F"/>
    <w:rsid w:val="004B5D76"/>
    <w:rsid w:val="004B7275"/>
    <w:rsid w:val="004B7FBD"/>
    <w:rsid w:val="004C0FE6"/>
    <w:rsid w:val="004C19BC"/>
    <w:rsid w:val="004C1C0E"/>
    <w:rsid w:val="004C2D77"/>
    <w:rsid w:val="004C3314"/>
    <w:rsid w:val="004C3C5C"/>
    <w:rsid w:val="004C4BCE"/>
    <w:rsid w:val="004C568A"/>
    <w:rsid w:val="004C6C27"/>
    <w:rsid w:val="004C6E9A"/>
    <w:rsid w:val="004C7571"/>
    <w:rsid w:val="004D0A2F"/>
    <w:rsid w:val="004D0EE6"/>
    <w:rsid w:val="004D15FB"/>
    <w:rsid w:val="004D197A"/>
    <w:rsid w:val="004D2AE7"/>
    <w:rsid w:val="004D2FF8"/>
    <w:rsid w:val="004D304E"/>
    <w:rsid w:val="004D4920"/>
    <w:rsid w:val="004D4DD7"/>
    <w:rsid w:val="004D5ED4"/>
    <w:rsid w:val="004D5F89"/>
    <w:rsid w:val="004D60B8"/>
    <w:rsid w:val="004E0F62"/>
    <w:rsid w:val="004E1A7F"/>
    <w:rsid w:val="004E2789"/>
    <w:rsid w:val="004E32EA"/>
    <w:rsid w:val="004E332D"/>
    <w:rsid w:val="004E3931"/>
    <w:rsid w:val="004E3DD8"/>
    <w:rsid w:val="004E53FE"/>
    <w:rsid w:val="004E6BF2"/>
    <w:rsid w:val="004E7640"/>
    <w:rsid w:val="004E7E74"/>
    <w:rsid w:val="004F0259"/>
    <w:rsid w:val="004F07EE"/>
    <w:rsid w:val="004F085E"/>
    <w:rsid w:val="004F0B85"/>
    <w:rsid w:val="004F37FC"/>
    <w:rsid w:val="004F44B8"/>
    <w:rsid w:val="004F4997"/>
    <w:rsid w:val="004F6CCC"/>
    <w:rsid w:val="004F6F16"/>
    <w:rsid w:val="00501435"/>
    <w:rsid w:val="005015D6"/>
    <w:rsid w:val="00501616"/>
    <w:rsid w:val="00501DD3"/>
    <w:rsid w:val="00501F7A"/>
    <w:rsid w:val="005021A5"/>
    <w:rsid w:val="00503626"/>
    <w:rsid w:val="0050449C"/>
    <w:rsid w:val="005047AF"/>
    <w:rsid w:val="00504ACC"/>
    <w:rsid w:val="00505339"/>
    <w:rsid w:val="005056DA"/>
    <w:rsid w:val="005068AE"/>
    <w:rsid w:val="00506D46"/>
    <w:rsid w:val="005075C4"/>
    <w:rsid w:val="00510DB2"/>
    <w:rsid w:val="00510F47"/>
    <w:rsid w:val="0051100B"/>
    <w:rsid w:val="00511094"/>
    <w:rsid w:val="00511FD6"/>
    <w:rsid w:val="00512641"/>
    <w:rsid w:val="00514FF0"/>
    <w:rsid w:val="0051603E"/>
    <w:rsid w:val="0051641E"/>
    <w:rsid w:val="005164C5"/>
    <w:rsid w:val="0051657B"/>
    <w:rsid w:val="00517463"/>
    <w:rsid w:val="00517DD4"/>
    <w:rsid w:val="00522632"/>
    <w:rsid w:val="00522898"/>
    <w:rsid w:val="0052404A"/>
    <w:rsid w:val="00524A32"/>
    <w:rsid w:val="00524F8D"/>
    <w:rsid w:val="00525160"/>
    <w:rsid w:val="005251E4"/>
    <w:rsid w:val="005251EE"/>
    <w:rsid w:val="00525E9B"/>
    <w:rsid w:val="00527DF3"/>
    <w:rsid w:val="00530237"/>
    <w:rsid w:val="005306B8"/>
    <w:rsid w:val="00531BA1"/>
    <w:rsid w:val="00532249"/>
    <w:rsid w:val="00532B50"/>
    <w:rsid w:val="00532FCE"/>
    <w:rsid w:val="0053432C"/>
    <w:rsid w:val="00534905"/>
    <w:rsid w:val="005356FB"/>
    <w:rsid w:val="00535B8B"/>
    <w:rsid w:val="00535E64"/>
    <w:rsid w:val="005367B4"/>
    <w:rsid w:val="0054112B"/>
    <w:rsid w:val="0054232E"/>
    <w:rsid w:val="005423E7"/>
    <w:rsid w:val="00542EB2"/>
    <w:rsid w:val="0054317D"/>
    <w:rsid w:val="00543649"/>
    <w:rsid w:val="00543DC3"/>
    <w:rsid w:val="005442FD"/>
    <w:rsid w:val="00545079"/>
    <w:rsid w:val="00545FE4"/>
    <w:rsid w:val="00546F59"/>
    <w:rsid w:val="00550A5B"/>
    <w:rsid w:val="005516AB"/>
    <w:rsid w:val="005525E1"/>
    <w:rsid w:val="00553B1D"/>
    <w:rsid w:val="00554567"/>
    <w:rsid w:val="0055465C"/>
    <w:rsid w:val="00554750"/>
    <w:rsid w:val="00554E9A"/>
    <w:rsid w:val="00557FFE"/>
    <w:rsid w:val="00560266"/>
    <w:rsid w:val="00560347"/>
    <w:rsid w:val="00561548"/>
    <w:rsid w:val="005619F7"/>
    <w:rsid w:val="00561BE3"/>
    <w:rsid w:val="00561EA7"/>
    <w:rsid w:val="00563036"/>
    <w:rsid w:val="00564C85"/>
    <w:rsid w:val="00566253"/>
    <w:rsid w:val="00566825"/>
    <w:rsid w:val="00567D8B"/>
    <w:rsid w:val="005701EE"/>
    <w:rsid w:val="00570701"/>
    <w:rsid w:val="005721AD"/>
    <w:rsid w:val="00572AC5"/>
    <w:rsid w:val="00573227"/>
    <w:rsid w:val="00573A63"/>
    <w:rsid w:val="005740ED"/>
    <w:rsid w:val="005751AA"/>
    <w:rsid w:val="005754D9"/>
    <w:rsid w:val="005754DA"/>
    <w:rsid w:val="00575C1E"/>
    <w:rsid w:val="00576120"/>
    <w:rsid w:val="00577563"/>
    <w:rsid w:val="00577FA6"/>
    <w:rsid w:val="005800C8"/>
    <w:rsid w:val="005803A7"/>
    <w:rsid w:val="0058184B"/>
    <w:rsid w:val="0058196C"/>
    <w:rsid w:val="00581E94"/>
    <w:rsid w:val="00582150"/>
    <w:rsid w:val="00582626"/>
    <w:rsid w:val="0058331D"/>
    <w:rsid w:val="0058358E"/>
    <w:rsid w:val="00583BCD"/>
    <w:rsid w:val="00584379"/>
    <w:rsid w:val="00585274"/>
    <w:rsid w:val="00585C37"/>
    <w:rsid w:val="005873C7"/>
    <w:rsid w:val="00587966"/>
    <w:rsid w:val="00587B29"/>
    <w:rsid w:val="005901CC"/>
    <w:rsid w:val="005916E0"/>
    <w:rsid w:val="00594049"/>
    <w:rsid w:val="005955FE"/>
    <w:rsid w:val="00595837"/>
    <w:rsid w:val="00596AD8"/>
    <w:rsid w:val="005974B0"/>
    <w:rsid w:val="005A03E1"/>
    <w:rsid w:val="005A0F48"/>
    <w:rsid w:val="005A191B"/>
    <w:rsid w:val="005A1FC9"/>
    <w:rsid w:val="005A263D"/>
    <w:rsid w:val="005A3BBC"/>
    <w:rsid w:val="005A3DAA"/>
    <w:rsid w:val="005A4491"/>
    <w:rsid w:val="005A596E"/>
    <w:rsid w:val="005A5DB2"/>
    <w:rsid w:val="005A5EDA"/>
    <w:rsid w:val="005A7A75"/>
    <w:rsid w:val="005B1EB6"/>
    <w:rsid w:val="005B25D9"/>
    <w:rsid w:val="005B2752"/>
    <w:rsid w:val="005B3F23"/>
    <w:rsid w:val="005B6E62"/>
    <w:rsid w:val="005B7CA2"/>
    <w:rsid w:val="005C0310"/>
    <w:rsid w:val="005C0B4F"/>
    <w:rsid w:val="005C1203"/>
    <w:rsid w:val="005C175F"/>
    <w:rsid w:val="005C1816"/>
    <w:rsid w:val="005C1C0B"/>
    <w:rsid w:val="005C255A"/>
    <w:rsid w:val="005C3A83"/>
    <w:rsid w:val="005C3E2F"/>
    <w:rsid w:val="005C67B8"/>
    <w:rsid w:val="005C6CAB"/>
    <w:rsid w:val="005C6E6A"/>
    <w:rsid w:val="005C7CF7"/>
    <w:rsid w:val="005D0B8E"/>
    <w:rsid w:val="005D0BDA"/>
    <w:rsid w:val="005D1B2D"/>
    <w:rsid w:val="005D1ECB"/>
    <w:rsid w:val="005D3B40"/>
    <w:rsid w:val="005D3B43"/>
    <w:rsid w:val="005D603B"/>
    <w:rsid w:val="005D6A23"/>
    <w:rsid w:val="005D6BCE"/>
    <w:rsid w:val="005D71A2"/>
    <w:rsid w:val="005D7572"/>
    <w:rsid w:val="005D7AC4"/>
    <w:rsid w:val="005D7B1B"/>
    <w:rsid w:val="005D7CFA"/>
    <w:rsid w:val="005E03A4"/>
    <w:rsid w:val="005E0B5D"/>
    <w:rsid w:val="005E0C9C"/>
    <w:rsid w:val="005E2B4D"/>
    <w:rsid w:val="005E3185"/>
    <w:rsid w:val="005E31D2"/>
    <w:rsid w:val="005E35B7"/>
    <w:rsid w:val="005E49BA"/>
    <w:rsid w:val="005E57A5"/>
    <w:rsid w:val="005E5F6A"/>
    <w:rsid w:val="005E65D2"/>
    <w:rsid w:val="005E6F04"/>
    <w:rsid w:val="005E7120"/>
    <w:rsid w:val="005E7699"/>
    <w:rsid w:val="005E79D8"/>
    <w:rsid w:val="005F16E1"/>
    <w:rsid w:val="005F1A06"/>
    <w:rsid w:val="005F373A"/>
    <w:rsid w:val="005F47DF"/>
    <w:rsid w:val="005F493F"/>
    <w:rsid w:val="005F4D92"/>
    <w:rsid w:val="005F58B6"/>
    <w:rsid w:val="005F59BF"/>
    <w:rsid w:val="005F5E9E"/>
    <w:rsid w:val="005F6118"/>
    <w:rsid w:val="005F7694"/>
    <w:rsid w:val="005F7AA1"/>
    <w:rsid w:val="0060054A"/>
    <w:rsid w:val="006005D8"/>
    <w:rsid w:val="00600F33"/>
    <w:rsid w:val="00601449"/>
    <w:rsid w:val="00601528"/>
    <w:rsid w:val="00601A30"/>
    <w:rsid w:val="006021F9"/>
    <w:rsid w:val="006025E0"/>
    <w:rsid w:val="00602919"/>
    <w:rsid w:val="00602E91"/>
    <w:rsid w:val="00604143"/>
    <w:rsid w:val="00604CD6"/>
    <w:rsid w:val="006056BD"/>
    <w:rsid w:val="006057CB"/>
    <w:rsid w:val="00606032"/>
    <w:rsid w:val="00606244"/>
    <w:rsid w:val="0060649E"/>
    <w:rsid w:val="00606ADA"/>
    <w:rsid w:val="00610A43"/>
    <w:rsid w:val="00610E21"/>
    <w:rsid w:val="00610FDA"/>
    <w:rsid w:val="006136C6"/>
    <w:rsid w:val="00614A66"/>
    <w:rsid w:val="00615D73"/>
    <w:rsid w:val="00615EC8"/>
    <w:rsid w:val="00615EFE"/>
    <w:rsid w:val="00616745"/>
    <w:rsid w:val="0061684D"/>
    <w:rsid w:val="006172A5"/>
    <w:rsid w:val="0061764E"/>
    <w:rsid w:val="00620543"/>
    <w:rsid w:val="00620D2E"/>
    <w:rsid w:val="00620D87"/>
    <w:rsid w:val="00620FF5"/>
    <w:rsid w:val="006227F5"/>
    <w:rsid w:val="00622949"/>
    <w:rsid w:val="00622FB2"/>
    <w:rsid w:val="0062307A"/>
    <w:rsid w:val="006231B2"/>
    <w:rsid w:val="00623D76"/>
    <w:rsid w:val="0062418C"/>
    <w:rsid w:val="00625020"/>
    <w:rsid w:val="006259A2"/>
    <w:rsid w:val="00625B28"/>
    <w:rsid w:val="00625EEF"/>
    <w:rsid w:val="006272FC"/>
    <w:rsid w:val="0063035A"/>
    <w:rsid w:val="006304DA"/>
    <w:rsid w:val="00630A7C"/>
    <w:rsid w:val="00630A91"/>
    <w:rsid w:val="0063140E"/>
    <w:rsid w:val="00631A5D"/>
    <w:rsid w:val="00632769"/>
    <w:rsid w:val="00632EE5"/>
    <w:rsid w:val="00633FEE"/>
    <w:rsid w:val="006340E7"/>
    <w:rsid w:val="00635966"/>
    <w:rsid w:val="00635BD2"/>
    <w:rsid w:val="00636555"/>
    <w:rsid w:val="0063694F"/>
    <w:rsid w:val="00636F75"/>
    <w:rsid w:val="006374B1"/>
    <w:rsid w:val="00640296"/>
    <w:rsid w:val="00641B36"/>
    <w:rsid w:val="006438B5"/>
    <w:rsid w:val="00644BF7"/>
    <w:rsid w:val="00644E95"/>
    <w:rsid w:val="006459AF"/>
    <w:rsid w:val="006463D7"/>
    <w:rsid w:val="00646A79"/>
    <w:rsid w:val="00647E27"/>
    <w:rsid w:val="00647F50"/>
    <w:rsid w:val="006506F5"/>
    <w:rsid w:val="00650727"/>
    <w:rsid w:val="006508AD"/>
    <w:rsid w:val="00651525"/>
    <w:rsid w:val="006523DF"/>
    <w:rsid w:val="0065274F"/>
    <w:rsid w:val="00654059"/>
    <w:rsid w:val="0065439E"/>
    <w:rsid w:val="00654BAE"/>
    <w:rsid w:val="006551DE"/>
    <w:rsid w:val="00655432"/>
    <w:rsid w:val="00655A27"/>
    <w:rsid w:val="00656170"/>
    <w:rsid w:val="00656262"/>
    <w:rsid w:val="0065629D"/>
    <w:rsid w:val="00656427"/>
    <w:rsid w:val="00656432"/>
    <w:rsid w:val="00656589"/>
    <w:rsid w:val="006565E0"/>
    <w:rsid w:val="00657C1A"/>
    <w:rsid w:val="00657C32"/>
    <w:rsid w:val="0066044D"/>
    <w:rsid w:val="00660D13"/>
    <w:rsid w:val="00660ED3"/>
    <w:rsid w:val="00660F3C"/>
    <w:rsid w:val="00661959"/>
    <w:rsid w:val="00662A43"/>
    <w:rsid w:val="00664A96"/>
    <w:rsid w:val="0066528C"/>
    <w:rsid w:val="00665566"/>
    <w:rsid w:val="0066599E"/>
    <w:rsid w:val="006664E7"/>
    <w:rsid w:val="00666ADA"/>
    <w:rsid w:val="00667406"/>
    <w:rsid w:val="00670A17"/>
    <w:rsid w:val="00670A47"/>
    <w:rsid w:val="00670B60"/>
    <w:rsid w:val="00671390"/>
    <w:rsid w:val="00671AB2"/>
    <w:rsid w:val="00672993"/>
    <w:rsid w:val="00672BE3"/>
    <w:rsid w:val="0067346F"/>
    <w:rsid w:val="00675D2C"/>
    <w:rsid w:val="00676A40"/>
    <w:rsid w:val="00676B54"/>
    <w:rsid w:val="00680BE4"/>
    <w:rsid w:val="00681677"/>
    <w:rsid w:val="00682068"/>
    <w:rsid w:val="00682120"/>
    <w:rsid w:val="0068256F"/>
    <w:rsid w:val="00682DDC"/>
    <w:rsid w:val="00683A36"/>
    <w:rsid w:val="006849DF"/>
    <w:rsid w:val="00684E7B"/>
    <w:rsid w:val="0068575D"/>
    <w:rsid w:val="00685E8A"/>
    <w:rsid w:val="00686E19"/>
    <w:rsid w:val="006878D5"/>
    <w:rsid w:val="00687E16"/>
    <w:rsid w:val="00690357"/>
    <w:rsid w:val="00691E87"/>
    <w:rsid w:val="00692206"/>
    <w:rsid w:val="00692962"/>
    <w:rsid w:val="00692AB5"/>
    <w:rsid w:val="0069461A"/>
    <w:rsid w:val="00694695"/>
    <w:rsid w:val="00695AE8"/>
    <w:rsid w:val="00697C6E"/>
    <w:rsid w:val="006A1247"/>
    <w:rsid w:val="006A2363"/>
    <w:rsid w:val="006A238A"/>
    <w:rsid w:val="006A37A9"/>
    <w:rsid w:val="006A43BD"/>
    <w:rsid w:val="006A4439"/>
    <w:rsid w:val="006A4834"/>
    <w:rsid w:val="006A49D8"/>
    <w:rsid w:val="006A5F86"/>
    <w:rsid w:val="006A71BA"/>
    <w:rsid w:val="006A7F59"/>
    <w:rsid w:val="006B03E7"/>
    <w:rsid w:val="006B1BFC"/>
    <w:rsid w:val="006B23BB"/>
    <w:rsid w:val="006B383F"/>
    <w:rsid w:val="006B46D5"/>
    <w:rsid w:val="006B57DF"/>
    <w:rsid w:val="006B7BAF"/>
    <w:rsid w:val="006B7BE1"/>
    <w:rsid w:val="006C07BC"/>
    <w:rsid w:val="006C2123"/>
    <w:rsid w:val="006C27A1"/>
    <w:rsid w:val="006C2A36"/>
    <w:rsid w:val="006C2F4E"/>
    <w:rsid w:val="006C307B"/>
    <w:rsid w:val="006C54AB"/>
    <w:rsid w:val="006C5686"/>
    <w:rsid w:val="006C5900"/>
    <w:rsid w:val="006C5C66"/>
    <w:rsid w:val="006C5E05"/>
    <w:rsid w:val="006C602B"/>
    <w:rsid w:val="006C6284"/>
    <w:rsid w:val="006C683A"/>
    <w:rsid w:val="006C7DB0"/>
    <w:rsid w:val="006C7FB2"/>
    <w:rsid w:val="006D098C"/>
    <w:rsid w:val="006D0E26"/>
    <w:rsid w:val="006D234D"/>
    <w:rsid w:val="006D2814"/>
    <w:rsid w:val="006D2A99"/>
    <w:rsid w:val="006D2F8C"/>
    <w:rsid w:val="006D30E4"/>
    <w:rsid w:val="006D3FC1"/>
    <w:rsid w:val="006D616D"/>
    <w:rsid w:val="006D66EB"/>
    <w:rsid w:val="006D73D8"/>
    <w:rsid w:val="006E009B"/>
    <w:rsid w:val="006E08F7"/>
    <w:rsid w:val="006E1ABE"/>
    <w:rsid w:val="006E2537"/>
    <w:rsid w:val="006E3098"/>
    <w:rsid w:val="006E313B"/>
    <w:rsid w:val="006E454E"/>
    <w:rsid w:val="006E51C0"/>
    <w:rsid w:val="006E597E"/>
    <w:rsid w:val="006E60C3"/>
    <w:rsid w:val="006F0770"/>
    <w:rsid w:val="006F0BD0"/>
    <w:rsid w:val="006F0EB7"/>
    <w:rsid w:val="006F1DDE"/>
    <w:rsid w:val="006F2103"/>
    <w:rsid w:val="006F2205"/>
    <w:rsid w:val="006F2855"/>
    <w:rsid w:val="006F30C2"/>
    <w:rsid w:val="006F3712"/>
    <w:rsid w:val="006F3ED8"/>
    <w:rsid w:val="006F403D"/>
    <w:rsid w:val="006F40BF"/>
    <w:rsid w:val="006F4E55"/>
    <w:rsid w:val="006F4F46"/>
    <w:rsid w:val="006F524D"/>
    <w:rsid w:val="006F5C71"/>
    <w:rsid w:val="006F5FA9"/>
    <w:rsid w:val="006F6EEC"/>
    <w:rsid w:val="006F752C"/>
    <w:rsid w:val="006F762F"/>
    <w:rsid w:val="00700EF2"/>
    <w:rsid w:val="00701A10"/>
    <w:rsid w:val="0070204E"/>
    <w:rsid w:val="0070314C"/>
    <w:rsid w:val="0070403E"/>
    <w:rsid w:val="007063BB"/>
    <w:rsid w:val="00706C7A"/>
    <w:rsid w:val="00706EEA"/>
    <w:rsid w:val="0070721C"/>
    <w:rsid w:val="00707389"/>
    <w:rsid w:val="0071142E"/>
    <w:rsid w:val="00712A14"/>
    <w:rsid w:val="0071342D"/>
    <w:rsid w:val="00714427"/>
    <w:rsid w:val="0071461E"/>
    <w:rsid w:val="007147C5"/>
    <w:rsid w:val="00714956"/>
    <w:rsid w:val="00714D42"/>
    <w:rsid w:val="00715F66"/>
    <w:rsid w:val="00716EF5"/>
    <w:rsid w:val="0071700A"/>
    <w:rsid w:val="00717169"/>
    <w:rsid w:val="00717BED"/>
    <w:rsid w:val="0072064F"/>
    <w:rsid w:val="0072085E"/>
    <w:rsid w:val="00720AAC"/>
    <w:rsid w:val="007215C7"/>
    <w:rsid w:val="0072271A"/>
    <w:rsid w:val="00722B7B"/>
    <w:rsid w:val="00723304"/>
    <w:rsid w:val="007235F4"/>
    <w:rsid w:val="007236E6"/>
    <w:rsid w:val="00723A51"/>
    <w:rsid w:val="00724205"/>
    <w:rsid w:val="0072641B"/>
    <w:rsid w:val="00726C68"/>
    <w:rsid w:val="00726CF8"/>
    <w:rsid w:val="00727A1D"/>
    <w:rsid w:val="00730106"/>
    <w:rsid w:val="0073018B"/>
    <w:rsid w:val="00731252"/>
    <w:rsid w:val="0073274C"/>
    <w:rsid w:val="00732882"/>
    <w:rsid w:val="007333BA"/>
    <w:rsid w:val="0073382B"/>
    <w:rsid w:val="0073425E"/>
    <w:rsid w:val="0073435C"/>
    <w:rsid w:val="00734DD9"/>
    <w:rsid w:val="007356CF"/>
    <w:rsid w:val="0073619A"/>
    <w:rsid w:val="007400C7"/>
    <w:rsid w:val="00741E6C"/>
    <w:rsid w:val="0074296A"/>
    <w:rsid w:val="0074419A"/>
    <w:rsid w:val="00744228"/>
    <w:rsid w:val="00744E7F"/>
    <w:rsid w:val="007454B5"/>
    <w:rsid w:val="00745587"/>
    <w:rsid w:val="00746B5A"/>
    <w:rsid w:val="0074712B"/>
    <w:rsid w:val="0074767C"/>
    <w:rsid w:val="00751109"/>
    <w:rsid w:val="00751DE6"/>
    <w:rsid w:val="0075212D"/>
    <w:rsid w:val="007525A2"/>
    <w:rsid w:val="00752C58"/>
    <w:rsid w:val="00752FF7"/>
    <w:rsid w:val="00753AA1"/>
    <w:rsid w:val="007548EC"/>
    <w:rsid w:val="0075495F"/>
    <w:rsid w:val="007553D0"/>
    <w:rsid w:val="00755770"/>
    <w:rsid w:val="00755A3E"/>
    <w:rsid w:val="00755B1B"/>
    <w:rsid w:val="00756A91"/>
    <w:rsid w:val="0076116B"/>
    <w:rsid w:val="0076172C"/>
    <w:rsid w:val="00761774"/>
    <w:rsid w:val="007618E0"/>
    <w:rsid w:val="00761938"/>
    <w:rsid w:val="007643E4"/>
    <w:rsid w:val="0076631F"/>
    <w:rsid w:val="00766E76"/>
    <w:rsid w:val="00767106"/>
    <w:rsid w:val="00767CC9"/>
    <w:rsid w:val="00767E13"/>
    <w:rsid w:val="007700BC"/>
    <w:rsid w:val="0077056D"/>
    <w:rsid w:val="00770B92"/>
    <w:rsid w:val="0077179F"/>
    <w:rsid w:val="00771BDC"/>
    <w:rsid w:val="00773331"/>
    <w:rsid w:val="00773791"/>
    <w:rsid w:val="00774316"/>
    <w:rsid w:val="007746A4"/>
    <w:rsid w:val="007750C1"/>
    <w:rsid w:val="00775E89"/>
    <w:rsid w:val="00775FC0"/>
    <w:rsid w:val="00776779"/>
    <w:rsid w:val="00777A40"/>
    <w:rsid w:val="00781E1E"/>
    <w:rsid w:val="007824AD"/>
    <w:rsid w:val="007829A8"/>
    <w:rsid w:val="00783203"/>
    <w:rsid w:val="00783383"/>
    <w:rsid w:val="00783F3B"/>
    <w:rsid w:val="007844C9"/>
    <w:rsid w:val="0078522B"/>
    <w:rsid w:val="00785B78"/>
    <w:rsid w:val="00785DC7"/>
    <w:rsid w:val="0078617B"/>
    <w:rsid w:val="00786D92"/>
    <w:rsid w:val="00787395"/>
    <w:rsid w:val="0079073A"/>
    <w:rsid w:val="00790B0C"/>
    <w:rsid w:val="00790DA9"/>
    <w:rsid w:val="0079113F"/>
    <w:rsid w:val="007911BA"/>
    <w:rsid w:val="00792332"/>
    <w:rsid w:val="00792512"/>
    <w:rsid w:val="0079291A"/>
    <w:rsid w:val="00792C22"/>
    <w:rsid w:val="007932EF"/>
    <w:rsid w:val="00793534"/>
    <w:rsid w:val="007936F3"/>
    <w:rsid w:val="007936FC"/>
    <w:rsid w:val="00793810"/>
    <w:rsid w:val="00793B6F"/>
    <w:rsid w:val="00793C5F"/>
    <w:rsid w:val="00794F79"/>
    <w:rsid w:val="007963F2"/>
    <w:rsid w:val="007A0895"/>
    <w:rsid w:val="007A2269"/>
    <w:rsid w:val="007A2C5F"/>
    <w:rsid w:val="007A3265"/>
    <w:rsid w:val="007A3F75"/>
    <w:rsid w:val="007A5636"/>
    <w:rsid w:val="007A565C"/>
    <w:rsid w:val="007A5E64"/>
    <w:rsid w:val="007A6965"/>
    <w:rsid w:val="007B15F6"/>
    <w:rsid w:val="007B183F"/>
    <w:rsid w:val="007B22EC"/>
    <w:rsid w:val="007B2632"/>
    <w:rsid w:val="007B306A"/>
    <w:rsid w:val="007B4987"/>
    <w:rsid w:val="007B4A88"/>
    <w:rsid w:val="007B4C73"/>
    <w:rsid w:val="007B50CF"/>
    <w:rsid w:val="007B5157"/>
    <w:rsid w:val="007B5B8B"/>
    <w:rsid w:val="007B68EF"/>
    <w:rsid w:val="007B6D58"/>
    <w:rsid w:val="007B6E3E"/>
    <w:rsid w:val="007B6F03"/>
    <w:rsid w:val="007B70B9"/>
    <w:rsid w:val="007B7711"/>
    <w:rsid w:val="007C0A5D"/>
    <w:rsid w:val="007C267E"/>
    <w:rsid w:val="007C3351"/>
    <w:rsid w:val="007C37AF"/>
    <w:rsid w:val="007C3915"/>
    <w:rsid w:val="007C463E"/>
    <w:rsid w:val="007C4B10"/>
    <w:rsid w:val="007C5DA2"/>
    <w:rsid w:val="007C5F32"/>
    <w:rsid w:val="007C625E"/>
    <w:rsid w:val="007D0861"/>
    <w:rsid w:val="007D151D"/>
    <w:rsid w:val="007D21A0"/>
    <w:rsid w:val="007D2D3C"/>
    <w:rsid w:val="007D2D44"/>
    <w:rsid w:val="007D370A"/>
    <w:rsid w:val="007D488C"/>
    <w:rsid w:val="007D4D03"/>
    <w:rsid w:val="007D50FD"/>
    <w:rsid w:val="007D6065"/>
    <w:rsid w:val="007D60BE"/>
    <w:rsid w:val="007D724D"/>
    <w:rsid w:val="007D7250"/>
    <w:rsid w:val="007E05B0"/>
    <w:rsid w:val="007E1075"/>
    <w:rsid w:val="007E1A0A"/>
    <w:rsid w:val="007E1FA6"/>
    <w:rsid w:val="007E2140"/>
    <w:rsid w:val="007E2DA5"/>
    <w:rsid w:val="007E3CC7"/>
    <w:rsid w:val="007E4AC4"/>
    <w:rsid w:val="007E4B49"/>
    <w:rsid w:val="007E4E63"/>
    <w:rsid w:val="007E65FC"/>
    <w:rsid w:val="007E6DAF"/>
    <w:rsid w:val="007E7103"/>
    <w:rsid w:val="007E7241"/>
    <w:rsid w:val="007F0168"/>
    <w:rsid w:val="007F0806"/>
    <w:rsid w:val="007F08AC"/>
    <w:rsid w:val="007F0BC9"/>
    <w:rsid w:val="007F0C16"/>
    <w:rsid w:val="007F162C"/>
    <w:rsid w:val="007F195D"/>
    <w:rsid w:val="007F1BAE"/>
    <w:rsid w:val="007F2946"/>
    <w:rsid w:val="007F3B96"/>
    <w:rsid w:val="007F3DD4"/>
    <w:rsid w:val="007F55FD"/>
    <w:rsid w:val="007F5D7C"/>
    <w:rsid w:val="007F5DA7"/>
    <w:rsid w:val="007F72F0"/>
    <w:rsid w:val="007F7835"/>
    <w:rsid w:val="007F7C2A"/>
    <w:rsid w:val="00800DE2"/>
    <w:rsid w:val="00801835"/>
    <w:rsid w:val="008030B2"/>
    <w:rsid w:val="00803B13"/>
    <w:rsid w:val="008050F2"/>
    <w:rsid w:val="00805276"/>
    <w:rsid w:val="0080573B"/>
    <w:rsid w:val="008065EB"/>
    <w:rsid w:val="00806ED9"/>
    <w:rsid w:val="00810071"/>
    <w:rsid w:val="008101A8"/>
    <w:rsid w:val="00811129"/>
    <w:rsid w:val="00811706"/>
    <w:rsid w:val="008131D3"/>
    <w:rsid w:val="00813E91"/>
    <w:rsid w:val="00813F06"/>
    <w:rsid w:val="00813FFD"/>
    <w:rsid w:val="00816AAA"/>
    <w:rsid w:val="00817C1D"/>
    <w:rsid w:val="00817DDC"/>
    <w:rsid w:val="00821036"/>
    <w:rsid w:val="00821509"/>
    <w:rsid w:val="00821DAD"/>
    <w:rsid w:val="008228B1"/>
    <w:rsid w:val="00822FCB"/>
    <w:rsid w:val="00823D5A"/>
    <w:rsid w:val="00827F27"/>
    <w:rsid w:val="00830807"/>
    <w:rsid w:val="00830B05"/>
    <w:rsid w:val="008313C0"/>
    <w:rsid w:val="008326B8"/>
    <w:rsid w:val="00832A52"/>
    <w:rsid w:val="00833558"/>
    <w:rsid w:val="00833C27"/>
    <w:rsid w:val="00834D5F"/>
    <w:rsid w:val="00835FD9"/>
    <w:rsid w:val="00836BD4"/>
    <w:rsid w:val="00837D1F"/>
    <w:rsid w:val="00840075"/>
    <w:rsid w:val="00840087"/>
    <w:rsid w:val="0084022D"/>
    <w:rsid w:val="00840B14"/>
    <w:rsid w:val="00841932"/>
    <w:rsid w:val="00841E4E"/>
    <w:rsid w:val="00842DF6"/>
    <w:rsid w:val="008434FF"/>
    <w:rsid w:val="00843BFD"/>
    <w:rsid w:val="008464CD"/>
    <w:rsid w:val="00847CEF"/>
    <w:rsid w:val="00850BD6"/>
    <w:rsid w:val="00850E3C"/>
    <w:rsid w:val="008523EF"/>
    <w:rsid w:val="00852698"/>
    <w:rsid w:val="00852C45"/>
    <w:rsid w:val="00853E49"/>
    <w:rsid w:val="00854163"/>
    <w:rsid w:val="008569E5"/>
    <w:rsid w:val="00861D9F"/>
    <w:rsid w:val="008620F9"/>
    <w:rsid w:val="00862517"/>
    <w:rsid w:val="00862658"/>
    <w:rsid w:val="00862EEF"/>
    <w:rsid w:val="00862FF8"/>
    <w:rsid w:val="008632E8"/>
    <w:rsid w:val="00863348"/>
    <w:rsid w:val="00863427"/>
    <w:rsid w:val="0086350E"/>
    <w:rsid w:val="008650CE"/>
    <w:rsid w:val="00865C69"/>
    <w:rsid w:val="008662B0"/>
    <w:rsid w:val="008672FB"/>
    <w:rsid w:val="00867F21"/>
    <w:rsid w:val="008700FA"/>
    <w:rsid w:val="008702AA"/>
    <w:rsid w:val="00870AC0"/>
    <w:rsid w:val="008733AC"/>
    <w:rsid w:val="00874D22"/>
    <w:rsid w:val="008751D9"/>
    <w:rsid w:val="008753D2"/>
    <w:rsid w:val="00875E81"/>
    <w:rsid w:val="0087691F"/>
    <w:rsid w:val="00877D7F"/>
    <w:rsid w:val="00877F13"/>
    <w:rsid w:val="008800A4"/>
    <w:rsid w:val="008806E5"/>
    <w:rsid w:val="00880DDA"/>
    <w:rsid w:val="00880E85"/>
    <w:rsid w:val="00882019"/>
    <w:rsid w:val="00882ACB"/>
    <w:rsid w:val="008830D5"/>
    <w:rsid w:val="0088398E"/>
    <w:rsid w:val="00884190"/>
    <w:rsid w:val="00884D67"/>
    <w:rsid w:val="00884E8C"/>
    <w:rsid w:val="008850F5"/>
    <w:rsid w:val="00887D45"/>
    <w:rsid w:val="008902DD"/>
    <w:rsid w:val="00890622"/>
    <w:rsid w:val="00890A1C"/>
    <w:rsid w:val="00890DD5"/>
    <w:rsid w:val="0089118E"/>
    <w:rsid w:val="008913C2"/>
    <w:rsid w:val="008914A5"/>
    <w:rsid w:val="008915B9"/>
    <w:rsid w:val="00892281"/>
    <w:rsid w:val="00893B85"/>
    <w:rsid w:val="00894096"/>
    <w:rsid w:val="00894390"/>
    <w:rsid w:val="008951A3"/>
    <w:rsid w:val="00895AF8"/>
    <w:rsid w:val="0089643E"/>
    <w:rsid w:val="00896606"/>
    <w:rsid w:val="00896698"/>
    <w:rsid w:val="0089712C"/>
    <w:rsid w:val="008972A9"/>
    <w:rsid w:val="008976F9"/>
    <w:rsid w:val="008A06A5"/>
    <w:rsid w:val="008A0CB9"/>
    <w:rsid w:val="008A1A41"/>
    <w:rsid w:val="008A1FA4"/>
    <w:rsid w:val="008A251C"/>
    <w:rsid w:val="008A2914"/>
    <w:rsid w:val="008A30FB"/>
    <w:rsid w:val="008A3E9E"/>
    <w:rsid w:val="008A4AA7"/>
    <w:rsid w:val="008A4CF1"/>
    <w:rsid w:val="008A4D0F"/>
    <w:rsid w:val="008A53D9"/>
    <w:rsid w:val="008A54D2"/>
    <w:rsid w:val="008A5F8D"/>
    <w:rsid w:val="008A5F9A"/>
    <w:rsid w:val="008A6A03"/>
    <w:rsid w:val="008A6CFD"/>
    <w:rsid w:val="008A763D"/>
    <w:rsid w:val="008A7921"/>
    <w:rsid w:val="008A7B61"/>
    <w:rsid w:val="008A7BAC"/>
    <w:rsid w:val="008B0833"/>
    <w:rsid w:val="008B0EBC"/>
    <w:rsid w:val="008B2C88"/>
    <w:rsid w:val="008B340F"/>
    <w:rsid w:val="008B36F7"/>
    <w:rsid w:val="008B39C4"/>
    <w:rsid w:val="008B4D98"/>
    <w:rsid w:val="008B5743"/>
    <w:rsid w:val="008B5BBD"/>
    <w:rsid w:val="008B5CD3"/>
    <w:rsid w:val="008B60E9"/>
    <w:rsid w:val="008B670A"/>
    <w:rsid w:val="008B7881"/>
    <w:rsid w:val="008C0A94"/>
    <w:rsid w:val="008C2C36"/>
    <w:rsid w:val="008C2CD7"/>
    <w:rsid w:val="008C33A0"/>
    <w:rsid w:val="008C37DF"/>
    <w:rsid w:val="008C4369"/>
    <w:rsid w:val="008C4E4E"/>
    <w:rsid w:val="008C4F17"/>
    <w:rsid w:val="008C5F34"/>
    <w:rsid w:val="008C6D14"/>
    <w:rsid w:val="008C73CB"/>
    <w:rsid w:val="008D0113"/>
    <w:rsid w:val="008D0248"/>
    <w:rsid w:val="008D0BC7"/>
    <w:rsid w:val="008D15E1"/>
    <w:rsid w:val="008D2E75"/>
    <w:rsid w:val="008D3B05"/>
    <w:rsid w:val="008D4AC2"/>
    <w:rsid w:val="008D5502"/>
    <w:rsid w:val="008D5B0F"/>
    <w:rsid w:val="008D67AF"/>
    <w:rsid w:val="008E035B"/>
    <w:rsid w:val="008E0934"/>
    <w:rsid w:val="008E11BE"/>
    <w:rsid w:val="008E1D4C"/>
    <w:rsid w:val="008E304B"/>
    <w:rsid w:val="008E3C90"/>
    <w:rsid w:val="008E3FAF"/>
    <w:rsid w:val="008E4D8E"/>
    <w:rsid w:val="008E5505"/>
    <w:rsid w:val="008E7323"/>
    <w:rsid w:val="008E7FD9"/>
    <w:rsid w:val="008F00C9"/>
    <w:rsid w:val="008F018E"/>
    <w:rsid w:val="008F0242"/>
    <w:rsid w:val="008F0338"/>
    <w:rsid w:val="008F0976"/>
    <w:rsid w:val="008F1777"/>
    <w:rsid w:val="008F1B13"/>
    <w:rsid w:val="008F232E"/>
    <w:rsid w:val="008F2624"/>
    <w:rsid w:val="008F405F"/>
    <w:rsid w:val="008F66C1"/>
    <w:rsid w:val="008F779D"/>
    <w:rsid w:val="008F7A6C"/>
    <w:rsid w:val="0090088F"/>
    <w:rsid w:val="00900FA5"/>
    <w:rsid w:val="0090107E"/>
    <w:rsid w:val="00901684"/>
    <w:rsid w:val="00902437"/>
    <w:rsid w:val="009025B8"/>
    <w:rsid w:val="00902CB6"/>
    <w:rsid w:val="009033F3"/>
    <w:rsid w:val="0090484C"/>
    <w:rsid w:val="00904918"/>
    <w:rsid w:val="009049D4"/>
    <w:rsid w:val="0090673D"/>
    <w:rsid w:val="00906DC3"/>
    <w:rsid w:val="00906F88"/>
    <w:rsid w:val="00910321"/>
    <w:rsid w:val="00910698"/>
    <w:rsid w:val="00910C41"/>
    <w:rsid w:val="00911CF6"/>
    <w:rsid w:val="00912633"/>
    <w:rsid w:val="009127EC"/>
    <w:rsid w:val="0091299F"/>
    <w:rsid w:val="00912B5C"/>
    <w:rsid w:val="00912CC3"/>
    <w:rsid w:val="00913FA1"/>
    <w:rsid w:val="009144E1"/>
    <w:rsid w:val="009146E2"/>
    <w:rsid w:val="009147C0"/>
    <w:rsid w:val="00915F3D"/>
    <w:rsid w:val="00916007"/>
    <w:rsid w:val="00916097"/>
    <w:rsid w:val="00916557"/>
    <w:rsid w:val="009165A0"/>
    <w:rsid w:val="00920D3C"/>
    <w:rsid w:val="00920ED0"/>
    <w:rsid w:val="00921A30"/>
    <w:rsid w:val="00921E00"/>
    <w:rsid w:val="009231D8"/>
    <w:rsid w:val="00923550"/>
    <w:rsid w:val="0092416C"/>
    <w:rsid w:val="00924999"/>
    <w:rsid w:val="00925AF5"/>
    <w:rsid w:val="00925BCA"/>
    <w:rsid w:val="0092629E"/>
    <w:rsid w:val="00926ACD"/>
    <w:rsid w:val="009307C2"/>
    <w:rsid w:val="00930A92"/>
    <w:rsid w:val="00930D32"/>
    <w:rsid w:val="00931E8B"/>
    <w:rsid w:val="00932361"/>
    <w:rsid w:val="0093384F"/>
    <w:rsid w:val="00933CDA"/>
    <w:rsid w:val="009347D7"/>
    <w:rsid w:val="00934C93"/>
    <w:rsid w:val="00935913"/>
    <w:rsid w:val="009369CE"/>
    <w:rsid w:val="00936BDC"/>
    <w:rsid w:val="009379D7"/>
    <w:rsid w:val="00940DFB"/>
    <w:rsid w:val="0094103F"/>
    <w:rsid w:val="00941AF7"/>
    <w:rsid w:val="0094292C"/>
    <w:rsid w:val="00942A14"/>
    <w:rsid w:val="00950713"/>
    <w:rsid w:val="00950714"/>
    <w:rsid w:val="009512E0"/>
    <w:rsid w:val="009513F2"/>
    <w:rsid w:val="00951E6C"/>
    <w:rsid w:val="00952825"/>
    <w:rsid w:val="009538C1"/>
    <w:rsid w:val="00953BAE"/>
    <w:rsid w:val="00953E1A"/>
    <w:rsid w:val="00954001"/>
    <w:rsid w:val="00954A74"/>
    <w:rsid w:val="00954FCE"/>
    <w:rsid w:val="00955567"/>
    <w:rsid w:val="00956786"/>
    <w:rsid w:val="009571AE"/>
    <w:rsid w:val="009572F1"/>
    <w:rsid w:val="009614F0"/>
    <w:rsid w:val="00961615"/>
    <w:rsid w:val="0096183A"/>
    <w:rsid w:val="00961F83"/>
    <w:rsid w:val="00963C0D"/>
    <w:rsid w:val="00964800"/>
    <w:rsid w:val="00964BEF"/>
    <w:rsid w:val="00964DB9"/>
    <w:rsid w:val="00965620"/>
    <w:rsid w:val="00967872"/>
    <w:rsid w:val="00967AD2"/>
    <w:rsid w:val="00970976"/>
    <w:rsid w:val="00970C79"/>
    <w:rsid w:val="00971033"/>
    <w:rsid w:val="009735DD"/>
    <w:rsid w:val="009736E6"/>
    <w:rsid w:val="009739DE"/>
    <w:rsid w:val="0097453E"/>
    <w:rsid w:val="0097553C"/>
    <w:rsid w:val="00975BBA"/>
    <w:rsid w:val="00975C3A"/>
    <w:rsid w:val="00976ADD"/>
    <w:rsid w:val="00976DBE"/>
    <w:rsid w:val="009775CE"/>
    <w:rsid w:val="0098097F"/>
    <w:rsid w:val="00982E76"/>
    <w:rsid w:val="00983345"/>
    <w:rsid w:val="00983947"/>
    <w:rsid w:val="00983C99"/>
    <w:rsid w:val="00984040"/>
    <w:rsid w:val="009842DF"/>
    <w:rsid w:val="00984683"/>
    <w:rsid w:val="00984DCB"/>
    <w:rsid w:val="00985952"/>
    <w:rsid w:val="00985A9D"/>
    <w:rsid w:val="00985F64"/>
    <w:rsid w:val="00986243"/>
    <w:rsid w:val="00987DEB"/>
    <w:rsid w:val="00990CB0"/>
    <w:rsid w:val="00990E1B"/>
    <w:rsid w:val="00990E85"/>
    <w:rsid w:val="009942E0"/>
    <w:rsid w:val="00994585"/>
    <w:rsid w:val="00994C60"/>
    <w:rsid w:val="00995448"/>
    <w:rsid w:val="00995860"/>
    <w:rsid w:val="00995CA7"/>
    <w:rsid w:val="009963CE"/>
    <w:rsid w:val="0099755B"/>
    <w:rsid w:val="00997BA8"/>
    <w:rsid w:val="009A0F12"/>
    <w:rsid w:val="009A100E"/>
    <w:rsid w:val="009A1D57"/>
    <w:rsid w:val="009A2DBF"/>
    <w:rsid w:val="009A2FAF"/>
    <w:rsid w:val="009A33FC"/>
    <w:rsid w:val="009A4433"/>
    <w:rsid w:val="009A604B"/>
    <w:rsid w:val="009A66C9"/>
    <w:rsid w:val="009A6DF1"/>
    <w:rsid w:val="009A7150"/>
    <w:rsid w:val="009A7783"/>
    <w:rsid w:val="009A78BA"/>
    <w:rsid w:val="009B0A76"/>
    <w:rsid w:val="009B2E86"/>
    <w:rsid w:val="009B3B29"/>
    <w:rsid w:val="009B3D3E"/>
    <w:rsid w:val="009B5DC9"/>
    <w:rsid w:val="009B5F10"/>
    <w:rsid w:val="009B6440"/>
    <w:rsid w:val="009B6956"/>
    <w:rsid w:val="009B7077"/>
    <w:rsid w:val="009C0B73"/>
    <w:rsid w:val="009C18D7"/>
    <w:rsid w:val="009C19C5"/>
    <w:rsid w:val="009C1EA6"/>
    <w:rsid w:val="009C21CE"/>
    <w:rsid w:val="009C245A"/>
    <w:rsid w:val="009C27FD"/>
    <w:rsid w:val="009C2B5E"/>
    <w:rsid w:val="009C35AF"/>
    <w:rsid w:val="009C4352"/>
    <w:rsid w:val="009C46BD"/>
    <w:rsid w:val="009C4A9A"/>
    <w:rsid w:val="009C5CC0"/>
    <w:rsid w:val="009C6009"/>
    <w:rsid w:val="009C727C"/>
    <w:rsid w:val="009C790E"/>
    <w:rsid w:val="009D0211"/>
    <w:rsid w:val="009D0392"/>
    <w:rsid w:val="009D0FE6"/>
    <w:rsid w:val="009D13D0"/>
    <w:rsid w:val="009D1C3D"/>
    <w:rsid w:val="009D1D5B"/>
    <w:rsid w:val="009D20DD"/>
    <w:rsid w:val="009D296B"/>
    <w:rsid w:val="009D41E9"/>
    <w:rsid w:val="009D474A"/>
    <w:rsid w:val="009D67AD"/>
    <w:rsid w:val="009D7412"/>
    <w:rsid w:val="009D7B09"/>
    <w:rsid w:val="009E0A80"/>
    <w:rsid w:val="009E1E6B"/>
    <w:rsid w:val="009E2055"/>
    <w:rsid w:val="009E264C"/>
    <w:rsid w:val="009E2F49"/>
    <w:rsid w:val="009E325B"/>
    <w:rsid w:val="009E4762"/>
    <w:rsid w:val="009E4CE7"/>
    <w:rsid w:val="009E5841"/>
    <w:rsid w:val="009E58E6"/>
    <w:rsid w:val="009E5D12"/>
    <w:rsid w:val="009E69DC"/>
    <w:rsid w:val="009E6E0E"/>
    <w:rsid w:val="009F0F77"/>
    <w:rsid w:val="009F1348"/>
    <w:rsid w:val="009F137D"/>
    <w:rsid w:val="009F3FE2"/>
    <w:rsid w:val="009F4B6D"/>
    <w:rsid w:val="009F4F22"/>
    <w:rsid w:val="009F6CF7"/>
    <w:rsid w:val="009F7050"/>
    <w:rsid w:val="009F7184"/>
    <w:rsid w:val="009F7AE5"/>
    <w:rsid w:val="00A00216"/>
    <w:rsid w:val="00A00460"/>
    <w:rsid w:val="00A013A2"/>
    <w:rsid w:val="00A0196E"/>
    <w:rsid w:val="00A01A76"/>
    <w:rsid w:val="00A030F7"/>
    <w:rsid w:val="00A033EA"/>
    <w:rsid w:val="00A0347F"/>
    <w:rsid w:val="00A03E27"/>
    <w:rsid w:val="00A04C07"/>
    <w:rsid w:val="00A04C3F"/>
    <w:rsid w:val="00A05B3E"/>
    <w:rsid w:val="00A066AA"/>
    <w:rsid w:val="00A07A64"/>
    <w:rsid w:val="00A1003F"/>
    <w:rsid w:val="00A109EC"/>
    <w:rsid w:val="00A111C5"/>
    <w:rsid w:val="00A11AB2"/>
    <w:rsid w:val="00A121F7"/>
    <w:rsid w:val="00A12F1E"/>
    <w:rsid w:val="00A140CA"/>
    <w:rsid w:val="00A14676"/>
    <w:rsid w:val="00A14890"/>
    <w:rsid w:val="00A1527A"/>
    <w:rsid w:val="00A15727"/>
    <w:rsid w:val="00A15D74"/>
    <w:rsid w:val="00A166B2"/>
    <w:rsid w:val="00A17072"/>
    <w:rsid w:val="00A17448"/>
    <w:rsid w:val="00A175BA"/>
    <w:rsid w:val="00A17886"/>
    <w:rsid w:val="00A21E3C"/>
    <w:rsid w:val="00A22023"/>
    <w:rsid w:val="00A22899"/>
    <w:rsid w:val="00A23488"/>
    <w:rsid w:val="00A24A5C"/>
    <w:rsid w:val="00A24B73"/>
    <w:rsid w:val="00A24F24"/>
    <w:rsid w:val="00A25671"/>
    <w:rsid w:val="00A25C33"/>
    <w:rsid w:val="00A26333"/>
    <w:rsid w:val="00A265B5"/>
    <w:rsid w:val="00A26914"/>
    <w:rsid w:val="00A2746D"/>
    <w:rsid w:val="00A27F45"/>
    <w:rsid w:val="00A30254"/>
    <w:rsid w:val="00A30433"/>
    <w:rsid w:val="00A3072E"/>
    <w:rsid w:val="00A31FC2"/>
    <w:rsid w:val="00A32B98"/>
    <w:rsid w:val="00A33B90"/>
    <w:rsid w:val="00A33BDE"/>
    <w:rsid w:val="00A345B7"/>
    <w:rsid w:val="00A35041"/>
    <w:rsid w:val="00A352CF"/>
    <w:rsid w:val="00A36A8C"/>
    <w:rsid w:val="00A370A4"/>
    <w:rsid w:val="00A37564"/>
    <w:rsid w:val="00A375A5"/>
    <w:rsid w:val="00A4081D"/>
    <w:rsid w:val="00A4203C"/>
    <w:rsid w:val="00A42D58"/>
    <w:rsid w:val="00A42FB8"/>
    <w:rsid w:val="00A434A4"/>
    <w:rsid w:val="00A436B4"/>
    <w:rsid w:val="00A4376B"/>
    <w:rsid w:val="00A455C9"/>
    <w:rsid w:val="00A46068"/>
    <w:rsid w:val="00A46231"/>
    <w:rsid w:val="00A50229"/>
    <w:rsid w:val="00A50759"/>
    <w:rsid w:val="00A50C63"/>
    <w:rsid w:val="00A51CE1"/>
    <w:rsid w:val="00A51D93"/>
    <w:rsid w:val="00A51F98"/>
    <w:rsid w:val="00A5276A"/>
    <w:rsid w:val="00A533B8"/>
    <w:rsid w:val="00A53DA8"/>
    <w:rsid w:val="00A546DB"/>
    <w:rsid w:val="00A547A3"/>
    <w:rsid w:val="00A555B3"/>
    <w:rsid w:val="00A563F0"/>
    <w:rsid w:val="00A56728"/>
    <w:rsid w:val="00A57754"/>
    <w:rsid w:val="00A57AC8"/>
    <w:rsid w:val="00A6014D"/>
    <w:rsid w:val="00A61AA8"/>
    <w:rsid w:val="00A62FF5"/>
    <w:rsid w:val="00A6380B"/>
    <w:rsid w:val="00A649C4"/>
    <w:rsid w:val="00A66C1B"/>
    <w:rsid w:val="00A67C04"/>
    <w:rsid w:val="00A7034A"/>
    <w:rsid w:val="00A70B2E"/>
    <w:rsid w:val="00A7155E"/>
    <w:rsid w:val="00A71DA5"/>
    <w:rsid w:val="00A74729"/>
    <w:rsid w:val="00A749AD"/>
    <w:rsid w:val="00A750E2"/>
    <w:rsid w:val="00A75349"/>
    <w:rsid w:val="00A75A69"/>
    <w:rsid w:val="00A76A47"/>
    <w:rsid w:val="00A77C3D"/>
    <w:rsid w:val="00A81047"/>
    <w:rsid w:val="00A81586"/>
    <w:rsid w:val="00A835BA"/>
    <w:rsid w:val="00A84192"/>
    <w:rsid w:val="00A84591"/>
    <w:rsid w:val="00A84787"/>
    <w:rsid w:val="00A8526D"/>
    <w:rsid w:val="00A85BCE"/>
    <w:rsid w:val="00A85FC4"/>
    <w:rsid w:val="00A87B1E"/>
    <w:rsid w:val="00A87F1C"/>
    <w:rsid w:val="00A87FB3"/>
    <w:rsid w:val="00A90216"/>
    <w:rsid w:val="00A91E3E"/>
    <w:rsid w:val="00A91E45"/>
    <w:rsid w:val="00A92540"/>
    <w:rsid w:val="00A92D5A"/>
    <w:rsid w:val="00A92DA3"/>
    <w:rsid w:val="00A9344F"/>
    <w:rsid w:val="00A93D5D"/>
    <w:rsid w:val="00A9408D"/>
    <w:rsid w:val="00A949F8"/>
    <w:rsid w:val="00A94B4D"/>
    <w:rsid w:val="00A94CD6"/>
    <w:rsid w:val="00A950BA"/>
    <w:rsid w:val="00A9518B"/>
    <w:rsid w:val="00A95421"/>
    <w:rsid w:val="00A95639"/>
    <w:rsid w:val="00A957D4"/>
    <w:rsid w:val="00A95D06"/>
    <w:rsid w:val="00A9787B"/>
    <w:rsid w:val="00A97A5F"/>
    <w:rsid w:val="00AA1548"/>
    <w:rsid w:val="00AA3744"/>
    <w:rsid w:val="00AA3A96"/>
    <w:rsid w:val="00AA548D"/>
    <w:rsid w:val="00AA6578"/>
    <w:rsid w:val="00AA69CF"/>
    <w:rsid w:val="00AA6EE5"/>
    <w:rsid w:val="00AB04AB"/>
    <w:rsid w:val="00AB13DB"/>
    <w:rsid w:val="00AB15F9"/>
    <w:rsid w:val="00AB19D4"/>
    <w:rsid w:val="00AB3B90"/>
    <w:rsid w:val="00AB3ECC"/>
    <w:rsid w:val="00AB4760"/>
    <w:rsid w:val="00AB6191"/>
    <w:rsid w:val="00AB631B"/>
    <w:rsid w:val="00AB78C9"/>
    <w:rsid w:val="00AC460A"/>
    <w:rsid w:val="00AC64A6"/>
    <w:rsid w:val="00AC6766"/>
    <w:rsid w:val="00AC6D61"/>
    <w:rsid w:val="00AC6E63"/>
    <w:rsid w:val="00AC76FC"/>
    <w:rsid w:val="00AC7C44"/>
    <w:rsid w:val="00AD0EC3"/>
    <w:rsid w:val="00AD0F91"/>
    <w:rsid w:val="00AD14EE"/>
    <w:rsid w:val="00AD1B6F"/>
    <w:rsid w:val="00AD30FA"/>
    <w:rsid w:val="00AD3796"/>
    <w:rsid w:val="00AD37C6"/>
    <w:rsid w:val="00AD4379"/>
    <w:rsid w:val="00AD48C0"/>
    <w:rsid w:val="00AD4980"/>
    <w:rsid w:val="00AD4A48"/>
    <w:rsid w:val="00AD4DEC"/>
    <w:rsid w:val="00AD548F"/>
    <w:rsid w:val="00AD5704"/>
    <w:rsid w:val="00AD5B9A"/>
    <w:rsid w:val="00AD5D29"/>
    <w:rsid w:val="00AD5D57"/>
    <w:rsid w:val="00AD6024"/>
    <w:rsid w:val="00AD6A10"/>
    <w:rsid w:val="00AD74E3"/>
    <w:rsid w:val="00AD7925"/>
    <w:rsid w:val="00AD7B4F"/>
    <w:rsid w:val="00AE0C7B"/>
    <w:rsid w:val="00AE16EA"/>
    <w:rsid w:val="00AE17EE"/>
    <w:rsid w:val="00AE2232"/>
    <w:rsid w:val="00AE22B2"/>
    <w:rsid w:val="00AE29D1"/>
    <w:rsid w:val="00AE2EC3"/>
    <w:rsid w:val="00AE32C7"/>
    <w:rsid w:val="00AE388D"/>
    <w:rsid w:val="00AE3F93"/>
    <w:rsid w:val="00AE4BC6"/>
    <w:rsid w:val="00AE533E"/>
    <w:rsid w:val="00AE5C65"/>
    <w:rsid w:val="00AE6EDF"/>
    <w:rsid w:val="00AF0407"/>
    <w:rsid w:val="00AF0521"/>
    <w:rsid w:val="00AF0E65"/>
    <w:rsid w:val="00AF390D"/>
    <w:rsid w:val="00AF3A32"/>
    <w:rsid w:val="00AF478C"/>
    <w:rsid w:val="00AF54F8"/>
    <w:rsid w:val="00AF6DC4"/>
    <w:rsid w:val="00AF72C4"/>
    <w:rsid w:val="00AF7352"/>
    <w:rsid w:val="00AF7CD6"/>
    <w:rsid w:val="00B02608"/>
    <w:rsid w:val="00B02BD8"/>
    <w:rsid w:val="00B0350D"/>
    <w:rsid w:val="00B044DB"/>
    <w:rsid w:val="00B04574"/>
    <w:rsid w:val="00B04D67"/>
    <w:rsid w:val="00B05BAD"/>
    <w:rsid w:val="00B06BA7"/>
    <w:rsid w:val="00B07694"/>
    <w:rsid w:val="00B07850"/>
    <w:rsid w:val="00B10D0E"/>
    <w:rsid w:val="00B116C4"/>
    <w:rsid w:val="00B11A81"/>
    <w:rsid w:val="00B11BD7"/>
    <w:rsid w:val="00B11D58"/>
    <w:rsid w:val="00B12880"/>
    <w:rsid w:val="00B1291E"/>
    <w:rsid w:val="00B130FD"/>
    <w:rsid w:val="00B1321E"/>
    <w:rsid w:val="00B144B4"/>
    <w:rsid w:val="00B150B5"/>
    <w:rsid w:val="00B158CC"/>
    <w:rsid w:val="00B15FC8"/>
    <w:rsid w:val="00B1620A"/>
    <w:rsid w:val="00B16FB4"/>
    <w:rsid w:val="00B17A91"/>
    <w:rsid w:val="00B20B33"/>
    <w:rsid w:val="00B20EB7"/>
    <w:rsid w:val="00B21379"/>
    <w:rsid w:val="00B216BC"/>
    <w:rsid w:val="00B234B8"/>
    <w:rsid w:val="00B23A62"/>
    <w:rsid w:val="00B23AE1"/>
    <w:rsid w:val="00B2431E"/>
    <w:rsid w:val="00B2446D"/>
    <w:rsid w:val="00B25851"/>
    <w:rsid w:val="00B259B2"/>
    <w:rsid w:val="00B260C6"/>
    <w:rsid w:val="00B2762D"/>
    <w:rsid w:val="00B27BD5"/>
    <w:rsid w:val="00B27F01"/>
    <w:rsid w:val="00B305E9"/>
    <w:rsid w:val="00B3067C"/>
    <w:rsid w:val="00B30C75"/>
    <w:rsid w:val="00B30EBB"/>
    <w:rsid w:val="00B31032"/>
    <w:rsid w:val="00B31EC8"/>
    <w:rsid w:val="00B32C2E"/>
    <w:rsid w:val="00B33CC8"/>
    <w:rsid w:val="00B33EE0"/>
    <w:rsid w:val="00B34E9D"/>
    <w:rsid w:val="00B34F7F"/>
    <w:rsid w:val="00B354B6"/>
    <w:rsid w:val="00B35565"/>
    <w:rsid w:val="00B372D1"/>
    <w:rsid w:val="00B37C50"/>
    <w:rsid w:val="00B37FE5"/>
    <w:rsid w:val="00B40115"/>
    <w:rsid w:val="00B41691"/>
    <w:rsid w:val="00B41B66"/>
    <w:rsid w:val="00B41FF2"/>
    <w:rsid w:val="00B423B0"/>
    <w:rsid w:val="00B4257E"/>
    <w:rsid w:val="00B436A3"/>
    <w:rsid w:val="00B443FA"/>
    <w:rsid w:val="00B45594"/>
    <w:rsid w:val="00B46282"/>
    <w:rsid w:val="00B464E6"/>
    <w:rsid w:val="00B47194"/>
    <w:rsid w:val="00B5048C"/>
    <w:rsid w:val="00B51D5C"/>
    <w:rsid w:val="00B52005"/>
    <w:rsid w:val="00B52390"/>
    <w:rsid w:val="00B52B02"/>
    <w:rsid w:val="00B52EEC"/>
    <w:rsid w:val="00B53746"/>
    <w:rsid w:val="00B541BE"/>
    <w:rsid w:val="00B54338"/>
    <w:rsid w:val="00B56DB1"/>
    <w:rsid w:val="00B56EAC"/>
    <w:rsid w:val="00B577C5"/>
    <w:rsid w:val="00B579E2"/>
    <w:rsid w:val="00B600E6"/>
    <w:rsid w:val="00B618F4"/>
    <w:rsid w:val="00B6229F"/>
    <w:rsid w:val="00B636BD"/>
    <w:rsid w:val="00B651D7"/>
    <w:rsid w:val="00B65A60"/>
    <w:rsid w:val="00B65BD3"/>
    <w:rsid w:val="00B65C42"/>
    <w:rsid w:val="00B66D16"/>
    <w:rsid w:val="00B67594"/>
    <w:rsid w:val="00B676F1"/>
    <w:rsid w:val="00B70805"/>
    <w:rsid w:val="00B715AA"/>
    <w:rsid w:val="00B71752"/>
    <w:rsid w:val="00B720B2"/>
    <w:rsid w:val="00B722DA"/>
    <w:rsid w:val="00B726E8"/>
    <w:rsid w:val="00B72ACF"/>
    <w:rsid w:val="00B72D92"/>
    <w:rsid w:val="00B753EB"/>
    <w:rsid w:val="00B75AC2"/>
    <w:rsid w:val="00B75DFA"/>
    <w:rsid w:val="00B76FA7"/>
    <w:rsid w:val="00B77446"/>
    <w:rsid w:val="00B77B23"/>
    <w:rsid w:val="00B80FCE"/>
    <w:rsid w:val="00B81551"/>
    <w:rsid w:val="00B81763"/>
    <w:rsid w:val="00B825BD"/>
    <w:rsid w:val="00B82F5D"/>
    <w:rsid w:val="00B83803"/>
    <w:rsid w:val="00B83C2D"/>
    <w:rsid w:val="00B8448F"/>
    <w:rsid w:val="00B850A3"/>
    <w:rsid w:val="00B857F6"/>
    <w:rsid w:val="00B86718"/>
    <w:rsid w:val="00B870FF"/>
    <w:rsid w:val="00B9013B"/>
    <w:rsid w:val="00B9068C"/>
    <w:rsid w:val="00B90AE5"/>
    <w:rsid w:val="00B90F40"/>
    <w:rsid w:val="00B919C4"/>
    <w:rsid w:val="00B91FB3"/>
    <w:rsid w:val="00B93C4D"/>
    <w:rsid w:val="00B960A9"/>
    <w:rsid w:val="00B9611A"/>
    <w:rsid w:val="00B97380"/>
    <w:rsid w:val="00B97AE0"/>
    <w:rsid w:val="00BA0819"/>
    <w:rsid w:val="00BA0CD3"/>
    <w:rsid w:val="00BA135B"/>
    <w:rsid w:val="00BA1412"/>
    <w:rsid w:val="00BA1C6C"/>
    <w:rsid w:val="00BA1E27"/>
    <w:rsid w:val="00BA327A"/>
    <w:rsid w:val="00BA3E27"/>
    <w:rsid w:val="00BA450C"/>
    <w:rsid w:val="00BA5032"/>
    <w:rsid w:val="00BA5C32"/>
    <w:rsid w:val="00BA6365"/>
    <w:rsid w:val="00BA649D"/>
    <w:rsid w:val="00BA7485"/>
    <w:rsid w:val="00BA79B3"/>
    <w:rsid w:val="00BB0506"/>
    <w:rsid w:val="00BB0D4A"/>
    <w:rsid w:val="00BB0ED5"/>
    <w:rsid w:val="00BB16EB"/>
    <w:rsid w:val="00BB20A2"/>
    <w:rsid w:val="00BB3BEA"/>
    <w:rsid w:val="00BB3F78"/>
    <w:rsid w:val="00BB47D9"/>
    <w:rsid w:val="00BB4C4E"/>
    <w:rsid w:val="00BB523E"/>
    <w:rsid w:val="00BB5A44"/>
    <w:rsid w:val="00BB763C"/>
    <w:rsid w:val="00BB79B1"/>
    <w:rsid w:val="00BC0018"/>
    <w:rsid w:val="00BC0140"/>
    <w:rsid w:val="00BC0345"/>
    <w:rsid w:val="00BC426D"/>
    <w:rsid w:val="00BC464C"/>
    <w:rsid w:val="00BC49AD"/>
    <w:rsid w:val="00BC4F3D"/>
    <w:rsid w:val="00BC5804"/>
    <w:rsid w:val="00BC5A47"/>
    <w:rsid w:val="00BC5AAE"/>
    <w:rsid w:val="00BC6588"/>
    <w:rsid w:val="00BC70E0"/>
    <w:rsid w:val="00BC7FDE"/>
    <w:rsid w:val="00BD02F4"/>
    <w:rsid w:val="00BD0BBE"/>
    <w:rsid w:val="00BD0F1E"/>
    <w:rsid w:val="00BD18EF"/>
    <w:rsid w:val="00BD27B1"/>
    <w:rsid w:val="00BD2939"/>
    <w:rsid w:val="00BD32A2"/>
    <w:rsid w:val="00BD34EE"/>
    <w:rsid w:val="00BD4234"/>
    <w:rsid w:val="00BD47A3"/>
    <w:rsid w:val="00BD4BE1"/>
    <w:rsid w:val="00BD4E5E"/>
    <w:rsid w:val="00BD549D"/>
    <w:rsid w:val="00BD5C9F"/>
    <w:rsid w:val="00BD7050"/>
    <w:rsid w:val="00BD71AF"/>
    <w:rsid w:val="00BD77A1"/>
    <w:rsid w:val="00BD7822"/>
    <w:rsid w:val="00BD7A7E"/>
    <w:rsid w:val="00BD7FA5"/>
    <w:rsid w:val="00BE06E2"/>
    <w:rsid w:val="00BE13CF"/>
    <w:rsid w:val="00BE1736"/>
    <w:rsid w:val="00BE28C1"/>
    <w:rsid w:val="00BE38FC"/>
    <w:rsid w:val="00BE4BC3"/>
    <w:rsid w:val="00BE5051"/>
    <w:rsid w:val="00BE617F"/>
    <w:rsid w:val="00BE6AB1"/>
    <w:rsid w:val="00BF150E"/>
    <w:rsid w:val="00BF3213"/>
    <w:rsid w:val="00BF3C26"/>
    <w:rsid w:val="00BF46A1"/>
    <w:rsid w:val="00BF50F8"/>
    <w:rsid w:val="00BF6297"/>
    <w:rsid w:val="00BF664D"/>
    <w:rsid w:val="00BF6749"/>
    <w:rsid w:val="00C003CE"/>
    <w:rsid w:val="00C00847"/>
    <w:rsid w:val="00C00D7B"/>
    <w:rsid w:val="00C01783"/>
    <w:rsid w:val="00C04C7E"/>
    <w:rsid w:val="00C05038"/>
    <w:rsid w:val="00C05C18"/>
    <w:rsid w:val="00C0735F"/>
    <w:rsid w:val="00C10B16"/>
    <w:rsid w:val="00C11365"/>
    <w:rsid w:val="00C117ED"/>
    <w:rsid w:val="00C12301"/>
    <w:rsid w:val="00C12331"/>
    <w:rsid w:val="00C12F1A"/>
    <w:rsid w:val="00C1340F"/>
    <w:rsid w:val="00C136BC"/>
    <w:rsid w:val="00C14F27"/>
    <w:rsid w:val="00C15C51"/>
    <w:rsid w:val="00C15CB3"/>
    <w:rsid w:val="00C172B7"/>
    <w:rsid w:val="00C1733F"/>
    <w:rsid w:val="00C17A9C"/>
    <w:rsid w:val="00C17BC9"/>
    <w:rsid w:val="00C20952"/>
    <w:rsid w:val="00C20C37"/>
    <w:rsid w:val="00C20C6C"/>
    <w:rsid w:val="00C23077"/>
    <w:rsid w:val="00C23155"/>
    <w:rsid w:val="00C2500E"/>
    <w:rsid w:val="00C255A9"/>
    <w:rsid w:val="00C255E5"/>
    <w:rsid w:val="00C26620"/>
    <w:rsid w:val="00C27534"/>
    <w:rsid w:val="00C27C9C"/>
    <w:rsid w:val="00C27CFF"/>
    <w:rsid w:val="00C302B7"/>
    <w:rsid w:val="00C30B49"/>
    <w:rsid w:val="00C315A6"/>
    <w:rsid w:val="00C3178D"/>
    <w:rsid w:val="00C323D3"/>
    <w:rsid w:val="00C32686"/>
    <w:rsid w:val="00C33740"/>
    <w:rsid w:val="00C35183"/>
    <w:rsid w:val="00C360C3"/>
    <w:rsid w:val="00C362C4"/>
    <w:rsid w:val="00C36AB0"/>
    <w:rsid w:val="00C4085B"/>
    <w:rsid w:val="00C41059"/>
    <w:rsid w:val="00C411CE"/>
    <w:rsid w:val="00C41A0B"/>
    <w:rsid w:val="00C44C28"/>
    <w:rsid w:val="00C44D84"/>
    <w:rsid w:val="00C46EF5"/>
    <w:rsid w:val="00C47264"/>
    <w:rsid w:val="00C477CC"/>
    <w:rsid w:val="00C4785F"/>
    <w:rsid w:val="00C50A23"/>
    <w:rsid w:val="00C512F2"/>
    <w:rsid w:val="00C51553"/>
    <w:rsid w:val="00C51786"/>
    <w:rsid w:val="00C51A7D"/>
    <w:rsid w:val="00C51BF6"/>
    <w:rsid w:val="00C522CA"/>
    <w:rsid w:val="00C53554"/>
    <w:rsid w:val="00C538E7"/>
    <w:rsid w:val="00C53A2F"/>
    <w:rsid w:val="00C5601B"/>
    <w:rsid w:val="00C56A67"/>
    <w:rsid w:val="00C57496"/>
    <w:rsid w:val="00C57CCC"/>
    <w:rsid w:val="00C57F37"/>
    <w:rsid w:val="00C60797"/>
    <w:rsid w:val="00C6101B"/>
    <w:rsid w:val="00C61951"/>
    <w:rsid w:val="00C61D83"/>
    <w:rsid w:val="00C630C5"/>
    <w:rsid w:val="00C63271"/>
    <w:rsid w:val="00C63A6D"/>
    <w:rsid w:val="00C63D19"/>
    <w:rsid w:val="00C64783"/>
    <w:rsid w:val="00C64D99"/>
    <w:rsid w:val="00C64E3D"/>
    <w:rsid w:val="00C64EFB"/>
    <w:rsid w:val="00C6547C"/>
    <w:rsid w:val="00C65FCD"/>
    <w:rsid w:val="00C66CC8"/>
    <w:rsid w:val="00C677F8"/>
    <w:rsid w:val="00C7043C"/>
    <w:rsid w:val="00C706CD"/>
    <w:rsid w:val="00C70F08"/>
    <w:rsid w:val="00C70F61"/>
    <w:rsid w:val="00C71181"/>
    <w:rsid w:val="00C71689"/>
    <w:rsid w:val="00C717E0"/>
    <w:rsid w:val="00C71868"/>
    <w:rsid w:val="00C71CC3"/>
    <w:rsid w:val="00C7216F"/>
    <w:rsid w:val="00C726AF"/>
    <w:rsid w:val="00C72D51"/>
    <w:rsid w:val="00C741D2"/>
    <w:rsid w:val="00C74473"/>
    <w:rsid w:val="00C749E8"/>
    <w:rsid w:val="00C749EF"/>
    <w:rsid w:val="00C74D45"/>
    <w:rsid w:val="00C7511D"/>
    <w:rsid w:val="00C7548C"/>
    <w:rsid w:val="00C75799"/>
    <w:rsid w:val="00C759FE"/>
    <w:rsid w:val="00C75CF0"/>
    <w:rsid w:val="00C75DCB"/>
    <w:rsid w:val="00C762E8"/>
    <w:rsid w:val="00C7695F"/>
    <w:rsid w:val="00C76F65"/>
    <w:rsid w:val="00C80A14"/>
    <w:rsid w:val="00C8232B"/>
    <w:rsid w:val="00C82789"/>
    <w:rsid w:val="00C83BB4"/>
    <w:rsid w:val="00C84BAD"/>
    <w:rsid w:val="00C855F8"/>
    <w:rsid w:val="00C86838"/>
    <w:rsid w:val="00C86E81"/>
    <w:rsid w:val="00C86EB2"/>
    <w:rsid w:val="00C90E8A"/>
    <w:rsid w:val="00C90EE5"/>
    <w:rsid w:val="00C91243"/>
    <w:rsid w:val="00C9131C"/>
    <w:rsid w:val="00C91D59"/>
    <w:rsid w:val="00C921A3"/>
    <w:rsid w:val="00C92874"/>
    <w:rsid w:val="00C9333C"/>
    <w:rsid w:val="00C93C34"/>
    <w:rsid w:val="00C945D8"/>
    <w:rsid w:val="00C95283"/>
    <w:rsid w:val="00C9605A"/>
    <w:rsid w:val="00C96525"/>
    <w:rsid w:val="00C965E4"/>
    <w:rsid w:val="00CA0152"/>
    <w:rsid w:val="00CA0BFF"/>
    <w:rsid w:val="00CA1AF3"/>
    <w:rsid w:val="00CA3838"/>
    <w:rsid w:val="00CA42C6"/>
    <w:rsid w:val="00CA45BC"/>
    <w:rsid w:val="00CA4B11"/>
    <w:rsid w:val="00CA5C6B"/>
    <w:rsid w:val="00CA670F"/>
    <w:rsid w:val="00CA6A7F"/>
    <w:rsid w:val="00CA7A99"/>
    <w:rsid w:val="00CB06A4"/>
    <w:rsid w:val="00CB0C66"/>
    <w:rsid w:val="00CB1877"/>
    <w:rsid w:val="00CB2112"/>
    <w:rsid w:val="00CB271C"/>
    <w:rsid w:val="00CB2FAF"/>
    <w:rsid w:val="00CB3A31"/>
    <w:rsid w:val="00CB440E"/>
    <w:rsid w:val="00CB4DF7"/>
    <w:rsid w:val="00CB50FB"/>
    <w:rsid w:val="00CB526D"/>
    <w:rsid w:val="00CB5776"/>
    <w:rsid w:val="00CB57FD"/>
    <w:rsid w:val="00CB58B0"/>
    <w:rsid w:val="00CB607B"/>
    <w:rsid w:val="00CB6749"/>
    <w:rsid w:val="00CB6960"/>
    <w:rsid w:val="00CB6A11"/>
    <w:rsid w:val="00CB7288"/>
    <w:rsid w:val="00CB7386"/>
    <w:rsid w:val="00CB7696"/>
    <w:rsid w:val="00CC0ED6"/>
    <w:rsid w:val="00CC0FF2"/>
    <w:rsid w:val="00CC2002"/>
    <w:rsid w:val="00CC28ED"/>
    <w:rsid w:val="00CC2B46"/>
    <w:rsid w:val="00CC2BD8"/>
    <w:rsid w:val="00CC3208"/>
    <w:rsid w:val="00CC37DC"/>
    <w:rsid w:val="00CC393A"/>
    <w:rsid w:val="00CC3D49"/>
    <w:rsid w:val="00CC4A28"/>
    <w:rsid w:val="00CC4DBF"/>
    <w:rsid w:val="00CC51C5"/>
    <w:rsid w:val="00CC56A0"/>
    <w:rsid w:val="00CC5814"/>
    <w:rsid w:val="00CC6C67"/>
    <w:rsid w:val="00CC6F76"/>
    <w:rsid w:val="00CC71EF"/>
    <w:rsid w:val="00CC75C9"/>
    <w:rsid w:val="00CD00EA"/>
    <w:rsid w:val="00CD05A6"/>
    <w:rsid w:val="00CD09AF"/>
    <w:rsid w:val="00CD0AE9"/>
    <w:rsid w:val="00CD300B"/>
    <w:rsid w:val="00CD4106"/>
    <w:rsid w:val="00CD42C2"/>
    <w:rsid w:val="00CD6279"/>
    <w:rsid w:val="00CD76BA"/>
    <w:rsid w:val="00CE1595"/>
    <w:rsid w:val="00CE19EE"/>
    <w:rsid w:val="00CE1BEC"/>
    <w:rsid w:val="00CE2222"/>
    <w:rsid w:val="00CE338B"/>
    <w:rsid w:val="00CE36EE"/>
    <w:rsid w:val="00CE3989"/>
    <w:rsid w:val="00CE3B80"/>
    <w:rsid w:val="00CE4C1C"/>
    <w:rsid w:val="00CE4E00"/>
    <w:rsid w:val="00CE50CA"/>
    <w:rsid w:val="00CE549A"/>
    <w:rsid w:val="00CE558B"/>
    <w:rsid w:val="00CE57C8"/>
    <w:rsid w:val="00CE65E7"/>
    <w:rsid w:val="00CE74B2"/>
    <w:rsid w:val="00CE763C"/>
    <w:rsid w:val="00CE78FD"/>
    <w:rsid w:val="00CE7D7F"/>
    <w:rsid w:val="00CF14C3"/>
    <w:rsid w:val="00CF19B3"/>
    <w:rsid w:val="00CF2322"/>
    <w:rsid w:val="00CF2C2B"/>
    <w:rsid w:val="00CF3033"/>
    <w:rsid w:val="00CF30A5"/>
    <w:rsid w:val="00CF3497"/>
    <w:rsid w:val="00CF360E"/>
    <w:rsid w:val="00CF41EA"/>
    <w:rsid w:val="00CF44B0"/>
    <w:rsid w:val="00CF4646"/>
    <w:rsid w:val="00CF4662"/>
    <w:rsid w:val="00CF562D"/>
    <w:rsid w:val="00CF5A86"/>
    <w:rsid w:val="00CF5D01"/>
    <w:rsid w:val="00CF6EBD"/>
    <w:rsid w:val="00CF7358"/>
    <w:rsid w:val="00CF7E99"/>
    <w:rsid w:val="00D00124"/>
    <w:rsid w:val="00D0243D"/>
    <w:rsid w:val="00D025E5"/>
    <w:rsid w:val="00D0472A"/>
    <w:rsid w:val="00D04B89"/>
    <w:rsid w:val="00D05518"/>
    <w:rsid w:val="00D057C3"/>
    <w:rsid w:val="00D05EA5"/>
    <w:rsid w:val="00D07322"/>
    <w:rsid w:val="00D11168"/>
    <w:rsid w:val="00D12619"/>
    <w:rsid w:val="00D1293B"/>
    <w:rsid w:val="00D12E62"/>
    <w:rsid w:val="00D13169"/>
    <w:rsid w:val="00D13BB2"/>
    <w:rsid w:val="00D14119"/>
    <w:rsid w:val="00D178BF"/>
    <w:rsid w:val="00D20381"/>
    <w:rsid w:val="00D213D4"/>
    <w:rsid w:val="00D22454"/>
    <w:rsid w:val="00D227FD"/>
    <w:rsid w:val="00D257FD"/>
    <w:rsid w:val="00D25D1D"/>
    <w:rsid w:val="00D27788"/>
    <w:rsid w:val="00D278BF"/>
    <w:rsid w:val="00D30B23"/>
    <w:rsid w:val="00D3114D"/>
    <w:rsid w:val="00D31E30"/>
    <w:rsid w:val="00D31F7A"/>
    <w:rsid w:val="00D33667"/>
    <w:rsid w:val="00D33F69"/>
    <w:rsid w:val="00D3484A"/>
    <w:rsid w:val="00D34AD4"/>
    <w:rsid w:val="00D35BE2"/>
    <w:rsid w:val="00D36156"/>
    <w:rsid w:val="00D36AF4"/>
    <w:rsid w:val="00D36CC5"/>
    <w:rsid w:val="00D3738C"/>
    <w:rsid w:val="00D40C2E"/>
    <w:rsid w:val="00D419B5"/>
    <w:rsid w:val="00D429F0"/>
    <w:rsid w:val="00D431A4"/>
    <w:rsid w:val="00D4467A"/>
    <w:rsid w:val="00D44894"/>
    <w:rsid w:val="00D45552"/>
    <w:rsid w:val="00D45960"/>
    <w:rsid w:val="00D470F9"/>
    <w:rsid w:val="00D507B5"/>
    <w:rsid w:val="00D520DB"/>
    <w:rsid w:val="00D5394C"/>
    <w:rsid w:val="00D542A7"/>
    <w:rsid w:val="00D54F75"/>
    <w:rsid w:val="00D55BC0"/>
    <w:rsid w:val="00D572A0"/>
    <w:rsid w:val="00D57C10"/>
    <w:rsid w:val="00D606F2"/>
    <w:rsid w:val="00D60AF2"/>
    <w:rsid w:val="00D60BC0"/>
    <w:rsid w:val="00D6152A"/>
    <w:rsid w:val="00D618D6"/>
    <w:rsid w:val="00D61FAA"/>
    <w:rsid w:val="00D6242C"/>
    <w:rsid w:val="00D63167"/>
    <w:rsid w:val="00D63A5E"/>
    <w:rsid w:val="00D647D6"/>
    <w:rsid w:val="00D64957"/>
    <w:rsid w:val="00D6511F"/>
    <w:rsid w:val="00D66033"/>
    <w:rsid w:val="00D665F1"/>
    <w:rsid w:val="00D67959"/>
    <w:rsid w:val="00D67F33"/>
    <w:rsid w:val="00D67F73"/>
    <w:rsid w:val="00D7042B"/>
    <w:rsid w:val="00D70463"/>
    <w:rsid w:val="00D70EE7"/>
    <w:rsid w:val="00D70F59"/>
    <w:rsid w:val="00D72A30"/>
    <w:rsid w:val="00D732DE"/>
    <w:rsid w:val="00D742FD"/>
    <w:rsid w:val="00D75A98"/>
    <w:rsid w:val="00D7685F"/>
    <w:rsid w:val="00D76A00"/>
    <w:rsid w:val="00D77922"/>
    <w:rsid w:val="00D801FC"/>
    <w:rsid w:val="00D81147"/>
    <w:rsid w:val="00D8211E"/>
    <w:rsid w:val="00D83859"/>
    <w:rsid w:val="00D850AE"/>
    <w:rsid w:val="00D8521D"/>
    <w:rsid w:val="00D85C3C"/>
    <w:rsid w:val="00D86129"/>
    <w:rsid w:val="00D86825"/>
    <w:rsid w:val="00D86C99"/>
    <w:rsid w:val="00D876E8"/>
    <w:rsid w:val="00D90346"/>
    <w:rsid w:val="00D929D5"/>
    <w:rsid w:val="00D93505"/>
    <w:rsid w:val="00D94454"/>
    <w:rsid w:val="00D9615B"/>
    <w:rsid w:val="00D9628E"/>
    <w:rsid w:val="00D96899"/>
    <w:rsid w:val="00D97746"/>
    <w:rsid w:val="00DA0F29"/>
    <w:rsid w:val="00DA261F"/>
    <w:rsid w:val="00DA26B0"/>
    <w:rsid w:val="00DA2BAA"/>
    <w:rsid w:val="00DA383F"/>
    <w:rsid w:val="00DA4F13"/>
    <w:rsid w:val="00DA6539"/>
    <w:rsid w:val="00DA697E"/>
    <w:rsid w:val="00DA6D9C"/>
    <w:rsid w:val="00DA6DC4"/>
    <w:rsid w:val="00DB27ED"/>
    <w:rsid w:val="00DB287E"/>
    <w:rsid w:val="00DB33FE"/>
    <w:rsid w:val="00DB4644"/>
    <w:rsid w:val="00DB48C5"/>
    <w:rsid w:val="00DB54B9"/>
    <w:rsid w:val="00DB634B"/>
    <w:rsid w:val="00DB6378"/>
    <w:rsid w:val="00DB73B3"/>
    <w:rsid w:val="00DB766A"/>
    <w:rsid w:val="00DC0057"/>
    <w:rsid w:val="00DC046E"/>
    <w:rsid w:val="00DC0678"/>
    <w:rsid w:val="00DC1095"/>
    <w:rsid w:val="00DC1CFB"/>
    <w:rsid w:val="00DC2A49"/>
    <w:rsid w:val="00DC2BD7"/>
    <w:rsid w:val="00DC3773"/>
    <w:rsid w:val="00DC3960"/>
    <w:rsid w:val="00DC39B2"/>
    <w:rsid w:val="00DC44CF"/>
    <w:rsid w:val="00DC663C"/>
    <w:rsid w:val="00DC6B41"/>
    <w:rsid w:val="00DC6C3F"/>
    <w:rsid w:val="00DC75F0"/>
    <w:rsid w:val="00DD0710"/>
    <w:rsid w:val="00DD0BA6"/>
    <w:rsid w:val="00DD1D26"/>
    <w:rsid w:val="00DD20EC"/>
    <w:rsid w:val="00DD3055"/>
    <w:rsid w:val="00DD316D"/>
    <w:rsid w:val="00DD4873"/>
    <w:rsid w:val="00DD4A34"/>
    <w:rsid w:val="00DD5183"/>
    <w:rsid w:val="00DE0DD3"/>
    <w:rsid w:val="00DE0DF7"/>
    <w:rsid w:val="00DE2D95"/>
    <w:rsid w:val="00DE3F1C"/>
    <w:rsid w:val="00DE6927"/>
    <w:rsid w:val="00DF0737"/>
    <w:rsid w:val="00DF129D"/>
    <w:rsid w:val="00DF25E5"/>
    <w:rsid w:val="00DF284D"/>
    <w:rsid w:val="00DF29F8"/>
    <w:rsid w:val="00DF2E9F"/>
    <w:rsid w:val="00DF3199"/>
    <w:rsid w:val="00DF3E34"/>
    <w:rsid w:val="00DF3EB1"/>
    <w:rsid w:val="00DF4870"/>
    <w:rsid w:val="00DF4BC2"/>
    <w:rsid w:val="00DF4C0C"/>
    <w:rsid w:val="00DF5B05"/>
    <w:rsid w:val="00DF63EF"/>
    <w:rsid w:val="00DF660E"/>
    <w:rsid w:val="00DF6F4F"/>
    <w:rsid w:val="00DF7F65"/>
    <w:rsid w:val="00E0075F"/>
    <w:rsid w:val="00E01267"/>
    <w:rsid w:val="00E01D46"/>
    <w:rsid w:val="00E023AF"/>
    <w:rsid w:val="00E04484"/>
    <w:rsid w:val="00E06757"/>
    <w:rsid w:val="00E10029"/>
    <w:rsid w:val="00E1009B"/>
    <w:rsid w:val="00E10553"/>
    <w:rsid w:val="00E11147"/>
    <w:rsid w:val="00E1154E"/>
    <w:rsid w:val="00E127FA"/>
    <w:rsid w:val="00E12F89"/>
    <w:rsid w:val="00E16514"/>
    <w:rsid w:val="00E20B90"/>
    <w:rsid w:val="00E22DC9"/>
    <w:rsid w:val="00E23064"/>
    <w:rsid w:val="00E2324F"/>
    <w:rsid w:val="00E2355A"/>
    <w:rsid w:val="00E238E6"/>
    <w:rsid w:val="00E23CC5"/>
    <w:rsid w:val="00E23ED3"/>
    <w:rsid w:val="00E24275"/>
    <w:rsid w:val="00E2599C"/>
    <w:rsid w:val="00E26341"/>
    <w:rsid w:val="00E26693"/>
    <w:rsid w:val="00E26A73"/>
    <w:rsid w:val="00E272CE"/>
    <w:rsid w:val="00E302DD"/>
    <w:rsid w:val="00E302F1"/>
    <w:rsid w:val="00E310FD"/>
    <w:rsid w:val="00E326E3"/>
    <w:rsid w:val="00E32707"/>
    <w:rsid w:val="00E32E9C"/>
    <w:rsid w:val="00E332E6"/>
    <w:rsid w:val="00E34234"/>
    <w:rsid w:val="00E344FC"/>
    <w:rsid w:val="00E35118"/>
    <w:rsid w:val="00E367E7"/>
    <w:rsid w:val="00E372DE"/>
    <w:rsid w:val="00E37660"/>
    <w:rsid w:val="00E40722"/>
    <w:rsid w:val="00E40793"/>
    <w:rsid w:val="00E41684"/>
    <w:rsid w:val="00E41D06"/>
    <w:rsid w:val="00E42283"/>
    <w:rsid w:val="00E42356"/>
    <w:rsid w:val="00E42555"/>
    <w:rsid w:val="00E43096"/>
    <w:rsid w:val="00E43F21"/>
    <w:rsid w:val="00E44B07"/>
    <w:rsid w:val="00E44D64"/>
    <w:rsid w:val="00E45119"/>
    <w:rsid w:val="00E45305"/>
    <w:rsid w:val="00E45E6A"/>
    <w:rsid w:val="00E46F97"/>
    <w:rsid w:val="00E472AB"/>
    <w:rsid w:val="00E503AE"/>
    <w:rsid w:val="00E51732"/>
    <w:rsid w:val="00E522E8"/>
    <w:rsid w:val="00E53545"/>
    <w:rsid w:val="00E53B1F"/>
    <w:rsid w:val="00E55F58"/>
    <w:rsid w:val="00E565AA"/>
    <w:rsid w:val="00E56EE6"/>
    <w:rsid w:val="00E57164"/>
    <w:rsid w:val="00E60A44"/>
    <w:rsid w:val="00E61294"/>
    <w:rsid w:val="00E61926"/>
    <w:rsid w:val="00E619E2"/>
    <w:rsid w:val="00E627A6"/>
    <w:rsid w:val="00E62966"/>
    <w:rsid w:val="00E62D20"/>
    <w:rsid w:val="00E63492"/>
    <w:rsid w:val="00E647BB"/>
    <w:rsid w:val="00E67A75"/>
    <w:rsid w:val="00E70BA6"/>
    <w:rsid w:val="00E71B11"/>
    <w:rsid w:val="00E71BAA"/>
    <w:rsid w:val="00E72183"/>
    <w:rsid w:val="00E72583"/>
    <w:rsid w:val="00E74193"/>
    <w:rsid w:val="00E758C7"/>
    <w:rsid w:val="00E75D06"/>
    <w:rsid w:val="00E76137"/>
    <w:rsid w:val="00E76795"/>
    <w:rsid w:val="00E76E1F"/>
    <w:rsid w:val="00E776B7"/>
    <w:rsid w:val="00E778BF"/>
    <w:rsid w:val="00E7790C"/>
    <w:rsid w:val="00E77E1D"/>
    <w:rsid w:val="00E8109A"/>
    <w:rsid w:val="00E810C3"/>
    <w:rsid w:val="00E8175C"/>
    <w:rsid w:val="00E83130"/>
    <w:rsid w:val="00E831F9"/>
    <w:rsid w:val="00E83758"/>
    <w:rsid w:val="00E83928"/>
    <w:rsid w:val="00E8421E"/>
    <w:rsid w:val="00E8547F"/>
    <w:rsid w:val="00E8554C"/>
    <w:rsid w:val="00E856F6"/>
    <w:rsid w:val="00E85BB5"/>
    <w:rsid w:val="00E86FCC"/>
    <w:rsid w:val="00E876A1"/>
    <w:rsid w:val="00E91E47"/>
    <w:rsid w:val="00E9336A"/>
    <w:rsid w:val="00E93ADE"/>
    <w:rsid w:val="00E96F35"/>
    <w:rsid w:val="00E97234"/>
    <w:rsid w:val="00E97BFD"/>
    <w:rsid w:val="00E97D4C"/>
    <w:rsid w:val="00EA09CE"/>
    <w:rsid w:val="00EA362B"/>
    <w:rsid w:val="00EA4285"/>
    <w:rsid w:val="00EA47AC"/>
    <w:rsid w:val="00EA4B8A"/>
    <w:rsid w:val="00EA5835"/>
    <w:rsid w:val="00EA5CF1"/>
    <w:rsid w:val="00EA5E77"/>
    <w:rsid w:val="00EA5FAF"/>
    <w:rsid w:val="00EA7BAD"/>
    <w:rsid w:val="00EB03F2"/>
    <w:rsid w:val="00EB0406"/>
    <w:rsid w:val="00EB04F0"/>
    <w:rsid w:val="00EB0649"/>
    <w:rsid w:val="00EB154B"/>
    <w:rsid w:val="00EB1A12"/>
    <w:rsid w:val="00EB23F3"/>
    <w:rsid w:val="00EB2FF7"/>
    <w:rsid w:val="00EB35F9"/>
    <w:rsid w:val="00EB3ECE"/>
    <w:rsid w:val="00EB4212"/>
    <w:rsid w:val="00EB4EDE"/>
    <w:rsid w:val="00EB5EA8"/>
    <w:rsid w:val="00EB6386"/>
    <w:rsid w:val="00EB6A1D"/>
    <w:rsid w:val="00EB6ADA"/>
    <w:rsid w:val="00EB75E8"/>
    <w:rsid w:val="00EB7B4E"/>
    <w:rsid w:val="00EB7D81"/>
    <w:rsid w:val="00EC02AA"/>
    <w:rsid w:val="00EC4C1D"/>
    <w:rsid w:val="00EC53D8"/>
    <w:rsid w:val="00EC5903"/>
    <w:rsid w:val="00EC5CE8"/>
    <w:rsid w:val="00EC672B"/>
    <w:rsid w:val="00EC6C35"/>
    <w:rsid w:val="00EC7302"/>
    <w:rsid w:val="00EC7CFD"/>
    <w:rsid w:val="00ED172D"/>
    <w:rsid w:val="00ED18E4"/>
    <w:rsid w:val="00ED1F0E"/>
    <w:rsid w:val="00ED2D17"/>
    <w:rsid w:val="00ED4557"/>
    <w:rsid w:val="00ED4583"/>
    <w:rsid w:val="00ED4CE7"/>
    <w:rsid w:val="00ED4F1A"/>
    <w:rsid w:val="00ED5E81"/>
    <w:rsid w:val="00ED787D"/>
    <w:rsid w:val="00EE043D"/>
    <w:rsid w:val="00EE0A86"/>
    <w:rsid w:val="00EE0E1B"/>
    <w:rsid w:val="00EE13C3"/>
    <w:rsid w:val="00EE18CC"/>
    <w:rsid w:val="00EE2B18"/>
    <w:rsid w:val="00EE3020"/>
    <w:rsid w:val="00EE3E38"/>
    <w:rsid w:val="00EE5A29"/>
    <w:rsid w:val="00EE5B49"/>
    <w:rsid w:val="00EE64D4"/>
    <w:rsid w:val="00EE64FC"/>
    <w:rsid w:val="00EE7E12"/>
    <w:rsid w:val="00EE7FD9"/>
    <w:rsid w:val="00EF001B"/>
    <w:rsid w:val="00EF1931"/>
    <w:rsid w:val="00EF1BBE"/>
    <w:rsid w:val="00EF31E9"/>
    <w:rsid w:val="00EF333C"/>
    <w:rsid w:val="00EF4114"/>
    <w:rsid w:val="00EF499E"/>
    <w:rsid w:val="00EF568B"/>
    <w:rsid w:val="00EF66C5"/>
    <w:rsid w:val="00EF686D"/>
    <w:rsid w:val="00F00450"/>
    <w:rsid w:val="00F00A34"/>
    <w:rsid w:val="00F013E4"/>
    <w:rsid w:val="00F0179B"/>
    <w:rsid w:val="00F01829"/>
    <w:rsid w:val="00F019B8"/>
    <w:rsid w:val="00F01E8A"/>
    <w:rsid w:val="00F03BEB"/>
    <w:rsid w:val="00F03E31"/>
    <w:rsid w:val="00F0540F"/>
    <w:rsid w:val="00F05C34"/>
    <w:rsid w:val="00F0604B"/>
    <w:rsid w:val="00F069CF"/>
    <w:rsid w:val="00F06A60"/>
    <w:rsid w:val="00F101D4"/>
    <w:rsid w:val="00F11913"/>
    <w:rsid w:val="00F12895"/>
    <w:rsid w:val="00F12BF6"/>
    <w:rsid w:val="00F12CF5"/>
    <w:rsid w:val="00F12FE4"/>
    <w:rsid w:val="00F1305F"/>
    <w:rsid w:val="00F1347E"/>
    <w:rsid w:val="00F14104"/>
    <w:rsid w:val="00F14D23"/>
    <w:rsid w:val="00F15E2D"/>
    <w:rsid w:val="00F16047"/>
    <w:rsid w:val="00F16BA4"/>
    <w:rsid w:val="00F16D49"/>
    <w:rsid w:val="00F174F8"/>
    <w:rsid w:val="00F17868"/>
    <w:rsid w:val="00F216B1"/>
    <w:rsid w:val="00F217D7"/>
    <w:rsid w:val="00F21AF3"/>
    <w:rsid w:val="00F22CEA"/>
    <w:rsid w:val="00F2329C"/>
    <w:rsid w:val="00F23B71"/>
    <w:rsid w:val="00F24787"/>
    <w:rsid w:val="00F24946"/>
    <w:rsid w:val="00F258A8"/>
    <w:rsid w:val="00F25D27"/>
    <w:rsid w:val="00F26ABC"/>
    <w:rsid w:val="00F27003"/>
    <w:rsid w:val="00F27015"/>
    <w:rsid w:val="00F277AD"/>
    <w:rsid w:val="00F279EE"/>
    <w:rsid w:val="00F27D19"/>
    <w:rsid w:val="00F3038B"/>
    <w:rsid w:val="00F30798"/>
    <w:rsid w:val="00F30DF4"/>
    <w:rsid w:val="00F31520"/>
    <w:rsid w:val="00F34057"/>
    <w:rsid w:val="00F34B8A"/>
    <w:rsid w:val="00F3584A"/>
    <w:rsid w:val="00F3610C"/>
    <w:rsid w:val="00F369C4"/>
    <w:rsid w:val="00F36E19"/>
    <w:rsid w:val="00F3747E"/>
    <w:rsid w:val="00F374C0"/>
    <w:rsid w:val="00F42255"/>
    <w:rsid w:val="00F426F8"/>
    <w:rsid w:val="00F433C6"/>
    <w:rsid w:val="00F435CE"/>
    <w:rsid w:val="00F44349"/>
    <w:rsid w:val="00F46362"/>
    <w:rsid w:val="00F46BFF"/>
    <w:rsid w:val="00F46CE2"/>
    <w:rsid w:val="00F47077"/>
    <w:rsid w:val="00F47489"/>
    <w:rsid w:val="00F474A8"/>
    <w:rsid w:val="00F50B16"/>
    <w:rsid w:val="00F51F11"/>
    <w:rsid w:val="00F52338"/>
    <w:rsid w:val="00F53125"/>
    <w:rsid w:val="00F5507B"/>
    <w:rsid w:val="00F551F2"/>
    <w:rsid w:val="00F55B2E"/>
    <w:rsid w:val="00F560DB"/>
    <w:rsid w:val="00F569D3"/>
    <w:rsid w:val="00F60C83"/>
    <w:rsid w:val="00F60F4D"/>
    <w:rsid w:val="00F60F75"/>
    <w:rsid w:val="00F610E0"/>
    <w:rsid w:val="00F6145C"/>
    <w:rsid w:val="00F61870"/>
    <w:rsid w:val="00F63337"/>
    <w:rsid w:val="00F663E7"/>
    <w:rsid w:val="00F705F9"/>
    <w:rsid w:val="00F708BC"/>
    <w:rsid w:val="00F70C51"/>
    <w:rsid w:val="00F70CD1"/>
    <w:rsid w:val="00F7230B"/>
    <w:rsid w:val="00F72D94"/>
    <w:rsid w:val="00F73712"/>
    <w:rsid w:val="00F74189"/>
    <w:rsid w:val="00F742F4"/>
    <w:rsid w:val="00F7460F"/>
    <w:rsid w:val="00F765EE"/>
    <w:rsid w:val="00F76BF9"/>
    <w:rsid w:val="00F774D9"/>
    <w:rsid w:val="00F777AC"/>
    <w:rsid w:val="00F77D67"/>
    <w:rsid w:val="00F80569"/>
    <w:rsid w:val="00F810DC"/>
    <w:rsid w:val="00F81A81"/>
    <w:rsid w:val="00F83B63"/>
    <w:rsid w:val="00F84668"/>
    <w:rsid w:val="00F85E46"/>
    <w:rsid w:val="00F867FC"/>
    <w:rsid w:val="00F868AF"/>
    <w:rsid w:val="00F86FF5"/>
    <w:rsid w:val="00F87345"/>
    <w:rsid w:val="00F9048F"/>
    <w:rsid w:val="00F90C92"/>
    <w:rsid w:val="00F9119D"/>
    <w:rsid w:val="00F9196B"/>
    <w:rsid w:val="00F9205A"/>
    <w:rsid w:val="00F92CA4"/>
    <w:rsid w:val="00F92CF7"/>
    <w:rsid w:val="00F93242"/>
    <w:rsid w:val="00F963D6"/>
    <w:rsid w:val="00F966FF"/>
    <w:rsid w:val="00F97128"/>
    <w:rsid w:val="00F971BE"/>
    <w:rsid w:val="00F978B1"/>
    <w:rsid w:val="00FA0876"/>
    <w:rsid w:val="00FA1A7C"/>
    <w:rsid w:val="00FA1CD1"/>
    <w:rsid w:val="00FA1EC2"/>
    <w:rsid w:val="00FA22D5"/>
    <w:rsid w:val="00FA23E1"/>
    <w:rsid w:val="00FA350E"/>
    <w:rsid w:val="00FA351A"/>
    <w:rsid w:val="00FA3D6A"/>
    <w:rsid w:val="00FA43FE"/>
    <w:rsid w:val="00FA45C9"/>
    <w:rsid w:val="00FA4F3F"/>
    <w:rsid w:val="00FA63C4"/>
    <w:rsid w:val="00FA7B5E"/>
    <w:rsid w:val="00FB03C2"/>
    <w:rsid w:val="00FB1316"/>
    <w:rsid w:val="00FB1C07"/>
    <w:rsid w:val="00FB1EC4"/>
    <w:rsid w:val="00FB2C58"/>
    <w:rsid w:val="00FB3237"/>
    <w:rsid w:val="00FB3AF9"/>
    <w:rsid w:val="00FB3E58"/>
    <w:rsid w:val="00FB5191"/>
    <w:rsid w:val="00FB522F"/>
    <w:rsid w:val="00FB5586"/>
    <w:rsid w:val="00FB5AF5"/>
    <w:rsid w:val="00FB66B4"/>
    <w:rsid w:val="00FB66E7"/>
    <w:rsid w:val="00FB7442"/>
    <w:rsid w:val="00FB773F"/>
    <w:rsid w:val="00FB79D2"/>
    <w:rsid w:val="00FB7B22"/>
    <w:rsid w:val="00FC09EB"/>
    <w:rsid w:val="00FC195F"/>
    <w:rsid w:val="00FC1EC1"/>
    <w:rsid w:val="00FC27B6"/>
    <w:rsid w:val="00FC303B"/>
    <w:rsid w:val="00FC361D"/>
    <w:rsid w:val="00FC38F8"/>
    <w:rsid w:val="00FC5055"/>
    <w:rsid w:val="00FC5620"/>
    <w:rsid w:val="00FC5D09"/>
    <w:rsid w:val="00FC67E5"/>
    <w:rsid w:val="00FC68DC"/>
    <w:rsid w:val="00FC6B7A"/>
    <w:rsid w:val="00FC6D14"/>
    <w:rsid w:val="00FC71E3"/>
    <w:rsid w:val="00FC7522"/>
    <w:rsid w:val="00FC7780"/>
    <w:rsid w:val="00FC7B3D"/>
    <w:rsid w:val="00FD087E"/>
    <w:rsid w:val="00FD0898"/>
    <w:rsid w:val="00FD0F68"/>
    <w:rsid w:val="00FD2522"/>
    <w:rsid w:val="00FD2748"/>
    <w:rsid w:val="00FD283C"/>
    <w:rsid w:val="00FD283E"/>
    <w:rsid w:val="00FD2E2D"/>
    <w:rsid w:val="00FD345A"/>
    <w:rsid w:val="00FD3A78"/>
    <w:rsid w:val="00FD61D9"/>
    <w:rsid w:val="00FD6663"/>
    <w:rsid w:val="00FD6724"/>
    <w:rsid w:val="00FD7095"/>
    <w:rsid w:val="00FD7105"/>
    <w:rsid w:val="00FD740A"/>
    <w:rsid w:val="00FD7AC3"/>
    <w:rsid w:val="00FD7C7C"/>
    <w:rsid w:val="00FD7FD1"/>
    <w:rsid w:val="00FE06B1"/>
    <w:rsid w:val="00FE15AC"/>
    <w:rsid w:val="00FE185F"/>
    <w:rsid w:val="00FE20B9"/>
    <w:rsid w:val="00FE2DB6"/>
    <w:rsid w:val="00FE2E18"/>
    <w:rsid w:val="00FE30D7"/>
    <w:rsid w:val="00FE3776"/>
    <w:rsid w:val="00FE3919"/>
    <w:rsid w:val="00FE5094"/>
    <w:rsid w:val="00FE6918"/>
    <w:rsid w:val="00FF1213"/>
    <w:rsid w:val="00FF1505"/>
    <w:rsid w:val="00FF1A5C"/>
    <w:rsid w:val="00FF1E8C"/>
    <w:rsid w:val="00FF1F4D"/>
    <w:rsid w:val="00FF27A2"/>
    <w:rsid w:val="00FF39A2"/>
    <w:rsid w:val="00FF3CF6"/>
    <w:rsid w:val="00FF44AA"/>
    <w:rsid w:val="00FF4CFF"/>
    <w:rsid w:val="00FF5472"/>
    <w:rsid w:val="00FF5917"/>
    <w:rsid w:val="00FF5D74"/>
    <w:rsid w:val="00FF6AD8"/>
    <w:rsid w:val="00FF6D4E"/>
    <w:rsid w:val="00FF7530"/>
    <w:rsid w:val="00FF7618"/>
    <w:rsid w:val="018FE340"/>
    <w:rsid w:val="01F4C0A8"/>
    <w:rsid w:val="02FAE212"/>
    <w:rsid w:val="03110A91"/>
    <w:rsid w:val="03A7E12B"/>
    <w:rsid w:val="03D14840"/>
    <w:rsid w:val="03D196B1"/>
    <w:rsid w:val="048F8496"/>
    <w:rsid w:val="06067312"/>
    <w:rsid w:val="079501EF"/>
    <w:rsid w:val="08432112"/>
    <w:rsid w:val="08E95337"/>
    <w:rsid w:val="0A49F027"/>
    <w:rsid w:val="0AD09E01"/>
    <w:rsid w:val="0B09A0BA"/>
    <w:rsid w:val="0DB530A4"/>
    <w:rsid w:val="0FE8AB80"/>
    <w:rsid w:val="1122BBD8"/>
    <w:rsid w:val="1155428E"/>
    <w:rsid w:val="124D3C22"/>
    <w:rsid w:val="1380DF90"/>
    <w:rsid w:val="156AD21D"/>
    <w:rsid w:val="15833C6B"/>
    <w:rsid w:val="166B69EB"/>
    <w:rsid w:val="17804282"/>
    <w:rsid w:val="178DD273"/>
    <w:rsid w:val="17BBD8F2"/>
    <w:rsid w:val="1A56AD8E"/>
    <w:rsid w:val="1A93A7DF"/>
    <w:rsid w:val="1AB4A672"/>
    <w:rsid w:val="1AF24C3A"/>
    <w:rsid w:val="1BBDA31C"/>
    <w:rsid w:val="1D2A0FEE"/>
    <w:rsid w:val="1E14363C"/>
    <w:rsid w:val="1EEA69D5"/>
    <w:rsid w:val="1F9094AC"/>
    <w:rsid w:val="205B3C86"/>
    <w:rsid w:val="2077A644"/>
    <w:rsid w:val="212F2F7E"/>
    <w:rsid w:val="22078984"/>
    <w:rsid w:val="22252CF5"/>
    <w:rsid w:val="229EB6CC"/>
    <w:rsid w:val="2393AAC6"/>
    <w:rsid w:val="239DF9A9"/>
    <w:rsid w:val="25C926FA"/>
    <w:rsid w:val="2673FACB"/>
    <w:rsid w:val="26BB0935"/>
    <w:rsid w:val="28F91DED"/>
    <w:rsid w:val="297D24C1"/>
    <w:rsid w:val="29AB9B8D"/>
    <w:rsid w:val="29E18DF4"/>
    <w:rsid w:val="2A36625F"/>
    <w:rsid w:val="2BA3B96F"/>
    <w:rsid w:val="2E0A7410"/>
    <w:rsid w:val="2E86FA36"/>
    <w:rsid w:val="2EAAAF9B"/>
    <w:rsid w:val="3022CA97"/>
    <w:rsid w:val="32C79B74"/>
    <w:rsid w:val="33474559"/>
    <w:rsid w:val="335A6B59"/>
    <w:rsid w:val="35C27D86"/>
    <w:rsid w:val="36920C1B"/>
    <w:rsid w:val="37A9E93B"/>
    <w:rsid w:val="38A419CC"/>
    <w:rsid w:val="3900898C"/>
    <w:rsid w:val="3A79E336"/>
    <w:rsid w:val="3D014D9F"/>
    <w:rsid w:val="3DBBF56E"/>
    <w:rsid w:val="3DED230C"/>
    <w:rsid w:val="3E4BCA9B"/>
    <w:rsid w:val="3E6D0B44"/>
    <w:rsid w:val="3F4400E8"/>
    <w:rsid w:val="3F505E3E"/>
    <w:rsid w:val="3F70FDF0"/>
    <w:rsid w:val="400C6DAD"/>
    <w:rsid w:val="4038EE61"/>
    <w:rsid w:val="42820881"/>
    <w:rsid w:val="4342B0FD"/>
    <w:rsid w:val="439258C7"/>
    <w:rsid w:val="43B12D19"/>
    <w:rsid w:val="466762B6"/>
    <w:rsid w:val="468A2DAD"/>
    <w:rsid w:val="46A82FE5"/>
    <w:rsid w:val="472EB02D"/>
    <w:rsid w:val="4750A17C"/>
    <w:rsid w:val="47AF1220"/>
    <w:rsid w:val="47E7CBFA"/>
    <w:rsid w:val="491D9853"/>
    <w:rsid w:val="49DCD732"/>
    <w:rsid w:val="4AFE6FC0"/>
    <w:rsid w:val="4B2BC836"/>
    <w:rsid w:val="4BC8EA38"/>
    <w:rsid w:val="4C545412"/>
    <w:rsid w:val="4CD7C901"/>
    <w:rsid w:val="4D1B1E6A"/>
    <w:rsid w:val="4DDB6C4C"/>
    <w:rsid w:val="4E0EEBE9"/>
    <w:rsid w:val="4E712FBB"/>
    <w:rsid w:val="4F35D56D"/>
    <w:rsid w:val="4FC168A8"/>
    <w:rsid w:val="4FD204E9"/>
    <w:rsid w:val="523F6C63"/>
    <w:rsid w:val="52C57D22"/>
    <w:rsid w:val="5368E15E"/>
    <w:rsid w:val="5562E6F9"/>
    <w:rsid w:val="5660BE23"/>
    <w:rsid w:val="5810C6E7"/>
    <w:rsid w:val="58191C96"/>
    <w:rsid w:val="590FD778"/>
    <w:rsid w:val="59644D0B"/>
    <w:rsid w:val="5AD08F07"/>
    <w:rsid w:val="5B202B3A"/>
    <w:rsid w:val="5B971B32"/>
    <w:rsid w:val="5C12CE08"/>
    <w:rsid w:val="5C64FA98"/>
    <w:rsid w:val="5C839CB4"/>
    <w:rsid w:val="5E5E3F11"/>
    <w:rsid w:val="5FA106B5"/>
    <w:rsid w:val="612200F3"/>
    <w:rsid w:val="621082CC"/>
    <w:rsid w:val="626E2259"/>
    <w:rsid w:val="638AB79D"/>
    <w:rsid w:val="652457F6"/>
    <w:rsid w:val="6548EBE9"/>
    <w:rsid w:val="6705079C"/>
    <w:rsid w:val="680F1B47"/>
    <w:rsid w:val="6850869B"/>
    <w:rsid w:val="685C138E"/>
    <w:rsid w:val="68B7D264"/>
    <w:rsid w:val="68C04E43"/>
    <w:rsid w:val="6975CE71"/>
    <w:rsid w:val="69CB25BA"/>
    <w:rsid w:val="6A257D06"/>
    <w:rsid w:val="6C47E146"/>
    <w:rsid w:val="6C494F52"/>
    <w:rsid w:val="6DF17F89"/>
    <w:rsid w:val="6E101F34"/>
    <w:rsid w:val="6F3126EC"/>
    <w:rsid w:val="6FDE4485"/>
    <w:rsid w:val="7024BB85"/>
    <w:rsid w:val="705871AB"/>
    <w:rsid w:val="720ACFDB"/>
    <w:rsid w:val="7278953C"/>
    <w:rsid w:val="73394A3C"/>
    <w:rsid w:val="74C9A8FC"/>
    <w:rsid w:val="7533C513"/>
    <w:rsid w:val="75C0763D"/>
    <w:rsid w:val="76E2867F"/>
    <w:rsid w:val="77BCFA40"/>
    <w:rsid w:val="780657DA"/>
    <w:rsid w:val="78266351"/>
    <w:rsid w:val="783A8EE1"/>
    <w:rsid w:val="78406C8F"/>
    <w:rsid w:val="785733B1"/>
    <w:rsid w:val="789B92BD"/>
    <w:rsid w:val="7A4BF459"/>
    <w:rsid w:val="7B7C4FFB"/>
    <w:rsid w:val="7BB5F7A2"/>
    <w:rsid w:val="7C338F36"/>
    <w:rsid w:val="7D51C803"/>
    <w:rsid w:val="7E204311"/>
    <w:rsid w:val="7EFDD71C"/>
    <w:rsid w:val="7F3A8568"/>
    <w:rsid w:val="7F9FD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E55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3A63"/>
    <w:rPr>
      <w:color w:val="0000FF"/>
      <w:u w:val="single"/>
      <w:shd w:val="clear" w:color="auto" w:fill="auto"/>
    </w:rPr>
  </w:style>
  <w:style w:type="character" w:styleId="CommentReference">
    <w:name w:val="annotation reference"/>
    <w:basedOn w:val="DefaultParagraphFont"/>
    <w:unhideWhenUsed/>
    <w:qFormat/>
    <w:rsid w:val="00CB271C"/>
    <w:rPr>
      <w:sz w:val="16"/>
      <w:szCs w:val="16"/>
    </w:rPr>
  </w:style>
  <w:style w:type="paragraph" w:styleId="CommentText">
    <w:name w:val="annotation text"/>
    <w:aliases w:val="Char2"/>
    <w:basedOn w:val="Normal"/>
    <w:link w:val="CommentTextChar"/>
    <w:uiPriority w:val="99"/>
    <w:unhideWhenUsed/>
    <w:qFormat/>
    <w:rsid w:val="00CB271C"/>
    <w:rPr>
      <w:sz w:val="20"/>
      <w:szCs w:val="20"/>
    </w:rPr>
  </w:style>
  <w:style w:type="character" w:customStyle="1" w:styleId="CommentTextChar">
    <w:name w:val="Comment Text Char"/>
    <w:aliases w:val="Char2 Char"/>
    <w:basedOn w:val="DefaultParagraphFont"/>
    <w:link w:val="CommentText"/>
    <w:uiPriority w:val="99"/>
    <w:rsid w:val="00CB271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CB271C"/>
    <w:rPr>
      <w:b/>
      <w:bCs/>
    </w:rPr>
  </w:style>
  <w:style w:type="character" w:customStyle="1" w:styleId="CommentSubjectChar">
    <w:name w:val="Comment Subject Char"/>
    <w:basedOn w:val="CommentTextChar"/>
    <w:link w:val="CommentSubject"/>
    <w:rsid w:val="00CB271C"/>
    <w:rPr>
      <w:rFonts w:ascii="Times New Roman" w:hAnsi="Times New Roman" w:cs="Times New Roman"/>
      <w:b/>
      <w:bCs/>
      <w:sz w:val="20"/>
      <w:szCs w:val="20"/>
      <w:lang w:val="en-GB"/>
    </w:rPr>
  </w:style>
  <w:style w:type="paragraph" w:styleId="BalloonText">
    <w:name w:val="Balloon Text"/>
    <w:basedOn w:val="Normal"/>
    <w:link w:val="BalloonTextChar"/>
    <w:unhideWhenUsed/>
    <w:rsid w:val="00CB271C"/>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B271C"/>
    <w:rPr>
      <w:rFonts w:ascii="Segoe UI" w:hAnsi="Segoe UI" w:cs="Segoe UI"/>
      <w:sz w:val="18"/>
      <w:szCs w:val="18"/>
      <w:lang w:val="en-GB"/>
    </w:rPr>
  </w:style>
  <w:style w:type="character" w:styleId="FollowedHyperlink">
    <w:name w:val="FollowedHyperlink"/>
    <w:basedOn w:val="DefaultParagraphFont"/>
    <w:unhideWhenUsed/>
    <w:rsid w:val="00561BE3"/>
    <w:rPr>
      <w:color w:val="800080" w:themeColor="followedHyperlink"/>
      <w:u w:val="singl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2,EC"/>
    <w:basedOn w:val="Normal"/>
    <w:link w:val="ListParagraphChar"/>
    <w:uiPriority w:val="34"/>
    <w:qFormat/>
    <w:rsid w:val="00884E8C"/>
    <w:pPr>
      <w:spacing w:before="0" w:after="160" w:line="259" w:lineRule="auto"/>
      <w:ind w:left="720"/>
      <w:contextualSpacing/>
      <w:jc w:val="left"/>
    </w:pPr>
    <w:rPr>
      <w:rFonts w:asciiTheme="minorHAnsi" w:hAnsiTheme="minorHAnsi" w:cstheme="minorBidi"/>
      <w:sz w:val="22"/>
    </w:rPr>
  </w:style>
  <w:style w:type="character" w:customStyle="1" w:styleId="MBTChar">
    <w:name w:val="M BT Char"/>
    <w:link w:val="MBT"/>
    <w:locked/>
    <w:rsid w:val="008733AC"/>
    <w:rPr>
      <w:rFonts w:ascii="Times New Roman" w:eastAsia="Times New Roman" w:hAnsi="Times New Roman" w:cs="Times New Roman"/>
      <w:bCs/>
      <w:lang w:eastAsia="en-GB"/>
    </w:rPr>
  </w:style>
  <w:style w:type="paragraph" w:customStyle="1" w:styleId="MBT">
    <w:name w:val="M BT"/>
    <w:basedOn w:val="Normal"/>
    <w:link w:val="MBTChar"/>
    <w:qFormat/>
    <w:rsid w:val="008733AC"/>
    <w:pPr>
      <w:widowControl w:val="0"/>
    </w:pPr>
    <w:rPr>
      <w:rFonts w:eastAsia="Times New Roman"/>
      <w:bCs/>
      <w:sz w:val="22"/>
      <w:lang w:val="en-US" w:eastAsia="en-GB"/>
    </w:rPr>
  </w:style>
  <w:style w:type="paragraph" w:customStyle="1" w:styleId="Default">
    <w:name w:val="Default"/>
    <w:rsid w:val="00B41FF2"/>
    <w:pPr>
      <w:autoSpaceDE w:val="0"/>
      <w:autoSpaceDN w:val="0"/>
      <w:adjustRightInd w:val="0"/>
      <w:spacing w:after="0" w:line="240" w:lineRule="auto"/>
    </w:pPr>
    <w:rPr>
      <w:rFonts w:ascii="Calibri" w:hAnsi="Calibri" w:cs="Calibri"/>
      <w:color w:val="000000"/>
      <w:sz w:val="24"/>
      <w:szCs w:val="24"/>
      <w:lang w:val="es-ES"/>
    </w:rPr>
  </w:style>
  <w:style w:type="character" w:customStyle="1" w:styleId="acopre">
    <w:name w:val="acopre"/>
    <w:basedOn w:val="DefaultParagraphFont"/>
    <w:rsid w:val="00B02BD8"/>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2 Char"/>
    <w:basedOn w:val="DefaultParagraphFont"/>
    <w:link w:val="ListParagraph"/>
    <w:uiPriority w:val="34"/>
    <w:qFormat/>
    <w:rsid w:val="00BC5A47"/>
    <w:rPr>
      <w:lang w:val="en-GB"/>
    </w:rPr>
  </w:style>
  <w:style w:type="character" w:customStyle="1" w:styleId="Text2Char">
    <w:name w:val="Text 2 Char"/>
    <w:locked/>
    <w:rsid w:val="0020658E"/>
    <w:rPr>
      <w:rFonts w:ascii="Times New Roman" w:hAnsi="Times New Roman" w:cs="Times New Roman"/>
      <w:sz w:val="24"/>
      <w:lang w:val="en-GB"/>
    </w:rPr>
  </w:style>
  <w:style w:type="paragraph" w:styleId="ListBullet">
    <w:name w:val="List Bullet"/>
    <w:basedOn w:val="Normal"/>
    <w:unhideWhenUsed/>
    <w:rsid w:val="00245C49"/>
    <w:pPr>
      <w:numPr>
        <w:numId w:val="1"/>
      </w:numPr>
      <w:contextualSpacing/>
    </w:pPr>
  </w:style>
  <w:style w:type="paragraph" w:styleId="ListBullet2">
    <w:name w:val="List Bullet 2"/>
    <w:basedOn w:val="Normal"/>
    <w:unhideWhenUsed/>
    <w:rsid w:val="00245C49"/>
    <w:pPr>
      <w:numPr>
        <w:numId w:val="2"/>
      </w:numPr>
      <w:contextualSpacing/>
    </w:pPr>
  </w:style>
  <w:style w:type="paragraph" w:styleId="ListBullet3">
    <w:name w:val="List Bullet 3"/>
    <w:basedOn w:val="Normal"/>
    <w:unhideWhenUsed/>
    <w:rsid w:val="00245C49"/>
    <w:pPr>
      <w:numPr>
        <w:numId w:val="3"/>
      </w:numPr>
      <w:contextualSpacing/>
    </w:pPr>
  </w:style>
  <w:style w:type="paragraph" w:styleId="ListBullet4">
    <w:name w:val="List Bullet 4"/>
    <w:basedOn w:val="Normal"/>
    <w:unhideWhenUsed/>
    <w:rsid w:val="00245C49"/>
    <w:pPr>
      <w:numPr>
        <w:numId w:val="4"/>
      </w:numPr>
      <w:contextualSpacing/>
    </w:pPr>
  </w:style>
  <w:style w:type="character" w:customStyle="1" w:styleId="highlight">
    <w:name w:val="highlight"/>
    <w:basedOn w:val="DefaultParagraphFont"/>
    <w:rsid w:val="00245C49"/>
  </w:style>
  <w:style w:type="paragraph" w:customStyle="1" w:styleId="title-division-2">
    <w:name w:val="title-division-2"/>
    <w:basedOn w:val="Normal"/>
    <w:rsid w:val="007333BA"/>
    <w:pPr>
      <w:spacing w:before="100" w:beforeAutospacing="1" w:after="100" w:afterAutospacing="1"/>
      <w:jc w:val="left"/>
    </w:pPr>
    <w:rPr>
      <w:rFonts w:eastAsia="Times New Roman"/>
      <w:szCs w:val="24"/>
      <w:lang w:val="en-US"/>
    </w:rPr>
  </w:style>
  <w:style w:type="character" w:customStyle="1" w:styleId="boldface">
    <w:name w:val="boldface"/>
    <w:basedOn w:val="DefaultParagraphFont"/>
    <w:rsid w:val="007333BA"/>
  </w:style>
  <w:style w:type="paragraph" w:customStyle="1" w:styleId="B0List">
    <w:name w:val="B0 List"/>
    <w:basedOn w:val="Normal"/>
    <w:qFormat/>
    <w:rsid w:val="00D97746"/>
    <w:pPr>
      <w:widowControl w:val="0"/>
      <w:numPr>
        <w:numId w:val="5"/>
      </w:numPr>
      <w:spacing w:before="0"/>
    </w:pPr>
    <w:rPr>
      <w:rFonts w:eastAsia="Calibri" w:cs="Tahoma"/>
    </w:rPr>
  </w:style>
  <w:style w:type="paragraph" w:customStyle="1" w:styleId="title-bold">
    <w:name w:val="title-bold"/>
    <w:basedOn w:val="Normal"/>
    <w:rsid w:val="00A17072"/>
    <w:pPr>
      <w:spacing w:before="100" w:beforeAutospacing="1" w:after="100" w:afterAutospacing="1"/>
      <w:jc w:val="left"/>
    </w:pPr>
    <w:rPr>
      <w:rFonts w:eastAsia="Times New Roman"/>
      <w:szCs w:val="24"/>
      <w:lang w:val="en-US"/>
    </w:rPr>
  </w:style>
  <w:style w:type="paragraph" w:customStyle="1" w:styleId="Normal1">
    <w:name w:val="Normal1"/>
    <w:basedOn w:val="Normal"/>
    <w:rsid w:val="0086350E"/>
    <w:pPr>
      <w:spacing w:before="100" w:beforeAutospacing="1" w:after="100" w:afterAutospacing="1"/>
      <w:jc w:val="left"/>
    </w:pPr>
    <w:rPr>
      <w:rFonts w:eastAsia="Times New Roman"/>
      <w:szCs w:val="24"/>
      <w:lang w:val="en-US"/>
    </w:rPr>
  </w:style>
  <w:style w:type="table" w:styleId="TableGrid">
    <w:name w:val="Table Grid"/>
    <w:aliases w:val="Document Table,CV1,Table 1,Test,TabelEcorys,Gena,Deloitte,HTG,Tabellengitternetz,Table Grid IDEA"/>
    <w:basedOn w:val="TableNormal"/>
    <w:uiPriority w:val="39"/>
    <w:qFormat/>
    <w:rsid w:val="00E472A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0F12"/>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sid w:val="009A0F12"/>
    <w:rPr>
      <w:b/>
      <w:bCs/>
    </w:rPr>
  </w:style>
  <w:style w:type="character" w:styleId="Emphasis">
    <w:name w:val="Emphasis"/>
    <w:basedOn w:val="DefaultParagraphFont"/>
    <w:uiPriority w:val="20"/>
    <w:qFormat/>
    <w:rsid w:val="009A0F12"/>
    <w:rPr>
      <w:i/>
      <w:iCs/>
    </w:rPr>
  </w:style>
  <w:style w:type="paragraph" w:styleId="Revision">
    <w:name w:val="Revision"/>
    <w:hidden/>
    <w:uiPriority w:val="99"/>
    <w:semiHidden/>
    <w:rsid w:val="00B1321E"/>
    <w:pPr>
      <w:spacing w:after="0" w:line="240" w:lineRule="auto"/>
    </w:pPr>
    <w:rPr>
      <w:rFonts w:ascii="Times New Roman" w:hAnsi="Times New Roman" w:cs="Times New Roman"/>
      <w:sz w:val="24"/>
      <w:lang w:val="en-GB"/>
    </w:rPr>
  </w:style>
  <w:style w:type="character" w:customStyle="1" w:styleId="normaltextrun">
    <w:name w:val="normaltextrun"/>
    <w:basedOn w:val="DefaultParagraphFont"/>
    <w:rsid w:val="00036E2D"/>
  </w:style>
  <w:style w:type="character" w:customStyle="1" w:styleId="eop">
    <w:name w:val="eop"/>
    <w:basedOn w:val="DefaultParagraphFont"/>
    <w:rsid w:val="00036E2D"/>
  </w:style>
  <w:style w:type="paragraph" w:customStyle="1" w:styleId="norm">
    <w:name w:val="norm"/>
    <w:basedOn w:val="Normal"/>
    <w:rsid w:val="00827F27"/>
    <w:pPr>
      <w:spacing w:before="100" w:beforeAutospacing="1" w:after="100" w:afterAutospacing="1"/>
      <w:jc w:val="left"/>
    </w:pPr>
    <w:rPr>
      <w:rFonts w:eastAsia="Times New Roman"/>
      <w:szCs w:val="24"/>
      <w:lang w:val="en-IE" w:eastAsia="en-IE"/>
    </w:rPr>
  </w:style>
  <w:style w:type="paragraph" w:customStyle="1" w:styleId="title-article-norm">
    <w:name w:val="title-article-norm"/>
    <w:basedOn w:val="Normal"/>
    <w:rsid w:val="00C9131C"/>
    <w:pPr>
      <w:spacing w:before="100" w:beforeAutospacing="1" w:after="100" w:afterAutospacing="1"/>
      <w:jc w:val="left"/>
    </w:pPr>
    <w:rPr>
      <w:rFonts w:eastAsia="Times New Roman"/>
      <w:szCs w:val="24"/>
      <w:lang w:val="en-US"/>
    </w:rPr>
  </w:style>
  <w:style w:type="paragraph" w:customStyle="1" w:styleId="stitle-article-norm">
    <w:name w:val="stitle-article-norm"/>
    <w:basedOn w:val="Normal"/>
    <w:rsid w:val="00C9131C"/>
    <w:pPr>
      <w:spacing w:before="100" w:beforeAutospacing="1" w:after="100" w:afterAutospacing="1"/>
      <w:jc w:val="left"/>
    </w:pPr>
    <w:rPr>
      <w:rFonts w:eastAsia="Times New Roman"/>
      <w:szCs w:val="24"/>
      <w:lang w:val="en-US"/>
    </w:rPr>
  </w:style>
  <w:style w:type="paragraph" w:customStyle="1" w:styleId="FooterCoverPage">
    <w:name w:val="Footer Cover Page"/>
    <w:basedOn w:val="Normal"/>
    <w:link w:val="FooterCoverPageChar"/>
    <w:rsid w:val="008A53D9"/>
    <w:pPr>
      <w:tabs>
        <w:tab w:val="center" w:pos="4535"/>
        <w:tab w:val="right" w:pos="9071"/>
        <w:tab w:val="right" w:pos="9921"/>
      </w:tabs>
      <w:spacing w:before="360" w:after="0"/>
      <w:ind w:left="-850" w:right="-850"/>
      <w:jc w:val="left"/>
    </w:pPr>
    <w:rPr>
      <w:lang w:val="fr-BE"/>
    </w:rPr>
  </w:style>
  <w:style w:type="character" w:customStyle="1" w:styleId="FooterCoverPageChar">
    <w:name w:val="Footer Cover Page Char"/>
    <w:basedOn w:val="DefaultParagraphFont"/>
    <w:link w:val="FooterCoverPage"/>
    <w:rsid w:val="008A53D9"/>
    <w:rPr>
      <w:rFonts w:ascii="Times New Roman" w:hAnsi="Times New Roman" w:cs="Times New Roman"/>
      <w:sz w:val="24"/>
      <w:lang w:val="fr-BE"/>
    </w:rPr>
  </w:style>
  <w:style w:type="character" w:customStyle="1" w:styleId="FooterSensitivityChar">
    <w:name w:val="Footer Sensitivity Char"/>
    <w:basedOn w:val="DefaultParagraphFont"/>
    <w:rsid w:val="008A53D9"/>
    <w:rPr>
      <w:rFonts w:ascii="Times New Roman" w:hAnsi="Times New Roman" w:cs="Times New Roman"/>
      <w:b/>
      <w:sz w:val="32"/>
      <w:lang w:val="en-GB"/>
    </w:rPr>
  </w:style>
  <w:style w:type="paragraph" w:customStyle="1" w:styleId="HeaderCoverPage">
    <w:name w:val="Header Cover Page"/>
    <w:basedOn w:val="Normal"/>
    <w:link w:val="HeaderCoverPageChar"/>
    <w:rsid w:val="008A53D9"/>
    <w:pPr>
      <w:tabs>
        <w:tab w:val="center" w:pos="4535"/>
        <w:tab w:val="right" w:pos="9071"/>
      </w:tabs>
      <w:spacing w:before="0"/>
    </w:pPr>
    <w:rPr>
      <w:lang w:val="fr-BE"/>
    </w:rPr>
  </w:style>
  <w:style w:type="character" w:customStyle="1" w:styleId="HeaderCoverPageChar">
    <w:name w:val="Header Cover Page Char"/>
    <w:basedOn w:val="DefaultParagraphFont"/>
    <w:link w:val="HeaderCoverPage"/>
    <w:rsid w:val="008A53D9"/>
    <w:rPr>
      <w:rFonts w:ascii="Times New Roman" w:hAnsi="Times New Roman" w:cs="Times New Roman"/>
      <w:sz w:val="24"/>
      <w:lang w:val="fr-BE"/>
    </w:rPr>
  </w:style>
  <w:style w:type="character" w:customStyle="1" w:styleId="HeaderSensitivityChar">
    <w:name w:val="Header Sensitivity Char"/>
    <w:basedOn w:val="DefaultParagraphFont"/>
    <w:rsid w:val="008A53D9"/>
    <w:rPr>
      <w:rFonts w:ascii="Times New Roman" w:hAnsi="Times New Roman" w:cs="Times New Roman"/>
      <w:b/>
      <w:sz w:val="32"/>
      <w:lang w:val="en-GB"/>
    </w:rPr>
  </w:style>
  <w:style w:type="character" w:customStyle="1" w:styleId="HeaderSensitivityRightChar">
    <w:name w:val="Header Sensitivity Right Char"/>
    <w:basedOn w:val="DefaultParagraphFont"/>
    <w:rsid w:val="008A53D9"/>
    <w:rPr>
      <w:rFonts w:ascii="Times New Roman" w:hAnsi="Times New Roman" w:cs="Times New Roman"/>
      <w:sz w:val="28"/>
      <w:lang w:val="en-GB"/>
    </w:rPr>
  </w:style>
  <w:style w:type="paragraph" w:styleId="ListNumber">
    <w:name w:val="List Number"/>
    <w:basedOn w:val="Normal"/>
    <w:rsid w:val="008A53D9"/>
    <w:pPr>
      <w:numPr>
        <w:numId w:val="10"/>
      </w:numPr>
    </w:pPr>
    <w:rPr>
      <w:lang w:eastAsia="en-GB"/>
    </w:rPr>
  </w:style>
  <w:style w:type="paragraph" w:customStyle="1" w:styleId="ListBullet1">
    <w:name w:val="List Bullet 1"/>
    <w:basedOn w:val="Normal"/>
    <w:rsid w:val="008A53D9"/>
    <w:pPr>
      <w:numPr>
        <w:numId w:val="6"/>
      </w:numPr>
    </w:pPr>
    <w:rPr>
      <w:lang w:eastAsia="en-GB"/>
    </w:rPr>
  </w:style>
  <w:style w:type="paragraph" w:customStyle="1" w:styleId="ListDash">
    <w:name w:val="List Dash"/>
    <w:basedOn w:val="Normal"/>
    <w:rsid w:val="008A53D9"/>
    <w:pPr>
      <w:numPr>
        <w:numId w:val="7"/>
      </w:numPr>
    </w:pPr>
    <w:rPr>
      <w:lang w:eastAsia="en-GB"/>
    </w:rPr>
  </w:style>
  <w:style w:type="paragraph" w:customStyle="1" w:styleId="ListDash1">
    <w:name w:val="List Dash 1"/>
    <w:basedOn w:val="Normal"/>
    <w:rsid w:val="008A53D9"/>
    <w:pPr>
      <w:numPr>
        <w:numId w:val="8"/>
      </w:numPr>
    </w:pPr>
    <w:rPr>
      <w:lang w:eastAsia="en-GB"/>
    </w:rPr>
  </w:style>
  <w:style w:type="paragraph" w:customStyle="1" w:styleId="ListDash2">
    <w:name w:val="List Dash 2"/>
    <w:basedOn w:val="Normal"/>
    <w:rsid w:val="008A53D9"/>
    <w:pPr>
      <w:numPr>
        <w:numId w:val="9"/>
      </w:numPr>
    </w:pPr>
    <w:rPr>
      <w:lang w:eastAsia="en-GB"/>
    </w:rPr>
  </w:style>
  <w:style w:type="paragraph" w:customStyle="1" w:styleId="ListNumberLevel2">
    <w:name w:val="List Number (Level 2)"/>
    <w:basedOn w:val="Normal"/>
    <w:rsid w:val="008A53D9"/>
    <w:pPr>
      <w:numPr>
        <w:ilvl w:val="1"/>
        <w:numId w:val="10"/>
      </w:numPr>
    </w:pPr>
    <w:rPr>
      <w:lang w:eastAsia="en-GB"/>
    </w:rPr>
  </w:style>
  <w:style w:type="paragraph" w:customStyle="1" w:styleId="ListNumberLevel3">
    <w:name w:val="List Number (Level 3)"/>
    <w:basedOn w:val="Normal"/>
    <w:rsid w:val="008A53D9"/>
    <w:pPr>
      <w:numPr>
        <w:ilvl w:val="2"/>
        <w:numId w:val="10"/>
      </w:numPr>
    </w:pPr>
    <w:rPr>
      <w:lang w:eastAsia="en-GB"/>
    </w:rPr>
  </w:style>
  <w:style w:type="paragraph" w:customStyle="1" w:styleId="ListNumberLevel4">
    <w:name w:val="List Number (Level 4)"/>
    <w:basedOn w:val="Normal"/>
    <w:rsid w:val="008A53D9"/>
    <w:pPr>
      <w:numPr>
        <w:ilvl w:val="3"/>
        <w:numId w:val="10"/>
      </w:numPr>
    </w:pPr>
    <w:rPr>
      <w:lang w:eastAsia="en-GB"/>
    </w:rPr>
  </w:style>
  <w:style w:type="paragraph" w:styleId="Caption">
    <w:name w:val="caption"/>
    <w:basedOn w:val="Normal"/>
    <w:next w:val="Normal"/>
    <w:qFormat/>
    <w:rsid w:val="008A53D9"/>
    <w:rPr>
      <w:b/>
      <w:bCs/>
      <w:sz w:val="20"/>
      <w:lang w:eastAsia="en-GB"/>
    </w:rPr>
  </w:style>
  <w:style w:type="paragraph" w:styleId="TableofFigures">
    <w:name w:val="table of figures"/>
    <w:basedOn w:val="Normal"/>
    <w:next w:val="Normal"/>
    <w:rsid w:val="008A53D9"/>
    <w:rPr>
      <w:lang w:eastAsia="en-GB"/>
    </w:rPr>
  </w:style>
  <w:style w:type="paragraph" w:styleId="ListNumber2">
    <w:name w:val="List Number 2"/>
    <w:basedOn w:val="Normal"/>
    <w:rsid w:val="008A53D9"/>
    <w:pPr>
      <w:numPr>
        <w:numId w:val="11"/>
      </w:numPr>
      <w:contextualSpacing/>
    </w:pPr>
    <w:rPr>
      <w:lang w:eastAsia="en-GB"/>
    </w:rPr>
  </w:style>
  <w:style w:type="paragraph" w:styleId="ListNumber3">
    <w:name w:val="List Number 3"/>
    <w:basedOn w:val="Normal"/>
    <w:rsid w:val="008A53D9"/>
    <w:pPr>
      <w:numPr>
        <w:numId w:val="12"/>
      </w:numPr>
      <w:contextualSpacing/>
    </w:pPr>
    <w:rPr>
      <w:lang w:eastAsia="en-GB"/>
    </w:rPr>
  </w:style>
  <w:style w:type="paragraph" w:styleId="ListNumber4">
    <w:name w:val="List Number 4"/>
    <w:basedOn w:val="Normal"/>
    <w:rsid w:val="008A53D9"/>
    <w:pPr>
      <w:numPr>
        <w:numId w:val="13"/>
      </w:numPr>
      <w:contextualSpacing/>
    </w:pPr>
    <w:rPr>
      <w:lang w:eastAsia="en-GB"/>
    </w:rPr>
  </w:style>
  <w:style w:type="paragraph" w:customStyle="1" w:styleId="Sous-titreobjet">
    <w:name w:val="Sous-titre objet"/>
    <w:basedOn w:val="Normal"/>
    <w:rsid w:val="008A53D9"/>
    <w:pPr>
      <w:spacing w:before="0" w:after="0"/>
      <w:jc w:val="center"/>
    </w:pPr>
    <w:rPr>
      <w:b/>
      <w:lang w:eastAsia="en-GB"/>
    </w:rPr>
  </w:style>
  <w:style w:type="paragraph" w:customStyle="1" w:styleId="Sous-titreobjetPagedecouverture">
    <w:name w:val="Sous-titre objet (Page de couverture)"/>
    <w:basedOn w:val="Sous-titreobjet"/>
    <w:rsid w:val="008A53D9"/>
  </w:style>
  <w:style w:type="character" w:customStyle="1" w:styleId="TOCHeadingChar">
    <w:name w:val="TOC Heading Char"/>
    <w:basedOn w:val="DefaultParagraphFont"/>
    <w:uiPriority w:val="39"/>
    <w:rsid w:val="008A53D9"/>
    <w:rPr>
      <w:rFonts w:ascii="Times New Roman" w:hAnsi="Times New Roman" w:cs="Times New Roman"/>
      <w:b/>
      <w:sz w:val="28"/>
      <w:lang w:val="en-GB"/>
    </w:rPr>
  </w:style>
  <w:style w:type="paragraph" w:customStyle="1" w:styleId="Articletitre">
    <w:name w:val="Article titre"/>
    <w:basedOn w:val="Titrearticle"/>
    <w:rsid w:val="00175EBD"/>
    <w:pPr>
      <w:spacing w:before="0"/>
    </w:pPr>
    <w:rPr>
      <w:b/>
      <w:lang w:val="en-IE"/>
    </w:rPr>
  </w:style>
  <w:style w:type="paragraph" w:customStyle="1" w:styleId="Articletitle">
    <w:name w:val="Article title"/>
    <w:basedOn w:val="Normal"/>
    <w:qFormat/>
    <w:rsid w:val="00175EBD"/>
    <w:pPr>
      <w:keepNext/>
      <w:jc w:val="center"/>
    </w:pPr>
    <w:rPr>
      <w:b/>
      <w:bCs/>
    </w:rPr>
  </w:style>
  <w:style w:type="paragraph" w:customStyle="1" w:styleId="ListDash3">
    <w:name w:val="List Dash 3"/>
    <w:basedOn w:val="Normal"/>
    <w:rsid w:val="00836BD4"/>
    <w:pPr>
      <w:numPr>
        <w:numId w:val="15"/>
      </w:numPr>
    </w:pPr>
    <w:rPr>
      <w:rFonts w:eastAsia="Times New Roman"/>
      <w:lang w:val="fr-FR" w:eastAsia="en-GB"/>
    </w:rPr>
  </w:style>
  <w:style w:type="paragraph" w:customStyle="1" w:styleId="ListDash4">
    <w:name w:val="List Dash 4"/>
    <w:basedOn w:val="Normal"/>
    <w:rsid w:val="00836BD4"/>
    <w:pPr>
      <w:numPr>
        <w:numId w:val="16"/>
      </w:numPr>
    </w:pPr>
    <w:rPr>
      <w:rFonts w:eastAsia="Times New Roman"/>
      <w:lang w:val="fr-FR" w:eastAsia="en-GB"/>
    </w:rPr>
  </w:style>
  <w:style w:type="paragraph" w:customStyle="1" w:styleId="ListNumber1">
    <w:name w:val="List Number 1"/>
    <w:basedOn w:val="Text1"/>
    <w:rsid w:val="00836BD4"/>
    <w:pPr>
      <w:numPr>
        <w:numId w:val="17"/>
      </w:numPr>
    </w:pPr>
    <w:rPr>
      <w:rFonts w:eastAsia="Times New Roman"/>
      <w:lang w:val="fr-FR" w:eastAsia="en-GB"/>
    </w:rPr>
  </w:style>
  <w:style w:type="paragraph" w:customStyle="1" w:styleId="ListNumber1Level2">
    <w:name w:val="List Number 1 (Level 2)"/>
    <w:basedOn w:val="Text1"/>
    <w:rsid w:val="00836BD4"/>
    <w:pPr>
      <w:numPr>
        <w:ilvl w:val="1"/>
        <w:numId w:val="17"/>
      </w:numPr>
    </w:pPr>
    <w:rPr>
      <w:rFonts w:eastAsia="Times New Roman"/>
      <w:lang w:val="fr-FR" w:eastAsia="en-GB"/>
    </w:rPr>
  </w:style>
  <w:style w:type="paragraph" w:customStyle="1" w:styleId="ListNumber2Level2">
    <w:name w:val="List Number 2 (Level 2)"/>
    <w:basedOn w:val="Text2"/>
    <w:rsid w:val="00836BD4"/>
    <w:pPr>
      <w:tabs>
        <w:tab w:val="num" w:pos="2268"/>
      </w:tabs>
      <w:ind w:left="2268" w:hanging="708"/>
    </w:pPr>
    <w:rPr>
      <w:rFonts w:eastAsia="Times New Roman"/>
      <w:lang w:val="fr-FR" w:eastAsia="en-GB"/>
    </w:rPr>
  </w:style>
  <w:style w:type="paragraph" w:customStyle="1" w:styleId="ListNumber3Level2">
    <w:name w:val="List Number 3 (Level 2)"/>
    <w:basedOn w:val="Text3"/>
    <w:rsid w:val="00836BD4"/>
    <w:pPr>
      <w:tabs>
        <w:tab w:val="num" w:pos="2268"/>
      </w:tabs>
      <w:ind w:left="2268" w:hanging="708"/>
    </w:pPr>
    <w:rPr>
      <w:rFonts w:eastAsia="Times New Roman"/>
      <w:lang w:val="fr-FR" w:eastAsia="en-GB"/>
    </w:rPr>
  </w:style>
  <w:style w:type="paragraph" w:customStyle="1" w:styleId="ListNumber4Level2">
    <w:name w:val="List Number 4 (Level 2)"/>
    <w:basedOn w:val="Text4"/>
    <w:rsid w:val="00836BD4"/>
    <w:pPr>
      <w:tabs>
        <w:tab w:val="num" w:pos="2268"/>
      </w:tabs>
      <w:ind w:left="2268" w:hanging="708"/>
    </w:pPr>
    <w:rPr>
      <w:rFonts w:eastAsia="Times New Roman"/>
      <w:lang w:val="fr-FR" w:eastAsia="en-GB"/>
    </w:rPr>
  </w:style>
  <w:style w:type="paragraph" w:customStyle="1" w:styleId="ListNumber1Level3">
    <w:name w:val="List Number 1 (Level 3)"/>
    <w:basedOn w:val="Text1"/>
    <w:rsid w:val="00836BD4"/>
    <w:pPr>
      <w:numPr>
        <w:ilvl w:val="2"/>
        <w:numId w:val="17"/>
      </w:numPr>
    </w:pPr>
    <w:rPr>
      <w:rFonts w:eastAsia="Times New Roman"/>
      <w:lang w:val="fr-FR" w:eastAsia="en-GB"/>
    </w:rPr>
  </w:style>
  <w:style w:type="paragraph" w:customStyle="1" w:styleId="ListNumber2Level3">
    <w:name w:val="List Number 2 (Level 3)"/>
    <w:basedOn w:val="Text2"/>
    <w:rsid w:val="00836BD4"/>
    <w:pPr>
      <w:tabs>
        <w:tab w:val="num" w:pos="2977"/>
      </w:tabs>
      <w:ind w:left="2977" w:hanging="709"/>
    </w:pPr>
    <w:rPr>
      <w:rFonts w:eastAsia="Times New Roman"/>
      <w:lang w:val="fr-FR" w:eastAsia="en-GB"/>
    </w:rPr>
  </w:style>
  <w:style w:type="paragraph" w:customStyle="1" w:styleId="ListNumber3Level3">
    <w:name w:val="List Number 3 (Level 3)"/>
    <w:basedOn w:val="Text3"/>
    <w:rsid w:val="00836BD4"/>
    <w:pPr>
      <w:tabs>
        <w:tab w:val="num" w:pos="2977"/>
      </w:tabs>
      <w:ind w:left="2977" w:hanging="709"/>
    </w:pPr>
    <w:rPr>
      <w:rFonts w:eastAsia="Times New Roman"/>
      <w:lang w:val="fr-FR" w:eastAsia="en-GB"/>
    </w:rPr>
  </w:style>
  <w:style w:type="paragraph" w:customStyle="1" w:styleId="ListNumber4Level3">
    <w:name w:val="List Number 4 (Level 3)"/>
    <w:basedOn w:val="Text4"/>
    <w:rsid w:val="00836BD4"/>
    <w:pPr>
      <w:tabs>
        <w:tab w:val="num" w:pos="2977"/>
      </w:tabs>
      <w:ind w:left="2977" w:hanging="709"/>
    </w:pPr>
    <w:rPr>
      <w:rFonts w:eastAsia="Times New Roman"/>
      <w:lang w:val="fr-FR" w:eastAsia="en-GB"/>
    </w:rPr>
  </w:style>
  <w:style w:type="paragraph" w:customStyle="1" w:styleId="ListNumber1Level4">
    <w:name w:val="List Number 1 (Level 4)"/>
    <w:basedOn w:val="Text1"/>
    <w:rsid w:val="00836BD4"/>
    <w:pPr>
      <w:numPr>
        <w:ilvl w:val="3"/>
        <w:numId w:val="17"/>
      </w:numPr>
    </w:pPr>
    <w:rPr>
      <w:rFonts w:eastAsia="Times New Roman"/>
      <w:lang w:val="fr-FR" w:eastAsia="en-GB"/>
    </w:rPr>
  </w:style>
  <w:style w:type="paragraph" w:customStyle="1" w:styleId="ListNumber2Level4">
    <w:name w:val="List Number 2 (Level 4)"/>
    <w:basedOn w:val="Text2"/>
    <w:rsid w:val="00836BD4"/>
    <w:pPr>
      <w:tabs>
        <w:tab w:val="num" w:pos="3686"/>
      </w:tabs>
      <w:ind w:left="3686" w:hanging="709"/>
    </w:pPr>
    <w:rPr>
      <w:rFonts w:eastAsia="Times New Roman"/>
      <w:lang w:val="fr-FR" w:eastAsia="en-GB"/>
    </w:rPr>
  </w:style>
  <w:style w:type="paragraph" w:customStyle="1" w:styleId="ListNumber3Level4">
    <w:name w:val="List Number 3 (Level 4)"/>
    <w:basedOn w:val="Text3"/>
    <w:rsid w:val="00836BD4"/>
    <w:pPr>
      <w:tabs>
        <w:tab w:val="num" w:pos="3686"/>
      </w:tabs>
      <w:ind w:left="3686" w:hanging="709"/>
    </w:pPr>
    <w:rPr>
      <w:rFonts w:eastAsia="Times New Roman"/>
      <w:lang w:val="fr-FR" w:eastAsia="en-GB"/>
    </w:rPr>
  </w:style>
  <w:style w:type="paragraph" w:customStyle="1" w:styleId="ListNumber4Level4">
    <w:name w:val="List Number 4 (Level 4)"/>
    <w:basedOn w:val="Text4"/>
    <w:rsid w:val="00836BD4"/>
    <w:pPr>
      <w:tabs>
        <w:tab w:val="num" w:pos="3686"/>
      </w:tabs>
      <w:ind w:left="3686" w:hanging="709"/>
    </w:pPr>
    <w:rPr>
      <w:rFonts w:eastAsia="Times New Roman"/>
      <w:lang w:val="fr-FR" w:eastAsia="en-GB"/>
    </w:rPr>
  </w:style>
  <w:style w:type="paragraph" w:customStyle="1" w:styleId="Annexetitreacte">
    <w:name w:val="Annexe titre (acte)"/>
    <w:basedOn w:val="Normal"/>
    <w:next w:val="Normal"/>
    <w:rsid w:val="00836BD4"/>
    <w:pPr>
      <w:jc w:val="center"/>
    </w:pPr>
    <w:rPr>
      <w:rFonts w:eastAsia="Times New Roman"/>
      <w:b/>
      <w:u w:val="single"/>
      <w:lang w:val="fr-FR" w:eastAsia="en-GB"/>
    </w:rPr>
  </w:style>
  <w:style w:type="paragraph" w:customStyle="1" w:styleId="Annexetitreexposglobal">
    <w:name w:val="Annexe titre (exposé global)"/>
    <w:basedOn w:val="Normal"/>
    <w:next w:val="Normal"/>
    <w:rsid w:val="00836BD4"/>
    <w:pPr>
      <w:jc w:val="center"/>
    </w:pPr>
    <w:rPr>
      <w:rFonts w:eastAsia="Times New Roman"/>
      <w:b/>
      <w:u w:val="single"/>
      <w:lang w:val="fr-FR" w:eastAsia="en-GB"/>
    </w:rPr>
  </w:style>
  <w:style w:type="paragraph" w:customStyle="1" w:styleId="Annexetitrefichefinacte">
    <w:name w:val="Annexe titre (fiche fin. acte)"/>
    <w:basedOn w:val="Normal"/>
    <w:next w:val="Normal"/>
    <w:rsid w:val="00836BD4"/>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836BD4"/>
    <w:pPr>
      <w:jc w:val="center"/>
    </w:pPr>
    <w:rPr>
      <w:rFonts w:eastAsia="Times New Roman"/>
      <w:b/>
      <w:u w:val="single"/>
      <w:lang w:val="fr-FR" w:eastAsia="en-GB"/>
    </w:rPr>
  </w:style>
  <w:style w:type="paragraph" w:customStyle="1" w:styleId="Annexetitreglobale">
    <w:name w:val="Annexe titre (globale)"/>
    <w:basedOn w:val="Normal"/>
    <w:next w:val="Normal"/>
    <w:rsid w:val="00836BD4"/>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836BD4"/>
    <w:pPr>
      <w:jc w:val="center"/>
    </w:pPr>
    <w:rPr>
      <w:rFonts w:eastAsia="Times New Roman"/>
      <w:b/>
      <w:u w:val="single"/>
      <w:lang w:val="fr-FR" w:eastAsia="en-GB"/>
    </w:rPr>
  </w:style>
  <w:style w:type="paragraph" w:customStyle="1" w:styleId="Langueoriginale">
    <w:name w:val="Langue originale"/>
    <w:basedOn w:val="Normal"/>
    <w:rsid w:val="00836BD4"/>
    <w:pPr>
      <w:spacing w:before="360"/>
      <w:jc w:val="center"/>
    </w:pPr>
    <w:rPr>
      <w:rFonts w:eastAsia="Times New Roman"/>
      <w:caps/>
      <w:lang w:val="fr-FR" w:eastAsia="en-GB"/>
    </w:rPr>
  </w:style>
  <w:style w:type="paragraph" w:customStyle="1" w:styleId="Phrasefinale">
    <w:name w:val="Phrase finale"/>
    <w:basedOn w:val="Normal"/>
    <w:next w:val="Normal"/>
    <w:rsid w:val="00836BD4"/>
    <w:pPr>
      <w:spacing w:before="360" w:after="0"/>
      <w:jc w:val="center"/>
    </w:pPr>
    <w:rPr>
      <w:rFonts w:eastAsia="Times New Roman"/>
      <w:lang w:val="fr-FR" w:eastAsia="en-GB"/>
    </w:rPr>
  </w:style>
  <w:style w:type="paragraph" w:customStyle="1" w:styleId="Prliminairetitre">
    <w:name w:val="Préliminaire titre"/>
    <w:basedOn w:val="Normal"/>
    <w:next w:val="Normal"/>
    <w:rsid w:val="00836BD4"/>
    <w:pPr>
      <w:spacing w:before="360" w:after="360"/>
      <w:jc w:val="center"/>
    </w:pPr>
    <w:rPr>
      <w:rFonts w:eastAsia="Times New Roman"/>
      <w:b/>
      <w:lang w:val="fr-FR" w:eastAsia="en-GB"/>
    </w:rPr>
  </w:style>
  <w:style w:type="paragraph" w:customStyle="1" w:styleId="Prliminairetype">
    <w:name w:val="Préliminaire type"/>
    <w:basedOn w:val="Normal"/>
    <w:next w:val="Normal"/>
    <w:rsid w:val="00836BD4"/>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836BD4"/>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836BD4"/>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836BD4"/>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836BD4"/>
    <w:pPr>
      <w:spacing w:before="0" w:after="0"/>
      <w:jc w:val="center"/>
    </w:pPr>
    <w:rPr>
      <w:rFonts w:eastAsia="Times New Roman"/>
      <w:b/>
      <w:lang w:val="fr-FR" w:eastAsia="en-GB"/>
    </w:rPr>
  </w:style>
  <w:style w:type="paragraph" w:customStyle="1" w:styleId="Statutprliminaire">
    <w:name w:val="Statut (préliminaire)"/>
    <w:basedOn w:val="Normal"/>
    <w:next w:val="Normal"/>
    <w:rsid w:val="00836BD4"/>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836BD4"/>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836BD4"/>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836BD4"/>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836BD4"/>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836BD4"/>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836BD4"/>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836BD4"/>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836BD4"/>
    <w:pPr>
      <w:jc w:val="center"/>
    </w:pPr>
    <w:rPr>
      <w:rFonts w:eastAsia="Times New Roman"/>
      <w:b/>
      <w:u w:val="single"/>
      <w:lang w:val="fr-FR" w:eastAsia="en-GB"/>
    </w:rPr>
  </w:style>
  <w:style w:type="character" w:styleId="PageNumber">
    <w:name w:val="page number"/>
    <w:rsid w:val="00836BD4"/>
  </w:style>
  <w:style w:type="character" w:customStyle="1" w:styleId="tw4winMark">
    <w:name w:val="tw4winMark"/>
    <w:rsid w:val="00836BD4"/>
    <w:rPr>
      <w:vanish/>
      <w:color w:val="800080"/>
      <w:vertAlign w:val="subscript"/>
    </w:rPr>
  </w:style>
  <w:style w:type="character" w:customStyle="1" w:styleId="UnresolvedMention1">
    <w:name w:val="Unresolved Mention1"/>
    <w:basedOn w:val="DefaultParagraphFont"/>
    <w:uiPriority w:val="99"/>
    <w:unhideWhenUsed/>
    <w:rsid w:val="00AB6191"/>
    <w:rPr>
      <w:color w:val="605E5C"/>
      <w:shd w:val="clear" w:color="auto" w:fill="E1DFDD"/>
    </w:rPr>
  </w:style>
  <w:style w:type="character" w:customStyle="1" w:styleId="Mention1">
    <w:name w:val="Mention1"/>
    <w:basedOn w:val="DefaultParagraphFont"/>
    <w:uiPriority w:val="99"/>
    <w:unhideWhenUsed/>
    <w:rsid w:val="00AB6191"/>
    <w:rPr>
      <w:color w:val="2B579A"/>
      <w:shd w:val="clear" w:color="auto" w:fill="E1DFDD"/>
    </w:rPr>
  </w:style>
  <w:style w:type="paragraph" w:customStyle="1" w:styleId="LegalNumPar">
    <w:name w:val="LegalNumPar"/>
    <w:basedOn w:val="Normal"/>
    <w:rsid w:val="00724205"/>
    <w:pPr>
      <w:spacing w:line="360" w:lineRule="auto"/>
      <w:ind w:left="476" w:hanging="476"/>
    </w:pPr>
  </w:style>
  <w:style w:type="paragraph" w:customStyle="1" w:styleId="LegalNumPar2">
    <w:name w:val="LegalNumPar2"/>
    <w:basedOn w:val="Normal"/>
    <w:rsid w:val="00724205"/>
    <w:pPr>
      <w:spacing w:line="360" w:lineRule="auto"/>
      <w:ind w:left="953" w:hanging="477"/>
    </w:pPr>
  </w:style>
  <w:style w:type="paragraph" w:customStyle="1" w:styleId="LegalNumPar3">
    <w:name w:val="LegalNumPar3"/>
    <w:basedOn w:val="Normal"/>
    <w:rsid w:val="00724205"/>
    <w:pPr>
      <w:spacing w:line="360" w:lineRule="auto"/>
      <w:ind w:left="1429" w:hanging="476"/>
    </w:pPr>
  </w:style>
  <w:style w:type="character" w:customStyle="1" w:styleId="UnresolvedMention2">
    <w:name w:val="Unresolved Mention2"/>
    <w:basedOn w:val="DefaultParagraphFont"/>
    <w:uiPriority w:val="99"/>
    <w:semiHidden/>
    <w:unhideWhenUsed/>
    <w:rsid w:val="00170A19"/>
    <w:rPr>
      <w:color w:val="605E5C"/>
      <w:shd w:val="clear" w:color="auto" w:fill="E1DFDD"/>
    </w:rPr>
  </w:style>
  <w:style w:type="table" w:customStyle="1" w:styleId="CV11">
    <w:name w:val="CV11"/>
    <w:basedOn w:val="TableNormal"/>
    <w:next w:val="TableGrid"/>
    <w:uiPriority w:val="59"/>
    <w:rsid w:val="00FA4F3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Source"/>
    <w:basedOn w:val="Normal"/>
    <w:next w:val="Normal"/>
    <w:uiPriority w:val="33"/>
    <w:qFormat/>
    <w:rsid w:val="00FB522F"/>
    <w:pPr>
      <w:jc w:val="left"/>
    </w:pPr>
    <w:rPr>
      <w:rFonts w:ascii="Verdana" w:hAnsi="Verdana" w:cstheme="minorBidi"/>
      <w:i/>
      <w:color w:val="000000" w:themeColor="text1"/>
      <w:sz w:val="20"/>
    </w:rPr>
  </w:style>
  <w:style w:type="character" w:customStyle="1" w:styleId="UnresolvedMention3">
    <w:name w:val="Unresolved Mention3"/>
    <w:basedOn w:val="DefaultParagraphFont"/>
    <w:uiPriority w:val="99"/>
    <w:semiHidden/>
    <w:unhideWhenUsed/>
    <w:rsid w:val="00493CB4"/>
    <w:rPr>
      <w:color w:val="605E5C"/>
      <w:shd w:val="clear" w:color="auto" w:fill="E1DFDD"/>
    </w:rPr>
  </w:style>
  <w:style w:type="paragraph" w:customStyle="1" w:styleId="p1">
    <w:name w:val="p1"/>
    <w:basedOn w:val="Normal"/>
    <w:rsid w:val="00493CB4"/>
    <w:pPr>
      <w:spacing w:before="100" w:beforeAutospacing="1" w:after="100" w:afterAutospacing="1"/>
      <w:jc w:val="left"/>
    </w:pPr>
    <w:rPr>
      <w:szCs w:val="24"/>
      <w:lang w:val="nl-BE" w:eastAsia="nl-BE"/>
    </w:rPr>
  </w:style>
  <w:style w:type="character" w:customStyle="1" w:styleId="s1">
    <w:name w:val="s1"/>
    <w:basedOn w:val="DefaultParagraphFont"/>
    <w:rsid w:val="00493CB4"/>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9981">
      <w:bodyDiv w:val="1"/>
      <w:marLeft w:val="0"/>
      <w:marRight w:val="0"/>
      <w:marTop w:val="0"/>
      <w:marBottom w:val="0"/>
      <w:divBdr>
        <w:top w:val="none" w:sz="0" w:space="0" w:color="auto"/>
        <w:left w:val="none" w:sz="0" w:space="0" w:color="auto"/>
        <w:bottom w:val="none" w:sz="0" w:space="0" w:color="auto"/>
        <w:right w:val="none" w:sz="0" w:space="0" w:color="auto"/>
      </w:divBdr>
    </w:div>
    <w:div w:id="120349917">
      <w:bodyDiv w:val="1"/>
      <w:marLeft w:val="0"/>
      <w:marRight w:val="0"/>
      <w:marTop w:val="0"/>
      <w:marBottom w:val="0"/>
      <w:divBdr>
        <w:top w:val="none" w:sz="0" w:space="0" w:color="auto"/>
        <w:left w:val="none" w:sz="0" w:space="0" w:color="auto"/>
        <w:bottom w:val="none" w:sz="0" w:space="0" w:color="auto"/>
        <w:right w:val="none" w:sz="0" w:space="0" w:color="auto"/>
      </w:divBdr>
    </w:div>
    <w:div w:id="163906385">
      <w:bodyDiv w:val="1"/>
      <w:marLeft w:val="0"/>
      <w:marRight w:val="0"/>
      <w:marTop w:val="0"/>
      <w:marBottom w:val="0"/>
      <w:divBdr>
        <w:top w:val="none" w:sz="0" w:space="0" w:color="auto"/>
        <w:left w:val="none" w:sz="0" w:space="0" w:color="auto"/>
        <w:bottom w:val="none" w:sz="0" w:space="0" w:color="auto"/>
        <w:right w:val="none" w:sz="0" w:space="0" w:color="auto"/>
      </w:divBdr>
    </w:div>
    <w:div w:id="186259951">
      <w:bodyDiv w:val="1"/>
      <w:marLeft w:val="0"/>
      <w:marRight w:val="0"/>
      <w:marTop w:val="0"/>
      <w:marBottom w:val="0"/>
      <w:divBdr>
        <w:top w:val="none" w:sz="0" w:space="0" w:color="auto"/>
        <w:left w:val="none" w:sz="0" w:space="0" w:color="auto"/>
        <w:bottom w:val="none" w:sz="0" w:space="0" w:color="auto"/>
        <w:right w:val="none" w:sz="0" w:space="0" w:color="auto"/>
      </w:divBdr>
    </w:div>
    <w:div w:id="190536246">
      <w:bodyDiv w:val="1"/>
      <w:marLeft w:val="0"/>
      <w:marRight w:val="0"/>
      <w:marTop w:val="0"/>
      <w:marBottom w:val="0"/>
      <w:divBdr>
        <w:top w:val="none" w:sz="0" w:space="0" w:color="auto"/>
        <w:left w:val="none" w:sz="0" w:space="0" w:color="auto"/>
        <w:bottom w:val="none" w:sz="0" w:space="0" w:color="auto"/>
        <w:right w:val="none" w:sz="0" w:space="0" w:color="auto"/>
      </w:divBdr>
    </w:div>
    <w:div w:id="280697471">
      <w:bodyDiv w:val="1"/>
      <w:marLeft w:val="0"/>
      <w:marRight w:val="0"/>
      <w:marTop w:val="0"/>
      <w:marBottom w:val="0"/>
      <w:divBdr>
        <w:top w:val="none" w:sz="0" w:space="0" w:color="auto"/>
        <w:left w:val="none" w:sz="0" w:space="0" w:color="auto"/>
        <w:bottom w:val="none" w:sz="0" w:space="0" w:color="auto"/>
        <w:right w:val="none" w:sz="0" w:space="0" w:color="auto"/>
      </w:divBdr>
    </w:div>
    <w:div w:id="285894357">
      <w:bodyDiv w:val="1"/>
      <w:marLeft w:val="0"/>
      <w:marRight w:val="0"/>
      <w:marTop w:val="0"/>
      <w:marBottom w:val="0"/>
      <w:divBdr>
        <w:top w:val="none" w:sz="0" w:space="0" w:color="auto"/>
        <w:left w:val="none" w:sz="0" w:space="0" w:color="auto"/>
        <w:bottom w:val="none" w:sz="0" w:space="0" w:color="auto"/>
        <w:right w:val="none" w:sz="0" w:space="0" w:color="auto"/>
      </w:divBdr>
    </w:div>
    <w:div w:id="544488642">
      <w:bodyDiv w:val="1"/>
      <w:marLeft w:val="0"/>
      <w:marRight w:val="0"/>
      <w:marTop w:val="0"/>
      <w:marBottom w:val="0"/>
      <w:divBdr>
        <w:top w:val="none" w:sz="0" w:space="0" w:color="auto"/>
        <w:left w:val="none" w:sz="0" w:space="0" w:color="auto"/>
        <w:bottom w:val="none" w:sz="0" w:space="0" w:color="auto"/>
        <w:right w:val="none" w:sz="0" w:space="0" w:color="auto"/>
      </w:divBdr>
    </w:div>
    <w:div w:id="647516872">
      <w:bodyDiv w:val="1"/>
      <w:marLeft w:val="0"/>
      <w:marRight w:val="0"/>
      <w:marTop w:val="0"/>
      <w:marBottom w:val="0"/>
      <w:divBdr>
        <w:top w:val="none" w:sz="0" w:space="0" w:color="auto"/>
        <w:left w:val="none" w:sz="0" w:space="0" w:color="auto"/>
        <w:bottom w:val="none" w:sz="0" w:space="0" w:color="auto"/>
        <w:right w:val="none" w:sz="0" w:space="0" w:color="auto"/>
      </w:divBdr>
    </w:div>
    <w:div w:id="683168474">
      <w:bodyDiv w:val="1"/>
      <w:marLeft w:val="0"/>
      <w:marRight w:val="0"/>
      <w:marTop w:val="0"/>
      <w:marBottom w:val="0"/>
      <w:divBdr>
        <w:top w:val="none" w:sz="0" w:space="0" w:color="auto"/>
        <w:left w:val="none" w:sz="0" w:space="0" w:color="auto"/>
        <w:bottom w:val="none" w:sz="0" w:space="0" w:color="auto"/>
        <w:right w:val="none" w:sz="0" w:space="0" w:color="auto"/>
      </w:divBdr>
    </w:div>
    <w:div w:id="691152453">
      <w:bodyDiv w:val="1"/>
      <w:marLeft w:val="0"/>
      <w:marRight w:val="0"/>
      <w:marTop w:val="0"/>
      <w:marBottom w:val="0"/>
      <w:divBdr>
        <w:top w:val="none" w:sz="0" w:space="0" w:color="auto"/>
        <w:left w:val="none" w:sz="0" w:space="0" w:color="auto"/>
        <w:bottom w:val="none" w:sz="0" w:space="0" w:color="auto"/>
        <w:right w:val="none" w:sz="0" w:space="0" w:color="auto"/>
      </w:divBdr>
    </w:div>
    <w:div w:id="785084174">
      <w:bodyDiv w:val="1"/>
      <w:marLeft w:val="0"/>
      <w:marRight w:val="0"/>
      <w:marTop w:val="0"/>
      <w:marBottom w:val="0"/>
      <w:divBdr>
        <w:top w:val="none" w:sz="0" w:space="0" w:color="auto"/>
        <w:left w:val="none" w:sz="0" w:space="0" w:color="auto"/>
        <w:bottom w:val="none" w:sz="0" w:space="0" w:color="auto"/>
        <w:right w:val="none" w:sz="0" w:space="0" w:color="auto"/>
      </w:divBdr>
    </w:div>
    <w:div w:id="818153382">
      <w:bodyDiv w:val="1"/>
      <w:marLeft w:val="0"/>
      <w:marRight w:val="0"/>
      <w:marTop w:val="0"/>
      <w:marBottom w:val="0"/>
      <w:divBdr>
        <w:top w:val="none" w:sz="0" w:space="0" w:color="auto"/>
        <w:left w:val="none" w:sz="0" w:space="0" w:color="auto"/>
        <w:bottom w:val="none" w:sz="0" w:space="0" w:color="auto"/>
        <w:right w:val="none" w:sz="0" w:space="0" w:color="auto"/>
      </w:divBdr>
    </w:div>
    <w:div w:id="866064875">
      <w:bodyDiv w:val="1"/>
      <w:marLeft w:val="0"/>
      <w:marRight w:val="0"/>
      <w:marTop w:val="0"/>
      <w:marBottom w:val="0"/>
      <w:divBdr>
        <w:top w:val="none" w:sz="0" w:space="0" w:color="auto"/>
        <w:left w:val="none" w:sz="0" w:space="0" w:color="auto"/>
        <w:bottom w:val="none" w:sz="0" w:space="0" w:color="auto"/>
        <w:right w:val="none" w:sz="0" w:space="0" w:color="auto"/>
      </w:divBdr>
    </w:div>
    <w:div w:id="943195501">
      <w:bodyDiv w:val="1"/>
      <w:marLeft w:val="0"/>
      <w:marRight w:val="0"/>
      <w:marTop w:val="0"/>
      <w:marBottom w:val="0"/>
      <w:divBdr>
        <w:top w:val="none" w:sz="0" w:space="0" w:color="auto"/>
        <w:left w:val="none" w:sz="0" w:space="0" w:color="auto"/>
        <w:bottom w:val="none" w:sz="0" w:space="0" w:color="auto"/>
        <w:right w:val="none" w:sz="0" w:space="0" w:color="auto"/>
      </w:divBdr>
    </w:div>
    <w:div w:id="967126206">
      <w:bodyDiv w:val="1"/>
      <w:marLeft w:val="0"/>
      <w:marRight w:val="0"/>
      <w:marTop w:val="0"/>
      <w:marBottom w:val="0"/>
      <w:divBdr>
        <w:top w:val="none" w:sz="0" w:space="0" w:color="auto"/>
        <w:left w:val="none" w:sz="0" w:space="0" w:color="auto"/>
        <w:bottom w:val="none" w:sz="0" w:space="0" w:color="auto"/>
        <w:right w:val="none" w:sz="0" w:space="0" w:color="auto"/>
      </w:divBdr>
    </w:div>
    <w:div w:id="983435116">
      <w:bodyDiv w:val="1"/>
      <w:marLeft w:val="0"/>
      <w:marRight w:val="0"/>
      <w:marTop w:val="0"/>
      <w:marBottom w:val="0"/>
      <w:divBdr>
        <w:top w:val="none" w:sz="0" w:space="0" w:color="auto"/>
        <w:left w:val="none" w:sz="0" w:space="0" w:color="auto"/>
        <w:bottom w:val="none" w:sz="0" w:space="0" w:color="auto"/>
        <w:right w:val="none" w:sz="0" w:space="0" w:color="auto"/>
      </w:divBdr>
    </w:div>
    <w:div w:id="1094519564">
      <w:bodyDiv w:val="1"/>
      <w:marLeft w:val="0"/>
      <w:marRight w:val="0"/>
      <w:marTop w:val="0"/>
      <w:marBottom w:val="0"/>
      <w:divBdr>
        <w:top w:val="none" w:sz="0" w:space="0" w:color="auto"/>
        <w:left w:val="none" w:sz="0" w:space="0" w:color="auto"/>
        <w:bottom w:val="none" w:sz="0" w:space="0" w:color="auto"/>
        <w:right w:val="none" w:sz="0" w:space="0" w:color="auto"/>
      </w:divBdr>
    </w:div>
    <w:div w:id="1144353428">
      <w:bodyDiv w:val="1"/>
      <w:marLeft w:val="0"/>
      <w:marRight w:val="0"/>
      <w:marTop w:val="0"/>
      <w:marBottom w:val="0"/>
      <w:divBdr>
        <w:top w:val="none" w:sz="0" w:space="0" w:color="auto"/>
        <w:left w:val="none" w:sz="0" w:space="0" w:color="auto"/>
        <w:bottom w:val="none" w:sz="0" w:space="0" w:color="auto"/>
        <w:right w:val="none" w:sz="0" w:space="0" w:color="auto"/>
      </w:divBdr>
    </w:div>
    <w:div w:id="1173184022">
      <w:bodyDiv w:val="1"/>
      <w:marLeft w:val="0"/>
      <w:marRight w:val="0"/>
      <w:marTop w:val="0"/>
      <w:marBottom w:val="0"/>
      <w:divBdr>
        <w:top w:val="none" w:sz="0" w:space="0" w:color="auto"/>
        <w:left w:val="none" w:sz="0" w:space="0" w:color="auto"/>
        <w:bottom w:val="none" w:sz="0" w:space="0" w:color="auto"/>
        <w:right w:val="none" w:sz="0" w:space="0" w:color="auto"/>
      </w:divBdr>
    </w:div>
    <w:div w:id="1332373420">
      <w:bodyDiv w:val="1"/>
      <w:marLeft w:val="0"/>
      <w:marRight w:val="0"/>
      <w:marTop w:val="0"/>
      <w:marBottom w:val="0"/>
      <w:divBdr>
        <w:top w:val="none" w:sz="0" w:space="0" w:color="auto"/>
        <w:left w:val="none" w:sz="0" w:space="0" w:color="auto"/>
        <w:bottom w:val="none" w:sz="0" w:space="0" w:color="auto"/>
        <w:right w:val="none" w:sz="0" w:space="0" w:color="auto"/>
      </w:divBdr>
    </w:div>
    <w:div w:id="1408958503">
      <w:bodyDiv w:val="1"/>
      <w:marLeft w:val="0"/>
      <w:marRight w:val="0"/>
      <w:marTop w:val="0"/>
      <w:marBottom w:val="0"/>
      <w:divBdr>
        <w:top w:val="none" w:sz="0" w:space="0" w:color="auto"/>
        <w:left w:val="none" w:sz="0" w:space="0" w:color="auto"/>
        <w:bottom w:val="none" w:sz="0" w:space="0" w:color="auto"/>
        <w:right w:val="none" w:sz="0" w:space="0" w:color="auto"/>
      </w:divBdr>
    </w:div>
    <w:div w:id="1460108270">
      <w:bodyDiv w:val="1"/>
      <w:marLeft w:val="0"/>
      <w:marRight w:val="0"/>
      <w:marTop w:val="0"/>
      <w:marBottom w:val="0"/>
      <w:divBdr>
        <w:top w:val="none" w:sz="0" w:space="0" w:color="auto"/>
        <w:left w:val="none" w:sz="0" w:space="0" w:color="auto"/>
        <w:bottom w:val="none" w:sz="0" w:space="0" w:color="auto"/>
        <w:right w:val="none" w:sz="0" w:space="0" w:color="auto"/>
      </w:divBdr>
    </w:div>
    <w:div w:id="1464612459">
      <w:bodyDiv w:val="1"/>
      <w:marLeft w:val="0"/>
      <w:marRight w:val="0"/>
      <w:marTop w:val="0"/>
      <w:marBottom w:val="0"/>
      <w:divBdr>
        <w:top w:val="none" w:sz="0" w:space="0" w:color="auto"/>
        <w:left w:val="none" w:sz="0" w:space="0" w:color="auto"/>
        <w:bottom w:val="none" w:sz="0" w:space="0" w:color="auto"/>
        <w:right w:val="none" w:sz="0" w:space="0" w:color="auto"/>
      </w:divBdr>
    </w:div>
    <w:div w:id="1542129064">
      <w:bodyDiv w:val="1"/>
      <w:marLeft w:val="0"/>
      <w:marRight w:val="0"/>
      <w:marTop w:val="0"/>
      <w:marBottom w:val="0"/>
      <w:divBdr>
        <w:top w:val="none" w:sz="0" w:space="0" w:color="auto"/>
        <w:left w:val="none" w:sz="0" w:space="0" w:color="auto"/>
        <w:bottom w:val="none" w:sz="0" w:space="0" w:color="auto"/>
        <w:right w:val="none" w:sz="0" w:space="0" w:color="auto"/>
      </w:divBdr>
    </w:div>
    <w:div w:id="1600865352">
      <w:bodyDiv w:val="1"/>
      <w:marLeft w:val="0"/>
      <w:marRight w:val="0"/>
      <w:marTop w:val="0"/>
      <w:marBottom w:val="0"/>
      <w:divBdr>
        <w:top w:val="none" w:sz="0" w:space="0" w:color="auto"/>
        <w:left w:val="none" w:sz="0" w:space="0" w:color="auto"/>
        <w:bottom w:val="none" w:sz="0" w:space="0" w:color="auto"/>
        <w:right w:val="none" w:sz="0" w:space="0" w:color="auto"/>
      </w:divBdr>
    </w:div>
    <w:div w:id="1707952265">
      <w:bodyDiv w:val="1"/>
      <w:marLeft w:val="0"/>
      <w:marRight w:val="0"/>
      <w:marTop w:val="0"/>
      <w:marBottom w:val="0"/>
      <w:divBdr>
        <w:top w:val="none" w:sz="0" w:space="0" w:color="auto"/>
        <w:left w:val="none" w:sz="0" w:space="0" w:color="auto"/>
        <w:bottom w:val="none" w:sz="0" w:space="0" w:color="auto"/>
        <w:right w:val="none" w:sz="0" w:space="0" w:color="auto"/>
      </w:divBdr>
    </w:div>
    <w:div w:id="1941908930">
      <w:bodyDiv w:val="1"/>
      <w:marLeft w:val="0"/>
      <w:marRight w:val="0"/>
      <w:marTop w:val="0"/>
      <w:marBottom w:val="0"/>
      <w:divBdr>
        <w:top w:val="none" w:sz="0" w:space="0" w:color="auto"/>
        <w:left w:val="none" w:sz="0" w:space="0" w:color="auto"/>
        <w:bottom w:val="none" w:sz="0" w:space="0" w:color="auto"/>
        <w:right w:val="none" w:sz="0" w:space="0" w:color="auto"/>
      </w:divBdr>
    </w:div>
    <w:div w:id="2009628081">
      <w:bodyDiv w:val="1"/>
      <w:marLeft w:val="0"/>
      <w:marRight w:val="0"/>
      <w:marTop w:val="0"/>
      <w:marBottom w:val="0"/>
      <w:divBdr>
        <w:top w:val="none" w:sz="0" w:space="0" w:color="auto"/>
        <w:left w:val="none" w:sz="0" w:space="0" w:color="auto"/>
        <w:bottom w:val="none" w:sz="0" w:space="0" w:color="auto"/>
        <w:right w:val="none" w:sz="0" w:space="0" w:color="auto"/>
      </w:divBdr>
    </w:div>
    <w:div w:id="2096901838">
      <w:bodyDiv w:val="1"/>
      <w:marLeft w:val="0"/>
      <w:marRight w:val="0"/>
      <w:marTop w:val="0"/>
      <w:marBottom w:val="0"/>
      <w:divBdr>
        <w:top w:val="none" w:sz="0" w:space="0" w:color="auto"/>
        <w:left w:val="none" w:sz="0" w:space="0" w:color="auto"/>
        <w:bottom w:val="none" w:sz="0" w:space="0" w:color="auto"/>
        <w:right w:val="none" w:sz="0" w:space="0" w:color="auto"/>
      </w:divBdr>
    </w:div>
    <w:div w:id="2102869923">
      <w:bodyDiv w:val="1"/>
      <w:marLeft w:val="0"/>
      <w:marRight w:val="0"/>
      <w:marTop w:val="0"/>
      <w:marBottom w:val="0"/>
      <w:divBdr>
        <w:top w:val="none" w:sz="0" w:space="0" w:color="auto"/>
        <w:left w:val="none" w:sz="0" w:space="0" w:color="auto"/>
        <w:bottom w:val="none" w:sz="0" w:space="0" w:color="auto"/>
        <w:right w:val="none" w:sz="0" w:space="0" w:color="auto"/>
      </w:divBdr>
    </w:div>
    <w:div w:id="2103452545">
      <w:bodyDiv w:val="1"/>
      <w:marLeft w:val="0"/>
      <w:marRight w:val="0"/>
      <w:marTop w:val="0"/>
      <w:marBottom w:val="0"/>
      <w:divBdr>
        <w:top w:val="none" w:sz="0" w:space="0" w:color="auto"/>
        <w:left w:val="none" w:sz="0" w:space="0" w:color="auto"/>
        <w:bottom w:val="none" w:sz="0" w:space="0" w:color="auto"/>
        <w:right w:val="none" w:sz="0" w:space="0" w:color="auto"/>
      </w:divBdr>
      <w:divsChild>
        <w:div w:id="64690192">
          <w:marLeft w:val="0"/>
          <w:marRight w:val="0"/>
          <w:marTop w:val="0"/>
          <w:marBottom w:val="0"/>
          <w:divBdr>
            <w:top w:val="none" w:sz="0" w:space="0" w:color="auto"/>
            <w:left w:val="none" w:sz="0" w:space="0" w:color="auto"/>
            <w:bottom w:val="none" w:sz="0" w:space="0" w:color="auto"/>
            <w:right w:val="none" w:sz="0" w:space="0" w:color="auto"/>
          </w:divBdr>
        </w:div>
        <w:div w:id="55162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intracomm.ec.europa.eu/corp/budget/financial-rules/legal-framework/internal-rules/Documents/2022-5-legislative-financial-statement-annex-en.doc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business-economy-euro/doing-business-eu/company-law-and-corporate-governance_en" TargetMode="External"/><Relationship Id="rId3" Type="http://schemas.openxmlformats.org/officeDocument/2006/relationships/hyperlink" Target="https://e-justice.europa.eu/38576/EN/beneficial_ownership_registers__search_for_beneficial_ownership_information" TargetMode="External"/><Relationship Id="rId7" Type="http://schemas.openxmlformats.org/officeDocument/2006/relationships/hyperlink" Target="https://ec.europa.eu/transparency/expert-groups-register/screen/expert-groups/consult?lang=en&amp;groupID=1456" TargetMode="External"/><Relationship Id="rId2" Type="http://schemas.openxmlformats.org/officeDocument/2006/relationships/hyperlink" Target="https://www.consilium.europa.eu/en/press/press-releases/2022/03/25/european-council-conclusions-24-25-march-2022/" TargetMode="External"/><Relationship Id="rId1" Type="http://schemas.openxmlformats.org/officeDocument/2006/relationships/hyperlink" Target="https://e-justice.europa.eu/489/EN/business_registers__search_for_a_company_in_the_eu?clang=en" TargetMode="External"/><Relationship Id="rId6" Type="http://schemas.openxmlformats.org/officeDocument/2006/relationships/hyperlink" Target="https://commission.europa.eu/business-economy-euro/doing-business-eu/company-law-and-corporate-governance_en" TargetMode="External"/><Relationship Id="rId11" Type="http://schemas.openxmlformats.org/officeDocument/2006/relationships/hyperlink" Target="https://myintracomm.ec.europa.eu/corp/budget/financial-rules/budget-implementation/Pages/implementation-methods.aspx" TargetMode="External"/><Relationship Id="rId5" Type="http://schemas.openxmlformats.org/officeDocument/2006/relationships/hyperlink" Target="https://ec.europa.eu/info/law/better-regulation/have-your-say/initiatives/13055-Upgrading-digital-company-law/public-consultation_en" TargetMode="External"/><Relationship Id="rId10" Type="http://schemas.openxmlformats.org/officeDocument/2006/relationships/hyperlink" Target="https://startupnationsstandard.eu/" TargetMode="External"/><Relationship Id="rId4" Type="http://schemas.openxmlformats.org/officeDocument/2006/relationships/hyperlink" Target="https://e-justice.europa.eu/content_interconnected_insolvency_registers_search-246-en.do" TargetMode="External"/><Relationship Id="rId9" Type="http://schemas.openxmlformats.org/officeDocument/2006/relationships/hyperlink" Target="https://ec.europa.eu/transparency/expert-groups-register/screen/expert-groups/consult?lang=en&amp;groupID=30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1C8F-A4F3-4786-9F51-C97B2F43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Pages>
  <Words>26790</Words>
  <Characters>147884</Characters>
  <Application>Microsoft Office Word</Application>
  <DocSecurity>0</DocSecurity>
  <Lines>3361</Lines>
  <Paragraphs>1188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173486</CharactersWithSpaces>
  <SharedDoc>false</SharedDoc>
  <HLinks>
    <vt:vector size="264" baseType="variant">
      <vt:variant>
        <vt:i4>6815844</vt:i4>
      </vt:variant>
      <vt:variant>
        <vt:i4>201</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1114173</vt:i4>
      </vt:variant>
      <vt:variant>
        <vt:i4>194</vt:i4>
      </vt:variant>
      <vt:variant>
        <vt:i4>0</vt:i4>
      </vt:variant>
      <vt:variant>
        <vt:i4>5</vt:i4>
      </vt:variant>
      <vt:variant>
        <vt:lpwstr/>
      </vt:variant>
      <vt:variant>
        <vt:lpwstr>_Toc520485057</vt:lpwstr>
      </vt:variant>
      <vt:variant>
        <vt:i4>1114173</vt:i4>
      </vt:variant>
      <vt:variant>
        <vt:i4>188</vt:i4>
      </vt:variant>
      <vt:variant>
        <vt:i4>0</vt:i4>
      </vt:variant>
      <vt:variant>
        <vt:i4>5</vt:i4>
      </vt:variant>
      <vt:variant>
        <vt:lpwstr/>
      </vt:variant>
      <vt:variant>
        <vt:lpwstr>_Toc520485056</vt:lpwstr>
      </vt:variant>
      <vt:variant>
        <vt:i4>1114173</vt:i4>
      </vt:variant>
      <vt:variant>
        <vt:i4>182</vt:i4>
      </vt:variant>
      <vt:variant>
        <vt:i4>0</vt:i4>
      </vt:variant>
      <vt:variant>
        <vt:i4>5</vt:i4>
      </vt:variant>
      <vt:variant>
        <vt:lpwstr/>
      </vt:variant>
      <vt:variant>
        <vt:lpwstr>_Toc520485055</vt:lpwstr>
      </vt:variant>
      <vt:variant>
        <vt:i4>1114173</vt:i4>
      </vt:variant>
      <vt:variant>
        <vt:i4>176</vt:i4>
      </vt:variant>
      <vt:variant>
        <vt:i4>0</vt:i4>
      </vt:variant>
      <vt:variant>
        <vt:i4>5</vt:i4>
      </vt:variant>
      <vt:variant>
        <vt:lpwstr/>
      </vt:variant>
      <vt:variant>
        <vt:lpwstr>_Toc520485054</vt:lpwstr>
      </vt:variant>
      <vt:variant>
        <vt:i4>1114173</vt:i4>
      </vt:variant>
      <vt:variant>
        <vt:i4>170</vt:i4>
      </vt:variant>
      <vt:variant>
        <vt:i4>0</vt:i4>
      </vt:variant>
      <vt:variant>
        <vt:i4>5</vt:i4>
      </vt:variant>
      <vt:variant>
        <vt:lpwstr/>
      </vt:variant>
      <vt:variant>
        <vt:lpwstr>_Toc520485053</vt:lpwstr>
      </vt:variant>
      <vt:variant>
        <vt:i4>1114173</vt:i4>
      </vt:variant>
      <vt:variant>
        <vt:i4>164</vt:i4>
      </vt:variant>
      <vt:variant>
        <vt:i4>0</vt:i4>
      </vt:variant>
      <vt:variant>
        <vt:i4>5</vt:i4>
      </vt:variant>
      <vt:variant>
        <vt:lpwstr/>
      </vt:variant>
      <vt:variant>
        <vt:lpwstr>_Toc520485052</vt:lpwstr>
      </vt:variant>
      <vt:variant>
        <vt:i4>1114173</vt:i4>
      </vt:variant>
      <vt:variant>
        <vt:i4>158</vt:i4>
      </vt:variant>
      <vt:variant>
        <vt:i4>0</vt:i4>
      </vt:variant>
      <vt:variant>
        <vt:i4>5</vt:i4>
      </vt:variant>
      <vt:variant>
        <vt:lpwstr/>
      </vt:variant>
      <vt:variant>
        <vt:lpwstr>_Toc520485051</vt:lpwstr>
      </vt:variant>
      <vt:variant>
        <vt:i4>1114173</vt:i4>
      </vt:variant>
      <vt:variant>
        <vt:i4>152</vt:i4>
      </vt:variant>
      <vt:variant>
        <vt:i4>0</vt:i4>
      </vt:variant>
      <vt:variant>
        <vt:i4>5</vt:i4>
      </vt:variant>
      <vt:variant>
        <vt:lpwstr/>
      </vt:variant>
      <vt:variant>
        <vt:lpwstr>_Toc520485050</vt:lpwstr>
      </vt:variant>
      <vt:variant>
        <vt:i4>1048637</vt:i4>
      </vt:variant>
      <vt:variant>
        <vt:i4>146</vt:i4>
      </vt:variant>
      <vt:variant>
        <vt:i4>0</vt:i4>
      </vt:variant>
      <vt:variant>
        <vt:i4>5</vt:i4>
      </vt:variant>
      <vt:variant>
        <vt:lpwstr/>
      </vt:variant>
      <vt:variant>
        <vt:lpwstr>_Toc520485049</vt:lpwstr>
      </vt:variant>
      <vt:variant>
        <vt:i4>1048637</vt:i4>
      </vt:variant>
      <vt:variant>
        <vt:i4>140</vt:i4>
      </vt:variant>
      <vt:variant>
        <vt:i4>0</vt:i4>
      </vt:variant>
      <vt:variant>
        <vt:i4>5</vt:i4>
      </vt:variant>
      <vt:variant>
        <vt:lpwstr/>
      </vt:variant>
      <vt:variant>
        <vt:lpwstr>_Toc520485048</vt:lpwstr>
      </vt:variant>
      <vt:variant>
        <vt:i4>1048637</vt:i4>
      </vt:variant>
      <vt:variant>
        <vt:i4>134</vt:i4>
      </vt:variant>
      <vt:variant>
        <vt:i4>0</vt:i4>
      </vt:variant>
      <vt:variant>
        <vt:i4>5</vt:i4>
      </vt:variant>
      <vt:variant>
        <vt:lpwstr/>
      </vt:variant>
      <vt:variant>
        <vt:lpwstr>_Toc520485047</vt:lpwstr>
      </vt:variant>
      <vt:variant>
        <vt:i4>1048637</vt:i4>
      </vt:variant>
      <vt:variant>
        <vt:i4>128</vt:i4>
      </vt:variant>
      <vt:variant>
        <vt:i4>0</vt:i4>
      </vt:variant>
      <vt:variant>
        <vt:i4>5</vt:i4>
      </vt:variant>
      <vt:variant>
        <vt:lpwstr/>
      </vt:variant>
      <vt:variant>
        <vt:lpwstr>_Toc520485046</vt:lpwstr>
      </vt:variant>
      <vt:variant>
        <vt:i4>1048637</vt:i4>
      </vt:variant>
      <vt:variant>
        <vt:i4>122</vt:i4>
      </vt:variant>
      <vt:variant>
        <vt:i4>0</vt:i4>
      </vt:variant>
      <vt:variant>
        <vt:i4>5</vt:i4>
      </vt:variant>
      <vt:variant>
        <vt:lpwstr/>
      </vt:variant>
      <vt:variant>
        <vt:lpwstr>_Toc520485045</vt:lpwstr>
      </vt:variant>
      <vt:variant>
        <vt:i4>1048637</vt:i4>
      </vt:variant>
      <vt:variant>
        <vt:i4>116</vt:i4>
      </vt:variant>
      <vt:variant>
        <vt:i4>0</vt:i4>
      </vt:variant>
      <vt:variant>
        <vt:i4>5</vt:i4>
      </vt:variant>
      <vt:variant>
        <vt:lpwstr/>
      </vt:variant>
      <vt:variant>
        <vt:lpwstr>_Toc520485044</vt:lpwstr>
      </vt:variant>
      <vt:variant>
        <vt:i4>1048637</vt:i4>
      </vt:variant>
      <vt:variant>
        <vt:i4>110</vt:i4>
      </vt:variant>
      <vt:variant>
        <vt:i4>0</vt:i4>
      </vt:variant>
      <vt:variant>
        <vt:i4>5</vt:i4>
      </vt:variant>
      <vt:variant>
        <vt:lpwstr/>
      </vt:variant>
      <vt:variant>
        <vt:lpwstr>_Toc520485043</vt:lpwstr>
      </vt:variant>
      <vt:variant>
        <vt:i4>1048637</vt:i4>
      </vt:variant>
      <vt:variant>
        <vt:i4>104</vt:i4>
      </vt:variant>
      <vt:variant>
        <vt:i4>0</vt:i4>
      </vt:variant>
      <vt:variant>
        <vt:i4>5</vt:i4>
      </vt:variant>
      <vt:variant>
        <vt:lpwstr/>
      </vt:variant>
      <vt:variant>
        <vt:lpwstr>_Toc520485042</vt:lpwstr>
      </vt:variant>
      <vt:variant>
        <vt:i4>1048637</vt:i4>
      </vt:variant>
      <vt:variant>
        <vt:i4>98</vt:i4>
      </vt:variant>
      <vt:variant>
        <vt:i4>0</vt:i4>
      </vt:variant>
      <vt:variant>
        <vt:i4>5</vt:i4>
      </vt:variant>
      <vt:variant>
        <vt:lpwstr/>
      </vt:variant>
      <vt:variant>
        <vt:lpwstr>_Toc520485041</vt:lpwstr>
      </vt:variant>
      <vt:variant>
        <vt:i4>1048637</vt:i4>
      </vt:variant>
      <vt:variant>
        <vt:i4>92</vt:i4>
      </vt:variant>
      <vt:variant>
        <vt:i4>0</vt:i4>
      </vt:variant>
      <vt:variant>
        <vt:i4>5</vt:i4>
      </vt:variant>
      <vt:variant>
        <vt:lpwstr/>
      </vt:variant>
      <vt:variant>
        <vt:lpwstr>_Toc520485040</vt:lpwstr>
      </vt:variant>
      <vt:variant>
        <vt:i4>1507389</vt:i4>
      </vt:variant>
      <vt:variant>
        <vt:i4>86</vt:i4>
      </vt:variant>
      <vt:variant>
        <vt:i4>0</vt:i4>
      </vt:variant>
      <vt:variant>
        <vt:i4>5</vt:i4>
      </vt:variant>
      <vt:variant>
        <vt:lpwstr/>
      </vt:variant>
      <vt:variant>
        <vt:lpwstr>_Toc520485039</vt:lpwstr>
      </vt:variant>
      <vt:variant>
        <vt:i4>1507389</vt:i4>
      </vt:variant>
      <vt:variant>
        <vt:i4>80</vt:i4>
      </vt:variant>
      <vt:variant>
        <vt:i4>0</vt:i4>
      </vt:variant>
      <vt:variant>
        <vt:i4>5</vt:i4>
      </vt:variant>
      <vt:variant>
        <vt:lpwstr/>
      </vt:variant>
      <vt:variant>
        <vt:lpwstr>_Toc520485038</vt:lpwstr>
      </vt:variant>
      <vt:variant>
        <vt:i4>1507389</vt:i4>
      </vt:variant>
      <vt:variant>
        <vt:i4>74</vt:i4>
      </vt:variant>
      <vt:variant>
        <vt:i4>0</vt:i4>
      </vt:variant>
      <vt:variant>
        <vt:i4>5</vt:i4>
      </vt:variant>
      <vt:variant>
        <vt:lpwstr/>
      </vt:variant>
      <vt:variant>
        <vt:lpwstr>_Toc520485037</vt:lpwstr>
      </vt:variant>
      <vt:variant>
        <vt:i4>1507389</vt:i4>
      </vt:variant>
      <vt:variant>
        <vt:i4>68</vt:i4>
      </vt:variant>
      <vt:variant>
        <vt:i4>0</vt:i4>
      </vt:variant>
      <vt:variant>
        <vt:i4>5</vt:i4>
      </vt:variant>
      <vt:variant>
        <vt:lpwstr/>
      </vt:variant>
      <vt:variant>
        <vt:lpwstr>_Toc520485036</vt:lpwstr>
      </vt:variant>
      <vt:variant>
        <vt:i4>1507389</vt:i4>
      </vt:variant>
      <vt:variant>
        <vt:i4>62</vt:i4>
      </vt:variant>
      <vt:variant>
        <vt:i4>0</vt:i4>
      </vt:variant>
      <vt:variant>
        <vt:i4>5</vt:i4>
      </vt:variant>
      <vt:variant>
        <vt:lpwstr/>
      </vt:variant>
      <vt:variant>
        <vt:lpwstr>_Toc520485035</vt:lpwstr>
      </vt:variant>
      <vt:variant>
        <vt:i4>1507389</vt:i4>
      </vt:variant>
      <vt:variant>
        <vt:i4>56</vt:i4>
      </vt:variant>
      <vt:variant>
        <vt:i4>0</vt:i4>
      </vt:variant>
      <vt:variant>
        <vt:i4>5</vt:i4>
      </vt:variant>
      <vt:variant>
        <vt:lpwstr/>
      </vt:variant>
      <vt:variant>
        <vt:lpwstr>_Toc520485034</vt:lpwstr>
      </vt:variant>
      <vt:variant>
        <vt:i4>1507389</vt:i4>
      </vt:variant>
      <vt:variant>
        <vt:i4>50</vt:i4>
      </vt:variant>
      <vt:variant>
        <vt:i4>0</vt:i4>
      </vt:variant>
      <vt:variant>
        <vt:i4>5</vt:i4>
      </vt:variant>
      <vt:variant>
        <vt:lpwstr/>
      </vt:variant>
      <vt:variant>
        <vt:lpwstr>_Toc520485033</vt:lpwstr>
      </vt:variant>
      <vt:variant>
        <vt:i4>1507389</vt:i4>
      </vt:variant>
      <vt:variant>
        <vt:i4>44</vt:i4>
      </vt:variant>
      <vt:variant>
        <vt:i4>0</vt:i4>
      </vt:variant>
      <vt:variant>
        <vt:i4>5</vt:i4>
      </vt:variant>
      <vt:variant>
        <vt:lpwstr/>
      </vt:variant>
      <vt:variant>
        <vt:lpwstr>_Toc520485032</vt:lpwstr>
      </vt:variant>
      <vt:variant>
        <vt:i4>1507389</vt:i4>
      </vt:variant>
      <vt:variant>
        <vt:i4>38</vt:i4>
      </vt:variant>
      <vt:variant>
        <vt:i4>0</vt:i4>
      </vt:variant>
      <vt:variant>
        <vt:i4>5</vt:i4>
      </vt:variant>
      <vt:variant>
        <vt:lpwstr/>
      </vt:variant>
      <vt:variant>
        <vt:lpwstr>_Toc520485031</vt:lpwstr>
      </vt:variant>
      <vt:variant>
        <vt:i4>1507389</vt:i4>
      </vt:variant>
      <vt:variant>
        <vt:i4>32</vt:i4>
      </vt:variant>
      <vt:variant>
        <vt:i4>0</vt:i4>
      </vt:variant>
      <vt:variant>
        <vt:i4>5</vt:i4>
      </vt:variant>
      <vt:variant>
        <vt:lpwstr/>
      </vt:variant>
      <vt:variant>
        <vt:lpwstr>_Toc520485030</vt:lpwstr>
      </vt:variant>
      <vt:variant>
        <vt:i4>1441853</vt:i4>
      </vt:variant>
      <vt:variant>
        <vt:i4>26</vt:i4>
      </vt:variant>
      <vt:variant>
        <vt:i4>0</vt:i4>
      </vt:variant>
      <vt:variant>
        <vt:i4>5</vt:i4>
      </vt:variant>
      <vt:variant>
        <vt:lpwstr/>
      </vt:variant>
      <vt:variant>
        <vt:lpwstr>_Toc520485029</vt:lpwstr>
      </vt:variant>
      <vt:variant>
        <vt:i4>1441853</vt:i4>
      </vt:variant>
      <vt:variant>
        <vt:i4>20</vt:i4>
      </vt:variant>
      <vt:variant>
        <vt:i4>0</vt:i4>
      </vt:variant>
      <vt:variant>
        <vt:i4>5</vt:i4>
      </vt:variant>
      <vt:variant>
        <vt:lpwstr/>
      </vt:variant>
      <vt:variant>
        <vt:lpwstr>_Toc520485028</vt:lpwstr>
      </vt:variant>
      <vt:variant>
        <vt:i4>1441853</vt:i4>
      </vt:variant>
      <vt:variant>
        <vt:i4>14</vt:i4>
      </vt:variant>
      <vt:variant>
        <vt:i4>0</vt:i4>
      </vt:variant>
      <vt:variant>
        <vt:i4>5</vt:i4>
      </vt:variant>
      <vt:variant>
        <vt:lpwstr/>
      </vt:variant>
      <vt:variant>
        <vt:lpwstr>_Toc520485027</vt:lpwstr>
      </vt:variant>
      <vt:variant>
        <vt:i4>1441853</vt:i4>
      </vt:variant>
      <vt:variant>
        <vt:i4>8</vt:i4>
      </vt:variant>
      <vt:variant>
        <vt:i4>0</vt:i4>
      </vt:variant>
      <vt:variant>
        <vt:i4>5</vt:i4>
      </vt:variant>
      <vt:variant>
        <vt:lpwstr/>
      </vt:variant>
      <vt:variant>
        <vt:lpwstr>_Toc520485026</vt:lpwstr>
      </vt:variant>
      <vt:variant>
        <vt:i4>1441853</vt:i4>
      </vt:variant>
      <vt:variant>
        <vt:i4>2</vt:i4>
      </vt:variant>
      <vt:variant>
        <vt:i4>0</vt:i4>
      </vt:variant>
      <vt:variant>
        <vt:i4>5</vt:i4>
      </vt:variant>
      <vt:variant>
        <vt:lpwstr/>
      </vt:variant>
      <vt:variant>
        <vt:lpwstr>_Toc520485025</vt:lpwstr>
      </vt:variant>
      <vt:variant>
        <vt:i4>262150</vt:i4>
      </vt:variant>
      <vt:variant>
        <vt:i4>27</vt:i4>
      </vt:variant>
      <vt:variant>
        <vt:i4>0</vt:i4>
      </vt:variant>
      <vt:variant>
        <vt:i4>5</vt:i4>
      </vt:variant>
      <vt:variant>
        <vt:lpwstr>https://myintracomm.ec.europa.eu/corp/budget/financial-rules/budget-implementation/Pages/implementation-methods.aspx</vt:lpwstr>
      </vt:variant>
      <vt:variant>
        <vt:lpwstr/>
      </vt:variant>
      <vt:variant>
        <vt:i4>3211375</vt:i4>
      </vt:variant>
      <vt:variant>
        <vt:i4>24</vt:i4>
      </vt:variant>
      <vt:variant>
        <vt:i4>0</vt:i4>
      </vt:variant>
      <vt:variant>
        <vt:i4>5</vt:i4>
      </vt:variant>
      <vt:variant>
        <vt:lpwstr>https://startupnationsstandard.eu/</vt:lpwstr>
      </vt:variant>
      <vt:variant>
        <vt:lpwstr/>
      </vt:variant>
      <vt:variant>
        <vt:i4>8126518</vt:i4>
      </vt:variant>
      <vt:variant>
        <vt:i4>21</vt:i4>
      </vt:variant>
      <vt:variant>
        <vt:i4>0</vt:i4>
      </vt:variant>
      <vt:variant>
        <vt:i4>5</vt:i4>
      </vt:variant>
      <vt:variant>
        <vt:lpwstr>https://ec.europa.eu/transparency/expert-groups-register/screen/expert-groups/consult?lang=en&amp;groupID=3036</vt:lpwstr>
      </vt:variant>
      <vt:variant>
        <vt:lpwstr/>
      </vt:variant>
      <vt:variant>
        <vt:i4>4456548</vt:i4>
      </vt:variant>
      <vt:variant>
        <vt:i4>18</vt:i4>
      </vt:variant>
      <vt:variant>
        <vt:i4>0</vt:i4>
      </vt:variant>
      <vt:variant>
        <vt:i4>5</vt:i4>
      </vt:variant>
      <vt:variant>
        <vt:lpwstr>https://commission.europa.eu/business-economy-euro/doing-business-eu/company-law-and-corporate-governance_en</vt:lpwstr>
      </vt:variant>
      <vt:variant>
        <vt:lpwstr>studies</vt:lpwstr>
      </vt:variant>
      <vt:variant>
        <vt:i4>7864370</vt:i4>
      </vt:variant>
      <vt:variant>
        <vt:i4>15</vt:i4>
      </vt:variant>
      <vt:variant>
        <vt:i4>0</vt:i4>
      </vt:variant>
      <vt:variant>
        <vt:i4>5</vt:i4>
      </vt:variant>
      <vt:variant>
        <vt:lpwstr>https://ec.europa.eu/transparency/expert-groups-register/screen/expert-groups/consult?lang=en&amp;groupID=1456</vt:lpwstr>
      </vt:variant>
      <vt:variant>
        <vt:lpwstr/>
      </vt:variant>
      <vt:variant>
        <vt:i4>4456548</vt:i4>
      </vt:variant>
      <vt:variant>
        <vt:i4>12</vt:i4>
      </vt:variant>
      <vt:variant>
        <vt:i4>0</vt:i4>
      </vt:variant>
      <vt:variant>
        <vt:i4>5</vt:i4>
      </vt:variant>
      <vt:variant>
        <vt:lpwstr>https://commission.europa.eu/business-economy-euro/doing-business-eu/company-law-and-corporate-governance_en</vt:lpwstr>
      </vt:variant>
      <vt:variant>
        <vt:lpwstr>studies</vt:lpwstr>
      </vt:variant>
      <vt:variant>
        <vt:i4>3211342</vt:i4>
      </vt:variant>
      <vt:variant>
        <vt:i4>9</vt:i4>
      </vt:variant>
      <vt:variant>
        <vt:i4>0</vt:i4>
      </vt:variant>
      <vt:variant>
        <vt:i4>5</vt:i4>
      </vt:variant>
      <vt:variant>
        <vt:lpwstr>https://ec.europa.eu/info/law/better-regulation/have-your-say/initiatives/13055-Upgrading-digital-company-law/public-consultation_en</vt:lpwstr>
      </vt:variant>
      <vt:variant>
        <vt:lpwstr/>
      </vt:variant>
      <vt:variant>
        <vt:i4>3997816</vt:i4>
      </vt:variant>
      <vt:variant>
        <vt:i4>6</vt:i4>
      </vt:variant>
      <vt:variant>
        <vt:i4>0</vt:i4>
      </vt:variant>
      <vt:variant>
        <vt:i4>5</vt:i4>
      </vt:variant>
      <vt:variant>
        <vt:lpwstr>https://e-justice.europa.eu/content_interconnected_insolvency_registers_search-246-en.do</vt:lpwstr>
      </vt:variant>
      <vt:variant>
        <vt:lpwstr/>
      </vt:variant>
      <vt:variant>
        <vt:i4>7798843</vt:i4>
      </vt:variant>
      <vt:variant>
        <vt:i4>3</vt:i4>
      </vt:variant>
      <vt:variant>
        <vt:i4>0</vt:i4>
      </vt:variant>
      <vt:variant>
        <vt:i4>5</vt:i4>
      </vt:variant>
      <vt:variant>
        <vt:lpwstr>https://e-justice.europa.eu/38590/EN/beneficial_ownership_registers_interconnection_system_boris?EUROPEAN_UNION&amp;action=maximize&amp;idSubpage=1&amp;member=1</vt:lpwstr>
      </vt:variant>
      <vt:variant>
        <vt:lpwstr/>
      </vt:variant>
      <vt:variant>
        <vt:i4>2621491</vt:i4>
      </vt:variant>
      <vt:variant>
        <vt:i4>0</vt:i4>
      </vt:variant>
      <vt:variant>
        <vt:i4>0</vt:i4>
      </vt:variant>
      <vt:variant>
        <vt:i4>5</vt:i4>
      </vt:variant>
      <vt:variant>
        <vt:lpwstr>https://www.consilium.europa.eu/en/press/press-releases/2022/03/25/european-council-conclusions-24-25-march-2022/</vt:lpwstr>
      </vt:variant>
      <vt:variant>
        <vt:lpwstr>:~:text=On%2024%2D25%20March%202022,President%20of%20the%20European%20Council.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2023-03-28T15:47:00Z</dcterms:created>
  <dcterms:modified xsi:type="dcterms:W3CDTF">2023-03-28T15:50:00Z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8.1, Build 20230124</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