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50B" w:rsidRPr="00BB0D27" w:rsidRDefault="00B63322" w:rsidP="00B63322">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BAC0FB1C-9DA2-41C0-82F3-9465072D436D" style="width:455.25pt;height:414pt">
            <v:imagedata r:id="rId8" o:title=""/>
          </v:shape>
        </w:pict>
      </w:r>
    </w:p>
    <w:p w:rsidR="00FA250B" w:rsidRPr="00BB0D27" w:rsidRDefault="00FA250B" w:rsidP="00FA250B">
      <w:pPr>
        <w:rPr>
          <w:noProof/>
        </w:rPr>
        <w:sectPr w:rsidR="00FA250B" w:rsidRPr="00BB0D27" w:rsidSect="00B63322">
          <w:footerReference w:type="default" r:id="rId9"/>
          <w:pgSz w:w="11907" w:h="16839"/>
          <w:pgMar w:top="1134" w:right="1417" w:bottom="1134" w:left="1417" w:header="709" w:footer="709" w:gutter="0"/>
          <w:pgNumType w:start="0"/>
          <w:cols w:space="720"/>
          <w:docGrid w:linePitch="360"/>
        </w:sectPr>
      </w:pPr>
    </w:p>
    <w:p w:rsidR="00FA250B" w:rsidRPr="00BB0D27" w:rsidRDefault="00FA250B" w:rsidP="00F733C8">
      <w:pPr>
        <w:pStyle w:val="Exposdesmotifstitre"/>
        <w:rPr>
          <w:noProof/>
        </w:rPr>
      </w:pPr>
      <w:bookmarkStart w:id="0" w:name="_GoBack"/>
      <w:bookmarkEnd w:id="0"/>
      <w:r w:rsidRPr="00BB0D27">
        <w:rPr>
          <w:noProof/>
        </w:rPr>
        <w:lastRenderedPageBreak/>
        <w:t>UZASADNIENIE</w:t>
      </w:r>
    </w:p>
    <w:p w:rsidR="00FA250B" w:rsidRPr="00BB0D27" w:rsidRDefault="00FA250B" w:rsidP="007622D9">
      <w:pPr>
        <w:widowControl w:val="0"/>
        <w:shd w:val="clear" w:color="auto" w:fill="FFFFFF"/>
        <w:autoSpaceDE w:val="0"/>
        <w:autoSpaceDN w:val="0"/>
        <w:adjustRightInd w:val="0"/>
        <w:spacing w:before="230" w:after="0" w:line="269" w:lineRule="exact"/>
        <w:ind w:right="86"/>
        <w:rPr>
          <w:noProof/>
        </w:rPr>
      </w:pPr>
      <w:r w:rsidRPr="00BB0D27">
        <w:rPr>
          <w:noProof/>
        </w:rPr>
        <w:t>1.</w:t>
      </w:r>
      <w:r w:rsidRPr="00BB0D27">
        <w:rPr>
          <w:noProof/>
        </w:rPr>
        <w:tab/>
        <w:t>KONTEKST WNIOSKU</w:t>
      </w:r>
    </w:p>
    <w:p w:rsidR="007622D9" w:rsidRPr="00BB0D27" w:rsidRDefault="007622D9" w:rsidP="007402D5">
      <w:pPr>
        <w:pStyle w:val="Bullet0"/>
        <w:numPr>
          <w:ilvl w:val="0"/>
          <w:numId w:val="10"/>
        </w:numPr>
        <w:rPr>
          <w:noProof/>
          <w:szCs w:val="24"/>
        </w:rPr>
      </w:pPr>
      <w:r w:rsidRPr="00BB0D27">
        <w:rPr>
          <w:noProof/>
        </w:rPr>
        <w:t>Przyczyny</w:t>
      </w:r>
      <w:r w:rsidR="00B73D99" w:rsidRPr="00BB0D27">
        <w:rPr>
          <w:noProof/>
        </w:rPr>
        <w:t xml:space="preserve"> i</w:t>
      </w:r>
      <w:r w:rsidR="00B73D99">
        <w:rPr>
          <w:noProof/>
        </w:rPr>
        <w:t> </w:t>
      </w:r>
      <w:r w:rsidR="00B73D99" w:rsidRPr="00BB0D27">
        <w:rPr>
          <w:noProof/>
        </w:rPr>
        <w:t>cel</w:t>
      </w:r>
      <w:r w:rsidRPr="00BB0D27">
        <w:rPr>
          <w:noProof/>
        </w:rPr>
        <w:t>e wniosku</w:t>
      </w:r>
    </w:p>
    <w:p w:rsidR="007622D9" w:rsidRPr="00BB0D27" w:rsidRDefault="007622D9" w:rsidP="007622D9">
      <w:pPr>
        <w:spacing w:before="0" w:after="160" w:line="259" w:lineRule="auto"/>
        <w:rPr>
          <w:rFonts w:eastAsia="Calibri"/>
          <w:noProof/>
          <w:szCs w:val="24"/>
        </w:rPr>
      </w:pPr>
      <w:r w:rsidRPr="00BB0D27">
        <w:rPr>
          <w:noProof/>
        </w:rPr>
        <w:t>Niniejsze uzasadnienie towarzyszy wnioskowi dotyczącemu dyrektywy promującej naprawę towarów nabywanych przez konsumentów</w:t>
      </w:r>
      <w:r w:rsidR="00B73D99" w:rsidRPr="00BB0D27">
        <w:rPr>
          <w:noProof/>
        </w:rPr>
        <w:t xml:space="preserve"> i</w:t>
      </w:r>
      <w:r w:rsidR="00B73D99">
        <w:rPr>
          <w:noProof/>
        </w:rPr>
        <w:t> </w:t>
      </w:r>
      <w:r w:rsidR="00B73D99" w:rsidRPr="00BB0D27">
        <w:rPr>
          <w:noProof/>
        </w:rPr>
        <w:t>zmi</w:t>
      </w:r>
      <w:r w:rsidRPr="00BB0D27">
        <w:rPr>
          <w:noProof/>
        </w:rPr>
        <w:t>eniającej dyrektywę (UE) 2019/771, dyrektywę (UE) 2020/1828</w:t>
      </w:r>
      <w:r w:rsidR="00B73D99" w:rsidRPr="00BB0D27">
        <w:rPr>
          <w:noProof/>
        </w:rPr>
        <w:t xml:space="preserve"> i</w:t>
      </w:r>
      <w:r w:rsidR="00B73D99">
        <w:rPr>
          <w:noProof/>
        </w:rPr>
        <w:t> </w:t>
      </w:r>
      <w:r w:rsidR="00B73D99" w:rsidRPr="00BB0D27">
        <w:rPr>
          <w:noProof/>
        </w:rPr>
        <w:t>roz</w:t>
      </w:r>
      <w:r w:rsidRPr="00BB0D27">
        <w:rPr>
          <w:noProof/>
        </w:rPr>
        <w:t>porządzenie (UE) 2017/2394. Wniosek stanowi realizację priorytetu Komisji, jakim jest transformacja ekologiczna,</w:t>
      </w:r>
      <w:r w:rsidR="00B73D99" w:rsidRPr="00BB0D27">
        <w:rPr>
          <w:noProof/>
        </w:rPr>
        <w:t xml:space="preserve"> a</w:t>
      </w:r>
      <w:r w:rsidR="00B73D99">
        <w:rPr>
          <w:noProof/>
        </w:rPr>
        <w:t> </w:t>
      </w:r>
      <w:r w:rsidR="00B73D99" w:rsidRPr="00BB0D27">
        <w:rPr>
          <w:noProof/>
        </w:rPr>
        <w:t>w</w:t>
      </w:r>
      <w:r w:rsidR="00B73D99">
        <w:rPr>
          <w:noProof/>
        </w:rPr>
        <w:t> </w:t>
      </w:r>
      <w:r w:rsidR="00B73D99" w:rsidRPr="00BB0D27">
        <w:rPr>
          <w:noProof/>
        </w:rPr>
        <w:t>szc</w:t>
      </w:r>
      <w:r w:rsidRPr="00BB0D27">
        <w:rPr>
          <w:noProof/>
        </w:rPr>
        <w:t>zególności Europejski Zielony Ład</w:t>
      </w:r>
      <w:r w:rsidR="00A436F3" w:rsidRPr="00BB0D27">
        <w:rPr>
          <w:rStyle w:val="FootnoteReference"/>
          <w:rFonts w:eastAsia="Calibri"/>
          <w:noProof/>
          <w:szCs w:val="24"/>
        </w:rPr>
        <w:footnoteReference w:id="2"/>
      </w:r>
      <w:r w:rsidR="00B73D99" w:rsidRPr="00BB0D27">
        <w:rPr>
          <w:rStyle w:val="FootnoteReference"/>
          <w:noProof/>
        </w:rPr>
        <w:t xml:space="preserve"> </w:t>
      </w:r>
      <w:r w:rsidR="00B73D99" w:rsidRPr="00BB0D27">
        <w:rPr>
          <w:noProof/>
        </w:rPr>
        <w:t>i</w:t>
      </w:r>
      <w:r w:rsidR="00B73D99">
        <w:rPr>
          <w:rStyle w:val="FootnoteReference"/>
          <w:noProof/>
        </w:rPr>
        <w:t> </w:t>
      </w:r>
      <w:r w:rsidR="00B73D99" w:rsidRPr="00BB0D27">
        <w:rPr>
          <w:noProof/>
        </w:rPr>
        <w:t>jeg</w:t>
      </w:r>
      <w:r w:rsidRPr="00BB0D27">
        <w:rPr>
          <w:noProof/>
        </w:rPr>
        <w:t>o cel polegający na zrównoważonej konsumpcji.</w:t>
      </w:r>
    </w:p>
    <w:p w:rsidR="00AD2FF0" w:rsidRPr="00BB0D27" w:rsidRDefault="007622D9" w:rsidP="007622D9">
      <w:pPr>
        <w:spacing w:before="0" w:after="160" w:line="259" w:lineRule="auto"/>
        <w:rPr>
          <w:rFonts w:eastAsia="Calibri"/>
          <w:noProof/>
          <w:szCs w:val="24"/>
        </w:rPr>
      </w:pPr>
      <w:r w:rsidRPr="00BB0D27">
        <w:rPr>
          <w:noProof/>
        </w:rPr>
        <w:t>Konsumenci często nie starają się naprawić wad produktów konsumpcyjnych, lecz przedwcześnie pozbywają się takich wadliwych produktów, mimo że ich naprawa</w:t>
      </w:r>
      <w:r w:rsidR="00B73D99" w:rsidRPr="00BB0D27">
        <w:rPr>
          <w:noProof/>
        </w:rPr>
        <w:t xml:space="preserve"> i</w:t>
      </w:r>
      <w:r w:rsidR="00B73D99">
        <w:rPr>
          <w:noProof/>
        </w:rPr>
        <w:t> </w:t>
      </w:r>
      <w:r w:rsidR="00B73D99" w:rsidRPr="00BB0D27">
        <w:rPr>
          <w:noProof/>
        </w:rPr>
        <w:t>dal</w:t>
      </w:r>
      <w:r w:rsidRPr="00BB0D27">
        <w:rPr>
          <w:noProof/>
        </w:rPr>
        <w:t>sze użytkowanie byłyby możliwe. Dzieje się tak, gdy</w:t>
      </w:r>
      <w:r w:rsidR="00B73D99" w:rsidRPr="00BB0D27">
        <w:rPr>
          <w:noProof/>
        </w:rPr>
        <w:t xml:space="preserve"> w</w:t>
      </w:r>
      <w:r w:rsidR="00B73D99">
        <w:rPr>
          <w:noProof/>
        </w:rPr>
        <w:t> </w:t>
      </w:r>
      <w:r w:rsidR="00B73D99" w:rsidRPr="00BB0D27">
        <w:rPr>
          <w:noProof/>
        </w:rPr>
        <w:t>ram</w:t>
      </w:r>
      <w:r w:rsidRPr="00BB0D27">
        <w:rPr>
          <w:noProof/>
        </w:rPr>
        <w:t>ach gwarancji prawnej określonej</w:t>
      </w:r>
      <w:r w:rsidR="00B73D99" w:rsidRPr="00BB0D27">
        <w:rPr>
          <w:noProof/>
        </w:rPr>
        <w:t xml:space="preserve"> w</w:t>
      </w:r>
      <w:r w:rsidR="00B73D99">
        <w:rPr>
          <w:noProof/>
        </w:rPr>
        <w:t> </w:t>
      </w:r>
      <w:r w:rsidR="00B73D99" w:rsidRPr="00BB0D27">
        <w:rPr>
          <w:noProof/>
        </w:rPr>
        <w:t>dyr</w:t>
      </w:r>
      <w:r w:rsidRPr="00BB0D27">
        <w:rPr>
          <w:noProof/>
        </w:rPr>
        <w:t>ektywie</w:t>
      </w:r>
      <w:r w:rsidR="00B73D99" w:rsidRPr="00BB0D27">
        <w:rPr>
          <w:noProof/>
        </w:rPr>
        <w:t xml:space="preserve"> w</w:t>
      </w:r>
      <w:r w:rsidR="00B73D99">
        <w:rPr>
          <w:noProof/>
        </w:rPr>
        <w:t> </w:t>
      </w:r>
      <w:r w:rsidR="00B73D99" w:rsidRPr="00BB0D27">
        <w:rPr>
          <w:noProof/>
        </w:rPr>
        <w:t>spr</w:t>
      </w:r>
      <w:r w:rsidRPr="00BB0D27">
        <w:rPr>
          <w:noProof/>
        </w:rPr>
        <w:t>awie sprzedaży towarów</w:t>
      </w:r>
      <w:r w:rsidR="00F52256" w:rsidRPr="00BB0D27">
        <w:rPr>
          <w:rStyle w:val="FootnoteReference"/>
          <w:b/>
          <w:noProof/>
          <w:szCs w:val="16"/>
        </w:rPr>
        <w:footnoteReference w:id="3"/>
      </w:r>
      <w:r w:rsidRPr="00BB0D27">
        <w:rPr>
          <w:noProof/>
        </w:rPr>
        <w:t xml:space="preserve"> konsumenci wybierają wymianę zamiast naprawy oraz gdy poza gwarancją prawną zniechęca się ich do naprawy</w:t>
      </w:r>
      <w:r w:rsidR="00B73D99" w:rsidRPr="00BB0D27">
        <w:rPr>
          <w:noProof/>
        </w:rPr>
        <w:t xml:space="preserve"> z</w:t>
      </w:r>
      <w:r w:rsidR="00B73D99">
        <w:rPr>
          <w:noProof/>
        </w:rPr>
        <w:t> </w:t>
      </w:r>
      <w:r w:rsidR="00B73D99" w:rsidRPr="00BB0D27">
        <w:rPr>
          <w:noProof/>
        </w:rPr>
        <w:t>pow</w:t>
      </w:r>
      <w:r w:rsidRPr="00BB0D27">
        <w:rPr>
          <w:noProof/>
        </w:rPr>
        <w:t>odu jej nieoptymalnych możliwości</w:t>
      </w:r>
      <w:r w:rsidR="00B73D99" w:rsidRPr="00BB0D27">
        <w:rPr>
          <w:noProof/>
        </w:rPr>
        <w:t xml:space="preserve"> i</w:t>
      </w:r>
      <w:r w:rsidR="00B73D99">
        <w:rPr>
          <w:noProof/>
        </w:rPr>
        <w:t> </w:t>
      </w:r>
      <w:r w:rsidR="00B73D99" w:rsidRPr="00BB0D27">
        <w:rPr>
          <w:noProof/>
        </w:rPr>
        <w:t>war</w:t>
      </w:r>
      <w:r w:rsidRPr="00BB0D27">
        <w:rPr>
          <w:noProof/>
        </w:rPr>
        <w:t>unków</w:t>
      </w:r>
      <w:r w:rsidR="00B73D99" w:rsidRPr="00BB0D27">
        <w:rPr>
          <w:noProof/>
        </w:rPr>
        <w:t>. W</w:t>
      </w:r>
      <w:r w:rsidR="00B73D99">
        <w:rPr>
          <w:noProof/>
        </w:rPr>
        <w:t> </w:t>
      </w:r>
      <w:r w:rsidR="00B73D99" w:rsidRPr="00BB0D27">
        <w:rPr>
          <w:noProof/>
        </w:rPr>
        <w:t>tym</w:t>
      </w:r>
      <w:r w:rsidRPr="00BB0D27">
        <w:rPr>
          <w:noProof/>
        </w:rPr>
        <w:t xml:space="preserve"> kontekście ograniczone jest również wykorzystanie towarów odnowionych, przez co potencjał ponownego wykorzystania towarów przez innych użytkowników pozostaje niewykorzystany. </w:t>
      </w:r>
    </w:p>
    <w:p w:rsidR="007622D9" w:rsidRPr="00BB0D27" w:rsidRDefault="00AD2FF0" w:rsidP="007622D9">
      <w:pPr>
        <w:spacing w:before="0" w:after="160" w:line="259" w:lineRule="auto"/>
        <w:rPr>
          <w:rFonts w:eastAsia="Calibri"/>
          <w:noProof/>
          <w:szCs w:val="24"/>
        </w:rPr>
      </w:pPr>
      <w:r w:rsidRPr="00BB0D27">
        <w:rPr>
          <w:noProof/>
        </w:rPr>
        <w:t>Przedwczesne pozbywanie się towarów konsumenckich nadających się do naprawy skutkuje wzrostem ilości odpadów</w:t>
      </w:r>
      <w:r w:rsidR="00B73D99" w:rsidRPr="00BB0D27">
        <w:rPr>
          <w:noProof/>
        </w:rPr>
        <w:t xml:space="preserve"> i</w:t>
      </w:r>
      <w:r w:rsidR="00B73D99">
        <w:rPr>
          <w:noProof/>
        </w:rPr>
        <w:t> </w:t>
      </w:r>
      <w:r w:rsidR="00B73D99" w:rsidRPr="00BB0D27">
        <w:rPr>
          <w:noProof/>
        </w:rPr>
        <w:t>emi</w:t>
      </w:r>
      <w:r w:rsidRPr="00BB0D27">
        <w:rPr>
          <w:noProof/>
        </w:rPr>
        <w:t>sji gazów cieplarnianych oraz do zwiększenia popytu na cenne zasoby do produkcji nowych towarów. Problem przedwczesnego pozbywania się takich towarów występuje</w:t>
      </w:r>
      <w:r w:rsidR="00B73D99" w:rsidRPr="00BB0D27">
        <w:rPr>
          <w:noProof/>
        </w:rPr>
        <w:t xml:space="preserve"> w</w:t>
      </w:r>
      <w:r w:rsidR="00B73D99">
        <w:rPr>
          <w:noProof/>
        </w:rPr>
        <w:t> </w:t>
      </w:r>
      <w:r w:rsidR="00B73D99" w:rsidRPr="00BB0D27">
        <w:rPr>
          <w:noProof/>
        </w:rPr>
        <w:t>cał</w:t>
      </w:r>
      <w:r w:rsidRPr="00BB0D27">
        <w:rPr>
          <w:noProof/>
        </w:rPr>
        <w:t>ej UE</w:t>
      </w:r>
      <w:r w:rsidR="00B73D99" w:rsidRPr="00BB0D27">
        <w:rPr>
          <w:noProof/>
        </w:rPr>
        <w:t xml:space="preserve"> w</w:t>
      </w:r>
      <w:r w:rsidR="00B73D99">
        <w:rPr>
          <w:noProof/>
        </w:rPr>
        <w:t> </w:t>
      </w:r>
      <w:r w:rsidR="00B73D99" w:rsidRPr="00BB0D27">
        <w:rPr>
          <w:noProof/>
        </w:rPr>
        <w:t>odn</w:t>
      </w:r>
      <w:r w:rsidRPr="00BB0D27">
        <w:rPr>
          <w:noProof/>
        </w:rPr>
        <w:t>iesieniu do szerokiej gamy tych towarów. Ponad dwie trzecie respondentów biorących udział</w:t>
      </w:r>
      <w:r w:rsidR="00B73D99" w:rsidRPr="00BB0D27">
        <w:rPr>
          <w:noProof/>
        </w:rPr>
        <w:t xml:space="preserve"> w</w:t>
      </w:r>
      <w:r w:rsidR="00B73D99">
        <w:rPr>
          <w:noProof/>
        </w:rPr>
        <w:t> </w:t>
      </w:r>
      <w:r w:rsidR="00B73D99" w:rsidRPr="00BB0D27">
        <w:rPr>
          <w:noProof/>
        </w:rPr>
        <w:t>kon</w:t>
      </w:r>
      <w:r w:rsidRPr="00BB0D27">
        <w:rPr>
          <w:noProof/>
        </w:rPr>
        <w:t>sultacjach publicznych (65–7</w:t>
      </w:r>
      <w:r w:rsidRPr="00B73D99">
        <w:rPr>
          <w:noProof/>
        </w:rPr>
        <w:t>4</w:t>
      </w:r>
      <w:r w:rsidR="00B73D99" w:rsidRPr="00B73D99">
        <w:rPr>
          <w:noProof/>
        </w:rPr>
        <w:t> </w:t>
      </w:r>
      <w:r w:rsidRPr="00B73D99">
        <w:rPr>
          <w:noProof/>
        </w:rPr>
        <w:t>%</w:t>
      </w:r>
      <w:r w:rsidRPr="00BB0D27">
        <w:rPr>
          <w:noProof/>
        </w:rPr>
        <w:t>) poparło rozwiązania na szczeblu UE.</w:t>
      </w:r>
    </w:p>
    <w:p w:rsidR="00AF4156" w:rsidRPr="00BB0D27" w:rsidRDefault="00AF4156" w:rsidP="00AF4156">
      <w:pPr>
        <w:rPr>
          <w:rFonts w:eastAsia="Times New Roman"/>
          <w:noProof/>
        </w:rPr>
      </w:pPr>
      <w:r w:rsidRPr="00BB0D27">
        <w:rPr>
          <w:noProof/>
        </w:rPr>
        <w:t>Propozycje Konferencji</w:t>
      </w:r>
      <w:r w:rsidR="00B73D99" w:rsidRPr="00BB0D27">
        <w:rPr>
          <w:noProof/>
        </w:rPr>
        <w:t xml:space="preserve"> w</w:t>
      </w:r>
      <w:r w:rsidR="00B73D99">
        <w:rPr>
          <w:noProof/>
        </w:rPr>
        <w:t> </w:t>
      </w:r>
      <w:r w:rsidR="00B73D99" w:rsidRPr="00BB0D27">
        <w:rPr>
          <w:noProof/>
        </w:rPr>
        <w:t>spr</w:t>
      </w:r>
      <w:r w:rsidRPr="00BB0D27">
        <w:rPr>
          <w:noProof/>
        </w:rPr>
        <w:t>awie przyszłości Europy</w:t>
      </w:r>
      <w:r w:rsidRPr="00BB0D27">
        <w:rPr>
          <w:rStyle w:val="FootnoteReference"/>
          <w:noProof/>
        </w:rPr>
        <w:footnoteReference w:id="4"/>
      </w:r>
      <w:r w:rsidRPr="00BB0D27">
        <w:rPr>
          <w:noProof/>
        </w:rPr>
        <w:t xml:space="preserve"> obejmują wezwanie do zapewnienia </w:t>
      </w:r>
      <w:r w:rsidRPr="00BB0D27">
        <w:rPr>
          <w:rStyle w:val="ui-provider"/>
          <w:noProof/>
        </w:rPr>
        <w:t>prawa do naprawy</w:t>
      </w:r>
      <w:r w:rsidRPr="00BB0D27">
        <w:rPr>
          <w:noProof/>
        </w:rPr>
        <w:t xml:space="preserve"> – zawarto je</w:t>
      </w:r>
      <w:r w:rsidR="00B73D99" w:rsidRPr="00BB0D27">
        <w:rPr>
          <w:noProof/>
        </w:rPr>
        <w:t xml:space="preserve"> w</w:t>
      </w:r>
      <w:r w:rsidR="00B73D99">
        <w:rPr>
          <w:noProof/>
        </w:rPr>
        <w:t> </w:t>
      </w:r>
      <w:r w:rsidR="00B73D99" w:rsidRPr="00BB0D27">
        <w:rPr>
          <w:noProof/>
        </w:rPr>
        <w:t>szc</w:t>
      </w:r>
      <w:r w:rsidRPr="00BB0D27">
        <w:rPr>
          <w:noProof/>
        </w:rPr>
        <w:t>zególności</w:t>
      </w:r>
      <w:r w:rsidR="00B73D99" w:rsidRPr="00BB0D27">
        <w:rPr>
          <w:noProof/>
        </w:rPr>
        <w:t xml:space="preserve"> w</w:t>
      </w:r>
      <w:r w:rsidR="00B73D99">
        <w:rPr>
          <w:noProof/>
        </w:rPr>
        <w:t> </w:t>
      </w:r>
      <w:r w:rsidR="00B73D99" w:rsidRPr="00BB0D27">
        <w:rPr>
          <w:noProof/>
        </w:rPr>
        <w:t>pro</w:t>
      </w:r>
      <w:r w:rsidRPr="00BB0D27">
        <w:rPr>
          <w:noProof/>
        </w:rPr>
        <w:t xml:space="preserve">pozycji </w:t>
      </w:r>
      <w:r w:rsidRPr="00B73D99">
        <w:rPr>
          <w:noProof/>
        </w:rPr>
        <w:t>nr</w:t>
      </w:r>
      <w:r w:rsidR="00B73D99" w:rsidRPr="00B73D99">
        <w:rPr>
          <w:noProof/>
        </w:rPr>
        <w:t> </w:t>
      </w:r>
      <w:r w:rsidRPr="00B73D99">
        <w:rPr>
          <w:noProof/>
        </w:rPr>
        <w:t>5</w:t>
      </w:r>
      <w:r w:rsidRPr="00BB0D27">
        <w:rPr>
          <w:noProof/>
        </w:rPr>
        <w:t xml:space="preserve"> dotyczącej zrównoważonej konsumpcji, zrównoważonych opakowań</w:t>
      </w:r>
      <w:r w:rsidR="00B73D99" w:rsidRPr="00BB0D27">
        <w:rPr>
          <w:noProof/>
        </w:rPr>
        <w:t xml:space="preserve"> i</w:t>
      </w:r>
      <w:r w:rsidR="00B73D99">
        <w:rPr>
          <w:noProof/>
        </w:rPr>
        <w:t> </w:t>
      </w:r>
      <w:r w:rsidR="00B73D99" w:rsidRPr="00BB0D27">
        <w:rPr>
          <w:noProof/>
        </w:rPr>
        <w:t>pro</w:t>
      </w:r>
      <w:r w:rsidRPr="00BB0D27">
        <w:rPr>
          <w:noProof/>
        </w:rPr>
        <w:t>dukcji oraz</w:t>
      </w:r>
      <w:r w:rsidR="00B73D99" w:rsidRPr="00BB0D27">
        <w:rPr>
          <w:noProof/>
        </w:rPr>
        <w:t xml:space="preserve"> w</w:t>
      </w:r>
      <w:r w:rsidR="00B73D99">
        <w:rPr>
          <w:noProof/>
        </w:rPr>
        <w:t> </w:t>
      </w:r>
      <w:r w:rsidR="00B73D99" w:rsidRPr="00BB0D27">
        <w:rPr>
          <w:noProof/>
        </w:rPr>
        <w:t>pro</w:t>
      </w:r>
      <w:r w:rsidRPr="00BB0D27">
        <w:rPr>
          <w:noProof/>
        </w:rPr>
        <w:t xml:space="preserve">pozycji </w:t>
      </w:r>
      <w:r w:rsidRPr="00B73D99">
        <w:rPr>
          <w:noProof/>
        </w:rPr>
        <w:t>nr</w:t>
      </w:r>
      <w:r w:rsidR="00B73D99" w:rsidRPr="00B73D99">
        <w:rPr>
          <w:noProof/>
        </w:rPr>
        <w:t> </w:t>
      </w:r>
      <w:r w:rsidRPr="00B73D99">
        <w:rPr>
          <w:noProof/>
        </w:rPr>
        <w:t>1</w:t>
      </w:r>
      <w:r w:rsidRPr="00BB0D27">
        <w:rPr>
          <w:noProof/>
        </w:rPr>
        <w:t>1 dotyczącej zrównoważonego wzrostu gospodarczego</w:t>
      </w:r>
      <w:r w:rsidR="00B73D99" w:rsidRPr="00BB0D27">
        <w:rPr>
          <w:noProof/>
        </w:rPr>
        <w:t xml:space="preserve"> i</w:t>
      </w:r>
      <w:r w:rsidR="00B73D99">
        <w:rPr>
          <w:noProof/>
        </w:rPr>
        <w:t> </w:t>
      </w:r>
      <w:r w:rsidR="00B73D99" w:rsidRPr="00BB0D27">
        <w:rPr>
          <w:noProof/>
        </w:rPr>
        <w:t>inn</w:t>
      </w:r>
      <w:r w:rsidRPr="00BB0D27">
        <w:rPr>
          <w:noProof/>
        </w:rPr>
        <w:t>owacji. Niniejszy wniosek dotyczący propagowania naprawy towarów stanowi jeden</w:t>
      </w:r>
      <w:r w:rsidR="00B73D99" w:rsidRPr="00BB0D27">
        <w:rPr>
          <w:noProof/>
        </w:rPr>
        <w:t xml:space="preserve"> z</w:t>
      </w:r>
      <w:r w:rsidR="00B73D99">
        <w:rPr>
          <w:noProof/>
        </w:rPr>
        <w:t> </w:t>
      </w:r>
      <w:r w:rsidR="00B73D99" w:rsidRPr="00BB0D27">
        <w:rPr>
          <w:noProof/>
        </w:rPr>
        <w:t>ele</w:t>
      </w:r>
      <w:r w:rsidRPr="00BB0D27">
        <w:rPr>
          <w:noProof/>
        </w:rPr>
        <w:t>mentów odpowiedzi Komisji na to wezwanie</w:t>
      </w:r>
      <w:r w:rsidRPr="00BB0D27">
        <w:rPr>
          <w:rStyle w:val="FootnoteReference"/>
          <w:noProof/>
        </w:rPr>
        <w:footnoteReference w:id="5"/>
      </w:r>
      <w:r w:rsidRPr="00BB0D27">
        <w:rPr>
          <w:noProof/>
        </w:rPr>
        <w:t xml:space="preserve">. </w:t>
      </w:r>
    </w:p>
    <w:p w:rsidR="007622D9" w:rsidRPr="00BB0D27" w:rsidRDefault="00AD2FF0" w:rsidP="000062E1">
      <w:pPr>
        <w:spacing w:before="0" w:after="240"/>
        <w:rPr>
          <w:rFonts w:eastAsia="Calibri"/>
          <w:noProof/>
          <w:szCs w:val="24"/>
        </w:rPr>
      </w:pPr>
      <w:r w:rsidRPr="00BB0D27">
        <w:rPr>
          <w:noProof/>
        </w:rPr>
        <w:t>Aby promować zrównoważoną konsumpcję, niniejsza dyrektywa jest ukierunkowana na zwiększenie liczby napraw</w:t>
      </w:r>
      <w:r w:rsidR="00B73D99" w:rsidRPr="00BB0D27">
        <w:rPr>
          <w:noProof/>
        </w:rPr>
        <w:t xml:space="preserve"> i</w:t>
      </w:r>
      <w:r w:rsidR="00B73D99">
        <w:rPr>
          <w:noProof/>
        </w:rPr>
        <w:t> </w:t>
      </w:r>
      <w:r w:rsidR="00B73D99" w:rsidRPr="00BB0D27">
        <w:rPr>
          <w:noProof/>
        </w:rPr>
        <w:t>prz</w:t>
      </w:r>
      <w:r w:rsidRPr="00BB0D27">
        <w:rPr>
          <w:noProof/>
        </w:rPr>
        <w:t>ypadków ponownego wykorzystania funkcjonalnych towarów wadliwych nabytych przez konsumentów</w:t>
      </w:r>
      <w:r w:rsidR="00B73D99" w:rsidRPr="00BB0D27">
        <w:rPr>
          <w:noProof/>
        </w:rPr>
        <w:t xml:space="preserve"> w</w:t>
      </w:r>
      <w:r w:rsidR="00B73D99">
        <w:rPr>
          <w:noProof/>
        </w:rPr>
        <w:t> </w:t>
      </w:r>
      <w:r w:rsidR="00B73D99" w:rsidRPr="00BB0D27">
        <w:rPr>
          <w:noProof/>
        </w:rPr>
        <w:t>ram</w:t>
      </w:r>
      <w:r w:rsidRPr="00BB0D27">
        <w:rPr>
          <w:noProof/>
        </w:rPr>
        <w:t>ach gwarancji prawnej</w:t>
      </w:r>
      <w:r w:rsidR="00B73D99" w:rsidRPr="00BB0D27">
        <w:rPr>
          <w:noProof/>
        </w:rPr>
        <w:t xml:space="preserve"> i</w:t>
      </w:r>
      <w:r w:rsidR="00B73D99">
        <w:rPr>
          <w:noProof/>
        </w:rPr>
        <w:t> </w:t>
      </w:r>
      <w:r w:rsidR="00B73D99" w:rsidRPr="00BB0D27">
        <w:rPr>
          <w:noProof/>
        </w:rPr>
        <w:t>poz</w:t>
      </w:r>
      <w:r w:rsidRPr="00BB0D27">
        <w:rPr>
          <w:noProof/>
        </w:rPr>
        <w:t xml:space="preserve">a jej zakresem. </w:t>
      </w:r>
    </w:p>
    <w:p w:rsidR="007622D9" w:rsidRPr="00BB0D27" w:rsidRDefault="00FA250B" w:rsidP="000062E1">
      <w:pPr>
        <w:keepNext/>
        <w:keepLines/>
        <w:spacing w:before="240" w:after="0" w:line="259" w:lineRule="auto"/>
        <w:ind w:left="720"/>
        <w:jc w:val="left"/>
        <w:outlineLvl w:val="0"/>
        <w:rPr>
          <w:rFonts w:eastAsia="Times New Roman"/>
          <w:b/>
          <w:noProof/>
          <w:color w:val="000000"/>
          <w:sz w:val="27"/>
          <w:szCs w:val="32"/>
        </w:rPr>
      </w:pPr>
      <w:r w:rsidRPr="00BB0D27">
        <w:rPr>
          <w:b/>
          <w:noProof/>
          <w:color w:val="000000"/>
          <w:sz w:val="27"/>
        </w:rPr>
        <w:t>•</w:t>
      </w:r>
      <w:r w:rsidRPr="00BB0D27">
        <w:rPr>
          <w:b/>
          <w:noProof/>
          <w:color w:val="000000"/>
          <w:sz w:val="27"/>
        </w:rPr>
        <w:tab/>
        <w:t>Spójność</w:t>
      </w:r>
      <w:r w:rsidR="00B73D99" w:rsidRPr="00BB0D27">
        <w:rPr>
          <w:b/>
          <w:noProof/>
          <w:color w:val="000000"/>
          <w:sz w:val="27"/>
        </w:rPr>
        <w:t xml:space="preserve"> z</w:t>
      </w:r>
      <w:r w:rsidR="00B73D99">
        <w:rPr>
          <w:b/>
          <w:noProof/>
          <w:color w:val="000000"/>
          <w:sz w:val="27"/>
        </w:rPr>
        <w:t> </w:t>
      </w:r>
      <w:r w:rsidR="00B73D99" w:rsidRPr="00BB0D27">
        <w:rPr>
          <w:b/>
          <w:noProof/>
          <w:color w:val="000000"/>
          <w:sz w:val="27"/>
        </w:rPr>
        <w:t>prz</w:t>
      </w:r>
      <w:r w:rsidRPr="00BB0D27">
        <w:rPr>
          <w:b/>
          <w:noProof/>
          <w:color w:val="000000"/>
          <w:sz w:val="27"/>
        </w:rPr>
        <w:t>episami obowiązującymi</w:t>
      </w:r>
      <w:r w:rsidR="00B73D99" w:rsidRPr="00BB0D27">
        <w:rPr>
          <w:b/>
          <w:noProof/>
          <w:color w:val="000000"/>
          <w:sz w:val="27"/>
        </w:rPr>
        <w:t xml:space="preserve"> w</w:t>
      </w:r>
      <w:r w:rsidR="00B73D99">
        <w:rPr>
          <w:b/>
          <w:noProof/>
          <w:color w:val="000000"/>
          <w:sz w:val="27"/>
        </w:rPr>
        <w:t> </w:t>
      </w:r>
      <w:r w:rsidR="00B73D99" w:rsidRPr="00BB0D27">
        <w:rPr>
          <w:b/>
          <w:noProof/>
          <w:color w:val="000000"/>
          <w:sz w:val="27"/>
        </w:rPr>
        <w:t>tej</w:t>
      </w:r>
      <w:r w:rsidRPr="00BB0D27">
        <w:rPr>
          <w:b/>
          <w:noProof/>
          <w:color w:val="000000"/>
          <w:sz w:val="27"/>
        </w:rPr>
        <w:t xml:space="preserve"> dziedzinie polityki</w:t>
      </w:r>
    </w:p>
    <w:p w:rsidR="007622D9" w:rsidRPr="00BB0D27" w:rsidRDefault="007622D9" w:rsidP="007622D9">
      <w:pPr>
        <w:spacing w:before="0" w:after="160" w:line="259" w:lineRule="auto"/>
        <w:rPr>
          <w:rFonts w:eastAsia="Calibri"/>
          <w:noProof/>
          <w:szCs w:val="24"/>
        </w:rPr>
      </w:pPr>
      <w:r w:rsidRPr="00BB0D27">
        <w:rPr>
          <w:noProof/>
        </w:rPr>
        <w:t>Komisja</w:t>
      </w:r>
      <w:r w:rsidR="00B73D99" w:rsidRPr="00BB0D27">
        <w:rPr>
          <w:noProof/>
        </w:rPr>
        <w:t xml:space="preserve"> w</w:t>
      </w:r>
      <w:r w:rsidR="00B73D99">
        <w:rPr>
          <w:noProof/>
        </w:rPr>
        <w:t> </w:t>
      </w:r>
      <w:r w:rsidR="00B73D99" w:rsidRPr="00BB0D27">
        <w:rPr>
          <w:noProof/>
        </w:rPr>
        <w:t>spo</w:t>
      </w:r>
      <w:r w:rsidRPr="00BB0D27">
        <w:rPr>
          <w:noProof/>
        </w:rPr>
        <w:t>sób kompleksowy realizuje cel określony</w:t>
      </w:r>
      <w:r w:rsidR="00B73D99" w:rsidRPr="00BB0D27">
        <w:rPr>
          <w:noProof/>
        </w:rPr>
        <w:t xml:space="preserve"> w</w:t>
      </w:r>
      <w:r w:rsidR="00B73D99">
        <w:rPr>
          <w:noProof/>
        </w:rPr>
        <w:t> </w:t>
      </w:r>
      <w:r w:rsidR="00B73D99" w:rsidRPr="00BB0D27">
        <w:rPr>
          <w:noProof/>
        </w:rPr>
        <w:t>Zie</w:t>
      </w:r>
      <w:r w:rsidRPr="00BB0D27">
        <w:rPr>
          <w:noProof/>
        </w:rPr>
        <w:t>lonym Ładzie, jakim jest zrównoważona konsumpcja,</w:t>
      </w:r>
      <w:r w:rsidR="00B73D99" w:rsidRPr="00BB0D27">
        <w:rPr>
          <w:noProof/>
        </w:rPr>
        <w:t xml:space="preserve"> w</w:t>
      </w:r>
      <w:r w:rsidR="00B73D99">
        <w:rPr>
          <w:noProof/>
        </w:rPr>
        <w:t> </w:t>
      </w:r>
      <w:r w:rsidR="00B73D99" w:rsidRPr="00BB0D27">
        <w:rPr>
          <w:noProof/>
        </w:rPr>
        <w:t>ram</w:t>
      </w:r>
      <w:r w:rsidRPr="00BB0D27">
        <w:rPr>
          <w:noProof/>
        </w:rPr>
        <w:t>ach różnych inicjatyw, które dotyczą różnych aspektów przedwczesnego pozbywania się towarów zarówno po stronie podaży, jak</w:t>
      </w:r>
      <w:r w:rsidR="00B73D99" w:rsidRPr="00BB0D27">
        <w:rPr>
          <w:noProof/>
        </w:rPr>
        <w:t xml:space="preserve"> i</w:t>
      </w:r>
      <w:r w:rsidR="00B73D99">
        <w:rPr>
          <w:noProof/>
        </w:rPr>
        <w:t> </w:t>
      </w:r>
      <w:r w:rsidR="00B73D99" w:rsidRPr="00BB0D27">
        <w:rPr>
          <w:noProof/>
        </w:rPr>
        <w:t>pop</w:t>
      </w:r>
      <w:r w:rsidRPr="00BB0D27">
        <w:rPr>
          <w:noProof/>
        </w:rPr>
        <w:t>ytu.</w:t>
      </w:r>
    </w:p>
    <w:p w:rsidR="007622D9" w:rsidRPr="00BB0D27" w:rsidRDefault="31810677" w:rsidP="007622D9">
      <w:pPr>
        <w:spacing w:before="0" w:after="160" w:line="259" w:lineRule="auto"/>
        <w:rPr>
          <w:rFonts w:eastAsia="Calibri"/>
          <w:noProof/>
          <w:szCs w:val="24"/>
        </w:rPr>
      </w:pPr>
      <w:r w:rsidRPr="00BB0D27">
        <w:rPr>
          <w:noProof/>
        </w:rPr>
        <w:t>Po stronie podaży we wniosku dotyczącym rozporządzenia</w:t>
      </w:r>
      <w:r w:rsidR="00B73D99" w:rsidRPr="00BB0D27">
        <w:rPr>
          <w:noProof/>
        </w:rPr>
        <w:t xml:space="preserve"> w</w:t>
      </w:r>
      <w:r w:rsidR="00B73D99">
        <w:rPr>
          <w:noProof/>
        </w:rPr>
        <w:t> </w:t>
      </w:r>
      <w:r w:rsidR="00B73D99" w:rsidRPr="00BB0D27">
        <w:rPr>
          <w:noProof/>
        </w:rPr>
        <w:t>spr</w:t>
      </w:r>
      <w:r w:rsidRPr="00BB0D27">
        <w:rPr>
          <w:noProof/>
        </w:rPr>
        <w:t>awie ekoprojektu dla zrównoważonych produktów</w:t>
      </w:r>
      <w:r w:rsidR="007622D9" w:rsidRPr="00BB0D27">
        <w:rPr>
          <w:rStyle w:val="FootnoteReference"/>
          <w:noProof/>
        </w:rPr>
        <w:footnoteReference w:id="6"/>
      </w:r>
      <w:r w:rsidRPr="00BB0D27">
        <w:rPr>
          <w:noProof/>
        </w:rPr>
        <w:t xml:space="preserve"> określono ramy dotyczące możliwości naprawy produktu na etapie produkcji,</w:t>
      </w:r>
      <w:r w:rsidR="00B73D99" w:rsidRPr="00BB0D27">
        <w:rPr>
          <w:noProof/>
        </w:rPr>
        <w:t xml:space="preserve"> w</w:t>
      </w:r>
      <w:r w:rsidR="00B73D99">
        <w:rPr>
          <w:noProof/>
        </w:rPr>
        <w:t> </w:t>
      </w:r>
      <w:r w:rsidR="00B73D99" w:rsidRPr="00BB0D27">
        <w:rPr>
          <w:noProof/>
        </w:rPr>
        <w:t>szc</w:t>
      </w:r>
      <w:r w:rsidRPr="00BB0D27">
        <w:rPr>
          <w:noProof/>
        </w:rPr>
        <w:t>zególności</w:t>
      </w:r>
      <w:r w:rsidR="00B73D99" w:rsidRPr="00BB0D27">
        <w:rPr>
          <w:noProof/>
        </w:rPr>
        <w:t xml:space="preserve"> w</w:t>
      </w:r>
      <w:r w:rsidR="00B73D99">
        <w:rPr>
          <w:noProof/>
        </w:rPr>
        <w:t> </w:t>
      </w:r>
      <w:r w:rsidR="00B73D99" w:rsidRPr="00BB0D27">
        <w:rPr>
          <w:noProof/>
        </w:rPr>
        <w:t>zak</w:t>
      </w:r>
      <w:r w:rsidRPr="00BB0D27">
        <w:rPr>
          <w:noProof/>
        </w:rPr>
        <w:t>resie wymogów dotyczących projektu produktu</w:t>
      </w:r>
      <w:r w:rsidR="00B73D99" w:rsidRPr="00BB0D27">
        <w:rPr>
          <w:noProof/>
        </w:rPr>
        <w:t xml:space="preserve"> i</w:t>
      </w:r>
      <w:r w:rsidR="00B73D99">
        <w:rPr>
          <w:noProof/>
        </w:rPr>
        <w:t> </w:t>
      </w:r>
      <w:r w:rsidR="00B73D99" w:rsidRPr="00BB0D27">
        <w:rPr>
          <w:noProof/>
        </w:rPr>
        <w:t>dos</w:t>
      </w:r>
      <w:r w:rsidRPr="00BB0D27">
        <w:rPr>
          <w:noProof/>
        </w:rPr>
        <w:t xml:space="preserve">tępności części zamiennych. </w:t>
      </w:r>
    </w:p>
    <w:p w:rsidR="007622D9" w:rsidRPr="00BB0D27" w:rsidRDefault="31810677" w:rsidP="007622D9">
      <w:pPr>
        <w:spacing w:before="0" w:after="240"/>
        <w:rPr>
          <w:rFonts w:eastAsia="Calibri"/>
          <w:noProof/>
          <w:szCs w:val="24"/>
        </w:rPr>
      </w:pPr>
      <w:r w:rsidRPr="00BB0D27">
        <w:rPr>
          <w:noProof/>
        </w:rPr>
        <w:t>Po stronie popytu we wniosku dotyczącym dyrektywy</w:t>
      </w:r>
      <w:r w:rsidR="00B73D99" w:rsidRPr="00BB0D27">
        <w:rPr>
          <w:noProof/>
        </w:rPr>
        <w:t xml:space="preserve"> w</w:t>
      </w:r>
      <w:r w:rsidR="00B73D99">
        <w:rPr>
          <w:noProof/>
        </w:rPr>
        <w:t> </w:t>
      </w:r>
      <w:r w:rsidR="00B73D99" w:rsidRPr="00BB0D27">
        <w:rPr>
          <w:noProof/>
        </w:rPr>
        <w:t>spr</w:t>
      </w:r>
      <w:r w:rsidRPr="00BB0D27">
        <w:rPr>
          <w:noProof/>
        </w:rPr>
        <w:t>awie wzmocnienia pozycji konsumentów</w:t>
      </w:r>
      <w:r w:rsidR="00B73D99" w:rsidRPr="00BB0D27">
        <w:rPr>
          <w:noProof/>
        </w:rPr>
        <w:t xml:space="preserve"> w</w:t>
      </w:r>
      <w:r w:rsidR="00B73D99">
        <w:rPr>
          <w:noProof/>
        </w:rPr>
        <w:t> </w:t>
      </w:r>
      <w:r w:rsidR="00B73D99" w:rsidRPr="00BB0D27">
        <w:rPr>
          <w:noProof/>
        </w:rPr>
        <w:t>pro</w:t>
      </w:r>
      <w:r w:rsidRPr="00BB0D27">
        <w:rPr>
          <w:noProof/>
        </w:rPr>
        <w:t>cesie transformacji ekologicznej</w:t>
      </w:r>
      <w:r w:rsidR="007622D9" w:rsidRPr="00BB0D27">
        <w:rPr>
          <w:rStyle w:val="FootnoteReference"/>
          <w:noProof/>
        </w:rPr>
        <w:footnoteReference w:id="7"/>
      </w:r>
      <w:r w:rsidRPr="00BB0D27">
        <w:rPr>
          <w:noProof/>
        </w:rPr>
        <w:t xml:space="preserve"> przewidziano możliwość dostarczenia lepszych informacji na temat trwałości</w:t>
      </w:r>
      <w:r w:rsidR="00B73D99" w:rsidRPr="00BB0D27">
        <w:rPr>
          <w:noProof/>
        </w:rPr>
        <w:t xml:space="preserve"> i</w:t>
      </w:r>
      <w:r w:rsidR="00B73D99">
        <w:rPr>
          <w:noProof/>
        </w:rPr>
        <w:t> </w:t>
      </w:r>
      <w:r w:rsidR="00B73D99" w:rsidRPr="00BB0D27">
        <w:rPr>
          <w:noProof/>
        </w:rPr>
        <w:t>moż</w:t>
      </w:r>
      <w:r w:rsidRPr="00BB0D27">
        <w:rPr>
          <w:noProof/>
        </w:rPr>
        <w:t>liwości naprawy towarów</w:t>
      </w:r>
      <w:r w:rsidR="00B73D99" w:rsidRPr="00BB0D27">
        <w:rPr>
          <w:noProof/>
        </w:rPr>
        <w:t xml:space="preserve"> w</w:t>
      </w:r>
      <w:r w:rsidR="00B73D99">
        <w:rPr>
          <w:noProof/>
        </w:rPr>
        <w:t> </w:t>
      </w:r>
      <w:r w:rsidR="00B73D99" w:rsidRPr="00BB0D27">
        <w:rPr>
          <w:noProof/>
        </w:rPr>
        <w:t>pun</w:t>
      </w:r>
      <w:r w:rsidRPr="00BB0D27">
        <w:rPr>
          <w:noProof/>
        </w:rPr>
        <w:t>kcie sprzedaży. Dzięki temu konsumenci będą mogli podejmować zrównoważone decyzje</w:t>
      </w:r>
      <w:r w:rsidR="00B73D99" w:rsidRPr="00BB0D27">
        <w:rPr>
          <w:noProof/>
        </w:rPr>
        <w:t xml:space="preserve"> o</w:t>
      </w:r>
      <w:r w:rsidR="00B73D99">
        <w:rPr>
          <w:noProof/>
        </w:rPr>
        <w:t> </w:t>
      </w:r>
      <w:r w:rsidR="00B73D99" w:rsidRPr="00BB0D27">
        <w:rPr>
          <w:noProof/>
        </w:rPr>
        <w:t>zak</w:t>
      </w:r>
      <w:r w:rsidRPr="00BB0D27">
        <w:rPr>
          <w:noProof/>
        </w:rPr>
        <w:t xml:space="preserve">upie. </w:t>
      </w:r>
    </w:p>
    <w:p w:rsidR="006C2786" w:rsidRPr="00BB0D27" w:rsidRDefault="006C2786" w:rsidP="007622D9">
      <w:pPr>
        <w:spacing w:before="0" w:after="240"/>
        <w:rPr>
          <w:rFonts w:eastAsia="Calibri"/>
          <w:noProof/>
          <w:szCs w:val="24"/>
        </w:rPr>
      </w:pPr>
      <w:r w:rsidRPr="00BB0D27">
        <w:rPr>
          <w:noProof/>
        </w:rPr>
        <w:t>Zgodnie</w:t>
      </w:r>
      <w:r w:rsidR="00B73D99" w:rsidRPr="00BB0D27">
        <w:rPr>
          <w:noProof/>
        </w:rPr>
        <w:t xml:space="preserve"> z</w:t>
      </w:r>
      <w:r w:rsidR="00B73D99">
        <w:rPr>
          <w:noProof/>
        </w:rPr>
        <w:t> </w:t>
      </w:r>
      <w:r w:rsidR="00B73D99" w:rsidRPr="00BB0D27">
        <w:rPr>
          <w:noProof/>
        </w:rPr>
        <w:t>wni</w:t>
      </w:r>
      <w:r w:rsidRPr="00BB0D27">
        <w:rPr>
          <w:noProof/>
        </w:rPr>
        <w:t>oskiem dotyczącym rozporządzenia</w:t>
      </w:r>
      <w:r w:rsidR="00B73D99" w:rsidRPr="00BB0D27">
        <w:rPr>
          <w:noProof/>
        </w:rPr>
        <w:t xml:space="preserve"> w</w:t>
      </w:r>
      <w:r w:rsidR="00B73D99">
        <w:rPr>
          <w:noProof/>
        </w:rPr>
        <w:t> </w:t>
      </w:r>
      <w:r w:rsidR="00B73D99" w:rsidRPr="00BB0D27">
        <w:rPr>
          <w:noProof/>
        </w:rPr>
        <w:t>spr</w:t>
      </w:r>
      <w:r w:rsidRPr="00BB0D27">
        <w:rPr>
          <w:noProof/>
        </w:rPr>
        <w:t>awie zharmonizowanych przepisów dotyczących sprawiedliwego dostępu do danych</w:t>
      </w:r>
      <w:r w:rsidR="00B73D99" w:rsidRPr="00BB0D27">
        <w:rPr>
          <w:noProof/>
        </w:rPr>
        <w:t xml:space="preserve"> i</w:t>
      </w:r>
      <w:r w:rsidR="00B73D99">
        <w:rPr>
          <w:noProof/>
        </w:rPr>
        <w:t> </w:t>
      </w:r>
      <w:r w:rsidR="00B73D99" w:rsidRPr="00BB0D27">
        <w:rPr>
          <w:noProof/>
        </w:rPr>
        <w:t>ich</w:t>
      </w:r>
      <w:r w:rsidRPr="00BB0D27">
        <w:rPr>
          <w:noProof/>
        </w:rPr>
        <w:t xml:space="preserve"> wykorzystywania (akt</w:t>
      </w:r>
      <w:r w:rsidR="00B73D99" w:rsidRPr="00BB0D27">
        <w:rPr>
          <w:noProof/>
        </w:rPr>
        <w:t xml:space="preserve"> w</w:t>
      </w:r>
      <w:r w:rsidR="00B73D99">
        <w:rPr>
          <w:noProof/>
        </w:rPr>
        <w:t> </w:t>
      </w:r>
      <w:r w:rsidR="00B73D99" w:rsidRPr="00BB0D27">
        <w:rPr>
          <w:noProof/>
        </w:rPr>
        <w:t>spr</w:t>
      </w:r>
      <w:r w:rsidRPr="00BB0D27">
        <w:rPr>
          <w:noProof/>
        </w:rPr>
        <w:t>awie danych) użytkownicy produktów skomunikowanych mają dostęp do danych generowanych przez nich podczas ich użytkowania oraz mają prawo do przekazania takich danych wybranej osobie trzeciej. Taki dostęp do danych będzie miał znaczenie dla niezależnych stacji obsługi. </w:t>
      </w:r>
    </w:p>
    <w:p w:rsidR="007622D9" w:rsidRPr="00BB0D27" w:rsidRDefault="006C2786" w:rsidP="007622D9">
      <w:pPr>
        <w:spacing w:before="0" w:after="240"/>
        <w:rPr>
          <w:rFonts w:eastAsia="Calibri"/>
          <w:noProof/>
          <w:szCs w:val="24"/>
        </w:rPr>
      </w:pPr>
      <w:r w:rsidRPr="00BB0D27">
        <w:rPr>
          <w:noProof/>
        </w:rPr>
        <w:t>W przypadku wystąpienia wady</w:t>
      </w:r>
      <w:r w:rsidR="00B73D99" w:rsidRPr="00BB0D27">
        <w:rPr>
          <w:noProof/>
        </w:rPr>
        <w:t xml:space="preserve"> w</w:t>
      </w:r>
      <w:r w:rsidR="00B73D99">
        <w:rPr>
          <w:noProof/>
        </w:rPr>
        <w:t> </w:t>
      </w:r>
      <w:r w:rsidR="00B73D99" w:rsidRPr="00BB0D27">
        <w:rPr>
          <w:noProof/>
        </w:rPr>
        <w:t>pro</w:t>
      </w:r>
      <w:r w:rsidRPr="00BB0D27">
        <w:rPr>
          <w:noProof/>
        </w:rPr>
        <w:t>dukcie na etapie po sprzedaży, zgodnie</w:t>
      </w:r>
      <w:r w:rsidR="00B73D99" w:rsidRPr="00BB0D27">
        <w:rPr>
          <w:noProof/>
        </w:rPr>
        <w:t xml:space="preserve"> z</w:t>
      </w:r>
      <w:r w:rsidR="00B73D99">
        <w:rPr>
          <w:noProof/>
        </w:rPr>
        <w:t> </w:t>
      </w:r>
      <w:r w:rsidR="00B73D99" w:rsidRPr="00BB0D27">
        <w:rPr>
          <w:noProof/>
        </w:rPr>
        <w:t>dyr</w:t>
      </w:r>
      <w:r w:rsidRPr="00BB0D27">
        <w:rPr>
          <w:noProof/>
        </w:rPr>
        <w:t>ektywą</w:t>
      </w:r>
      <w:r w:rsidR="00B73D99" w:rsidRPr="00BB0D27">
        <w:rPr>
          <w:noProof/>
        </w:rPr>
        <w:t xml:space="preserve"> w</w:t>
      </w:r>
      <w:r w:rsidR="00B73D99">
        <w:rPr>
          <w:noProof/>
        </w:rPr>
        <w:t> </w:t>
      </w:r>
      <w:r w:rsidR="00B73D99" w:rsidRPr="00BB0D27">
        <w:rPr>
          <w:noProof/>
        </w:rPr>
        <w:t>spr</w:t>
      </w:r>
      <w:r w:rsidRPr="00BB0D27">
        <w:rPr>
          <w:noProof/>
        </w:rPr>
        <w:t>awie sprzedaży towarów, konsumentom przysługują środki ochrony prawnej przeciwko sprzedawcom</w:t>
      </w:r>
      <w:r w:rsidR="00B73D99" w:rsidRPr="00BB0D27">
        <w:rPr>
          <w:noProof/>
        </w:rPr>
        <w:t xml:space="preserve"> w</w:t>
      </w:r>
      <w:r w:rsidR="00B73D99">
        <w:rPr>
          <w:noProof/>
        </w:rPr>
        <w:t> </w:t>
      </w:r>
      <w:r w:rsidR="00B73D99" w:rsidRPr="00BB0D27">
        <w:rPr>
          <w:noProof/>
        </w:rPr>
        <w:t>zwi</w:t>
      </w:r>
      <w:r w:rsidRPr="00BB0D27">
        <w:rPr>
          <w:noProof/>
        </w:rPr>
        <w:t>ązku</w:t>
      </w:r>
      <w:r w:rsidR="00B73D99" w:rsidRPr="00BB0D27">
        <w:rPr>
          <w:noProof/>
        </w:rPr>
        <w:t xml:space="preserve"> z</w:t>
      </w:r>
      <w:r w:rsidR="00B73D99">
        <w:rPr>
          <w:noProof/>
        </w:rPr>
        <w:t> </w:t>
      </w:r>
      <w:r w:rsidR="00B73D99" w:rsidRPr="00BB0D27">
        <w:rPr>
          <w:noProof/>
        </w:rPr>
        <w:t>wad</w:t>
      </w:r>
      <w:r w:rsidRPr="00BB0D27">
        <w:rPr>
          <w:noProof/>
        </w:rPr>
        <w:t>ami, które istniały</w:t>
      </w:r>
      <w:r w:rsidR="00B73D99" w:rsidRPr="00BB0D27">
        <w:rPr>
          <w:noProof/>
        </w:rPr>
        <w:t xml:space="preserve"> w</w:t>
      </w:r>
      <w:r w:rsidR="00B73D99">
        <w:rPr>
          <w:noProof/>
        </w:rPr>
        <w:t> </w:t>
      </w:r>
      <w:r w:rsidR="00B73D99" w:rsidRPr="00BB0D27">
        <w:rPr>
          <w:noProof/>
        </w:rPr>
        <w:t>mom</w:t>
      </w:r>
      <w:r w:rsidRPr="00BB0D27">
        <w:rPr>
          <w:noProof/>
        </w:rPr>
        <w:t>encie dostawy towarów</w:t>
      </w:r>
      <w:r w:rsidR="00B73D99" w:rsidRPr="00BB0D27">
        <w:rPr>
          <w:noProof/>
        </w:rPr>
        <w:t xml:space="preserve"> i</w:t>
      </w:r>
      <w:r w:rsidR="00B73D99">
        <w:rPr>
          <w:noProof/>
        </w:rPr>
        <w:t> </w:t>
      </w:r>
      <w:r w:rsidR="00B73D99" w:rsidRPr="00BB0D27">
        <w:rPr>
          <w:noProof/>
        </w:rPr>
        <w:t>uja</w:t>
      </w:r>
      <w:r w:rsidRPr="00BB0D27">
        <w:rPr>
          <w:noProof/>
        </w:rPr>
        <w:t>wniły się</w:t>
      </w:r>
      <w:r w:rsidR="00B73D99" w:rsidRPr="00BB0D27">
        <w:rPr>
          <w:noProof/>
        </w:rPr>
        <w:t xml:space="preserve"> w</w:t>
      </w:r>
      <w:r w:rsidR="00B73D99">
        <w:rPr>
          <w:noProof/>
        </w:rPr>
        <w:t> </w:t>
      </w:r>
      <w:r w:rsidR="00B73D99" w:rsidRPr="00BB0D27">
        <w:rPr>
          <w:noProof/>
        </w:rPr>
        <w:t>okr</w:t>
      </w:r>
      <w:r w:rsidRPr="00BB0D27">
        <w:rPr>
          <w:noProof/>
        </w:rPr>
        <w:t>esie odpowiedzialności wynoszącym minimum dwa lata. Zgodnie</w:t>
      </w:r>
      <w:r w:rsidR="00B73D99" w:rsidRPr="00BB0D27">
        <w:rPr>
          <w:noProof/>
        </w:rPr>
        <w:t xml:space="preserve"> z</w:t>
      </w:r>
      <w:r w:rsidR="00B73D99">
        <w:rPr>
          <w:noProof/>
        </w:rPr>
        <w:t> </w:t>
      </w:r>
      <w:r w:rsidR="00B73D99" w:rsidRPr="00BB0D27">
        <w:rPr>
          <w:noProof/>
        </w:rPr>
        <w:t>dyr</w:t>
      </w:r>
      <w:r w:rsidRPr="00BB0D27">
        <w:rPr>
          <w:noProof/>
        </w:rPr>
        <w:t>ektywą</w:t>
      </w:r>
      <w:r w:rsidR="00B73D99" w:rsidRPr="00BB0D27">
        <w:rPr>
          <w:noProof/>
        </w:rPr>
        <w:t xml:space="preserve"> w</w:t>
      </w:r>
      <w:r w:rsidR="00B73D99">
        <w:rPr>
          <w:noProof/>
        </w:rPr>
        <w:t> </w:t>
      </w:r>
      <w:r w:rsidR="00B73D99" w:rsidRPr="00BB0D27">
        <w:rPr>
          <w:noProof/>
        </w:rPr>
        <w:t>spr</w:t>
      </w:r>
      <w:r w:rsidRPr="00BB0D27">
        <w:rPr>
          <w:noProof/>
        </w:rPr>
        <w:t>awie sprzedaży towarów konsumenci dokonują wyboru między nieodpłatną naprawą</w:t>
      </w:r>
      <w:r w:rsidR="00B73D99" w:rsidRPr="00BB0D27">
        <w:rPr>
          <w:noProof/>
        </w:rPr>
        <w:t xml:space="preserve"> a</w:t>
      </w:r>
      <w:r w:rsidR="00B73D99">
        <w:rPr>
          <w:noProof/>
        </w:rPr>
        <w:t> </w:t>
      </w:r>
      <w:r w:rsidR="00B73D99" w:rsidRPr="00BB0D27">
        <w:rPr>
          <w:noProof/>
        </w:rPr>
        <w:t>wym</w:t>
      </w:r>
      <w:r w:rsidRPr="00BB0D27">
        <w:rPr>
          <w:noProof/>
        </w:rPr>
        <w:t>ianą towaru. Konsumenci nie mogą żądać zastosowania wybranego środka ochrony prawnej, jeżeli byłby on niemożliwy lub wiązałby się</w:t>
      </w:r>
      <w:r w:rsidR="00B73D99" w:rsidRPr="00BB0D27">
        <w:rPr>
          <w:noProof/>
        </w:rPr>
        <w:t xml:space="preserve"> z</w:t>
      </w:r>
      <w:r w:rsidR="00B73D99">
        <w:rPr>
          <w:noProof/>
        </w:rPr>
        <w:t> </w:t>
      </w:r>
      <w:r w:rsidR="00B73D99" w:rsidRPr="00BB0D27">
        <w:rPr>
          <w:noProof/>
        </w:rPr>
        <w:t>nie</w:t>
      </w:r>
      <w:r w:rsidRPr="00BB0D27">
        <w:rPr>
          <w:noProof/>
        </w:rPr>
        <w:t>współmiernymi kosztami</w:t>
      </w:r>
      <w:r w:rsidR="00B73D99" w:rsidRPr="00BB0D27">
        <w:rPr>
          <w:noProof/>
        </w:rPr>
        <w:t xml:space="preserve"> w</w:t>
      </w:r>
      <w:r w:rsidR="00B73D99">
        <w:rPr>
          <w:noProof/>
        </w:rPr>
        <w:t> </w:t>
      </w:r>
      <w:r w:rsidR="00B73D99" w:rsidRPr="00BB0D27">
        <w:rPr>
          <w:noProof/>
        </w:rPr>
        <w:t>por</w:t>
      </w:r>
      <w:r w:rsidRPr="00BB0D27">
        <w:rPr>
          <w:noProof/>
        </w:rPr>
        <w:t>ównaniu</w:t>
      </w:r>
      <w:r w:rsidR="00B73D99" w:rsidRPr="00BB0D27">
        <w:rPr>
          <w:noProof/>
        </w:rPr>
        <w:t xml:space="preserve"> z</w:t>
      </w:r>
      <w:r w:rsidR="00B73D99">
        <w:rPr>
          <w:noProof/>
        </w:rPr>
        <w:t> </w:t>
      </w:r>
      <w:r w:rsidR="00B73D99" w:rsidRPr="00BB0D27">
        <w:rPr>
          <w:noProof/>
        </w:rPr>
        <w:t>inn</w:t>
      </w:r>
      <w:r w:rsidRPr="00BB0D27">
        <w:rPr>
          <w:noProof/>
        </w:rPr>
        <w:t xml:space="preserve">ym środkiem ochrony prawnej. </w:t>
      </w:r>
    </w:p>
    <w:p w:rsidR="007622D9" w:rsidRPr="00BB0D27" w:rsidRDefault="007622D9" w:rsidP="007622D9">
      <w:pPr>
        <w:spacing w:before="0" w:after="160" w:line="259" w:lineRule="auto"/>
        <w:rPr>
          <w:rFonts w:eastAsia="Calibri"/>
          <w:noProof/>
          <w:szCs w:val="24"/>
        </w:rPr>
      </w:pPr>
      <w:r w:rsidRPr="00BB0D27">
        <w:rPr>
          <w:noProof/>
        </w:rPr>
        <w:t>Łącznym skutkiem działań</w:t>
      </w:r>
      <w:r w:rsidR="00B73D99" w:rsidRPr="00BB0D27">
        <w:rPr>
          <w:noProof/>
        </w:rPr>
        <w:t xml:space="preserve"> w</w:t>
      </w:r>
      <w:r w:rsidR="00B73D99">
        <w:rPr>
          <w:noProof/>
        </w:rPr>
        <w:t> </w:t>
      </w:r>
      <w:r w:rsidR="00B73D99" w:rsidRPr="00BB0D27">
        <w:rPr>
          <w:noProof/>
        </w:rPr>
        <w:t>ram</w:t>
      </w:r>
      <w:r w:rsidRPr="00BB0D27">
        <w:rPr>
          <w:noProof/>
        </w:rPr>
        <w:t>ach rozporządzenia</w:t>
      </w:r>
      <w:r w:rsidR="00B73D99" w:rsidRPr="00BB0D27">
        <w:rPr>
          <w:noProof/>
        </w:rPr>
        <w:t xml:space="preserve"> w</w:t>
      </w:r>
      <w:r w:rsidR="00B73D99">
        <w:rPr>
          <w:noProof/>
        </w:rPr>
        <w:t> </w:t>
      </w:r>
      <w:r w:rsidR="00B73D99" w:rsidRPr="00BB0D27">
        <w:rPr>
          <w:noProof/>
        </w:rPr>
        <w:t>spr</w:t>
      </w:r>
      <w:r w:rsidRPr="00BB0D27">
        <w:rPr>
          <w:noProof/>
        </w:rPr>
        <w:t>awie ekoprojektu dla zrównoważonych produktów</w:t>
      </w:r>
      <w:r w:rsidR="00B73D99" w:rsidRPr="00BB0D27">
        <w:rPr>
          <w:noProof/>
        </w:rPr>
        <w:t xml:space="preserve"> i</w:t>
      </w:r>
      <w:r w:rsidR="00B73D99">
        <w:rPr>
          <w:noProof/>
        </w:rPr>
        <w:t> </w:t>
      </w:r>
      <w:r w:rsidR="00B73D99" w:rsidRPr="00BB0D27">
        <w:rPr>
          <w:noProof/>
        </w:rPr>
        <w:t>dyr</w:t>
      </w:r>
      <w:r w:rsidRPr="00BB0D27">
        <w:rPr>
          <w:noProof/>
        </w:rPr>
        <w:t>ektywy</w:t>
      </w:r>
      <w:r w:rsidR="00B73D99" w:rsidRPr="00BB0D27">
        <w:rPr>
          <w:noProof/>
        </w:rPr>
        <w:t xml:space="preserve"> w</w:t>
      </w:r>
      <w:r w:rsidR="00B73D99">
        <w:rPr>
          <w:noProof/>
        </w:rPr>
        <w:t> </w:t>
      </w:r>
      <w:r w:rsidR="00B73D99" w:rsidRPr="00BB0D27">
        <w:rPr>
          <w:noProof/>
        </w:rPr>
        <w:t>spr</w:t>
      </w:r>
      <w:r w:rsidRPr="00BB0D27">
        <w:rPr>
          <w:noProof/>
        </w:rPr>
        <w:t>awie wzmocnienia pozycji konsumentów</w:t>
      </w:r>
      <w:r w:rsidR="00B73D99" w:rsidRPr="00BB0D27">
        <w:rPr>
          <w:noProof/>
        </w:rPr>
        <w:t xml:space="preserve"> w</w:t>
      </w:r>
      <w:r w:rsidR="00B73D99">
        <w:rPr>
          <w:noProof/>
        </w:rPr>
        <w:t> </w:t>
      </w:r>
      <w:r w:rsidR="00B73D99" w:rsidRPr="00BB0D27">
        <w:rPr>
          <w:noProof/>
        </w:rPr>
        <w:t>pro</w:t>
      </w:r>
      <w:r w:rsidRPr="00BB0D27">
        <w:rPr>
          <w:noProof/>
        </w:rPr>
        <w:t>cesie transformacji ekologicznej będzie poprawa zrównoważonego charakteru produktów</w:t>
      </w:r>
      <w:r w:rsidR="00B73D99" w:rsidRPr="00BB0D27">
        <w:rPr>
          <w:noProof/>
        </w:rPr>
        <w:t xml:space="preserve"> i</w:t>
      </w:r>
      <w:r w:rsidR="00B73D99">
        <w:rPr>
          <w:noProof/>
        </w:rPr>
        <w:t> </w:t>
      </w:r>
      <w:r w:rsidR="00B73D99" w:rsidRPr="00BB0D27">
        <w:rPr>
          <w:noProof/>
        </w:rPr>
        <w:t>pro</w:t>
      </w:r>
      <w:r w:rsidRPr="00BB0D27">
        <w:rPr>
          <w:noProof/>
        </w:rPr>
        <w:t>mowanie zrównoważonych zakupów. Nie prowadzą one jednak do rozwiązania kwestii, które zniechęcają konsumentów do naprawy na etapie po sprzedaży. Inicjatywa ta przyczynia się do wypełnienia tej luki dzięki naciskowi kładzionemu</w:t>
      </w:r>
      <w:r w:rsidR="00B73D99" w:rsidRPr="00BB0D27">
        <w:rPr>
          <w:noProof/>
        </w:rPr>
        <w:t xml:space="preserve"> w</w:t>
      </w:r>
      <w:r w:rsidR="00B73D99">
        <w:rPr>
          <w:noProof/>
        </w:rPr>
        <w:t> </w:t>
      </w:r>
      <w:r w:rsidR="00B73D99" w:rsidRPr="00BB0D27">
        <w:rPr>
          <w:noProof/>
        </w:rPr>
        <w:t>nie</w:t>
      </w:r>
      <w:r w:rsidRPr="00BB0D27">
        <w:rPr>
          <w:noProof/>
        </w:rPr>
        <w:t>j na etap użytkowania towarów nabytych przez konsumentów. Celem inicjatywy jest promowanie naprawy towarów jako środka ochrony prawnej</w:t>
      </w:r>
      <w:r w:rsidR="00B73D99" w:rsidRPr="00BB0D27">
        <w:rPr>
          <w:noProof/>
        </w:rPr>
        <w:t xml:space="preserve"> w</w:t>
      </w:r>
      <w:r w:rsidR="00B73D99">
        <w:rPr>
          <w:noProof/>
        </w:rPr>
        <w:t> </w:t>
      </w:r>
      <w:r w:rsidR="00B73D99" w:rsidRPr="00BB0D27">
        <w:rPr>
          <w:noProof/>
        </w:rPr>
        <w:t>ram</w:t>
      </w:r>
      <w:r w:rsidRPr="00BB0D27">
        <w:rPr>
          <w:noProof/>
        </w:rPr>
        <w:t>ach gwarancji prawnej określonej</w:t>
      </w:r>
      <w:r w:rsidR="00B73D99" w:rsidRPr="00BB0D27">
        <w:rPr>
          <w:noProof/>
        </w:rPr>
        <w:t xml:space="preserve"> w</w:t>
      </w:r>
      <w:r w:rsidR="00B73D99">
        <w:rPr>
          <w:noProof/>
        </w:rPr>
        <w:t> </w:t>
      </w:r>
      <w:r w:rsidR="00B73D99" w:rsidRPr="00BB0D27">
        <w:rPr>
          <w:noProof/>
        </w:rPr>
        <w:t>dyr</w:t>
      </w:r>
      <w:r w:rsidRPr="00BB0D27">
        <w:rPr>
          <w:noProof/>
        </w:rPr>
        <w:t>ektywie</w:t>
      </w:r>
      <w:r w:rsidR="00B73D99" w:rsidRPr="00BB0D27">
        <w:rPr>
          <w:noProof/>
        </w:rPr>
        <w:t xml:space="preserve"> w</w:t>
      </w:r>
      <w:r w:rsidR="00B73D99">
        <w:rPr>
          <w:noProof/>
        </w:rPr>
        <w:t> </w:t>
      </w:r>
      <w:r w:rsidR="00B73D99" w:rsidRPr="00BB0D27">
        <w:rPr>
          <w:noProof/>
        </w:rPr>
        <w:t>spr</w:t>
      </w:r>
      <w:r w:rsidRPr="00BB0D27">
        <w:rPr>
          <w:noProof/>
        </w:rPr>
        <w:t>awie sprzedaży towarów oraz zapewnienie konsumentom</w:t>
      </w:r>
      <w:r w:rsidR="00B73D99" w:rsidRPr="00BB0D27">
        <w:rPr>
          <w:noProof/>
        </w:rPr>
        <w:t xml:space="preserve"> i</w:t>
      </w:r>
      <w:r w:rsidR="00B73D99">
        <w:rPr>
          <w:noProof/>
        </w:rPr>
        <w:t> </w:t>
      </w:r>
      <w:r w:rsidR="00B73D99" w:rsidRPr="00BB0D27">
        <w:rPr>
          <w:noProof/>
        </w:rPr>
        <w:t>prz</w:t>
      </w:r>
      <w:r w:rsidRPr="00BB0D27">
        <w:rPr>
          <w:noProof/>
        </w:rPr>
        <w:t xml:space="preserve">edsiębiorstwom nowych narzędzi promujących naprawę poza gwarancją prawną. </w:t>
      </w:r>
    </w:p>
    <w:p w:rsidR="000062E1" w:rsidRPr="00BB0D27" w:rsidRDefault="007622D9" w:rsidP="000062E1">
      <w:pPr>
        <w:rPr>
          <w:noProof/>
          <w:szCs w:val="24"/>
        </w:rPr>
      </w:pPr>
      <w:r w:rsidRPr="00BB0D27">
        <w:rPr>
          <w:noProof/>
        </w:rPr>
        <w:t>Te trzy inicjatywy uzupełniają się</w:t>
      </w:r>
      <w:r w:rsidR="00B73D99" w:rsidRPr="00BB0D27">
        <w:rPr>
          <w:noProof/>
        </w:rPr>
        <w:t xml:space="preserve"> i</w:t>
      </w:r>
      <w:r w:rsidR="00B73D99">
        <w:rPr>
          <w:noProof/>
        </w:rPr>
        <w:t> </w:t>
      </w:r>
      <w:r w:rsidR="00B73D99" w:rsidRPr="00BB0D27">
        <w:rPr>
          <w:noProof/>
        </w:rPr>
        <w:t>spr</w:t>
      </w:r>
      <w:r w:rsidRPr="00BB0D27">
        <w:rPr>
          <w:noProof/>
        </w:rPr>
        <w:t>zyjają osiągnięciu synergii przez ustanowienie kompleksowego podejścia do wspólnego celu, jakim jest zrównoważona konsumpcja. Opracowano je tak, aby miały skumulowany skutek,</w:t>
      </w:r>
      <w:r w:rsidR="00B73D99" w:rsidRPr="00BB0D27">
        <w:rPr>
          <w:noProof/>
        </w:rPr>
        <w:t xml:space="preserve"> a</w:t>
      </w:r>
      <w:r w:rsidR="00B73D99">
        <w:rPr>
          <w:noProof/>
        </w:rPr>
        <w:t> </w:t>
      </w:r>
      <w:r w:rsidR="00B73D99" w:rsidRPr="00BB0D27">
        <w:rPr>
          <w:noProof/>
        </w:rPr>
        <w:t>ich</w:t>
      </w:r>
      <w:r w:rsidRPr="00BB0D27">
        <w:rPr>
          <w:noProof/>
        </w:rPr>
        <w:t xml:space="preserve"> wspólny zakres obejmował cały cykl życia produktu.</w:t>
      </w:r>
    </w:p>
    <w:p w:rsidR="00FA250B" w:rsidRPr="00BB0D27" w:rsidRDefault="00FA250B" w:rsidP="00F733C8">
      <w:pPr>
        <w:pStyle w:val="ManualHeading1"/>
        <w:rPr>
          <w:noProof/>
        </w:rPr>
      </w:pPr>
      <w:r w:rsidRPr="00BB0D27">
        <w:rPr>
          <w:noProof/>
        </w:rPr>
        <w:t>2.</w:t>
      </w:r>
      <w:r w:rsidRPr="00BB0D27">
        <w:rPr>
          <w:noProof/>
        </w:rPr>
        <w:tab/>
        <w:t>PODSTAWA PRAWNA, POMOCNICZOŚĆ I PROPORCJONALNOŚĆ</w:t>
      </w:r>
    </w:p>
    <w:p w:rsidR="00FA250B" w:rsidRPr="00BB0D27" w:rsidRDefault="00FA250B" w:rsidP="00F733C8">
      <w:pPr>
        <w:pStyle w:val="ManualHeading2"/>
        <w:rPr>
          <w:rFonts w:eastAsia="Arial Unicode MS"/>
          <w:noProof/>
          <w:u w:color="000000"/>
          <w:bdr w:val="nil"/>
        </w:rPr>
      </w:pPr>
      <w:r w:rsidRPr="00BB0D27">
        <w:rPr>
          <w:noProof/>
          <w:u w:color="000000"/>
          <w:bdr w:val="nil"/>
        </w:rPr>
        <w:t>•</w:t>
      </w:r>
      <w:r w:rsidRPr="00BB0D27">
        <w:rPr>
          <w:noProof/>
          <w:u w:color="000000"/>
          <w:bdr w:val="nil"/>
        </w:rPr>
        <w:tab/>
        <w:t>Podstawa prawna</w:t>
      </w:r>
    </w:p>
    <w:p w:rsidR="00824FE6" w:rsidRPr="00BB0D27" w:rsidRDefault="00824FE6" w:rsidP="00824FE6">
      <w:pPr>
        <w:spacing w:before="0" w:after="160" w:line="259" w:lineRule="auto"/>
        <w:contextualSpacing/>
        <w:rPr>
          <w:rFonts w:eastAsia="Calibri"/>
          <w:noProof/>
          <w:szCs w:val="24"/>
        </w:rPr>
      </w:pPr>
      <w:r w:rsidRPr="00BB0D27">
        <w:rPr>
          <w:noProof/>
        </w:rPr>
        <w:t xml:space="preserve">Podstawę prawną niniejszego wniosku stanowi </w:t>
      </w:r>
      <w:r w:rsidRPr="00B73D99">
        <w:rPr>
          <w:noProof/>
        </w:rPr>
        <w:t>art.</w:t>
      </w:r>
      <w:r w:rsidR="00B73D99" w:rsidRPr="00B73D99">
        <w:rPr>
          <w:noProof/>
        </w:rPr>
        <w:t> </w:t>
      </w:r>
      <w:r w:rsidRPr="00B73D99">
        <w:rPr>
          <w:noProof/>
        </w:rPr>
        <w:t>1</w:t>
      </w:r>
      <w:r w:rsidRPr="00BB0D27">
        <w:rPr>
          <w:noProof/>
        </w:rPr>
        <w:t>14 Traktatu</w:t>
      </w:r>
      <w:r w:rsidR="00B73D99" w:rsidRPr="00BB0D27">
        <w:rPr>
          <w:noProof/>
        </w:rPr>
        <w:t xml:space="preserve"> o</w:t>
      </w:r>
      <w:r w:rsidR="00B73D99">
        <w:rPr>
          <w:noProof/>
        </w:rPr>
        <w:t> </w:t>
      </w:r>
      <w:r w:rsidR="00B73D99" w:rsidRPr="00BB0D27">
        <w:rPr>
          <w:noProof/>
        </w:rPr>
        <w:t>fun</w:t>
      </w:r>
      <w:r w:rsidRPr="00BB0D27">
        <w:rPr>
          <w:noProof/>
        </w:rPr>
        <w:t>kcjonowaniu Unii Europejskiej (TFUE),</w:t>
      </w:r>
      <w:r w:rsidR="00B73D99" w:rsidRPr="00BB0D27">
        <w:rPr>
          <w:noProof/>
        </w:rPr>
        <w:t xml:space="preserve"> w</w:t>
      </w:r>
      <w:r w:rsidR="00B73D99">
        <w:rPr>
          <w:noProof/>
        </w:rPr>
        <w:t> </w:t>
      </w:r>
      <w:r w:rsidR="00B73D99" w:rsidRPr="00BB0D27">
        <w:rPr>
          <w:noProof/>
        </w:rPr>
        <w:t>któ</w:t>
      </w:r>
      <w:r w:rsidRPr="00BB0D27">
        <w:rPr>
          <w:noProof/>
        </w:rPr>
        <w:t>rym przewidziano przyjęcie środków mających na celu zapewnienie ustanowienia</w:t>
      </w:r>
      <w:r w:rsidR="00B73D99" w:rsidRPr="00BB0D27">
        <w:rPr>
          <w:noProof/>
        </w:rPr>
        <w:t xml:space="preserve"> i</w:t>
      </w:r>
      <w:r w:rsidR="00B73D99">
        <w:rPr>
          <w:noProof/>
        </w:rPr>
        <w:t> </w:t>
      </w:r>
      <w:r w:rsidR="00B73D99" w:rsidRPr="00BB0D27">
        <w:rPr>
          <w:noProof/>
        </w:rPr>
        <w:t>fun</w:t>
      </w:r>
      <w:r w:rsidRPr="00BB0D27">
        <w:rPr>
          <w:noProof/>
        </w:rPr>
        <w:t>kcjonowania rynku wewnętrznego. Niniejszy wniosek przyczynia się do lepszego funkcjonowania rynku wewnętrznego przez ustanowienie zharmonizowanego systemu przepisów dotyczących promowania napraw</w:t>
      </w:r>
      <w:r w:rsidR="00B73D99" w:rsidRPr="00BB0D27">
        <w:rPr>
          <w:noProof/>
        </w:rPr>
        <w:t xml:space="preserve"> w</w:t>
      </w:r>
      <w:r w:rsidR="00B73D99">
        <w:rPr>
          <w:noProof/>
        </w:rPr>
        <w:t> </w:t>
      </w:r>
      <w:r w:rsidR="00B73D99" w:rsidRPr="00BB0D27">
        <w:rPr>
          <w:noProof/>
        </w:rPr>
        <w:t>ram</w:t>
      </w:r>
      <w:r w:rsidRPr="00BB0D27">
        <w:rPr>
          <w:noProof/>
        </w:rPr>
        <w:t>ach gwarancji prawnej</w:t>
      </w:r>
      <w:r w:rsidR="00B73D99" w:rsidRPr="00BB0D27">
        <w:rPr>
          <w:noProof/>
        </w:rPr>
        <w:t xml:space="preserve"> i</w:t>
      </w:r>
      <w:r w:rsidR="00B73D99">
        <w:rPr>
          <w:noProof/>
        </w:rPr>
        <w:t> </w:t>
      </w:r>
      <w:r w:rsidR="00B73D99" w:rsidRPr="00BB0D27">
        <w:rPr>
          <w:noProof/>
        </w:rPr>
        <w:t>poz</w:t>
      </w:r>
      <w:r w:rsidRPr="00BB0D27">
        <w:rPr>
          <w:noProof/>
        </w:rPr>
        <w:t>a jej zakresem</w:t>
      </w:r>
      <w:r w:rsidR="00B73D99" w:rsidRPr="00BB0D27">
        <w:rPr>
          <w:noProof/>
        </w:rPr>
        <w:t xml:space="preserve"> w</w:t>
      </w:r>
      <w:r w:rsidR="00B73D99">
        <w:rPr>
          <w:noProof/>
        </w:rPr>
        <w:t> </w:t>
      </w:r>
      <w:r w:rsidR="00B73D99" w:rsidRPr="00BB0D27">
        <w:rPr>
          <w:noProof/>
        </w:rPr>
        <w:t>cel</w:t>
      </w:r>
      <w:r w:rsidRPr="00BB0D27">
        <w:rPr>
          <w:noProof/>
        </w:rPr>
        <w:t>u sprzedaży towarów konsumpcyjnych nabywanych przez konsumentów.</w:t>
      </w:r>
    </w:p>
    <w:p w:rsidR="00824FE6" w:rsidRPr="00BB0D27" w:rsidRDefault="00824FE6" w:rsidP="00824FE6">
      <w:pPr>
        <w:spacing w:before="0" w:after="160" w:line="259" w:lineRule="auto"/>
        <w:contextualSpacing/>
        <w:rPr>
          <w:rFonts w:eastAsia="Calibri"/>
          <w:noProof/>
          <w:szCs w:val="24"/>
        </w:rPr>
      </w:pPr>
    </w:p>
    <w:p w:rsidR="00824FE6" w:rsidRPr="00BB0D27" w:rsidRDefault="00824FE6" w:rsidP="00824FE6">
      <w:pPr>
        <w:spacing w:before="0" w:after="160" w:line="259" w:lineRule="auto"/>
        <w:contextualSpacing/>
        <w:rPr>
          <w:rFonts w:eastAsia="Calibri"/>
          <w:noProof/>
          <w:szCs w:val="24"/>
        </w:rPr>
      </w:pPr>
      <w:r w:rsidRPr="00BB0D27">
        <w:rPr>
          <w:noProof/>
        </w:rPr>
        <w:t>Dyrektywa</w:t>
      </w:r>
      <w:r w:rsidR="00B73D99" w:rsidRPr="00BB0D27">
        <w:rPr>
          <w:noProof/>
        </w:rPr>
        <w:t xml:space="preserve"> w</w:t>
      </w:r>
      <w:r w:rsidR="00B73D99">
        <w:rPr>
          <w:noProof/>
        </w:rPr>
        <w:t> </w:t>
      </w:r>
      <w:r w:rsidR="00B73D99" w:rsidRPr="00BB0D27">
        <w:rPr>
          <w:noProof/>
        </w:rPr>
        <w:t>spr</w:t>
      </w:r>
      <w:r w:rsidRPr="00BB0D27">
        <w:rPr>
          <w:noProof/>
        </w:rPr>
        <w:t>awie sprzedaży towarów przyczynia się do pełnej harmonizacji środków ochrony prawnej przysługujących konsumentowi</w:t>
      </w:r>
      <w:r w:rsidR="00B73D99" w:rsidRPr="00BB0D27">
        <w:rPr>
          <w:noProof/>
        </w:rPr>
        <w:t xml:space="preserve"> w</w:t>
      </w:r>
      <w:r w:rsidR="00B73D99">
        <w:rPr>
          <w:noProof/>
        </w:rPr>
        <w:t> </w:t>
      </w:r>
      <w:r w:rsidR="00B73D99" w:rsidRPr="00BB0D27">
        <w:rPr>
          <w:noProof/>
        </w:rPr>
        <w:t>ram</w:t>
      </w:r>
      <w:r w:rsidRPr="00BB0D27">
        <w:rPr>
          <w:noProof/>
        </w:rPr>
        <w:t>ach gwarancji prawnej</w:t>
      </w:r>
      <w:r w:rsidR="00B73D99" w:rsidRPr="00BB0D27">
        <w:rPr>
          <w:noProof/>
        </w:rPr>
        <w:t xml:space="preserve"> w</w:t>
      </w:r>
      <w:r w:rsidR="00B73D99">
        <w:rPr>
          <w:noProof/>
        </w:rPr>
        <w:t> </w:t>
      </w:r>
      <w:r w:rsidR="00B73D99" w:rsidRPr="00BB0D27">
        <w:rPr>
          <w:noProof/>
        </w:rPr>
        <w:t>prz</w:t>
      </w:r>
      <w:r w:rsidRPr="00BB0D27">
        <w:rPr>
          <w:noProof/>
        </w:rPr>
        <w:t>ypadku braku zgodności towarów</w:t>
      </w:r>
      <w:r w:rsidR="00B73D99" w:rsidRPr="00BB0D27">
        <w:rPr>
          <w:noProof/>
        </w:rPr>
        <w:t xml:space="preserve"> z</w:t>
      </w:r>
      <w:r w:rsidR="00B73D99">
        <w:rPr>
          <w:noProof/>
        </w:rPr>
        <w:t> </w:t>
      </w:r>
      <w:r w:rsidR="00B73D99" w:rsidRPr="00BB0D27">
        <w:rPr>
          <w:noProof/>
        </w:rPr>
        <w:t>umo</w:t>
      </w:r>
      <w:r w:rsidRPr="00BB0D27">
        <w:rPr>
          <w:noProof/>
        </w:rPr>
        <w:t>wą oraz warunków korzystania</w:t>
      </w:r>
      <w:r w:rsidR="00B73D99" w:rsidRPr="00BB0D27">
        <w:rPr>
          <w:noProof/>
        </w:rPr>
        <w:t xml:space="preserve"> z</w:t>
      </w:r>
      <w:r w:rsidR="00B73D99">
        <w:rPr>
          <w:noProof/>
        </w:rPr>
        <w:t> </w:t>
      </w:r>
      <w:r w:rsidR="00B73D99" w:rsidRPr="00BB0D27">
        <w:rPr>
          <w:noProof/>
        </w:rPr>
        <w:t>tak</w:t>
      </w:r>
      <w:r w:rsidRPr="00BB0D27">
        <w:rPr>
          <w:noProof/>
        </w:rPr>
        <w:t xml:space="preserve">ich środków. Przyjęto ją na podstawie </w:t>
      </w:r>
      <w:r w:rsidRPr="00B73D99">
        <w:rPr>
          <w:noProof/>
        </w:rPr>
        <w:t>art.</w:t>
      </w:r>
      <w:r w:rsidR="00B73D99" w:rsidRPr="00B73D99">
        <w:rPr>
          <w:noProof/>
        </w:rPr>
        <w:t> </w:t>
      </w:r>
      <w:r w:rsidRPr="00B73D99">
        <w:rPr>
          <w:noProof/>
        </w:rPr>
        <w:t>1</w:t>
      </w:r>
      <w:r w:rsidRPr="00BB0D27">
        <w:rPr>
          <w:noProof/>
        </w:rPr>
        <w:t>14 TFUE</w:t>
      </w:r>
      <w:r w:rsidR="00B73D99" w:rsidRPr="00BB0D27">
        <w:rPr>
          <w:noProof/>
        </w:rPr>
        <w:t xml:space="preserve"> w</w:t>
      </w:r>
      <w:r w:rsidR="00B73D99">
        <w:rPr>
          <w:noProof/>
        </w:rPr>
        <w:t> </w:t>
      </w:r>
      <w:r w:rsidR="00B73D99" w:rsidRPr="00BB0D27">
        <w:rPr>
          <w:noProof/>
        </w:rPr>
        <w:t>cel</w:t>
      </w:r>
      <w:r w:rsidRPr="00BB0D27">
        <w:rPr>
          <w:noProof/>
        </w:rPr>
        <w:t>u wniesienia wkładu</w:t>
      </w:r>
      <w:r w:rsidR="00B73D99" w:rsidRPr="00BB0D27">
        <w:rPr>
          <w:noProof/>
        </w:rPr>
        <w:t xml:space="preserve"> w</w:t>
      </w:r>
      <w:r w:rsidR="00B73D99">
        <w:rPr>
          <w:noProof/>
        </w:rPr>
        <w:t> </w:t>
      </w:r>
      <w:r w:rsidR="00B73D99" w:rsidRPr="00BB0D27">
        <w:rPr>
          <w:noProof/>
        </w:rPr>
        <w:t>fun</w:t>
      </w:r>
      <w:r w:rsidRPr="00BB0D27">
        <w:rPr>
          <w:noProof/>
        </w:rPr>
        <w:t>kcjonowanie rynku wewnętrznego przez usunięcie przeszkód związanych</w:t>
      </w:r>
      <w:r w:rsidR="00B73D99" w:rsidRPr="00BB0D27">
        <w:rPr>
          <w:noProof/>
        </w:rPr>
        <w:t xml:space="preserve"> z</w:t>
      </w:r>
      <w:r w:rsidR="00B73D99">
        <w:rPr>
          <w:noProof/>
        </w:rPr>
        <w:t> </w:t>
      </w:r>
      <w:r w:rsidR="00B73D99" w:rsidRPr="00BB0D27">
        <w:rPr>
          <w:noProof/>
        </w:rPr>
        <w:t>pra</w:t>
      </w:r>
      <w:r w:rsidRPr="00BB0D27">
        <w:rPr>
          <w:noProof/>
        </w:rPr>
        <w:t>wem zobowiązań</w:t>
      </w:r>
      <w:r w:rsidR="00B73D99" w:rsidRPr="00BB0D27">
        <w:rPr>
          <w:noProof/>
        </w:rPr>
        <w:t xml:space="preserve"> w</w:t>
      </w:r>
      <w:r w:rsidR="00B73D99">
        <w:rPr>
          <w:noProof/>
        </w:rPr>
        <w:t> </w:t>
      </w:r>
      <w:r w:rsidR="00B73D99" w:rsidRPr="00BB0D27">
        <w:rPr>
          <w:noProof/>
        </w:rPr>
        <w:t>zak</w:t>
      </w:r>
      <w:r w:rsidRPr="00BB0D27">
        <w:rPr>
          <w:noProof/>
        </w:rPr>
        <w:t>resie transgranicznej sprzedaży towarów nabywanych przez konsumentów w UE</w:t>
      </w:r>
      <w:r w:rsidR="00B73D99" w:rsidRPr="00BB0D27">
        <w:rPr>
          <w:noProof/>
        </w:rPr>
        <w:t>. W</w:t>
      </w:r>
      <w:r w:rsidR="00B73D99">
        <w:rPr>
          <w:noProof/>
        </w:rPr>
        <w:t> </w:t>
      </w:r>
      <w:r w:rsidR="00B73D99" w:rsidRPr="00BB0D27">
        <w:rPr>
          <w:noProof/>
        </w:rPr>
        <w:t>prz</w:t>
      </w:r>
      <w:r w:rsidRPr="00BB0D27">
        <w:rPr>
          <w:noProof/>
        </w:rPr>
        <w:t>edmiotowej dyrektywie</w:t>
      </w:r>
      <w:r w:rsidR="00B73D99" w:rsidRPr="00BB0D27">
        <w:rPr>
          <w:noProof/>
        </w:rPr>
        <w:t xml:space="preserve"> w</w:t>
      </w:r>
      <w:r w:rsidR="00B73D99">
        <w:rPr>
          <w:noProof/>
        </w:rPr>
        <w:t> </w:t>
      </w:r>
      <w:r w:rsidR="00B73D99" w:rsidRPr="00BB0D27">
        <w:rPr>
          <w:noProof/>
        </w:rPr>
        <w:t>spo</w:t>
      </w:r>
      <w:r w:rsidRPr="00BB0D27">
        <w:rPr>
          <w:noProof/>
        </w:rPr>
        <w:t>sób ukierunkowany wprowadzono zmiany</w:t>
      </w:r>
      <w:r w:rsidR="00B73D99" w:rsidRPr="00BB0D27">
        <w:rPr>
          <w:noProof/>
        </w:rPr>
        <w:t xml:space="preserve"> w</w:t>
      </w:r>
      <w:r w:rsidR="00B73D99">
        <w:rPr>
          <w:noProof/>
        </w:rPr>
        <w:t> </w:t>
      </w:r>
      <w:r w:rsidR="00B73D99" w:rsidRPr="00BB0D27">
        <w:rPr>
          <w:noProof/>
        </w:rPr>
        <w:t>wyb</w:t>
      </w:r>
      <w:r w:rsidRPr="00BB0D27">
        <w:rPr>
          <w:noProof/>
        </w:rPr>
        <w:t>orze między środkami ochrony prawnej</w:t>
      </w:r>
      <w:r w:rsidR="00B73D99" w:rsidRPr="00BB0D27">
        <w:rPr>
          <w:noProof/>
        </w:rPr>
        <w:t xml:space="preserve"> w</w:t>
      </w:r>
      <w:r w:rsidR="00B73D99">
        <w:rPr>
          <w:noProof/>
        </w:rPr>
        <w:t> </w:t>
      </w:r>
      <w:r w:rsidR="00B73D99" w:rsidRPr="00BB0D27">
        <w:rPr>
          <w:noProof/>
        </w:rPr>
        <w:t>pos</w:t>
      </w:r>
      <w:r w:rsidRPr="00BB0D27">
        <w:rPr>
          <w:noProof/>
        </w:rPr>
        <w:t>taci naprawy</w:t>
      </w:r>
      <w:r w:rsidR="00B73D99" w:rsidRPr="00BB0D27">
        <w:rPr>
          <w:noProof/>
        </w:rPr>
        <w:t xml:space="preserve"> i</w:t>
      </w:r>
      <w:r w:rsidR="00B73D99">
        <w:rPr>
          <w:noProof/>
        </w:rPr>
        <w:t> </w:t>
      </w:r>
      <w:r w:rsidR="00B73D99" w:rsidRPr="00BB0D27">
        <w:rPr>
          <w:noProof/>
        </w:rPr>
        <w:t>wym</w:t>
      </w:r>
      <w:r w:rsidRPr="00BB0D27">
        <w:rPr>
          <w:noProof/>
        </w:rPr>
        <w:t>iany</w:t>
      </w:r>
      <w:r w:rsidR="00B73D99" w:rsidRPr="00BB0D27">
        <w:rPr>
          <w:noProof/>
        </w:rPr>
        <w:t xml:space="preserve"> w</w:t>
      </w:r>
      <w:r w:rsidR="00B73D99">
        <w:rPr>
          <w:noProof/>
        </w:rPr>
        <w:t> </w:t>
      </w:r>
      <w:r w:rsidR="00B73D99" w:rsidRPr="00BB0D27">
        <w:rPr>
          <w:noProof/>
        </w:rPr>
        <w:t>cel</w:t>
      </w:r>
      <w:r w:rsidRPr="00BB0D27">
        <w:rPr>
          <w:noProof/>
        </w:rPr>
        <w:t>u promowania naprawy,</w:t>
      </w:r>
      <w:r w:rsidR="00B73D99" w:rsidRPr="00BB0D27">
        <w:rPr>
          <w:noProof/>
        </w:rPr>
        <w:t xml:space="preserve"> a</w:t>
      </w:r>
      <w:r w:rsidR="00B73D99">
        <w:rPr>
          <w:noProof/>
        </w:rPr>
        <w:t> </w:t>
      </w:r>
      <w:r w:rsidR="00B73D99" w:rsidRPr="00BB0D27">
        <w:rPr>
          <w:noProof/>
        </w:rPr>
        <w:t>tym</w:t>
      </w:r>
      <w:r w:rsidRPr="00BB0D27">
        <w:rPr>
          <w:noProof/>
        </w:rPr>
        <w:t xml:space="preserve"> samym bardziej zrównoważonej konsumpcji, przy wykorzystaniu tej samej podstawy prawnej, jaką jest </w:t>
      </w:r>
      <w:r w:rsidRPr="00B73D99">
        <w:rPr>
          <w:noProof/>
        </w:rPr>
        <w:t>art.</w:t>
      </w:r>
      <w:r w:rsidR="00B73D99" w:rsidRPr="00B73D99">
        <w:rPr>
          <w:noProof/>
        </w:rPr>
        <w:t> </w:t>
      </w:r>
      <w:r w:rsidRPr="00B73D99">
        <w:rPr>
          <w:noProof/>
        </w:rPr>
        <w:t>1</w:t>
      </w:r>
      <w:r w:rsidRPr="00BB0D27">
        <w:rPr>
          <w:noProof/>
        </w:rPr>
        <w:t xml:space="preserve">14 TFUE. </w:t>
      </w:r>
    </w:p>
    <w:p w:rsidR="00824FE6" w:rsidRPr="00BB0D27" w:rsidRDefault="02032184" w:rsidP="00824FE6">
      <w:pPr>
        <w:tabs>
          <w:tab w:val="left" w:pos="2302"/>
        </w:tabs>
        <w:spacing w:before="0" w:after="200" w:line="276" w:lineRule="auto"/>
        <w:rPr>
          <w:rFonts w:eastAsia="Times New Roman"/>
          <w:noProof/>
          <w:szCs w:val="24"/>
        </w:rPr>
      </w:pPr>
      <w:r w:rsidRPr="00BB0D27">
        <w:rPr>
          <w:noProof/>
        </w:rPr>
        <w:t>Oprócz dyrektywy</w:t>
      </w:r>
      <w:r w:rsidR="00B73D99" w:rsidRPr="00BB0D27">
        <w:rPr>
          <w:noProof/>
        </w:rPr>
        <w:t xml:space="preserve"> w</w:t>
      </w:r>
      <w:r w:rsidR="00B73D99">
        <w:rPr>
          <w:noProof/>
        </w:rPr>
        <w:t> </w:t>
      </w:r>
      <w:r w:rsidR="00B73D99" w:rsidRPr="00BB0D27">
        <w:rPr>
          <w:noProof/>
        </w:rPr>
        <w:t>spr</w:t>
      </w:r>
      <w:r w:rsidRPr="00BB0D27">
        <w:rPr>
          <w:noProof/>
        </w:rPr>
        <w:t>awie sprzedaży towarów poszczególne państwa członkowskie wprowadziły już przepisy dotyczące promowania naprawy</w:t>
      </w:r>
      <w:r w:rsidR="00B73D99" w:rsidRPr="00BB0D27">
        <w:rPr>
          <w:noProof/>
        </w:rPr>
        <w:t xml:space="preserve"> i</w:t>
      </w:r>
      <w:r w:rsidR="00B73D99">
        <w:rPr>
          <w:noProof/>
        </w:rPr>
        <w:t> </w:t>
      </w:r>
      <w:r w:rsidR="00B73D99" w:rsidRPr="00BB0D27">
        <w:rPr>
          <w:noProof/>
        </w:rPr>
        <w:t>pon</w:t>
      </w:r>
      <w:r w:rsidRPr="00BB0D27">
        <w:rPr>
          <w:noProof/>
        </w:rPr>
        <w:t>ownego wykorzystania towarów nabytych przez konsumentów lub rozważają wprowadzenie tych przepisów. Zróżnicowane przepisy krajowe obowiązujące</w:t>
      </w:r>
      <w:r w:rsidR="00B73D99" w:rsidRPr="00BB0D27">
        <w:rPr>
          <w:noProof/>
        </w:rPr>
        <w:t xml:space="preserve"> w</w:t>
      </w:r>
      <w:r w:rsidR="00B73D99">
        <w:rPr>
          <w:noProof/>
        </w:rPr>
        <w:t> </w:t>
      </w:r>
      <w:r w:rsidR="00B73D99" w:rsidRPr="00BB0D27">
        <w:rPr>
          <w:noProof/>
        </w:rPr>
        <w:t>zak</w:t>
      </w:r>
      <w:r w:rsidRPr="00BB0D27">
        <w:rPr>
          <w:noProof/>
        </w:rPr>
        <w:t>resie promowania zrównoważonej konsumpcji</w:t>
      </w:r>
      <w:r w:rsidR="00B73D99" w:rsidRPr="00BB0D27">
        <w:rPr>
          <w:noProof/>
        </w:rPr>
        <w:t xml:space="preserve"> w</w:t>
      </w:r>
      <w:r w:rsidR="00B73D99">
        <w:rPr>
          <w:noProof/>
        </w:rPr>
        <w:t> </w:t>
      </w:r>
      <w:r w:rsidR="00B73D99" w:rsidRPr="00BB0D27">
        <w:rPr>
          <w:noProof/>
        </w:rPr>
        <w:t>kon</w:t>
      </w:r>
      <w:r w:rsidRPr="00BB0D27">
        <w:rPr>
          <w:noProof/>
        </w:rPr>
        <w:t>tekście umów stanowią rzeczywiste lub potencjalne przeszkody dla sprawnego funkcjonowania rynku wewnętrznego, niekorzystnie wpływając na transakcje transgraniczne na rynku wewnętrznym. Na przykład podmioty gospodarcze mogą być narażone na dodatkowe koszty transakcji związane</w:t>
      </w:r>
      <w:r w:rsidR="00B73D99" w:rsidRPr="00BB0D27">
        <w:rPr>
          <w:noProof/>
        </w:rPr>
        <w:t xml:space="preserve"> z</w:t>
      </w:r>
      <w:r w:rsidR="00B73D99">
        <w:rPr>
          <w:noProof/>
        </w:rPr>
        <w:t> </w:t>
      </w:r>
      <w:r w:rsidR="00B73D99" w:rsidRPr="00BB0D27">
        <w:rPr>
          <w:noProof/>
        </w:rPr>
        <w:t>uzy</w:t>
      </w:r>
      <w:r w:rsidRPr="00BB0D27">
        <w:rPr>
          <w:noProof/>
        </w:rPr>
        <w:t>skaniem niezbędnej porady prawnej</w:t>
      </w:r>
      <w:r w:rsidR="00B73D99" w:rsidRPr="00BB0D27">
        <w:rPr>
          <w:noProof/>
        </w:rPr>
        <w:t xml:space="preserve"> w</w:t>
      </w:r>
      <w:r w:rsidR="00B73D99">
        <w:rPr>
          <w:noProof/>
        </w:rPr>
        <w:t> </w:t>
      </w:r>
      <w:r w:rsidR="00B73D99" w:rsidRPr="00BB0D27">
        <w:rPr>
          <w:noProof/>
        </w:rPr>
        <w:t>cel</w:t>
      </w:r>
      <w:r w:rsidRPr="00BB0D27">
        <w:rPr>
          <w:noProof/>
        </w:rPr>
        <w:t>u poznania wymogów określonych</w:t>
      </w:r>
      <w:r w:rsidR="00B73D99" w:rsidRPr="00BB0D27">
        <w:rPr>
          <w:noProof/>
        </w:rPr>
        <w:t xml:space="preserve"> w</w:t>
      </w:r>
      <w:r w:rsidR="00B73D99">
        <w:rPr>
          <w:noProof/>
        </w:rPr>
        <w:t> </w:t>
      </w:r>
      <w:r w:rsidR="00B73D99" w:rsidRPr="00BB0D27">
        <w:rPr>
          <w:noProof/>
        </w:rPr>
        <w:t>pra</w:t>
      </w:r>
      <w:r w:rsidRPr="00BB0D27">
        <w:rPr>
          <w:noProof/>
        </w:rPr>
        <w:t>wie państwa zwykłego miejsca pobytu konsumenta, mających zastosowanie zgodnie</w:t>
      </w:r>
      <w:r w:rsidR="00B73D99" w:rsidRPr="00BB0D27">
        <w:rPr>
          <w:noProof/>
        </w:rPr>
        <w:t xml:space="preserve"> z</w:t>
      </w:r>
      <w:r w:rsidR="00B73D99">
        <w:rPr>
          <w:noProof/>
        </w:rPr>
        <w:t> </w:t>
      </w:r>
      <w:r w:rsidR="00B73D99" w:rsidRPr="00BB0D27">
        <w:rPr>
          <w:noProof/>
        </w:rPr>
        <w:t>roz</w:t>
      </w:r>
      <w:r w:rsidRPr="00BB0D27">
        <w:rPr>
          <w:noProof/>
        </w:rPr>
        <w:t xml:space="preserve">porządzeniem (WE) </w:t>
      </w:r>
      <w:r w:rsidRPr="00B73D99">
        <w:rPr>
          <w:noProof/>
        </w:rPr>
        <w:t>nr</w:t>
      </w:r>
      <w:r w:rsidR="00B73D99" w:rsidRPr="00B73D99">
        <w:rPr>
          <w:noProof/>
        </w:rPr>
        <w:t> </w:t>
      </w:r>
      <w:r w:rsidRPr="00B73D99">
        <w:rPr>
          <w:noProof/>
        </w:rPr>
        <w:t>5</w:t>
      </w:r>
      <w:r w:rsidRPr="00BB0D27">
        <w:rPr>
          <w:noProof/>
        </w:rPr>
        <w:t>93/2008</w:t>
      </w:r>
      <w:r w:rsidR="00511CD3" w:rsidRPr="00BB0D27">
        <w:rPr>
          <w:rStyle w:val="FootnoteReference"/>
          <w:rFonts w:eastAsia="Times New Roman"/>
          <w:noProof/>
        </w:rPr>
        <w:footnoteReference w:id="8"/>
      </w:r>
      <w:r w:rsidRPr="00BB0D27">
        <w:rPr>
          <w:noProof/>
        </w:rPr>
        <w:t>. Dostawcy usług naprawczych mogą być zniechęcani do oferowania swoich usług</w:t>
      </w:r>
      <w:r w:rsidR="00B73D99" w:rsidRPr="00BB0D27">
        <w:rPr>
          <w:noProof/>
        </w:rPr>
        <w:t xml:space="preserve"> w</w:t>
      </w:r>
      <w:r w:rsidR="00B73D99">
        <w:rPr>
          <w:noProof/>
        </w:rPr>
        <w:t> </w:t>
      </w:r>
      <w:r w:rsidR="00B73D99" w:rsidRPr="00BB0D27">
        <w:rPr>
          <w:noProof/>
        </w:rPr>
        <w:t>wię</w:t>
      </w:r>
      <w:r w:rsidRPr="00BB0D27">
        <w:rPr>
          <w:noProof/>
        </w:rPr>
        <w:t xml:space="preserve">cej niż jednym państwie członkowskim, ponieważ musieliby odpowiednio dostosować swoje umowy naprawy. </w:t>
      </w:r>
    </w:p>
    <w:p w:rsidR="00824FE6" w:rsidRPr="00BB0D27" w:rsidRDefault="00824FE6" w:rsidP="00824FE6">
      <w:pPr>
        <w:spacing w:before="0" w:after="160" w:line="259" w:lineRule="auto"/>
        <w:rPr>
          <w:rFonts w:eastAsia="Calibri"/>
          <w:noProof/>
          <w:szCs w:val="24"/>
        </w:rPr>
      </w:pPr>
      <w:r w:rsidRPr="00BB0D27">
        <w:rPr>
          <w:noProof/>
        </w:rPr>
        <w:t>Ponadto zróżnicowane przepisy krajowe</w:t>
      </w:r>
      <w:r w:rsidR="00B73D99" w:rsidRPr="00BB0D27">
        <w:rPr>
          <w:noProof/>
        </w:rPr>
        <w:t xml:space="preserve"> i</w:t>
      </w:r>
      <w:r w:rsidR="00B73D99">
        <w:rPr>
          <w:noProof/>
        </w:rPr>
        <w:t> </w:t>
      </w:r>
      <w:r w:rsidR="00B73D99" w:rsidRPr="00BB0D27">
        <w:rPr>
          <w:noProof/>
        </w:rPr>
        <w:t>wyn</w:t>
      </w:r>
      <w:r w:rsidRPr="00BB0D27">
        <w:rPr>
          <w:noProof/>
        </w:rPr>
        <w:t>ikające</w:t>
      </w:r>
      <w:r w:rsidR="00B73D99" w:rsidRPr="00BB0D27">
        <w:rPr>
          <w:noProof/>
        </w:rPr>
        <w:t xml:space="preserve"> z</w:t>
      </w:r>
      <w:r w:rsidR="00B73D99">
        <w:rPr>
          <w:noProof/>
        </w:rPr>
        <w:t> </w:t>
      </w:r>
      <w:r w:rsidR="00B73D99" w:rsidRPr="00BB0D27">
        <w:rPr>
          <w:noProof/>
        </w:rPr>
        <w:t>nic</w:t>
      </w:r>
      <w:r w:rsidRPr="00BB0D27">
        <w:rPr>
          <w:noProof/>
        </w:rPr>
        <w:t>h różnice</w:t>
      </w:r>
      <w:r w:rsidR="00B73D99" w:rsidRPr="00BB0D27">
        <w:rPr>
          <w:noProof/>
        </w:rPr>
        <w:t xml:space="preserve"> w</w:t>
      </w:r>
      <w:r w:rsidR="00B73D99">
        <w:rPr>
          <w:noProof/>
        </w:rPr>
        <w:t> </w:t>
      </w:r>
      <w:r w:rsidR="00B73D99" w:rsidRPr="00BB0D27">
        <w:rPr>
          <w:noProof/>
        </w:rPr>
        <w:t>pra</w:t>
      </w:r>
      <w:r w:rsidRPr="00BB0D27">
        <w:rPr>
          <w:noProof/>
        </w:rPr>
        <w:t>ktykach rynkowych skutkują niewielką przejrzystością możliwości</w:t>
      </w:r>
      <w:r w:rsidR="00B73D99" w:rsidRPr="00BB0D27">
        <w:rPr>
          <w:noProof/>
        </w:rPr>
        <w:t xml:space="preserve"> i</w:t>
      </w:r>
      <w:r w:rsidR="00B73D99">
        <w:rPr>
          <w:noProof/>
        </w:rPr>
        <w:t> </w:t>
      </w:r>
      <w:r w:rsidR="00B73D99" w:rsidRPr="00BB0D27">
        <w:rPr>
          <w:noProof/>
        </w:rPr>
        <w:t>war</w:t>
      </w:r>
      <w:r w:rsidRPr="00BB0D27">
        <w:rPr>
          <w:noProof/>
        </w:rPr>
        <w:t>unków naprawy. Zniechęci to konsumentów do korzystania</w:t>
      </w:r>
      <w:r w:rsidR="00B73D99" w:rsidRPr="00BB0D27">
        <w:rPr>
          <w:noProof/>
        </w:rPr>
        <w:t xml:space="preserve"> z</w:t>
      </w:r>
      <w:r w:rsidR="00B73D99">
        <w:rPr>
          <w:noProof/>
        </w:rPr>
        <w:t> </w:t>
      </w:r>
      <w:r w:rsidR="00B73D99" w:rsidRPr="00BB0D27">
        <w:rPr>
          <w:noProof/>
        </w:rPr>
        <w:t>usł</w:t>
      </w:r>
      <w:r w:rsidRPr="00BB0D27">
        <w:rPr>
          <w:noProof/>
        </w:rPr>
        <w:t>ug naprawczych,</w:t>
      </w:r>
      <w:r w:rsidR="00B73D99" w:rsidRPr="00BB0D27">
        <w:rPr>
          <w:noProof/>
        </w:rPr>
        <w:t xml:space="preserve"> w</w:t>
      </w:r>
      <w:r w:rsidR="00B73D99">
        <w:rPr>
          <w:noProof/>
        </w:rPr>
        <w:t> </w:t>
      </w:r>
      <w:r w:rsidR="00B73D99" w:rsidRPr="00BB0D27">
        <w:rPr>
          <w:noProof/>
        </w:rPr>
        <w:t>szc</w:t>
      </w:r>
      <w:r w:rsidRPr="00BB0D27">
        <w:rPr>
          <w:noProof/>
        </w:rPr>
        <w:t>zególności</w:t>
      </w:r>
      <w:r w:rsidR="00B73D99" w:rsidRPr="00BB0D27">
        <w:rPr>
          <w:noProof/>
        </w:rPr>
        <w:t xml:space="preserve"> w</w:t>
      </w:r>
      <w:r w:rsidR="00B73D99">
        <w:rPr>
          <w:noProof/>
        </w:rPr>
        <w:t> </w:t>
      </w:r>
      <w:r w:rsidR="00B73D99" w:rsidRPr="00BB0D27">
        <w:rPr>
          <w:noProof/>
        </w:rPr>
        <w:t>wym</w:t>
      </w:r>
      <w:r w:rsidRPr="00BB0D27">
        <w:rPr>
          <w:noProof/>
        </w:rPr>
        <w:t>iarze transgranicznym, ponieważ</w:t>
      </w:r>
      <w:r w:rsidR="00B73D99" w:rsidRPr="00BB0D27">
        <w:rPr>
          <w:noProof/>
        </w:rPr>
        <w:t xml:space="preserve"> w</w:t>
      </w:r>
      <w:r w:rsidR="00B73D99">
        <w:rPr>
          <w:noProof/>
        </w:rPr>
        <w:t> </w:t>
      </w:r>
      <w:r w:rsidR="00B73D99" w:rsidRPr="00BB0D27">
        <w:rPr>
          <w:noProof/>
        </w:rPr>
        <w:t>prz</w:t>
      </w:r>
      <w:r w:rsidRPr="00BB0D27">
        <w:rPr>
          <w:noProof/>
        </w:rPr>
        <w:t>ypadku braku zharmonizowanych przepisów złożoność transakcji transgranicznych jest jeszcze większa niż</w:t>
      </w:r>
      <w:r w:rsidR="00B73D99" w:rsidRPr="00BB0D27">
        <w:rPr>
          <w:noProof/>
        </w:rPr>
        <w:t xml:space="preserve"> w</w:t>
      </w:r>
      <w:r w:rsidR="00B73D99">
        <w:rPr>
          <w:noProof/>
        </w:rPr>
        <w:t> </w:t>
      </w:r>
      <w:r w:rsidR="00B73D99" w:rsidRPr="00BB0D27">
        <w:rPr>
          <w:noProof/>
        </w:rPr>
        <w:t>kon</w:t>
      </w:r>
      <w:r w:rsidRPr="00BB0D27">
        <w:rPr>
          <w:noProof/>
        </w:rPr>
        <w:t>tekście krajowym. Wynikający</w:t>
      </w:r>
      <w:r w:rsidR="00B73D99" w:rsidRPr="00BB0D27">
        <w:rPr>
          <w:noProof/>
        </w:rPr>
        <w:t xml:space="preserve"> z</w:t>
      </w:r>
      <w:r w:rsidR="00B73D99">
        <w:rPr>
          <w:noProof/>
        </w:rPr>
        <w:t> </w:t>
      </w:r>
      <w:r w:rsidR="00B73D99" w:rsidRPr="00BB0D27">
        <w:rPr>
          <w:noProof/>
        </w:rPr>
        <w:t>teg</w:t>
      </w:r>
      <w:r w:rsidRPr="00BB0D27">
        <w:rPr>
          <w:noProof/>
        </w:rPr>
        <w:t>o ograniczony popyt konsumentów utrudnia rozwój usług naprawczych, szczególnie</w:t>
      </w:r>
      <w:r w:rsidR="00B73D99" w:rsidRPr="00BB0D27">
        <w:rPr>
          <w:noProof/>
        </w:rPr>
        <w:t xml:space="preserve"> w</w:t>
      </w:r>
      <w:r w:rsidR="00B73D99">
        <w:rPr>
          <w:noProof/>
        </w:rPr>
        <w:t> </w:t>
      </w:r>
      <w:r w:rsidR="00B73D99" w:rsidRPr="00BB0D27">
        <w:rPr>
          <w:noProof/>
        </w:rPr>
        <w:t>wym</w:t>
      </w:r>
      <w:r w:rsidRPr="00BB0D27">
        <w:rPr>
          <w:noProof/>
        </w:rPr>
        <w:t>iarze transgranicznym</w:t>
      </w:r>
      <w:r w:rsidR="00B73D99" w:rsidRPr="00BB0D27">
        <w:rPr>
          <w:noProof/>
        </w:rPr>
        <w:t>. W</w:t>
      </w:r>
      <w:r w:rsidR="00B73D99">
        <w:rPr>
          <w:noProof/>
        </w:rPr>
        <w:t> </w:t>
      </w:r>
      <w:r w:rsidR="00B73D99" w:rsidRPr="00BB0D27">
        <w:rPr>
          <w:noProof/>
        </w:rPr>
        <w:t>mia</w:t>
      </w:r>
      <w:r w:rsidRPr="00BB0D27">
        <w:rPr>
          <w:noProof/>
        </w:rPr>
        <w:t>rę rozwoju technologii cyfrowych</w:t>
      </w:r>
      <w:r w:rsidR="00B73D99" w:rsidRPr="00BB0D27">
        <w:rPr>
          <w:noProof/>
        </w:rPr>
        <w:t xml:space="preserve"> i</w:t>
      </w:r>
      <w:r w:rsidR="00B73D99">
        <w:rPr>
          <w:noProof/>
        </w:rPr>
        <w:t> </w:t>
      </w:r>
      <w:r w:rsidR="00B73D99" w:rsidRPr="00BB0D27">
        <w:rPr>
          <w:noProof/>
        </w:rPr>
        <w:t>poj</w:t>
      </w:r>
      <w:r w:rsidRPr="00BB0D27">
        <w:rPr>
          <w:noProof/>
        </w:rPr>
        <w:t>awiania się coraz większej liczby towarów</w:t>
      </w:r>
      <w:r w:rsidR="00B73D99" w:rsidRPr="00BB0D27">
        <w:rPr>
          <w:noProof/>
        </w:rPr>
        <w:t xml:space="preserve"> o</w:t>
      </w:r>
      <w:r w:rsidR="00B73D99">
        <w:rPr>
          <w:noProof/>
        </w:rPr>
        <w:t> </w:t>
      </w:r>
      <w:r w:rsidR="00B73D99" w:rsidRPr="00BB0D27">
        <w:rPr>
          <w:noProof/>
        </w:rPr>
        <w:t>fun</w:t>
      </w:r>
      <w:r w:rsidRPr="00BB0D27">
        <w:rPr>
          <w:noProof/>
        </w:rPr>
        <w:t>kcjach cyfrowych, które są dostępne zdalnie, usługi naprawcze świadczone na odległość</w:t>
      </w:r>
      <w:r w:rsidR="00B73D99" w:rsidRPr="00BB0D27">
        <w:rPr>
          <w:noProof/>
        </w:rPr>
        <w:t xml:space="preserve"> i</w:t>
      </w:r>
      <w:r w:rsidR="00B73D99">
        <w:rPr>
          <w:noProof/>
        </w:rPr>
        <w:t> </w:t>
      </w:r>
      <w:r w:rsidR="00B73D99" w:rsidRPr="00BB0D27">
        <w:rPr>
          <w:noProof/>
        </w:rPr>
        <w:t>w</w:t>
      </w:r>
      <w:r w:rsidR="00B73D99">
        <w:rPr>
          <w:noProof/>
        </w:rPr>
        <w:t> </w:t>
      </w:r>
      <w:r w:rsidR="00B73D99" w:rsidRPr="00BB0D27">
        <w:rPr>
          <w:noProof/>
        </w:rPr>
        <w:t>wym</w:t>
      </w:r>
      <w:r w:rsidRPr="00BB0D27">
        <w:rPr>
          <w:noProof/>
        </w:rPr>
        <w:t>iarze transgranicznym prawdopodobnie rozwiną się jeszcze bardziej</w:t>
      </w:r>
      <w:r w:rsidR="00B73D99" w:rsidRPr="00BB0D27">
        <w:rPr>
          <w:noProof/>
        </w:rPr>
        <w:t xml:space="preserve"> w</w:t>
      </w:r>
      <w:r w:rsidR="00B73D99">
        <w:rPr>
          <w:noProof/>
        </w:rPr>
        <w:t> </w:t>
      </w:r>
      <w:r w:rsidR="00B73D99" w:rsidRPr="00BB0D27">
        <w:rPr>
          <w:noProof/>
        </w:rPr>
        <w:t>prz</w:t>
      </w:r>
      <w:r w:rsidRPr="00BB0D27">
        <w:rPr>
          <w:noProof/>
        </w:rPr>
        <w:t>yszłości. Przeszkody, które osłabiają popyt konsumentów na naprawę, pośrednio przyczyniają się również do osłabienia transgranicznego przepływu towarów, takich jak części zamienne</w:t>
      </w:r>
      <w:r w:rsidR="00B73D99" w:rsidRPr="00BB0D27">
        <w:rPr>
          <w:noProof/>
        </w:rPr>
        <w:t xml:space="preserve"> i</w:t>
      </w:r>
      <w:r w:rsidR="00B73D99">
        <w:rPr>
          <w:noProof/>
        </w:rPr>
        <w:t> </w:t>
      </w:r>
      <w:r w:rsidR="00B73D99" w:rsidRPr="00BB0D27">
        <w:rPr>
          <w:noProof/>
        </w:rPr>
        <w:t>spr</w:t>
      </w:r>
      <w:r w:rsidRPr="00BB0D27">
        <w:rPr>
          <w:noProof/>
        </w:rPr>
        <w:t xml:space="preserve">zęt do napraw, które są niezbędne do świadczenia usług naprawczych. </w:t>
      </w:r>
    </w:p>
    <w:p w:rsidR="00824FE6" w:rsidRPr="00BB0D27" w:rsidRDefault="000758BB" w:rsidP="00824FE6">
      <w:pPr>
        <w:spacing w:before="0" w:after="160" w:line="259" w:lineRule="auto"/>
        <w:rPr>
          <w:rFonts w:eastAsia="Calibri"/>
          <w:noProof/>
          <w:szCs w:val="24"/>
        </w:rPr>
      </w:pPr>
      <w:r w:rsidRPr="00BB0D27">
        <w:rPr>
          <w:noProof/>
        </w:rPr>
        <w:t>Konieczna jest zatem harmonizacja określonych aspektów naprawy będących poza zakresem istniejącej odpowiedzialności sprzedawcy</w:t>
      </w:r>
      <w:r w:rsidR="00B73D99" w:rsidRPr="00BB0D27">
        <w:rPr>
          <w:noProof/>
        </w:rPr>
        <w:t xml:space="preserve"> w</w:t>
      </w:r>
      <w:r w:rsidR="00B73D99">
        <w:rPr>
          <w:noProof/>
        </w:rPr>
        <w:t> </w:t>
      </w:r>
      <w:r w:rsidR="00B73D99" w:rsidRPr="00BB0D27">
        <w:rPr>
          <w:noProof/>
        </w:rPr>
        <w:t>cel</w:t>
      </w:r>
      <w:r w:rsidRPr="00BB0D27">
        <w:rPr>
          <w:noProof/>
        </w:rPr>
        <w:t>u zapewnienia funkcjonowania jednolitego rynku</w:t>
      </w:r>
      <w:r w:rsidR="00B73D99" w:rsidRPr="00BB0D27">
        <w:rPr>
          <w:noProof/>
        </w:rPr>
        <w:t xml:space="preserve"> w</w:t>
      </w:r>
      <w:r w:rsidR="00B73D99">
        <w:rPr>
          <w:noProof/>
        </w:rPr>
        <w:t> </w:t>
      </w:r>
      <w:r w:rsidR="00B73D99" w:rsidRPr="00BB0D27">
        <w:rPr>
          <w:noProof/>
        </w:rPr>
        <w:t>zak</w:t>
      </w:r>
      <w:r w:rsidRPr="00BB0D27">
        <w:rPr>
          <w:noProof/>
        </w:rPr>
        <w:t>resie relacji między konsumentem</w:t>
      </w:r>
      <w:r w:rsidR="00B73D99" w:rsidRPr="00BB0D27">
        <w:rPr>
          <w:noProof/>
        </w:rPr>
        <w:t xml:space="preserve"> a</w:t>
      </w:r>
      <w:r w:rsidR="00B73D99">
        <w:rPr>
          <w:noProof/>
        </w:rPr>
        <w:t> </w:t>
      </w:r>
      <w:r w:rsidR="00B73D99" w:rsidRPr="00BB0D27">
        <w:rPr>
          <w:noProof/>
        </w:rPr>
        <w:t>pod</w:t>
      </w:r>
      <w:r w:rsidRPr="00BB0D27">
        <w:rPr>
          <w:noProof/>
        </w:rPr>
        <w:t>miotem zajmującym się naprawą, zwiększenia pewności prawa</w:t>
      </w:r>
      <w:r w:rsidR="00B73D99" w:rsidRPr="00BB0D27">
        <w:rPr>
          <w:noProof/>
        </w:rPr>
        <w:t xml:space="preserve"> i</w:t>
      </w:r>
      <w:r w:rsidR="00B73D99">
        <w:rPr>
          <w:noProof/>
        </w:rPr>
        <w:t> </w:t>
      </w:r>
      <w:r w:rsidR="00B73D99" w:rsidRPr="00BB0D27">
        <w:rPr>
          <w:noProof/>
        </w:rPr>
        <w:t>zmn</w:t>
      </w:r>
      <w:r w:rsidRPr="00BB0D27">
        <w:rPr>
          <w:noProof/>
        </w:rPr>
        <w:t>iejszenia kosztów transakcji,</w:t>
      </w:r>
      <w:r w:rsidR="00B73D99" w:rsidRPr="00BB0D27">
        <w:rPr>
          <w:noProof/>
        </w:rPr>
        <w:t xml:space="preserve"> w</w:t>
      </w:r>
      <w:r w:rsidR="00B73D99">
        <w:rPr>
          <w:noProof/>
        </w:rPr>
        <w:t> </w:t>
      </w:r>
      <w:r w:rsidR="00B73D99" w:rsidRPr="00BB0D27">
        <w:rPr>
          <w:noProof/>
        </w:rPr>
        <w:t>szc</w:t>
      </w:r>
      <w:r w:rsidRPr="00BB0D27">
        <w:rPr>
          <w:noProof/>
        </w:rPr>
        <w:t>zególności</w:t>
      </w:r>
      <w:r w:rsidR="00B73D99" w:rsidRPr="00BB0D27">
        <w:rPr>
          <w:noProof/>
        </w:rPr>
        <w:t xml:space="preserve"> w</w:t>
      </w:r>
      <w:r w:rsidR="00B73D99">
        <w:rPr>
          <w:noProof/>
        </w:rPr>
        <w:t> </w:t>
      </w:r>
      <w:r w:rsidR="00B73D99" w:rsidRPr="00BB0D27">
        <w:rPr>
          <w:noProof/>
        </w:rPr>
        <w:t>prz</w:t>
      </w:r>
      <w:r w:rsidRPr="00BB0D27">
        <w:rPr>
          <w:noProof/>
        </w:rPr>
        <w:t>ypadku małych</w:t>
      </w:r>
      <w:r w:rsidR="00B73D99" w:rsidRPr="00BB0D27">
        <w:rPr>
          <w:noProof/>
        </w:rPr>
        <w:t xml:space="preserve"> i</w:t>
      </w:r>
      <w:r w:rsidR="00B73D99">
        <w:rPr>
          <w:noProof/>
        </w:rPr>
        <w:t> </w:t>
      </w:r>
      <w:r w:rsidR="00B73D99" w:rsidRPr="00BB0D27">
        <w:rPr>
          <w:noProof/>
        </w:rPr>
        <w:t>śre</w:t>
      </w:r>
      <w:r w:rsidRPr="00BB0D27">
        <w:rPr>
          <w:noProof/>
        </w:rPr>
        <w:t>dnich przedsiębiorstw reprezentowanych głównie</w:t>
      </w:r>
      <w:r w:rsidR="00B73D99" w:rsidRPr="00BB0D27">
        <w:rPr>
          <w:noProof/>
        </w:rPr>
        <w:t xml:space="preserve"> w</w:t>
      </w:r>
      <w:r w:rsidR="00B73D99">
        <w:rPr>
          <w:noProof/>
        </w:rPr>
        <w:t> </w:t>
      </w:r>
      <w:r w:rsidR="00B73D99" w:rsidRPr="00BB0D27">
        <w:rPr>
          <w:noProof/>
        </w:rPr>
        <w:t>sek</w:t>
      </w:r>
      <w:r w:rsidRPr="00BB0D27">
        <w:rPr>
          <w:noProof/>
        </w:rPr>
        <w:t xml:space="preserve">torze napraw. </w:t>
      </w:r>
    </w:p>
    <w:p w:rsidR="00824FE6" w:rsidRPr="00BB0D27" w:rsidRDefault="00824FE6" w:rsidP="00824FE6">
      <w:pPr>
        <w:spacing w:before="0" w:after="160" w:line="259" w:lineRule="auto"/>
        <w:rPr>
          <w:rFonts w:eastAsia="Calibri"/>
          <w:noProof/>
          <w:szCs w:val="24"/>
        </w:rPr>
      </w:pPr>
      <w:r w:rsidRPr="00BB0D27">
        <w:rPr>
          <w:noProof/>
        </w:rPr>
        <w:t>Zgodnie</w:t>
      </w:r>
      <w:r w:rsidR="00B73D99" w:rsidRPr="00BB0D27">
        <w:rPr>
          <w:noProof/>
        </w:rPr>
        <w:t xml:space="preserve"> z</w:t>
      </w:r>
      <w:r w:rsidR="00B73D99">
        <w:rPr>
          <w:noProof/>
        </w:rPr>
        <w:t> </w:t>
      </w:r>
      <w:r w:rsidR="00B73D99" w:rsidRPr="00B73D99">
        <w:rPr>
          <w:noProof/>
        </w:rPr>
        <w:t>art</w:t>
      </w:r>
      <w:r w:rsidRPr="00B73D99">
        <w:rPr>
          <w:noProof/>
        </w:rPr>
        <w:t>.</w:t>
      </w:r>
      <w:r w:rsidR="00B73D99" w:rsidRPr="00B73D99">
        <w:rPr>
          <w:noProof/>
        </w:rPr>
        <w:t> </w:t>
      </w:r>
      <w:r w:rsidRPr="00B73D99">
        <w:rPr>
          <w:noProof/>
        </w:rPr>
        <w:t>1</w:t>
      </w:r>
      <w:r w:rsidRPr="00BB0D27">
        <w:rPr>
          <w:noProof/>
        </w:rPr>
        <w:t xml:space="preserve">14 </w:t>
      </w:r>
      <w:r w:rsidRPr="00B73D99">
        <w:rPr>
          <w:noProof/>
        </w:rPr>
        <w:t>ust.</w:t>
      </w:r>
      <w:r w:rsidR="00B73D99" w:rsidRPr="00B73D99">
        <w:rPr>
          <w:noProof/>
        </w:rPr>
        <w:t> </w:t>
      </w:r>
      <w:r w:rsidRPr="00B73D99">
        <w:rPr>
          <w:noProof/>
        </w:rPr>
        <w:t>3</w:t>
      </w:r>
      <w:r w:rsidRPr="00BB0D27">
        <w:rPr>
          <w:noProof/>
        </w:rPr>
        <w:t xml:space="preserve"> TFUE Komisja przyjmuje jako podstawę wysoki poziom ochrony środowiska</w:t>
      </w:r>
      <w:r w:rsidR="00B73D99" w:rsidRPr="00BB0D27">
        <w:rPr>
          <w:noProof/>
        </w:rPr>
        <w:t xml:space="preserve"> i</w:t>
      </w:r>
      <w:r w:rsidR="00B73D99">
        <w:rPr>
          <w:noProof/>
        </w:rPr>
        <w:t> </w:t>
      </w:r>
      <w:r w:rsidR="00B73D99" w:rsidRPr="00BB0D27">
        <w:rPr>
          <w:noProof/>
        </w:rPr>
        <w:t>och</w:t>
      </w:r>
      <w:r w:rsidRPr="00BB0D27">
        <w:rPr>
          <w:noProof/>
        </w:rPr>
        <w:t>rony konsumentów. Dyrektywa</w:t>
      </w:r>
      <w:r w:rsidR="00B73D99" w:rsidRPr="00BB0D27">
        <w:rPr>
          <w:noProof/>
        </w:rPr>
        <w:t xml:space="preserve"> w</w:t>
      </w:r>
      <w:r w:rsidR="00B73D99">
        <w:rPr>
          <w:noProof/>
        </w:rPr>
        <w:t> </w:t>
      </w:r>
      <w:r w:rsidR="00B73D99" w:rsidRPr="00BB0D27">
        <w:rPr>
          <w:noProof/>
        </w:rPr>
        <w:t>spr</w:t>
      </w:r>
      <w:r w:rsidRPr="00BB0D27">
        <w:rPr>
          <w:noProof/>
        </w:rPr>
        <w:t>awie sprzedaży towarów jest ukierunkowana na usprawnienie funkcjonowania rynku wewnętrznego, przy jednoczesnym osiągnięciu wysokiego poziomu ochrony konsumentów</w:t>
      </w:r>
      <w:r w:rsidR="00B73D99" w:rsidRPr="00BB0D27">
        <w:rPr>
          <w:noProof/>
        </w:rPr>
        <w:t>. W</w:t>
      </w:r>
      <w:r w:rsidR="00B73D99">
        <w:rPr>
          <w:noProof/>
        </w:rPr>
        <w:t> </w:t>
      </w:r>
      <w:r w:rsidR="00B73D99" w:rsidRPr="00BB0D27">
        <w:rPr>
          <w:noProof/>
        </w:rPr>
        <w:t>ram</w:t>
      </w:r>
      <w:r w:rsidRPr="00BB0D27">
        <w:rPr>
          <w:noProof/>
        </w:rPr>
        <w:t>ach tej dyrektywy wprowadzono dodatkowy cel polegający na promowaniu zrównoważonej konsumpcji, gospodarki</w:t>
      </w:r>
      <w:r w:rsidR="00B73D99" w:rsidRPr="00BB0D27">
        <w:rPr>
          <w:noProof/>
        </w:rPr>
        <w:t xml:space="preserve"> o</w:t>
      </w:r>
      <w:r w:rsidR="00B73D99">
        <w:rPr>
          <w:noProof/>
        </w:rPr>
        <w:t> </w:t>
      </w:r>
      <w:r w:rsidR="00B73D99" w:rsidRPr="00BB0D27">
        <w:rPr>
          <w:noProof/>
        </w:rPr>
        <w:t>obi</w:t>
      </w:r>
      <w:r w:rsidRPr="00BB0D27">
        <w:rPr>
          <w:noProof/>
        </w:rPr>
        <w:t>egu zamkniętym</w:t>
      </w:r>
      <w:r w:rsidR="00B73D99" w:rsidRPr="00BB0D27">
        <w:rPr>
          <w:noProof/>
        </w:rPr>
        <w:t xml:space="preserve"> i</w:t>
      </w:r>
      <w:r w:rsidR="00B73D99">
        <w:rPr>
          <w:noProof/>
        </w:rPr>
        <w:t> </w:t>
      </w:r>
      <w:r w:rsidR="00B73D99" w:rsidRPr="00BB0D27">
        <w:rPr>
          <w:noProof/>
        </w:rPr>
        <w:t>tra</w:t>
      </w:r>
      <w:r w:rsidRPr="00BB0D27">
        <w:rPr>
          <w:noProof/>
        </w:rPr>
        <w:t>nsformacji ekologicznej, zapewniając</w:t>
      </w:r>
      <w:r w:rsidR="00B73D99" w:rsidRPr="00BB0D27">
        <w:rPr>
          <w:noProof/>
        </w:rPr>
        <w:t xml:space="preserve"> w</w:t>
      </w:r>
      <w:r w:rsidR="00B73D99">
        <w:rPr>
          <w:noProof/>
        </w:rPr>
        <w:t> </w:t>
      </w:r>
      <w:r w:rsidR="00B73D99" w:rsidRPr="00BB0D27">
        <w:rPr>
          <w:noProof/>
        </w:rPr>
        <w:t>ten</w:t>
      </w:r>
      <w:r w:rsidRPr="00BB0D27">
        <w:rPr>
          <w:noProof/>
        </w:rPr>
        <w:t xml:space="preserve"> sposób również wysoki poziom ochrony środowiska.</w:t>
      </w:r>
    </w:p>
    <w:p w:rsidR="00824FE6" w:rsidRPr="00BB0D27" w:rsidRDefault="00824FE6" w:rsidP="00FE2576">
      <w:pPr>
        <w:rPr>
          <w:noProof/>
          <w:lang w:eastAsia="en-GB"/>
        </w:rPr>
      </w:pPr>
    </w:p>
    <w:p w:rsidR="00FA250B" w:rsidRPr="00BB0D27" w:rsidRDefault="00FA250B" w:rsidP="00F733C8">
      <w:pPr>
        <w:pStyle w:val="ManualHeading2"/>
        <w:rPr>
          <w:rFonts w:eastAsia="Arial Unicode MS"/>
          <w:noProof/>
          <w:u w:color="000000"/>
          <w:bdr w:val="nil"/>
        </w:rPr>
      </w:pPr>
      <w:r w:rsidRPr="00BB0D27">
        <w:rPr>
          <w:noProof/>
          <w:u w:color="000000"/>
          <w:bdr w:val="nil"/>
        </w:rPr>
        <w:t>•</w:t>
      </w:r>
      <w:r w:rsidRPr="00BB0D27">
        <w:rPr>
          <w:noProof/>
          <w:u w:color="000000"/>
          <w:bdr w:val="nil"/>
        </w:rPr>
        <w:tab/>
        <w:t xml:space="preserve">Pomocniczość </w:t>
      </w:r>
    </w:p>
    <w:p w:rsidR="00824FE6" w:rsidRPr="00BB0D27" w:rsidRDefault="00824FE6" w:rsidP="00824FE6">
      <w:pPr>
        <w:spacing w:before="0" w:after="160" w:line="259" w:lineRule="auto"/>
        <w:rPr>
          <w:rFonts w:eastAsia="Calibri"/>
          <w:noProof/>
          <w:szCs w:val="24"/>
        </w:rPr>
      </w:pPr>
      <w:r w:rsidRPr="00BB0D27">
        <w:rPr>
          <w:noProof/>
        </w:rPr>
        <w:t>Problemy rozwiązywane</w:t>
      </w:r>
      <w:r w:rsidR="00B73D99" w:rsidRPr="00BB0D27">
        <w:rPr>
          <w:noProof/>
        </w:rPr>
        <w:t xml:space="preserve"> w</w:t>
      </w:r>
      <w:r w:rsidR="00B73D99">
        <w:rPr>
          <w:noProof/>
        </w:rPr>
        <w:t> </w:t>
      </w:r>
      <w:r w:rsidR="00B73D99" w:rsidRPr="00BB0D27">
        <w:rPr>
          <w:noProof/>
        </w:rPr>
        <w:t>ram</w:t>
      </w:r>
      <w:r w:rsidRPr="00BB0D27">
        <w:rPr>
          <w:noProof/>
        </w:rPr>
        <w:t>ach przedmiotowej dyrektywy mają charakter transgraniczny</w:t>
      </w:r>
      <w:r w:rsidR="00B73D99" w:rsidRPr="00BB0D27">
        <w:rPr>
          <w:noProof/>
        </w:rPr>
        <w:t xml:space="preserve"> i</w:t>
      </w:r>
      <w:r w:rsidR="00B73D99">
        <w:rPr>
          <w:noProof/>
        </w:rPr>
        <w:t> </w:t>
      </w:r>
      <w:r w:rsidR="00B73D99" w:rsidRPr="00BB0D27">
        <w:rPr>
          <w:noProof/>
        </w:rPr>
        <w:t>wys</w:t>
      </w:r>
      <w:r w:rsidRPr="00BB0D27">
        <w:rPr>
          <w:noProof/>
        </w:rPr>
        <w:t>tępują</w:t>
      </w:r>
      <w:r w:rsidR="00B73D99" w:rsidRPr="00BB0D27">
        <w:rPr>
          <w:noProof/>
        </w:rPr>
        <w:t xml:space="preserve"> w</w:t>
      </w:r>
      <w:r w:rsidR="00B73D99">
        <w:rPr>
          <w:noProof/>
        </w:rPr>
        <w:t> </w:t>
      </w:r>
      <w:r w:rsidR="00B73D99" w:rsidRPr="00BB0D27">
        <w:rPr>
          <w:noProof/>
        </w:rPr>
        <w:t>ska</w:t>
      </w:r>
      <w:r w:rsidRPr="00BB0D27">
        <w:rPr>
          <w:noProof/>
        </w:rPr>
        <w:t>li europejskiej,</w:t>
      </w:r>
      <w:r w:rsidR="00B73D99" w:rsidRPr="00BB0D27">
        <w:rPr>
          <w:noProof/>
        </w:rPr>
        <w:t xml:space="preserve"> a</w:t>
      </w:r>
      <w:r w:rsidR="00B73D99">
        <w:rPr>
          <w:noProof/>
        </w:rPr>
        <w:t> </w:t>
      </w:r>
      <w:r w:rsidR="00B73D99" w:rsidRPr="00BB0D27">
        <w:rPr>
          <w:noProof/>
        </w:rPr>
        <w:t>tak</w:t>
      </w:r>
      <w:r w:rsidRPr="00BB0D27">
        <w:rPr>
          <w:noProof/>
        </w:rPr>
        <w:t>że światowej.</w:t>
      </w:r>
    </w:p>
    <w:p w:rsidR="00824FE6" w:rsidRPr="00BB0D27" w:rsidRDefault="00824FE6" w:rsidP="00824FE6">
      <w:pPr>
        <w:spacing w:before="0" w:after="160" w:line="259" w:lineRule="auto"/>
        <w:rPr>
          <w:rFonts w:eastAsia="Calibri"/>
          <w:noProof/>
          <w:szCs w:val="24"/>
        </w:rPr>
      </w:pPr>
      <w:r w:rsidRPr="00BB0D27">
        <w:rPr>
          <w:noProof/>
        </w:rPr>
        <w:t>W ramach dyrektywy</w:t>
      </w:r>
      <w:r w:rsidR="00B73D99" w:rsidRPr="00BB0D27">
        <w:rPr>
          <w:noProof/>
        </w:rPr>
        <w:t xml:space="preserve"> w</w:t>
      </w:r>
      <w:r w:rsidR="00B73D99">
        <w:rPr>
          <w:noProof/>
        </w:rPr>
        <w:t> </w:t>
      </w:r>
      <w:r w:rsidR="00B73D99" w:rsidRPr="00BB0D27">
        <w:rPr>
          <w:noProof/>
        </w:rPr>
        <w:t>spr</w:t>
      </w:r>
      <w:r w:rsidRPr="00BB0D27">
        <w:rPr>
          <w:noProof/>
        </w:rPr>
        <w:t>awie sprzedaży towarów dokonano już pełnej harmonizacji określonych przepisów dotyczących sprzedaży towarów nabywanych przez konsumentów. Ponieważ</w:t>
      </w:r>
      <w:r w:rsidR="00B73D99" w:rsidRPr="00BB0D27">
        <w:rPr>
          <w:noProof/>
        </w:rPr>
        <w:t xml:space="preserve"> w</w:t>
      </w:r>
      <w:r w:rsidR="00B73D99">
        <w:rPr>
          <w:noProof/>
        </w:rPr>
        <w:t> </w:t>
      </w:r>
      <w:r w:rsidR="00B73D99" w:rsidRPr="00BB0D27">
        <w:rPr>
          <w:noProof/>
        </w:rPr>
        <w:t>nin</w:t>
      </w:r>
      <w:r w:rsidRPr="00BB0D27">
        <w:rPr>
          <w:noProof/>
        </w:rPr>
        <w:t>iejszym wniosku zmieniono jeden</w:t>
      </w:r>
      <w:r w:rsidR="00B73D99" w:rsidRPr="00BB0D27">
        <w:rPr>
          <w:noProof/>
        </w:rPr>
        <w:t xml:space="preserve"> z</w:t>
      </w:r>
      <w:r w:rsidR="00B73D99">
        <w:rPr>
          <w:noProof/>
        </w:rPr>
        <w:t> </w:t>
      </w:r>
      <w:r w:rsidR="00B73D99" w:rsidRPr="00BB0D27">
        <w:rPr>
          <w:noProof/>
        </w:rPr>
        <w:t>asp</w:t>
      </w:r>
      <w:r w:rsidRPr="00BB0D27">
        <w:rPr>
          <w:noProof/>
        </w:rPr>
        <w:t>ektów tych przepisów</w:t>
      </w:r>
      <w:r w:rsidR="00B73D99" w:rsidRPr="00BB0D27">
        <w:rPr>
          <w:noProof/>
        </w:rPr>
        <w:t xml:space="preserve"> w</w:t>
      </w:r>
      <w:r w:rsidR="00B73D99">
        <w:rPr>
          <w:noProof/>
        </w:rPr>
        <w:t> </w:t>
      </w:r>
      <w:r w:rsidR="00B73D99" w:rsidRPr="00BB0D27">
        <w:rPr>
          <w:noProof/>
        </w:rPr>
        <w:t>cel</w:t>
      </w:r>
      <w:r w:rsidRPr="00BB0D27">
        <w:rPr>
          <w:noProof/>
        </w:rPr>
        <w:t>u promowania naprawy</w:t>
      </w:r>
      <w:r w:rsidR="00B73D99" w:rsidRPr="00BB0D27">
        <w:rPr>
          <w:noProof/>
        </w:rPr>
        <w:t xml:space="preserve"> w</w:t>
      </w:r>
      <w:r w:rsidR="00B73D99">
        <w:rPr>
          <w:noProof/>
        </w:rPr>
        <w:t> </w:t>
      </w:r>
      <w:r w:rsidR="00B73D99" w:rsidRPr="00BB0D27">
        <w:rPr>
          <w:noProof/>
        </w:rPr>
        <w:t>ram</w:t>
      </w:r>
      <w:r w:rsidRPr="00BB0D27">
        <w:rPr>
          <w:noProof/>
        </w:rPr>
        <w:t>ach gwarancji prawnej, zmiany tej należy dokonać na szczeblu UE.</w:t>
      </w:r>
    </w:p>
    <w:p w:rsidR="00824FE6" w:rsidRPr="00BB0D27" w:rsidRDefault="00824FE6" w:rsidP="00824FE6">
      <w:pPr>
        <w:spacing w:before="0" w:after="160" w:line="259" w:lineRule="auto"/>
        <w:rPr>
          <w:rFonts w:eastAsia="Calibri"/>
          <w:noProof/>
          <w:szCs w:val="24"/>
        </w:rPr>
      </w:pPr>
      <w:r w:rsidRPr="00BB0D27">
        <w:rPr>
          <w:noProof/>
        </w:rPr>
        <w:t>W przypadku braku działań na szczeblu UE, najprawdopodobniej podjęte zostaną inicjatywy krajowe poza zakresem stosowania dyrektywy</w:t>
      </w:r>
      <w:r w:rsidR="00B73D99" w:rsidRPr="00BB0D27">
        <w:rPr>
          <w:noProof/>
        </w:rPr>
        <w:t xml:space="preserve"> w</w:t>
      </w:r>
      <w:r w:rsidR="00B73D99">
        <w:rPr>
          <w:noProof/>
        </w:rPr>
        <w:t> </w:t>
      </w:r>
      <w:r w:rsidR="00B73D99" w:rsidRPr="00BB0D27">
        <w:rPr>
          <w:noProof/>
        </w:rPr>
        <w:t>spr</w:t>
      </w:r>
      <w:r w:rsidRPr="00BB0D27">
        <w:rPr>
          <w:noProof/>
        </w:rPr>
        <w:t>awie sprzedaży towarów,</w:t>
      </w:r>
      <w:r w:rsidR="00B73D99" w:rsidRPr="00BB0D27">
        <w:rPr>
          <w:noProof/>
        </w:rPr>
        <w:t xml:space="preserve"> a</w:t>
      </w:r>
      <w:r w:rsidR="00B73D99">
        <w:rPr>
          <w:noProof/>
        </w:rPr>
        <w:t> </w:t>
      </w:r>
      <w:r w:rsidR="00B73D99" w:rsidRPr="00BB0D27">
        <w:rPr>
          <w:noProof/>
        </w:rPr>
        <w:t>w</w:t>
      </w:r>
      <w:r w:rsidR="00B73D99">
        <w:rPr>
          <w:noProof/>
        </w:rPr>
        <w:t> </w:t>
      </w:r>
      <w:r w:rsidR="00B73D99" w:rsidRPr="00BB0D27">
        <w:rPr>
          <w:noProof/>
        </w:rPr>
        <w:t>ram</w:t>
      </w:r>
      <w:r w:rsidRPr="00BB0D27">
        <w:rPr>
          <w:noProof/>
        </w:rPr>
        <w:t>ach tych inicjatyw podjęte zostaną różne podejścia ukierunkowane na promowanie naprawy wykraczającej poza zakres gwarancji prawnej, zgodnie</w:t>
      </w:r>
      <w:r w:rsidR="00B73D99" w:rsidRPr="00BB0D27">
        <w:rPr>
          <w:noProof/>
        </w:rPr>
        <w:t xml:space="preserve"> z</w:t>
      </w:r>
      <w:r w:rsidR="00B73D99">
        <w:rPr>
          <w:noProof/>
        </w:rPr>
        <w:t> </w:t>
      </w:r>
      <w:r w:rsidR="00B73D99" w:rsidRPr="00BB0D27">
        <w:rPr>
          <w:noProof/>
        </w:rPr>
        <w:t>cel</w:t>
      </w:r>
      <w:r w:rsidRPr="00BB0D27">
        <w:rPr>
          <w:noProof/>
        </w:rPr>
        <w:t>em polegającym na zapewnieniu bardziej zrównoważonej konsumpcji. Chociaż inicjatywy te mogłyby wiązać się</w:t>
      </w:r>
      <w:r w:rsidR="00B73D99" w:rsidRPr="00BB0D27">
        <w:rPr>
          <w:noProof/>
        </w:rPr>
        <w:t xml:space="preserve"> z</w:t>
      </w:r>
      <w:r w:rsidR="00B73D99">
        <w:rPr>
          <w:noProof/>
        </w:rPr>
        <w:t> </w:t>
      </w:r>
      <w:r w:rsidR="00B73D99" w:rsidRPr="00BB0D27">
        <w:rPr>
          <w:noProof/>
        </w:rPr>
        <w:t>okr</w:t>
      </w:r>
      <w:r w:rsidRPr="00BB0D27">
        <w:rPr>
          <w:noProof/>
        </w:rPr>
        <w:t>eślonymi korzyściami dla konsumentów</w:t>
      </w:r>
      <w:r w:rsidR="00B73D99" w:rsidRPr="00BB0D27">
        <w:rPr>
          <w:noProof/>
        </w:rPr>
        <w:t xml:space="preserve"> i</w:t>
      </w:r>
      <w:r w:rsidR="00B73D99">
        <w:rPr>
          <w:noProof/>
        </w:rPr>
        <w:t> </w:t>
      </w:r>
      <w:r w:rsidR="00B73D99" w:rsidRPr="00BB0D27">
        <w:rPr>
          <w:noProof/>
        </w:rPr>
        <w:t>śro</w:t>
      </w:r>
      <w:r w:rsidRPr="00BB0D27">
        <w:rPr>
          <w:noProof/>
        </w:rPr>
        <w:t xml:space="preserve">dowiska na szczeblu krajowym, jednocześnie doprowadziłyby do powstania lub zwiększenia fragmentacji rynku wewnętrznego. </w:t>
      </w:r>
    </w:p>
    <w:p w:rsidR="00824FE6" w:rsidRPr="00BB0D27" w:rsidRDefault="00824FE6" w:rsidP="00824FE6">
      <w:pPr>
        <w:spacing w:before="0" w:after="160" w:line="259" w:lineRule="auto"/>
        <w:rPr>
          <w:rFonts w:eastAsia="Calibri"/>
          <w:noProof/>
          <w:szCs w:val="24"/>
        </w:rPr>
      </w:pPr>
      <w:r w:rsidRPr="00BB0D27">
        <w:rPr>
          <w:noProof/>
        </w:rPr>
        <w:t>Działania unijne są zatem niezbędne do osiągnięcia ogólnego celu, jakim jest sprawnie funkcjonujący rynek wewnętrzny charakteryzujący się bardziej zrównoważoną konsumpcją towarów nabywanych przez konsumentów. Jedynie dzięki działaniom unijnym można</w:t>
      </w:r>
      <w:r w:rsidR="00B73D99" w:rsidRPr="00BB0D27">
        <w:rPr>
          <w:noProof/>
        </w:rPr>
        <w:t xml:space="preserve"> w</w:t>
      </w:r>
      <w:r w:rsidR="00B73D99">
        <w:rPr>
          <w:noProof/>
        </w:rPr>
        <w:t> </w:t>
      </w:r>
      <w:r w:rsidR="00B73D99" w:rsidRPr="00BB0D27">
        <w:rPr>
          <w:noProof/>
        </w:rPr>
        <w:t>spo</w:t>
      </w:r>
      <w:r w:rsidRPr="00BB0D27">
        <w:rPr>
          <w:noProof/>
        </w:rPr>
        <w:t>sób spójny osiągnąć na rynku wewnętrznym pożądany efekt, jakim jest promowanie naprawy</w:t>
      </w:r>
      <w:r w:rsidR="00B73D99" w:rsidRPr="00BB0D27">
        <w:rPr>
          <w:noProof/>
        </w:rPr>
        <w:t xml:space="preserve"> i</w:t>
      </w:r>
      <w:r w:rsidR="00B73D99">
        <w:rPr>
          <w:noProof/>
        </w:rPr>
        <w:t> </w:t>
      </w:r>
      <w:r w:rsidR="00B73D99" w:rsidRPr="00BB0D27">
        <w:rPr>
          <w:noProof/>
        </w:rPr>
        <w:t>pon</w:t>
      </w:r>
      <w:r w:rsidRPr="00BB0D27">
        <w:rPr>
          <w:noProof/>
        </w:rPr>
        <w:t>ownego wykorzystania</w:t>
      </w:r>
      <w:r w:rsidR="00B73D99" w:rsidRPr="00BB0D27">
        <w:rPr>
          <w:noProof/>
        </w:rPr>
        <w:t xml:space="preserve"> w</w:t>
      </w:r>
      <w:r w:rsidR="00B73D99">
        <w:rPr>
          <w:noProof/>
        </w:rPr>
        <w:t> </w:t>
      </w:r>
      <w:r w:rsidR="00B73D99" w:rsidRPr="00BB0D27">
        <w:rPr>
          <w:noProof/>
        </w:rPr>
        <w:t>kon</w:t>
      </w:r>
      <w:r w:rsidRPr="00BB0D27">
        <w:rPr>
          <w:noProof/>
        </w:rPr>
        <w:t xml:space="preserve">tekście sprzedaży transgranicznej. </w:t>
      </w:r>
    </w:p>
    <w:p w:rsidR="00824FE6" w:rsidRPr="00BB0D27" w:rsidRDefault="00824FE6" w:rsidP="00824FE6">
      <w:pPr>
        <w:pStyle w:val="Text1"/>
        <w:rPr>
          <w:noProof/>
          <w:lang w:eastAsia="en-GB"/>
        </w:rPr>
      </w:pPr>
    </w:p>
    <w:p w:rsidR="00FA250B" w:rsidRPr="00BB0D27" w:rsidRDefault="00FA250B" w:rsidP="00F733C8">
      <w:pPr>
        <w:pStyle w:val="ManualHeading2"/>
        <w:rPr>
          <w:rFonts w:eastAsia="Arial Unicode MS"/>
          <w:noProof/>
          <w:u w:color="000000"/>
          <w:bdr w:val="nil"/>
        </w:rPr>
      </w:pPr>
      <w:r w:rsidRPr="00BB0D27">
        <w:rPr>
          <w:noProof/>
          <w:u w:color="000000"/>
          <w:bdr w:val="nil"/>
        </w:rPr>
        <w:t>•</w:t>
      </w:r>
      <w:r w:rsidRPr="00BB0D27">
        <w:rPr>
          <w:noProof/>
          <w:u w:color="000000"/>
          <w:bdr w:val="nil"/>
        </w:rPr>
        <w:tab/>
        <w:t>Proporcjonalność</w:t>
      </w:r>
    </w:p>
    <w:p w:rsidR="00824FE6" w:rsidRPr="00BB0D27" w:rsidRDefault="00824FE6" w:rsidP="00824FE6">
      <w:pPr>
        <w:spacing w:before="0" w:after="160" w:line="259" w:lineRule="auto"/>
        <w:rPr>
          <w:rFonts w:eastAsia="Calibri"/>
          <w:noProof/>
          <w:szCs w:val="24"/>
        </w:rPr>
      </w:pPr>
      <w:r w:rsidRPr="00BB0D27">
        <w:rPr>
          <w:noProof/>
        </w:rPr>
        <w:t>W przedmiotowej dyrektywie przedstawiono zrównoważone podejście zgodne</w:t>
      </w:r>
      <w:r w:rsidR="00B73D99" w:rsidRPr="00BB0D27">
        <w:rPr>
          <w:noProof/>
        </w:rPr>
        <w:t xml:space="preserve"> z</w:t>
      </w:r>
      <w:r w:rsidR="00B73D99">
        <w:rPr>
          <w:noProof/>
        </w:rPr>
        <w:t> </w:t>
      </w:r>
      <w:r w:rsidR="00B73D99" w:rsidRPr="00BB0D27">
        <w:rPr>
          <w:noProof/>
        </w:rPr>
        <w:t>zas</w:t>
      </w:r>
      <w:r w:rsidRPr="00BB0D27">
        <w:rPr>
          <w:noProof/>
        </w:rPr>
        <w:t>adą proporcjonalności</w:t>
      </w:r>
      <w:r w:rsidR="00B73D99" w:rsidRPr="00BB0D27">
        <w:rPr>
          <w:noProof/>
        </w:rPr>
        <w:t>. W</w:t>
      </w:r>
      <w:r w:rsidR="00B73D99">
        <w:rPr>
          <w:noProof/>
        </w:rPr>
        <w:t> </w:t>
      </w:r>
      <w:r w:rsidR="00B73D99" w:rsidRPr="00BB0D27">
        <w:rPr>
          <w:noProof/>
        </w:rPr>
        <w:t>cel</w:t>
      </w:r>
      <w:r w:rsidRPr="00BB0D27">
        <w:rPr>
          <w:noProof/>
        </w:rPr>
        <w:t>u promowania naprawy</w:t>
      </w:r>
      <w:r w:rsidR="00B73D99" w:rsidRPr="00BB0D27">
        <w:rPr>
          <w:noProof/>
        </w:rPr>
        <w:t xml:space="preserve"> w</w:t>
      </w:r>
      <w:r w:rsidR="00B73D99">
        <w:rPr>
          <w:noProof/>
        </w:rPr>
        <w:t> </w:t>
      </w:r>
      <w:r w:rsidR="00B73D99" w:rsidRPr="00BB0D27">
        <w:rPr>
          <w:noProof/>
        </w:rPr>
        <w:t>kon</w:t>
      </w:r>
      <w:r w:rsidRPr="00BB0D27">
        <w:rPr>
          <w:noProof/>
        </w:rPr>
        <w:t>tekście gwarancji prawnej przepisy krajowe zmieniono wyłącznie</w:t>
      </w:r>
      <w:r w:rsidR="00B73D99" w:rsidRPr="00BB0D27">
        <w:rPr>
          <w:noProof/>
        </w:rPr>
        <w:t xml:space="preserve"> w</w:t>
      </w:r>
      <w:r w:rsidR="00B73D99">
        <w:rPr>
          <w:noProof/>
        </w:rPr>
        <w:t> </w:t>
      </w:r>
      <w:r w:rsidR="00B73D99" w:rsidRPr="00BB0D27">
        <w:rPr>
          <w:noProof/>
        </w:rPr>
        <w:t>min</w:t>
      </w:r>
      <w:r w:rsidRPr="00BB0D27">
        <w:rPr>
          <w:noProof/>
        </w:rPr>
        <w:t>imalnym zakresie niezbędnym do osiągnięcia celu. Niniejszy wniosek nie narusza ugruntowanych ustaleń krajowych dotyczącymi okresów odpowiedzialności. Zmiana dotyczy wyłącznie przepisów podlegających już pełnej harmonizacji.</w:t>
      </w:r>
    </w:p>
    <w:p w:rsidR="00824FE6" w:rsidRPr="00BB0D27" w:rsidRDefault="00824FE6" w:rsidP="00824FE6">
      <w:pPr>
        <w:spacing w:before="0" w:after="160" w:line="259" w:lineRule="auto"/>
        <w:rPr>
          <w:rFonts w:eastAsia="Calibri"/>
          <w:noProof/>
          <w:szCs w:val="24"/>
        </w:rPr>
      </w:pPr>
      <w:r w:rsidRPr="00BB0D27">
        <w:rPr>
          <w:noProof/>
        </w:rPr>
        <w:t>Poza gwarancją prawną harmonizacja na szczeblu UE ogranicza się wyłącznie do tych możliwości, tj. do znormalizowanego europejskiego formularza informacji</w:t>
      </w:r>
      <w:r w:rsidR="00B73D99" w:rsidRPr="00BB0D27">
        <w:rPr>
          <w:noProof/>
        </w:rPr>
        <w:t xml:space="preserve"> o</w:t>
      </w:r>
      <w:r w:rsidR="00B73D99">
        <w:rPr>
          <w:noProof/>
        </w:rPr>
        <w:t> </w:t>
      </w:r>
      <w:r w:rsidR="00B73D99" w:rsidRPr="00BB0D27">
        <w:rPr>
          <w:noProof/>
        </w:rPr>
        <w:t>nap</w:t>
      </w:r>
      <w:r w:rsidRPr="00BB0D27">
        <w:rPr>
          <w:noProof/>
        </w:rPr>
        <w:t>rawie oraz do obowiązku naprawy, których zasięg obejmuje rynek wewnętrzny</w:t>
      </w:r>
      <w:r w:rsidR="00B73D99" w:rsidRPr="00BB0D27">
        <w:rPr>
          <w:noProof/>
        </w:rPr>
        <w:t>. W</w:t>
      </w:r>
      <w:r w:rsidR="00B73D99">
        <w:rPr>
          <w:noProof/>
        </w:rPr>
        <w:t> </w:t>
      </w:r>
      <w:r w:rsidR="00B73D99" w:rsidRPr="00BB0D27">
        <w:rPr>
          <w:noProof/>
        </w:rPr>
        <w:t>prz</w:t>
      </w:r>
      <w:r w:rsidRPr="00BB0D27">
        <w:rPr>
          <w:noProof/>
        </w:rPr>
        <w:t>ypadku gdy rozwiązanie na szczeblu krajowym jest równie skuteczne, szczególnie platforma naprawcza, jest to wariant preferowany. Projekt normy europejskiej dotyczącej usług naprawczych przybiera formę dobrowolnego zobowiązania do uniknięcia daleko idącej ingerencji</w:t>
      </w:r>
      <w:r w:rsidR="00B73D99" w:rsidRPr="00BB0D27">
        <w:rPr>
          <w:noProof/>
        </w:rPr>
        <w:t xml:space="preserve"> w</w:t>
      </w:r>
      <w:r w:rsidR="00B73D99">
        <w:rPr>
          <w:noProof/>
        </w:rPr>
        <w:t> </w:t>
      </w:r>
      <w:r w:rsidR="00B73D99" w:rsidRPr="00BB0D27">
        <w:rPr>
          <w:noProof/>
        </w:rPr>
        <w:t>prz</w:t>
      </w:r>
      <w:r w:rsidRPr="00BB0D27">
        <w:rPr>
          <w:noProof/>
        </w:rPr>
        <w:t xml:space="preserve">episy krajowe dotyczące świadczenia usług. </w:t>
      </w:r>
    </w:p>
    <w:p w:rsidR="00824FE6" w:rsidRPr="00BB0D27" w:rsidRDefault="00824FE6" w:rsidP="00824FE6">
      <w:pPr>
        <w:spacing w:before="0" w:after="160" w:line="259" w:lineRule="auto"/>
        <w:rPr>
          <w:rFonts w:eastAsia="Calibri"/>
          <w:noProof/>
          <w:szCs w:val="24"/>
        </w:rPr>
      </w:pPr>
      <w:r w:rsidRPr="00BB0D27">
        <w:rPr>
          <w:noProof/>
        </w:rPr>
        <w:t>Przepisy przedmiotowej dyrektywy, choć ukierunkowane na bardziej zrównoważoną konsumpcję, są dostosowane do potrzeb, które muszą zaspokoić,</w:t>
      </w:r>
      <w:r w:rsidR="00B73D99" w:rsidRPr="00BB0D27">
        <w:rPr>
          <w:noProof/>
        </w:rPr>
        <w:t xml:space="preserve"> i</w:t>
      </w:r>
      <w:r w:rsidR="00B73D99">
        <w:rPr>
          <w:noProof/>
        </w:rPr>
        <w:t> </w:t>
      </w:r>
      <w:r w:rsidR="00B73D99" w:rsidRPr="00BB0D27">
        <w:rPr>
          <w:noProof/>
        </w:rPr>
        <w:t>maj</w:t>
      </w:r>
      <w:r w:rsidRPr="00BB0D27">
        <w:rPr>
          <w:noProof/>
        </w:rPr>
        <w:t>ą ukierunkowany charakter starannie opracowany pod względem zakresu</w:t>
      </w:r>
      <w:r w:rsidR="00B73D99" w:rsidRPr="00BB0D27">
        <w:rPr>
          <w:noProof/>
        </w:rPr>
        <w:t xml:space="preserve"> i</w:t>
      </w:r>
      <w:r w:rsidR="00B73D99">
        <w:rPr>
          <w:noProof/>
        </w:rPr>
        <w:t> </w:t>
      </w:r>
      <w:r w:rsidR="00B73D99" w:rsidRPr="00BB0D27">
        <w:rPr>
          <w:noProof/>
        </w:rPr>
        <w:t>int</w:t>
      </w:r>
      <w:r w:rsidRPr="00BB0D27">
        <w:rPr>
          <w:noProof/>
        </w:rPr>
        <w:t xml:space="preserve">ensywności. </w:t>
      </w:r>
    </w:p>
    <w:p w:rsidR="00824FE6" w:rsidRPr="00BB0D27" w:rsidRDefault="00824FE6" w:rsidP="00824FE6">
      <w:pPr>
        <w:pStyle w:val="Text1"/>
        <w:rPr>
          <w:noProof/>
          <w:lang w:eastAsia="en-GB"/>
        </w:rPr>
      </w:pPr>
    </w:p>
    <w:p w:rsidR="00FA250B" w:rsidRPr="00BB0D27" w:rsidRDefault="00FA250B" w:rsidP="00F733C8">
      <w:pPr>
        <w:pStyle w:val="ManualHeading2"/>
        <w:rPr>
          <w:rFonts w:eastAsia="Arial Unicode MS"/>
          <w:noProof/>
          <w:u w:color="000000"/>
          <w:bdr w:val="nil"/>
        </w:rPr>
      </w:pPr>
      <w:r w:rsidRPr="00BB0D27">
        <w:rPr>
          <w:noProof/>
          <w:u w:color="000000"/>
          <w:bdr w:val="nil"/>
        </w:rPr>
        <w:t>•</w:t>
      </w:r>
      <w:r w:rsidRPr="00BB0D27">
        <w:rPr>
          <w:noProof/>
          <w:u w:color="000000"/>
          <w:bdr w:val="nil"/>
        </w:rPr>
        <w:tab/>
        <w:t>Wybór instrumentu</w:t>
      </w:r>
    </w:p>
    <w:p w:rsidR="00824FE6" w:rsidRPr="00BB0D27" w:rsidRDefault="00824FE6" w:rsidP="00824FE6">
      <w:pPr>
        <w:spacing w:before="0" w:after="160" w:line="259" w:lineRule="auto"/>
        <w:rPr>
          <w:rFonts w:eastAsia="Calibri"/>
          <w:noProof/>
          <w:szCs w:val="24"/>
        </w:rPr>
      </w:pPr>
      <w:r w:rsidRPr="00BB0D27">
        <w:rPr>
          <w:noProof/>
        </w:rPr>
        <w:t>Preferowanym instrumentem jest samodzielna dyrektywa. Jej zakres stosowania obejmuje</w:t>
      </w:r>
      <w:r w:rsidR="00B73D99" w:rsidRPr="00BB0D27">
        <w:rPr>
          <w:noProof/>
        </w:rPr>
        <w:t xml:space="preserve"> z</w:t>
      </w:r>
      <w:r w:rsidR="00B73D99">
        <w:rPr>
          <w:noProof/>
        </w:rPr>
        <w:t> </w:t>
      </w:r>
      <w:r w:rsidR="00B73D99" w:rsidRPr="00BB0D27">
        <w:rPr>
          <w:noProof/>
        </w:rPr>
        <w:t>jed</w:t>
      </w:r>
      <w:r w:rsidRPr="00BB0D27">
        <w:rPr>
          <w:noProof/>
        </w:rPr>
        <w:t>nej strony ukierunkowaną zmianę dyrektywy</w:t>
      </w:r>
      <w:r w:rsidR="00B73D99" w:rsidRPr="00BB0D27">
        <w:rPr>
          <w:noProof/>
        </w:rPr>
        <w:t xml:space="preserve"> w</w:t>
      </w:r>
      <w:r w:rsidR="00B73D99">
        <w:rPr>
          <w:noProof/>
        </w:rPr>
        <w:t> </w:t>
      </w:r>
      <w:r w:rsidR="00B73D99" w:rsidRPr="00BB0D27">
        <w:rPr>
          <w:noProof/>
        </w:rPr>
        <w:t>spr</w:t>
      </w:r>
      <w:r w:rsidRPr="00BB0D27">
        <w:rPr>
          <w:noProof/>
        </w:rPr>
        <w:t>awie sprzedaży towarów</w:t>
      </w:r>
      <w:r w:rsidR="00B73D99" w:rsidRPr="00BB0D27">
        <w:rPr>
          <w:noProof/>
        </w:rPr>
        <w:t xml:space="preserve"> w</w:t>
      </w:r>
      <w:r w:rsidR="00B73D99">
        <w:rPr>
          <w:noProof/>
        </w:rPr>
        <w:t> </w:t>
      </w:r>
      <w:r w:rsidR="00B73D99" w:rsidRPr="00BB0D27">
        <w:rPr>
          <w:noProof/>
        </w:rPr>
        <w:t>odn</w:t>
      </w:r>
      <w:r w:rsidRPr="00BB0D27">
        <w:rPr>
          <w:noProof/>
        </w:rPr>
        <w:t>iesieniu do środków ochrony prawnej</w:t>
      </w:r>
      <w:r w:rsidR="00B73D99" w:rsidRPr="00BB0D27">
        <w:rPr>
          <w:noProof/>
        </w:rPr>
        <w:t xml:space="preserve"> w</w:t>
      </w:r>
      <w:r w:rsidR="00B73D99">
        <w:rPr>
          <w:noProof/>
        </w:rPr>
        <w:t> </w:t>
      </w:r>
      <w:r w:rsidR="00B73D99" w:rsidRPr="00BB0D27">
        <w:rPr>
          <w:noProof/>
        </w:rPr>
        <w:t>ram</w:t>
      </w:r>
      <w:r w:rsidRPr="00BB0D27">
        <w:rPr>
          <w:noProof/>
        </w:rPr>
        <w:t>ach gwarancji prawnej,</w:t>
      </w:r>
      <w:r w:rsidR="00B73D99" w:rsidRPr="00BB0D27">
        <w:rPr>
          <w:noProof/>
        </w:rPr>
        <w:t xml:space="preserve"> a</w:t>
      </w:r>
      <w:r w:rsidR="00B73D99">
        <w:rPr>
          <w:noProof/>
        </w:rPr>
        <w:t> </w:t>
      </w:r>
      <w:r w:rsidR="00B73D99" w:rsidRPr="00BB0D27">
        <w:rPr>
          <w:noProof/>
        </w:rPr>
        <w:t>z</w:t>
      </w:r>
      <w:r w:rsidR="00B73D99">
        <w:rPr>
          <w:noProof/>
        </w:rPr>
        <w:t> </w:t>
      </w:r>
      <w:r w:rsidR="00B73D99" w:rsidRPr="00BB0D27">
        <w:rPr>
          <w:noProof/>
        </w:rPr>
        <w:t>dru</w:t>
      </w:r>
      <w:r w:rsidRPr="00BB0D27">
        <w:rPr>
          <w:noProof/>
        </w:rPr>
        <w:t>giej strony nowe przepisy umowne dotyczące promowania napraw wykraczających poza zakres odpowiedzialności sprzedawcy wynikającej</w:t>
      </w:r>
      <w:r w:rsidR="00B73D99" w:rsidRPr="00BB0D27">
        <w:rPr>
          <w:noProof/>
        </w:rPr>
        <w:t xml:space="preserve"> z</w:t>
      </w:r>
      <w:r w:rsidR="00B73D99">
        <w:rPr>
          <w:noProof/>
        </w:rPr>
        <w:t> </w:t>
      </w:r>
      <w:r w:rsidR="00B73D99" w:rsidRPr="00BB0D27">
        <w:rPr>
          <w:noProof/>
        </w:rPr>
        <w:t>dyr</w:t>
      </w:r>
      <w:r w:rsidRPr="00BB0D27">
        <w:rPr>
          <w:noProof/>
        </w:rPr>
        <w:t>ektywy</w:t>
      </w:r>
      <w:r w:rsidR="00B73D99" w:rsidRPr="00BB0D27">
        <w:rPr>
          <w:noProof/>
        </w:rPr>
        <w:t xml:space="preserve"> w</w:t>
      </w:r>
      <w:r w:rsidR="00B73D99">
        <w:rPr>
          <w:noProof/>
        </w:rPr>
        <w:t> </w:t>
      </w:r>
      <w:r w:rsidR="00B73D99" w:rsidRPr="00BB0D27">
        <w:rPr>
          <w:noProof/>
        </w:rPr>
        <w:t>spr</w:t>
      </w:r>
      <w:r w:rsidRPr="00BB0D27">
        <w:rPr>
          <w:noProof/>
        </w:rPr>
        <w:t>awie sprzedaży towarów</w:t>
      </w:r>
      <w:r w:rsidR="00B73D99" w:rsidRPr="00BB0D27">
        <w:rPr>
          <w:noProof/>
        </w:rPr>
        <w:t>. W</w:t>
      </w:r>
      <w:r w:rsidR="00B73D99">
        <w:rPr>
          <w:noProof/>
        </w:rPr>
        <w:t> </w:t>
      </w:r>
      <w:r w:rsidR="00B73D99" w:rsidRPr="00BB0D27">
        <w:rPr>
          <w:noProof/>
        </w:rPr>
        <w:t>tym</w:t>
      </w:r>
      <w:r w:rsidRPr="00BB0D27">
        <w:rPr>
          <w:noProof/>
        </w:rPr>
        <w:t xml:space="preserve"> przypadku dyrektywa stanowi najodpowiedniejszy instrument, ponieważ zapewnia pożądany skutek harmonizacji oraz pewności prawa,</w:t>
      </w:r>
      <w:r w:rsidR="00B73D99" w:rsidRPr="00BB0D27">
        <w:rPr>
          <w:noProof/>
        </w:rPr>
        <w:t xml:space="preserve"> a</w:t>
      </w:r>
      <w:r w:rsidR="00B73D99">
        <w:rPr>
          <w:noProof/>
        </w:rPr>
        <w:t> </w:t>
      </w:r>
      <w:r w:rsidR="00B73D99" w:rsidRPr="00BB0D27">
        <w:rPr>
          <w:noProof/>
        </w:rPr>
        <w:t>jed</w:t>
      </w:r>
      <w:r w:rsidRPr="00BB0D27">
        <w:rPr>
          <w:noProof/>
        </w:rPr>
        <w:t>nocześnie umożliwia państwom członkowskim bezproblemowe włączenie zharmonizowanych środków do prawa krajowego.</w:t>
      </w:r>
    </w:p>
    <w:p w:rsidR="00824FE6" w:rsidRPr="00BB0D27" w:rsidRDefault="00824FE6" w:rsidP="00824FE6">
      <w:pPr>
        <w:spacing w:before="0" w:after="160" w:line="259" w:lineRule="auto"/>
        <w:rPr>
          <w:rFonts w:eastAsia="Calibri"/>
          <w:noProof/>
          <w:szCs w:val="24"/>
        </w:rPr>
      </w:pPr>
      <w:r w:rsidRPr="00BB0D27">
        <w:rPr>
          <w:noProof/>
        </w:rPr>
        <w:t>Ponadto</w:t>
      </w:r>
      <w:r w:rsidR="00B73D99" w:rsidRPr="00BB0D27">
        <w:rPr>
          <w:noProof/>
        </w:rPr>
        <w:t xml:space="preserve"> w</w:t>
      </w:r>
      <w:r w:rsidR="00B73D99">
        <w:rPr>
          <w:noProof/>
        </w:rPr>
        <w:t> </w:t>
      </w:r>
      <w:r w:rsidR="00B73D99" w:rsidRPr="00BB0D27">
        <w:rPr>
          <w:noProof/>
        </w:rPr>
        <w:t>ram</w:t>
      </w:r>
      <w:r w:rsidRPr="00BB0D27">
        <w:rPr>
          <w:noProof/>
        </w:rPr>
        <w:t>ach środka nieregulacyjnego Komisja zamierza zachęcić do opracowania normy europejskiej dotyczącej usług naprawczych.</w:t>
      </w:r>
    </w:p>
    <w:p w:rsidR="00824FE6" w:rsidRPr="00BB0D27" w:rsidRDefault="00824FE6" w:rsidP="00824FE6">
      <w:pPr>
        <w:pStyle w:val="Text1"/>
        <w:rPr>
          <w:noProof/>
          <w:lang w:eastAsia="en-GB"/>
        </w:rPr>
      </w:pPr>
    </w:p>
    <w:p w:rsidR="00FA250B" w:rsidRPr="00BB0D27" w:rsidRDefault="00FA250B" w:rsidP="00F733C8">
      <w:pPr>
        <w:pStyle w:val="ManualHeading1"/>
        <w:rPr>
          <w:noProof/>
        </w:rPr>
      </w:pPr>
      <w:r w:rsidRPr="00BB0D27">
        <w:rPr>
          <w:noProof/>
        </w:rPr>
        <w:t>3.</w:t>
      </w:r>
      <w:r w:rsidRPr="00BB0D27">
        <w:rPr>
          <w:noProof/>
        </w:rPr>
        <w:tab/>
        <w:t>WYNIKI OCEN EX POST, KONSULTACJI Z ZAINTERESOWANYMI STRONAMI I OCEN SKUTKÓW</w:t>
      </w:r>
    </w:p>
    <w:p w:rsidR="00FA250B" w:rsidRPr="00BB0D27" w:rsidRDefault="00FA250B" w:rsidP="00F733C8">
      <w:pPr>
        <w:pStyle w:val="ManualHeading2"/>
        <w:rPr>
          <w:rFonts w:eastAsia="Arial Unicode MS"/>
          <w:noProof/>
          <w:u w:color="000000"/>
          <w:bdr w:val="nil"/>
        </w:rPr>
      </w:pPr>
      <w:r w:rsidRPr="00BB0D27">
        <w:rPr>
          <w:noProof/>
          <w:u w:color="000000"/>
          <w:bdr w:val="nil"/>
        </w:rPr>
        <w:t>•</w:t>
      </w:r>
      <w:r w:rsidRPr="00BB0D27">
        <w:rPr>
          <w:noProof/>
          <w:u w:color="000000"/>
          <w:bdr w:val="nil"/>
        </w:rPr>
        <w:tab/>
        <w:t>Konsultacje</w:t>
      </w:r>
      <w:r w:rsidR="00B73D99" w:rsidRPr="00BB0D27">
        <w:rPr>
          <w:noProof/>
          <w:u w:color="000000"/>
          <w:bdr w:val="nil"/>
        </w:rPr>
        <w:t xml:space="preserve"> z</w:t>
      </w:r>
      <w:r w:rsidR="00B73D99">
        <w:rPr>
          <w:noProof/>
          <w:u w:color="000000"/>
          <w:bdr w:val="nil"/>
        </w:rPr>
        <w:t> </w:t>
      </w:r>
      <w:r w:rsidR="00B73D99" w:rsidRPr="00BB0D27">
        <w:rPr>
          <w:noProof/>
          <w:u w:color="000000"/>
          <w:bdr w:val="nil"/>
        </w:rPr>
        <w:t>zai</w:t>
      </w:r>
      <w:r w:rsidRPr="00BB0D27">
        <w:rPr>
          <w:noProof/>
          <w:u w:color="000000"/>
          <w:bdr w:val="nil"/>
        </w:rPr>
        <w:t>nteresowanymi stronami</w:t>
      </w:r>
    </w:p>
    <w:p w:rsidR="00C417E9" w:rsidRPr="00BB0D27" w:rsidRDefault="00C417E9" w:rsidP="00C417E9">
      <w:pPr>
        <w:spacing w:before="0" w:after="160" w:line="259" w:lineRule="auto"/>
        <w:rPr>
          <w:rFonts w:eastAsia="Calibri"/>
          <w:noProof/>
          <w:szCs w:val="24"/>
        </w:rPr>
      </w:pPr>
      <w:r w:rsidRPr="00BB0D27">
        <w:rPr>
          <w:noProof/>
        </w:rPr>
        <w:t>Zgodnie</w:t>
      </w:r>
      <w:r w:rsidR="00B73D99" w:rsidRPr="00BB0D27">
        <w:rPr>
          <w:noProof/>
        </w:rPr>
        <w:t xml:space="preserve"> z</w:t>
      </w:r>
      <w:r w:rsidR="00B73D99">
        <w:rPr>
          <w:noProof/>
        </w:rPr>
        <w:t> </w:t>
      </w:r>
      <w:r w:rsidR="00B73D99" w:rsidRPr="00BB0D27">
        <w:rPr>
          <w:noProof/>
        </w:rPr>
        <w:t>wyt</w:t>
      </w:r>
      <w:r w:rsidRPr="00BB0D27">
        <w:rPr>
          <w:noProof/>
        </w:rPr>
        <w:t>ycznymi</w:t>
      </w:r>
      <w:r w:rsidR="00B73D99" w:rsidRPr="00BB0D27">
        <w:rPr>
          <w:noProof/>
        </w:rPr>
        <w:t xml:space="preserve"> w</w:t>
      </w:r>
      <w:r w:rsidR="00B73D99">
        <w:rPr>
          <w:noProof/>
        </w:rPr>
        <w:t> </w:t>
      </w:r>
      <w:r w:rsidR="00B73D99" w:rsidRPr="00BB0D27">
        <w:rPr>
          <w:noProof/>
        </w:rPr>
        <w:t>spr</w:t>
      </w:r>
      <w:r w:rsidRPr="00BB0D27">
        <w:rPr>
          <w:noProof/>
        </w:rPr>
        <w:t>awie lepszego stanowienia prawa zrealizowano szeroko zakrojoną strategię konsultacji, aby zapewnić liczny udział zainteresowanych stron na każdym etapie cyklu politycznego niniejszego wniosku. Zakres strategii konsultacji obejmował odpowiednie zainteresowane strony,</w:t>
      </w:r>
      <w:r w:rsidR="00B73D99" w:rsidRPr="00BB0D27">
        <w:rPr>
          <w:noProof/>
        </w:rPr>
        <w:t xml:space="preserve"> w</w:t>
      </w:r>
      <w:r w:rsidR="00B73D99">
        <w:rPr>
          <w:noProof/>
        </w:rPr>
        <w:t> </w:t>
      </w:r>
      <w:r w:rsidR="00B73D99" w:rsidRPr="00BB0D27">
        <w:rPr>
          <w:noProof/>
        </w:rPr>
        <w:t>tym</w:t>
      </w:r>
      <w:r w:rsidRPr="00BB0D27">
        <w:rPr>
          <w:noProof/>
        </w:rPr>
        <w:t xml:space="preserve"> konsumentów, organizacje konsumenckie zarówno na szczeblu krajowym, jak</w:t>
      </w:r>
      <w:r w:rsidR="00B73D99" w:rsidRPr="00BB0D27">
        <w:rPr>
          <w:noProof/>
        </w:rPr>
        <w:t xml:space="preserve"> i</w:t>
      </w:r>
      <w:r w:rsidR="00B73D99">
        <w:rPr>
          <w:noProof/>
        </w:rPr>
        <w:t> </w:t>
      </w:r>
      <w:r w:rsidR="00B73D99" w:rsidRPr="00BB0D27">
        <w:rPr>
          <w:noProof/>
        </w:rPr>
        <w:t>uni</w:t>
      </w:r>
      <w:r w:rsidRPr="00BB0D27">
        <w:rPr>
          <w:noProof/>
        </w:rPr>
        <w:t>jnym, przedsiębiorstwa</w:t>
      </w:r>
      <w:r w:rsidR="00B73D99" w:rsidRPr="00BB0D27">
        <w:rPr>
          <w:noProof/>
        </w:rPr>
        <w:t xml:space="preserve"> i</w:t>
      </w:r>
      <w:r w:rsidR="00B73D99">
        <w:rPr>
          <w:noProof/>
        </w:rPr>
        <w:t> </w:t>
      </w:r>
      <w:r w:rsidR="00B73D99" w:rsidRPr="00BB0D27">
        <w:rPr>
          <w:noProof/>
        </w:rPr>
        <w:t>sto</w:t>
      </w:r>
      <w:r w:rsidRPr="00BB0D27">
        <w:rPr>
          <w:noProof/>
        </w:rPr>
        <w:t>warzyszenia przedsiębiorców, organizacje środowiskowe, ekspertów akademickich</w:t>
      </w:r>
      <w:r w:rsidR="00B73D99" w:rsidRPr="00BB0D27">
        <w:rPr>
          <w:noProof/>
        </w:rPr>
        <w:t xml:space="preserve"> i</w:t>
      </w:r>
      <w:r w:rsidR="00B73D99">
        <w:rPr>
          <w:noProof/>
        </w:rPr>
        <w:t> </w:t>
      </w:r>
      <w:r w:rsidR="00B73D99" w:rsidRPr="00BB0D27">
        <w:rPr>
          <w:noProof/>
        </w:rPr>
        <w:t>org</w:t>
      </w:r>
      <w:r w:rsidRPr="00BB0D27">
        <w:rPr>
          <w:noProof/>
        </w:rPr>
        <w:t>any krajowe. Przeprowadzono szereg działań konsultacyjnych:</w:t>
      </w:r>
    </w:p>
    <w:p w:rsidR="00C417E9" w:rsidRPr="00BB0D27" w:rsidRDefault="00CC081D" w:rsidP="00192E50">
      <w:pPr>
        <w:pStyle w:val="Bullet0"/>
        <w:rPr>
          <w:noProof/>
        </w:rPr>
      </w:pPr>
      <w:r w:rsidRPr="00BB0D27">
        <w:rPr>
          <w:noProof/>
        </w:rPr>
        <w:t xml:space="preserve">zaproszenie do zgłaszania uwag przez okres 12 tygodni </w:t>
      </w:r>
      <w:r w:rsidRPr="00B73D99">
        <w:rPr>
          <w:noProof/>
        </w:rPr>
        <w:t>od</w:t>
      </w:r>
      <w:r w:rsidR="00B73D99" w:rsidRPr="00B73D99">
        <w:rPr>
          <w:noProof/>
        </w:rPr>
        <w:t> </w:t>
      </w:r>
      <w:r w:rsidRPr="00B73D99">
        <w:rPr>
          <w:noProof/>
        </w:rPr>
        <w:t>1</w:t>
      </w:r>
      <w:r w:rsidRPr="00BB0D27">
        <w:rPr>
          <w:noProof/>
        </w:rPr>
        <w:t>1 stycznia 20</w:t>
      </w:r>
      <w:r w:rsidRPr="00B73D99">
        <w:rPr>
          <w:noProof/>
        </w:rPr>
        <w:t>22</w:t>
      </w:r>
      <w:r w:rsidR="00B73D99" w:rsidRPr="00B73D99">
        <w:rPr>
          <w:noProof/>
        </w:rPr>
        <w:t> </w:t>
      </w:r>
      <w:r w:rsidRPr="00B73D99">
        <w:rPr>
          <w:noProof/>
        </w:rPr>
        <w:t>r.</w:t>
      </w:r>
      <w:r w:rsidRPr="00BB0D27">
        <w:rPr>
          <w:noProof/>
        </w:rPr>
        <w:t xml:space="preserve"> </w:t>
      </w:r>
      <w:r w:rsidRPr="00B73D99">
        <w:rPr>
          <w:noProof/>
        </w:rPr>
        <w:t>do</w:t>
      </w:r>
      <w:r w:rsidR="00B73D99" w:rsidRPr="00B73D99">
        <w:rPr>
          <w:noProof/>
        </w:rPr>
        <w:t> </w:t>
      </w:r>
      <w:r w:rsidRPr="00B73D99">
        <w:rPr>
          <w:noProof/>
        </w:rPr>
        <w:t>5</w:t>
      </w:r>
      <w:r w:rsidRPr="00BB0D27">
        <w:rPr>
          <w:noProof/>
        </w:rPr>
        <w:t xml:space="preserve"> kwietnia 20</w:t>
      </w:r>
      <w:r w:rsidRPr="00B73D99">
        <w:rPr>
          <w:noProof/>
        </w:rPr>
        <w:t>22</w:t>
      </w:r>
      <w:r w:rsidR="00B73D99" w:rsidRPr="00B73D99">
        <w:rPr>
          <w:noProof/>
        </w:rPr>
        <w:t> </w:t>
      </w:r>
      <w:r w:rsidRPr="00B73D99">
        <w:rPr>
          <w:noProof/>
        </w:rPr>
        <w:t>r.</w:t>
      </w:r>
      <w:r w:rsidRPr="00BB0D27">
        <w:rPr>
          <w:noProof/>
        </w:rPr>
        <w:t>,</w:t>
      </w:r>
      <w:r w:rsidR="00B73D99" w:rsidRPr="00BB0D27">
        <w:rPr>
          <w:noProof/>
        </w:rPr>
        <w:t xml:space="preserve"> w</w:t>
      </w:r>
      <w:r w:rsidR="00B73D99">
        <w:rPr>
          <w:noProof/>
        </w:rPr>
        <w:t> </w:t>
      </w:r>
      <w:r w:rsidR="00B73D99" w:rsidRPr="00BB0D27">
        <w:rPr>
          <w:noProof/>
        </w:rPr>
        <w:t>wyn</w:t>
      </w:r>
      <w:r w:rsidRPr="00BB0D27">
        <w:rPr>
          <w:noProof/>
        </w:rPr>
        <w:t xml:space="preserve">iku którego otrzymano 325 uwag, </w:t>
      </w:r>
    </w:p>
    <w:p w:rsidR="00C417E9" w:rsidRPr="00BB0D27" w:rsidRDefault="00CC081D" w:rsidP="00192E50">
      <w:pPr>
        <w:pStyle w:val="Bullet0"/>
        <w:rPr>
          <w:noProof/>
        </w:rPr>
      </w:pPr>
      <w:r w:rsidRPr="00BB0D27">
        <w:rPr>
          <w:noProof/>
        </w:rPr>
        <w:t xml:space="preserve">internetowe otwarte konsultacje publiczne przez okres 12 tygodni </w:t>
      </w:r>
      <w:r w:rsidRPr="00B73D99">
        <w:rPr>
          <w:noProof/>
        </w:rPr>
        <w:t>od</w:t>
      </w:r>
      <w:r w:rsidR="00B73D99" w:rsidRPr="00B73D99">
        <w:rPr>
          <w:noProof/>
        </w:rPr>
        <w:t> </w:t>
      </w:r>
      <w:r w:rsidRPr="00B73D99">
        <w:rPr>
          <w:noProof/>
        </w:rPr>
        <w:t>1</w:t>
      </w:r>
      <w:r w:rsidRPr="00BB0D27">
        <w:rPr>
          <w:noProof/>
        </w:rPr>
        <w:t>1 stycznia 20</w:t>
      </w:r>
      <w:r w:rsidRPr="00B73D99">
        <w:rPr>
          <w:noProof/>
        </w:rPr>
        <w:t>22</w:t>
      </w:r>
      <w:r w:rsidR="00B73D99" w:rsidRPr="00B73D99">
        <w:rPr>
          <w:noProof/>
        </w:rPr>
        <w:t> </w:t>
      </w:r>
      <w:r w:rsidRPr="00B73D99">
        <w:rPr>
          <w:noProof/>
        </w:rPr>
        <w:t>r.</w:t>
      </w:r>
      <w:r w:rsidRPr="00BB0D27">
        <w:rPr>
          <w:noProof/>
        </w:rPr>
        <w:t xml:space="preserve"> </w:t>
      </w:r>
      <w:r w:rsidRPr="00B73D99">
        <w:rPr>
          <w:noProof/>
        </w:rPr>
        <w:t>do</w:t>
      </w:r>
      <w:r w:rsidR="00B73D99" w:rsidRPr="00B73D99">
        <w:rPr>
          <w:noProof/>
          <w:vertAlign w:val="superscript"/>
        </w:rPr>
        <w:t> </w:t>
      </w:r>
      <w:r w:rsidRPr="00B73D99">
        <w:rPr>
          <w:noProof/>
        </w:rPr>
        <w:t>5</w:t>
      </w:r>
      <w:r w:rsidRPr="00BB0D27">
        <w:rPr>
          <w:noProof/>
        </w:rPr>
        <w:t xml:space="preserve"> kwietnia 20</w:t>
      </w:r>
      <w:r w:rsidRPr="00B73D99">
        <w:rPr>
          <w:noProof/>
        </w:rPr>
        <w:t>22</w:t>
      </w:r>
      <w:r w:rsidR="00B73D99" w:rsidRPr="00B73D99">
        <w:rPr>
          <w:noProof/>
        </w:rPr>
        <w:t> </w:t>
      </w:r>
      <w:r w:rsidRPr="00B73D99">
        <w:rPr>
          <w:noProof/>
        </w:rPr>
        <w:t>r.</w:t>
      </w:r>
      <w:r w:rsidRPr="00BB0D27">
        <w:rPr>
          <w:noProof/>
        </w:rPr>
        <w:t>,</w:t>
      </w:r>
      <w:r w:rsidR="00B73D99" w:rsidRPr="00BB0D27">
        <w:rPr>
          <w:noProof/>
        </w:rPr>
        <w:t xml:space="preserve"> w</w:t>
      </w:r>
      <w:r w:rsidR="00B73D99">
        <w:rPr>
          <w:noProof/>
        </w:rPr>
        <w:t> </w:t>
      </w:r>
      <w:r w:rsidR="00B73D99" w:rsidRPr="00BB0D27">
        <w:rPr>
          <w:noProof/>
        </w:rPr>
        <w:t>wyn</w:t>
      </w:r>
      <w:r w:rsidRPr="00BB0D27">
        <w:rPr>
          <w:noProof/>
        </w:rPr>
        <w:t>iku których otrzymano 331 uwag,</w:t>
      </w:r>
    </w:p>
    <w:p w:rsidR="00C417E9" w:rsidRPr="00BB0D27" w:rsidRDefault="00CC081D" w:rsidP="00192E50">
      <w:pPr>
        <w:pStyle w:val="Bullet0"/>
        <w:rPr>
          <w:noProof/>
        </w:rPr>
      </w:pPr>
      <w:r w:rsidRPr="00BB0D27">
        <w:rPr>
          <w:noProof/>
        </w:rPr>
        <w:t>badania statystyczne konsumentów</w:t>
      </w:r>
      <w:r w:rsidR="00B73D99" w:rsidRPr="00BB0D27">
        <w:rPr>
          <w:noProof/>
        </w:rPr>
        <w:t xml:space="preserve"> i</w:t>
      </w:r>
      <w:r w:rsidR="00B73D99">
        <w:rPr>
          <w:noProof/>
        </w:rPr>
        <w:t> </w:t>
      </w:r>
      <w:r w:rsidR="00B73D99" w:rsidRPr="00BB0D27">
        <w:rPr>
          <w:noProof/>
        </w:rPr>
        <w:t>prz</w:t>
      </w:r>
      <w:r w:rsidRPr="00BB0D27">
        <w:rPr>
          <w:noProof/>
        </w:rPr>
        <w:t>edsiębiorstw, doświadczenia behawioralne</w:t>
      </w:r>
      <w:r w:rsidR="00B73D99" w:rsidRPr="00BB0D27">
        <w:rPr>
          <w:noProof/>
        </w:rPr>
        <w:t xml:space="preserve"> i</w:t>
      </w:r>
      <w:r w:rsidR="00B73D99">
        <w:rPr>
          <w:noProof/>
        </w:rPr>
        <w:t> </w:t>
      </w:r>
      <w:r w:rsidR="00B73D99" w:rsidRPr="00BB0D27">
        <w:rPr>
          <w:noProof/>
        </w:rPr>
        <w:t>uki</w:t>
      </w:r>
      <w:r w:rsidRPr="00BB0D27">
        <w:rPr>
          <w:noProof/>
        </w:rPr>
        <w:t>erunkowane rozmowy</w:t>
      </w:r>
      <w:r w:rsidR="00B73D99" w:rsidRPr="00BB0D27">
        <w:rPr>
          <w:noProof/>
        </w:rPr>
        <w:t xml:space="preserve"> w</w:t>
      </w:r>
      <w:r w:rsidR="00B73D99">
        <w:rPr>
          <w:noProof/>
        </w:rPr>
        <w:t> </w:t>
      </w:r>
      <w:r w:rsidR="00B73D99" w:rsidRPr="00BB0D27">
        <w:rPr>
          <w:noProof/>
        </w:rPr>
        <w:t>kon</w:t>
      </w:r>
      <w:r w:rsidRPr="00BB0D27">
        <w:rPr>
          <w:noProof/>
        </w:rPr>
        <w:t>tekście badania uzupełniającego ocenę skutków,</w:t>
      </w:r>
    </w:p>
    <w:p w:rsidR="00C417E9" w:rsidRPr="00BB0D27" w:rsidRDefault="00CC081D" w:rsidP="00192E50">
      <w:pPr>
        <w:pStyle w:val="Bullet0"/>
        <w:rPr>
          <w:noProof/>
        </w:rPr>
      </w:pPr>
      <w:r w:rsidRPr="00BB0D27">
        <w:rPr>
          <w:noProof/>
        </w:rPr>
        <w:t>ukierunkowane spotkania dwustronne</w:t>
      </w:r>
      <w:r w:rsidR="00B73D99" w:rsidRPr="00BB0D27">
        <w:rPr>
          <w:noProof/>
        </w:rPr>
        <w:t xml:space="preserve"> z</w:t>
      </w:r>
      <w:r w:rsidR="00B73D99">
        <w:rPr>
          <w:noProof/>
        </w:rPr>
        <w:t> </w:t>
      </w:r>
      <w:r w:rsidR="00B73D99" w:rsidRPr="00BB0D27">
        <w:rPr>
          <w:noProof/>
        </w:rPr>
        <w:t>zai</w:t>
      </w:r>
      <w:r w:rsidRPr="00BB0D27">
        <w:rPr>
          <w:noProof/>
        </w:rPr>
        <w:t>nteresowanymi stronami,</w:t>
      </w:r>
    </w:p>
    <w:p w:rsidR="00C417E9" w:rsidRPr="00BB0D27" w:rsidRDefault="00CC081D" w:rsidP="00192E50">
      <w:pPr>
        <w:pStyle w:val="Bullet0"/>
        <w:rPr>
          <w:noProof/>
        </w:rPr>
      </w:pPr>
      <w:r w:rsidRPr="00BB0D27">
        <w:rPr>
          <w:noProof/>
        </w:rPr>
        <w:t>warsztaty</w:t>
      </w:r>
      <w:r w:rsidR="00B73D99" w:rsidRPr="00BB0D27">
        <w:rPr>
          <w:noProof/>
        </w:rPr>
        <w:t xml:space="preserve"> z</w:t>
      </w:r>
      <w:r w:rsidR="00B73D99">
        <w:rPr>
          <w:noProof/>
        </w:rPr>
        <w:t> </w:t>
      </w:r>
      <w:r w:rsidR="00B73D99" w:rsidRPr="00BB0D27">
        <w:rPr>
          <w:noProof/>
        </w:rPr>
        <w:t>pań</w:t>
      </w:r>
      <w:r w:rsidRPr="00BB0D27">
        <w:rPr>
          <w:noProof/>
        </w:rPr>
        <w:t xml:space="preserve">stwami członkowskimi, które odbyły </w:t>
      </w:r>
      <w:r w:rsidRPr="00B73D99">
        <w:rPr>
          <w:noProof/>
        </w:rPr>
        <w:t>się</w:t>
      </w:r>
      <w:r w:rsidR="00B73D99" w:rsidRPr="00B73D99">
        <w:rPr>
          <w:noProof/>
        </w:rPr>
        <w:t> </w:t>
      </w:r>
      <w:r w:rsidRPr="00B73D99">
        <w:rPr>
          <w:noProof/>
        </w:rPr>
        <w:t>7</w:t>
      </w:r>
      <w:r w:rsidRPr="00BB0D27">
        <w:rPr>
          <w:noProof/>
        </w:rPr>
        <w:t xml:space="preserve"> kwietnia 20</w:t>
      </w:r>
      <w:r w:rsidRPr="00B73D99">
        <w:rPr>
          <w:noProof/>
        </w:rPr>
        <w:t>22</w:t>
      </w:r>
      <w:r w:rsidR="00B73D99" w:rsidRPr="00B73D99">
        <w:rPr>
          <w:noProof/>
        </w:rPr>
        <w:t> </w:t>
      </w:r>
      <w:r w:rsidRPr="00B73D99">
        <w:rPr>
          <w:noProof/>
        </w:rPr>
        <w:t>r.</w:t>
      </w:r>
    </w:p>
    <w:p w:rsidR="00C417E9" w:rsidRPr="00BB0D27" w:rsidRDefault="00C417E9" w:rsidP="00C417E9">
      <w:pPr>
        <w:spacing w:before="0" w:after="160" w:line="259" w:lineRule="auto"/>
        <w:ind w:left="360"/>
        <w:rPr>
          <w:rFonts w:eastAsia="Calibri"/>
          <w:i/>
          <w:noProof/>
          <w:sz w:val="27"/>
        </w:rPr>
      </w:pPr>
      <w:r w:rsidRPr="00BB0D27">
        <w:rPr>
          <w:i/>
          <w:noProof/>
          <w:sz w:val="27"/>
        </w:rPr>
        <w:t>Otwarte konsultacje publiczne</w:t>
      </w:r>
    </w:p>
    <w:p w:rsidR="00C417E9" w:rsidRPr="00BB0D27" w:rsidRDefault="00C417E9" w:rsidP="00C417E9">
      <w:pPr>
        <w:spacing w:before="0" w:after="160" w:line="259" w:lineRule="auto"/>
        <w:rPr>
          <w:rFonts w:eastAsia="Calibri"/>
          <w:noProof/>
          <w:szCs w:val="24"/>
        </w:rPr>
      </w:pPr>
      <w:r w:rsidRPr="00BB0D27">
        <w:rPr>
          <w:noProof/>
        </w:rPr>
        <w:t>W ramach otwartych konsultacji publicznych większość respondentów zgodziła się co do istnienia problemu, jakim jest skracanie czasu użytkowania większości towarów nabywanych przez konsumentów. Wśród wszystkich kategorii zainteresowanych stron główne przyczyny skróconego okresu użytkowania towarów nabywanych przez konsumentów obejmują trudności</w:t>
      </w:r>
      <w:r w:rsidR="00B73D99" w:rsidRPr="00BB0D27">
        <w:rPr>
          <w:noProof/>
        </w:rPr>
        <w:t xml:space="preserve"> z</w:t>
      </w:r>
      <w:r w:rsidR="00B73D99">
        <w:rPr>
          <w:noProof/>
        </w:rPr>
        <w:t> </w:t>
      </w:r>
      <w:r w:rsidR="00B73D99" w:rsidRPr="00BB0D27">
        <w:rPr>
          <w:noProof/>
        </w:rPr>
        <w:t>sam</w:t>
      </w:r>
      <w:r w:rsidRPr="00BB0D27">
        <w:rPr>
          <w:noProof/>
        </w:rPr>
        <w:t>odzielną naprawą produktów przez konsumentów, jak również niedogodności związane</w:t>
      </w:r>
      <w:r w:rsidR="00B73D99" w:rsidRPr="00BB0D27">
        <w:rPr>
          <w:noProof/>
        </w:rPr>
        <w:t xml:space="preserve"> z</w:t>
      </w:r>
      <w:r w:rsidR="00B73D99">
        <w:rPr>
          <w:noProof/>
        </w:rPr>
        <w:t> </w:t>
      </w:r>
      <w:r w:rsidR="00B73D99" w:rsidRPr="00BB0D27">
        <w:rPr>
          <w:noProof/>
        </w:rPr>
        <w:t>usł</w:t>
      </w:r>
      <w:r w:rsidRPr="00BB0D27">
        <w:rPr>
          <w:noProof/>
        </w:rPr>
        <w:t xml:space="preserve">ugami naprawczymi, wysokie koszty lub brak dostępności usług naprawczych dla konsumentów. </w:t>
      </w:r>
    </w:p>
    <w:p w:rsidR="00C417E9" w:rsidRPr="00BB0D27" w:rsidRDefault="00CC081D" w:rsidP="00C417E9">
      <w:pPr>
        <w:spacing w:before="0" w:after="160" w:line="259" w:lineRule="auto"/>
        <w:rPr>
          <w:rFonts w:eastAsia="Calibri"/>
          <w:noProof/>
          <w:szCs w:val="24"/>
        </w:rPr>
      </w:pPr>
      <w:r w:rsidRPr="00BB0D27">
        <w:rPr>
          <w:noProof/>
        </w:rPr>
        <w:t>Zdecydowana większość wszystkich respondentów zgodziła się, że wprowadzenie zachęt do naprawiania produktów zamiast kupowania nowych</w:t>
      </w:r>
      <w:r w:rsidR="00B73D99" w:rsidRPr="00BB0D27">
        <w:rPr>
          <w:noProof/>
        </w:rPr>
        <w:t xml:space="preserve"> w</w:t>
      </w:r>
      <w:r w:rsidR="00B73D99">
        <w:rPr>
          <w:noProof/>
        </w:rPr>
        <w:t> </w:t>
      </w:r>
      <w:r w:rsidR="00B73D99" w:rsidRPr="00BB0D27">
        <w:rPr>
          <w:noProof/>
        </w:rPr>
        <w:t>prz</w:t>
      </w:r>
      <w:r w:rsidRPr="00BB0D27">
        <w:rPr>
          <w:noProof/>
        </w:rPr>
        <w:t>ypadku wystąpienia wad, zarówno</w:t>
      </w:r>
      <w:r w:rsidR="00B73D99" w:rsidRPr="00BB0D27">
        <w:rPr>
          <w:noProof/>
        </w:rPr>
        <w:t xml:space="preserve"> w</w:t>
      </w:r>
      <w:r w:rsidR="00B73D99">
        <w:rPr>
          <w:noProof/>
        </w:rPr>
        <w:t> </w:t>
      </w:r>
      <w:r w:rsidR="00B73D99" w:rsidRPr="00BB0D27">
        <w:rPr>
          <w:noProof/>
        </w:rPr>
        <w:t>ram</w:t>
      </w:r>
      <w:r w:rsidRPr="00BB0D27">
        <w:rPr>
          <w:noProof/>
        </w:rPr>
        <w:t>ach gwarancji prawnej, jak</w:t>
      </w:r>
      <w:r w:rsidR="00B73D99" w:rsidRPr="00BB0D27">
        <w:rPr>
          <w:noProof/>
        </w:rPr>
        <w:t xml:space="preserve"> i</w:t>
      </w:r>
      <w:r w:rsidR="00B73D99">
        <w:rPr>
          <w:noProof/>
        </w:rPr>
        <w:t> </w:t>
      </w:r>
      <w:r w:rsidR="00B73D99" w:rsidRPr="00BB0D27">
        <w:rPr>
          <w:noProof/>
        </w:rPr>
        <w:t>poz</w:t>
      </w:r>
      <w:r w:rsidRPr="00BB0D27">
        <w:rPr>
          <w:noProof/>
        </w:rPr>
        <w:t>a jej zakresem, jest celem, do którego należy dążyć, aby promować zrównoważoną konsumpcję. Zdecydowana większość wszystkich zainteresowanych stron zgodziła się również, że zapewnienie zachęt do nabywania</w:t>
      </w:r>
      <w:r w:rsidR="00B73D99" w:rsidRPr="00BB0D27">
        <w:rPr>
          <w:noProof/>
        </w:rPr>
        <w:t xml:space="preserve"> i</w:t>
      </w:r>
      <w:r w:rsidR="00B73D99">
        <w:rPr>
          <w:noProof/>
        </w:rPr>
        <w:t> </w:t>
      </w:r>
      <w:r w:rsidR="00B73D99" w:rsidRPr="00BB0D27">
        <w:rPr>
          <w:noProof/>
        </w:rPr>
        <w:t>uży</w:t>
      </w:r>
      <w:r w:rsidRPr="00BB0D27">
        <w:rPr>
          <w:noProof/>
        </w:rPr>
        <w:t xml:space="preserve">wania towarów odnowionych jest ważnym celem służącym promowaniu zrównoważonej konsumpcji. Wyraźna większość wszystkich respondentów uznała UE za właściwy szczebel do podejmowania działań. </w:t>
      </w:r>
    </w:p>
    <w:p w:rsidR="00C417E9" w:rsidRPr="00BB0D27" w:rsidRDefault="00C417E9" w:rsidP="00C417E9">
      <w:pPr>
        <w:spacing w:before="0" w:after="160" w:line="259" w:lineRule="auto"/>
        <w:rPr>
          <w:rFonts w:eastAsia="Calibri"/>
          <w:noProof/>
          <w:szCs w:val="24"/>
        </w:rPr>
      </w:pPr>
      <w:r w:rsidRPr="00BB0D27">
        <w:rPr>
          <w:noProof/>
        </w:rPr>
        <w:t>Nieznaczna większość wszystkich zainteresowanych stron,</w:t>
      </w:r>
      <w:r w:rsidR="00B73D99" w:rsidRPr="00BB0D27">
        <w:rPr>
          <w:noProof/>
        </w:rPr>
        <w:t xml:space="preserve"> w</w:t>
      </w:r>
      <w:r w:rsidR="00B73D99">
        <w:rPr>
          <w:noProof/>
        </w:rPr>
        <w:t> </w:t>
      </w:r>
      <w:r w:rsidR="00B73D99" w:rsidRPr="00BB0D27">
        <w:rPr>
          <w:noProof/>
        </w:rPr>
        <w:t>tym</w:t>
      </w:r>
      <w:r w:rsidRPr="00BB0D27">
        <w:rPr>
          <w:noProof/>
        </w:rPr>
        <w:t xml:space="preserve"> większość obywateli UE, zainteresowane przedsiębiorstwa</w:t>
      </w:r>
      <w:r w:rsidR="00B73D99" w:rsidRPr="00BB0D27">
        <w:rPr>
          <w:noProof/>
        </w:rPr>
        <w:t xml:space="preserve"> i</w:t>
      </w:r>
      <w:r w:rsidR="00B73D99">
        <w:rPr>
          <w:noProof/>
        </w:rPr>
        <w:t> </w:t>
      </w:r>
      <w:r w:rsidR="00B73D99" w:rsidRPr="00BB0D27">
        <w:rPr>
          <w:noProof/>
        </w:rPr>
        <w:t>org</w:t>
      </w:r>
      <w:r w:rsidRPr="00BB0D27">
        <w:rPr>
          <w:noProof/>
        </w:rPr>
        <w:t>any publiczne, które udzieliły odpowiedzi, uznała za skuteczną możliwość nadania priorytetu naprawie</w:t>
      </w:r>
      <w:r w:rsidR="00B73D99" w:rsidRPr="00BB0D27">
        <w:rPr>
          <w:noProof/>
        </w:rPr>
        <w:t xml:space="preserve"> w</w:t>
      </w:r>
      <w:r w:rsidR="00B73D99">
        <w:rPr>
          <w:noProof/>
        </w:rPr>
        <w:t> </w:t>
      </w:r>
      <w:r w:rsidR="00B73D99" w:rsidRPr="00BB0D27">
        <w:rPr>
          <w:noProof/>
        </w:rPr>
        <w:t>każ</w:t>
      </w:r>
      <w:r w:rsidRPr="00BB0D27">
        <w:rPr>
          <w:noProof/>
        </w:rPr>
        <w:t>dym przypadku gdy jest ona tańsza niż wymiana. Większość konsumentów</w:t>
      </w:r>
      <w:r w:rsidR="00B73D99" w:rsidRPr="00BB0D27">
        <w:rPr>
          <w:noProof/>
        </w:rPr>
        <w:t xml:space="preserve"> i</w:t>
      </w:r>
      <w:r w:rsidR="00B73D99">
        <w:rPr>
          <w:noProof/>
        </w:rPr>
        <w:t> </w:t>
      </w:r>
      <w:r w:rsidR="00B73D99" w:rsidRPr="00BB0D27">
        <w:rPr>
          <w:noProof/>
        </w:rPr>
        <w:t>org</w:t>
      </w:r>
      <w:r w:rsidRPr="00BB0D27">
        <w:rPr>
          <w:noProof/>
        </w:rPr>
        <w:t xml:space="preserve">anizacji środowiskowych uznała ten środek za nieskuteczny. </w:t>
      </w:r>
    </w:p>
    <w:p w:rsidR="00C417E9" w:rsidRPr="00BB0D27" w:rsidRDefault="00C417E9" w:rsidP="00C417E9">
      <w:pPr>
        <w:spacing w:before="0" w:after="160" w:line="259" w:lineRule="auto"/>
        <w:rPr>
          <w:rFonts w:eastAsia="Calibri"/>
          <w:noProof/>
          <w:szCs w:val="24"/>
        </w:rPr>
      </w:pPr>
      <w:r w:rsidRPr="00BB0D27">
        <w:rPr>
          <w:noProof/>
        </w:rPr>
        <w:t>Połowa wszystkich zainteresowanych stron, które udzieliły odpowiedzi, uznała dobrowolne zobowiązania ukierunkowane na promowanie naprawy za skuteczne środki</w:t>
      </w:r>
      <w:r w:rsidR="00B73D99" w:rsidRPr="00BB0D27">
        <w:rPr>
          <w:noProof/>
        </w:rPr>
        <w:t>. W</w:t>
      </w:r>
      <w:r w:rsidR="00B73D99">
        <w:rPr>
          <w:noProof/>
        </w:rPr>
        <w:t> </w:t>
      </w:r>
      <w:r w:rsidR="00B73D99" w:rsidRPr="00BB0D27">
        <w:rPr>
          <w:noProof/>
        </w:rPr>
        <w:t>szc</w:t>
      </w:r>
      <w:r w:rsidRPr="00BB0D27">
        <w:rPr>
          <w:noProof/>
        </w:rPr>
        <w:t>zególności zainteresowane przedsiębiorstwa uznały ten środek za skuteczny, natomiast większość organizacji środowiskowych</w:t>
      </w:r>
      <w:r w:rsidR="00B73D99" w:rsidRPr="00BB0D27">
        <w:rPr>
          <w:noProof/>
        </w:rPr>
        <w:t xml:space="preserve"> i</w:t>
      </w:r>
      <w:r w:rsidR="00B73D99">
        <w:rPr>
          <w:noProof/>
        </w:rPr>
        <w:t> </w:t>
      </w:r>
      <w:r w:rsidR="00B73D99" w:rsidRPr="00BB0D27">
        <w:rPr>
          <w:noProof/>
        </w:rPr>
        <w:t>poł</w:t>
      </w:r>
      <w:r w:rsidRPr="00BB0D27">
        <w:rPr>
          <w:noProof/>
        </w:rPr>
        <w:t xml:space="preserve">owa organizacji konsumenckich udzielających odpowiedzi uznała go za nieskuteczny. </w:t>
      </w:r>
    </w:p>
    <w:p w:rsidR="00C417E9" w:rsidRPr="00BB0D27" w:rsidRDefault="00C417E9" w:rsidP="00C417E9">
      <w:pPr>
        <w:spacing w:before="0" w:after="160" w:line="259" w:lineRule="auto"/>
        <w:rPr>
          <w:rFonts w:eastAsia="Calibri"/>
          <w:noProof/>
          <w:szCs w:val="24"/>
        </w:rPr>
      </w:pPr>
      <w:r w:rsidRPr="00BB0D27">
        <w:rPr>
          <w:noProof/>
        </w:rPr>
        <w:t>W kwestii obowiązku producenta</w:t>
      </w:r>
      <w:r w:rsidR="00B73D99" w:rsidRPr="00BB0D27">
        <w:rPr>
          <w:noProof/>
        </w:rPr>
        <w:t xml:space="preserve"> w</w:t>
      </w:r>
      <w:r w:rsidR="00B73D99">
        <w:rPr>
          <w:noProof/>
        </w:rPr>
        <w:t> </w:t>
      </w:r>
      <w:r w:rsidR="00B73D99" w:rsidRPr="00BB0D27">
        <w:rPr>
          <w:noProof/>
        </w:rPr>
        <w:t>zak</w:t>
      </w:r>
      <w:r w:rsidRPr="00BB0D27">
        <w:rPr>
          <w:noProof/>
        </w:rPr>
        <w:t>resie naprawy za określoną cenę nieznaczna większość respondentów uznała, że powinien on mieć zastosowanie</w:t>
      </w:r>
      <w:r w:rsidR="00B73D99" w:rsidRPr="00BB0D27">
        <w:rPr>
          <w:noProof/>
        </w:rPr>
        <w:t xml:space="preserve"> w</w:t>
      </w:r>
      <w:r w:rsidR="00B73D99">
        <w:rPr>
          <w:noProof/>
        </w:rPr>
        <w:t> </w:t>
      </w:r>
      <w:r w:rsidR="00B73D99" w:rsidRPr="00BB0D27">
        <w:rPr>
          <w:noProof/>
        </w:rPr>
        <w:t>syt</w:t>
      </w:r>
      <w:r w:rsidRPr="00BB0D27">
        <w:rPr>
          <w:noProof/>
        </w:rPr>
        <w:t>uacji gdy wady wynikają ze zużycia,</w:t>
      </w:r>
      <w:r w:rsidR="00B73D99" w:rsidRPr="00BB0D27">
        <w:rPr>
          <w:noProof/>
        </w:rPr>
        <w:t xml:space="preserve"> a</w:t>
      </w:r>
      <w:r w:rsidR="00B73D99">
        <w:rPr>
          <w:noProof/>
        </w:rPr>
        <w:t> </w:t>
      </w:r>
      <w:r w:rsidR="00B73D99" w:rsidRPr="00BB0D27">
        <w:rPr>
          <w:noProof/>
        </w:rPr>
        <w:t>poł</w:t>
      </w:r>
      <w:r w:rsidRPr="00BB0D27">
        <w:rPr>
          <w:noProof/>
        </w:rPr>
        <w:t>owa</w:t>
      </w:r>
      <w:r w:rsidR="00B73D99" w:rsidRPr="00BB0D27">
        <w:rPr>
          <w:noProof/>
        </w:rPr>
        <w:t xml:space="preserve"> z</w:t>
      </w:r>
      <w:r w:rsidR="00B73D99">
        <w:rPr>
          <w:noProof/>
        </w:rPr>
        <w:t> </w:t>
      </w:r>
      <w:r w:rsidR="00B73D99" w:rsidRPr="00BB0D27">
        <w:rPr>
          <w:noProof/>
        </w:rPr>
        <w:t>nic</w:t>
      </w:r>
      <w:r w:rsidRPr="00BB0D27">
        <w:rPr>
          <w:noProof/>
        </w:rPr>
        <w:t>h uznała, że powinien on mieć zastosowanie</w:t>
      </w:r>
      <w:r w:rsidR="00B73D99" w:rsidRPr="00BB0D27">
        <w:rPr>
          <w:noProof/>
        </w:rPr>
        <w:t xml:space="preserve"> w</w:t>
      </w:r>
      <w:r w:rsidR="00B73D99">
        <w:rPr>
          <w:noProof/>
        </w:rPr>
        <w:t> </w:t>
      </w:r>
      <w:r w:rsidR="00B73D99" w:rsidRPr="00BB0D27">
        <w:rPr>
          <w:noProof/>
        </w:rPr>
        <w:t>syt</w:t>
      </w:r>
      <w:r w:rsidRPr="00BB0D27">
        <w:rPr>
          <w:noProof/>
        </w:rPr>
        <w:t>uacji gdy wady wystąpią po wygaśnięciu gwarancji prawnej. Zainteresowane przedsiębiorstwa były odmiennego zdania: jedynie mniejszość uznała, że wady wynikające ze zużycia powinny podlegać temu obowiązkowi.</w:t>
      </w:r>
    </w:p>
    <w:p w:rsidR="00C417E9" w:rsidRPr="00BB0D27" w:rsidRDefault="00C417E9" w:rsidP="00C417E9">
      <w:pPr>
        <w:spacing w:before="0" w:after="160" w:line="259" w:lineRule="auto"/>
        <w:rPr>
          <w:rFonts w:eastAsia="Calibri"/>
          <w:bCs/>
          <w:i/>
          <w:noProof/>
          <w:szCs w:val="24"/>
        </w:rPr>
      </w:pPr>
      <w:r w:rsidRPr="00BB0D27">
        <w:rPr>
          <w:i/>
          <w:noProof/>
        </w:rPr>
        <w:t>Zaproszenie do zgłaszania uwag</w:t>
      </w:r>
    </w:p>
    <w:p w:rsidR="00C417E9" w:rsidRPr="00BB0D27" w:rsidRDefault="00C417E9" w:rsidP="00C417E9">
      <w:pPr>
        <w:spacing w:before="0" w:after="160" w:line="259" w:lineRule="auto"/>
        <w:rPr>
          <w:rFonts w:eastAsia="Calibri"/>
          <w:noProof/>
          <w:szCs w:val="24"/>
        </w:rPr>
      </w:pPr>
      <w:r w:rsidRPr="00BB0D27">
        <w:rPr>
          <w:noProof/>
        </w:rPr>
        <w:t>W zaproszeniu do zgłaszania uwag przedstawiono warianty strategiczne dotyczące promowania naprawy</w:t>
      </w:r>
      <w:r w:rsidR="00B73D99" w:rsidRPr="00BB0D27">
        <w:rPr>
          <w:noProof/>
        </w:rPr>
        <w:t xml:space="preserve"> w</w:t>
      </w:r>
      <w:r w:rsidR="00B73D99">
        <w:rPr>
          <w:noProof/>
        </w:rPr>
        <w:t> </w:t>
      </w:r>
      <w:r w:rsidR="00B73D99" w:rsidRPr="00BB0D27">
        <w:rPr>
          <w:noProof/>
        </w:rPr>
        <w:t>ram</w:t>
      </w:r>
      <w:r w:rsidRPr="00BB0D27">
        <w:rPr>
          <w:noProof/>
        </w:rPr>
        <w:t>ach systemu środków ochrony prawnej określonego</w:t>
      </w:r>
      <w:r w:rsidR="00B73D99" w:rsidRPr="00BB0D27">
        <w:rPr>
          <w:noProof/>
        </w:rPr>
        <w:t xml:space="preserve"> w</w:t>
      </w:r>
      <w:r w:rsidR="00B73D99">
        <w:rPr>
          <w:noProof/>
        </w:rPr>
        <w:t> </w:t>
      </w:r>
      <w:r w:rsidR="00B73D99" w:rsidRPr="00BB0D27">
        <w:rPr>
          <w:noProof/>
        </w:rPr>
        <w:t>dyr</w:t>
      </w:r>
      <w:r w:rsidRPr="00BB0D27">
        <w:rPr>
          <w:noProof/>
        </w:rPr>
        <w:t>ektywie</w:t>
      </w:r>
      <w:r w:rsidR="00B73D99" w:rsidRPr="00BB0D27">
        <w:rPr>
          <w:noProof/>
        </w:rPr>
        <w:t xml:space="preserve"> w</w:t>
      </w:r>
      <w:r w:rsidR="00B73D99">
        <w:rPr>
          <w:noProof/>
        </w:rPr>
        <w:t> </w:t>
      </w:r>
      <w:r w:rsidR="00B73D99" w:rsidRPr="00BB0D27">
        <w:rPr>
          <w:noProof/>
        </w:rPr>
        <w:t>spr</w:t>
      </w:r>
      <w:r w:rsidRPr="00BB0D27">
        <w:rPr>
          <w:noProof/>
        </w:rPr>
        <w:t>awie sprzedaży towarów, obowiązku naprawy</w:t>
      </w:r>
      <w:r w:rsidR="00B73D99" w:rsidRPr="00BB0D27">
        <w:rPr>
          <w:noProof/>
        </w:rPr>
        <w:t xml:space="preserve"> i</w:t>
      </w:r>
      <w:r w:rsidR="00B73D99">
        <w:rPr>
          <w:noProof/>
        </w:rPr>
        <w:t> </w:t>
      </w:r>
      <w:r w:rsidR="00B73D99" w:rsidRPr="00BB0D27">
        <w:rPr>
          <w:noProof/>
        </w:rPr>
        <w:t>dob</w:t>
      </w:r>
      <w:r w:rsidRPr="00BB0D27">
        <w:rPr>
          <w:noProof/>
        </w:rPr>
        <w:t xml:space="preserve">rowolnych zobowiązań ukierunkowanych na promowanie naprawy. </w:t>
      </w:r>
    </w:p>
    <w:p w:rsidR="00C417E9" w:rsidRPr="00BB0D27" w:rsidRDefault="00C417E9" w:rsidP="00C417E9">
      <w:pPr>
        <w:spacing w:before="0" w:after="160" w:line="259" w:lineRule="auto"/>
        <w:rPr>
          <w:rFonts w:eastAsia="Calibri"/>
          <w:noProof/>
          <w:szCs w:val="24"/>
        </w:rPr>
      </w:pPr>
      <w:r w:rsidRPr="00BB0D27">
        <w:rPr>
          <w:noProof/>
        </w:rPr>
        <w:t>Zainteresowane strony należące do różnych kategorii (organizacje/stowarzyszenia przedsiębiorców, przedsiębiorstwa,</w:t>
      </w:r>
      <w:r w:rsidRPr="00BB0D27">
        <w:rPr>
          <w:noProof/>
          <w:color w:val="D13438"/>
          <w:sz w:val="27"/>
          <w:shd w:val="clear" w:color="auto" w:fill="FFFFFF"/>
        </w:rPr>
        <w:t xml:space="preserve"> </w:t>
      </w:r>
      <w:r w:rsidRPr="00BB0D27">
        <w:rPr>
          <w:noProof/>
        </w:rPr>
        <w:t>organizacje pozarządowe) poparły wariant,</w:t>
      </w:r>
      <w:r w:rsidR="00B73D99" w:rsidRPr="00BB0D27">
        <w:rPr>
          <w:noProof/>
        </w:rPr>
        <w:t xml:space="preserve"> w</w:t>
      </w:r>
      <w:r w:rsidR="00B73D99">
        <w:rPr>
          <w:noProof/>
        </w:rPr>
        <w:t> </w:t>
      </w:r>
      <w:r w:rsidR="00B73D99" w:rsidRPr="00BB0D27">
        <w:rPr>
          <w:noProof/>
        </w:rPr>
        <w:t>któ</w:t>
      </w:r>
      <w:r w:rsidRPr="00BB0D27">
        <w:rPr>
          <w:noProof/>
        </w:rPr>
        <w:t>rym priorytetem jest naprawa, jeżeli jest ona tańsza niż wymiana lub kosztuje tyle samo co wymiana</w:t>
      </w:r>
      <w:r w:rsidR="00B73D99" w:rsidRPr="00BB0D27">
        <w:rPr>
          <w:noProof/>
        </w:rPr>
        <w:t xml:space="preserve"> w</w:t>
      </w:r>
      <w:r w:rsidR="00B73D99">
        <w:rPr>
          <w:noProof/>
        </w:rPr>
        <w:t> </w:t>
      </w:r>
      <w:r w:rsidR="00B73D99" w:rsidRPr="00BB0D27">
        <w:rPr>
          <w:noProof/>
        </w:rPr>
        <w:t>kon</w:t>
      </w:r>
      <w:r w:rsidRPr="00BB0D27">
        <w:rPr>
          <w:noProof/>
        </w:rPr>
        <w:t>tekście gwarancji prawnej</w:t>
      </w:r>
      <w:r w:rsidR="00B73D99" w:rsidRPr="00BB0D27">
        <w:rPr>
          <w:noProof/>
        </w:rPr>
        <w:t>. W</w:t>
      </w:r>
      <w:r w:rsidR="00B73D99">
        <w:rPr>
          <w:noProof/>
        </w:rPr>
        <w:t> </w:t>
      </w:r>
      <w:r w:rsidR="00B73D99" w:rsidRPr="00BB0D27">
        <w:rPr>
          <w:noProof/>
        </w:rPr>
        <w:t>odn</w:t>
      </w:r>
      <w:r w:rsidRPr="00BB0D27">
        <w:rPr>
          <w:noProof/>
        </w:rPr>
        <w:t xml:space="preserve">iesieniu do obowiązku naprawy zainteresowane przedsiębiorstwa podkreśliły, że taki obowiązek należy wypełniać za określoną opłatą. Większość zainteresowanych stron poparła wariant dotyczący dobrowolnych zobowiązań ukierunkowanych na promowanie naprawy. </w:t>
      </w:r>
    </w:p>
    <w:p w:rsidR="00C417E9" w:rsidRPr="00BB0D27" w:rsidRDefault="00C417E9" w:rsidP="00C417E9">
      <w:pPr>
        <w:spacing w:before="0" w:after="160" w:line="259" w:lineRule="auto"/>
        <w:rPr>
          <w:rFonts w:eastAsia="Calibri"/>
          <w:bCs/>
          <w:i/>
          <w:noProof/>
          <w:szCs w:val="24"/>
        </w:rPr>
      </w:pPr>
      <w:r w:rsidRPr="00BB0D27">
        <w:rPr>
          <w:i/>
          <w:noProof/>
        </w:rPr>
        <w:t>Warsztaty</w:t>
      </w:r>
      <w:r w:rsidR="00B73D99" w:rsidRPr="00BB0D27">
        <w:rPr>
          <w:i/>
          <w:noProof/>
        </w:rPr>
        <w:t xml:space="preserve"> z</w:t>
      </w:r>
      <w:r w:rsidR="00B73D99">
        <w:rPr>
          <w:i/>
          <w:noProof/>
        </w:rPr>
        <w:t> </w:t>
      </w:r>
      <w:r w:rsidR="00B73D99" w:rsidRPr="00BB0D27">
        <w:rPr>
          <w:i/>
          <w:noProof/>
        </w:rPr>
        <w:t>pań</w:t>
      </w:r>
      <w:r w:rsidRPr="00BB0D27">
        <w:rPr>
          <w:i/>
          <w:noProof/>
        </w:rPr>
        <w:t>stwami członkowskimi</w:t>
      </w:r>
    </w:p>
    <w:p w:rsidR="00C21564" w:rsidRPr="00BB0D27" w:rsidRDefault="00C417E9" w:rsidP="00C417E9">
      <w:pPr>
        <w:spacing w:before="0" w:after="160" w:line="259" w:lineRule="auto"/>
        <w:rPr>
          <w:rFonts w:eastAsia="Calibri"/>
          <w:noProof/>
          <w:szCs w:val="24"/>
        </w:rPr>
      </w:pPr>
      <w:r w:rsidRPr="00BB0D27">
        <w:rPr>
          <w:noProof/>
        </w:rPr>
        <w:t>Wiele państw członkowskich nie zajęło jeszcze stanowiska</w:t>
      </w:r>
      <w:r w:rsidR="00B73D99" w:rsidRPr="00BB0D27">
        <w:rPr>
          <w:noProof/>
        </w:rPr>
        <w:t xml:space="preserve"> w</w:t>
      </w:r>
      <w:r w:rsidR="00B73D99">
        <w:rPr>
          <w:noProof/>
        </w:rPr>
        <w:t> </w:t>
      </w:r>
      <w:r w:rsidR="00B73D99" w:rsidRPr="00BB0D27">
        <w:rPr>
          <w:noProof/>
        </w:rPr>
        <w:t>spr</w:t>
      </w:r>
      <w:r w:rsidRPr="00BB0D27">
        <w:rPr>
          <w:noProof/>
        </w:rPr>
        <w:t>awie przedstawionych środków. Środki,</w:t>
      </w:r>
      <w:r w:rsidR="00B73D99" w:rsidRPr="00BB0D27">
        <w:rPr>
          <w:noProof/>
        </w:rPr>
        <w:t xml:space="preserve"> w</w:t>
      </w:r>
      <w:r w:rsidR="00B73D99">
        <w:rPr>
          <w:noProof/>
        </w:rPr>
        <w:t> </w:t>
      </w:r>
      <w:r w:rsidR="00B73D99" w:rsidRPr="00BB0D27">
        <w:rPr>
          <w:noProof/>
        </w:rPr>
        <w:t>prz</w:t>
      </w:r>
      <w:r w:rsidRPr="00BB0D27">
        <w:rPr>
          <w:noProof/>
        </w:rPr>
        <w:t>ypadku których priorytet nadaje się naprawie</w:t>
      </w:r>
      <w:r w:rsidR="00B73D99" w:rsidRPr="00BB0D27">
        <w:rPr>
          <w:noProof/>
        </w:rPr>
        <w:t xml:space="preserve"> w</w:t>
      </w:r>
      <w:r w:rsidR="00B73D99">
        <w:rPr>
          <w:noProof/>
        </w:rPr>
        <w:t> </w:t>
      </w:r>
      <w:r w:rsidR="00B73D99" w:rsidRPr="00BB0D27">
        <w:rPr>
          <w:noProof/>
        </w:rPr>
        <w:t>ram</w:t>
      </w:r>
      <w:r w:rsidRPr="00BB0D27">
        <w:rPr>
          <w:noProof/>
        </w:rPr>
        <w:t>ach systemu środków ochrony prawnej określonego</w:t>
      </w:r>
      <w:r w:rsidR="00B73D99" w:rsidRPr="00BB0D27">
        <w:rPr>
          <w:noProof/>
        </w:rPr>
        <w:t xml:space="preserve"> w</w:t>
      </w:r>
      <w:r w:rsidR="00B73D99">
        <w:rPr>
          <w:noProof/>
        </w:rPr>
        <w:t> </w:t>
      </w:r>
      <w:r w:rsidR="00B73D99" w:rsidRPr="00BB0D27">
        <w:rPr>
          <w:noProof/>
        </w:rPr>
        <w:t>dyr</w:t>
      </w:r>
      <w:r w:rsidRPr="00BB0D27">
        <w:rPr>
          <w:noProof/>
        </w:rPr>
        <w:t>ektywie</w:t>
      </w:r>
      <w:r w:rsidR="00B73D99" w:rsidRPr="00BB0D27">
        <w:rPr>
          <w:noProof/>
        </w:rPr>
        <w:t xml:space="preserve"> w</w:t>
      </w:r>
      <w:r w:rsidR="00B73D99">
        <w:rPr>
          <w:noProof/>
        </w:rPr>
        <w:t> </w:t>
      </w:r>
      <w:r w:rsidR="00B73D99" w:rsidRPr="00BB0D27">
        <w:rPr>
          <w:noProof/>
        </w:rPr>
        <w:t>spr</w:t>
      </w:r>
      <w:r w:rsidRPr="00BB0D27">
        <w:rPr>
          <w:noProof/>
        </w:rPr>
        <w:t>awie sprzedaży towarów, zasadniczo uzyskały większe poparcie niż środki, które stanowią innego rodzaju zachęty dla konsumentów do wyboru naprawy (takie jak przedłużenie okresu odpowiedzialności po naprawie). Niektóre państwa członkowskie poparły naprawę jako podstawowy środek ochrony prawnej</w:t>
      </w:r>
      <w:r w:rsidR="00B73D99" w:rsidRPr="00BB0D27">
        <w:rPr>
          <w:noProof/>
        </w:rPr>
        <w:t xml:space="preserve"> w</w:t>
      </w:r>
      <w:r w:rsidR="00B73D99">
        <w:rPr>
          <w:noProof/>
        </w:rPr>
        <w:t> </w:t>
      </w:r>
      <w:r w:rsidR="00B73D99" w:rsidRPr="00BB0D27">
        <w:rPr>
          <w:noProof/>
        </w:rPr>
        <w:t>prz</w:t>
      </w:r>
      <w:r w:rsidRPr="00BB0D27">
        <w:rPr>
          <w:noProof/>
        </w:rPr>
        <w:t xml:space="preserve">ypadku gdy jej koszt był niższy niż koszt wymiany lub jemu równy. </w:t>
      </w:r>
    </w:p>
    <w:p w:rsidR="00C417E9" w:rsidRPr="00BB0D27" w:rsidRDefault="00C21564" w:rsidP="00C417E9">
      <w:pPr>
        <w:spacing w:before="0" w:after="160" w:line="259" w:lineRule="auto"/>
        <w:rPr>
          <w:rFonts w:eastAsia="Calibri"/>
          <w:noProof/>
          <w:szCs w:val="24"/>
        </w:rPr>
      </w:pPr>
      <w:r w:rsidRPr="00BB0D27">
        <w:rPr>
          <w:noProof/>
        </w:rPr>
        <w:t>Większość państw członkowskich nie poparła rozwiązania polegającego na nakładaniu na podmioty gospodarcze obowiązku naprawy. Niektóre</w:t>
      </w:r>
      <w:r w:rsidR="00B73D99" w:rsidRPr="00BB0D27">
        <w:rPr>
          <w:noProof/>
        </w:rPr>
        <w:t xml:space="preserve"> z</w:t>
      </w:r>
      <w:r w:rsidR="00B73D99">
        <w:rPr>
          <w:noProof/>
        </w:rPr>
        <w:t> </w:t>
      </w:r>
      <w:r w:rsidR="00B73D99" w:rsidRPr="00BB0D27">
        <w:rPr>
          <w:noProof/>
        </w:rPr>
        <w:t>nic</w:t>
      </w:r>
      <w:r w:rsidRPr="00BB0D27">
        <w:rPr>
          <w:noProof/>
        </w:rPr>
        <w:t>h twierdziły, że taki obowiązek byłby nadmiernym obciążeniem</w:t>
      </w:r>
      <w:r w:rsidR="00B73D99" w:rsidRPr="00BB0D27">
        <w:rPr>
          <w:noProof/>
        </w:rPr>
        <w:t xml:space="preserve"> i</w:t>
      </w:r>
      <w:r w:rsidR="00B73D99">
        <w:rPr>
          <w:noProof/>
        </w:rPr>
        <w:t> </w:t>
      </w:r>
      <w:r w:rsidR="00B73D99" w:rsidRPr="00BB0D27">
        <w:rPr>
          <w:noProof/>
        </w:rPr>
        <w:t>pra</w:t>
      </w:r>
      <w:r w:rsidRPr="00BB0D27">
        <w:rPr>
          <w:noProof/>
        </w:rPr>
        <w:t>wdopodobnie spowodowałby wzrost cen towarów nabywanych przez konsumentów. Państwa członkowskie, które poparły obowiązek naprawy, zwróciły uwagę, że koszty naprawy nie powinny wzrosnąć</w:t>
      </w:r>
      <w:r w:rsidR="00B73D99" w:rsidRPr="00BB0D27">
        <w:rPr>
          <w:noProof/>
        </w:rPr>
        <w:t xml:space="preserve"> z</w:t>
      </w:r>
      <w:r w:rsidR="00B73D99">
        <w:rPr>
          <w:noProof/>
        </w:rPr>
        <w:t> </w:t>
      </w:r>
      <w:r w:rsidR="00B73D99" w:rsidRPr="00BB0D27">
        <w:rPr>
          <w:noProof/>
        </w:rPr>
        <w:t>pow</w:t>
      </w:r>
      <w:r w:rsidRPr="00BB0D27">
        <w:rPr>
          <w:noProof/>
        </w:rPr>
        <w:t>odu tego obowiązku oraz że odpowiedzialność za naprawę powinien ponosić producent,</w:t>
      </w:r>
      <w:r w:rsidR="00B73D99" w:rsidRPr="00BB0D27">
        <w:rPr>
          <w:noProof/>
        </w:rPr>
        <w:t xml:space="preserve"> a</w:t>
      </w:r>
      <w:r w:rsidR="00B73D99">
        <w:rPr>
          <w:noProof/>
        </w:rPr>
        <w:t> </w:t>
      </w:r>
      <w:r w:rsidR="00B73D99" w:rsidRPr="00BB0D27">
        <w:rPr>
          <w:noProof/>
        </w:rPr>
        <w:t>nie</w:t>
      </w:r>
      <w:r w:rsidRPr="00BB0D27">
        <w:rPr>
          <w:noProof/>
        </w:rPr>
        <w:t xml:space="preserve"> sprzedawca. </w:t>
      </w:r>
    </w:p>
    <w:p w:rsidR="00C417E9" w:rsidRPr="00BB0D27" w:rsidRDefault="00C417E9" w:rsidP="00C417E9">
      <w:pPr>
        <w:spacing w:before="0" w:after="160" w:line="259" w:lineRule="auto"/>
        <w:rPr>
          <w:rFonts w:eastAsia="Calibri"/>
          <w:noProof/>
          <w:szCs w:val="24"/>
        </w:rPr>
      </w:pPr>
      <w:r w:rsidRPr="00BB0D27">
        <w:rPr>
          <w:noProof/>
        </w:rPr>
        <w:t>Większość państw członkowskich nie zajęła stanowiska</w:t>
      </w:r>
      <w:r w:rsidR="00B73D99" w:rsidRPr="00BB0D27">
        <w:rPr>
          <w:noProof/>
        </w:rPr>
        <w:t xml:space="preserve"> w</w:t>
      </w:r>
      <w:r w:rsidR="00B73D99">
        <w:rPr>
          <w:noProof/>
        </w:rPr>
        <w:t> </w:t>
      </w:r>
      <w:r w:rsidR="00B73D99" w:rsidRPr="00BB0D27">
        <w:rPr>
          <w:noProof/>
        </w:rPr>
        <w:t>spr</w:t>
      </w:r>
      <w:r w:rsidRPr="00BB0D27">
        <w:rPr>
          <w:noProof/>
        </w:rPr>
        <w:t>awie obowiązku przedstawienia oferty naprawy nieobjętej zakresem stosowania dyrektywy</w:t>
      </w:r>
      <w:r w:rsidR="00B73D99" w:rsidRPr="00BB0D27">
        <w:rPr>
          <w:noProof/>
        </w:rPr>
        <w:t xml:space="preserve"> w</w:t>
      </w:r>
      <w:r w:rsidR="00B73D99">
        <w:rPr>
          <w:noProof/>
        </w:rPr>
        <w:t> </w:t>
      </w:r>
      <w:r w:rsidR="00B73D99" w:rsidRPr="00BB0D27">
        <w:rPr>
          <w:noProof/>
        </w:rPr>
        <w:t>spr</w:t>
      </w:r>
      <w:r w:rsidRPr="00BB0D27">
        <w:rPr>
          <w:noProof/>
        </w:rPr>
        <w:t>awie sprzedaży towarów. Niektóre</w:t>
      </w:r>
      <w:r w:rsidR="00B73D99" w:rsidRPr="00BB0D27">
        <w:rPr>
          <w:noProof/>
        </w:rPr>
        <w:t xml:space="preserve"> z</w:t>
      </w:r>
      <w:r w:rsidR="00B73D99">
        <w:rPr>
          <w:noProof/>
        </w:rPr>
        <w:t> </w:t>
      </w:r>
      <w:r w:rsidR="00B73D99" w:rsidRPr="00BB0D27">
        <w:rPr>
          <w:noProof/>
        </w:rPr>
        <w:t>nic</w:t>
      </w:r>
      <w:r w:rsidRPr="00BB0D27">
        <w:rPr>
          <w:noProof/>
        </w:rPr>
        <w:t>h poparły taki środek,</w:t>
      </w:r>
      <w:r w:rsidR="00B73D99" w:rsidRPr="00BB0D27">
        <w:rPr>
          <w:noProof/>
        </w:rPr>
        <w:t xml:space="preserve"> a</w:t>
      </w:r>
      <w:r w:rsidR="00B73D99">
        <w:rPr>
          <w:noProof/>
        </w:rPr>
        <w:t> </w:t>
      </w:r>
      <w:r w:rsidR="00B73D99" w:rsidRPr="00BB0D27">
        <w:rPr>
          <w:noProof/>
        </w:rPr>
        <w:t>inn</w:t>
      </w:r>
      <w:r w:rsidRPr="00BB0D27">
        <w:rPr>
          <w:noProof/>
        </w:rPr>
        <w:t xml:space="preserve">e okazały niechęć. </w:t>
      </w:r>
    </w:p>
    <w:p w:rsidR="00C417E9" w:rsidRPr="00BB0D27" w:rsidRDefault="00C417E9" w:rsidP="00C417E9">
      <w:pPr>
        <w:spacing w:before="0" w:after="160" w:line="259" w:lineRule="auto"/>
        <w:rPr>
          <w:rFonts w:eastAsia="Times New Roman"/>
          <w:i/>
          <w:noProof/>
          <w:szCs w:val="24"/>
        </w:rPr>
      </w:pPr>
      <w:r w:rsidRPr="00BB0D27">
        <w:rPr>
          <w:i/>
          <w:noProof/>
        </w:rPr>
        <w:t>Gromadzenie danych</w:t>
      </w:r>
      <w:r w:rsidR="00B73D99" w:rsidRPr="00BB0D27">
        <w:rPr>
          <w:i/>
          <w:noProof/>
        </w:rPr>
        <w:t xml:space="preserve"> w</w:t>
      </w:r>
      <w:r w:rsidR="00B73D99">
        <w:rPr>
          <w:i/>
          <w:noProof/>
        </w:rPr>
        <w:t> </w:t>
      </w:r>
      <w:r w:rsidR="00B73D99" w:rsidRPr="00BB0D27">
        <w:rPr>
          <w:i/>
          <w:noProof/>
        </w:rPr>
        <w:t>kon</w:t>
      </w:r>
      <w:r w:rsidRPr="00BB0D27">
        <w:rPr>
          <w:i/>
          <w:noProof/>
        </w:rPr>
        <w:t>tekście badania uzupełniającego ocenę skutków</w:t>
      </w:r>
    </w:p>
    <w:p w:rsidR="00C417E9" w:rsidRPr="00BB0D27" w:rsidRDefault="00C21564" w:rsidP="00C417E9">
      <w:pPr>
        <w:spacing w:before="0" w:after="160" w:line="259" w:lineRule="auto"/>
        <w:rPr>
          <w:rFonts w:eastAsia="Times New Roman"/>
          <w:noProof/>
          <w:szCs w:val="24"/>
        </w:rPr>
      </w:pPr>
      <w:r w:rsidRPr="00BB0D27">
        <w:rPr>
          <w:noProof/>
        </w:rPr>
        <w:t>Gromadzenie danych</w:t>
      </w:r>
      <w:r w:rsidR="00B73D99" w:rsidRPr="00BB0D27">
        <w:rPr>
          <w:noProof/>
        </w:rPr>
        <w:t xml:space="preserve"> w</w:t>
      </w:r>
      <w:r w:rsidR="00B73D99">
        <w:rPr>
          <w:noProof/>
        </w:rPr>
        <w:t> </w:t>
      </w:r>
      <w:r w:rsidR="00B73D99" w:rsidRPr="00BB0D27">
        <w:rPr>
          <w:noProof/>
        </w:rPr>
        <w:t>kon</w:t>
      </w:r>
      <w:r w:rsidRPr="00BB0D27">
        <w:rPr>
          <w:noProof/>
        </w:rPr>
        <w:t>tekście badania uzupełniającego ocenę skutków obejmowało badanie typu Tajemniczy Klient, badanie opinii konsumentów wraz</w:t>
      </w:r>
      <w:r w:rsidR="00B73D99" w:rsidRPr="00BB0D27">
        <w:rPr>
          <w:noProof/>
        </w:rPr>
        <w:t xml:space="preserve"> z</w:t>
      </w:r>
      <w:r w:rsidR="00B73D99">
        <w:rPr>
          <w:noProof/>
        </w:rPr>
        <w:t> </w:t>
      </w:r>
      <w:r w:rsidR="00B73D99" w:rsidRPr="00BB0D27">
        <w:rPr>
          <w:noProof/>
        </w:rPr>
        <w:t>dwo</w:t>
      </w:r>
      <w:r w:rsidRPr="00BB0D27">
        <w:rPr>
          <w:noProof/>
        </w:rPr>
        <w:t>ma zintegrowanymi doświadczeniami</w:t>
      </w:r>
      <w:r w:rsidR="00B73D99" w:rsidRPr="00BB0D27">
        <w:rPr>
          <w:noProof/>
        </w:rPr>
        <w:t xml:space="preserve"> z</w:t>
      </w:r>
      <w:r w:rsidR="00B73D99">
        <w:rPr>
          <w:noProof/>
        </w:rPr>
        <w:t> </w:t>
      </w:r>
      <w:r w:rsidR="00B73D99" w:rsidRPr="00BB0D27">
        <w:rPr>
          <w:noProof/>
        </w:rPr>
        <w:t>udz</w:t>
      </w:r>
      <w:r w:rsidRPr="00BB0D27">
        <w:rPr>
          <w:noProof/>
        </w:rPr>
        <w:t>iałem konsumentów, badanie statystyczne przedsiębiorstw oraz rozmowy</w:t>
      </w:r>
      <w:r w:rsidR="00B73D99" w:rsidRPr="00BB0D27">
        <w:rPr>
          <w:noProof/>
        </w:rPr>
        <w:t xml:space="preserve"> z</w:t>
      </w:r>
      <w:r w:rsidR="00B73D99">
        <w:rPr>
          <w:noProof/>
        </w:rPr>
        <w:t> </w:t>
      </w:r>
      <w:r w:rsidR="00B73D99" w:rsidRPr="00BB0D27">
        <w:rPr>
          <w:noProof/>
        </w:rPr>
        <w:t>zai</w:t>
      </w:r>
      <w:r w:rsidRPr="00BB0D27">
        <w:rPr>
          <w:noProof/>
        </w:rPr>
        <w:t>nteresowanymi stronami. Są one źródłem danych niezbędnych do określenia problemu</w:t>
      </w:r>
      <w:r w:rsidR="00B73D99" w:rsidRPr="00BB0D27">
        <w:rPr>
          <w:noProof/>
        </w:rPr>
        <w:t xml:space="preserve"> i</w:t>
      </w:r>
      <w:r w:rsidR="00B73D99">
        <w:rPr>
          <w:noProof/>
        </w:rPr>
        <w:t> </w:t>
      </w:r>
      <w:r w:rsidR="00B73D99" w:rsidRPr="00BB0D27">
        <w:rPr>
          <w:noProof/>
        </w:rPr>
        <w:t>prz</w:t>
      </w:r>
      <w:r w:rsidRPr="00BB0D27">
        <w:rPr>
          <w:noProof/>
        </w:rPr>
        <w:t xml:space="preserve">eprowadzenia oceny skutków wariantów strategicznych. </w:t>
      </w:r>
    </w:p>
    <w:p w:rsidR="00C417E9" w:rsidRPr="00BB0D27" w:rsidRDefault="00C417E9" w:rsidP="00C417E9">
      <w:pPr>
        <w:spacing w:before="0" w:after="160" w:line="259" w:lineRule="auto"/>
        <w:rPr>
          <w:rFonts w:eastAsia="Times New Roman"/>
          <w:noProof/>
          <w:szCs w:val="24"/>
        </w:rPr>
      </w:pPr>
      <w:r w:rsidRPr="00BB0D27">
        <w:rPr>
          <w:noProof/>
        </w:rPr>
        <w:t>Wynikiem badania typu Tajemniczy Klient ukierunkowanego na sprzedawców detalicznych było 600 uwag na temat doświadczeń konsumentów związanych</w:t>
      </w:r>
      <w:r w:rsidR="00B73D99" w:rsidRPr="00BB0D27">
        <w:rPr>
          <w:noProof/>
        </w:rPr>
        <w:t xml:space="preserve"> z</w:t>
      </w:r>
      <w:r w:rsidR="00B73D99">
        <w:rPr>
          <w:noProof/>
        </w:rPr>
        <w:t> </w:t>
      </w:r>
      <w:r w:rsidR="00B73D99" w:rsidRPr="00BB0D27">
        <w:rPr>
          <w:noProof/>
        </w:rPr>
        <w:t>pos</w:t>
      </w:r>
      <w:r w:rsidRPr="00BB0D27">
        <w:rPr>
          <w:noProof/>
        </w:rPr>
        <w:t>zukiwaniem możliwości naprawy</w:t>
      </w:r>
      <w:r w:rsidR="00B73D99" w:rsidRPr="00BB0D27">
        <w:rPr>
          <w:noProof/>
        </w:rPr>
        <w:t xml:space="preserve"> w</w:t>
      </w:r>
      <w:r w:rsidR="00B73D99">
        <w:rPr>
          <w:noProof/>
        </w:rPr>
        <w:t> </w:t>
      </w:r>
      <w:r w:rsidR="00B73D99" w:rsidRPr="00BB0D27">
        <w:rPr>
          <w:noProof/>
        </w:rPr>
        <w:t>ram</w:t>
      </w:r>
      <w:r w:rsidRPr="00BB0D27">
        <w:rPr>
          <w:noProof/>
        </w:rPr>
        <w:t>ach gwarancji prawnej</w:t>
      </w:r>
      <w:r w:rsidR="00B73D99" w:rsidRPr="00BB0D27">
        <w:rPr>
          <w:noProof/>
        </w:rPr>
        <w:t xml:space="preserve"> i</w:t>
      </w:r>
      <w:r w:rsidR="00B73D99">
        <w:rPr>
          <w:noProof/>
        </w:rPr>
        <w:t> </w:t>
      </w:r>
      <w:r w:rsidR="00B73D99" w:rsidRPr="00BB0D27">
        <w:rPr>
          <w:noProof/>
        </w:rPr>
        <w:t>poz</w:t>
      </w:r>
      <w:r w:rsidRPr="00BB0D27">
        <w:rPr>
          <w:noProof/>
        </w:rPr>
        <w:t>a jej zakresem oraz na temat powodów odmowy wykonania naprawy produktu przez sprzedawców.</w:t>
      </w:r>
    </w:p>
    <w:p w:rsidR="00C417E9" w:rsidRPr="00BB0D27" w:rsidRDefault="00C417E9" w:rsidP="00C417E9">
      <w:pPr>
        <w:spacing w:before="0" w:after="160" w:line="259" w:lineRule="auto"/>
        <w:rPr>
          <w:rFonts w:eastAsia="Times New Roman"/>
          <w:noProof/>
          <w:szCs w:val="24"/>
        </w:rPr>
      </w:pPr>
      <w:bookmarkStart w:id="1" w:name="_Hlk126311000"/>
      <w:r w:rsidRPr="00BB0D27">
        <w:rPr>
          <w:noProof/>
        </w:rPr>
        <w:t>W wyniku badania opinii konsumentów</w:t>
      </w:r>
      <w:r w:rsidR="00B73D99" w:rsidRPr="00BB0D27">
        <w:rPr>
          <w:noProof/>
        </w:rPr>
        <w:t xml:space="preserve"> i</w:t>
      </w:r>
      <w:r w:rsidR="00B73D99">
        <w:rPr>
          <w:noProof/>
        </w:rPr>
        <w:t> </w:t>
      </w:r>
      <w:r w:rsidR="00B73D99" w:rsidRPr="00BB0D27">
        <w:rPr>
          <w:noProof/>
        </w:rPr>
        <w:t>zin</w:t>
      </w:r>
      <w:r w:rsidRPr="00BB0D27">
        <w:rPr>
          <w:noProof/>
        </w:rPr>
        <w:t>tegrowanych doświadczeń dotyczących sytuacji</w:t>
      </w:r>
      <w:r w:rsidR="00B73D99" w:rsidRPr="00BB0D27">
        <w:rPr>
          <w:noProof/>
        </w:rPr>
        <w:t xml:space="preserve"> w</w:t>
      </w:r>
      <w:r w:rsidR="00B73D99">
        <w:rPr>
          <w:noProof/>
        </w:rPr>
        <w:t> </w:t>
      </w:r>
      <w:r w:rsidR="00B73D99" w:rsidRPr="00BB0D27">
        <w:rPr>
          <w:noProof/>
        </w:rPr>
        <w:t>ram</w:t>
      </w:r>
      <w:r w:rsidRPr="00BB0D27">
        <w:rPr>
          <w:noProof/>
        </w:rPr>
        <w:t>ach dyrektywy</w:t>
      </w:r>
      <w:r w:rsidR="00B73D99" w:rsidRPr="00BB0D27">
        <w:rPr>
          <w:noProof/>
        </w:rPr>
        <w:t xml:space="preserve"> w</w:t>
      </w:r>
      <w:r w:rsidR="00B73D99">
        <w:rPr>
          <w:noProof/>
        </w:rPr>
        <w:t> </w:t>
      </w:r>
      <w:r w:rsidR="00B73D99" w:rsidRPr="00BB0D27">
        <w:rPr>
          <w:noProof/>
        </w:rPr>
        <w:t>spr</w:t>
      </w:r>
      <w:r w:rsidRPr="00BB0D27">
        <w:rPr>
          <w:noProof/>
        </w:rPr>
        <w:t>awie sprzedaży towarów otrzymano 1 000 odpowiedzi</w:t>
      </w:r>
      <w:r w:rsidR="00B73D99" w:rsidRPr="00BB0D27">
        <w:rPr>
          <w:noProof/>
        </w:rPr>
        <w:t xml:space="preserve"> z</w:t>
      </w:r>
      <w:r w:rsidR="00B73D99">
        <w:rPr>
          <w:noProof/>
        </w:rPr>
        <w:t> </w:t>
      </w:r>
      <w:r w:rsidR="00B73D99" w:rsidRPr="00BB0D27">
        <w:rPr>
          <w:noProof/>
        </w:rPr>
        <w:t>każ</w:t>
      </w:r>
      <w:r w:rsidRPr="00BB0D27">
        <w:rPr>
          <w:noProof/>
        </w:rPr>
        <w:t>dego państwa członkowskiego (łącznie 10 państw członkowskich)</w:t>
      </w:r>
      <w:r w:rsidR="00B73D99" w:rsidRPr="00BB0D27">
        <w:rPr>
          <w:noProof/>
        </w:rPr>
        <w:t xml:space="preserve"> i</w:t>
      </w:r>
      <w:r w:rsidR="00B73D99">
        <w:rPr>
          <w:noProof/>
        </w:rPr>
        <w:t> </w:t>
      </w:r>
      <w:r w:rsidR="00B73D99" w:rsidRPr="00BB0D27">
        <w:rPr>
          <w:noProof/>
        </w:rPr>
        <w:t>uzy</w:t>
      </w:r>
      <w:r w:rsidRPr="00BB0D27">
        <w:rPr>
          <w:noProof/>
        </w:rPr>
        <w:t>skano informacje na temat doświadczeń konsumentów</w:t>
      </w:r>
      <w:r w:rsidR="00B73D99" w:rsidRPr="00BB0D27">
        <w:rPr>
          <w:noProof/>
        </w:rPr>
        <w:t xml:space="preserve"> w</w:t>
      </w:r>
      <w:r w:rsidR="00B73D99">
        <w:rPr>
          <w:noProof/>
        </w:rPr>
        <w:t> </w:t>
      </w:r>
      <w:r w:rsidR="00B73D99" w:rsidRPr="00BB0D27">
        <w:rPr>
          <w:noProof/>
        </w:rPr>
        <w:t>zak</w:t>
      </w:r>
      <w:r w:rsidRPr="00BB0D27">
        <w:rPr>
          <w:noProof/>
        </w:rPr>
        <w:t>resie poszukiwania możliwości naprawy lub zakupu towarów używanych</w:t>
      </w:r>
      <w:r w:rsidR="00B73D99" w:rsidRPr="00BB0D27">
        <w:rPr>
          <w:noProof/>
        </w:rPr>
        <w:t>. W</w:t>
      </w:r>
      <w:r w:rsidR="00B73D99">
        <w:rPr>
          <w:noProof/>
        </w:rPr>
        <w:t> </w:t>
      </w:r>
      <w:r w:rsidR="00B73D99" w:rsidRPr="00BB0D27">
        <w:rPr>
          <w:noProof/>
        </w:rPr>
        <w:t>wyn</w:t>
      </w:r>
      <w:r w:rsidRPr="00BB0D27">
        <w:rPr>
          <w:noProof/>
        </w:rPr>
        <w:t>iku drugiego doświadczenia</w:t>
      </w:r>
      <w:r w:rsidR="00B73D99" w:rsidRPr="00BB0D27">
        <w:rPr>
          <w:noProof/>
        </w:rPr>
        <w:t xml:space="preserve"> z</w:t>
      </w:r>
      <w:r w:rsidR="00B73D99">
        <w:rPr>
          <w:noProof/>
        </w:rPr>
        <w:t> </w:t>
      </w:r>
      <w:r w:rsidR="00B73D99" w:rsidRPr="00BB0D27">
        <w:rPr>
          <w:noProof/>
        </w:rPr>
        <w:t>udz</w:t>
      </w:r>
      <w:r w:rsidRPr="00BB0D27">
        <w:rPr>
          <w:noProof/>
        </w:rPr>
        <w:t>iałem konsumentów dotyczącego sytuacji nieobjętych okresem gwarancji prawnej każde państwo członkowskie przedstawiło 800 uwag (łącznie 10 państw członkowskich)</w:t>
      </w:r>
      <w:r w:rsidR="00B73D99" w:rsidRPr="00BB0D27">
        <w:rPr>
          <w:noProof/>
        </w:rPr>
        <w:t xml:space="preserve"> i</w:t>
      </w:r>
      <w:r w:rsidR="00B73D99">
        <w:rPr>
          <w:noProof/>
        </w:rPr>
        <w:t> </w:t>
      </w:r>
      <w:r w:rsidR="00B73D99" w:rsidRPr="00BB0D27">
        <w:rPr>
          <w:noProof/>
        </w:rPr>
        <w:t>prz</w:t>
      </w:r>
      <w:r w:rsidRPr="00BB0D27">
        <w:rPr>
          <w:noProof/>
        </w:rPr>
        <w:t>ekazało dane na temat przeszkód uniemożliwiających naprawę, informacje dotyczące naprawy</w:t>
      </w:r>
      <w:r w:rsidR="00B73D99" w:rsidRPr="00BB0D27">
        <w:rPr>
          <w:noProof/>
        </w:rPr>
        <w:t xml:space="preserve"> i</w:t>
      </w:r>
      <w:r w:rsidR="00B73D99">
        <w:rPr>
          <w:noProof/>
        </w:rPr>
        <w:t> </w:t>
      </w:r>
      <w:r w:rsidR="00B73D99" w:rsidRPr="00BB0D27">
        <w:rPr>
          <w:noProof/>
        </w:rPr>
        <w:t>pra</w:t>
      </w:r>
      <w:r w:rsidRPr="00BB0D27">
        <w:rPr>
          <w:noProof/>
        </w:rPr>
        <w:t>wdopodobieństwa naprawy przez konsumenta</w:t>
      </w:r>
      <w:r w:rsidR="00B73D99" w:rsidRPr="00BB0D27">
        <w:rPr>
          <w:noProof/>
        </w:rPr>
        <w:t xml:space="preserve"> w</w:t>
      </w:r>
      <w:r w:rsidR="00B73D99">
        <w:rPr>
          <w:noProof/>
        </w:rPr>
        <w:t> </w:t>
      </w:r>
      <w:r w:rsidR="00B73D99" w:rsidRPr="00BB0D27">
        <w:rPr>
          <w:noProof/>
        </w:rPr>
        <w:t>róż</w:t>
      </w:r>
      <w:r w:rsidRPr="00BB0D27">
        <w:rPr>
          <w:noProof/>
        </w:rPr>
        <w:t>nych okolicznościach.</w:t>
      </w:r>
    </w:p>
    <w:p w:rsidR="00C417E9" w:rsidRPr="00BB0D27" w:rsidRDefault="00C417E9" w:rsidP="00824FE6">
      <w:pPr>
        <w:spacing w:before="0" w:after="160" w:line="259" w:lineRule="auto"/>
        <w:rPr>
          <w:rFonts w:eastAsia="Calibri"/>
          <w:noProof/>
          <w:sz w:val="27"/>
        </w:rPr>
      </w:pPr>
      <w:r w:rsidRPr="00BB0D27">
        <w:rPr>
          <w:noProof/>
        </w:rPr>
        <w:t>W wyniku badania statystycznego przedsiębiorstw przeprowadzonego wśród producentów, sprzedawców</w:t>
      </w:r>
      <w:r w:rsidR="00B73D99" w:rsidRPr="00BB0D27">
        <w:rPr>
          <w:noProof/>
        </w:rPr>
        <w:t xml:space="preserve"> i</w:t>
      </w:r>
      <w:r w:rsidR="00B73D99">
        <w:rPr>
          <w:noProof/>
        </w:rPr>
        <w:t> </w:t>
      </w:r>
      <w:r w:rsidR="00B73D99" w:rsidRPr="00BB0D27">
        <w:rPr>
          <w:noProof/>
        </w:rPr>
        <w:t>pod</w:t>
      </w:r>
      <w:r w:rsidRPr="00BB0D27">
        <w:rPr>
          <w:noProof/>
        </w:rPr>
        <w:t>miotów zajmujących się naprawą uzyskano 80 pełnych odpowiedz</w:t>
      </w:r>
      <w:r w:rsidR="00B73D99" w:rsidRPr="00BB0D27">
        <w:rPr>
          <w:noProof/>
        </w:rPr>
        <w:t xml:space="preserve"> i</w:t>
      </w:r>
      <w:r w:rsidR="00B73D99">
        <w:rPr>
          <w:noProof/>
        </w:rPr>
        <w:t> </w:t>
      </w:r>
      <w:r w:rsidR="00B73D99" w:rsidRPr="00BB0D27">
        <w:rPr>
          <w:noProof/>
        </w:rPr>
        <w:t>2</w:t>
      </w:r>
      <w:r w:rsidRPr="00BB0D27">
        <w:rPr>
          <w:noProof/>
        </w:rPr>
        <w:t>84 odpowiedzi częściowe. Było ono źródłem danych do analizy rynku napraw</w:t>
      </w:r>
      <w:r w:rsidR="00B73D99" w:rsidRPr="00BB0D27">
        <w:rPr>
          <w:noProof/>
        </w:rPr>
        <w:t xml:space="preserve"> i</w:t>
      </w:r>
      <w:r w:rsidR="00B73D99">
        <w:rPr>
          <w:noProof/>
        </w:rPr>
        <w:t> </w:t>
      </w:r>
      <w:r w:rsidR="00B73D99" w:rsidRPr="00BB0D27">
        <w:rPr>
          <w:noProof/>
        </w:rPr>
        <w:t>pra</w:t>
      </w:r>
      <w:r w:rsidRPr="00BB0D27">
        <w:rPr>
          <w:noProof/>
        </w:rPr>
        <w:t>ktyk rynkowych dotyczących naprawy</w:t>
      </w:r>
      <w:r w:rsidR="00B73D99" w:rsidRPr="00BB0D27">
        <w:rPr>
          <w:noProof/>
        </w:rPr>
        <w:t xml:space="preserve"> i</w:t>
      </w:r>
      <w:r w:rsidR="00B73D99">
        <w:rPr>
          <w:noProof/>
        </w:rPr>
        <w:t> </w:t>
      </w:r>
      <w:r w:rsidR="00B73D99" w:rsidRPr="00BB0D27">
        <w:rPr>
          <w:noProof/>
        </w:rPr>
        <w:t>wym</w:t>
      </w:r>
      <w:r w:rsidRPr="00BB0D27">
        <w:rPr>
          <w:noProof/>
        </w:rPr>
        <w:t>iany towarów wadliwych. Ponadto 21 rozmów</w:t>
      </w:r>
      <w:r w:rsidR="00B73D99" w:rsidRPr="00BB0D27">
        <w:rPr>
          <w:noProof/>
        </w:rPr>
        <w:t xml:space="preserve"> z</w:t>
      </w:r>
      <w:r w:rsidR="00B73D99">
        <w:rPr>
          <w:noProof/>
        </w:rPr>
        <w:t> </w:t>
      </w:r>
      <w:r w:rsidR="00B73D99" w:rsidRPr="00BB0D27">
        <w:rPr>
          <w:noProof/>
        </w:rPr>
        <w:t>zai</w:t>
      </w:r>
      <w:r w:rsidRPr="00BB0D27">
        <w:rPr>
          <w:noProof/>
        </w:rPr>
        <w:t>nteresowanymi stronami zapewniło wgląd</w:t>
      </w:r>
      <w:r w:rsidR="00B73D99" w:rsidRPr="00BB0D27">
        <w:rPr>
          <w:noProof/>
        </w:rPr>
        <w:t xml:space="preserve"> w</w:t>
      </w:r>
      <w:r w:rsidR="00B73D99">
        <w:rPr>
          <w:noProof/>
        </w:rPr>
        <w:t> </w:t>
      </w:r>
      <w:r w:rsidR="00B73D99" w:rsidRPr="00BB0D27">
        <w:rPr>
          <w:noProof/>
        </w:rPr>
        <w:t>def</w:t>
      </w:r>
      <w:r w:rsidRPr="00BB0D27">
        <w:rPr>
          <w:noProof/>
        </w:rPr>
        <w:t>inicję problemu</w:t>
      </w:r>
      <w:r w:rsidR="00B73D99" w:rsidRPr="00BB0D27">
        <w:rPr>
          <w:noProof/>
        </w:rPr>
        <w:t xml:space="preserve"> i</w:t>
      </w:r>
      <w:r w:rsidR="00B73D99">
        <w:rPr>
          <w:noProof/>
        </w:rPr>
        <w:t> </w:t>
      </w:r>
      <w:r w:rsidR="00B73D99" w:rsidRPr="00BB0D27">
        <w:rPr>
          <w:noProof/>
        </w:rPr>
        <w:t>pra</w:t>
      </w:r>
      <w:r w:rsidRPr="00BB0D27">
        <w:rPr>
          <w:noProof/>
        </w:rPr>
        <w:t xml:space="preserve">ktyki rynkowe. </w:t>
      </w:r>
      <w:bookmarkEnd w:id="1"/>
    </w:p>
    <w:p w:rsidR="00824FE6" w:rsidRPr="00BB0D27" w:rsidRDefault="00824FE6" w:rsidP="00C21564">
      <w:pPr>
        <w:rPr>
          <w:noProof/>
          <w:lang w:eastAsia="en-GB"/>
        </w:rPr>
      </w:pPr>
    </w:p>
    <w:p w:rsidR="00FA250B" w:rsidRPr="00BB0D27" w:rsidRDefault="00FA250B" w:rsidP="00F733C8">
      <w:pPr>
        <w:pStyle w:val="ManualHeading2"/>
        <w:rPr>
          <w:rFonts w:eastAsia="Arial Unicode MS"/>
          <w:noProof/>
          <w:u w:color="000000"/>
          <w:bdr w:val="nil"/>
        </w:rPr>
      </w:pPr>
      <w:r w:rsidRPr="00BB0D27">
        <w:rPr>
          <w:noProof/>
          <w:u w:color="000000"/>
          <w:bdr w:val="nil"/>
        </w:rPr>
        <w:t>•</w:t>
      </w:r>
      <w:r w:rsidRPr="00BB0D27">
        <w:rPr>
          <w:noProof/>
          <w:u w:color="000000"/>
          <w:bdr w:val="nil"/>
        </w:rPr>
        <w:tab/>
        <w:t>Ocena skutków</w:t>
      </w:r>
    </w:p>
    <w:p w:rsidR="00C417E9" w:rsidRPr="00BB0D27" w:rsidRDefault="5351D65E" w:rsidP="5680DA1D">
      <w:pPr>
        <w:spacing w:before="0" w:after="160" w:line="259" w:lineRule="auto"/>
        <w:rPr>
          <w:rFonts w:eastAsia="Calibri"/>
          <w:noProof/>
        </w:rPr>
      </w:pPr>
      <w:r w:rsidRPr="00BB0D27">
        <w:rPr>
          <w:noProof/>
        </w:rPr>
        <w:t>Niniejszy wniosek oparty jest na ocenie skutków. Na początku, dnia 30 września 20</w:t>
      </w:r>
      <w:r w:rsidRPr="00B73D99">
        <w:rPr>
          <w:noProof/>
        </w:rPr>
        <w:t>22</w:t>
      </w:r>
      <w:r w:rsidR="00B73D99" w:rsidRPr="00B73D99">
        <w:rPr>
          <w:noProof/>
        </w:rPr>
        <w:t> </w:t>
      </w:r>
      <w:r w:rsidRPr="00B73D99">
        <w:rPr>
          <w:noProof/>
        </w:rPr>
        <w:t>r.</w:t>
      </w:r>
      <w:r w:rsidRPr="00BB0D27">
        <w:rPr>
          <w:noProof/>
        </w:rPr>
        <w:t>, Rada ds. Kontroli Regulacyjnej działająca przy Komisji wydała negatywną opinię. Po</w:t>
      </w:r>
      <w:r w:rsidRPr="00BB0D27">
        <w:rPr>
          <w:noProof/>
          <w:color w:val="D13438"/>
          <w:sz w:val="27"/>
          <w:u w:val="single"/>
          <w:shd w:val="clear" w:color="auto" w:fill="FFFFFF"/>
        </w:rPr>
        <w:t xml:space="preserve"> </w:t>
      </w:r>
      <w:r w:rsidRPr="00BB0D27">
        <w:rPr>
          <w:noProof/>
        </w:rPr>
        <w:t>dogłębnej rewizji pierwotnego projektu dnia 24 stycznia 20</w:t>
      </w:r>
      <w:r w:rsidRPr="00B73D99">
        <w:rPr>
          <w:noProof/>
        </w:rPr>
        <w:t>23</w:t>
      </w:r>
      <w:r w:rsidR="00B73D99" w:rsidRPr="00B73D99">
        <w:rPr>
          <w:noProof/>
        </w:rPr>
        <w:t> </w:t>
      </w:r>
      <w:r w:rsidRPr="00B73D99">
        <w:rPr>
          <w:noProof/>
        </w:rPr>
        <w:t>r.</w:t>
      </w:r>
      <w:r w:rsidRPr="00BB0D27">
        <w:rPr>
          <w:noProof/>
        </w:rPr>
        <w:t xml:space="preserve"> Rada ds. Kontroli Regulacyjnej wydała pozytywną opinię</w:t>
      </w:r>
      <w:r w:rsidR="00B73D99" w:rsidRPr="00BB0D27">
        <w:rPr>
          <w:noProof/>
        </w:rPr>
        <w:t xml:space="preserve"> z</w:t>
      </w:r>
      <w:r w:rsidR="00B73D99">
        <w:rPr>
          <w:noProof/>
        </w:rPr>
        <w:t> </w:t>
      </w:r>
      <w:r w:rsidR="00B73D99" w:rsidRPr="00BB0D27">
        <w:rPr>
          <w:noProof/>
        </w:rPr>
        <w:t>dal</w:t>
      </w:r>
      <w:r w:rsidRPr="00BB0D27">
        <w:rPr>
          <w:noProof/>
        </w:rPr>
        <w:t>szymi komentarzami</w:t>
      </w:r>
      <w:r w:rsidR="00B73D99" w:rsidRPr="00BB0D27">
        <w:rPr>
          <w:noProof/>
        </w:rPr>
        <w:t>. W</w:t>
      </w:r>
      <w:r w:rsidR="00B73D99">
        <w:rPr>
          <w:noProof/>
        </w:rPr>
        <w:t> </w:t>
      </w:r>
      <w:r w:rsidR="00B73D99" w:rsidRPr="00BB0D27">
        <w:rPr>
          <w:noProof/>
        </w:rPr>
        <w:t>zał</w:t>
      </w:r>
      <w:r w:rsidRPr="00BB0D27">
        <w:rPr>
          <w:noProof/>
        </w:rPr>
        <w:t>ączniku 1 do oceny skutków wyjaśniono,</w:t>
      </w:r>
      <w:r w:rsidR="00B73D99" w:rsidRPr="00BB0D27">
        <w:rPr>
          <w:noProof/>
        </w:rPr>
        <w:t xml:space="preserve"> w</w:t>
      </w:r>
      <w:r w:rsidR="00B73D99">
        <w:rPr>
          <w:noProof/>
        </w:rPr>
        <w:t> </w:t>
      </w:r>
      <w:r w:rsidR="00B73D99" w:rsidRPr="00BB0D27">
        <w:rPr>
          <w:noProof/>
        </w:rPr>
        <w:t>jak</w:t>
      </w:r>
      <w:r w:rsidRPr="00BB0D27">
        <w:rPr>
          <w:noProof/>
        </w:rPr>
        <w:t xml:space="preserve">i sposób zostały rozpatrzone komentarze Rady ds. Kontroli Regulacyjnej. </w:t>
      </w:r>
    </w:p>
    <w:p w:rsidR="00C417E9" w:rsidRPr="00BB0D27" w:rsidRDefault="00C21564" w:rsidP="00C417E9">
      <w:pPr>
        <w:spacing w:before="0" w:after="160" w:line="259" w:lineRule="auto"/>
        <w:rPr>
          <w:rFonts w:eastAsia="Calibri"/>
          <w:noProof/>
          <w:szCs w:val="24"/>
        </w:rPr>
      </w:pPr>
      <w:r w:rsidRPr="00BB0D27">
        <w:rPr>
          <w:noProof/>
        </w:rPr>
        <w:t>Przeanalizowano szereg wariantów strategicznych dotyczących przedwczesnego pozbywania się towarów nabytych przez konsumentów zarówno</w:t>
      </w:r>
      <w:r w:rsidR="00B73D99" w:rsidRPr="00BB0D27">
        <w:rPr>
          <w:noProof/>
        </w:rPr>
        <w:t xml:space="preserve"> w</w:t>
      </w:r>
      <w:r w:rsidR="00B73D99">
        <w:rPr>
          <w:noProof/>
        </w:rPr>
        <w:t> </w:t>
      </w:r>
      <w:r w:rsidR="00B73D99" w:rsidRPr="00BB0D27">
        <w:rPr>
          <w:noProof/>
        </w:rPr>
        <w:t>ram</w:t>
      </w:r>
      <w:r w:rsidRPr="00BB0D27">
        <w:rPr>
          <w:noProof/>
        </w:rPr>
        <w:t>ach gwarancji prawnej, jak</w:t>
      </w:r>
      <w:r w:rsidR="00B73D99" w:rsidRPr="00BB0D27">
        <w:rPr>
          <w:noProof/>
        </w:rPr>
        <w:t xml:space="preserve"> i</w:t>
      </w:r>
      <w:r w:rsidR="00B73D99">
        <w:rPr>
          <w:noProof/>
        </w:rPr>
        <w:t> </w:t>
      </w:r>
      <w:r w:rsidR="00B73D99" w:rsidRPr="00BB0D27">
        <w:rPr>
          <w:noProof/>
        </w:rPr>
        <w:t>poz</w:t>
      </w:r>
      <w:r w:rsidRPr="00BB0D27">
        <w:rPr>
          <w:noProof/>
        </w:rPr>
        <w:t>a jej zakresem.</w:t>
      </w:r>
    </w:p>
    <w:p w:rsidR="00C417E9" w:rsidRPr="00BB0D27" w:rsidRDefault="00C417E9" w:rsidP="00C417E9">
      <w:pPr>
        <w:spacing w:before="0" w:after="160" w:line="259" w:lineRule="auto"/>
        <w:rPr>
          <w:rFonts w:eastAsia="Calibri"/>
          <w:noProof/>
          <w:szCs w:val="24"/>
        </w:rPr>
      </w:pPr>
      <w:r w:rsidRPr="00BB0D27">
        <w:rPr>
          <w:noProof/>
        </w:rPr>
        <w:t>Poddane ocenie warianty ukierunkowane na propagowanie naprawy</w:t>
      </w:r>
      <w:r w:rsidR="00B73D99" w:rsidRPr="00BB0D27">
        <w:rPr>
          <w:noProof/>
        </w:rPr>
        <w:t xml:space="preserve"> i</w:t>
      </w:r>
      <w:r w:rsidR="00B73D99">
        <w:rPr>
          <w:noProof/>
        </w:rPr>
        <w:t> </w:t>
      </w:r>
      <w:r w:rsidR="00B73D99" w:rsidRPr="00BB0D27">
        <w:rPr>
          <w:noProof/>
        </w:rPr>
        <w:t>pon</w:t>
      </w:r>
      <w:r w:rsidRPr="00BB0D27">
        <w:rPr>
          <w:noProof/>
        </w:rPr>
        <w:t>ownego wykorzystania towarów</w:t>
      </w:r>
      <w:r w:rsidR="00B73D99" w:rsidRPr="00BB0D27">
        <w:rPr>
          <w:noProof/>
        </w:rPr>
        <w:t xml:space="preserve"> </w:t>
      </w:r>
      <w:r w:rsidR="00B73D99" w:rsidRPr="00BB0D27">
        <w:rPr>
          <w:b/>
          <w:noProof/>
        </w:rPr>
        <w:t>w</w:t>
      </w:r>
      <w:r w:rsidR="00B73D99">
        <w:rPr>
          <w:noProof/>
        </w:rPr>
        <w:t> </w:t>
      </w:r>
      <w:r w:rsidR="00B73D99" w:rsidRPr="00BB0D27">
        <w:rPr>
          <w:b/>
          <w:noProof/>
        </w:rPr>
        <w:t>ram</w:t>
      </w:r>
      <w:r w:rsidRPr="00BB0D27">
        <w:rPr>
          <w:b/>
          <w:noProof/>
        </w:rPr>
        <w:t>ach gwarancji prawnej</w:t>
      </w:r>
      <w:r w:rsidRPr="00BB0D27">
        <w:rPr>
          <w:noProof/>
        </w:rPr>
        <w:t xml:space="preserve"> obejmują: nadanie priorytetu naprawie</w:t>
      </w:r>
      <w:r w:rsidR="00B73D99" w:rsidRPr="00BB0D27">
        <w:rPr>
          <w:noProof/>
        </w:rPr>
        <w:t xml:space="preserve"> w</w:t>
      </w:r>
      <w:r w:rsidR="00B73D99">
        <w:rPr>
          <w:noProof/>
        </w:rPr>
        <w:t> </w:t>
      </w:r>
      <w:r w:rsidR="00B73D99" w:rsidRPr="00BB0D27">
        <w:rPr>
          <w:noProof/>
        </w:rPr>
        <w:t>ram</w:t>
      </w:r>
      <w:r w:rsidRPr="00BB0D27">
        <w:rPr>
          <w:noProof/>
        </w:rPr>
        <w:t>ach systemu środków ochrony prawnej określonego</w:t>
      </w:r>
      <w:r w:rsidR="00B73D99" w:rsidRPr="00BB0D27">
        <w:rPr>
          <w:noProof/>
        </w:rPr>
        <w:t xml:space="preserve"> w</w:t>
      </w:r>
      <w:r w:rsidR="00B73D99">
        <w:rPr>
          <w:noProof/>
        </w:rPr>
        <w:t> </w:t>
      </w:r>
      <w:r w:rsidR="00B73D99" w:rsidRPr="00BB0D27">
        <w:rPr>
          <w:noProof/>
        </w:rPr>
        <w:t>dyr</w:t>
      </w:r>
      <w:r w:rsidRPr="00BB0D27">
        <w:rPr>
          <w:noProof/>
        </w:rPr>
        <w:t>ektywie</w:t>
      </w:r>
      <w:r w:rsidR="00B73D99" w:rsidRPr="00BB0D27">
        <w:rPr>
          <w:noProof/>
        </w:rPr>
        <w:t xml:space="preserve"> w</w:t>
      </w:r>
      <w:r w:rsidR="00B73D99">
        <w:rPr>
          <w:noProof/>
        </w:rPr>
        <w:t> </w:t>
      </w:r>
      <w:r w:rsidR="00B73D99" w:rsidRPr="00BB0D27">
        <w:rPr>
          <w:noProof/>
        </w:rPr>
        <w:t>spr</w:t>
      </w:r>
      <w:r w:rsidRPr="00BB0D27">
        <w:rPr>
          <w:noProof/>
        </w:rPr>
        <w:t>awie sprzedaży towarów</w:t>
      </w:r>
      <w:r w:rsidR="00B73D99" w:rsidRPr="00BB0D27">
        <w:rPr>
          <w:noProof/>
        </w:rPr>
        <w:t xml:space="preserve"> w</w:t>
      </w:r>
      <w:r w:rsidR="00B73D99">
        <w:rPr>
          <w:noProof/>
        </w:rPr>
        <w:t> </w:t>
      </w:r>
      <w:r w:rsidR="00B73D99" w:rsidRPr="00BB0D27">
        <w:rPr>
          <w:noProof/>
        </w:rPr>
        <w:t>każ</w:t>
      </w:r>
      <w:r w:rsidRPr="00BB0D27">
        <w:rPr>
          <w:noProof/>
        </w:rPr>
        <w:t>dym przypadku gdy jest ona tańsza niż wymiana; ustanowienie naprawy podstawowym środkiem ochrony prawnej; wydłużenie okresu odpowiedzialności</w:t>
      </w:r>
      <w:r w:rsidR="00B73D99" w:rsidRPr="00BB0D27">
        <w:rPr>
          <w:noProof/>
        </w:rPr>
        <w:t xml:space="preserve"> w</w:t>
      </w:r>
      <w:r w:rsidR="00B73D99">
        <w:rPr>
          <w:noProof/>
        </w:rPr>
        <w:t> </w:t>
      </w:r>
      <w:r w:rsidR="00B73D99" w:rsidRPr="00BB0D27">
        <w:rPr>
          <w:noProof/>
        </w:rPr>
        <w:t>kon</w:t>
      </w:r>
      <w:r w:rsidRPr="00BB0D27">
        <w:rPr>
          <w:noProof/>
        </w:rPr>
        <w:t>tekście naprawy; ujednolicenie okresu odpowiedzialności za towary odnowione</w:t>
      </w:r>
      <w:r w:rsidR="00B73D99" w:rsidRPr="00BB0D27">
        <w:rPr>
          <w:noProof/>
        </w:rPr>
        <w:t xml:space="preserve"> z</w:t>
      </w:r>
      <w:r w:rsidR="00B73D99">
        <w:rPr>
          <w:noProof/>
        </w:rPr>
        <w:t> </w:t>
      </w:r>
      <w:r w:rsidR="00B73D99" w:rsidRPr="00BB0D27">
        <w:rPr>
          <w:noProof/>
        </w:rPr>
        <w:t>okr</w:t>
      </w:r>
      <w:r w:rsidRPr="00BB0D27">
        <w:rPr>
          <w:noProof/>
        </w:rPr>
        <w:t>esem odpowiedzialności za towary nowe oraz wymianę towarów wadliwych na towary odnowione.</w:t>
      </w:r>
    </w:p>
    <w:p w:rsidR="00C417E9" w:rsidRPr="00BB0D27" w:rsidRDefault="00C417E9" w:rsidP="00C417E9">
      <w:pPr>
        <w:spacing w:before="0" w:after="160" w:line="259" w:lineRule="auto"/>
        <w:rPr>
          <w:rFonts w:eastAsia="Calibri"/>
          <w:noProof/>
          <w:szCs w:val="24"/>
        </w:rPr>
      </w:pPr>
      <w:r w:rsidRPr="00BB0D27">
        <w:rPr>
          <w:noProof/>
        </w:rPr>
        <w:t>Poddane ocenie warianty ukierunkowane na ułatwianie</w:t>
      </w:r>
      <w:r w:rsidR="00B73D99" w:rsidRPr="00BB0D27">
        <w:rPr>
          <w:noProof/>
        </w:rPr>
        <w:t xml:space="preserve"> i</w:t>
      </w:r>
      <w:r w:rsidR="00B73D99">
        <w:rPr>
          <w:noProof/>
        </w:rPr>
        <w:t> </w:t>
      </w:r>
      <w:r w:rsidR="00B73D99" w:rsidRPr="00BB0D27">
        <w:rPr>
          <w:noProof/>
        </w:rPr>
        <w:t>zac</w:t>
      </w:r>
      <w:r w:rsidRPr="00BB0D27">
        <w:rPr>
          <w:noProof/>
        </w:rPr>
        <w:t>hęcanie do naprawy</w:t>
      </w:r>
      <w:r w:rsidR="00B73D99" w:rsidRPr="00BB0D27">
        <w:rPr>
          <w:noProof/>
        </w:rPr>
        <w:t xml:space="preserve"> i</w:t>
      </w:r>
      <w:r w:rsidR="00B73D99">
        <w:rPr>
          <w:noProof/>
        </w:rPr>
        <w:t> </w:t>
      </w:r>
      <w:r w:rsidR="00B73D99" w:rsidRPr="00BB0D27">
        <w:rPr>
          <w:noProof/>
        </w:rPr>
        <w:t>pon</w:t>
      </w:r>
      <w:r w:rsidRPr="00BB0D27">
        <w:rPr>
          <w:noProof/>
        </w:rPr>
        <w:t xml:space="preserve">ownego wykorzystania towarów </w:t>
      </w:r>
      <w:r w:rsidRPr="00BB0D27">
        <w:rPr>
          <w:b/>
          <w:noProof/>
        </w:rPr>
        <w:t>poza gwarancją prawną</w:t>
      </w:r>
      <w:r w:rsidRPr="00BB0D27">
        <w:rPr>
          <w:noProof/>
        </w:rPr>
        <w:t xml:space="preserve"> obejmują: dostarczenie informacji na temat naprawy przez producentów oraz przez platformę wymiany dotyczącą towarów naprawionych</w:t>
      </w:r>
      <w:r w:rsidR="00B73D99" w:rsidRPr="00BB0D27">
        <w:rPr>
          <w:noProof/>
        </w:rPr>
        <w:t xml:space="preserve"> i</w:t>
      </w:r>
      <w:r w:rsidR="00B73D99">
        <w:rPr>
          <w:noProof/>
        </w:rPr>
        <w:t> </w:t>
      </w:r>
      <w:r w:rsidR="00B73D99" w:rsidRPr="00BB0D27">
        <w:rPr>
          <w:noProof/>
        </w:rPr>
        <w:t>odn</w:t>
      </w:r>
      <w:r w:rsidRPr="00BB0D27">
        <w:rPr>
          <w:noProof/>
        </w:rPr>
        <w:t>owionych na szczeblu krajowym lub unijnym; poprawę przejrzystości</w:t>
      </w:r>
      <w:r w:rsidR="00B73D99" w:rsidRPr="00BB0D27">
        <w:rPr>
          <w:noProof/>
        </w:rPr>
        <w:t xml:space="preserve"> i</w:t>
      </w:r>
      <w:r w:rsidR="00B73D99">
        <w:rPr>
          <w:noProof/>
        </w:rPr>
        <w:t> </w:t>
      </w:r>
      <w:r w:rsidR="00B73D99" w:rsidRPr="00BB0D27">
        <w:rPr>
          <w:noProof/>
        </w:rPr>
        <w:t>war</w:t>
      </w:r>
      <w:r w:rsidRPr="00BB0D27">
        <w:rPr>
          <w:noProof/>
        </w:rPr>
        <w:t>unków naprawy przez dobrowolne zobowiązania; zobowiązanie podmiotów zajmujących się naprawą do wystawienia oferty naprawy dotyczącej ceny</w:t>
      </w:r>
      <w:r w:rsidR="00B73D99" w:rsidRPr="00BB0D27">
        <w:rPr>
          <w:noProof/>
        </w:rPr>
        <w:t xml:space="preserve"> i</w:t>
      </w:r>
      <w:r w:rsidR="00B73D99">
        <w:rPr>
          <w:noProof/>
        </w:rPr>
        <w:t> </w:t>
      </w:r>
      <w:r w:rsidR="00B73D99" w:rsidRPr="00BB0D27">
        <w:rPr>
          <w:noProof/>
        </w:rPr>
        <w:t>war</w:t>
      </w:r>
      <w:r w:rsidRPr="00BB0D27">
        <w:rPr>
          <w:noProof/>
        </w:rPr>
        <w:t>unków naprawy oraz zobowiązanie producentów do naprawy towarów podlegających wymogom dotyczącymi możliwości naprawy wynikającym</w:t>
      </w:r>
      <w:r w:rsidR="00B73D99" w:rsidRPr="00BB0D27">
        <w:rPr>
          <w:noProof/>
        </w:rPr>
        <w:t xml:space="preserve"> z</w:t>
      </w:r>
      <w:r w:rsidR="00B73D99">
        <w:rPr>
          <w:noProof/>
        </w:rPr>
        <w:t> </w:t>
      </w:r>
      <w:r w:rsidR="00B73D99" w:rsidRPr="00BB0D27">
        <w:rPr>
          <w:noProof/>
        </w:rPr>
        <w:t>pra</w:t>
      </w:r>
      <w:r w:rsidRPr="00BB0D27">
        <w:rPr>
          <w:noProof/>
        </w:rPr>
        <w:t xml:space="preserve">wa Unii lub wszystkich produktów za określoną cenę. </w:t>
      </w:r>
    </w:p>
    <w:p w:rsidR="00C417E9" w:rsidRPr="00BB0D27" w:rsidRDefault="00C417E9" w:rsidP="00C417E9">
      <w:pPr>
        <w:spacing w:before="0" w:after="160" w:line="259" w:lineRule="auto"/>
        <w:rPr>
          <w:rFonts w:eastAsia="Calibri"/>
          <w:noProof/>
          <w:szCs w:val="24"/>
        </w:rPr>
      </w:pPr>
      <w:r w:rsidRPr="00BB0D27">
        <w:rPr>
          <w:b/>
          <w:noProof/>
        </w:rPr>
        <w:t>Pakiet wariantów preferowanych</w:t>
      </w:r>
      <w:r w:rsidRPr="00BB0D27">
        <w:rPr>
          <w:noProof/>
        </w:rPr>
        <w:t xml:space="preserve"> obejmuje warianty</w:t>
      </w:r>
      <w:r w:rsidR="00B73D99" w:rsidRPr="00BB0D27">
        <w:rPr>
          <w:noProof/>
        </w:rPr>
        <w:t xml:space="preserve"> z</w:t>
      </w:r>
      <w:r w:rsidR="00B73D99">
        <w:rPr>
          <w:noProof/>
        </w:rPr>
        <w:t> </w:t>
      </w:r>
      <w:r w:rsidR="00B73D99" w:rsidRPr="00BB0D27">
        <w:rPr>
          <w:noProof/>
        </w:rPr>
        <w:t>obu</w:t>
      </w:r>
      <w:r w:rsidRPr="00BB0D27">
        <w:rPr>
          <w:noProof/>
        </w:rPr>
        <w:t xml:space="preserve"> grup,</w:t>
      </w:r>
      <w:r w:rsidR="00B73D99" w:rsidRPr="00BB0D27">
        <w:rPr>
          <w:noProof/>
        </w:rPr>
        <w:t xml:space="preserve"> z</w:t>
      </w:r>
      <w:r w:rsidR="00B73D99">
        <w:rPr>
          <w:noProof/>
        </w:rPr>
        <w:t> </w:t>
      </w:r>
      <w:r w:rsidR="00B73D99" w:rsidRPr="00BB0D27">
        <w:rPr>
          <w:noProof/>
        </w:rPr>
        <w:t>nac</w:t>
      </w:r>
      <w:r w:rsidRPr="00BB0D27">
        <w:rPr>
          <w:noProof/>
        </w:rPr>
        <w:t>iskiem na rozwiązanie kwestii naprawy poza zakresem gwarancji prawnej. Ten scenariusz dotyczy przypadków,</w:t>
      </w:r>
      <w:r w:rsidR="00B73D99" w:rsidRPr="00BB0D27">
        <w:rPr>
          <w:noProof/>
        </w:rPr>
        <w:t xml:space="preserve"> w</w:t>
      </w:r>
      <w:r w:rsidR="00B73D99">
        <w:rPr>
          <w:noProof/>
        </w:rPr>
        <w:t> </w:t>
      </w:r>
      <w:r w:rsidR="00B73D99" w:rsidRPr="00BB0D27">
        <w:rPr>
          <w:noProof/>
        </w:rPr>
        <w:t>któ</w:t>
      </w:r>
      <w:r w:rsidRPr="00BB0D27">
        <w:rPr>
          <w:noProof/>
        </w:rPr>
        <w:t>rych pojawia się największa liczba wad, więc potencjał do zwiększenia liczby napraw jest największy. Na podstawie analizy wielokryteriowej</w:t>
      </w:r>
      <w:r w:rsidR="00B73D99" w:rsidRPr="00BB0D27">
        <w:rPr>
          <w:noProof/>
        </w:rPr>
        <w:t xml:space="preserve"> i</w:t>
      </w:r>
      <w:r w:rsidR="00B73D99">
        <w:rPr>
          <w:noProof/>
        </w:rPr>
        <w:t> </w:t>
      </w:r>
      <w:r w:rsidR="00B73D99" w:rsidRPr="00BB0D27">
        <w:rPr>
          <w:noProof/>
        </w:rPr>
        <w:t>oce</w:t>
      </w:r>
      <w:r w:rsidRPr="00BB0D27">
        <w:rPr>
          <w:noProof/>
        </w:rPr>
        <w:t>ny kosztów</w:t>
      </w:r>
      <w:r w:rsidR="00B73D99" w:rsidRPr="00BB0D27">
        <w:rPr>
          <w:noProof/>
        </w:rPr>
        <w:t xml:space="preserve"> i</w:t>
      </w:r>
      <w:r w:rsidR="00B73D99">
        <w:rPr>
          <w:noProof/>
        </w:rPr>
        <w:t> </w:t>
      </w:r>
      <w:r w:rsidR="00B73D99" w:rsidRPr="00BB0D27">
        <w:rPr>
          <w:noProof/>
        </w:rPr>
        <w:t>kor</w:t>
      </w:r>
      <w:r w:rsidRPr="00BB0D27">
        <w:rPr>
          <w:noProof/>
        </w:rPr>
        <w:t>zyści,</w:t>
      </w:r>
      <w:r w:rsidR="00B73D99" w:rsidRPr="00BB0D27">
        <w:rPr>
          <w:noProof/>
        </w:rPr>
        <w:t xml:space="preserve"> a</w:t>
      </w:r>
      <w:r w:rsidR="00B73D99">
        <w:rPr>
          <w:noProof/>
        </w:rPr>
        <w:t> </w:t>
      </w:r>
      <w:r w:rsidR="00B73D99" w:rsidRPr="00BB0D27">
        <w:rPr>
          <w:noProof/>
        </w:rPr>
        <w:t>tak</w:t>
      </w:r>
      <w:r w:rsidRPr="00BB0D27">
        <w:rPr>
          <w:noProof/>
        </w:rPr>
        <w:t>że oceny jakościowej proporcjonalności poszczególnych rozważanych wariantów, zaproponowano połączenie sześciu preferowanych wariantów strategicznych</w:t>
      </w:r>
      <w:r w:rsidR="00B73D99" w:rsidRPr="00BB0D27">
        <w:rPr>
          <w:noProof/>
        </w:rPr>
        <w:t xml:space="preserve"> w</w:t>
      </w:r>
      <w:r w:rsidR="00B73D99">
        <w:rPr>
          <w:noProof/>
        </w:rPr>
        <w:t> </w:t>
      </w:r>
      <w:r w:rsidR="00B73D99" w:rsidRPr="00BB0D27">
        <w:rPr>
          <w:noProof/>
        </w:rPr>
        <w:t>cel</w:t>
      </w:r>
      <w:r w:rsidRPr="00BB0D27">
        <w:rPr>
          <w:noProof/>
        </w:rPr>
        <w:t xml:space="preserve">u rozwiązania problemów: </w:t>
      </w:r>
    </w:p>
    <w:p w:rsidR="00C417E9" w:rsidRPr="00BB0D27" w:rsidRDefault="005E6CDB" w:rsidP="007402D5">
      <w:pPr>
        <w:pStyle w:val="Tiret0"/>
        <w:numPr>
          <w:ilvl w:val="0"/>
          <w:numId w:val="11"/>
        </w:numPr>
        <w:rPr>
          <w:noProof/>
        </w:rPr>
      </w:pPr>
      <w:r w:rsidRPr="00BB0D27">
        <w:rPr>
          <w:noProof/>
        </w:rPr>
        <w:t>nadawanie priorytetu naprawie za każdym razem gdy jest ona tańsza niż wymiana</w:t>
      </w:r>
      <w:r w:rsidR="00B73D99" w:rsidRPr="00BB0D27">
        <w:rPr>
          <w:noProof/>
        </w:rPr>
        <w:t xml:space="preserve"> w</w:t>
      </w:r>
      <w:r w:rsidR="00B73D99">
        <w:rPr>
          <w:noProof/>
        </w:rPr>
        <w:t> </w:t>
      </w:r>
      <w:r w:rsidR="00B73D99" w:rsidRPr="00BB0D27">
        <w:rPr>
          <w:noProof/>
        </w:rPr>
        <w:t>ram</w:t>
      </w:r>
      <w:r w:rsidRPr="00BB0D27">
        <w:rPr>
          <w:noProof/>
        </w:rPr>
        <w:t>ach gwarancji prawnej;</w:t>
      </w:r>
    </w:p>
    <w:p w:rsidR="00C417E9" w:rsidRPr="00BB0D27" w:rsidRDefault="005E6CDB" w:rsidP="00192E50">
      <w:pPr>
        <w:pStyle w:val="Tiret0"/>
        <w:rPr>
          <w:noProof/>
        </w:rPr>
      </w:pPr>
      <w:r w:rsidRPr="00BB0D27">
        <w:rPr>
          <w:noProof/>
        </w:rPr>
        <w:t>platforma internetowa na szczeblu krajowym, łączenie konsumentów</w:t>
      </w:r>
      <w:r w:rsidR="00B73D99" w:rsidRPr="00BB0D27">
        <w:rPr>
          <w:noProof/>
        </w:rPr>
        <w:t xml:space="preserve"> z</w:t>
      </w:r>
      <w:r w:rsidR="00B73D99">
        <w:rPr>
          <w:noProof/>
        </w:rPr>
        <w:t> </w:t>
      </w:r>
      <w:r w:rsidR="00B73D99" w:rsidRPr="00BB0D27">
        <w:rPr>
          <w:noProof/>
        </w:rPr>
        <w:t>pod</w:t>
      </w:r>
      <w:r w:rsidRPr="00BB0D27">
        <w:rPr>
          <w:noProof/>
        </w:rPr>
        <w:t>miotami zajmującymi się naprawą</w:t>
      </w:r>
      <w:r w:rsidR="00B73D99" w:rsidRPr="00BB0D27">
        <w:rPr>
          <w:noProof/>
        </w:rPr>
        <w:t xml:space="preserve"> i</w:t>
      </w:r>
      <w:r w:rsidR="00B73D99">
        <w:rPr>
          <w:noProof/>
        </w:rPr>
        <w:t> </w:t>
      </w:r>
      <w:r w:rsidR="00B73D99" w:rsidRPr="00BB0D27">
        <w:rPr>
          <w:noProof/>
        </w:rPr>
        <w:t>pro</w:t>
      </w:r>
      <w:r w:rsidRPr="00BB0D27">
        <w:rPr>
          <w:noProof/>
        </w:rPr>
        <w:t>mowanie towarów odnowionych;</w:t>
      </w:r>
    </w:p>
    <w:p w:rsidR="00C417E9" w:rsidRPr="00BB0D27" w:rsidRDefault="005E6CDB" w:rsidP="00192E50">
      <w:pPr>
        <w:pStyle w:val="Tiret0"/>
        <w:rPr>
          <w:noProof/>
        </w:rPr>
      </w:pPr>
      <w:r w:rsidRPr="00BB0D27">
        <w:rPr>
          <w:noProof/>
        </w:rPr>
        <w:t>zobowiązanie podmiotów zajmujących się naprawą do przedstawienia na wniosek oferty dotyczącej ceny</w:t>
      </w:r>
      <w:r w:rsidR="00B73D99" w:rsidRPr="00BB0D27">
        <w:rPr>
          <w:noProof/>
        </w:rPr>
        <w:t xml:space="preserve"> i</w:t>
      </w:r>
      <w:r w:rsidR="00B73D99">
        <w:rPr>
          <w:noProof/>
        </w:rPr>
        <w:t> </w:t>
      </w:r>
      <w:r w:rsidR="00B73D99" w:rsidRPr="00BB0D27">
        <w:rPr>
          <w:noProof/>
        </w:rPr>
        <w:t>war</w:t>
      </w:r>
      <w:r w:rsidRPr="00BB0D27">
        <w:rPr>
          <w:noProof/>
        </w:rPr>
        <w:t>unków naprawy</w:t>
      </w:r>
      <w:r w:rsidR="00B73D99" w:rsidRPr="00BB0D27">
        <w:rPr>
          <w:noProof/>
        </w:rPr>
        <w:t xml:space="preserve"> w</w:t>
      </w:r>
      <w:r w:rsidR="00B73D99">
        <w:rPr>
          <w:noProof/>
        </w:rPr>
        <w:t> </w:t>
      </w:r>
      <w:r w:rsidR="00B73D99" w:rsidRPr="00BB0D27">
        <w:rPr>
          <w:noProof/>
        </w:rPr>
        <w:t>sta</w:t>
      </w:r>
      <w:r w:rsidRPr="00BB0D27">
        <w:rPr>
          <w:noProof/>
        </w:rPr>
        <w:t>ndardowym formularzu (europejskim formularzu informacji</w:t>
      </w:r>
      <w:r w:rsidR="00B73D99" w:rsidRPr="00BB0D27">
        <w:rPr>
          <w:noProof/>
        </w:rPr>
        <w:t xml:space="preserve"> o</w:t>
      </w:r>
      <w:r w:rsidR="00B73D99">
        <w:rPr>
          <w:noProof/>
        </w:rPr>
        <w:t> </w:t>
      </w:r>
      <w:r w:rsidR="00B73D99" w:rsidRPr="00BB0D27">
        <w:rPr>
          <w:noProof/>
        </w:rPr>
        <w:t>nap</w:t>
      </w:r>
      <w:r w:rsidRPr="00BB0D27">
        <w:rPr>
          <w:noProof/>
        </w:rPr>
        <w:t>rawie);</w:t>
      </w:r>
    </w:p>
    <w:p w:rsidR="00C417E9" w:rsidRPr="00BB0D27" w:rsidRDefault="005E6CDB" w:rsidP="00192E50">
      <w:pPr>
        <w:pStyle w:val="Tiret0"/>
        <w:rPr>
          <w:noProof/>
        </w:rPr>
      </w:pPr>
      <w:r w:rsidRPr="00BB0D27">
        <w:rPr>
          <w:noProof/>
        </w:rPr>
        <w:t>zobowiązanie producentów towarów podlegających wymogom dotyczącym możliwości naprawy wynikającym</w:t>
      </w:r>
      <w:r w:rsidR="00B73D99" w:rsidRPr="00BB0D27">
        <w:rPr>
          <w:noProof/>
        </w:rPr>
        <w:t xml:space="preserve"> z</w:t>
      </w:r>
      <w:r w:rsidR="00B73D99">
        <w:rPr>
          <w:noProof/>
        </w:rPr>
        <w:t> </w:t>
      </w:r>
      <w:r w:rsidR="00B73D99" w:rsidRPr="00BB0D27">
        <w:rPr>
          <w:noProof/>
        </w:rPr>
        <w:t>pra</w:t>
      </w:r>
      <w:r w:rsidRPr="00BB0D27">
        <w:rPr>
          <w:noProof/>
        </w:rPr>
        <w:t>wa Unii do naprawy poza gwarancją prawną, za określoną cenę;</w:t>
      </w:r>
    </w:p>
    <w:p w:rsidR="00C417E9" w:rsidRPr="00BB0D27" w:rsidRDefault="007313C5" w:rsidP="00192E50">
      <w:pPr>
        <w:pStyle w:val="Tiret0"/>
        <w:rPr>
          <w:noProof/>
        </w:rPr>
      </w:pPr>
      <w:r w:rsidRPr="00BB0D27">
        <w:rPr>
          <w:noProof/>
        </w:rPr>
        <w:t>zobowiązanie producentów do informowania</w:t>
      </w:r>
      <w:r w:rsidR="00B73D99" w:rsidRPr="00BB0D27">
        <w:rPr>
          <w:noProof/>
        </w:rPr>
        <w:t xml:space="preserve"> o</w:t>
      </w:r>
      <w:r w:rsidR="00B73D99">
        <w:rPr>
          <w:noProof/>
        </w:rPr>
        <w:t> </w:t>
      </w:r>
      <w:r w:rsidR="00B73D99" w:rsidRPr="00BB0D27">
        <w:rPr>
          <w:noProof/>
        </w:rPr>
        <w:t>maj</w:t>
      </w:r>
      <w:r w:rsidRPr="00BB0D27">
        <w:rPr>
          <w:noProof/>
        </w:rPr>
        <w:t xml:space="preserve">ącym zastosowanie obowiązku naprawy; </w:t>
      </w:r>
    </w:p>
    <w:p w:rsidR="00C417E9" w:rsidRPr="00BB0D27" w:rsidRDefault="007313C5" w:rsidP="00192E50">
      <w:pPr>
        <w:pStyle w:val="Tiret0"/>
        <w:rPr>
          <w:noProof/>
        </w:rPr>
      </w:pPr>
      <w:r w:rsidRPr="00BB0D27">
        <w:rPr>
          <w:noProof/>
        </w:rPr>
        <w:t xml:space="preserve">dobrowolne stosowanie unijnej normy łatwej naprawy (normy europejskiej dotyczącej usług naprawczych). </w:t>
      </w:r>
    </w:p>
    <w:p w:rsidR="00C417E9" w:rsidRPr="00BB0D27" w:rsidRDefault="00C417E9" w:rsidP="00C417E9">
      <w:pPr>
        <w:spacing w:before="0" w:after="160" w:line="259" w:lineRule="auto"/>
        <w:rPr>
          <w:rFonts w:eastAsia="Calibri"/>
          <w:noProof/>
          <w:szCs w:val="24"/>
        </w:rPr>
      </w:pPr>
      <w:r w:rsidRPr="00BB0D27">
        <w:rPr>
          <w:noProof/>
        </w:rPr>
        <w:t>Pakiet wariantów preferowanych przyczynia się do zwiększenia liczby napraw towarów nabytych przez konsumentów zarówno</w:t>
      </w:r>
      <w:r w:rsidR="00B73D99" w:rsidRPr="00BB0D27">
        <w:rPr>
          <w:noProof/>
        </w:rPr>
        <w:t xml:space="preserve"> w</w:t>
      </w:r>
      <w:r w:rsidR="00B73D99">
        <w:rPr>
          <w:noProof/>
        </w:rPr>
        <w:t> </w:t>
      </w:r>
      <w:r w:rsidR="00B73D99" w:rsidRPr="00BB0D27">
        <w:rPr>
          <w:noProof/>
        </w:rPr>
        <w:t>ram</w:t>
      </w:r>
      <w:r w:rsidRPr="00BB0D27">
        <w:rPr>
          <w:noProof/>
        </w:rPr>
        <w:t>ach gwarancji prawnej, jak</w:t>
      </w:r>
      <w:r w:rsidR="00B73D99" w:rsidRPr="00BB0D27">
        <w:rPr>
          <w:noProof/>
        </w:rPr>
        <w:t xml:space="preserve"> i</w:t>
      </w:r>
      <w:r w:rsidR="00B73D99">
        <w:rPr>
          <w:noProof/>
        </w:rPr>
        <w:t> </w:t>
      </w:r>
      <w:r w:rsidR="00B73D99" w:rsidRPr="00BB0D27">
        <w:rPr>
          <w:noProof/>
        </w:rPr>
        <w:t>poz</w:t>
      </w:r>
      <w:r w:rsidRPr="00BB0D27">
        <w:rPr>
          <w:noProof/>
        </w:rPr>
        <w:t>a jej zakresem, przez wyeliminowanie szeregu zidentyfikowanych czynników powodujących przedwczesne pozbywanie się tych towarów.</w:t>
      </w:r>
    </w:p>
    <w:p w:rsidR="00C417E9" w:rsidRPr="00BB0D27" w:rsidRDefault="00C417E9" w:rsidP="00C417E9">
      <w:pPr>
        <w:spacing w:before="0" w:after="160" w:line="259" w:lineRule="auto"/>
        <w:rPr>
          <w:rFonts w:eastAsia="Calibri"/>
          <w:noProof/>
          <w:szCs w:val="24"/>
        </w:rPr>
      </w:pPr>
      <w:r w:rsidRPr="00BB0D27">
        <w:rPr>
          <w:noProof/>
        </w:rPr>
        <w:t>Przedkładanie naprawy nad wymianę</w:t>
      </w:r>
      <w:r w:rsidR="00B73D99" w:rsidRPr="00BB0D27">
        <w:rPr>
          <w:noProof/>
        </w:rPr>
        <w:t xml:space="preserve"> w</w:t>
      </w:r>
      <w:r w:rsidR="00B73D99">
        <w:rPr>
          <w:noProof/>
        </w:rPr>
        <w:t> </w:t>
      </w:r>
      <w:r w:rsidR="00B73D99" w:rsidRPr="00BB0D27">
        <w:rPr>
          <w:noProof/>
        </w:rPr>
        <w:t>ram</w:t>
      </w:r>
      <w:r w:rsidRPr="00BB0D27">
        <w:rPr>
          <w:noProof/>
        </w:rPr>
        <w:t>ach systemu środków ochrony prawnej określonego</w:t>
      </w:r>
      <w:r w:rsidR="00B73D99" w:rsidRPr="00BB0D27">
        <w:rPr>
          <w:noProof/>
        </w:rPr>
        <w:t xml:space="preserve"> w</w:t>
      </w:r>
      <w:r w:rsidR="00B73D99">
        <w:rPr>
          <w:noProof/>
        </w:rPr>
        <w:t> </w:t>
      </w:r>
      <w:r w:rsidR="00B73D99" w:rsidRPr="00BB0D27">
        <w:rPr>
          <w:noProof/>
        </w:rPr>
        <w:t>dyr</w:t>
      </w:r>
      <w:r w:rsidRPr="00BB0D27">
        <w:rPr>
          <w:noProof/>
        </w:rPr>
        <w:t>ektywie</w:t>
      </w:r>
      <w:r w:rsidR="00B73D99" w:rsidRPr="00BB0D27">
        <w:rPr>
          <w:noProof/>
        </w:rPr>
        <w:t xml:space="preserve"> w</w:t>
      </w:r>
      <w:r w:rsidR="00B73D99">
        <w:rPr>
          <w:noProof/>
        </w:rPr>
        <w:t> </w:t>
      </w:r>
      <w:r w:rsidR="00B73D99" w:rsidRPr="00BB0D27">
        <w:rPr>
          <w:noProof/>
        </w:rPr>
        <w:t>spr</w:t>
      </w:r>
      <w:r w:rsidRPr="00BB0D27">
        <w:rPr>
          <w:noProof/>
        </w:rPr>
        <w:t>awie sprzedaży towarów spowoduje, że zachowanie konsumentów będzie ukierunkowane na zrównoważoną konsumpcję oraz przyczyni się do zwiększenia liczby wykonywanych</w:t>
      </w:r>
      <w:r w:rsidR="00B73D99" w:rsidRPr="00BB0D27">
        <w:rPr>
          <w:noProof/>
        </w:rPr>
        <w:t xml:space="preserve"> w</w:t>
      </w:r>
      <w:r w:rsidR="00B73D99">
        <w:rPr>
          <w:noProof/>
        </w:rPr>
        <w:t> </w:t>
      </w:r>
      <w:r w:rsidR="00B73D99" w:rsidRPr="00BB0D27">
        <w:rPr>
          <w:noProof/>
        </w:rPr>
        <w:t>ram</w:t>
      </w:r>
      <w:r w:rsidRPr="00BB0D27">
        <w:rPr>
          <w:noProof/>
        </w:rPr>
        <w:t xml:space="preserve">ach gwarancji prawnej napraw funkcjonalnych towarów nabywanych przez konsumentów. </w:t>
      </w:r>
    </w:p>
    <w:p w:rsidR="00C417E9" w:rsidRPr="00BB0D27" w:rsidRDefault="00C417E9" w:rsidP="00C417E9">
      <w:pPr>
        <w:spacing w:before="0" w:after="160" w:line="259" w:lineRule="auto"/>
        <w:rPr>
          <w:rFonts w:eastAsia="Calibri"/>
          <w:noProof/>
          <w:szCs w:val="24"/>
        </w:rPr>
      </w:pPr>
      <w:r w:rsidRPr="00BB0D27">
        <w:rPr>
          <w:noProof/>
        </w:rPr>
        <w:t>Oprócz gwarancji prawnej różne środki przyczynią się do ułatwienia naprawy</w:t>
      </w:r>
      <w:r w:rsidR="00B73D99" w:rsidRPr="00BB0D27">
        <w:rPr>
          <w:noProof/>
        </w:rPr>
        <w:t xml:space="preserve"> i</w:t>
      </w:r>
      <w:r w:rsidR="00B73D99">
        <w:rPr>
          <w:noProof/>
        </w:rPr>
        <w:t> </w:t>
      </w:r>
      <w:r w:rsidR="00B73D99" w:rsidRPr="00BB0D27">
        <w:rPr>
          <w:noProof/>
        </w:rPr>
        <w:t>zwi</w:t>
      </w:r>
      <w:r w:rsidRPr="00BB0D27">
        <w:rPr>
          <w:noProof/>
        </w:rPr>
        <w:t>ększenia jej atrakcyjności dla konsumentów, przy jednoczesnym zwiększeniu liczby napraw</w:t>
      </w:r>
      <w:r w:rsidR="00B73D99" w:rsidRPr="00BB0D27">
        <w:rPr>
          <w:noProof/>
        </w:rPr>
        <w:t xml:space="preserve"> i</w:t>
      </w:r>
      <w:r w:rsidR="00B73D99">
        <w:rPr>
          <w:noProof/>
        </w:rPr>
        <w:t> </w:t>
      </w:r>
      <w:r w:rsidR="00B73D99" w:rsidRPr="00BB0D27">
        <w:rPr>
          <w:noProof/>
        </w:rPr>
        <w:t>wyd</w:t>
      </w:r>
      <w:r w:rsidRPr="00BB0D27">
        <w:rPr>
          <w:noProof/>
        </w:rPr>
        <w:t>łużeniu okresu użytkowania towarów konsumpcyjnych. Krajowa internetowa platforma naprawcza</w:t>
      </w:r>
      <w:r w:rsidR="00B73D99" w:rsidRPr="00BB0D27">
        <w:rPr>
          <w:noProof/>
        </w:rPr>
        <w:t xml:space="preserve"> i</w:t>
      </w:r>
      <w:r w:rsidR="00B73D99">
        <w:rPr>
          <w:noProof/>
        </w:rPr>
        <w:t> </w:t>
      </w:r>
      <w:r w:rsidR="00B73D99" w:rsidRPr="00BB0D27">
        <w:rPr>
          <w:noProof/>
        </w:rPr>
        <w:t>zob</w:t>
      </w:r>
      <w:r w:rsidRPr="00BB0D27">
        <w:rPr>
          <w:noProof/>
        </w:rPr>
        <w:t>owiązanie producentów do informowania</w:t>
      </w:r>
      <w:r w:rsidR="00B73D99" w:rsidRPr="00BB0D27">
        <w:rPr>
          <w:noProof/>
        </w:rPr>
        <w:t xml:space="preserve"> o</w:t>
      </w:r>
      <w:r w:rsidR="00B73D99">
        <w:rPr>
          <w:noProof/>
        </w:rPr>
        <w:t> </w:t>
      </w:r>
      <w:r w:rsidR="00B73D99" w:rsidRPr="00BB0D27">
        <w:rPr>
          <w:noProof/>
        </w:rPr>
        <w:t>obo</w:t>
      </w:r>
      <w:r w:rsidRPr="00BB0D27">
        <w:rPr>
          <w:noProof/>
        </w:rPr>
        <w:t>wiązującym ich obowiązku świadczenia usług naprawczych przyczynią się do zwiększenia przejrzystości dostępnych usług naprawczych. Wiążąca oferta dotycząca ceny</w:t>
      </w:r>
      <w:r w:rsidR="00B73D99" w:rsidRPr="00BB0D27">
        <w:rPr>
          <w:noProof/>
        </w:rPr>
        <w:t xml:space="preserve"> i</w:t>
      </w:r>
      <w:r w:rsidR="00B73D99">
        <w:rPr>
          <w:noProof/>
        </w:rPr>
        <w:t> </w:t>
      </w:r>
      <w:r w:rsidR="00B73D99" w:rsidRPr="00BB0D27">
        <w:rPr>
          <w:noProof/>
        </w:rPr>
        <w:t>war</w:t>
      </w:r>
      <w:r w:rsidRPr="00BB0D27">
        <w:rPr>
          <w:noProof/>
        </w:rPr>
        <w:t>unków naprawy (europejski formularz informacji</w:t>
      </w:r>
      <w:r w:rsidR="00B73D99" w:rsidRPr="00BB0D27">
        <w:rPr>
          <w:noProof/>
        </w:rPr>
        <w:t xml:space="preserve"> o</w:t>
      </w:r>
      <w:r w:rsidR="00B73D99">
        <w:rPr>
          <w:noProof/>
        </w:rPr>
        <w:t> </w:t>
      </w:r>
      <w:r w:rsidR="00B73D99" w:rsidRPr="00BB0D27">
        <w:rPr>
          <w:noProof/>
        </w:rPr>
        <w:t>nap</w:t>
      </w:r>
      <w:r w:rsidRPr="00BB0D27">
        <w:rPr>
          <w:noProof/>
        </w:rPr>
        <w:t>rawie) pozwoli rozwiać obawy konsumentów dotyczące cen</w:t>
      </w:r>
      <w:r w:rsidR="00B73D99" w:rsidRPr="00BB0D27">
        <w:rPr>
          <w:noProof/>
        </w:rPr>
        <w:t xml:space="preserve"> i</w:t>
      </w:r>
      <w:r w:rsidR="00B73D99">
        <w:rPr>
          <w:noProof/>
        </w:rPr>
        <w:t> </w:t>
      </w:r>
      <w:r w:rsidR="00B73D99" w:rsidRPr="00BB0D27">
        <w:rPr>
          <w:noProof/>
        </w:rPr>
        <w:t>czy</w:t>
      </w:r>
      <w:r w:rsidRPr="00BB0D27">
        <w:rPr>
          <w:noProof/>
        </w:rPr>
        <w:t>nników powodujących niedogodności</w:t>
      </w:r>
      <w:r w:rsidR="00B73D99" w:rsidRPr="00BB0D27">
        <w:rPr>
          <w:noProof/>
        </w:rPr>
        <w:t xml:space="preserve"> w</w:t>
      </w:r>
      <w:r w:rsidR="00B73D99">
        <w:rPr>
          <w:noProof/>
        </w:rPr>
        <w:t> </w:t>
      </w:r>
      <w:r w:rsidR="00B73D99" w:rsidRPr="00BB0D27">
        <w:rPr>
          <w:noProof/>
        </w:rPr>
        <w:t>pro</w:t>
      </w:r>
      <w:r w:rsidRPr="00BB0D27">
        <w:rPr>
          <w:noProof/>
        </w:rPr>
        <w:t>cesie naprawy dzięki przejrzystości</w:t>
      </w:r>
      <w:r w:rsidR="00B73D99" w:rsidRPr="00BB0D27">
        <w:rPr>
          <w:noProof/>
        </w:rPr>
        <w:t xml:space="preserve"> i</w:t>
      </w:r>
      <w:r w:rsidR="00B73D99">
        <w:rPr>
          <w:noProof/>
        </w:rPr>
        <w:t> </w:t>
      </w:r>
      <w:r w:rsidR="00B73D99" w:rsidRPr="00BB0D27">
        <w:rPr>
          <w:noProof/>
        </w:rPr>
        <w:t>prz</w:t>
      </w:r>
      <w:r w:rsidRPr="00BB0D27">
        <w:rPr>
          <w:noProof/>
        </w:rPr>
        <w:t>ewidywalności oraz ułatwi porównywanie ofert. Obowiązek naprawy przyczyni się do promowania zrównoważonej konsumpcji, zapewniając konsumentom prawo do domagania się naprawy od producenta</w:t>
      </w:r>
      <w:r w:rsidR="00B73D99" w:rsidRPr="00BB0D27">
        <w:rPr>
          <w:noProof/>
        </w:rPr>
        <w:t xml:space="preserve"> w</w:t>
      </w:r>
      <w:r w:rsidR="00B73D99">
        <w:rPr>
          <w:noProof/>
        </w:rPr>
        <w:t> </w:t>
      </w:r>
      <w:r w:rsidR="00B73D99" w:rsidRPr="00BB0D27">
        <w:rPr>
          <w:noProof/>
        </w:rPr>
        <w:t>prz</w:t>
      </w:r>
      <w:r w:rsidRPr="00BB0D27">
        <w:rPr>
          <w:noProof/>
        </w:rPr>
        <w:t>ypadku określonych grup produktów, które</w:t>
      </w:r>
      <w:r w:rsidR="00B73D99" w:rsidRPr="00BB0D27">
        <w:rPr>
          <w:noProof/>
        </w:rPr>
        <w:t xml:space="preserve"> z</w:t>
      </w:r>
      <w:r w:rsidR="00B73D99">
        <w:rPr>
          <w:noProof/>
        </w:rPr>
        <w:t> </w:t>
      </w:r>
      <w:r w:rsidR="00B73D99" w:rsidRPr="00BB0D27">
        <w:rPr>
          <w:noProof/>
        </w:rPr>
        <w:t>zał</w:t>
      </w:r>
      <w:r w:rsidRPr="00BB0D27">
        <w:rPr>
          <w:noProof/>
        </w:rPr>
        <w:t>ożenia nadają się do naprawy. Norma europejska dotycząca usług naprawczych jest przydatnym, nieregulacyjnym dodatkiem do środków wiążących, który przyczyni się do zwiększenia zaufania konsumentów do usług naprawczych. Funkcja platformy krajowej umożliwiająca odnawianie pozwala na zwiększenie wykorzystania towarów odnowionych, zapewniając korzyści zarówno po stronie popytu, jak</w:t>
      </w:r>
      <w:r w:rsidR="00B73D99" w:rsidRPr="00BB0D27">
        <w:rPr>
          <w:noProof/>
        </w:rPr>
        <w:t xml:space="preserve"> i</w:t>
      </w:r>
      <w:r w:rsidR="00B73D99">
        <w:rPr>
          <w:noProof/>
        </w:rPr>
        <w:t> </w:t>
      </w:r>
      <w:r w:rsidR="00B73D99" w:rsidRPr="00BB0D27">
        <w:rPr>
          <w:noProof/>
        </w:rPr>
        <w:t>pod</w:t>
      </w:r>
      <w:r w:rsidRPr="00BB0D27">
        <w:rPr>
          <w:noProof/>
        </w:rPr>
        <w:t>aży.</w:t>
      </w:r>
    </w:p>
    <w:p w:rsidR="00C417E9" w:rsidRPr="00BB0D27" w:rsidRDefault="00C417E9" w:rsidP="00C417E9">
      <w:pPr>
        <w:spacing w:before="0" w:after="160" w:line="259" w:lineRule="auto"/>
        <w:rPr>
          <w:rFonts w:eastAsia="Calibri"/>
          <w:noProof/>
          <w:szCs w:val="24"/>
        </w:rPr>
      </w:pPr>
      <w:r w:rsidRPr="00BB0D27">
        <w:rPr>
          <w:noProof/>
        </w:rPr>
        <w:t>Pakiet wariantów preferowanych przyczynia się do zwiększenia zatrudnienia, inwestycji</w:t>
      </w:r>
      <w:r w:rsidR="00B73D99" w:rsidRPr="00BB0D27">
        <w:rPr>
          <w:noProof/>
        </w:rPr>
        <w:t xml:space="preserve"> i</w:t>
      </w:r>
      <w:r w:rsidR="00B73D99">
        <w:rPr>
          <w:noProof/>
        </w:rPr>
        <w:t> </w:t>
      </w:r>
      <w:r w:rsidR="00B73D99" w:rsidRPr="00BB0D27">
        <w:rPr>
          <w:noProof/>
        </w:rPr>
        <w:t>kon</w:t>
      </w:r>
      <w:r w:rsidRPr="00BB0D27">
        <w:rPr>
          <w:noProof/>
        </w:rPr>
        <w:t>kurencji</w:t>
      </w:r>
      <w:r w:rsidR="00B73D99" w:rsidRPr="00BB0D27">
        <w:rPr>
          <w:noProof/>
        </w:rPr>
        <w:t xml:space="preserve"> w</w:t>
      </w:r>
      <w:r w:rsidR="00B73D99">
        <w:rPr>
          <w:noProof/>
        </w:rPr>
        <w:t> </w:t>
      </w:r>
      <w:r w:rsidR="00B73D99" w:rsidRPr="00BB0D27">
        <w:rPr>
          <w:noProof/>
        </w:rPr>
        <w:t>uni</w:t>
      </w:r>
      <w:r w:rsidRPr="00BB0D27">
        <w:rPr>
          <w:noProof/>
        </w:rPr>
        <w:t>jnym sektorze napraw na rynku wewnętrznym, przynosząc jednocześnie korzyści konsumentom UE (176,5 mld EUR oszczędności dla konsumentów</w:t>
      </w:r>
      <w:r w:rsidR="00B73D99" w:rsidRPr="00BB0D27">
        <w:rPr>
          <w:noProof/>
        </w:rPr>
        <w:t xml:space="preserve"> w</w:t>
      </w:r>
      <w:r w:rsidR="00B73D99">
        <w:rPr>
          <w:noProof/>
        </w:rPr>
        <w:t> </w:t>
      </w:r>
      <w:r w:rsidR="00B73D99" w:rsidRPr="00BB0D27">
        <w:rPr>
          <w:noProof/>
        </w:rPr>
        <w:t>cią</w:t>
      </w:r>
      <w:r w:rsidRPr="00BB0D27">
        <w:rPr>
          <w:noProof/>
        </w:rPr>
        <w:t xml:space="preserve">gu 15 lat, co przekłada się </w:t>
      </w:r>
      <w:r w:rsidRPr="00B73D99">
        <w:rPr>
          <w:noProof/>
        </w:rPr>
        <w:t>na</w:t>
      </w:r>
      <w:r w:rsidR="00B73D99" w:rsidRPr="00B73D99">
        <w:rPr>
          <w:noProof/>
        </w:rPr>
        <w:t> </w:t>
      </w:r>
      <w:r w:rsidRPr="00B73D99">
        <w:rPr>
          <w:noProof/>
        </w:rPr>
        <w:t>2</w:t>
      </w:r>
      <w:r w:rsidRPr="00BB0D27">
        <w:rPr>
          <w:noProof/>
        </w:rPr>
        <w:t>5 EUR na konsumenta rocznie)</w:t>
      </w:r>
      <w:r w:rsidR="00B73D99" w:rsidRPr="00BB0D27">
        <w:rPr>
          <w:noProof/>
        </w:rPr>
        <w:t xml:space="preserve"> i</w:t>
      </w:r>
      <w:r w:rsidR="00B73D99">
        <w:rPr>
          <w:noProof/>
        </w:rPr>
        <w:t> </w:t>
      </w:r>
      <w:r w:rsidR="00B73D99" w:rsidRPr="00BB0D27">
        <w:rPr>
          <w:noProof/>
        </w:rPr>
        <w:t>śro</w:t>
      </w:r>
      <w:r w:rsidRPr="00BB0D27">
        <w:rPr>
          <w:noProof/>
        </w:rPr>
        <w:t>dowisku (oszczędność 18,4 mln ton CO</w:t>
      </w:r>
      <w:r w:rsidRPr="00BB0D27">
        <w:rPr>
          <w:noProof/>
          <w:vertAlign w:val="subscript"/>
        </w:rPr>
        <w:t>2</w:t>
      </w:r>
      <w:r w:rsidRPr="00BB0D27">
        <w:rPr>
          <w:rStyle w:val="FootnoteReference"/>
          <w:noProof/>
          <w:szCs w:val="24"/>
        </w:rPr>
        <w:footnoteReference w:id="9"/>
      </w:r>
      <w:r w:rsidR="00B73D99" w:rsidRPr="00BB0D27">
        <w:rPr>
          <w:noProof/>
        </w:rPr>
        <w:t xml:space="preserve"> w</w:t>
      </w:r>
      <w:r w:rsidR="00B73D99">
        <w:rPr>
          <w:noProof/>
        </w:rPr>
        <w:t> </w:t>
      </w:r>
      <w:r w:rsidR="00B73D99" w:rsidRPr="00BB0D27">
        <w:rPr>
          <w:noProof/>
        </w:rPr>
        <w:t>cią</w:t>
      </w:r>
      <w:r w:rsidRPr="00BB0D27">
        <w:rPr>
          <w:noProof/>
        </w:rPr>
        <w:t>gu 15 lat). Niezależne stacje obsługi,</w:t>
      </w:r>
      <w:r w:rsidR="00B73D99" w:rsidRPr="00BB0D27">
        <w:rPr>
          <w:noProof/>
        </w:rPr>
        <w:t xml:space="preserve"> w</w:t>
      </w:r>
      <w:r w:rsidR="00B73D99">
        <w:rPr>
          <w:noProof/>
        </w:rPr>
        <w:t> </w:t>
      </w:r>
      <w:r w:rsidR="00B73D99" w:rsidRPr="00BB0D27">
        <w:rPr>
          <w:noProof/>
        </w:rPr>
        <w:t>tym</w:t>
      </w:r>
      <w:r w:rsidRPr="00BB0D27">
        <w:rPr>
          <w:noProof/>
        </w:rPr>
        <w:t xml:space="preserve"> małe</w:t>
      </w:r>
      <w:r w:rsidR="00B73D99" w:rsidRPr="00BB0D27">
        <w:rPr>
          <w:noProof/>
        </w:rPr>
        <w:t xml:space="preserve"> i</w:t>
      </w:r>
      <w:r w:rsidR="00B73D99">
        <w:rPr>
          <w:noProof/>
        </w:rPr>
        <w:t> </w:t>
      </w:r>
      <w:r w:rsidR="00B73D99" w:rsidRPr="00BB0D27">
        <w:rPr>
          <w:noProof/>
        </w:rPr>
        <w:t>śre</w:t>
      </w:r>
      <w:r w:rsidRPr="00BB0D27">
        <w:rPr>
          <w:noProof/>
        </w:rPr>
        <w:t>dnie przedsiębiorstwa, mogą korzystać</w:t>
      </w:r>
      <w:r w:rsidR="00B73D99" w:rsidRPr="00BB0D27">
        <w:rPr>
          <w:noProof/>
        </w:rPr>
        <w:t xml:space="preserve"> z</w:t>
      </w:r>
      <w:r w:rsidR="00B73D99">
        <w:rPr>
          <w:noProof/>
        </w:rPr>
        <w:t> </w:t>
      </w:r>
      <w:r w:rsidR="00B73D99" w:rsidRPr="00BB0D27">
        <w:rPr>
          <w:noProof/>
        </w:rPr>
        <w:t>teg</w:t>
      </w:r>
      <w:r w:rsidRPr="00BB0D27">
        <w:rPr>
          <w:noProof/>
        </w:rPr>
        <w:t>o pakietu. Przedsiębiorstwa poniosą straty</w:t>
      </w:r>
      <w:r w:rsidR="00B73D99" w:rsidRPr="00BB0D27">
        <w:rPr>
          <w:noProof/>
        </w:rPr>
        <w:t xml:space="preserve"> z</w:t>
      </w:r>
      <w:r w:rsidR="00B73D99">
        <w:rPr>
          <w:noProof/>
        </w:rPr>
        <w:t> </w:t>
      </w:r>
      <w:r w:rsidR="00B73D99" w:rsidRPr="00BB0D27">
        <w:rPr>
          <w:noProof/>
        </w:rPr>
        <w:t>pow</w:t>
      </w:r>
      <w:r w:rsidRPr="00BB0D27">
        <w:rPr>
          <w:noProof/>
        </w:rPr>
        <w:t>odu rezygnacji ze sprzedaży</w:t>
      </w:r>
      <w:r w:rsidR="00B73D99" w:rsidRPr="00BB0D27">
        <w:rPr>
          <w:noProof/>
        </w:rPr>
        <w:t xml:space="preserve"> i</w:t>
      </w:r>
      <w:r w:rsidR="00B73D99">
        <w:rPr>
          <w:noProof/>
        </w:rPr>
        <w:t> </w:t>
      </w:r>
      <w:r w:rsidR="00B73D99" w:rsidRPr="00BB0D27">
        <w:rPr>
          <w:noProof/>
        </w:rPr>
        <w:t>ogr</w:t>
      </w:r>
      <w:r w:rsidRPr="00BB0D27">
        <w:rPr>
          <w:noProof/>
        </w:rPr>
        <w:t>aniczonej produkcji nowych towarów, ale znaczne oszczędności konsumentów przewyższą koszty ponoszone przez przedsiębiorstwa. Straty przedsiębiorstw odzwierciedlają zatem przekazanie przychodów przedsiębiorstw na rzecz zapewnienia dobrobytu konsumentom. Konsumenci prawdopodobnie zainwestują zaoszczędzone pieniądze</w:t>
      </w:r>
      <w:r w:rsidR="00B73D99" w:rsidRPr="00BB0D27">
        <w:rPr>
          <w:noProof/>
        </w:rPr>
        <w:t xml:space="preserve"> w</w:t>
      </w:r>
      <w:r w:rsidR="00B73D99">
        <w:rPr>
          <w:noProof/>
        </w:rPr>
        <w:t> </w:t>
      </w:r>
      <w:r w:rsidR="00B73D99" w:rsidRPr="00BB0D27">
        <w:rPr>
          <w:noProof/>
        </w:rPr>
        <w:t>ogó</w:t>
      </w:r>
      <w:r w:rsidRPr="00BB0D27">
        <w:rPr>
          <w:noProof/>
        </w:rPr>
        <w:t>lną gospodarkę, co</w:t>
      </w:r>
      <w:r w:rsidR="00B73D99" w:rsidRPr="00BB0D27">
        <w:rPr>
          <w:noProof/>
        </w:rPr>
        <w:t xml:space="preserve"> z</w:t>
      </w:r>
      <w:r w:rsidR="00B73D99">
        <w:rPr>
          <w:noProof/>
        </w:rPr>
        <w:t> </w:t>
      </w:r>
      <w:r w:rsidR="00B73D99" w:rsidRPr="00BB0D27">
        <w:rPr>
          <w:noProof/>
        </w:rPr>
        <w:t>kol</w:t>
      </w:r>
      <w:r w:rsidRPr="00BB0D27">
        <w:rPr>
          <w:noProof/>
        </w:rPr>
        <w:t>ei doprowadzi do wzrostu gospodarczego</w:t>
      </w:r>
      <w:r w:rsidR="00B73D99" w:rsidRPr="00BB0D27">
        <w:rPr>
          <w:noProof/>
        </w:rPr>
        <w:t xml:space="preserve"> i</w:t>
      </w:r>
      <w:r w:rsidR="00B73D99">
        <w:rPr>
          <w:noProof/>
        </w:rPr>
        <w:t> </w:t>
      </w:r>
      <w:r w:rsidR="00B73D99" w:rsidRPr="00BB0D27">
        <w:rPr>
          <w:noProof/>
        </w:rPr>
        <w:t>inw</w:t>
      </w:r>
      <w:r w:rsidRPr="00BB0D27">
        <w:rPr>
          <w:noProof/>
        </w:rPr>
        <w:t>estycji.</w:t>
      </w:r>
    </w:p>
    <w:p w:rsidR="00C417E9" w:rsidRPr="00BB0D27" w:rsidRDefault="00C417E9" w:rsidP="00192E50">
      <w:pPr>
        <w:pStyle w:val="Bullet0"/>
        <w:rPr>
          <w:b/>
          <w:noProof/>
        </w:rPr>
      </w:pPr>
      <w:r w:rsidRPr="00BB0D27">
        <w:rPr>
          <w:b/>
          <w:noProof/>
        </w:rPr>
        <w:t>Prawa podstawowe</w:t>
      </w:r>
    </w:p>
    <w:p w:rsidR="00C417E9" w:rsidRPr="00BB0D27" w:rsidRDefault="00C417E9" w:rsidP="00C417E9">
      <w:pPr>
        <w:spacing w:before="0" w:after="160" w:line="259" w:lineRule="auto"/>
        <w:rPr>
          <w:rFonts w:eastAsia="Calibri"/>
          <w:noProof/>
          <w:szCs w:val="24"/>
        </w:rPr>
      </w:pPr>
      <w:r w:rsidRPr="00BB0D27">
        <w:rPr>
          <w:noProof/>
        </w:rPr>
        <w:t>Pakiet ma pozytywny wpływ na prawa podstawowe zapisane</w:t>
      </w:r>
      <w:r w:rsidR="00B73D99" w:rsidRPr="00BB0D27">
        <w:rPr>
          <w:noProof/>
        </w:rPr>
        <w:t xml:space="preserve"> w</w:t>
      </w:r>
      <w:r w:rsidR="00B73D99">
        <w:rPr>
          <w:noProof/>
        </w:rPr>
        <w:t> </w:t>
      </w:r>
      <w:r w:rsidR="00B73D99" w:rsidRPr="00BB0D27">
        <w:rPr>
          <w:noProof/>
        </w:rPr>
        <w:t>Kar</w:t>
      </w:r>
      <w:r w:rsidRPr="00BB0D27">
        <w:rPr>
          <w:noProof/>
        </w:rPr>
        <w:t>cie praw podstawowych Unii Europejskiej (Karta)</w:t>
      </w:r>
      <w:r w:rsidR="00B73D99" w:rsidRPr="00BB0D27">
        <w:rPr>
          <w:noProof/>
        </w:rPr>
        <w:t>. W</w:t>
      </w:r>
      <w:r w:rsidR="00B73D99">
        <w:rPr>
          <w:noProof/>
        </w:rPr>
        <w:t> </w:t>
      </w:r>
      <w:r w:rsidR="00B73D99" w:rsidRPr="00BB0D27">
        <w:rPr>
          <w:noProof/>
        </w:rPr>
        <w:t>ram</w:t>
      </w:r>
      <w:r w:rsidRPr="00BB0D27">
        <w:rPr>
          <w:noProof/>
        </w:rPr>
        <w:t>ach pakietu promuje się prawo do wysokiego poziomu ochrony środowiska oraz poprawy jego jakości, zgodnie</w:t>
      </w:r>
      <w:r w:rsidR="00B73D99" w:rsidRPr="00BB0D27">
        <w:rPr>
          <w:noProof/>
        </w:rPr>
        <w:t xml:space="preserve"> z</w:t>
      </w:r>
      <w:r w:rsidR="00B73D99">
        <w:rPr>
          <w:noProof/>
        </w:rPr>
        <w:t> </w:t>
      </w:r>
      <w:r w:rsidR="00B73D99" w:rsidRPr="00B73D99">
        <w:rPr>
          <w:noProof/>
        </w:rPr>
        <w:t>art</w:t>
      </w:r>
      <w:r w:rsidRPr="00B73D99">
        <w:rPr>
          <w:noProof/>
        </w:rPr>
        <w:t>.</w:t>
      </w:r>
      <w:r w:rsidR="00B73D99" w:rsidRPr="00B73D99">
        <w:rPr>
          <w:noProof/>
        </w:rPr>
        <w:t> </w:t>
      </w:r>
      <w:r w:rsidRPr="00B73D99">
        <w:rPr>
          <w:noProof/>
        </w:rPr>
        <w:t>3</w:t>
      </w:r>
      <w:r w:rsidRPr="00BB0D27">
        <w:rPr>
          <w:noProof/>
        </w:rPr>
        <w:t>7 Karty</w:t>
      </w:r>
      <w:r w:rsidR="00B73D99" w:rsidRPr="00BB0D27">
        <w:rPr>
          <w:noProof/>
        </w:rPr>
        <w:t>. W</w:t>
      </w:r>
      <w:r w:rsidR="00B73D99">
        <w:rPr>
          <w:noProof/>
        </w:rPr>
        <w:t> </w:t>
      </w:r>
      <w:r w:rsidR="00B73D99" w:rsidRPr="00BB0D27">
        <w:rPr>
          <w:noProof/>
        </w:rPr>
        <w:t>szc</w:t>
      </w:r>
      <w:r w:rsidRPr="00BB0D27">
        <w:rPr>
          <w:noProof/>
        </w:rPr>
        <w:t>zególności przyczynia się do zmniejszenia emisji gazów cieplarnianych, ilości odpadów</w:t>
      </w:r>
      <w:r w:rsidR="00B73D99" w:rsidRPr="00BB0D27">
        <w:rPr>
          <w:noProof/>
        </w:rPr>
        <w:t xml:space="preserve"> i</w:t>
      </w:r>
      <w:r w:rsidR="00B73D99">
        <w:rPr>
          <w:noProof/>
        </w:rPr>
        <w:t> </w:t>
      </w:r>
      <w:r w:rsidR="00B73D99" w:rsidRPr="00BB0D27">
        <w:rPr>
          <w:noProof/>
        </w:rPr>
        <w:t>wyk</w:t>
      </w:r>
      <w:r w:rsidRPr="00BB0D27">
        <w:rPr>
          <w:noProof/>
        </w:rPr>
        <w:t>orzystania nowych zasobów przez zwiększenie ilości napraw zarówno</w:t>
      </w:r>
      <w:r w:rsidR="00B73D99" w:rsidRPr="00BB0D27">
        <w:rPr>
          <w:noProof/>
        </w:rPr>
        <w:t xml:space="preserve"> w</w:t>
      </w:r>
      <w:r w:rsidR="00B73D99">
        <w:rPr>
          <w:noProof/>
        </w:rPr>
        <w:t> </w:t>
      </w:r>
      <w:r w:rsidR="00B73D99" w:rsidRPr="00BB0D27">
        <w:rPr>
          <w:noProof/>
        </w:rPr>
        <w:t>ram</w:t>
      </w:r>
      <w:r w:rsidRPr="00BB0D27">
        <w:rPr>
          <w:noProof/>
        </w:rPr>
        <w:t>ach gwarancji prawnej, jak</w:t>
      </w:r>
      <w:r w:rsidR="00B73D99" w:rsidRPr="00BB0D27">
        <w:rPr>
          <w:noProof/>
        </w:rPr>
        <w:t xml:space="preserve"> i</w:t>
      </w:r>
      <w:r w:rsidR="00B73D99">
        <w:rPr>
          <w:noProof/>
        </w:rPr>
        <w:t> </w:t>
      </w:r>
      <w:r w:rsidR="00B73D99" w:rsidRPr="00BB0D27">
        <w:rPr>
          <w:noProof/>
        </w:rPr>
        <w:t>poz</w:t>
      </w:r>
      <w:r w:rsidRPr="00BB0D27">
        <w:rPr>
          <w:noProof/>
        </w:rPr>
        <w:t>a jej zakresem,</w:t>
      </w:r>
      <w:r w:rsidR="00B73D99" w:rsidRPr="00BB0D27">
        <w:rPr>
          <w:noProof/>
        </w:rPr>
        <w:t xml:space="preserve"> a</w:t>
      </w:r>
      <w:r w:rsidR="00B73D99">
        <w:rPr>
          <w:noProof/>
        </w:rPr>
        <w:t> </w:t>
      </w:r>
      <w:r w:rsidR="00B73D99" w:rsidRPr="00BB0D27">
        <w:rPr>
          <w:noProof/>
        </w:rPr>
        <w:t>tym</w:t>
      </w:r>
      <w:r w:rsidRPr="00BB0D27">
        <w:rPr>
          <w:noProof/>
        </w:rPr>
        <w:t xml:space="preserve"> samym wydłużenie okresu użytkowania towarów nabytych przez konsumentów. Niniejszy wniosek przyczynia się do zapewnienia wysokiego poziomu ochrony konsumentów (</w:t>
      </w:r>
      <w:r w:rsidRPr="00B73D99">
        <w:rPr>
          <w:noProof/>
        </w:rPr>
        <w:t>art.</w:t>
      </w:r>
      <w:r w:rsidR="00B73D99" w:rsidRPr="00B73D99">
        <w:rPr>
          <w:noProof/>
        </w:rPr>
        <w:t> </w:t>
      </w:r>
      <w:r w:rsidRPr="00B73D99">
        <w:rPr>
          <w:noProof/>
        </w:rPr>
        <w:t>3</w:t>
      </w:r>
      <w:r w:rsidRPr="00BB0D27">
        <w:rPr>
          <w:noProof/>
        </w:rPr>
        <w:t xml:space="preserve">8 Karty) przez wzmocnienie praw konsumentów poza zakresem gwarancji prawnej. Zostanie to zapewnione poprzez: </w:t>
      </w:r>
    </w:p>
    <w:p w:rsidR="00C417E9" w:rsidRPr="00BB0D27" w:rsidRDefault="5351D65E" w:rsidP="5680DA1D">
      <w:pPr>
        <w:spacing w:before="0" w:after="160" w:line="259" w:lineRule="auto"/>
        <w:rPr>
          <w:rFonts w:eastAsia="Calibri"/>
          <w:noProof/>
        </w:rPr>
      </w:pPr>
      <w:r w:rsidRPr="00BB0D27">
        <w:rPr>
          <w:noProof/>
        </w:rPr>
        <w:t>a) zapewnienie konsumentom narzędzi służących zwiększeniu przejrzystości</w:t>
      </w:r>
      <w:r w:rsidR="00B73D99" w:rsidRPr="00BB0D27">
        <w:rPr>
          <w:noProof/>
        </w:rPr>
        <w:t xml:space="preserve"> i</w:t>
      </w:r>
      <w:r w:rsidR="00B73D99">
        <w:rPr>
          <w:noProof/>
        </w:rPr>
        <w:t> </w:t>
      </w:r>
      <w:r w:rsidR="00B73D99" w:rsidRPr="00BB0D27">
        <w:rPr>
          <w:noProof/>
        </w:rPr>
        <w:t>pop</w:t>
      </w:r>
      <w:r w:rsidRPr="00BB0D27">
        <w:rPr>
          <w:noProof/>
        </w:rPr>
        <w:t>rawie warunków naprawy;</w:t>
      </w:r>
    </w:p>
    <w:p w:rsidR="00C417E9" w:rsidRPr="00BB0D27" w:rsidRDefault="00C417E9" w:rsidP="00C417E9">
      <w:pPr>
        <w:spacing w:before="0" w:after="160" w:line="259" w:lineRule="auto"/>
        <w:rPr>
          <w:rFonts w:eastAsia="Calibri"/>
          <w:noProof/>
          <w:szCs w:val="24"/>
        </w:rPr>
      </w:pPr>
      <w:r w:rsidRPr="00BB0D27">
        <w:rPr>
          <w:noProof/>
        </w:rPr>
        <w:t>b) zobowiązanie producentów do naprawy określonych towarów nabywanych przez konsumentów poza zakresem gwarancji prawnej.</w:t>
      </w:r>
    </w:p>
    <w:p w:rsidR="00C417E9" w:rsidRPr="00BB0D27" w:rsidRDefault="00C417E9" w:rsidP="00C417E9">
      <w:pPr>
        <w:spacing w:before="0" w:after="160" w:line="259" w:lineRule="auto"/>
        <w:rPr>
          <w:rFonts w:eastAsia="Calibri"/>
          <w:noProof/>
          <w:szCs w:val="24"/>
        </w:rPr>
      </w:pPr>
      <w:r w:rsidRPr="00BB0D27">
        <w:rPr>
          <w:noProof/>
        </w:rPr>
        <w:t>Środki te będą stanowić zachętę do wyboru naprawy</w:t>
      </w:r>
      <w:r w:rsidR="00B73D99" w:rsidRPr="00BB0D27">
        <w:rPr>
          <w:noProof/>
        </w:rPr>
        <w:t xml:space="preserve"> w</w:t>
      </w:r>
      <w:r w:rsidR="00B73D99">
        <w:rPr>
          <w:noProof/>
        </w:rPr>
        <w:t> </w:t>
      </w:r>
      <w:r w:rsidR="00B73D99" w:rsidRPr="00BB0D27">
        <w:rPr>
          <w:noProof/>
        </w:rPr>
        <w:t>prz</w:t>
      </w:r>
      <w:r w:rsidRPr="00BB0D27">
        <w:rPr>
          <w:noProof/>
        </w:rPr>
        <w:t>ypadku wystąpienia wady</w:t>
      </w:r>
      <w:r w:rsidR="00B73D99" w:rsidRPr="00BB0D27">
        <w:rPr>
          <w:noProof/>
        </w:rPr>
        <w:t xml:space="preserve"> i</w:t>
      </w:r>
      <w:r w:rsidR="00B73D99">
        <w:rPr>
          <w:noProof/>
        </w:rPr>
        <w:t> </w:t>
      </w:r>
      <w:r w:rsidR="00B73D99" w:rsidRPr="00BB0D27">
        <w:rPr>
          <w:noProof/>
        </w:rPr>
        <w:t>uła</w:t>
      </w:r>
      <w:r w:rsidRPr="00BB0D27">
        <w:rPr>
          <w:noProof/>
        </w:rPr>
        <w:t>twią jego dokonanie oraz zapobiegną niepotrzebnemu nabywaniu przez konsumentów nowych produktów zastępczych, przyczyniając się tym samym do zmni</w:t>
      </w:r>
      <w:r w:rsidR="00BB0D27">
        <w:rPr>
          <w:noProof/>
        </w:rPr>
        <w:t>ejszenia wydatków konsumentów.</w:t>
      </w:r>
    </w:p>
    <w:p w:rsidR="00C417E9" w:rsidRPr="00BB0D27" w:rsidRDefault="00C417E9" w:rsidP="00C417E9">
      <w:pPr>
        <w:spacing w:before="0" w:after="160" w:line="259" w:lineRule="auto"/>
        <w:rPr>
          <w:rFonts w:eastAsia="Calibri"/>
          <w:noProof/>
          <w:szCs w:val="24"/>
        </w:rPr>
      </w:pPr>
      <w:r w:rsidRPr="00BB0D27">
        <w:rPr>
          <w:noProof/>
        </w:rPr>
        <w:t>Chociaż</w:t>
      </w:r>
      <w:r w:rsidR="00B73D99" w:rsidRPr="00BB0D27">
        <w:rPr>
          <w:noProof/>
        </w:rPr>
        <w:t xml:space="preserve"> w</w:t>
      </w:r>
      <w:r w:rsidR="00B73D99">
        <w:rPr>
          <w:noProof/>
        </w:rPr>
        <w:t> </w:t>
      </w:r>
      <w:r w:rsidR="00B73D99" w:rsidRPr="00BB0D27">
        <w:rPr>
          <w:noProof/>
        </w:rPr>
        <w:t>nin</w:t>
      </w:r>
      <w:r w:rsidRPr="00BB0D27">
        <w:rPr>
          <w:noProof/>
        </w:rPr>
        <w:t>iejszym wniosku uregulowano kwestię określonych praktyk handlowych dotyczących naprawy</w:t>
      </w:r>
      <w:r w:rsidR="00B73D99" w:rsidRPr="00BB0D27">
        <w:rPr>
          <w:noProof/>
        </w:rPr>
        <w:t xml:space="preserve"> w</w:t>
      </w:r>
      <w:r w:rsidR="00B73D99">
        <w:rPr>
          <w:noProof/>
        </w:rPr>
        <w:t> </w:t>
      </w:r>
      <w:r w:rsidR="00B73D99" w:rsidRPr="00BB0D27">
        <w:rPr>
          <w:noProof/>
        </w:rPr>
        <w:t>zwi</w:t>
      </w:r>
      <w:r w:rsidRPr="00BB0D27">
        <w:rPr>
          <w:noProof/>
        </w:rPr>
        <w:t>ązku</w:t>
      </w:r>
      <w:r w:rsidR="00B73D99" w:rsidRPr="00BB0D27">
        <w:rPr>
          <w:noProof/>
        </w:rPr>
        <w:t xml:space="preserve"> z</w:t>
      </w:r>
      <w:r w:rsidR="00B73D99">
        <w:rPr>
          <w:noProof/>
        </w:rPr>
        <w:t> </w:t>
      </w:r>
      <w:r w:rsidR="00B73D99" w:rsidRPr="00BB0D27">
        <w:rPr>
          <w:noProof/>
        </w:rPr>
        <w:t>cel</w:t>
      </w:r>
      <w:r w:rsidRPr="00BB0D27">
        <w:rPr>
          <w:noProof/>
        </w:rPr>
        <w:t>em, jakim jest zrównoważona konsumpcja, zagwarantowano</w:t>
      </w:r>
      <w:r w:rsidR="00B73D99" w:rsidRPr="00BB0D27">
        <w:rPr>
          <w:noProof/>
        </w:rPr>
        <w:t xml:space="preserve"> w</w:t>
      </w:r>
      <w:r w:rsidR="00B73D99">
        <w:rPr>
          <w:noProof/>
        </w:rPr>
        <w:t> </w:t>
      </w:r>
      <w:r w:rsidR="00B73D99" w:rsidRPr="00BB0D27">
        <w:rPr>
          <w:noProof/>
        </w:rPr>
        <w:t>nim</w:t>
      </w:r>
      <w:r w:rsidRPr="00BB0D27">
        <w:rPr>
          <w:noProof/>
        </w:rPr>
        <w:t xml:space="preserve"> swobodę zawierania umów</w:t>
      </w:r>
      <w:r w:rsidR="00B73D99" w:rsidRPr="00BB0D27">
        <w:rPr>
          <w:noProof/>
        </w:rPr>
        <w:t xml:space="preserve"> i</w:t>
      </w:r>
      <w:r w:rsidR="00B73D99">
        <w:rPr>
          <w:noProof/>
        </w:rPr>
        <w:t> </w:t>
      </w:r>
      <w:r w:rsidR="00B73D99" w:rsidRPr="00BB0D27">
        <w:rPr>
          <w:noProof/>
        </w:rPr>
        <w:t>wol</w:t>
      </w:r>
      <w:r w:rsidRPr="00BB0D27">
        <w:rPr>
          <w:noProof/>
        </w:rPr>
        <w:t>ność prowadzenia działalności gospodarczej (</w:t>
      </w:r>
      <w:r w:rsidRPr="00B73D99">
        <w:rPr>
          <w:noProof/>
        </w:rPr>
        <w:t>art.</w:t>
      </w:r>
      <w:r w:rsidR="00B73D99" w:rsidRPr="00B73D99">
        <w:rPr>
          <w:noProof/>
        </w:rPr>
        <w:t> </w:t>
      </w:r>
      <w:r w:rsidRPr="00B73D99">
        <w:rPr>
          <w:noProof/>
        </w:rPr>
        <w:t>1</w:t>
      </w:r>
      <w:r w:rsidRPr="00BB0D27">
        <w:rPr>
          <w:noProof/>
        </w:rPr>
        <w:t>6 Karty). Przepisy zawarte</w:t>
      </w:r>
      <w:r w:rsidR="00B73D99" w:rsidRPr="00BB0D27">
        <w:rPr>
          <w:noProof/>
        </w:rPr>
        <w:t xml:space="preserve"> w</w:t>
      </w:r>
      <w:r w:rsidR="00B73D99">
        <w:rPr>
          <w:noProof/>
        </w:rPr>
        <w:t> </w:t>
      </w:r>
      <w:r w:rsidR="00B73D99" w:rsidRPr="00BB0D27">
        <w:rPr>
          <w:noProof/>
        </w:rPr>
        <w:t>nin</w:t>
      </w:r>
      <w:r w:rsidRPr="00BB0D27">
        <w:rPr>
          <w:noProof/>
        </w:rPr>
        <w:t>iejszym wniosku są ukierunkowane na pobudzenie rynku napraw bez powodowania obciążeń,</w:t>
      </w:r>
      <w:r w:rsidR="00B73D99" w:rsidRPr="00BB0D27">
        <w:rPr>
          <w:noProof/>
        </w:rPr>
        <w:t xml:space="preserve"> w</w:t>
      </w:r>
      <w:r w:rsidR="00B73D99">
        <w:rPr>
          <w:noProof/>
        </w:rPr>
        <w:t> </w:t>
      </w:r>
      <w:r w:rsidR="00B73D99" w:rsidRPr="00BB0D27">
        <w:rPr>
          <w:noProof/>
        </w:rPr>
        <w:t>szc</w:t>
      </w:r>
      <w:r w:rsidRPr="00BB0D27">
        <w:rPr>
          <w:noProof/>
        </w:rPr>
        <w:t>zególności</w:t>
      </w:r>
      <w:r w:rsidR="00B73D99" w:rsidRPr="00BB0D27">
        <w:rPr>
          <w:noProof/>
        </w:rPr>
        <w:t xml:space="preserve"> w</w:t>
      </w:r>
      <w:r w:rsidR="00B73D99">
        <w:rPr>
          <w:noProof/>
        </w:rPr>
        <w:t> </w:t>
      </w:r>
      <w:r w:rsidR="00B73D99" w:rsidRPr="00BB0D27">
        <w:rPr>
          <w:noProof/>
        </w:rPr>
        <w:t>odn</w:t>
      </w:r>
      <w:r w:rsidRPr="00BB0D27">
        <w:rPr>
          <w:noProof/>
        </w:rPr>
        <w:t>iesieniu do małych</w:t>
      </w:r>
      <w:r w:rsidR="00B73D99" w:rsidRPr="00BB0D27">
        <w:rPr>
          <w:noProof/>
        </w:rPr>
        <w:t xml:space="preserve"> i</w:t>
      </w:r>
      <w:r w:rsidR="00B73D99">
        <w:rPr>
          <w:noProof/>
        </w:rPr>
        <w:t> </w:t>
      </w:r>
      <w:r w:rsidR="00B73D99" w:rsidRPr="00BB0D27">
        <w:rPr>
          <w:noProof/>
        </w:rPr>
        <w:t>śre</w:t>
      </w:r>
      <w:r w:rsidRPr="00BB0D27">
        <w:rPr>
          <w:noProof/>
        </w:rPr>
        <w:t xml:space="preserve">dnich przedsiębiorstw. </w:t>
      </w:r>
    </w:p>
    <w:p w:rsidR="00D97F73" w:rsidRPr="00BB0D27" w:rsidRDefault="00D97F73" w:rsidP="00C417E9">
      <w:pPr>
        <w:spacing w:before="0" w:after="160" w:line="259" w:lineRule="auto"/>
        <w:rPr>
          <w:rFonts w:eastAsia="Calibri"/>
          <w:noProof/>
          <w:szCs w:val="24"/>
        </w:rPr>
      </w:pPr>
      <w:r w:rsidRPr="00BB0D27">
        <w:rPr>
          <w:noProof/>
        </w:rPr>
        <w:t>Niniejszy wniosek przyczynia się również do integracji</w:t>
      </w:r>
      <w:r w:rsidRPr="00BB0D27">
        <w:rPr>
          <w:noProof/>
          <w:color w:val="D13438"/>
          <w:sz w:val="27"/>
          <w:shd w:val="clear" w:color="auto" w:fill="FFFFFF"/>
        </w:rPr>
        <w:t xml:space="preserve"> </w:t>
      </w:r>
      <w:r w:rsidRPr="00BB0D27">
        <w:rPr>
          <w:noProof/>
        </w:rPr>
        <w:t>osób niepełnosprawnych (</w:t>
      </w:r>
      <w:r w:rsidRPr="00B73D99">
        <w:rPr>
          <w:noProof/>
        </w:rPr>
        <w:t>art.</w:t>
      </w:r>
      <w:r w:rsidR="00B73D99" w:rsidRPr="00B73D99">
        <w:rPr>
          <w:noProof/>
        </w:rPr>
        <w:t> </w:t>
      </w:r>
      <w:r w:rsidRPr="00B73D99">
        <w:rPr>
          <w:noProof/>
        </w:rPr>
        <w:t>2</w:t>
      </w:r>
      <w:r w:rsidRPr="00BB0D27">
        <w:rPr>
          <w:noProof/>
        </w:rPr>
        <w:t>6 Karty), ponieważ zobowiązuje państwa członkowskie do zapewnienia dostępności platformy internetowej dotyczącej napraw również dla osób niepełnosprawnych,</w:t>
      </w:r>
      <w:r w:rsidRPr="00BB0D27">
        <w:rPr>
          <w:noProof/>
          <w:color w:val="881798"/>
          <w:sz w:val="27"/>
          <w:shd w:val="clear" w:color="auto" w:fill="FFFFFF"/>
        </w:rPr>
        <w:t xml:space="preserve"> </w:t>
      </w:r>
      <w:r w:rsidRPr="00BB0D27">
        <w:rPr>
          <w:noProof/>
        </w:rPr>
        <w:t>ułatwiając im tym samym uzyskanie dostępu do usług naprawczych.</w:t>
      </w:r>
      <w:r w:rsidRPr="00BB0D27">
        <w:rPr>
          <w:noProof/>
          <w:color w:val="D13438"/>
          <w:sz w:val="27"/>
          <w:shd w:val="clear" w:color="auto" w:fill="FFFFFF"/>
        </w:rPr>
        <w:t xml:space="preserve"> </w:t>
      </w:r>
      <w:r w:rsidRPr="00BB0D27">
        <w:rPr>
          <w:noProof/>
        </w:rPr>
        <w:t>Ponadto we wniosku dąży się do zagwarantowania poszanowania prawa do skutecznego środka prawnego</w:t>
      </w:r>
      <w:r w:rsidR="00B73D99" w:rsidRPr="00BB0D27">
        <w:rPr>
          <w:noProof/>
        </w:rPr>
        <w:t xml:space="preserve"> i</w:t>
      </w:r>
      <w:r w:rsidR="00B73D99">
        <w:rPr>
          <w:noProof/>
        </w:rPr>
        <w:t> </w:t>
      </w:r>
      <w:r w:rsidR="00B73D99" w:rsidRPr="00BB0D27">
        <w:rPr>
          <w:noProof/>
        </w:rPr>
        <w:t>dos</w:t>
      </w:r>
      <w:r w:rsidRPr="00BB0D27">
        <w:rPr>
          <w:noProof/>
        </w:rPr>
        <w:t>tępu do bezstronnego sądu (</w:t>
      </w:r>
      <w:r w:rsidRPr="00B73D99">
        <w:rPr>
          <w:noProof/>
        </w:rPr>
        <w:t>art.</w:t>
      </w:r>
      <w:r w:rsidR="00B73D99" w:rsidRPr="00B73D99">
        <w:rPr>
          <w:noProof/>
        </w:rPr>
        <w:t> </w:t>
      </w:r>
      <w:r w:rsidRPr="00B73D99">
        <w:rPr>
          <w:noProof/>
        </w:rPr>
        <w:t>4</w:t>
      </w:r>
      <w:r w:rsidRPr="00BB0D27">
        <w:rPr>
          <w:noProof/>
        </w:rPr>
        <w:t>7 Karty),</w:t>
      </w:r>
      <w:r w:rsidR="00B73D99" w:rsidRPr="00BB0D27">
        <w:rPr>
          <w:noProof/>
        </w:rPr>
        <w:t xml:space="preserve"> w</w:t>
      </w:r>
      <w:r w:rsidR="00B73D99">
        <w:rPr>
          <w:noProof/>
        </w:rPr>
        <w:t> </w:t>
      </w:r>
      <w:r w:rsidR="00B73D99" w:rsidRPr="00BB0D27">
        <w:rPr>
          <w:noProof/>
        </w:rPr>
        <w:t>szc</w:t>
      </w:r>
      <w:r w:rsidRPr="00BB0D27">
        <w:rPr>
          <w:noProof/>
        </w:rPr>
        <w:t>zególności poprzez przyjęcie przepisów szczegółowych regulujących kwestie związane</w:t>
      </w:r>
      <w:r w:rsidR="00B73D99" w:rsidRPr="00BB0D27">
        <w:rPr>
          <w:noProof/>
        </w:rPr>
        <w:t xml:space="preserve"> z</w:t>
      </w:r>
      <w:r w:rsidR="00B73D99">
        <w:rPr>
          <w:noProof/>
        </w:rPr>
        <w:t> </w:t>
      </w:r>
      <w:r w:rsidR="00B73D99" w:rsidRPr="00BB0D27">
        <w:rPr>
          <w:noProof/>
        </w:rPr>
        <w:t>egz</w:t>
      </w:r>
      <w:r w:rsidRPr="00BB0D27">
        <w:rPr>
          <w:noProof/>
        </w:rPr>
        <w:t>ekwowaniem przepisów</w:t>
      </w:r>
      <w:r w:rsidR="00B73D99" w:rsidRPr="00BB0D27">
        <w:rPr>
          <w:noProof/>
        </w:rPr>
        <w:t xml:space="preserve"> w</w:t>
      </w:r>
      <w:r w:rsidR="00B73D99">
        <w:rPr>
          <w:noProof/>
        </w:rPr>
        <w:t> </w:t>
      </w:r>
      <w:r w:rsidR="00B73D99" w:rsidRPr="00BB0D27">
        <w:rPr>
          <w:noProof/>
        </w:rPr>
        <w:t>cel</w:t>
      </w:r>
      <w:r w:rsidRPr="00BB0D27">
        <w:rPr>
          <w:noProof/>
        </w:rPr>
        <w:t>u zapewnienia zgodności</w:t>
      </w:r>
      <w:r w:rsidR="00B73D99" w:rsidRPr="00BB0D27">
        <w:rPr>
          <w:noProof/>
        </w:rPr>
        <w:t xml:space="preserve"> z</w:t>
      </w:r>
      <w:r w:rsidR="00B73D99">
        <w:rPr>
          <w:noProof/>
        </w:rPr>
        <w:t> </w:t>
      </w:r>
      <w:r w:rsidR="00B73D99" w:rsidRPr="00BB0D27">
        <w:rPr>
          <w:noProof/>
        </w:rPr>
        <w:t>dyr</w:t>
      </w:r>
      <w:r w:rsidRPr="00BB0D27">
        <w:rPr>
          <w:noProof/>
        </w:rPr>
        <w:t>ektywą będącą przedmiotem wniosku.</w:t>
      </w:r>
    </w:p>
    <w:p w:rsidR="00C417E9" w:rsidRPr="00BB0D27" w:rsidRDefault="00561C56" w:rsidP="00561C56">
      <w:pPr>
        <w:pStyle w:val="ManualHeading1"/>
        <w:rPr>
          <w:noProof/>
        </w:rPr>
      </w:pPr>
      <w:r w:rsidRPr="00BB0D27">
        <w:rPr>
          <w:noProof/>
        </w:rPr>
        <w:t>4.</w:t>
      </w:r>
      <w:r w:rsidRPr="00BB0D27">
        <w:rPr>
          <w:noProof/>
        </w:rPr>
        <w:tab/>
        <w:t>WPŁYW NA BUDŻET</w:t>
      </w:r>
    </w:p>
    <w:p w:rsidR="00561C56" w:rsidRPr="00BB0D27" w:rsidRDefault="00C417E9" w:rsidP="00010EBE">
      <w:pPr>
        <w:rPr>
          <w:noProof/>
        </w:rPr>
      </w:pPr>
      <w:r w:rsidRPr="00BB0D27">
        <w:rPr>
          <w:noProof/>
        </w:rPr>
        <w:t>Wniosek nie ma wpływu finansowego na budżet UE.</w:t>
      </w:r>
    </w:p>
    <w:p w:rsidR="00561C56" w:rsidRPr="00BB0D27" w:rsidRDefault="00561C56" w:rsidP="00561C56">
      <w:pPr>
        <w:spacing w:before="0" w:after="160" w:line="259" w:lineRule="auto"/>
        <w:ind w:firstLine="360"/>
        <w:jc w:val="left"/>
        <w:rPr>
          <w:rFonts w:eastAsia="Calibri"/>
          <w:noProof/>
          <w:sz w:val="27"/>
        </w:rPr>
      </w:pPr>
    </w:p>
    <w:p w:rsidR="00C417E9" w:rsidRPr="00BB0D27" w:rsidRDefault="00561C56" w:rsidP="00561C56">
      <w:pPr>
        <w:pStyle w:val="ManualHeading1"/>
        <w:rPr>
          <w:rFonts w:eastAsia="Calibri"/>
          <w:noProof/>
          <w:sz w:val="27"/>
        </w:rPr>
      </w:pPr>
      <w:r w:rsidRPr="00BB0D27">
        <w:rPr>
          <w:noProof/>
        </w:rPr>
        <w:t>5.</w:t>
      </w:r>
      <w:r w:rsidRPr="00BB0D27">
        <w:rPr>
          <w:noProof/>
        </w:rPr>
        <w:tab/>
        <w:t>ELEMENTY FAKULTATYWNE</w:t>
      </w:r>
    </w:p>
    <w:p w:rsidR="00C417E9" w:rsidRPr="00BB0D27" w:rsidRDefault="00C417E9" w:rsidP="00192E50">
      <w:pPr>
        <w:pStyle w:val="Bullet0"/>
        <w:rPr>
          <w:b/>
          <w:noProof/>
          <w:szCs w:val="24"/>
        </w:rPr>
      </w:pPr>
      <w:r w:rsidRPr="00BB0D27">
        <w:rPr>
          <w:b/>
          <w:noProof/>
        </w:rPr>
        <w:t>Plany wdrożenia</w:t>
      </w:r>
      <w:r w:rsidR="00B73D99" w:rsidRPr="00BB0D27">
        <w:rPr>
          <w:b/>
          <w:noProof/>
        </w:rPr>
        <w:t xml:space="preserve"> i</w:t>
      </w:r>
      <w:r w:rsidR="00B73D99">
        <w:rPr>
          <w:b/>
          <w:noProof/>
        </w:rPr>
        <w:t> </w:t>
      </w:r>
      <w:r w:rsidR="00B73D99" w:rsidRPr="00BB0D27">
        <w:rPr>
          <w:b/>
          <w:noProof/>
        </w:rPr>
        <w:t>mon</w:t>
      </w:r>
      <w:r w:rsidRPr="00BB0D27">
        <w:rPr>
          <w:b/>
          <w:noProof/>
        </w:rPr>
        <w:t>itorowanie, ocena</w:t>
      </w:r>
      <w:r w:rsidR="00B73D99" w:rsidRPr="00BB0D27">
        <w:rPr>
          <w:b/>
          <w:noProof/>
        </w:rPr>
        <w:t xml:space="preserve"> i</w:t>
      </w:r>
      <w:r w:rsidR="00B73D99">
        <w:rPr>
          <w:b/>
          <w:noProof/>
        </w:rPr>
        <w:t> </w:t>
      </w:r>
      <w:r w:rsidR="00B73D99" w:rsidRPr="00BB0D27">
        <w:rPr>
          <w:b/>
          <w:noProof/>
        </w:rPr>
        <w:t>spr</w:t>
      </w:r>
      <w:r w:rsidRPr="00BB0D27">
        <w:rPr>
          <w:b/>
          <w:noProof/>
        </w:rPr>
        <w:t>awozdania</w:t>
      </w:r>
    </w:p>
    <w:p w:rsidR="00C417E9" w:rsidRPr="00BB0D27" w:rsidRDefault="00C417E9" w:rsidP="00C417E9">
      <w:pPr>
        <w:spacing w:before="0" w:after="160" w:line="259" w:lineRule="auto"/>
        <w:rPr>
          <w:rFonts w:eastAsia="Calibri"/>
          <w:noProof/>
          <w:szCs w:val="24"/>
        </w:rPr>
      </w:pPr>
      <w:r w:rsidRPr="00BB0D27">
        <w:rPr>
          <w:noProof/>
        </w:rPr>
        <w:t>Komisja oceni skutki niniejszej inicjatywy po upływie 5 lat od dnia rozpoczęcia jej stosowania. Zagwarantuje to odpowiednio długi okres wdrażania tej inicjatywy</w:t>
      </w:r>
      <w:r w:rsidR="00B73D99" w:rsidRPr="00BB0D27">
        <w:rPr>
          <w:noProof/>
        </w:rPr>
        <w:t xml:space="preserve"> i</w:t>
      </w:r>
      <w:r w:rsidR="00B73D99">
        <w:rPr>
          <w:noProof/>
        </w:rPr>
        <w:t> </w:t>
      </w:r>
      <w:r w:rsidR="00B73D99" w:rsidRPr="00BB0D27">
        <w:rPr>
          <w:noProof/>
        </w:rPr>
        <w:t>gro</w:t>
      </w:r>
      <w:r w:rsidRPr="00BB0D27">
        <w:rPr>
          <w:noProof/>
        </w:rPr>
        <w:t>madzenia dowodów</w:t>
      </w:r>
      <w:r w:rsidR="00B73D99" w:rsidRPr="00BB0D27">
        <w:rPr>
          <w:noProof/>
        </w:rPr>
        <w:t xml:space="preserve"> w</w:t>
      </w:r>
      <w:r w:rsidR="00B73D99">
        <w:rPr>
          <w:noProof/>
        </w:rPr>
        <w:t> </w:t>
      </w:r>
      <w:r w:rsidR="00B73D99" w:rsidRPr="00BB0D27">
        <w:rPr>
          <w:noProof/>
        </w:rPr>
        <w:t>pań</w:t>
      </w:r>
      <w:r w:rsidRPr="00BB0D27">
        <w:rPr>
          <w:noProof/>
        </w:rPr>
        <w:t>stwach członkowskich. Postępy we wdrażaniu inicjatywy będą monitorowane</w:t>
      </w:r>
      <w:r w:rsidR="00B73D99" w:rsidRPr="00BB0D27">
        <w:rPr>
          <w:noProof/>
        </w:rPr>
        <w:t xml:space="preserve"> w</w:t>
      </w:r>
      <w:r w:rsidR="00B73D99">
        <w:rPr>
          <w:noProof/>
        </w:rPr>
        <w:t> </w:t>
      </w:r>
      <w:r w:rsidR="00B73D99" w:rsidRPr="00BB0D27">
        <w:rPr>
          <w:noProof/>
        </w:rPr>
        <w:t>opa</w:t>
      </w:r>
      <w:r w:rsidRPr="00BB0D27">
        <w:rPr>
          <w:noProof/>
        </w:rPr>
        <w:t>rciu</w:t>
      </w:r>
      <w:r w:rsidR="00B73D99" w:rsidRPr="00BB0D27">
        <w:rPr>
          <w:noProof/>
        </w:rPr>
        <w:t xml:space="preserve"> o</w:t>
      </w:r>
      <w:r w:rsidR="00B73D99">
        <w:rPr>
          <w:noProof/>
        </w:rPr>
        <w:t> </w:t>
      </w:r>
      <w:r w:rsidR="00B73D99" w:rsidRPr="00BB0D27">
        <w:rPr>
          <w:noProof/>
        </w:rPr>
        <w:t>zbi</w:t>
      </w:r>
      <w:r w:rsidRPr="00BB0D27">
        <w:rPr>
          <w:noProof/>
        </w:rPr>
        <w:t>ór wskaźników obejmujących zarówno pakiet rozumiany jako całość, jak</w:t>
      </w:r>
      <w:r w:rsidR="00B73D99" w:rsidRPr="00BB0D27">
        <w:rPr>
          <w:noProof/>
        </w:rPr>
        <w:t xml:space="preserve"> i</w:t>
      </w:r>
      <w:r w:rsidR="00B73D99">
        <w:rPr>
          <w:noProof/>
        </w:rPr>
        <w:t> </w:t>
      </w:r>
      <w:r w:rsidR="00B73D99" w:rsidRPr="00BB0D27">
        <w:rPr>
          <w:noProof/>
        </w:rPr>
        <w:t>jeg</w:t>
      </w:r>
      <w:r w:rsidRPr="00BB0D27">
        <w:rPr>
          <w:noProof/>
        </w:rPr>
        <w:t>o poszczególne elementy</w:t>
      </w:r>
      <w:r w:rsidR="00B73D99" w:rsidRPr="00BB0D27">
        <w:rPr>
          <w:noProof/>
        </w:rPr>
        <w:t>. W</w:t>
      </w:r>
      <w:r w:rsidR="00B73D99">
        <w:rPr>
          <w:noProof/>
        </w:rPr>
        <w:t> </w:t>
      </w:r>
      <w:r w:rsidR="00B73D99" w:rsidRPr="00BB0D27">
        <w:rPr>
          <w:noProof/>
        </w:rPr>
        <w:t>oce</w:t>
      </w:r>
      <w:r w:rsidRPr="00BB0D27">
        <w:rPr>
          <w:noProof/>
        </w:rPr>
        <w:t>nie zostaną również uwzględnione dane dotyczące transpozycji</w:t>
      </w:r>
      <w:r w:rsidR="00B73D99" w:rsidRPr="00BB0D27">
        <w:rPr>
          <w:noProof/>
        </w:rPr>
        <w:t xml:space="preserve"> i</w:t>
      </w:r>
      <w:r w:rsidR="00B73D99">
        <w:rPr>
          <w:noProof/>
        </w:rPr>
        <w:t> </w:t>
      </w:r>
      <w:r w:rsidR="00B73D99" w:rsidRPr="00BB0D27">
        <w:rPr>
          <w:noProof/>
        </w:rPr>
        <w:t>sto</w:t>
      </w:r>
      <w:r w:rsidRPr="00BB0D27">
        <w:rPr>
          <w:noProof/>
        </w:rPr>
        <w:t>sowania inicjatywy. Dlatego też Komisja zamierza pozostać</w:t>
      </w:r>
      <w:r w:rsidR="00B73D99" w:rsidRPr="00BB0D27">
        <w:rPr>
          <w:noProof/>
        </w:rPr>
        <w:t xml:space="preserve"> w</w:t>
      </w:r>
      <w:r w:rsidR="00B73D99">
        <w:rPr>
          <w:noProof/>
        </w:rPr>
        <w:t> </w:t>
      </w:r>
      <w:r w:rsidR="00B73D99" w:rsidRPr="00BB0D27">
        <w:rPr>
          <w:noProof/>
        </w:rPr>
        <w:t>kon</w:t>
      </w:r>
      <w:r w:rsidRPr="00BB0D27">
        <w:rPr>
          <w:noProof/>
        </w:rPr>
        <w:t>takcie</w:t>
      </w:r>
      <w:r w:rsidR="00B73D99" w:rsidRPr="00BB0D27">
        <w:rPr>
          <w:noProof/>
        </w:rPr>
        <w:t xml:space="preserve"> z</w:t>
      </w:r>
      <w:r w:rsidR="00B73D99">
        <w:rPr>
          <w:noProof/>
        </w:rPr>
        <w:t> </w:t>
      </w:r>
      <w:r w:rsidR="00B73D99" w:rsidRPr="00BB0D27">
        <w:rPr>
          <w:noProof/>
        </w:rPr>
        <w:t>pań</w:t>
      </w:r>
      <w:r w:rsidRPr="00BB0D27">
        <w:rPr>
          <w:noProof/>
        </w:rPr>
        <w:t>stwami członkowskimi</w:t>
      </w:r>
      <w:r w:rsidR="00B73D99" w:rsidRPr="00BB0D27">
        <w:rPr>
          <w:noProof/>
        </w:rPr>
        <w:t xml:space="preserve"> i</w:t>
      </w:r>
      <w:r w:rsidR="00B73D99">
        <w:rPr>
          <w:noProof/>
        </w:rPr>
        <w:t> </w:t>
      </w:r>
      <w:r w:rsidR="00B73D99" w:rsidRPr="00BB0D27">
        <w:rPr>
          <w:noProof/>
        </w:rPr>
        <w:t>zai</w:t>
      </w:r>
      <w:r w:rsidRPr="00BB0D27">
        <w:rPr>
          <w:noProof/>
        </w:rPr>
        <w:t>nteresowanymi stronami.</w:t>
      </w:r>
    </w:p>
    <w:p w:rsidR="00824FE6" w:rsidRPr="00BB0D27" w:rsidRDefault="00C417E9" w:rsidP="00561C56">
      <w:pPr>
        <w:spacing w:before="0" w:after="160" w:line="259" w:lineRule="auto"/>
        <w:rPr>
          <w:rFonts w:eastAsia="Calibri"/>
          <w:noProof/>
          <w:sz w:val="27"/>
        </w:rPr>
      </w:pPr>
      <w:r w:rsidRPr="00BB0D27">
        <w:rPr>
          <w:noProof/>
        </w:rPr>
        <w:t>Komisja sporządzi sprawozdanie dotyczące przekazania uprawnień do przyjmowania aktów delegowanych nie później niż 9 miesięcy przed końcem sześcioletniego okresu dysponowania uprawnieniami</w:t>
      </w:r>
      <w:r w:rsidRPr="00BB0D27">
        <w:rPr>
          <w:noProof/>
          <w:sz w:val="27"/>
        </w:rPr>
        <w:t>.</w:t>
      </w:r>
    </w:p>
    <w:p w:rsidR="00FA250B" w:rsidRPr="00BB0D27" w:rsidRDefault="00FA250B" w:rsidP="00BD4757">
      <w:pPr>
        <w:pStyle w:val="Bullet0"/>
        <w:rPr>
          <w:b/>
          <w:noProof/>
        </w:rPr>
      </w:pPr>
      <w:r w:rsidRPr="00BB0D27">
        <w:rPr>
          <w:b/>
          <w:noProof/>
        </w:rPr>
        <w:t>Szczegółowe objaśnienia poszczególnych przepisów wniosku</w:t>
      </w:r>
    </w:p>
    <w:p w:rsidR="00561C56" w:rsidRPr="00BB0D27" w:rsidRDefault="00561C56" w:rsidP="00561C56">
      <w:pPr>
        <w:spacing w:before="0" w:after="160" w:line="259" w:lineRule="auto"/>
        <w:rPr>
          <w:rFonts w:eastAsia="Calibri"/>
          <w:b/>
          <w:noProof/>
          <w:sz w:val="27"/>
        </w:rPr>
      </w:pPr>
    </w:p>
    <w:p w:rsidR="00561C56" w:rsidRPr="00BB0D27" w:rsidRDefault="00561C56" w:rsidP="00561C56">
      <w:pPr>
        <w:spacing w:before="0" w:after="160" w:line="259" w:lineRule="auto"/>
        <w:rPr>
          <w:rFonts w:eastAsia="Calibri"/>
          <w:b/>
          <w:noProof/>
          <w:szCs w:val="24"/>
        </w:rPr>
      </w:pPr>
      <w:r w:rsidRPr="00BB0D27">
        <w:rPr>
          <w:b/>
          <w:noProof/>
        </w:rPr>
        <w:t>Artykuł 1: Przedmiot, cel</w:t>
      </w:r>
      <w:r w:rsidR="00B73D99" w:rsidRPr="00BB0D27">
        <w:rPr>
          <w:b/>
          <w:noProof/>
        </w:rPr>
        <w:t xml:space="preserve"> i</w:t>
      </w:r>
      <w:r w:rsidR="00B73D99">
        <w:rPr>
          <w:b/>
          <w:noProof/>
        </w:rPr>
        <w:t> </w:t>
      </w:r>
      <w:r w:rsidR="00B73D99" w:rsidRPr="00BB0D27">
        <w:rPr>
          <w:b/>
          <w:noProof/>
        </w:rPr>
        <w:t>zak</w:t>
      </w:r>
      <w:r w:rsidRPr="00BB0D27">
        <w:rPr>
          <w:b/>
          <w:noProof/>
        </w:rPr>
        <w:t>res stosowania</w:t>
      </w:r>
    </w:p>
    <w:p w:rsidR="00561C56" w:rsidRPr="00BB0D27" w:rsidRDefault="00383064" w:rsidP="00561C56">
      <w:pPr>
        <w:spacing w:before="0" w:after="160" w:line="259" w:lineRule="auto"/>
        <w:rPr>
          <w:rFonts w:eastAsia="Calibri"/>
          <w:noProof/>
          <w:color w:val="000000"/>
          <w:szCs w:val="24"/>
          <w:shd w:val="clear" w:color="auto" w:fill="FFFFFF"/>
        </w:rPr>
      </w:pPr>
      <w:r w:rsidRPr="00BB0D27">
        <w:rPr>
          <w:noProof/>
        </w:rPr>
        <w:t xml:space="preserve">W </w:t>
      </w:r>
      <w:r w:rsidRPr="00B73D99">
        <w:rPr>
          <w:noProof/>
        </w:rPr>
        <w:t>art.</w:t>
      </w:r>
      <w:r w:rsidR="00B73D99" w:rsidRPr="00B73D99">
        <w:rPr>
          <w:noProof/>
        </w:rPr>
        <w:t> </w:t>
      </w:r>
      <w:r w:rsidRPr="00B73D99">
        <w:rPr>
          <w:noProof/>
        </w:rPr>
        <w:t>1</w:t>
      </w:r>
      <w:r w:rsidRPr="00BB0D27">
        <w:rPr>
          <w:noProof/>
        </w:rPr>
        <w:t xml:space="preserve"> </w:t>
      </w:r>
      <w:r w:rsidRPr="00B73D99">
        <w:rPr>
          <w:noProof/>
        </w:rPr>
        <w:t>ust.</w:t>
      </w:r>
      <w:r w:rsidR="00B73D99" w:rsidRPr="00B73D99">
        <w:rPr>
          <w:noProof/>
        </w:rPr>
        <w:t> </w:t>
      </w:r>
      <w:r w:rsidRPr="00B73D99">
        <w:rPr>
          <w:noProof/>
        </w:rPr>
        <w:t>1</w:t>
      </w:r>
      <w:r w:rsidRPr="00BB0D27">
        <w:rPr>
          <w:noProof/>
        </w:rPr>
        <w:t xml:space="preserve"> wskazano przedmiot niniejszej dyrektywy, którym jest</w:t>
      </w:r>
      <w:r w:rsidRPr="00BB0D27">
        <w:rPr>
          <w:noProof/>
          <w:color w:val="000000"/>
          <w:shd w:val="clear" w:color="auto" w:fill="FFFFFF"/>
        </w:rPr>
        <w:t xml:space="preserve"> poprawa funkcjonowania rynku wewnętrznego poprzez określenie wspólnych zasad promujących naprawę towarów nabywanych przez konsumentów. Zgodnie</w:t>
      </w:r>
      <w:r w:rsidR="00B73D99" w:rsidRPr="00BB0D27">
        <w:rPr>
          <w:noProof/>
          <w:color w:val="000000"/>
          <w:shd w:val="clear" w:color="auto" w:fill="FFFFFF"/>
        </w:rPr>
        <w:t xml:space="preserve"> z</w:t>
      </w:r>
      <w:r w:rsidR="00B73D99">
        <w:rPr>
          <w:noProof/>
          <w:color w:val="000000"/>
          <w:shd w:val="clear" w:color="auto" w:fill="FFFFFF"/>
        </w:rPr>
        <w:t> </w:t>
      </w:r>
      <w:r w:rsidR="00B73D99" w:rsidRPr="00B73D99">
        <w:rPr>
          <w:noProof/>
          <w:color w:val="000000"/>
          <w:shd w:val="clear" w:color="auto" w:fill="FFFFFF"/>
        </w:rPr>
        <w:t>art</w:t>
      </w:r>
      <w:r w:rsidRPr="00B73D99">
        <w:rPr>
          <w:noProof/>
          <w:color w:val="000000"/>
          <w:shd w:val="clear" w:color="auto" w:fill="FFFFFF"/>
        </w:rPr>
        <w:t>.</w:t>
      </w:r>
      <w:r w:rsidR="00B73D99" w:rsidRPr="00B73D99">
        <w:rPr>
          <w:noProof/>
          <w:color w:val="000000"/>
          <w:shd w:val="clear" w:color="auto" w:fill="FFFFFF"/>
        </w:rPr>
        <w:t> </w:t>
      </w:r>
      <w:r w:rsidRPr="00B73D99">
        <w:rPr>
          <w:noProof/>
          <w:color w:val="000000"/>
          <w:shd w:val="clear" w:color="auto" w:fill="FFFFFF"/>
        </w:rPr>
        <w:t>1</w:t>
      </w:r>
      <w:r w:rsidRPr="00BB0D27">
        <w:rPr>
          <w:noProof/>
          <w:color w:val="000000"/>
          <w:shd w:val="clear" w:color="auto" w:fill="FFFFFF"/>
        </w:rPr>
        <w:t xml:space="preserve">14 </w:t>
      </w:r>
      <w:r w:rsidRPr="00B73D99">
        <w:rPr>
          <w:noProof/>
          <w:color w:val="000000"/>
          <w:shd w:val="clear" w:color="auto" w:fill="FFFFFF"/>
        </w:rPr>
        <w:t>ust.</w:t>
      </w:r>
      <w:r w:rsidR="00B73D99" w:rsidRPr="00B73D99">
        <w:rPr>
          <w:noProof/>
          <w:color w:val="000000"/>
          <w:shd w:val="clear" w:color="auto" w:fill="FFFFFF"/>
        </w:rPr>
        <w:t> </w:t>
      </w:r>
      <w:r w:rsidRPr="00B73D99">
        <w:rPr>
          <w:noProof/>
          <w:color w:val="000000"/>
          <w:shd w:val="clear" w:color="auto" w:fill="FFFFFF"/>
        </w:rPr>
        <w:t>3</w:t>
      </w:r>
      <w:r w:rsidRPr="00BB0D27">
        <w:rPr>
          <w:noProof/>
          <w:color w:val="000000"/>
          <w:shd w:val="clear" w:color="auto" w:fill="FFFFFF"/>
        </w:rPr>
        <w:t xml:space="preserve"> TFUE Komisja przyjmuje jako podstawę wysoki poziom ochrony środowiska</w:t>
      </w:r>
      <w:r w:rsidR="00B73D99" w:rsidRPr="00BB0D27">
        <w:rPr>
          <w:noProof/>
          <w:color w:val="000000"/>
          <w:shd w:val="clear" w:color="auto" w:fill="FFFFFF"/>
        </w:rPr>
        <w:t xml:space="preserve"> i</w:t>
      </w:r>
      <w:r w:rsidR="00B73D99">
        <w:rPr>
          <w:noProof/>
          <w:color w:val="000000"/>
          <w:shd w:val="clear" w:color="auto" w:fill="FFFFFF"/>
        </w:rPr>
        <w:t> </w:t>
      </w:r>
      <w:r w:rsidR="00B73D99" w:rsidRPr="00BB0D27">
        <w:rPr>
          <w:noProof/>
          <w:color w:val="000000"/>
          <w:shd w:val="clear" w:color="auto" w:fill="FFFFFF"/>
        </w:rPr>
        <w:t>och</w:t>
      </w:r>
      <w:r w:rsidRPr="00BB0D27">
        <w:rPr>
          <w:noProof/>
          <w:color w:val="000000"/>
          <w:shd w:val="clear" w:color="auto" w:fill="FFFFFF"/>
        </w:rPr>
        <w:t>rony konsumentów. Chociaż cel niniejszej dyrektywy jest zbieżny</w:t>
      </w:r>
      <w:r w:rsidR="00B73D99" w:rsidRPr="00BB0D27">
        <w:rPr>
          <w:noProof/>
          <w:color w:val="000000"/>
          <w:shd w:val="clear" w:color="auto" w:fill="FFFFFF"/>
        </w:rPr>
        <w:t xml:space="preserve"> z</w:t>
      </w:r>
      <w:r w:rsidR="00B73D99">
        <w:rPr>
          <w:noProof/>
          <w:color w:val="000000"/>
          <w:shd w:val="clear" w:color="auto" w:fill="FFFFFF"/>
        </w:rPr>
        <w:t> </w:t>
      </w:r>
      <w:r w:rsidR="00B73D99" w:rsidRPr="00BB0D27">
        <w:rPr>
          <w:noProof/>
          <w:color w:val="000000"/>
          <w:shd w:val="clear" w:color="auto" w:fill="FFFFFF"/>
        </w:rPr>
        <w:t>cel</w:t>
      </w:r>
      <w:r w:rsidRPr="00BB0D27">
        <w:rPr>
          <w:noProof/>
          <w:color w:val="000000"/>
          <w:shd w:val="clear" w:color="auto" w:fill="FFFFFF"/>
        </w:rPr>
        <w:t>em dyrektywy</w:t>
      </w:r>
      <w:r w:rsidR="00B73D99" w:rsidRPr="00BB0D27">
        <w:rPr>
          <w:noProof/>
          <w:color w:val="000000"/>
          <w:shd w:val="clear" w:color="auto" w:fill="FFFFFF"/>
        </w:rPr>
        <w:t xml:space="preserve"> w</w:t>
      </w:r>
      <w:r w:rsidR="00B73D99">
        <w:rPr>
          <w:noProof/>
          <w:color w:val="000000"/>
          <w:shd w:val="clear" w:color="auto" w:fill="FFFFFF"/>
        </w:rPr>
        <w:t> </w:t>
      </w:r>
      <w:r w:rsidR="00B73D99" w:rsidRPr="00BB0D27">
        <w:rPr>
          <w:noProof/>
          <w:color w:val="000000"/>
          <w:shd w:val="clear" w:color="auto" w:fill="FFFFFF"/>
        </w:rPr>
        <w:t>spr</w:t>
      </w:r>
      <w:r w:rsidRPr="00BB0D27">
        <w:rPr>
          <w:noProof/>
          <w:color w:val="000000"/>
          <w:shd w:val="clear" w:color="auto" w:fill="FFFFFF"/>
        </w:rPr>
        <w:t>awie sprzedaży towarów, mianowicie usprawnienie funkcjonowania rynku wewnętrznego</w:t>
      </w:r>
      <w:r w:rsidR="00B73D99" w:rsidRPr="00BB0D27">
        <w:rPr>
          <w:noProof/>
          <w:color w:val="000000"/>
          <w:shd w:val="clear" w:color="auto" w:fill="FFFFFF"/>
        </w:rPr>
        <w:t xml:space="preserve"> i</w:t>
      </w:r>
      <w:r w:rsidR="00B73D99">
        <w:rPr>
          <w:noProof/>
          <w:color w:val="000000"/>
          <w:shd w:val="clear" w:color="auto" w:fill="FFFFFF"/>
        </w:rPr>
        <w:t> </w:t>
      </w:r>
      <w:r w:rsidR="00B73D99" w:rsidRPr="00BB0D27">
        <w:rPr>
          <w:noProof/>
          <w:color w:val="000000"/>
          <w:shd w:val="clear" w:color="auto" w:fill="FFFFFF"/>
        </w:rPr>
        <w:t>osi</w:t>
      </w:r>
      <w:r w:rsidRPr="00BB0D27">
        <w:rPr>
          <w:noProof/>
          <w:color w:val="000000"/>
          <w:shd w:val="clear" w:color="auto" w:fill="FFFFFF"/>
        </w:rPr>
        <w:t>ągnięcie wysokiego poziomu ochrony konsumentów, dodano</w:t>
      </w:r>
      <w:r w:rsidR="00B73D99" w:rsidRPr="00BB0D27">
        <w:rPr>
          <w:noProof/>
          <w:color w:val="000000"/>
          <w:shd w:val="clear" w:color="auto" w:fill="FFFFFF"/>
        </w:rPr>
        <w:t xml:space="preserve"> w</w:t>
      </w:r>
      <w:r w:rsidR="00B73D99">
        <w:rPr>
          <w:noProof/>
          <w:color w:val="000000"/>
          <w:shd w:val="clear" w:color="auto" w:fill="FFFFFF"/>
        </w:rPr>
        <w:t> </w:t>
      </w:r>
      <w:r w:rsidR="00B73D99" w:rsidRPr="00BB0D27">
        <w:rPr>
          <w:noProof/>
          <w:color w:val="000000"/>
          <w:shd w:val="clear" w:color="auto" w:fill="FFFFFF"/>
        </w:rPr>
        <w:t>nie</w:t>
      </w:r>
      <w:r w:rsidRPr="00BB0D27">
        <w:rPr>
          <w:noProof/>
          <w:color w:val="000000"/>
          <w:shd w:val="clear" w:color="auto" w:fill="FFFFFF"/>
        </w:rPr>
        <w:t>j również ochronę środowiska jako cel dodatkowy</w:t>
      </w:r>
      <w:r w:rsidR="00B73D99" w:rsidRPr="00BB0D27">
        <w:rPr>
          <w:noProof/>
          <w:color w:val="000000"/>
          <w:shd w:val="clear" w:color="auto" w:fill="FFFFFF"/>
        </w:rPr>
        <w:t>. W</w:t>
      </w:r>
      <w:r w:rsidR="00B73D99">
        <w:rPr>
          <w:noProof/>
          <w:color w:val="000000"/>
          <w:shd w:val="clear" w:color="auto" w:fill="FFFFFF"/>
        </w:rPr>
        <w:t> </w:t>
      </w:r>
      <w:r w:rsidR="00B73D99" w:rsidRPr="00BB0D27">
        <w:rPr>
          <w:noProof/>
          <w:color w:val="000000"/>
          <w:shd w:val="clear" w:color="auto" w:fill="FFFFFF"/>
        </w:rPr>
        <w:t>szc</w:t>
      </w:r>
      <w:r w:rsidRPr="00BB0D27">
        <w:rPr>
          <w:noProof/>
          <w:color w:val="000000"/>
          <w:shd w:val="clear" w:color="auto" w:fill="FFFFFF"/>
        </w:rPr>
        <w:t>zególności dzięki promowaniu zrównoważonej konsumpcji za sprawą naprawy</w:t>
      </w:r>
      <w:r w:rsidR="00B73D99" w:rsidRPr="00BB0D27">
        <w:rPr>
          <w:noProof/>
          <w:color w:val="000000"/>
          <w:shd w:val="clear" w:color="auto" w:fill="FFFFFF"/>
        </w:rPr>
        <w:t xml:space="preserve"> i</w:t>
      </w:r>
      <w:r w:rsidR="00B73D99">
        <w:rPr>
          <w:noProof/>
          <w:color w:val="000000"/>
          <w:shd w:val="clear" w:color="auto" w:fill="FFFFFF"/>
        </w:rPr>
        <w:t> </w:t>
      </w:r>
      <w:r w:rsidR="00B73D99" w:rsidRPr="00BB0D27">
        <w:rPr>
          <w:noProof/>
          <w:color w:val="000000"/>
          <w:shd w:val="clear" w:color="auto" w:fill="FFFFFF"/>
        </w:rPr>
        <w:t>pon</w:t>
      </w:r>
      <w:r w:rsidRPr="00BB0D27">
        <w:rPr>
          <w:noProof/>
          <w:color w:val="000000"/>
          <w:shd w:val="clear" w:color="auto" w:fill="FFFFFF"/>
        </w:rPr>
        <w:t>ownego wykorzystania niniejsza dyrektywa przyczynia się do realizacji celów gospodarki</w:t>
      </w:r>
      <w:r w:rsidR="00B73D99" w:rsidRPr="00BB0D27">
        <w:rPr>
          <w:noProof/>
          <w:color w:val="000000"/>
          <w:shd w:val="clear" w:color="auto" w:fill="FFFFFF"/>
        </w:rPr>
        <w:t xml:space="preserve"> o</w:t>
      </w:r>
      <w:r w:rsidR="00B73D99">
        <w:rPr>
          <w:noProof/>
          <w:color w:val="000000"/>
          <w:shd w:val="clear" w:color="auto" w:fill="FFFFFF"/>
        </w:rPr>
        <w:t> </w:t>
      </w:r>
      <w:r w:rsidR="00B73D99" w:rsidRPr="00BB0D27">
        <w:rPr>
          <w:noProof/>
          <w:color w:val="000000"/>
          <w:shd w:val="clear" w:color="auto" w:fill="FFFFFF"/>
        </w:rPr>
        <w:t>obi</w:t>
      </w:r>
      <w:r w:rsidRPr="00BB0D27">
        <w:rPr>
          <w:noProof/>
          <w:color w:val="000000"/>
          <w:shd w:val="clear" w:color="auto" w:fill="FFFFFF"/>
        </w:rPr>
        <w:t>egu zamkniętym</w:t>
      </w:r>
      <w:r w:rsidR="00B73D99" w:rsidRPr="00BB0D27">
        <w:rPr>
          <w:noProof/>
          <w:color w:val="000000"/>
          <w:shd w:val="clear" w:color="auto" w:fill="FFFFFF"/>
        </w:rPr>
        <w:t xml:space="preserve"> i</w:t>
      </w:r>
      <w:r w:rsidR="00B73D99">
        <w:rPr>
          <w:noProof/>
          <w:color w:val="000000"/>
          <w:shd w:val="clear" w:color="auto" w:fill="FFFFFF"/>
        </w:rPr>
        <w:t> </w:t>
      </w:r>
      <w:r w:rsidR="00B73D99" w:rsidRPr="00BB0D27">
        <w:rPr>
          <w:noProof/>
          <w:color w:val="000000"/>
          <w:shd w:val="clear" w:color="auto" w:fill="FFFFFF"/>
        </w:rPr>
        <w:t>tra</w:t>
      </w:r>
      <w:r w:rsidRPr="00BB0D27">
        <w:rPr>
          <w:noProof/>
          <w:color w:val="000000"/>
          <w:shd w:val="clear" w:color="auto" w:fill="FFFFFF"/>
        </w:rPr>
        <w:t>nsformacji ekologicznej.</w:t>
      </w:r>
    </w:p>
    <w:p w:rsidR="00500E62" w:rsidRPr="00BB0D27" w:rsidRDefault="00383064" w:rsidP="00500E62">
      <w:pPr>
        <w:spacing w:before="0" w:after="160" w:line="259" w:lineRule="auto"/>
        <w:rPr>
          <w:rFonts w:eastAsia="Calibri"/>
          <w:noProof/>
          <w:color w:val="000000"/>
          <w:szCs w:val="24"/>
          <w:shd w:val="clear" w:color="auto" w:fill="FFFFFF"/>
        </w:rPr>
      </w:pPr>
      <w:r w:rsidRPr="00BB0D27">
        <w:rPr>
          <w:noProof/>
          <w:color w:val="000000"/>
          <w:shd w:val="clear" w:color="auto" w:fill="FFFFFF"/>
        </w:rPr>
        <w:t xml:space="preserve">W </w:t>
      </w:r>
      <w:r w:rsidRPr="00B73D99">
        <w:rPr>
          <w:noProof/>
          <w:color w:val="000000"/>
          <w:shd w:val="clear" w:color="auto" w:fill="FFFFFF"/>
        </w:rPr>
        <w:t>art.</w:t>
      </w:r>
      <w:r w:rsidR="00B73D99" w:rsidRPr="00B73D99">
        <w:rPr>
          <w:noProof/>
          <w:color w:val="000000"/>
          <w:shd w:val="clear" w:color="auto" w:fill="FFFFFF"/>
        </w:rPr>
        <w:t> </w:t>
      </w:r>
      <w:r w:rsidRPr="00B73D99">
        <w:rPr>
          <w:noProof/>
          <w:color w:val="000000"/>
          <w:shd w:val="clear" w:color="auto" w:fill="FFFFFF"/>
        </w:rPr>
        <w:t>1</w:t>
      </w:r>
      <w:r w:rsidRPr="00BB0D27">
        <w:rPr>
          <w:noProof/>
          <w:color w:val="000000"/>
          <w:shd w:val="clear" w:color="auto" w:fill="FFFFFF"/>
        </w:rPr>
        <w:t xml:space="preserve"> </w:t>
      </w:r>
      <w:r w:rsidRPr="00B73D99">
        <w:rPr>
          <w:noProof/>
          <w:color w:val="000000"/>
          <w:shd w:val="clear" w:color="auto" w:fill="FFFFFF"/>
        </w:rPr>
        <w:t>ust.</w:t>
      </w:r>
      <w:r w:rsidR="00B73D99" w:rsidRPr="00B73D99">
        <w:rPr>
          <w:noProof/>
          <w:color w:val="000000"/>
          <w:shd w:val="clear" w:color="auto" w:fill="FFFFFF"/>
        </w:rPr>
        <w:t> </w:t>
      </w:r>
      <w:r w:rsidRPr="00B73D99">
        <w:rPr>
          <w:noProof/>
          <w:color w:val="000000"/>
          <w:shd w:val="clear" w:color="auto" w:fill="FFFFFF"/>
        </w:rPr>
        <w:t>2</w:t>
      </w:r>
      <w:r w:rsidRPr="00BB0D27">
        <w:rPr>
          <w:noProof/>
          <w:color w:val="000000"/>
          <w:shd w:val="clear" w:color="auto" w:fill="FFFFFF"/>
        </w:rPr>
        <w:t xml:space="preserve"> zdefiniowano zakres niniejszej dyrektywy, która odnosi się do naprawy towarów nabytych przez konsumentów</w:t>
      </w:r>
      <w:r w:rsidR="00B73D99" w:rsidRPr="00BB0D27">
        <w:rPr>
          <w:noProof/>
          <w:color w:val="000000"/>
          <w:shd w:val="clear" w:color="auto" w:fill="FFFFFF"/>
        </w:rPr>
        <w:t xml:space="preserve"> w</w:t>
      </w:r>
      <w:r w:rsidR="00B73D99">
        <w:rPr>
          <w:noProof/>
          <w:color w:val="000000"/>
          <w:shd w:val="clear" w:color="auto" w:fill="FFFFFF"/>
        </w:rPr>
        <w:t> </w:t>
      </w:r>
      <w:r w:rsidR="00B73D99" w:rsidRPr="00BB0D27">
        <w:rPr>
          <w:noProof/>
          <w:color w:val="000000"/>
          <w:shd w:val="clear" w:color="auto" w:fill="FFFFFF"/>
        </w:rPr>
        <w:t>prz</w:t>
      </w:r>
      <w:r w:rsidRPr="00BB0D27">
        <w:rPr>
          <w:noProof/>
          <w:color w:val="000000"/>
          <w:shd w:val="clear" w:color="auto" w:fill="FFFFFF"/>
        </w:rPr>
        <w:t>ypadku wystąpienia lub ujawnienia się wady nieobjętej odpowiedzialnością sprzedawcy określoną</w:t>
      </w:r>
      <w:r w:rsidR="00B73D99" w:rsidRPr="00BB0D27">
        <w:rPr>
          <w:noProof/>
          <w:color w:val="000000"/>
          <w:shd w:val="clear" w:color="auto" w:fill="FFFFFF"/>
        </w:rPr>
        <w:t xml:space="preserve"> w</w:t>
      </w:r>
      <w:r w:rsidR="00B73D99">
        <w:rPr>
          <w:noProof/>
          <w:color w:val="000000"/>
          <w:shd w:val="clear" w:color="auto" w:fill="FFFFFF"/>
        </w:rPr>
        <w:t> </w:t>
      </w:r>
      <w:r w:rsidR="00B73D99" w:rsidRPr="00B73D99">
        <w:rPr>
          <w:noProof/>
          <w:color w:val="000000"/>
          <w:shd w:val="clear" w:color="auto" w:fill="FFFFFF"/>
        </w:rPr>
        <w:t>art</w:t>
      </w:r>
      <w:r w:rsidRPr="00B73D99">
        <w:rPr>
          <w:noProof/>
          <w:color w:val="000000"/>
          <w:shd w:val="clear" w:color="auto" w:fill="FFFFFF"/>
        </w:rPr>
        <w:t>.</w:t>
      </w:r>
      <w:r w:rsidR="00B73D99" w:rsidRPr="00B73D99">
        <w:rPr>
          <w:noProof/>
          <w:color w:val="000000"/>
          <w:shd w:val="clear" w:color="auto" w:fill="FFFFFF"/>
        </w:rPr>
        <w:t> </w:t>
      </w:r>
      <w:r w:rsidRPr="00B73D99">
        <w:rPr>
          <w:noProof/>
          <w:color w:val="000000"/>
          <w:shd w:val="clear" w:color="auto" w:fill="FFFFFF"/>
        </w:rPr>
        <w:t>1</w:t>
      </w:r>
      <w:r w:rsidRPr="00BB0D27">
        <w:rPr>
          <w:noProof/>
          <w:color w:val="000000"/>
          <w:shd w:val="clear" w:color="auto" w:fill="FFFFFF"/>
        </w:rPr>
        <w:t>0 dyrektywy (UE) 2019/771. Sytuacja taka może mieć miejsce, gdy wada nie istniała jeszcze</w:t>
      </w:r>
      <w:r w:rsidR="00B73D99" w:rsidRPr="00BB0D27">
        <w:rPr>
          <w:noProof/>
          <w:color w:val="000000"/>
          <w:shd w:val="clear" w:color="auto" w:fill="FFFFFF"/>
        </w:rPr>
        <w:t xml:space="preserve"> w</w:t>
      </w:r>
      <w:r w:rsidR="00B73D99">
        <w:rPr>
          <w:noProof/>
          <w:color w:val="000000"/>
          <w:shd w:val="clear" w:color="auto" w:fill="FFFFFF"/>
        </w:rPr>
        <w:t> </w:t>
      </w:r>
      <w:r w:rsidR="00B73D99" w:rsidRPr="00BB0D27">
        <w:rPr>
          <w:noProof/>
          <w:color w:val="000000"/>
          <w:shd w:val="clear" w:color="auto" w:fill="FFFFFF"/>
        </w:rPr>
        <w:t>mom</w:t>
      </w:r>
      <w:r w:rsidRPr="00BB0D27">
        <w:rPr>
          <w:noProof/>
          <w:color w:val="000000"/>
          <w:shd w:val="clear" w:color="auto" w:fill="FFFFFF"/>
        </w:rPr>
        <w:t>encie dostawy towarów do konsumenta lub gdy brak zgodności towaru</w:t>
      </w:r>
      <w:r w:rsidR="00B73D99" w:rsidRPr="00BB0D27">
        <w:rPr>
          <w:noProof/>
          <w:color w:val="000000"/>
          <w:shd w:val="clear" w:color="auto" w:fill="FFFFFF"/>
        </w:rPr>
        <w:t xml:space="preserve"> z</w:t>
      </w:r>
      <w:r w:rsidR="00B73D99">
        <w:rPr>
          <w:noProof/>
          <w:color w:val="000000"/>
          <w:shd w:val="clear" w:color="auto" w:fill="FFFFFF"/>
        </w:rPr>
        <w:t> </w:t>
      </w:r>
      <w:r w:rsidR="00B73D99" w:rsidRPr="00BB0D27">
        <w:rPr>
          <w:noProof/>
          <w:color w:val="000000"/>
          <w:shd w:val="clear" w:color="auto" w:fill="FFFFFF"/>
        </w:rPr>
        <w:t>umo</w:t>
      </w:r>
      <w:r w:rsidRPr="00BB0D27">
        <w:rPr>
          <w:noProof/>
          <w:color w:val="000000"/>
          <w:shd w:val="clear" w:color="auto" w:fill="FFFFFF"/>
        </w:rPr>
        <w:t>wą ujawni się dopiero po upływie okresu odpowiedzialności</w:t>
      </w:r>
      <w:r w:rsidR="00B73D99" w:rsidRPr="00BB0D27">
        <w:rPr>
          <w:noProof/>
          <w:color w:val="000000"/>
          <w:shd w:val="clear" w:color="auto" w:fill="FFFFFF"/>
        </w:rPr>
        <w:t>. W</w:t>
      </w:r>
      <w:r w:rsidR="00B73D99">
        <w:rPr>
          <w:noProof/>
          <w:color w:val="000000"/>
          <w:shd w:val="clear" w:color="auto" w:fill="FFFFFF"/>
        </w:rPr>
        <w:t> </w:t>
      </w:r>
      <w:r w:rsidR="00B73D99" w:rsidRPr="00BB0D27">
        <w:rPr>
          <w:noProof/>
          <w:color w:val="000000"/>
          <w:shd w:val="clear" w:color="auto" w:fill="FFFFFF"/>
        </w:rPr>
        <w:t>nin</w:t>
      </w:r>
      <w:r w:rsidRPr="00BB0D27">
        <w:rPr>
          <w:noProof/>
          <w:color w:val="000000"/>
          <w:shd w:val="clear" w:color="auto" w:fill="FFFFFF"/>
        </w:rPr>
        <w:t>iejszej dyrektywie wprowadzono kilka przepisów dotyczących takich wad, mianowicie europejski formularz informacji</w:t>
      </w:r>
      <w:r w:rsidR="00B73D99" w:rsidRPr="00BB0D27">
        <w:rPr>
          <w:noProof/>
          <w:color w:val="000000"/>
          <w:shd w:val="clear" w:color="auto" w:fill="FFFFFF"/>
        </w:rPr>
        <w:t xml:space="preserve"> o</w:t>
      </w:r>
      <w:r w:rsidR="00B73D99">
        <w:rPr>
          <w:noProof/>
          <w:color w:val="000000"/>
          <w:shd w:val="clear" w:color="auto" w:fill="FFFFFF"/>
        </w:rPr>
        <w:t> </w:t>
      </w:r>
      <w:r w:rsidR="00B73D99" w:rsidRPr="00BB0D27">
        <w:rPr>
          <w:noProof/>
          <w:color w:val="000000"/>
          <w:shd w:val="clear" w:color="auto" w:fill="FFFFFF"/>
        </w:rPr>
        <w:t>nap</w:t>
      </w:r>
      <w:r w:rsidRPr="00BB0D27">
        <w:rPr>
          <w:noProof/>
          <w:color w:val="000000"/>
          <w:shd w:val="clear" w:color="auto" w:fill="FFFFFF"/>
        </w:rPr>
        <w:t>rawie (</w:t>
      </w:r>
      <w:r w:rsidRPr="00B73D99">
        <w:rPr>
          <w:noProof/>
          <w:color w:val="000000"/>
          <w:shd w:val="clear" w:color="auto" w:fill="FFFFFF"/>
        </w:rPr>
        <w:t>art.</w:t>
      </w:r>
      <w:r w:rsidR="00B73D99" w:rsidRPr="00B73D99">
        <w:rPr>
          <w:noProof/>
          <w:color w:val="000000"/>
          <w:shd w:val="clear" w:color="auto" w:fill="FFFFFF"/>
        </w:rPr>
        <w:t> </w:t>
      </w:r>
      <w:r w:rsidRPr="00B73D99">
        <w:rPr>
          <w:noProof/>
          <w:color w:val="000000"/>
          <w:shd w:val="clear" w:color="auto" w:fill="FFFFFF"/>
        </w:rPr>
        <w:t>4</w:t>
      </w:r>
      <w:r w:rsidRPr="00BB0D27">
        <w:rPr>
          <w:noProof/>
          <w:color w:val="000000"/>
          <w:shd w:val="clear" w:color="auto" w:fill="FFFFFF"/>
        </w:rPr>
        <w:t>), obowiązek naprawy (</w:t>
      </w:r>
      <w:r w:rsidRPr="00B73D99">
        <w:rPr>
          <w:noProof/>
          <w:color w:val="000000"/>
          <w:shd w:val="clear" w:color="auto" w:fill="FFFFFF"/>
        </w:rPr>
        <w:t>art.</w:t>
      </w:r>
      <w:r w:rsidR="00B73D99" w:rsidRPr="00B73D99">
        <w:rPr>
          <w:noProof/>
          <w:color w:val="000000"/>
          <w:shd w:val="clear" w:color="auto" w:fill="FFFFFF"/>
        </w:rPr>
        <w:t> </w:t>
      </w:r>
      <w:r w:rsidRPr="00B73D99">
        <w:rPr>
          <w:noProof/>
          <w:color w:val="000000"/>
          <w:shd w:val="clear" w:color="auto" w:fill="FFFFFF"/>
        </w:rPr>
        <w:t>5</w:t>
      </w:r>
      <w:r w:rsidRPr="00BB0D27">
        <w:rPr>
          <w:noProof/>
          <w:color w:val="000000"/>
          <w:shd w:val="clear" w:color="auto" w:fill="FFFFFF"/>
        </w:rPr>
        <w:t>) wraz</w:t>
      </w:r>
      <w:r w:rsidR="00B73D99" w:rsidRPr="00BB0D27">
        <w:rPr>
          <w:noProof/>
          <w:color w:val="000000"/>
          <w:shd w:val="clear" w:color="auto" w:fill="FFFFFF"/>
        </w:rPr>
        <w:t xml:space="preserve"> z</w:t>
      </w:r>
      <w:r w:rsidR="00B73D99">
        <w:rPr>
          <w:noProof/>
          <w:color w:val="000000"/>
          <w:shd w:val="clear" w:color="auto" w:fill="FFFFFF"/>
        </w:rPr>
        <w:t> </w:t>
      </w:r>
      <w:r w:rsidR="00B73D99" w:rsidRPr="00BB0D27">
        <w:rPr>
          <w:noProof/>
          <w:color w:val="000000"/>
          <w:shd w:val="clear" w:color="auto" w:fill="FFFFFF"/>
        </w:rPr>
        <w:t>odp</w:t>
      </w:r>
      <w:r w:rsidRPr="00BB0D27">
        <w:rPr>
          <w:noProof/>
          <w:color w:val="000000"/>
          <w:shd w:val="clear" w:color="auto" w:fill="FFFFFF"/>
        </w:rPr>
        <w:t>owiednim wymogiem informacyjnym (</w:t>
      </w:r>
      <w:r w:rsidRPr="00B73D99">
        <w:rPr>
          <w:noProof/>
          <w:color w:val="000000"/>
          <w:shd w:val="clear" w:color="auto" w:fill="FFFFFF"/>
        </w:rPr>
        <w:t>art.</w:t>
      </w:r>
      <w:r w:rsidR="00B73D99" w:rsidRPr="00B73D99">
        <w:rPr>
          <w:noProof/>
          <w:color w:val="000000"/>
          <w:shd w:val="clear" w:color="auto" w:fill="FFFFFF"/>
        </w:rPr>
        <w:t> </w:t>
      </w:r>
      <w:r w:rsidRPr="00B73D99">
        <w:rPr>
          <w:noProof/>
          <w:color w:val="000000"/>
          <w:shd w:val="clear" w:color="auto" w:fill="FFFFFF"/>
        </w:rPr>
        <w:t>6</w:t>
      </w:r>
      <w:r w:rsidRPr="00BB0D27">
        <w:rPr>
          <w:noProof/>
          <w:color w:val="000000"/>
          <w:shd w:val="clear" w:color="auto" w:fill="FFFFFF"/>
        </w:rPr>
        <w:t>) oraz platforma dotycząca napraw</w:t>
      </w:r>
      <w:r w:rsidR="00B73D99" w:rsidRPr="00BB0D27">
        <w:rPr>
          <w:noProof/>
          <w:color w:val="000000"/>
          <w:shd w:val="clear" w:color="auto" w:fill="FFFFFF"/>
        </w:rPr>
        <w:t xml:space="preserve"> i</w:t>
      </w:r>
      <w:r w:rsidR="00B73D99">
        <w:rPr>
          <w:noProof/>
          <w:color w:val="000000"/>
          <w:shd w:val="clear" w:color="auto" w:fill="FFFFFF"/>
        </w:rPr>
        <w:t> </w:t>
      </w:r>
      <w:r w:rsidR="00B73D99" w:rsidRPr="00BB0D27">
        <w:rPr>
          <w:noProof/>
          <w:color w:val="000000"/>
          <w:shd w:val="clear" w:color="auto" w:fill="FFFFFF"/>
        </w:rPr>
        <w:t>odn</w:t>
      </w:r>
      <w:r w:rsidRPr="00BB0D27">
        <w:rPr>
          <w:noProof/>
          <w:color w:val="000000"/>
          <w:shd w:val="clear" w:color="auto" w:fill="FFFFFF"/>
        </w:rPr>
        <w:t>awiania (</w:t>
      </w:r>
      <w:r w:rsidRPr="00B73D99">
        <w:rPr>
          <w:noProof/>
          <w:color w:val="000000"/>
          <w:shd w:val="clear" w:color="auto" w:fill="FFFFFF"/>
        </w:rPr>
        <w:t>art.</w:t>
      </w:r>
      <w:r w:rsidR="00B73D99" w:rsidRPr="00B73D99">
        <w:rPr>
          <w:noProof/>
          <w:color w:val="000000"/>
          <w:shd w:val="clear" w:color="auto" w:fill="FFFFFF"/>
        </w:rPr>
        <w:t> </w:t>
      </w:r>
      <w:r w:rsidRPr="00B73D99">
        <w:rPr>
          <w:noProof/>
          <w:color w:val="000000"/>
          <w:shd w:val="clear" w:color="auto" w:fill="FFFFFF"/>
        </w:rPr>
        <w:t>7</w:t>
      </w:r>
      <w:r w:rsidRPr="00BB0D27">
        <w:rPr>
          <w:noProof/>
          <w:color w:val="000000"/>
          <w:shd w:val="clear" w:color="auto" w:fill="FFFFFF"/>
        </w:rPr>
        <w:t>)</w:t>
      </w:r>
      <w:r w:rsidR="00B73D99" w:rsidRPr="00BB0D27">
        <w:rPr>
          <w:noProof/>
          <w:color w:val="000000"/>
          <w:shd w:val="clear" w:color="auto" w:fill="FFFFFF"/>
        </w:rPr>
        <w:t>. W</w:t>
      </w:r>
      <w:r w:rsidR="00B73D99">
        <w:rPr>
          <w:noProof/>
          <w:color w:val="000000"/>
          <w:shd w:val="clear" w:color="auto" w:fill="FFFFFF"/>
        </w:rPr>
        <w:t> </w:t>
      </w:r>
      <w:r w:rsidR="00B73D99" w:rsidRPr="00BB0D27">
        <w:rPr>
          <w:noProof/>
          <w:color w:val="000000"/>
          <w:shd w:val="clear" w:color="auto" w:fill="FFFFFF"/>
        </w:rPr>
        <w:t>nin</w:t>
      </w:r>
      <w:r w:rsidRPr="00BB0D27">
        <w:rPr>
          <w:noProof/>
          <w:color w:val="000000"/>
          <w:shd w:val="clear" w:color="auto" w:fill="FFFFFF"/>
        </w:rPr>
        <w:t>iejszej dyrektywie wprowadzono również zmiany do systemów środków ochrony prawnej dotyczących wad wchodzących</w:t>
      </w:r>
      <w:r w:rsidR="00B73D99" w:rsidRPr="00BB0D27">
        <w:rPr>
          <w:noProof/>
          <w:color w:val="000000"/>
          <w:shd w:val="clear" w:color="auto" w:fill="FFFFFF"/>
        </w:rPr>
        <w:t xml:space="preserve"> w</w:t>
      </w:r>
      <w:r w:rsidR="00B73D99">
        <w:rPr>
          <w:noProof/>
          <w:color w:val="000000"/>
          <w:shd w:val="clear" w:color="auto" w:fill="FFFFFF"/>
        </w:rPr>
        <w:t> </w:t>
      </w:r>
      <w:r w:rsidR="00B73D99" w:rsidRPr="00BB0D27">
        <w:rPr>
          <w:noProof/>
          <w:color w:val="000000"/>
          <w:shd w:val="clear" w:color="auto" w:fill="FFFFFF"/>
        </w:rPr>
        <w:t>zak</w:t>
      </w:r>
      <w:r w:rsidRPr="00BB0D27">
        <w:rPr>
          <w:noProof/>
          <w:color w:val="000000"/>
          <w:shd w:val="clear" w:color="auto" w:fill="FFFFFF"/>
        </w:rPr>
        <w:t>res odpowiedzialności sprzedawcy określonej</w:t>
      </w:r>
      <w:r w:rsidR="00B73D99" w:rsidRPr="00BB0D27">
        <w:rPr>
          <w:noProof/>
          <w:color w:val="000000"/>
          <w:shd w:val="clear" w:color="auto" w:fill="FFFFFF"/>
        </w:rPr>
        <w:t xml:space="preserve"> w</w:t>
      </w:r>
      <w:r w:rsidR="00B73D99">
        <w:rPr>
          <w:noProof/>
          <w:color w:val="000000"/>
          <w:shd w:val="clear" w:color="auto" w:fill="FFFFFF"/>
        </w:rPr>
        <w:t> </w:t>
      </w:r>
      <w:r w:rsidR="00B73D99" w:rsidRPr="00B73D99">
        <w:rPr>
          <w:noProof/>
          <w:color w:val="000000"/>
          <w:shd w:val="clear" w:color="auto" w:fill="FFFFFF"/>
        </w:rPr>
        <w:t>art</w:t>
      </w:r>
      <w:r w:rsidRPr="00B73D99">
        <w:rPr>
          <w:noProof/>
          <w:color w:val="000000"/>
          <w:shd w:val="clear" w:color="auto" w:fill="FFFFFF"/>
        </w:rPr>
        <w:t>.</w:t>
      </w:r>
      <w:r w:rsidR="00B73D99" w:rsidRPr="00B73D99">
        <w:rPr>
          <w:noProof/>
          <w:color w:val="000000"/>
          <w:shd w:val="clear" w:color="auto" w:fill="FFFFFF"/>
        </w:rPr>
        <w:t> </w:t>
      </w:r>
      <w:r w:rsidRPr="00B73D99">
        <w:rPr>
          <w:noProof/>
          <w:color w:val="000000"/>
          <w:shd w:val="clear" w:color="auto" w:fill="FFFFFF"/>
        </w:rPr>
        <w:t>1</w:t>
      </w:r>
      <w:r w:rsidRPr="00BB0D27">
        <w:rPr>
          <w:noProof/>
          <w:color w:val="000000"/>
          <w:shd w:val="clear" w:color="auto" w:fill="FFFFFF"/>
        </w:rPr>
        <w:t>0 dyrektywy</w:t>
      </w:r>
      <w:r w:rsidR="00B73D99" w:rsidRPr="00BB0D27">
        <w:rPr>
          <w:noProof/>
          <w:color w:val="000000"/>
          <w:shd w:val="clear" w:color="auto" w:fill="FFFFFF"/>
        </w:rPr>
        <w:t xml:space="preserve"> w</w:t>
      </w:r>
      <w:r w:rsidR="00B73D99">
        <w:rPr>
          <w:noProof/>
          <w:color w:val="000000"/>
          <w:shd w:val="clear" w:color="auto" w:fill="FFFFFF"/>
        </w:rPr>
        <w:t> </w:t>
      </w:r>
      <w:r w:rsidR="00B73D99" w:rsidRPr="00BB0D27">
        <w:rPr>
          <w:noProof/>
          <w:color w:val="000000"/>
          <w:shd w:val="clear" w:color="auto" w:fill="FFFFFF"/>
        </w:rPr>
        <w:t>spr</w:t>
      </w:r>
      <w:r w:rsidRPr="00BB0D27">
        <w:rPr>
          <w:noProof/>
          <w:color w:val="000000"/>
          <w:shd w:val="clear" w:color="auto" w:fill="FFFFFF"/>
        </w:rPr>
        <w:t>awie sprzedaży towarów</w:t>
      </w:r>
      <w:r w:rsidR="00B73D99" w:rsidRPr="00BB0D27">
        <w:rPr>
          <w:noProof/>
          <w:color w:val="000000"/>
          <w:shd w:val="clear" w:color="auto" w:fill="FFFFFF"/>
        </w:rPr>
        <w:t>. W</w:t>
      </w:r>
      <w:r w:rsidR="00B73D99">
        <w:rPr>
          <w:noProof/>
          <w:color w:val="000000"/>
          <w:shd w:val="clear" w:color="auto" w:fill="FFFFFF"/>
        </w:rPr>
        <w:t> </w:t>
      </w:r>
      <w:r w:rsidR="00B73D99" w:rsidRPr="00BB0D27">
        <w:rPr>
          <w:noProof/>
          <w:color w:val="000000"/>
          <w:shd w:val="clear" w:color="auto" w:fill="FFFFFF"/>
        </w:rPr>
        <w:t>szc</w:t>
      </w:r>
      <w:r w:rsidRPr="00BB0D27">
        <w:rPr>
          <w:noProof/>
          <w:color w:val="000000"/>
          <w:shd w:val="clear" w:color="auto" w:fill="FFFFFF"/>
        </w:rPr>
        <w:t>zególności</w:t>
      </w:r>
      <w:r w:rsidR="00B73D99" w:rsidRPr="00BB0D27">
        <w:rPr>
          <w:noProof/>
          <w:color w:val="000000"/>
          <w:shd w:val="clear" w:color="auto" w:fill="FFFFFF"/>
        </w:rPr>
        <w:t xml:space="preserve"> w</w:t>
      </w:r>
      <w:r w:rsidR="00B73D99">
        <w:rPr>
          <w:noProof/>
          <w:color w:val="000000"/>
          <w:shd w:val="clear" w:color="auto" w:fill="FFFFFF"/>
        </w:rPr>
        <w:t> </w:t>
      </w:r>
      <w:r w:rsidR="00B73D99" w:rsidRPr="00B73D99">
        <w:rPr>
          <w:noProof/>
          <w:color w:val="000000"/>
          <w:shd w:val="clear" w:color="auto" w:fill="FFFFFF"/>
        </w:rPr>
        <w:t>art</w:t>
      </w:r>
      <w:r w:rsidRPr="00B73D99">
        <w:rPr>
          <w:noProof/>
          <w:color w:val="000000"/>
          <w:shd w:val="clear" w:color="auto" w:fill="FFFFFF"/>
        </w:rPr>
        <w:t>.</w:t>
      </w:r>
      <w:r w:rsidR="00B73D99" w:rsidRPr="00B73D99">
        <w:rPr>
          <w:noProof/>
          <w:color w:val="000000"/>
          <w:shd w:val="clear" w:color="auto" w:fill="FFFFFF"/>
        </w:rPr>
        <w:t> </w:t>
      </w:r>
      <w:r w:rsidRPr="00B73D99">
        <w:rPr>
          <w:noProof/>
          <w:color w:val="000000"/>
          <w:shd w:val="clear" w:color="auto" w:fill="FFFFFF"/>
        </w:rPr>
        <w:t>1</w:t>
      </w:r>
      <w:r w:rsidRPr="00BB0D27">
        <w:rPr>
          <w:noProof/>
          <w:color w:val="000000"/>
          <w:shd w:val="clear" w:color="auto" w:fill="FFFFFF"/>
        </w:rPr>
        <w:t>2 niniejszej dyrektywy zmieniono</w:t>
      </w:r>
      <w:r w:rsidR="00B73D99" w:rsidRPr="00BB0D27">
        <w:rPr>
          <w:noProof/>
          <w:color w:val="000000"/>
          <w:shd w:val="clear" w:color="auto" w:fill="FFFFFF"/>
        </w:rPr>
        <w:t xml:space="preserve"> w</w:t>
      </w:r>
      <w:r w:rsidR="00B73D99">
        <w:rPr>
          <w:noProof/>
          <w:color w:val="000000"/>
          <w:shd w:val="clear" w:color="auto" w:fill="FFFFFF"/>
        </w:rPr>
        <w:t> </w:t>
      </w:r>
      <w:r w:rsidR="00B73D99" w:rsidRPr="00BB0D27">
        <w:rPr>
          <w:noProof/>
          <w:color w:val="000000"/>
          <w:shd w:val="clear" w:color="auto" w:fill="FFFFFF"/>
        </w:rPr>
        <w:t>spo</w:t>
      </w:r>
      <w:r w:rsidRPr="00BB0D27">
        <w:rPr>
          <w:noProof/>
          <w:color w:val="000000"/>
          <w:shd w:val="clear" w:color="auto" w:fill="FFFFFF"/>
        </w:rPr>
        <w:t>sób ukierunkowany kwestię wyboru między naprawą</w:t>
      </w:r>
      <w:r w:rsidR="00B73D99" w:rsidRPr="00BB0D27">
        <w:rPr>
          <w:noProof/>
          <w:color w:val="000000"/>
          <w:shd w:val="clear" w:color="auto" w:fill="FFFFFF"/>
        </w:rPr>
        <w:t xml:space="preserve"> a</w:t>
      </w:r>
      <w:r w:rsidR="00B73D99">
        <w:rPr>
          <w:noProof/>
          <w:color w:val="000000"/>
          <w:shd w:val="clear" w:color="auto" w:fill="FFFFFF"/>
        </w:rPr>
        <w:t> </w:t>
      </w:r>
      <w:r w:rsidR="00B73D99" w:rsidRPr="00BB0D27">
        <w:rPr>
          <w:noProof/>
          <w:color w:val="000000"/>
          <w:shd w:val="clear" w:color="auto" w:fill="FFFFFF"/>
        </w:rPr>
        <w:t>wym</w:t>
      </w:r>
      <w:r w:rsidRPr="00BB0D27">
        <w:rPr>
          <w:noProof/>
          <w:color w:val="000000"/>
          <w:shd w:val="clear" w:color="auto" w:fill="FFFFFF"/>
        </w:rPr>
        <w:t>ianą na podstawie dyrektywy</w:t>
      </w:r>
      <w:r w:rsidR="00B73D99" w:rsidRPr="00BB0D27">
        <w:rPr>
          <w:noProof/>
          <w:color w:val="000000"/>
          <w:shd w:val="clear" w:color="auto" w:fill="FFFFFF"/>
        </w:rPr>
        <w:t xml:space="preserve"> w</w:t>
      </w:r>
      <w:r w:rsidR="00B73D99">
        <w:rPr>
          <w:noProof/>
          <w:color w:val="000000"/>
          <w:shd w:val="clear" w:color="auto" w:fill="FFFFFF"/>
        </w:rPr>
        <w:t> </w:t>
      </w:r>
      <w:r w:rsidR="00B73D99" w:rsidRPr="00BB0D27">
        <w:rPr>
          <w:noProof/>
          <w:color w:val="000000"/>
          <w:shd w:val="clear" w:color="auto" w:fill="FFFFFF"/>
        </w:rPr>
        <w:t>spr</w:t>
      </w:r>
      <w:r w:rsidRPr="00BB0D27">
        <w:rPr>
          <w:noProof/>
          <w:color w:val="000000"/>
          <w:shd w:val="clear" w:color="auto" w:fill="FFFFFF"/>
        </w:rPr>
        <w:t>awie sprzedaży towarów. Zgodnie</w:t>
      </w:r>
      <w:r w:rsidR="00B73D99" w:rsidRPr="00BB0D27">
        <w:rPr>
          <w:noProof/>
          <w:color w:val="000000"/>
          <w:shd w:val="clear" w:color="auto" w:fill="FFFFFF"/>
        </w:rPr>
        <w:t xml:space="preserve"> z</w:t>
      </w:r>
      <w:r w:rsidR="00B73D99">
        <w:rPr>
          <w:noProof/>
          <w:color w:val="000000"/>
          <w:shd w:val="clear" w:color="auto" w:fill="FFFFFF"/>
        </w:rPr>
        <w:t> </w:t>
      </w:r>
      <w:r w:rsidR="00B73D99" w:rsidRPr="00BB0D27">
        <w:rPr>
          <w:noProof/>
          <w:color w:val="000000"/>
          <w:shd w:val="clear" w:color="auto" w:fill="FFFFFF"/>
        </w:rPr>
        <w:t>dyr</w:t>
      </w:r>
      <w:r w:rsidRPr="00BB0D27">
        <w:rPr>
          <w:noProof/>
          <w:color w:val="000000"/>
          <w:shd w:val="clear" w:color="auto" w:fill="FFFFFF"/>
        </w:rPr>
        <w:t>ektywą</w:t>
      </w:r>
      <w:r w:rsidR="00B73D99" w:rsidRPr="00BB0D27">
        <w:rPr>
          <w:noProof/>
          <w:color w:val="000000"/>
          <w:shd w:val="clear" w:color="auto" w:fill="FFFFFF"/>
        </w:rPr>
        <w:t xml:space="preserve"> w</w:t>
      </w:r>
      <w:r w:rsidR="00B73D99">
        <w:rPr>
          <w:noProof/>
          <w:color w:val="000000"/>
          <w:shd w:val="clear" w:color="auto" w:fill="FFFFFF"/>
        </w:rPr>
        <w:t> </w:t>
      </w:r>
      <w:r w:rsidR="00B73D99" w:rsidRPr="00BB0D27">
        <w:rPr>
          <w:noProof/>
          <w:color w:val="000000"/>
          <w:shd w:val="clear" w:color="auto" w:fill="FFFFFF"/>
        </w:rPr>
        <w:t>spr</w:t>
      </w:r>
      <w:r w:rsidRPr="00BB0D27">
        <w:rPr>
          <w:noProof/>
          <w:color w:val="000000"/>
          <w:shd w:val="clear" w:color="auto" w:fill="FFFFFF"/>
        </w:rPr>
        <w:t xml:space="preserve">awie sprzedaży towarów </w:t>
      </w:r>
      <w:r w:rsidRPr="00B73D99">
        <w:rPr>
          <w:noProof/>
          <w:color w:val="000000"/>
          <w:shd w:val="clear" w:color="auto" w:fill="FFFFFF"/>
        </w:rPr>
        <w:t>art.</w:t>
      </w:r>
      <w:r w:rsidR="00B73D99" w:rsidRPr="00B73D99">
        <w:rPr>
          <w:noProof/>
          <w:color w:val="000000"/>
          <w:shd w:val="clear" w:color="auto" w:fill="FFFFFF"/>
        </w:rPr>
        <w:t> </w:t>
      </w:r>
      <w:r w:rsidRPr="00B73D99">
        <w:rPr>
          <w:noProof/>
          <w:color w:val="000000"/>
          <w:shd w:val="clear" w:color="auto" w:fill="FFFFFF"/>
        </w:rPr>
        <w:t>1</w:t>
      </w:r>
      <w:r w:rsidRPr="00BB0D27">
        <w:rPr>
          <w:noProof/>
          <w:color w:val="000000"/>
          <w:shd w:val="clear" w:color="auto" w:fill="FFFFFF"/>
        </w:rPr>
        <w:t>2 ma zastosowanie do umów sprzedaży zawieranych między konsumentami</w:t>
      </w:r>
      <w:r w:rsidR="00B73D99" w:rsidRPr="00BB0D27">
        <w:rPr>
          <w:noProof/>
          <w:color w:val="000000"/>
          <w:shd w:val="clear" w:color="auto" w:fill="FFFFFF"/>
        </w:rPr>
        <w:t xml:space="preserve"> a</w:t>
      </w:r>
      <w:r w:rsidR="00B73D99">
        <w:rPr>
          <w:noProof/>
          <w:color w:val="000000"/>
          <w:shd w:val="clear" w:color="auto" w:fill="FFFFFF"/>
        </w:rPr>
        <w:t> </w:t>
      </w:r>
      <w:r w:rsidR="00B73D99" w:rsidRPr="00BB0D27">
        <w:rPr>
          <w:noProof/>
          <w:color w:val="000000"/>
          <w:shd w:val="clear" w:color="auto" w:fill="FFFFFF"/>
        </w:rPr>
        <w:t>spr</w:t>
      </w:r>
      <w:r w:rsidRPr="00BB0D27">
        <w:rPr>
          <w:noProof/>
          <w:color w:val="000000"/>
          <w:shd w:val="clear" w:color="auto" w:fill="FFFFFF"/>
        </w:rPr>
        <w:t>zedawcami.</w:t>
      </w:r>
    </w:p>
    <w:p w:rsidR="00561C56" w:rsidRPr="00BB0D27" w:rsidRDefault="00561C56" w:rsidP="00500E62">
      <w:pPr>
        <w:spacing w:before="0" w:after="160" w:line="259" w:lineRule="auto"/>
        <w:rPr>
          <w:rFonts w:eastAsia="Calibri"/>
          <w:b/>
          <w:noProof/>
          <w:szCs w:val="24"/>
        </w:rPr>
      </w:pPr>
      <w:r w:rsidRPr="00BB0D27">
        <w:rPr>
          <w:b/>
          <w:noProof/>
        </w:rPr>
        <w:t>Artykuł 2: Definicje</w:t>
      </w:r>
    </w:p>
    <w:p w:rsidR="00561C56" w:rsidRPr="00BB0D27" w:rsidRDefault="00383064" w:rsidP="00561C56">
      <w:pPr>
        <w:spacing w:before="0" w:after="160" w:line="259" w:lineRule="auto"/>
        <w:rPr>
          <w:rFonts w:eastAsia="Calibri"/>
          <w:noProof/>
          <w:szCs w:val="24"/>
        </w:rPr>
      </w:pPr>
      <w:r w:rsidRPr="00BB0D27">
        <w:rPr>
          <w:noProof/>
        </w:rPr>
        <w:t xml:space="preserve">W </w:t>
      </w:r>
      <w:r w:rsidRPr="00B73D99">
        <w:rPr>
          <w:noProof/>
        </w:rPr>
        <w:t>art.</w:t>
      </w:r>
      <w:r w:rsidR="00B73D99" w:rsidRPr="00B73D99">
        <w:rPr>
          <w:noProof/>
        </w:rPr>
        <w:t> </w:t>
      </w:r>
      <w:r w:rsidRPr="00B73D99">
        <w:rPr>
          <w:noProof/>
        </w:rPr>
        <w:t>2</w:t>
      </w:r>
      <w:r w:rsidRPr="00BB0D27">
        <w:rPr>
          <w:noProof/>
        </w:rPr>
        <w:t xml:space="preserve"> wprowadzono definicję „podmiotu zajmującego się naprawą”, który oznacza</w:t>
      </w:r>
      <w:r w:rsidRPr="00BB0D27">
        <w:rPr>
          <w:noProof/>
          <w:color w:val="000000"/>
          <w:shd w:val="clear" w:color="auto" w:fill="FFFFFF"/>
        </w:rPr>
        <w:t xml:space="preserve"> każdą osobę fizyczną lub prawną oferującą usługi naprawcze</w:t>
      </w:r>
      <w:r w:rsidR="00B73D99" w:rsidRPr="00BB0D27">
        <w:rPr>
          <w:noProof/>
        </w:rPr>
        <w:t xml:space="preserve"> </w:t>
      </w:r>
      <w:r w:rsidR="00B73D99" w:rsidRPr="00BB0D27">
        <w:rPr>
          <w:noProof/>
          <w:color w:val="000000"/>
          <w:shd w:val="clear" w:color="auto" w:fill="FFFFFF"/>
        </w:rPr>
        <w:t>w</w:t>
      </w:r>
      <w:r w:rsidR="00B73D99">
        <w:rPr>
          <w:noProof/>
        </w:rPr>
        <w:t> </w:t>
      </w:r>
      <w:r w:rsidR="00B73D99" w:rsidRPr="00BB0D27">
        <w:rPr>
          <w:noProof/>
          <w:color w:val="000000"/>
          <w:shd w:val="clear" w:color="auto" w:fill="FFFFFF"/>
        </w:rPr>
        <w:t>cel</w:t>
      </w:r>
      <w:r w:rsidRPr="00BB0D27">
        <w:rPr>
          <w:noProof/>
          <w:color w:val="000000"/>
          <w:shd w:val="clear" w:color="auto" w:fill="FFFFFF"/>
        </w:rPr>
        <w:t>ach handlowych,</w:t>
      </w:r>
      <w:r w:rsidR="00B73D99" w:rsidRPr="00BB0D27">
        <w:rPr>
          <w:noProof/>
          <w:color w:val="000000"/>
          <w:shd w:val="clear" w:color="auto" w:fill="FFFFFF"/>
        </w:rPr>
        <w:t xml:space="preserve"> w</w:t>
      </w:r>
      <w:r w:rsidR="00B73D99">
        <w:rPr>
          <w:noProof/>
          <w:color w:val="000000"/>
          <w:shd w:val="clear" w:color="auto" w:fill="FFFFFF"/>
        </w:rPr>
        <w:t> </w:t>
      </w:r>
      <w:r w:rsidR="00B73D99" w:rsidRPr="00BB0D27">
        <w:rPr>
          <w:noProof/>
          <w:color w:val="000000"/>
          <w:shd w:val="clear" w:color="auto" w:fill="FFFFFF"/>
        </w:rPr>
        <w:t>tym</w:t>
      </w:r>
      <w:r w:rsidRPr="00BB0D27">
        <w:rPr>
          <w:noProof/>
          <w:color w:val="000000"/>
          <w:shd w:val="clear" w:color="auto" w:fill="FFFFFF"/>
        </w:rPr>
        <w:t xml:space="preserve"> niezależne podmioty świadczące usługi naprawcze, producentów</w:t>
      </w:r>
      <w:r w:rsidR="00B73D99" w:rsidRPr="00BB0D27">
        <w:rPr>
          <w:noProof/>
          <w:color w:val="000000"/>
          <w:shd w:val="clear" w:color="auto" w:fill="FFFFFF"/>
        </w:rPr>
        <w:t xml:space="preserve"> i</w:t>
      </w:r>
      <w:r w:rsidR="00B73D99">
        <w:rPr>
          <w:noProof/>
          <w:color w:val="000000"/>
          <w:shd w:val="clear" w:color="auto" w:fill="FFFFFF"/>
        </w:rPr>
        <w:t> </w:t>
      </w:r>
      <w:r w:rsidR="00B73D99" w:rsidRPr="00BB0D27">
        <w:rPr>
          <w:noProof/>
          <w:color w:val="000000"/>
          <w:shd w:val="clear" w:color="auto" w:fill="FFFFFF"/>
        </w:rPr>
        <w:t>spr</w:t>
      </w:r>
      <w:r w:rsidRPr="00BB0D27">
        <w:rPr>
          <w:noProof/>
          <w:color w:val="000000"/>
          <w:shd w:val="clear" w:color="auto" w:fill="FFFFFF"/>
        </w:rPr>
        <w:t>zedawców oferujących usługi naprawcze.</w:t>
      </w:r>
    </w:p>
    <w:p w:rsidR="00561C56" w:rsidRPr="00BB0D27" w:rsidRDefault="00561C56" w:rsidP="00561C56">
      <w:pPr>
        <w:spacing w:before="0" w:after="160" w:line="259" w:lineRule="auto"/>
        <w:rPr>
          <w:rFonts w:eastAsia="Calibri"/>
          <w:noProof/>
          <w:szCs w:val="24"/>
        </w:rPr>
      </w:pPr>
      <w:r w:rsidRPr="00BB0D27">
        <w:rPr>
          <w:noProof/>
        </w:rPr>
        <w:t xml:space="preserve">Art. 2 </w:t>
      </w:r>
      <w:r w:rsidRPr="00B73D99">
        <w:rPr>
          <w:noProof/>
        </w:rPr>
        <w:t>ust.</w:t>
      </w:r>
      <w:r w:rsidR="00B73D99" w:rsidRPr="00B73D99">
        <w:rPr>
          <w:noProof/>
        </w:rPr>
        <w:t> </w:t>
      </w:r>
      <w:r w:rsidRPr="00B73D99">
        <w:rPr>
          <w:noProof/>
        </w:rPr>
        <w:t>7</w:t>
      </w:r>
      <w:r w:rsidRPr="00BB0D27">
        <w:rPr>
          <w:noProof/>
        </w:rPr>
        <w:t xml:space="preserve"> zawiera definicję pojęcia „wymogi dotyczące możliwości naprawy”, które odnosi się do spoczywającego na producencie obowiązku naprawy towarów objętych takimi wymogami dotyczącymi możliwości naprawy określonymi</w:t>
      </w:r>
      <w:r w:rsidR="00B73D99" w:rsidRPr="00BB0D27">
        <w:rPr>
          <w:noProof/>
        </w:rPr>
        <w:t xml:space="preserve"> w</w:t>
      </w:r>
      <w:r w:rsidR="00B73D99">
        <w:rPr>
          <w:noProof/>
        </w:rPr>
        <w:t> </w:t>
      </w:r>
      <w:r w:rsidR="00B73D99" w:rsidRPr="00BB0D27">
        <w:rPr>
          <w:noProof/>
        </w:rPr>
        <w:t>akt</w:t>
      </w:r>
      <w:r w:rsidRPr="00BB0D27">
        <w:rPr>
          <w:noProof/>
        </w:rPr>
        <w:t>ach prawnych Unii (</w:t>
      </w:r>
      <w:r w:rsidRPr="00B73D99">
        <w:rPr>
          <w:noProof/>
        </w:rPr>
        <w:t>art.</w:t>
      </w:r>
      <w:r w:rsidR="00B73D99" w:rsidRPr="00B73D99">
        <w:rPr>
          <w:noProof/>
        </w:rPr>
        <w:t> </w:t>
      </w:r>
      <w:r w:rsidRPr="00B73D99">
        <w:rPr>
          <w:noProof/>
        </w:rPr>
        <w:t>5</w:t>
      </w:r>
      <w:r w:rsidRPr="00BB0D27">
        <w:rPr>
          <w:noProof/>
        </w:rPr>
        <w:t>). „Wymogi dotyczące możliwości naprawy” powinny oznaczać wszelkie wymogi określone</w:t>
      </w:r>
      <w:r w:rsidR="00B73D99" w:rsidRPr="00BB0D27">
        <w:rPr>
          <w:noProof/>
        </w:rPr>
        <w:t xml:space="preserve"> w</w:t>
      </w:r>
      <w:r w:rsidR="00B73D99">
        <w:rPr>
          <w:noProof/>
        </w:rPr>
        <w:t> </w:t>
      </w:r>
      <w:r w:rsidR="00B73D99" w:rsidRPr="00BB0D27">
        <w:rPr>
          <w:noProof/>
        </w:rPr>
        <w:t>akt</w:t>
      </w:r>
      <w:r w:rsidRPr="00BB0D27">
        <w:rPr>
          <w:noProof/>
        </w:rPr>
        <w:t>ach prawnych Unii wymienionych</w:t>
      </w:r>
      <w:r w:rsidR="00B73D99" w:rsidRPr="00BB0D27">
        <w:rPr>
          <w:noProof/>
        </w:rPr>
        <w:t xml:space="preserve"> w</w:t>
      </w:r>
      <w:r w:rsidR="00B73D99">
        <w:rPr>
          <w:noProof/>
        </w:rPr>
        <w:t> </w:t>
      </w:r>
      <w:r w:rsidR="00B73D99" w:rsidRPr="00BB0D27">
        <w:rPr>
          <w:noProof/>
        </w:rPr>
        <w:t>zał</w:t>
      </w:r>
      <w:r w:rsidRPr="00BB0D27">
        <w:rPr>
          <w:noProof/>
        </w:rPr>
        <w:t>ączniku II umożliwiające naprawę produktu. Są to na przykład wymogi dotyczące demontażu</w:t>
      </w:r>
      <w:r w:rsidR="00B73D99" w:rsidRPr="00BB0D27">
        <w:rPr>
          <w:noProof/>
        </w:rPr>
        <w:t xml:space="preserve"> i</w:t>
      </w:r>
      <w:r w:rsidR="00B73D99">
        <w:rPr>
          <w:noProof/>
        </w:rPr>
        <w:t> </w:t>
      </w:r>
      <w:r w:rsidR="00B73D99" w:rsidRPr="00BB0D27">
        <w:rPr>
          <w:noProof/>
        </w:rPr>
        <w:t>dos</w:t>
      </w:r>
      <w:r w:rsidRPr="00BB0D27">
        <w:rPr>
          <w:noProof/>
        </w:rPr>
        <w:t>tępności części zamiennych mające zastosowanie do produktów lub szczególnych części produktów, jak również do informacji</w:t>
      </w:r>
      <w:r w:rsidR="00B73D99" w:rsidRPr="00BB0D27">
        <w:rPr>
          <w:noProof/>
        </w:rPr>
        <w:t xml:space="preserve"> i</w:t>
      </w:r>
      <w:r w:rsidR="00B73D99">
        <w:rPr>
          <w:noProof/>
        </w:rPr>
        <w:t> </w:t>
      </w:r>
      <w:r w:rsidR="00B73D99" w:rsidRPr="00BB0D27">
        <w:rPr>
          <w:noProof/>
        </w:rPr>
        <w:t>nar</w:t>
      </w:r>
      <w:r w:rsidRPr="00BB0D27">
        <w:rPr>
          <w:noProof/>
        </w:rPr>
        <w:t>zędzi związanych</w:t>
      </w:r>
      <w:r w:rsidR="00B73D99" w:rsidRPr="00BB0D27">
        <w:rPr>
          <w:noProof/>
        </w:rPr>
        <w:t xml:space="preserve"> z</w:t>
      </w:r>
      <w:r w:rsidR="00B73D99">
        <w:rPr>
          <w:noProof/>
        </w:rPr>
        <w:t> </w:t>
      </w:r>
      <w:r w:rsidR="00B73D99" w:rsidRPr="00BB0D27">
        <w:rPr>
          <w:noProof/>
        </w:rPr>
        <w:t>nap</w:t>
      </w:r>
      <w:r w:rsidRPr="00BB0D27">
        <w:rPr>
          <w:noProof/>
        </w:rPr>
        <w:t>rawą. </w:t>
      </w:r>
    </w:p>
    <w:p w:rsidR="00561C56" w:rsidRPr="00BB0D27" w:rsidRDefault="00C13FB7" w:rsidP="00561C56">
      <w:pPr>
        <w:spacing w:before="0" w:after="160" w:line="259" w:lineRule="auto"/>
        <w:rPr>
          <w:rFonts w:eastAsia="Calibri"/>
          <w:noProof/>
          <w:szCs w:val="24"/>
        </w:rPr>
      </w:pPr>
      <w:r w:rsidRPr="00BB0D27">
        <w:rPr>
          <w:noProof/>
        </w:rPr>
        <w:t xml:space="preserve">Ponadto </w:t>
      </w:r>
      <w:r w:rsidRPr="00B73D99">
        <w:rPr>
          <w:noProof/>
        </w:rPr>
        <w:t>art.</w:t>
      </w:r>
      <w:r w:rsidR="00B73D99" w:rsidRPr="00B73D99">
        <w:rPr>
          <w:noProof/>
        </w:rPr>
        <w:t> </w:t>
      </w:r>
      <w:r w:rsidRPr="00B73D99">
        <w:rPr>
          <w:noProof/>
        </w:rPr>
        <w:t>2</w:t>
      </w:r>
      <w:r w:rsidRPr="00BB0D27">
        <w:rPr>
          <w:noProof/>
        </w:rPr>
        <w:t xml:space="preserve"> odnosi się do kilku definicji ustanowionych już</w:t>
      </w:r>
      <w:r w:rsidR="00B73D99" w:rsidRPr="00BB0D27">
        <w:rPr>
          <w:noProof/>
        </w:rPr>
        <w:t xml:space="preserve"> w</w:t>
      </w:r>
      <w:r w:rsidR="00B73D99">
        <w:rPr>
          <w:noProof/>
        </w:rPr>
        <w:t> </w:t>
      </w:r>
      <w:r w:rsidR="00B73D99" w:rsidRPr="00BB0D27">
        <w:rPr>
          <w:noProof/>
        </w:rPr>
        <w:t>dyr</w:t>
      </w:r>
      <w:r w:rsidRPr="00BB0D27">
        <w:rPr>
          <w:noProof/>
        </w:rPr>
        <w:t>ektywie</w:t>
      </w:r>
      <w:r w:rsidR="00B73D99" w:rsidRPr="00BB0D27">
        <w:rPr>
          <w:noProof/>
        </w:rPr>
        <w:t xml:space="preserve"> w</w:t>
      </w:r>
      <w:r w:rsidR="00B73D99">
        <w:rPr>
          <w:noProof/>
        </w:rPr>
        <w:t> </w:t>
      </w:r>
      <w:r w:rsidR="00B73D99" w:rsidRPr="00BB0D27">
        <w:rPr>
          <w:noProof/>
        </w:rPr>
        <w:t>spr</w:t>
      </w:r>
      <w:r w:rsidRPr="00BB0D27">
        <w:rPr>
          <w:noProof/>
        </w:rPr>
        <w:t>awie sprzedaży towarów</w:t>
      </w:r>
      <w:r w:rsidR="00B73D99" w:rsidRPr="00BB0D27">
        <w:rPr>
          <w:noProof/>
        </w:rPr>
        <w:t xml:space="preserve"> i</w:t>
      </w:r>
      <w:r w:rsidR="00B73D99">
        <w:rPr>
          <w:noProof/>
        </w:rPr>
        <w:t> </w:t>
      </w:r>
      <w:r w:rsidR="00B73D99" w:rsidRPr="00BB0D27">
        <w:rPr>
          <w:noProof/>
        </w:rPr>
        <w:t>w</w:t>
      </w:r>
      <w:r w:rsidR="00B73D99">
        <w:rPr>
          <w:noProof/>
        </w:rPr>
        <w:t> </w:t>
      </w:r>
      <w:r w:rsidR="00B73D99" w:rsidRPr="00BB0D27">
        <w:rPr>
          <w:noProof/>
        </w:rPr>
        <w:t>roz</w:t>
      </w:r>
      <w:r w:rsidRPr="00BB0D27">
        <w:rPr>
          <w:noProof/>
        </w:rPr>
        <w:t>porządzeniu</w:t>
      </w:r>
      <w:r w:rsidR="00B73D99" w:rsidRPr="00BB0D27">
        <w:rPr>
          <w:noProof/>
        </w:rPr>
        <w:t xml:space="preserve"> w</w:t>
      </w:r>
      <w:r w:rsidR="00B73D99">
        <w:rPr>
          <w:noProof/>
        </w:rPr>
        <w:t> </w:t>
      </w:r>
      <w:r w:rsidR="00B73D99" w:rsidRPr="00BB0D27">
        <w:rPr>
          <w:noProof/>
        </w:rPr>
        <w:t>spr</w:t>
      </w:r>
      <w:r w:rsidRPr="00BB0D27">
        <w:rPr>
          <w:noProof/>
        </w:rPr>
        <w:t xml:space="preserve">awie ekoprojektu dla zrównoważonych produktów. </w:t>
      </w:r>
    </w:p>
    <w:p w:rsidR="00561C56" w:rsidRPr="00BB0D27" w:rsidRDefault="00330CBD" w:rsidP="00561C56">
      <w:pPr>
        <w:spacing w:before="0" w:after="160" w:line="259" w:lineRule="auto"/>
        <w:rPr>
          <w:rFonts w:eastAsia="Calibri"/>
          <w:b/>
          <w:noProof/>
          <w:szCs w:val="24"/>
        </w:rPr>
      </w:pPr>
      <w:r w:rsidRPr="00BB0D27">
        <w:rPr>
          <w:b/>
          <w:noProof/>
        </w:rPr>
        <w:t>Artykuł 3: Poziom harmonizacji</w:t>
      </w:r>
    </w:p>
    <w:p w:rsidR="00561C56" w:rsidRPr="00BB0D27" w:rsidRDefault="00561C56" w:rsidP="00561C56">
      <w:pPr>
        <w:spacing w:before="0" w:after="160" w:line="259" w:lineRule="auto"/>
        <w:rPr>
          <w:rFonts w:eastAsia="Calibri"/>
          <w:noProof/>
          <w:szCs w:val="24"/>
        </w:rPr>
      </w:pPr>
      <w:r w:rsidRPr="00BB0D27">
        <w:rPr>
          <w:noProof/>
        </w:rPr>
        <w:t>Zgodnie</w:t>
      </w:r>
      <w:r w:rsidR="00B73D99" w:rsidRPr="00BB0D27">
        <w:rPr>
          <w:noProof/>
        </w:rPr>
        <w:t xml:space="preserve"> z</w:t>
      </w:r>
      <w:r w:rsidR="00B73D99">
        <w:rPr>
          <w:noProof/>
        </w:rPr>
        <w:t> </w:t>
      </w:r>
      <w:r w:rsidR="00B73D99" w:rsidRPr="00BB0D27">
        <w:rPr>
          <w:noProof/>
        </w:rPr>
        <w:t>dyr</w:t>
      </w:r>
      <w:r w:rsidRPr="00BB0D27">
        <w:rPr>
          <w:noProof/>
        </w:rPr>
        <w:t>ektywą</w:t>
      </w:r>
      <w:r w:rsidR="00B73D99" w:rsidRPr="00BB0D27">
        <w:rPr>
          <w:noProof/>
        </w:rPr>
        <w:t xml:space="preserve"> w</w:t>
      </w:r>
      <w:r w:rsidR="00B73D99">
        <w:rPr>
          <w:noProof/>
        </w:rPr>
        <w:t> </w:t>
      </w:r>
      <w:r w:rsidR="00B73D99" w:rsidRPr="00BB0D27">
        <w:rPr>
          <w:noProof/>
        </w:rPr>
        <w:t>spr</w:t>
      </w:r>
      <w:r w:rsidRPr="00BB0D27">
        <w:rPr>
          <w:noProof/>
        </w:rPr>
        <w:t>awie sprzedaży towarów</w:t>
      </w:r>
      <w:r w:rsidR="00B73D99" w:rsidRPr="00BB0D27">
        <w:rPr>
          <w:noProof/>
        </w:rPr>
        <w:t xml:space="preserve"> w</w:t>
      </w:r>
      <w:r w:rsidR="00B73D99">
        <w:rPr>
          <w:noProof/>
        </w:rPr>
        <w:t> </w:t>
      </w:r>
      <w:r w:rsidR="00B73D99" w:rsidRPr="00BB0D27">
        <w:rPr>
          <w:noProof/>
        </w:rPr>
        <w:t>nin</w:t>
      </w:r>
      <w:r w:rsidRPr="00BB0D27">
        <w:rPr>
          <w:noProof/>
        </w:rPr>
        <w:t>iejszej dyrektywie przyjęto zasadę pełnej harmonizacji, zgodnie</w:t>
      </w:r>
      <w:r w:rsidR="00B73D99" w:rsidRPr="00BB0D27">
        <w:rPr>
          <w:noProof/>
        </w:rPr>
        <w:t xml:space="preserve"> z</w:t>
      </w:r>
      <w:r w:rsidR="00B73D99">
        <w:rPr>
          <w:noProof/>
        </w:rPr>
        <w:t> </w:t>
      </w:r>
      <w:r w:rsidR="00B73D99" w:rsidRPr="00BB0D27">
        <w:rPr>
          <w:noProof/>
        </w:rPr>
        <w:t>któ</w:t>
      </w:r>
      <w:r w:rsidRPr="00BB0D27">
        <w:rPr>
          <w:noProof/>
        </w:rPr>
        <w:t>rą państwa członkowskie nie mogą utrzymywać</w:t>
      </w:r>
      <w:r w:rsidR="00B73D99" w:rsidRPr="00BB0D27">
        <w:rPr>
          <w:noProof/>
        </w:rPr>
        <w:t xml:space="preserve"> w</w:t>
      </w:r>
      <w:r w:rsidR="00B73D99">
        <w:rPr>
          <w:noProof/>
        </w:rPr>
        <w:t> </w:t>
      </w:r>
      <w:r w:rsidR="00B73D99" w:rsidRPr="00BB0D27">
        <w:rPr>
          <w:noProof/>
        </w:rPr>
        <w:t>pra</w:t>
      </w:r>
      <w:r w:rsidRPr="00BB0D27">
        <w:rPr>
          <w:noProof/>
        </w:rPr>
        <w:t>wie krajowym ani wprowadzać do niego przepisów odbiegających od tych, które zostały ustanowione</w:t>
      </w:r>
      <w:r w:rsidR="00B73D99" w:rsidRPr="00BB0D27">
        <w:rPr>
          <w:noProof/>
        </w:rPr>
        <w:t xml:space="preserve"> w</w:t>
      </w:r>
      <w:r w:rsidR="00B73D99">
        <w:rPr>
          <w:noProof/>
        </w:rPr>
        <w:t> </w:t>
      </w:r>
      <w:r w:rsidR="00B73D99" w:rsidRPr="00BB0D27">
        <w:rPr>
          <w:noProof/>
        </w:rPr>
        <w:t>nin</w:t>
      </w:r>
      <w:r w:rsidRPr="00BB0D27">
        <w:rPr>
          <w:noProof/>
        </w:rPr>
        <w:t xml:space="preserve">iejszej dyrektywie. </w:t>
      </w:r>
    </w:p>
    <w:p w:rsidR="00561C56" w:rsidRPr="00BB0D27" w:rsidRDefault="00330CBD" w:rsidP="00561C56">
      <w:pPr>
        <w:spacing w:before="0" w:after="160" w:line="259" w:lineRule="auto"/>
        <w:rPr>
          <w:rFonts w:eastAsia="Calibri"/>
          <w:b/>
          <w:noProof/>
          <w:szCs w:val="24"/>
        </w:rPr>
      </w:pPr>
      <w:r w:rsidRPr="00BB0D27">
        <w:rPr>
          <w:b/>
          <w:noProof/>
        </w:rPr>
        <w:t>Artykuł 4: Europejski formularz informacji</w:t>
      </w:r>
      <w:r w:rsidR="00B73D99" w:rsidRPr="00BB0D27">
        <w:rPr>
          <w:b/>
          <w:noProof/>
        </w:rPr>
        <w:t xml:space="preserve"> o</w:t>
      </w:r>
      <w:r w:rsidR="00B73D99">
        <w:rPr>
          <w:b/>
          <w:noProof/>
        </w:rPr>
        <w:t> </w:t>
      </w:r>
      <w:r w:rsidR="00B73D99" w:rsidRPr="00BB0D27">
        <w:rPr>
          <w:b/>
          <w:noProof/>
        </w:rPr>
        <w:t>nap</w:t>
      </w:r>
      <w:r w:rsidRPr="00BB0D27">
        <w:rPr>
          <w:b/>
          <w:noProof/>
        </w:rPr>
        <w:t>rawie</w:t>
      </w:r>
    </w:p>
    <w:p w:rsidR="007E3D7F" w:rsidRPr="00BB0D27" w:rsidRDefault="00BE43B7" w:rsidP="00561C56">
      <w:pPr>
        <w:spacing w:before="0" w:after="160" w:line="259" w:lineRule="auto"/>
        <w:rPr>
          <w:rFonts w:eastAsia="Calibri"/>
          <w:noProof/>
          <w:szCs w:val="24"/>
        </w:rPr>
      </w:pPr>
      <w:r w:rsidRPr="00BB0D27">
        <w:rPr>
          <w:noProof/>
        </w:rPr>
        <w:t xml:space="preserve">W </w:t>
      </w:r>
      <w:r w:rsidRPr="00B73D99">
        <w:rPr>
          <w:noProof/>
        </w:rPr>
        <w:t>art.</w:t>
      </w:r>
      <w:r w:rsidR="00B73D99" w:rsidRPr="00B73D99">
        <w:rPr>
          <w:noProof/>
        </w:rPr>
        <w:t> </w:t>
      </w:r>
      <w:r w:rsidRPr="00B73D99">
        <w:rPr>
          <w:noProof/>
        </w:rPr>
        <w:t>4</w:t>
      </w:r>
      <w:r w:rsidRPr="00BB0D27">
        <w:rPr>
          <w:noProof/>
        </w:rPr>
        <w:t xml:space="preserve"> </w:t>
      </w:r>
      <w:r w:rsidRPr="00B73D99">
        <w:rPr>
          <w:noProof/>
        </w:rPr>
        <w:t>ust.</w:t>
      </w:r>
      <w:r w:rsidR="00B73D99" w:rsidRPr="00B73D99">
        <w:rPr>
          <w:noProof/>
        </w:rPr>
        <w:t> </w:t>
      </w:r>
      <w:r w:rsidRPr="00B73D99">
        <w:rPr>
          <w:noProof/>
        </w:rPr>
        <w:t>1</w:t>
      </w:r>
      <w:r w:rsidRPr="00BB0D27">
        <w:rPr>
          <w:noProof/>
        </w:rPr>
        <w:t xml:space="preserve"> wprowadzono obowiązek zapewnienia przez podmioty zajmujące się naprawą standardowych kluczowych informacji dotyczących ich usług naprawczych</w:t>
      </w:r>
      <w:r w:rsidR="00B73D99" w:rsidRPr="00BB0D27">
        <w:rPr>
          <w:noProof/>
        </w:rPr>
        <w:t xml:space="preserve"> w</w:t>
      </w:r>
      <w:r w:rsidR="00B73D99">
        <w:rPr>
          <w:noProof/>
        </w:rPr>
        <w:t> </w:t>
      </w:r>
      <w:r w:rsidR="00B73D99" w:rsidRPr="00BB0D27">
        <w:rPr>
          <w:noProof/>
        </w:rPr>
        <w:t>pos</w:t>
      </w:r>
      <w:r w:rsidRPr="00BB0D27">
        <w:rPr>
          <w:noProof/>
        </w:rPr>
        <w:t>taci europejskiego formularza informacji</w:t>
      </w:r>
      <w:r w:rsidR="00B73D99" w:rsidRPr="00BB0D27">
        <w:rPr>
          <w:noProof/>
        </w:rPr>
        <w:t xml:space="preserve"> o</w:t>
      </w:r>
      <w:r w:rsidR="00B73D99">
        <w:rPr>
          <w:noProof/>
        </w:rPr>
        <w:t> </w:t>
      </w:r>
      <w:r w:rsidR="00B73D99" w:rsidRPr="00BB0D27">
        <w:rPr>
          <w:noProof/>
        </w:rPr>
        <w:t>nap</w:t>
      </w:r>
      <w:r w:rsidRPr="00BB0D27">
        <w:rPr>
          <w:noProof/>
        </w:rPr>
        <w:t>rawie przedstawionego</w:t>
      </w:r>
      <w:r w:rsidR="00B73D99" w:rsidRPr="00BB0D27">
        <w:rPr>
          <w:noProof/>
        </w:rPr>
        <w:t xml:space="preserve"> w</w:t>
      </w:r>
      <w:r w:rsidR="00B73D99">
        <w:rPr>
          <w:noProof/>
        </w:rPr>
        <w:t> </w:t>
      </w:r>
      <w:r w:rsidR="00B73D99" w:rsidRPr="00BB0D27">
        <w:rPr>
          <w:noProof/>
        </w:rPr>
        <w:t>zał</w:t>
      </w:r>
      <w:r w:rsidRPr="00BB0D27">
        <w:rPr>
          <w:noProof/>
        </w:rPr>
        <w:t>ączniku I. Taki standardowy sposób przedstawienia informacji umożliwi konsumentom dokonanie oceny</w:t>
      </w:r>
      <w:r w:rsidR="00B73D99" w:rsidRPr="00BB0D27">
        <w:rPr>
          <w:noProof/>
        </w:rPr>
        <w:t xml:space="preserve"> i</w:t>
      </w:r>
      <w:r w:rsidR="00B73D99">
        <w:rPr>
          <w:noProof/>
        </w:rPr>
        <w:t> </w:t>
      </w:r>
      <w:r w:rsidR="00B73D99" w:rsidRPr="00BB0D27">
        <w:rPr>
          <w:noProof/>
        </w:rPr>
        <w:t>łat</w:t>
      </w:r>
      <w:r w:rsidRPr="00BB0D27">
        <w:rPr>
          <w:noProof/>
        </w:rPr>
        <w:t>wego porównania usług naprawczych. Konsumenci będą dysponowali swobodą uznania</w:t>
      </w:r>
      <w:r w:rsidR="00B73D99" w:rsidRPr="00BB0D27">
        <w:rPr>
          <w:noProof/>
        </w:rPr>
        <w:t xml:space="preserve"> w</w:t>
      </w:r>
      <w:r w:rsidR="00B73D99">
        <w:rPr>
          <w:noProof/>
        </w:rPr>
        <w:t> </w:t>
      </w:r>
      <w:r w:rsidR="00B73D99" w:rsidRPr="00BB0D27">
        <w:rPr>
          <w:noProof/>
        </w:rPr>
        <w:t>kwe</w:t>
      </w:r>
      <w:r w:rsidRPr="00BB0D27">
        <w:rPr>
          <w:noProof/>
        </w:rPr>
        <w:t>stii tego, czy</w:t>
      </w:r>
      <w:r w:rsidR="00B73D99" w:rsidRPr="00BB0D27">
        <w:rPr>
          <w:noProof/>
        </w:rPr>
        <w:t xml:space="preserve"> w</w:t>
      </w:r>
      <w:r w:rsidR="00B73D99">
        <w:rPr>
          <w:noProof/>
        </w:rPr>
        <w:t> </w:t>
      </w:r>
      <w:r w:rsidR="00B73D99" w:rsidRPr="00BB0D27">
        <w:rPr>
          <w:noProof/>
        </w:rPr>
        <w:t>dan</w:t>
      </w:r>
      <w:r w:rsidRPr="00BB0D27">
        <w:rPr>
          <w:noProof/>
        </w:rPr>
        <w:t>ym przypadku potrzebują europejskiego formularza informacji</w:t>
      </w:r>
      <w:r w:rsidR="00B73D99" w:rsidRPr="00BB0D27">
        <w:rPr>
          <w:noProof/>
        </w:rPr>
        <w:t xml:space="preserve"> o</w:t>
      </w:r>
      <w:r w:rsidR="00B73D99">
        <w:rPr>
          <w:noProof/>
        </w:rPr>
        <w:t> </w:t>
      </w:r>
      <w:r w:rsidR="00B73D99" w:rsidRPr="00BB0D27">
        <w:rPr>
          <w:noProof/>
        </w:rPr>
        <w:t>nap</w:t>
      </w:r>
      <w:r w:rsidRPr="00BB0D27">
        <w:rPr>
          <w:noProof/>
        </w:rPr>
        <w:t>rawie, np.</w:t>
      </w:r>
      <w:r w:rsidR="00B73D99" w:rsidRPr="00BB0D27">
        <w:rPr>
          <w:noProof/>
        </w:rPr>
        <w:t xml:space="preserve"> w</w:t>
      </w:r>
      <w:r w:rsidR="00B73D99">
        <w:rPr>
          <w:noProof/>
        </w:rPr>
        <w:t> </w:t>
      </w:r>
      <w:r w:rsidR="00B73D99" w:rsidRPr="00BB0D27">
        <w:rPr>
          <w:noProof/>
        </w:rPr>
        <w:t>cel</w:t>
      </w:r>
      <w:r w:rsidRPr="00BB0D27">
        <w:rPr>
          <w:noProof/>
        </w:rPr>
        <w:t>u zapoznania się</w:t>
      </w:r>
      <w:r w:rsidR="00B73D99" w:rsidRPr="00BB0D27">
        <w:rPr>
          <w:noProof/>
        </w:rPr>
        <w:t xml:space="preserve"> z</w:t>
      </w:r>
      <w:r w:rsidR="00B73D99">
        <w:rPr>
          <w:noProof/>
        </w:rPr>
        <w:t> </w:t>
      </w:r>
      <w:r w:rsidR="00B73D99" w:rsidRPr="00BB0D27">
        <w:rPr>
          <w:noProof/>
        </w:rPr>
        <w:t>ogó</w:t>
      </w:r>
      <w:r w:rsidRPr="00BB0D27">
        <w:rPr>
          <w:noProof/>
        </w:rPr>
        <w:t>lnymi informacjami na temat najważniejszych warunków powiązanych</w:t>
      </w:r>
      <w:r w:rsidR="00B73D99" w:rsidRPr="00BB0D27">
        <w:rPr>
          <w:noProof/>
        </w:rPr>
        <w:t xml:space="preserve"> z</w:t>
      </w:r>
      <w:r w:rsidR="00B73D99">
        <w:rPr>
          <w:noProof/>
        </w:rPr>
        <w:t> </w:t>
      </w:r>
      <w:r w:rsidR="00B73D99" w:rsidRPr="00BB0D27">
        <w:rPr>
          <w:noProof/>
        </w:rPr>
        <w:t>usł</w:t>
      </w:r>
      <w:r w:rsidRPr="00BB0D27">
        <w:rPr>
          <w:noProof/>
        </w:rPr>
        <w:t>ugami naprawczymi lub</w:t>
      </w:r>
      <w:r w:rsidR="00B73D99" w:rsidRPr="00BB0D27">
        <w:rPr>
          <w:noProof/>
        </w:rPr>
        <w:t xml:space="preserve"> w</w:t>
      </w:r>
      <w:r w:rsidR="00B73D99">
        <w:rPr>
          <w:noProof/>
        </w:rPr>
        <w:t> </w:t>
      </w:r>
      <w:r w:rsidR="00B73D99" w:rsidRPr="00BB0D27">
        <w:rPr>
          <w:noProof/>
        </w:rPr>
        <w:t>cel</w:t>
      </w:r>
      <w:r w:rsidRPr="00BB0D27">
        <w:rPr>
          <w:noProof/>
        </w:rPr>
        <w:t>u porównania różnych usług naprawczych</w:t>
      </w:r>
      <w:r w:rsidR="00B73D99" w:rsidRPr="00BB0D27">
        <w:rPr>
          <w:noProof/>
        </w:rPr>
        <w:t>. W</w:t>
      </w:r>
      <w:r w:rsidR="00B73D99">
        <w:rPr>
          <w:noProof/>
        </w:rPr>
        <w:t> </w:t>
      </w:r>
      <w:r w:rsidR="00B73D99" w:rsidRPr="00BB0D27">
        <w:rPr>
          <w:noProof/>
        </w:rPr>
        <w:t>syt</w:t>
      </w:r>
      <w:r w:rsidRPr="00BB0D27">
        <w:rPr>
          <w:noProof/>
        </w:rPr>
        <w:t>uacjach,</w:t>
      </w:r>
      <w:r w:rsidR="00B73D99" w:rsidRPr="00BB0D27">
        <w:rPr>
          <w:noProof/>
        </w:rPr>
        <w:t xml:space="preserve"> w</w:t>
      </w:r>
      <w:r w:rsidR="00B73D99">
        <w:rPr>
          <w:noProof/>
        </w:rPr>
        <w:t> </w:t>
      </w:r>
      <w:r w:rsidR="00B73D99" w:rsidRPr="00BB0D27">
        <w:rPr>
          <w:noProof/>
        </w:rPr>
        <w:t>któ</w:t>
      </w:r>
      <w:r w:rsidRPr="00BB0D27">
        <w:rPr>
          <w:noProof/>
        </w:rPr>
        <w:t>rych jest to konieczne</w:t>
      </w:r>
      <w:r w:rsidR="00B73D99" w:rsidRPr="00BB0D27">
        <w:rPr>
          <w:noProof/>
        </w:rPr>
        <w:t xml:space="preserve"> i</w:t>
      </w:r>
      <w:r w:rsidR="00B73D99">
        <w:rPr>
          <w:noProof/>
        </w:rPr>
        <w:t> </w:t>
      </w:r>
      <w:r w:rsidR="00B73D99" w:rsidRPr="00BB0D27">
        <w:rPr>
          <w:noProof/>
        </w:rPr>
        <w:t>wno</w:t>
      </w:r>
      <w:r w:rsidRPr="00BB0D27">
        <w:rPr>
          <w:noProof/>
        </w:rPr>
        <w:t>si wartość dodaną, konsumenci mogą zwrócić się do podmiotów zajmujących się na</w:t>
      </w:r>
      <w:r w:rsidR="00BB0D27">
        <w:rPr>
          <w:noProof/>
        </w:rPr>
        <w:t>prawą</w:t>
      </w:r>
      <w:r w:rsidR="00B73D99">
        <w:rPr>
          <w:noProof/>
        </w:rPr>
        <w:t xml:space="preserve"> o wyd</w:t>
      </w:r>
      <w:r w:rsidR="00BB0D27">
        <w:rPr>
          <w:noProof/>
        </w:rPr>
        <w:t>anie im formularza.</w:t>
      </w:r>
    </w:p>
    <w:p w:rsidR="00561C56" w:rsidRPr="00BB0D27" w:rsidRDefault="007E3D7F" w:rsidP="00561C56">
      <w:pPr>
        <w:spacing w:before="0" w:after="160" w:line="259" w:lineRule="auto"/>
        <w:rPr>
          <w:rFonts w:eastAsia="Calibri"/>
          <w:noProof/>
          <w:szCs w:val="24"/>
        </w:rPr>
      </w:pPr>
      <w:r w:rsidRPr="00BB0D27">
        <w:rPr>
          <w:noProof/>
        </w:rPr>
        <w:t xml:space="preserve">W </w:t>
      </w:r>
      <w:r w:rsidRPr="00B73D99">
        <w:rPr>
          <w:noProof/>
        </w:rPr>
        <w:t>art.</w:t>
      </w:r>
      <w:r w:rsidR="00B73D99" w:rsidRPr="00B73D99">
        <w:rPr>
          <w:noProof/>
        </w:rPr>
        <w:t> </w:t>
      </w:r>
      <w:r w:rsidRPr="00B73D99">
        <w:rPr>
          <w:noProof/>
        </w:rPr>
        <w:t>4</w:t>
      </w:r>
      <w:r w:rsidRPr="00BB0D27">
        <w:rPr>
          <w:noProof/>
        </w:rPr>
        <w:t xml:space="preserve"> </w:t>
      </w:r>
      <w:r w:rsidRPr="00B73D99">
        <w:rPr>
          <w:noProof/>
        </w:rPr>
        <w:t>ust.</w:t>
      </w:r>
      <w:r w:rsidR="00B73D99" w:rsidRPr="00B73D99">
        <w:rPr>
          <w:noProof/>
        </w:rPr>
        <w:t> </w:t>
      </w:r>
      <w:r w:rsidRPr="00B73D99">
        <w:rPr>
          <w:noProof/>
        </w:rPr>
        <w:t>2</w:t>
      </w:r>
      <w:r w:rsidRPr="00BB0D27">
        <w:rPr>
          <w:noProof/>
        </w:rPr>
        <w:t xml:space="preserve"> określono, że podmioty zajmujące się naprawą, które nie są zobowiązane do naprawy na podstawie </w:t>
      </w:r>
      <w:r w:rsidRPr="00B73D99">
        <w:rPr>
          <w:noProof/>
        </w:rPr>
        <w:t>art.</w:t>
      </w:r>
      <w:r w:rsidR="00B73D99" w:rsidRPr="00B73D99">
        <w:rPr>
          <w:noProof/>
        </w:rPr>
        <w:t> </w:t>
      </w:r>
      <w:r w:rsidRPr="00B73D99">
        <w:rPr>
          <w:noProof/>
        </w:rPr>
        <w:t>5</w:t>
      </w:r>
      <w:r w:rsidRPr="00BB0D27">
        <w:rPr>
          <w:noProof/>
        </w:rPr>
        <w:t>, nie podlegają pod obowiązek dostarczenia europejskiego formularza informacji</w:t>
      </w:r>
      <w:r w:rsidR="00B73D99" w:rsidRPr="00BB0D27">
        <w:rPr>
          <w:noProof/>
        </w:rPr>
        <w:t xml:space="preserve"> o</w:t>
      </w:r>
      <w:r w:rsidR="00B73D99">
        <w:rPr>
          <w:noProof/>
        </w:rPr>
        <w:t> </w:t>
      </w:r>
      <w:r w:rsidR="00B73D99" w:rsidRPr="00BB0D27">
        <w:rPr>
          <w:noProof/>
        </w:rPr>
        <w:t>nap</w:t>
      </w:r>
      <w:r w:rsidRPr="00BB0D27">
        <w:rPr>
          <w:noProof/>
        </w:rPr>
        <w:t xml:space="preserve">rawie, jeżeli nie zamierzają świadczyć usług naprawczych, co pozwala na uniknięcie niepotrzebnych obciążeń podmioty zajmujące się naprawą. </w:t>
      </w:r>
    </w:p>
    <w:p w:rsidR="00561C56" w:rsidRPr="00BB0D27" w:rsidRDefault="007E3D7F" w:rsidP="00561C56">
      <w:pPr>
        <w:spacing w:before="0" w:after="160" w:line="259" w:lineRule="auto"/>
        <w:rPr>
          <w:rFonts w:eastAsia="Calibri"/>
          <w:noProof/>
          <w:szCs w:val="24"/>
        </w:rPr>
      </w:pPr>
      <w:r w:rsidRPr="00BB0D27">
        <w:rPr>
          <w:noProof/>
        </w:rPr>
        <w:t>W przypadku, gdy podmioty zajmujące się naprawą poniosą koszty, które są niezbędne do dostarczenia europejskiego formularza informacji</w:t>
      </w:r>
      <w:r w:rsidR="00B73D99" w:rsidRPr="00BB0D27">
        <w:rPr>
          <w:noProof/>
        </w:rPr>
        <w:t xml:space="preserve"> o</w:t>
      </w:r>
      <w:r w:rsidR="00B73D99">
        <w:rPr>
          <w:noProof/>
        </w:rPr>
        <w:t> </w:t>
      </w:r>
      <w:r w:rsidR="00B73D99" w:rsidRPr="00BB0D27">
        <w:rPr>
          <w:noProof/>
        </w:rPr>
        <w:t>nap</w:t>
      </w:r>
      <w:r w:rsidRPr="00BB0D27">
        <w:rPr>
          <w:noProof/>
        </w:rPr>
        <w:t>rawie, na przykład za sprawdzenie wadliwych towarów, mogą one zażądać od konsumenta poniesienia tych ograniczonych kosztów (</w:t>
      </w:r>
      <w:r w:rsidRPr="00B73D99">
        <w:rPr>
          <w:noProof/>
        </w:rPr>
        <w:t>art.</w:t>
      </w:r>
      <w:r w:rsidR="00B73D99" w:rsidRPr="00B73D99">
        <w:rPr>
          <w:noProof/>
        </w:rPr>
        <w:t> </w:t>
      </w:r>
      <w:r w:rsidRPr="00B73D99">
        <w:rPr>
          <w:noProof/>
        </w:rPr>
        <w:t>4</w:t>
      </w:r>
      <w:r w:rsidRPr="00BB0D27">
        <w:rPr>
          <w:noProof/>
        </w:rPr>
        <w:t xml:space="preserve"> </w:t>
      </w:r>
      <w:r w:rsidRPr="00B73D99">
        <w:rPr>
          <w:noProof/>
        </w:rPr>
        <w:t>ust.</w:t>
      </w:r>
      <w:r w:rsidR="00B73D99" w:rsidRPr="00B73D99">
        <w:rPr>
          <w:noProof/>
        </w:rPr>
        <w:t> </w:t>
      </w:r>
      <w:r w:rsidRPr="00B73D99">
        <w:rPr>
          <w:noProof/>
        </w:rPr>
        <w:t>3</w:t>
      </w:r>
      <w:r w:rsidRPr="00BB0D27">
        <w:rPr>
          <w:noProof/>
        </w:rPr>
        <w:t>).</w:t>
      </w:r>
    </w:p>
    <w:p w:rsidR="00561C56" w:rsidRPr="00BB0D27" w:rsidRDefault="007E3D7F" w:rsidP="00561C56">
      <w:pPr>
        <w:spacing w:before="0" w:after="160" w:line="259" w:lineRule="auto"/>
        <w:rPr>
          <w:rFonts w:eastAsia="Calibri"/>
          <w:noProof/>
          <w:szCs w:val="24"/>
        </w:rPr>
      </w:pPr>
      <w:r w:rsidRPr="00BB0D27">
        <w:rPr>
          <w:noProof/>
        </w:rPr>
        <w:t xml:space="preserve">W </w:t>
      </w:r>
      <w:r w:rsidRPr="00B73D99">
        <w:rPr>
          <w:noProof/>
        </w:rPr>
        <w:t>art.</w:t>
      </w:r>
      <w:r w:rsidR="00B73D99" w:rsidRPr="00B73D99">
        <w:rPr>
          <w:noProof/>
        </w:rPr>
        <w:t> </w:t>
      </w:r>
      <w:r w:rsidRPr="00B73D99">
        <w:rPr>
          <w:noProof/>
        </w:rPr>
        <w:t>4</w:t>
      </w:r>
      <w:r w:rsidRPr="00BB0D27">
        <w:rPr>
          <w:noProof/>
        </w:rPr>
        <w:t xml:space="preserve"> </w:t>
      </w:r>
      <w:r w:rsidRPr="00B73D99">
        <w:rPr>
          <w:noProof/>
        </w:rPr>
        <w:t>ust.</w:t>
      </w:r>
      <w:r w:rsidR="00B73D99" w:rsidRPr="00B73D99">
        <w:rPr>
          <w:noProof/>
        </w:rPr>
        <w:t> </w:t>
      </w:r>
      <w:r w:rsidRPr="00B73D99">
        <w:rPr>
          <w:noProof/>
        </w:rPr>
        <w:t>4</w:t>
      </w:r>
      <w:r w:rsidRPr="00BB0D27">
        <w:rPr>
          <w:noProof/>
        </w:rPr>
        <w:t xml:space="preserve"> określono najważniejsze parametry mające wpływ na decyzje konsumentów przy rozważaniu naprawy. Są to</w:t>
      </w:r>
      <w:r w:rsidR="00B73D99" w:rsidRPr="00BB0D27">
        <w:rPr>
          <w:noProof/>
        </w:rPr>
        <w:t xml:space="preserve"> w</w:t>
      </w:r>
      <w:r w:rsidR="00B73D99">
        <w:rPr>
          <w:noProof/>
        </w:rPr>
        <w:t> </w:t>
      </w:r>
      <w:r w:rsidR="00B73D99" w:rsidRPr="00BB0D27">
        <w:rPr>
          <w:noProof/>
        </w:rPr>
        <w:t>szc</w:t>
      </w:r>
      <w:r w:rsidRPr="00BB0D27">
        <w:rPr>
          <w:noProof/>
        </w:rPr>
        <w:t>zególności: cena naprawy lub, jeżeli nie można obliczyć ceny</w:t>
      </w:r>
      <w:r w:rsidR="00B73D99" w:rsidRPr="00BB0D27">
        <w:rPr>
          <w:noProof/>
        </w:rPr>
        <w:t xml:space="preserve"> z</w:t>
      </w:r>
      <w:r w:rsidR="00B73D99">
        <w:rPr>
          <w:noProof/>
        </w:rPr>
        <w:t> </w:t>
      </w:r>
      <w:r w:rsidR="00B73D99" w:rsidRPr="00BB0D27">
        <w:rPr>
          <w:noProof/>
        </w:rPr>
        <w:t>wyp</w:t>
      </w:r>
      <w:r w:rsidRPr="00BB0D27">
        <w:rPr>
          <w:noProof/>
        </w:rPr>
        <w:t>rzedzeniem, metoda obliczania</w:t>
      </w:r>
      <w:r w:rsidR="00B73D99" w:rsidRPr="00BB0D27">
        <w:rPr>
          <w:noProof/>
        </w:rPr>
        <w:t xml:space="preserve"> i</w:t>
      </w:r>
      <w:r w:rsidR="00B73D99">
        <w:rPr>
          <w:noProof/>
        </w:rPr>
        <w:t> </w:t>
      </w:r>
      <w:r w:rsidR="00B73D99" w:rsidRPr="00BB0D27">
        <w:rPr>
          <w:noProof/>
        </w:rPr>
        <w:t>mak</w:t>
      </w:r>
      <w:r w:rsidRPr="00BB0D27">
        <w:rPr>
          <w:noProof/>
        </w:rPr>
        <w:t>symalna cena, warunki naprawy, takie jak czas potrzebny na dokonanie naprawy, dostępność tymczasowych towarów zastępczych na czas naprawy,</w:t>
      </w:r>
      <w:r w:rsidRPr="00BB0D27">
        <w:rPr>
          <w:noProof/>
          <w:shd w:val="clear" w:color="auto" w:fill="FFFFFF"/>
        </w:rPr>
        <w:t xml:space="preserve"> </w:t>
      </w:r>
      <w:r w:rsidRPr="00BB0D27">
        <w:rPr>
          <w:noProof/>
        </w:rPr>
        <w:t>miejsce dostarczenia przez konsumenta towarów przeznaczonych do naprawy oraz</w:t>
      </w:r>
      <w:r w:rsidR="00B73D99" w:rsidRPr="00BB0D27">
        <w:rPr>
          <w:noProof/>
        </w:rPr>
        <w:t xml:space="preserve"> w</w:t>
      </w:r>
      <w:r w:rsidR="00B73D99">
        <w:rPr>
          <w:noProof/>
        </w:rPr>
        <w:t> </w:t>
      </w:r>
      <w:r w:rsidR="00B73D99" w:rsidRPr="00BB0D27">
        <w:rPr>
          <w:noProof/>
        </w:rPr>
        <w:t>sto</w:t>
      </w:r>
      <w:r w:rsidRPr="00BB0D27">
        <w:rPr>
          <w:noProof/>
        </w:rPr>
        <w:t>sownych przypadkach dostępność usług dodatkowych, takich jak usunięcie, instalacja</w:t>
      </w:r>
      <w:r w:rsidR="00B73D99" w:rsidRPr="00BB0D27">
        <w:rPr>
          <w:noProof/>
        </w:rPr>
        <w:t xml:space="preserve"> i</w:t>
      </w:r>
      <w:r w:rsidR="00B73D99">
        <w:rPr>
          <w:noProof/>
        </w:rPr>
        <w:t> </w:t>
      </w:r>
      <w:r w:rsidR="00B73D99" w:rsidRPr="00BB0D27">
        <w:rPr>
          <w:noProof/>
        </w:rPr>
        <w:t>tra</w:t>
      </w:r>
      <w:r w:rsidRPr="00BB0D27">
        <w:rPr>
          <w:noProof/>
        </w:rPr>
        <w:t>nsport.</w:t>
      </w:r>
    </w:p>
    <w:p w:rsidR="00561C56" w:rsidRPr="00BB0D27" w:rsidRDefault="00A16204" w:rsidP="00561C56">
      <w:pPr>
        <w:spacing w:before="0" w:after="160" w:line="259" w:lineRule="auto"/>
        <w:rPr>
          <w:rFonts w:eastAsia="Calibri"/>
          <w:noProof/>
          <w:szCs w:val="24"/>
        </w:rPr>
      </w:pPr>
      <w:r w:rsidRPr="00BB0D27">
        <w:rPr>
          <w:noProof/>
        </w:rPr>
        <w:t xml:space="preserve">W </w:t>
      </w:r>
      <w:r w:rsidRPr="00B73D99">
        <w:rPr>
          <w:noProof/>
        </w:rPr>
        <w:t>art.</w:t>
      </w:r>
      <w:r w:rsidR="00B73D99" w:rsidRPr="00B73D99">
        <w:rPr>
          <w:noProof/>
        </w:rPr>
        <w:t> </w:t>
      </w:r>
      <w:r w:rsidRPr="00B73D99">
        <w:rPr>
          <w:noProof/>
        </w:rPr>
        <w:t>4</w:t>
      </w:r>
      <w:r w:rsidRPr="00BB0D27">
        <w:rPr>
          <w:noProof/>
        </w:rPr>
        <w:t xml:space="preserve"> </w:t>
      </w:r>
      <w:r w:rsidRPr="00B73D99">
        <w:rPr>
          <w:noProof/>
        </w:rPr>
        <w:t>ust.</w:t>
      </w:r>
      <w:r w:rsidR="00B73D99" w:rsidRPr="00B73D99">
        <w:rPr>
          <w:noProof/>
        </w:rPr>
        <w:t> </w:t>
      </w:r>
      <w:r w:rsidRPr="00B73D99">
        <w:rPr>
          <w:noProof/>
        </w:rPr>
        <w:t>5</w:t>
      </w:r>
      <w:r w:rsidRPr="00BB0D27">
        <w:rPr>
          <w:noProof/>
        </w:rPr>
        <w:t xml:space="preserve"> zakazuje się podmiotom zajmującym się naprawą dokonywania zmian</w:t>
      </w:r>
      <w:r w:rsidR="00B73D99" w:rsidRPr="00BB0D27">
        <w:rPr>
          <w:noProof/>
        </w:rPr>
        <w:t xml:space="preserve"> w</w:t>
      </w:r>
      <w:r w:rsidR="00B73D99">
        <w:rPr>
          <w:noProof/>
        </w:rPr>
        <w:t> </w:t>
      </w:r>
      <w:r w:rsidR="00B73D99" w:rsidRPr="00BB0D27">
        <w:rPr>
          <w:noProof/>
        </w:rPr>
        <w:t>eur</w:t>
      </w:r>
      <w:r w:rsidRPr="00BB0D27">
        <w:rPr>
          <w:noProof/>
        </w:rPr>
        <w:t>opejskim formularzu informacji</w:t>
      </w:r>
      <w:r w:rsidR="00B73D99" w:rsidRPr="00BB0D27">
        <w:rPr>
          <w:noProof/>
        </w:rPr>
        <w:t xml:space="preserve"> o</w:t>
      </w:r>
      <w:r w:rsidR="00B73D99">
        <w:rPr>
          <w:noProof/>
        </w:rPr>
        <w:t> </w:t>
      </w:r>
      <w:r w:rsidR="00B73D99" w:rsidRPr="00BB0D27">
        <w:rPr>
          <w:noProof/>
        </w:rPr>
        <w:t>nap</w:t>
      </w:r>
      <w:r w:rsidRPr="00BB0D27">
        <w:rPr>
          <w:noProof/>
        </w:rPr>
        <w:t>rawie przez 30 dni po jego dostarczeniu. Zapewnia to konsumentom wystarczającą ilość czasu na porównanie różnych ofert naprawy</w:t>
      </w:r>
      <w:r w:rsidR="00B73D99" w:rsidRPr="00BB0D27">
        <w:rPr>
          <w:noProof/>
        </w:rPr>
        <w:t xml:space="preserve"> i</w:t>
      </w:r>
      <w:r w:rsidR="00B73D99">
        <w:rPr>
          <w:noProof/>
        </w:rPr>
        <w:t> </w:t>
      </w:r>
      <w:r w:rsidR="00B73D99" w:rsidRPr="00BB0D27">
        <w:rPr>
          <w:noProof/>
        </w:rPr>
        <w:t>chr</w:t>
      </w:r>
      <w:r w:rsidRPr="00BB0D27">
        <w:rPr>
          <w:noProof/>
        </w:rPr>
        <w:t>oni ich przed zmianą warunków. Aby zagwarantować poszanowanie swobody umów przysługującej podmiotom zajmującym się naprawą, te podmioty zajmujące się naprawą, które nie są zobowiązane do dokonania naprawy zgodnie</w:t>
      </w:r>
      <w:r w:rsidR="00B73D99" w:rsidRPr="00BB0D27">
        <w:rPr>
          <w:noProof/>
        </w:rPr>
        <w:t xml:space="preserve"> z</w:t>
      </w:r>
      <w:r w:rsidR="00B73D99">
        <w:rPr>
          <w:noProof/>
        </w:rPr>
        <w:t> </w:t>
      </w:r>
      <w:r w:rsidR="00B73D99" w:rsidRPr="00B73D99">
        <w:rPr>
          <w:noProof/>
        </w:rPr>
        <w:t>art</w:t>
      </w:r>
      <w:r w:rsidRPr="00B73D99">
        <w:rPr>
          <w:noProof/>
        </w:rPr>
        <w:t>.</w:t>
      </w:r>
      <w:r w:rsidR="00B73D99" w:rsidRPr="00B73D99">
        <w:rPr>
          <w:noProof/>
        </w:rPr>
        <w:t> </w:t>
      </w:r>
      <w:r w:rsidRPr="00B73D99">
        <w:rPr>
          <w:noProof/>
        </w:rPr>
        <w:t>5</w:t>
      </w:r>
      <w:r w:rsidRPr="00BB0D27">
        <w:rPr>
          <w:noProof/>
        </w:rPr>
        <w:t>, mogą swobodnie decydować, czy chcą zawrzeć daną umowę, nawet jeżeli przekazały konsumentowi formularz na jego żądanie</w:t>
      </w:r>
      <w:r w:rsidR="00B73D99" w:rsidRPr="00BB0D27">
        <w:rPr>
          <w:noProof/>
        </w:rPr>
        <w:t>. W</w:t>
      </w:r>
      <w:r w:rsidR="00B73D99">
        <w:rPr>
          <w:noProof/>
        </w:rPr>
        <w:t> </w:t>
      </w:r>
      <w:r w:rsidR="00B73D99" w:rsidRPr="00BB0D27">
        <w:rPr>
          <w:noProof/>
        </w:rPr>
        <w:t>prz</w:t>
      </w:r>
      <w:r w:rsidRPr="00BB0D27">
        <w:rPr>
          <w:noProof/>
        </w:rPr>
        <w:t>ypadku zawarcia umowy na świadczenie usług naprawczych podmioty zajmujące się naprawą są zobowiązane do zachowania zgodności</w:t>
      </w:r>
      <w:r w:rsidR="00B73D99" w:rsidRPr="00BB0D27">
        <w:rPr>
          <w:noProof/>
        </w:rPr>
        <w:t xml:space="preserve"> z</w:t>
      </w:r>
      <w:r w:rsidR="00B73D99">
        <w:rPr>
          <w:noProof/>
        </w:rPr>
        <w:t> </w:t>
      </w:r>
      <w:r w:rsidR="00B73D99" w:rsidRPr="00BB0D27">
        <w:rPr>
          <w:noProof/>
        </w:rPr>
        <w:t>inf</w:t>
      </w:r>
      <w:r w:rsidRPr="00BB0D27">
        <w:rPr>
          <w:noProof/>
        </w:rPr>
        <w:t>ormacjami zawartymi</w:t>
      </w:r>
      <w:r w:rsidR="00B73D99" w:rsidRPr="00BB0D27">
        <w:rPr>
          <w:noProof/>
        </w:rPr>
        <w:t xml:space="preserve"> w</w:t>
      </w:r>
      <w:r w:rsidR="00B73D99">
        <w:rPr>
          <w:noProof/>
        </w:rPr>
        <w:t> </w:t>
      </w:r>
      <w:r w:rsidR="00B73D99" w:rsidRPr="00BB0D27">
        <w:rPr>
          <w:noProof/>
        </w:rPr>
        <w:t>eur</w:t>
      </w:r>
      <w:r w:rsidRPr="00BB0D27">
        <w:rPr>
          <w:noProof/>
        </w:rPr>
        <w:t>opejskim formularzu informacji</w:t>
      </w:r>
      <w:r w:rsidR="00B73D99" w:rsidRPr="00BB0D27">
        <w:rPr>
          <w:noProof/>
        </w:rPr>
        <w:t xml:space="preserve"> o</w:t>
      </w:r>
      <w:r w:rsidR="00B73D99">
        <w:rPr>
          <w:noProof/>
        </w:rPr>
        <w:t> </w:t>
      </w:r>
      <w:r w:rsidR="00B73D99" w:rsidRPr="00BB0D27">
        <w:rPr>
          <w:noProof/>
        </w:rPr>
        <w:t>nap</w:t>
      </w:r>
      <w:r w:rsidRPr="00BB0D27">
        <w:rPr>
          <w:noProof/>
        </w:rPr>
        <w:t>rawie, który stanowi również integralną część umowy na świadczenie usług naprawczych.</w:t>
      </w:r>
    </w:p>
    <w:p w:rsidR="00561C56" w:rsidRPr="00BB0D27" w:rsidRDefault="00561C56" w:rsidP="00561C56">
      <w:pPr>
        <w:spacing w:before="0" w:after="160" w:line="259" w:lineRule="auto"/>
        <w:rPr>
          <w:rFonts w:eastAsia="Calibri"/>
          <w:noProof/>
          <w:szCs w:val="24"/>
        </w:rPr>
      </w:pPr>
      <w:r w:rsidRPr="00BB0D27">
        <w:rPr>
          <w:noProof/>
        </w:rPr>
        <w:t>Europejski formularz informacji</w:t>
      </w:r>
      <w:r w:rsidR="00B73D99" w:rsidRPr="00BB0D27">
        <w:rPr>
          <w:noProof/>
        </w:rPr>
        <w:t xml:space="preserve"> o</w:t>
      </w:r>
      <w:r w:rsidR="00B73D99">
        <w:rPr>
          <w:noProof/>
        </w:rPr>
        <w:t> </w:t>
      </w:r>
      <w:r w:rsidR="00B73D99" w:rsidRPr="00BB0D27">
        <w:rPr>
          <w:noProof/>
        </w:rPr>
        <w:t>nap</w:t>
      </w:r>
      <w:r w:rsidRPr="00BB0D27">
        <w:rPr>
          <w:noProof/>
        </w:rPr>
        <w:t>rawie ułatwi również dostarczanie informacji na temat usług naprawczych m.in.</w:t>
      </w:r>
      <w:r w:rsidR="00B73D99" w:rsidRPr="00BB0D27">
        <w:rPr>
          <w:noProof/>
        </w:rPr>
        <w:t xml:space="preserve"> w</w:t>
      </w:r>
      <w:r w:rsidR="00B73D99">
        <w:rPr>
          <w:noProof/>
        </w:rPr>
        <w:t> </w:t>
      </w:r>
      <w:r w:rsidR="00B73D99" w:rsidRPr="00BB0D27">
        <w:rPr>
          <w:noProof/>
        </w:rPr>
        <w:t>prz</w:t>
      </w:r>
      <w:r w:rsidRPr="00BB0D27">
        <w:rPr>
          <w:noProof/>
        </w:rPr>
        <w:t>ypadku mikroprzedsiębiorstw oraz małych</w:t>
      </w:r>
      <w:r w:rsidR="00B73D99" w:rsidRPr="00BB0D27">
        <w:rPr>
          <w:noProof/>
        </w:rPr>
        <w:t xml:space="preserve"> i</w:t>
      </w:r>
      <w:r w:rsidR="00B73D99">
        <w:rPr>
          <w:noProof/>
        </w:rPr>
        <w:t> </w:t>
      </w:r>
      <w:r w:rsidR="00B73D99" w:rsidRPr="00BB0D27">
        <w:rPr>
          <w:noProof/>
        </w:rPr>
        <w:t>śre</w:t>
      </w:r>
      <w:r w:rsidRPr="00BB0D27">
        <w:rPr>
          <w:noProof/>
        </w:rPr>
        <w:t>dnich przedsiębiorstw zajmujących się naprawą, gdyż</w:t>
      </w:r>
      <w:r w:rsidR="00B73D99" w:rsidRPr="00BB0D27">
        <w:rPr>
          <w:noProof/>
        </w:rPr>
        <w:t xml:space="preserve"> w</w:t>
      </w:r>
      <w:r w:rsidR="00B73D99">
        <w:rPr>
          <w:noProof/>
        </w:rPr>
        <w:t> </w:t>
      </w:r>
      <w:r w:rsidR="00B73D99" w:rsidRPr="00B73D99">
        <w:rPr>
          <w:noProof/>
        </w:rPr>
        <w:t>art</w:t>
      </w:r>
      <w:r w:rsidRPr="00B73D99">
        <w:rPr>
          <w:noProof/>
        </w:rPr>
        <w:t>.</w:t>
      </w:r>
      <w:r w:rsidR="00B73D99" w:rsidRPr="00B73D99">
        <w:rPr>
          <w:noProof/>
        </w:rPr>
        <w:t> </w:t>
      </w:r>
      <w:r w:rsidRPr="00B73D99">
        <w:rPr>
          <w:noProof/>
        </w:rPr>
        <w:t>4</w:t>
      </w:r>
      <w:r w:rsidRPr="00BB0D27">
        <w:rPr>
          <w:noProof/>
        </w:rPr>
        <w:t xml:space="preserve"> </w:t>
      </w:r>
      <w:r w:rsidRPr="00B73D99">
        <w:rPr>
          <w:noProof/>
        </w:rPr>
        <w:t>ust.</w:t>
      </w:r>
      <w:r w:rsidR="00B73D99" w:rsidRPr="00B73D99">
        <w:rPr>
          <w:noProof/>
        </w:rPr>
        <w:t> </w:t>
      </w:r>
      <w:r w:rsidRPr="00B73D99">
        <w:rPr>
          <w:noProof/>
        </w:rPr>
        <w:t>6</w:t>
      </w:r>
      <w:r w:rsidRPr="00BB0D27">
        <w:rPr>
          <w:noProof/>
        </w:rPr>
        <w:t xml:space="preserve"> przewidziano, że uznaje się, że podmioty zajmujące się naprawą spełniły</w:t>
      </w:r>
      <w:r w:rsidR="00B73D99" w:rsidRPr="00BB0D27">
        <w:rPr>
          <w:noProof/>
        </w:rPr>
        <w:t xml:space="preserve"> w</w:t>
      </w:r>
      <w:r w:rsidR="00B73D99">
        <w:rPr>
          <w:noProof/>
        </w:rPr>
        <w:t> </w:t>
      </w:r>
      <w:r w:rsidR="00B73D99" w:rsidRPr="00BB0D27">
        <w:rPr>
          <w:noProof/>
        </w:rPr>
        <w:t>ten</w:t>
      </w:r>
      <w:r w:rsidRPr="00BB0D27">
        <w:rPr>
          <w:noProof/>
        </w:rPr>
        <w:t xml:space="preserve"> sposób odpowiednie wymogi informacyjne związane</w:t>
      </w:r>
      <w:r w:rsidR="00B73D99" w:rsidRPr="00BB0D27">
        <w:rPr>
          <w:noProof/>
        </w:rPr>
        <w:t xml:space="preserve"> z</w:t>
      </w:r>
      <w:r w:rsidR="00B73D99">
        <w:rPr>
          <w:noProof/>
        </w:rPr>
        <w:t> </w:t>
      </w:r>
      <w:r w:rsidR="00B73D99" w:rsidRPr="00BB0D27">
        <w:rPr>
          <w:noProof/>
        </w:rPr>
        <w:t>usł</w:t>
      </w:r>
      <w:r w:rsidRPr="00BB0D27">
        <w:rPr>
          <w:noProof/>
        </w:rPr>
        <w:t>ugami naprawczymi określone</w:t>
      </w:r>
      <w:r w:rsidR="00B73D99" w:rsidRPr="00BB0D27">
        <w:rPr>
          <w:noProof/>
        </w:rPr>
        <w:t xml:space="preserve"> w</w:t>
      </w:r>
      <w:r w:rsidR="00B73D99">
        <w:rPr>
          <w:noProof/>
        </w:rPr>
        <w:t> </w:t>
      </w:r>
      <w:r w:rsidR="00B73D99" w:rsidRPr="00BB0D27">
        <w:rPr>
          <w:noProof/>
        </w:rPr>
        <w:t>dyr</w:t>
      </w:r>
      <w:r w:rsidRPr="00BB0D27">
        <w:rPr>
          <w:noProof/>
        </w:rPr>
        <w:t>ektywach 2011/83/UE, 2006/123/WE</w:t>
      </w:r>
      <w:r w:rsidR="00B73D99" w:rsidRPr="00BB0D27">
        <w:rPr>
          <w:noProof/>
        </w:rPr>
        <w:t xml:space="preserve"> i</w:t>
      </w:r>
      <w:r w:rsidR="00B73D99">
        <w:rPr>
          <w:noProof/>
        </w:rPr>
        <w:t> </w:t>
      </w:r>
      <w:r w:rsidR="00B73D99" w:rsidRPr="00BB0D27">
        <w:rPr>
          <w:noProof/>
        </w:rPr>
        <w:t>2</w:t>
      </w:r>
      <w:r w:rsidRPr="00BB0D27">
        <w:rPr>
          <w:noProof/>
        </w:rPr>
        <w:t xml:space="preserve">000/31/WE. </w:t>
      </w:r>
    </w:p>
    <w:p w:rsidR="00561C56" w:rsidRPr="00BB0D27" w:rsidRDefault="00A16204" w:rsidP="00561C56">
      <w:pPr>
        <w:spacing w:before="0" w:after="160" w:line="259" w:lineRule="auto"/>
        <w:rPr>
          <w:rFonts w:eastAsia="Calibri"/>
          <w:b/>
          <w:noProof/>
          <w:szCs w:val="24"/>
        </w:rPr>
      </w:pPr>
      <w:r w:rsidRPr="00BB0D27">
        <w:rPr>
          <w:b/>
          <w:noProof/>
        </w:rPr>
        <w:t>Artykuł 5: Obowiązek naprawy</w:t>
      </w:r>
    </w:p>
    <w:p w:rsidR="00561C56" w:rsidRPr="00BB0D27" w:rsidRDefault="00A16204" w:rsidP="00561C56">
      <w:pPr>
        <w:spacing w:before="0" w:after="160" w:line="259" w:lineRule="auto"/>
        <w:rPr>
          <w:rFonts w:eastAsia="Calibri"/>
          <w:noProof/>
          <w:szCs w:val="24"/>
        </w:rPr>
      </w:pPr>
      <w:r w:rsidRPr="00BB0D27">
        <w:rPr>
          <w:noProof/>
        </w:rPr>
        <w:t xml:space="preserve">W </w:t>
      </w:r>
      <w:r w:rsidRPr="00B73D99">
        <w:rPr>
          <w:noProof/>
        </w:rPr>
        <w:t>art.</w:t>
      </w:r>
      <w:r w:rsidR="00B73D99" w:rsidRPr="00B73D99">
        <w:rPr>
          <w:noProof/>
        </w:rPr>
        <w:t> </w:t>
      </w:r>
      <w:r w:rsidRPr="00B73D99">
        <w:rPr>
          <w:noProof/>
        </w:rPr>
        <w:t>5</w:t>
      </w:r>
      <w:r w:rsidRPr="00BB0D27">
        <w:rPr>
          <w:noProof/>
        </w:rPr>
        <w:t xml:space="preserve"> wprowadzono dla producentów obowiązek naprawy na wniosek konsumenta i za określoną cenę wad wykraczających poza odpowiedzialność sprzedawcy.</w:t>
      </w:r>
    </w:p>
    <w:p w:rsidR="00373B9D" w:rsidRPr="00BB0D27" w:rsidRDefault="00A16204" w:rsidP="00561C56">
      <w:pPr>
        <w:spacing w:before="0" w:after="160" w:line="259" w:lineRule="auto"/>
        <w:rPr>
          <w:rFonts w:eastAsia="Calibri"/>
          <w:noProof/>
          <w:szCs w:val="24"/>
        </w:rPr>
      </w:pPr>
      <w:r w:rsidRPr="00BB0D27">
        <w:rPr>
          <w:noProof/>
        </w:rPr>
        <w:t>W odniesieniu do zakresu</w:t>
      </w:r>
      <w:r w:rsidR="00B73D99" w:rsidRPr="00BB0D27">
        <w:rPr>
          <w:noProof/>
        </w:rPr>
        <w:t xml:space="preserve"> w</w:t>
      </w:r>
      <w:r w:rsidR="00B73D99">
        <w:rPr>
          <w:noProof/>
        </w:rPr>
        <w:t> </w:t>
      </w:r>
      <w:r w:rsidR="00B73D99" w:rsidRPr="00B73D99">
        <w:rPr>
          <w:noProof/>
        </w:rPr>
        <w:t>art</w:t>
      </w:r>
      <w:r w:rsidRPr="00B73D99">
        <w:rPr>
          <w:noProof/>
        </w:rPr>
        <w:t>.</w:t>
      </w:r>
      <w:r w:rsidR="00B73D99" w:rsidRPr="00B73D99">
        <w:rPr>
          <w:noProof/>
        </w:rPr>
        <w:t> </w:t>
      </w:r>
      <w:r w:rsidRPr="00B73D99">
        <w:rPr>
          <w:noProof/>
        </w:rPr>
        <w:t>5</w:t>
      </w:r>
      <w:r w:rsidRPr="00BB0D27">
        <w:rPr>
          <w:noProof/>
        </w:rPr>
        <w:t xml:space="preserve"> </w:t>
      </w:r>
      <w:r w:rsidRPr="00B73D99">
        <w:rPr>
          <w:noProof/>
        </w:rPr>
        <w:t>ust.</w:t>
      </w:r>
      <w:r w:rsidR="00B73D99" w:rsidRPr="00B73D99">
        <w:rPr>
          <w:noProof/>
        </w:rPr>
        <w:t> </w:t>
      </w:r>
      <w:r w:rsidRPr="00B73D99">
        <w:rPr>
          <w:noProof/>
        </w:rPr>
        <w:t>1</w:t>
      </w:r>
      <w:r w:rsidRPr="00BB0D27">
        <w:rPr>
          <w:noProof/>
        </w:rPr>
        <w:t xml:space="preserve"> ograniczono obowiązek naprawy do towarów,</w:t>
      </w:r>
      <w:r w:rsidR="00B73D99" w:rsidRPr="00BB0D27">
        <w:rPr>
          <w:noProof/>
        </w:rPr>
        <w:t xml:space="preserve"> w</w:t>
      </w:r>
      <w:r w:rsidR="00B73D99">
        <w:rPr>
          <w:noProof/>
        </w:rPr>
        <w:t> </w:t>
      </w:r>
      <w:r w:rsidR="00B73D99" w:rsidRPr="00BB0D27">
        <w:rPr>
          <w:noProof/>
        </w:rPr>
        <w:t>prz</w:t>
      </w:r>
      <w:r w:rsidRPr="00BB0D27">
        <w:rPr>
          <w:noProof/>
        </w:rPr>
        <w:t>ypadku których ustanowiono wymogi dotyczące możliwości naprawy</w:t>
      </w:r>
      <w:r w:rsidR="00B73D99" w:rsidRPr="00BB0D27">
        <w:rPr>
          <w:noProof/>
        </w:rPr>
        <w:t xml:space="preserve"> w</w:t>
      </w:r>
      <w:r w:rsidR="00B73D99">
        <w:rPr>
          <w:noProof/>
        </w:rPr>
        <w:t> </w:t>
      </w:r>
      <w:r w:rsidR="00B73D99" w:rsidRPr="00BB0D27">
        <w:rPr>
          <w:noProof/>
        </w:rPr>
        <w:t>akt</w:t>
      </w:r>
      <w:r w:rsidRPr="00BB0D27">
        <w:rPr>
          <w:noProof/>
        </w:rPr>
        <w:t>ach prawnych Unii wymienionych</w:t>
      </w:r>
      <w:r w:rsidR="00B73D99" w:rsidRPr="00BB0D27">
        <w:rPr>
          <w:noProof/>
        </w:rPr>
        <w:t xml:space="preserve"> w</w:t>
      </w:r>
      <w:r w:rsidR="00B73D99">
        <w:rPr>
          <w:noProof/>
        </w:rPr>
        <w:t> </w:t>
      </w:r>
      <w:r w:rsidR="00B73D99" w:rsidRPr="00BB0D27">
        <w:rPr>
          <w:noProof/>
        </w:rPr>
        <w:t>zał</w:t>
      </w:r>
      <w:r w:rsidRPr="00BB0D27">
        <w:rPr>
          <w:noProof/>
        </w:rPr>
        <w:t>ączniku II do niniejszej dyrektywy, i do zakresu</w:t>
      </w:r>
      <w:r w:rsidR="00B73D99" w:rsidRPr="00BB0D27">
        <w:rPr>
          <w:noProof/>
        </w:rPr>
        <w:t xml:space="preserve"> w</w:t>
      </w:r>
      <w:r w:rsidR="00B73D99">
        <w:rPr>
          <w:noProof/>
        </w:rPr>
        <w:t> </w:t>
      </w:r>
      <w:r w:rsidR="00B73D99" w:rsidRPr="00BB0D27">
        <w:rPr>
          <w:noProof/>
        </w:rPr>
        <w:t>jak</w:t>
      </w:r>
      <w:r w:rsidRPr="00BB0D27">
        <w:rPr>
          <w:noProof/>
        </w:rPr>
        <w:t xml:space="preserve">im ustanowiono przedmiotowe wymogi. Towary te obejmują grupy produktów objęte wymogami dotyczącymi możliwości naprawy na podstawie ram ekoprojektu, takie jak </w:t>
      </w:r>
      <w:r w:rsidRPr="00BB0D27">
        <w:rPr>
          <w:noProof/>
          <w:color w:val="000000"/>
        </w:rPr>
        <w:t xml:space="preserve">pralki dla gospodarstw domowych, zmywarki do naczyń dla gospodarstw domowych, urządzenia chłodnicze oraz </w:t>
      </w:r>
      <w:r w:rsidRPr="00BB0D27">
        <w:rPr>
          <w:noProof/>
        </w:rPr>
        <w:t>odkurzacze</w:t>
      </w:r>
      <w:r w:rsidRPr="00BB0D27">
        <w:rPr>
          <w:noProof/>
          <w:color w:val="000000"/>
        </w:rPr>
        <w:t>.Wymogi dotyczące możliwości naprawy wynikające</w:t>
      </w:r>
      <w:r w:rsidR="00B73D99" w:rsidRPr="00BB0D27">
        <w:rPr>
          <w:noProof/>
          <w:color w:val="000000"/>
        </w:rPr>
        <w:t xml:space="preserve"> z</w:t>
      </w:r>
      <w:r w:rsidR="00B73D99">
        <w:rPr>
          <w:noProof/>
          <w:color w:val="000000"/>
        </w:rPr>
        <w:t> </w:t>
      </w:r>
      <w:r w:rsidR="00B73D99" w:rsidRPr="00BB0D27">
        <w:rPr>
          <w:noProof/>
          <w:color w:val="000000"/>
        </w:rPr>
        <w:t>akt</w:t>
      </w:r>
      <w:r w:rsidRPr="00BB0D27">
        <w:rPr>
          <w:noProof/>
          <w:color w:val="000000"/>
        </w:rPr>
        <w:t>ów prawnych Unii wymienionych</w:t>
      </w:r>
      <w:r w:rsidR="00B73D99" w:rsidRPr="00BB0D27">
        <w:rPr>
          <w:noProof/>
          <w:color w:val="000000"/>
        </w:rPr>
        <w:t xml:space="preserve"> w</w:t>
      </w:r>
      <w:r w:rsidR="00B73D99">
        <w:rPr>
          <w:noProof/>
          <w:color w:val="000000"/>
        </w:rPr>
        <w:t> </w:t>
      </w:r>
      <w:r w:rsidR="00B73D99" w:rsidRPr="00BB0D27">
        <w:rPr>
          <w:noProof/>
          <w:color w:val="000000"/>
        </w:rPr>
        <w:t>zał</w:t>
      </w:r>
      <w:r w:rsidRPr="00BB0D27">
        <w:rPr>
          <w:noProof/>
          <w:color w:val="000000"/>
        </w:rPr>
        <w:t xml:space="preserve">ączniku II zapewniają, aby istniała techniczna możliwość naprawy odpowiednich produktów. </w:t>
      </w:r>
      <w:r w:rsidRPr="00BB0D27">
        <w:rPr>
          <w:noProof/>
        </w:rPr>
        <w:t>Obowiązek naprawy odpowiada zakresowi wymogów dotyczących możliwości naprawy</w:t>
      </w:r>
      <w:r w:rsidR="008F1D58" w:rsidRPr="00BB0D27">
        <w:rPr>
          <w:rStyle w:val="FootnoteReference"/>
          <w:rFonts w:eastAsia="Times New Roman"/>
          <w:b/>
          <w:noProof/>
          <w:szCs w:val="24"/>
          <w:lang w:eastAsia="en-IE"/>
        </w:rPr>
        <w:footnoteReference w:id="10"/>
      </w:r>
      <w:r w:rsidR="00B73D99" w:rsidRPr="00BB0D27">
        <w:rPr>
          <w:noProof/>
        </w:rPr>
        <w:t xml:space="preserve"> i</w:t>
      </w:r>
      <w:r w:rsidR="00B73D99">
        <w:rPr>
          <w:noProof/>
        </w:rPr>
        <w:t> </w:t>
      </w:r>
      <w:r w:rsidR="00B73D99" w:rsidRPr="00BB0D27">
        <w:rPr>
          <w:noProof/>
        </w:rPr>
        <w:t>dot</w:t>
      </w:r>
      <w:r w:rsidRPr="00BB0D27">
        <w:rPr>
          <w:noProof/>
        </w:rPr>
        <w:t>yczy m.in. części objętych wymogiem</w:t>
      </w:r>
      <w:r w:rsidR="00B73D99" w:rsidRPr="00BB0D27">
        <w:rPr>
          <w:noProof/>
        </w:rPr>
        <w:t xml:space="preserve"> i</w:t>
      </w:r>
      <w:r w:rsidR="00B73D99">
        <w:rPr>
          <w:noProof/>
        </w:rPr>
        <w:t> </w:t>
      </w:r>
      <w:r w:rsidR="00B73D99" w:rsidRPr="00BB0D27">
        <w:rPr>
          <w:noProof/>
        </w:rPr>
        <w:t>okr</w:t>
      </w:r>
      <w:r w:rsidRPr="00BB0D27">
        <w:rPr>
          <w:noProof/>
        </w:rPr>
        <w:t xml:space="preserve">esu, podczas którego stosuje się odpowiednie wymogi dotyczące możliwości naprawy. </w:t>
      </w:r>
      <w:r w:rsidRPr="00BB0D27">
        <w:rPr>
          <w:noProof/>
          <w:color w:val="000000"/>
        </w:rPr>
        <w:t>Połączenie obowiązku naprawy</w:t>
      </w:r>
      <w:r w:rsidR="00B73D99" w:rsidRPr="00BB0D27">
        <w:rPr>
          <w:noProof/>
          <w:color w:val="000000"/>
        </w:rPr>
        <w:t xml:space="preserve"> z</w:t>
      </w:r>
      <w:r w:rsidR="00B73D99">
        <w:rPr>
          <w:noProof/>
          <w:color w:val="000000"/>
        </w:rPr>
        <w:t> </w:t>
      </w:r>
      <w:r w:rsidR="00B73D99" w:rsidRPr="00BB0D27">
        <w:rPr>
          <w:noProof/>
          <w:color w:val="000000"/>
        </w:rPr>
        <w:t>obo</w:t>
      </w:r>
      <w:r w:rsidRPr="00BB0D27">
        <w:rPr>
          <w:noProof/>
          <w:color w:val="000000"/>
        </w:rPr>
        <w:t>wiązującymi wymogami dotyczącymi możliwości naprawy znajdującymi się</w:t>
      </w:r>
      <w:r w:rsidR="00B73D99" w:rsidRPr="00BB0D27">
        <w:rPr>
          <w:noProof/>
          <w:color w:val="000000"/>
        </w:rPr>
        <w:t xml:space="preserve"> w</w:t>
      </w:r>
      <w:r w:rsidR="00B73D99">
        <w:rPr>
          <w:noProof/>
          <w:color w:val="000000"/>
        </w:rPr>
        <w:t> </w:t>
      </w:r>
      <w:r w:rsidR="00B73D99" w:rsidRPr="00BB0D27">
        <w:rPr>
          <w:noProof/>
          <w:color w:val="000000"/>
        </w:rPr>
        <w:t>akt</w:t>
      </w:r>
      <w:r w:rsidRPr="00BB0D27">
        <w:rPr>
          <w:noProof/>
          <w:color w:val="000000"/>
        </w:rPr>
        <w:t>ach prawnych Unii wymienionych</w:t>
      </w:r>
      <w:r w:rsidR="00B73D99" w:rsidRPr="00BB0D27">
        <w:rPr>
          <w:noProof/>
          <w:color w:val="000000"/>
        </w:rPr>
        <w:t xml:space="preserve"> w</w:t>
      </w:r>
      <w:r w:rsidR="00B73D99">
        <w:rPr>
          <w:noProof/>
          <w:color w:val="000000"/>
        </w:rPr>
        <w:t> </w:t>
      </w:r>
      <w:r w:rsidR="00B73D99" w:rsidRPr="00BB0D27">
        <w:rPr>
          <w:noProof/>
          <w:color w:val="000000"/>
        </w:rPr>
        <w:t>zał</w:t>
      </w:r>
      <w:r w:rsidRPr="00BB0D27">
        <w:rPr>
          <w:noProof/>
          <w:color w:val="000000"/>
        </w:rPr>
        <w:t>ączniku II zapewnia zatem możliwość wykonywania tego obowiązku</w:t>
      </w:r>
      <w:r w:rsidR="00B73D99" w:rsidRPr="00BB0D27">
        <w:rPr>
          <w:noProof/>
          <w:color w:val="000000"/>
        </w:rPr>
        <w:t xml:space="preserve"> w</w:t>
      </w:r>
      <w:r w:rsidR="00B73D99">
        <w:rPr>
          <w:noProof/>
          <w:color w:val="000000"/>
        </w:rPr>
        <w:t> </w:t>
      </w:r>
      <w:r w:rsidR="00B73D99" w:rsidRPr="00BB0D27">
        <w:rPr>
          <w:noProof/>
          <w:color w:val="000000"/>
        </w:rPr>
        <w:t>pra</w:t>
      </w:r>
      <w:r w:rsidRPr="00BB0D27">
        <w:rPr>
          <w:noProof/>
          <w:color w:val="000000"/>
        </w:rPr>
        <w:t xml:space="preserve">ktyce oraz pewność prawa dla podmiotów gospodarczych. </w:t>
      </w:r>
      <w:r w:rsidRPr="00BB0D27">
        <w:rPr>
          <w:noProof/>
        </w:rPr>
        <w:t>Obowiązek naprawy wynikający</w:t>
      </w:r>
      <w:r w:rsidR="00B73D99" w:rsidRPr="00BB0D27">
        <w:rPr>
          <w:noProof/>
        </w:rPr>
        <w:t xml:space="preserve"> z</w:t>
      </w:r>
      <w:r w:rsidR="00B73D99">
        <w:rPr>
          <w:noProof/>
        </w:rPr>
        <w:t> </w:t>
      </w:r>
      <w:r w:rsidR="00B73D99" w:rsidRPr="00BB0D27">
        <w:rPr>
          <w:noProof/>
        </w:rPr>
        <w:t>nin</w:t>
      </w:r>
      <w:r w:rsidRPr="00BB0D27">
        <w:rPr>
          <w:noProof/>
        </w:rPr>
        <w:t>iejszej dyrektywy, który umożliwia konsumentom bezpośrednie domaganie się od producenta naprawy na etapie po sprzedaży, stanowi uzupełnienie wymogów dotyczących możliwości naprawy po stronie podaży, sprzyjając zjawisku popytu konsumenckiego na naprawę.</w:t>
      </w:r>
    </w:p>
    <w:p w:rsidR="00561C56" w:rsidRPr="00BB0D27" w:rsidRDefault="00373B9D" w:rsidP="00561C56">
      <w:pPr>
        <w:spacing w:before="0" w:after="160" w:line="259" w:lineRule="auto"/>
        <w:rPr>
          <w:rFonts w:eastAsia="Calibri"/>
          <w:noProof/>
          <w:szCs w:val="24"/>
        </w:rPr>
      </w:pPr>
      <w:r w:rsidRPr="00BB0D27">
        <w:rPr>
          <w:noProof/>
        </w:rPr>
        <w:t>Zgodnie</w:t>
      </w:r>
      <w:r w:rsidR="00B73D99" w:rsidRPr="00BB0D27">
        <w:rPr>
          <w:noProof/>
        </w:rPr>
        <w:t xml:space="preserve"> z</w:t>
      </w:r>
      <w:r w:rsidR="00B73D99">
        <w:rPr>
          <w:noProof/>
        </w:rPr>
        <w:t> </w:t>
      </w:r>
      <w:r w:rsidR="00B73D99" w:rsidRPr="00B73D99">
        <w:rPr>
          <w:noProof/>
        </w:rPr>
        <w:t>art</w:t>
      </w:r>
      <w:r w:rsidRPr="00B73D99">
        <w:rPr>
          <w:noProof/>
        </w:rPr>
        <w:t>.</w:t>
      </w:r>
      <w:r w:rsidR="00B73D99" w:rsidRPr="00B73D99">
        <w:rPr>
          <w:noProof/>
        </w:rPr>
        <w:t> </w:t>
      </w:r>
      <w:r w:rsidRPr="00B73D99">
        <w:rPr>
          <w:noProof/>
        </w:rPr>
        <w:t>5</w:t>
      </w:r>
      <w:r w:rsidRPr="00BB0D27">
        <w:rPr>
          <w:noProof/>
        </w:rPr>
        <w:t xml:space="preserve"> </w:t>
      </w:r>
      <w:r w:rsidRPr="00B73D99">
        <w:rPr>
          <w:noProof/>
        </w:rPr>
        <w:t>ust.</w:t>
      </w:r>
      <w:r w:rsidR="00B73D99" w:rsidRPr="00B73D99">
        <w:rPr>
          <w:noProof/>
        </w:rPr>
        <w:t> </w:t>
      </w:r>
      <w:r w:rsidRPr="00B73D99">
        <w:rPr>
          <w:noProof/>
        </w:rPr>
        <w:t>1</w:t>
      </w:r>
      <w:r w:rsidRPr="00BB0D27">
        <w:rPr>
          <w:noProof/>
        </w:rPr>
        <w:t xml:space="preserve"> producent może wykonać obowiązek naprawy za darmo lub za określoną cenę. Jeżeli producent dokonuje naprawy za określoną cenę, takie usługi naprawcze mogą stać się dla niego dodatkowym źródłem przychodu, wobec czego miałby on interes</w:t>
      </w:r>
      <w:r w:rsidR="00B73D99" w:rsidRPr="00BB0D27">
        <w:rPr>
          <w:noProof/>
        </w:rPr>
        <w:t xml:space="preserve"> w</w:t>
      </w:r>
      <w:r w:rsidR="00B73D99">
        <w:rPr>
          <w:noProof/>
        </w:rPr>
        <w:t> </w:t>
      </w:r>
      <w:r w:rsidR="00B73D99" w:rsidRPr="00BB0D27">
        <w:rPr>
          <w:noProof/>
        </w:rPr>
        <w:t>uzg</w:t>
      </w:r>
      <w:r w:rsidRPr="00BB0D27">
        <w:rPr>
          <w:noProof/>
        </w:rPr>
        <w:t>odnieniu</w:t>
      </w:r>
      <w:r w:rsidR="00B73D99" w:rsidRPr="00BB0D27">
        <w:rPr>
          <w:noProof/>
        </w:rPr>
        <w:t xml:space="preserve"> z</w:t>
      </w:r>
      <w:r w:rsidR="00B73D99">
        <w:rPr>
          <w:noProof/>
        </w:rPr>
        <w:t> </w:t>
      </w:r>
      <w:r w:rsidR="00B73D99" w:rsidRPr="00BB0D27">
        <w:rPr>
          <w:noProof/>
        </w:rPr>
        <w:t>kon</w:t>
      </w:r>
      <w:r w:rsidRPr="00BB0D27">
        <w:rPr>
          <w:noProof/>
        </w:rPr>
        <w:t>sumentem ceny</w:t>
      </w:r>
      <w:r w:rsidR="00B73D99" w:rsidRPr="00BB0D27">
        <w:rPr>
          <w:noProof/>
        </w:rPr>
        <w:t xml:space="preserve"> w</w:t>
      </w:r>
      <w:r w:rsidR="00B73D99">
        <w:rPr>
          <w:noProof/>
        </w:rPr>
        <w:t> </w:t>
      </w:r>
      <w:r w:rsidR="00B73D99" w:rsidRPr="00BB0D27">
        <w:rPr>
          <w:noProof/>
        </w:rPr>
        <w:t>cel</w:t>
      </w:r>
      <w:r w:rsidRPr="00BB0D27">
        <w:rPr>
          <w:noProof/>
        </w:rPr>
        <w:t>u zawarcia umowy.Presja konkurencyjna ze strony innych podmiotów zajmujących się naprawą</w:t>
      </w:r>
      <w:r w:rsidR="00B73D99" w:rsidRPr="00BB0D27">
        <w:rPr>
          <w:noProof/>
        </w:rPr>
        <w:t xml:space="preserve"> z</w:t>
      </w:r>
      <w:r w:rsidR="00B73D99">
        <w:rPr>
          <w:noProof/>
        </w:rPr>
        <w:t> </w:t>
      </w:r>
      <w:r w:rsidR="00B73D99" w:rsidRPr="00BB0D27">
        <w:rPr>
          <w:noProof/>
        </w:rPr>
        <w:t>duż</w:t>
      </w:r>
      <w:r w:rsidRPr="00BB0D27">
        <w:rPr>
          <w:noProof/>
        </w:rPr>
        <w:t>ym prawdopodobieństwem utrzyma cenę na poziomie akceptowalnym dla konsumenta. Producent może mieć również interes</w:t>
      </w:r>
      <w:r w:rsidR="00B73D99" w:rsidRPr="00BB0D27">
        <w:rPr>
          <w:noProof/>
        </w:rPr>
        <w:t xml:space="preserve"> w</w:t>
      </w:r>
      <w:r w:rsidR="00B73D99">
        <w:rPr>
          <w:noProof/>
        </w:rPr>
        <w:t> </w:t>
      </w:r>
      <w:r w:rsidR="00B73D99" w:rsidRPr="00BB0D27">
        <w:rPr>
          <w:noProof/>
        </w:rPr>
        <w:t>wyk</w:t>
      </w:r>
      <w:r w:rsidRPr="00BB0D27">
        <w:rPr>
          <w:noProof/>
        </w:rPr>
        <w:t>onywaniu tego obowiązku za darmo</w:t>
      </w:r>
      <w:r w:rsidR="00B73D99" w:rsidRPr="00BB0D27">
        <w:rPr>
          <w:noProof/>
        </w:rPr>
        <w:t xml:space="preserve"> w</w:t>
      </w:r>
      <w:r w:rsidR="00B73D99">
        <w:rPr>
          <w:noProof/>
        </w:rPr>
        <w:t> </w:t>
      </w:r>
      <w:r w:rsidR="00B73D99" w:rsidRPr="00BB0D27">
        <w:rPr>
          <w:noProof/>
        </w:rPr>
        <w:t>ram</w:t>
      </w:r>
      <w:r w:rsidRPr="00BB0D27">
        <w:rPr>
          <w:noProof/>
        </w:rPr>
        <w:t>ach gwarancji handlowej na trwałość swoich produktów.</w:t>
      </w:r>
    </w:p>
    <w:p w:rsidR="00561C56" w:rsidRPr="00BB0D27" w:rsidRDefault="00561C56" w:rsidP="00561C56">
      <w:pPr>
        <w:spacing w:before="0" w:after="160" w:line="259" w:lineRule="auto"/>
        <w:rPr>
          <w:rFonts w:eastAsia="Calibri"/>
          <w:noProof/>
          <w:szCs w:val="24"/>
        </w:rPr>
      </w:pPr>
      <w:r w:rsidRPr="00BB0D27">
        <w:rPr>
          <w:noProof/>
        </w:rPr>
        <w:t>Producenta powinno się zwolnić</w:t>
      </w:r>
      <w:r w:rsidR="00B73D99" w:rsidRPr="00BB0D27">
        <w:rPr>
          <w:noProof/>
        </w:rPr>
        <w:t xml:space="preserve"> z</w:t>
      </w:r>
      <w:r w:rsidR="00B73D99">
        <w:rPr>
          <w:noProof/>
        </w:rPr>
        <w:t> </w:t>
      </w:r>
      <w:r w:rsidR="00B73D99" w:rsidRPr="00BB0D27">
        <w:rPr>
          <w:noProof/>
        </w:rPr>
        <w:t>obo</w:t>
      </w:r>
      <w:r w:rsidRPr="00BB0D27">
        <w:rPr>
          <w:noProof/>
        </w:rPr>
        <w:t>wiązku naprawy wyłącznie wówczas, gdy naprawa jest niemożliwa, na przykład jeżeli sposób uszkodzenia towarów technicznie uniemożliwia jej dokonanie (</w:t>
      </w:r>
      <w:r w:rsidRPr="00B73D99">
        <w:rPr>
          <w:noProof/>
        </w:rPr>
        <w:t>art.</w:t>
      </w:r>
      <w:r w:rsidR="00B73D99" w:rsidRPr="00B73D99">
        <w:rPr>
          <w:noProof/>
        </w:rPr>
        <w:t> </w:t>
      </w:r>
      <w:r w:rsidRPr="00B73D99">
        <w:rPr>
          <w:noProof/>
        </w:rPr>
        <w:t>5</w:t>
      </w:r>
      <w:r w:rsidRPr="00BB0D27">
        <w:rPr>
          <w:noProof/>
        </w:rPr>
        <w:t xml:space="preserve"> </w:t>
      </w:r>
      <w:r w:rsidRPr="00B73D99">
        <w:rPr>
          <w:noProof/>
        </w:rPr>
        <w:t>ust.</w:t>
      </w:r>
      <w:r w:rsidR="00B73D99" w:rsidRPr="00B73D99">
        <w:rPr>
          <w:noProof/>
        </w:rPr>
        <w:t> </w:t>
      </w:r>
      <w:r w:rsidRPr="00B73D99">
        <w:rPr>
          <w:noProof/>
        </w:rPr>
        <w:t>1</w:t>
      </w:r>
      <w:r w:rsidRPr="00BB0D27">
        <w:rPr>
          <w:noProof/>
        </w:rPr>
        <w:t xml:space="preserve"> zdanie drugie). </w:t>
      </w:r>
    </w:p>
    <w:p w:rsidR="00373B9D" w:rsidRPr="00BB0D27" w:rsidRDefault="00373B9D" w:rsidP="00561C56">
      <w:pPr>
        <w:spacing w:before="0" w:after="160" w:line="259" w:lineRule="auto"/>
        <w:rPr>
          <w:rFonts w:eastAsia="Calibri"/>
          <w:noProof/>
          <w:szCs w:val="24"/>
        </w:rPr>
      </w:pPr>
      <w:r w:rsidRPr="00BB0D27">
        <w:rPr>
          <w:noProof/>
        </w:rPr>
        <w:t xml:space="preserve">W </w:t>
      </w:r>
      <w:r w:rsidRPr="00B73D99">
        <w:rPr>
          <w:noProof/>
        </w:rPr>
        <w:t>art.</w:t>
      </w:r>
      <w:r w:rsidR="00B73D99" w:rsidRPr="00B73D99">
        <w:rPr>
          <w:noProof/>
        </w:rPr>
        <w:t> </w:t>
      </w:r>
      <w:r w:rsidRPr="00B73D99">
        <w:rPr>
          <w:noProof/>
        </w:rPr>
        <w:t>5</w:t>
      </w:r>
      <w:r w:rsidRPr="00BB0D27">
        <w:rPr>
          <w:noProof/>
        </w:rPr>
        <w:t xml:space="preserve"> </w:t>
      </w:r>
      <w:r w:rsidRPr="00B73D99">
        <w:rPr>
          <w:noProof/>
        </w:rPr>
        <w:t>ust.</w:t>
      </w:r>
      <w:r w:rsidR="00B73D99" w:rsidRPr="00B73D99">
        <w:rPr>
          <w:noProof/>
        </w:rPr>
        <w:t> </w:t>
      </w:r>
      <w:r w:rsidRPr="00B73D99">
        <w:rPr>
          <w:noProof/>
        </w:rPr>
        <w:t>2</w:t>
      </w:r>
      <w:r w:rsidRPr="00BB0D27">
        <w:rPr>
          <w:noProof/>
        </w:rPr>
        <w:t xml:space="preserve"> uregulowano sytuację,</w:t>
      </w:r>
      <w:r w:rsidR="00B73D99" w:rsidRPr="00BB0D27">
        <w:rPr>
          <w:noProof/>
        </w:rPr>
        <w:t xml:space="preserve"> w</w:t>
      </w:r>
      <w:r w:rsidR="00B73D99">
        <w:rPr>
          <w:noProof/>
        </w:rPr>
        <w:t> </w:t>
      </w:r>
      <w:r w:rsidR="00B73D99" w:rsidRPr="00BB0D27">
        <w:rPr>
          <w:noProof/>
        </w:rPr>
        <w:t>któ</w:t>
      </w:r>
      <w:r w:rsidRPr="00BB0D27">
        <w:rPr>
          <w:noProof/>
        </w:rPr>
        <w:t>rej konsumenci nabywają towar od producenta</w:t>
      </w:r>
      <w:r w:rsidR="00B73D99" w:rsidRPr="00BB0D27">
        <w:rPr>
          <w:noProof/>
        </w:rPr>
        <w:t xml:space="preserve"> z</w:t>
      </w:r>
      <w:r w:rsidR="00B73D99">
        <w:rPr>
          <w:noProof/>
        </w:rPr>
        <w:t> </w:t>
      </w:r>
      <w:r w:rsidR="00B73D99" w:rsidRPr="00BB0D27">
        <w:rPr>
          <w:noProof/>
        </w:rPr>
        <w:t>pań</w:t>
      </w:r>
      <w:r w:rsidRPr="00BB0D27">
        <w:rPr>
          <w:noProof/>
        </w:rPr>
        <w:t>stwa trzeciego mającego siedzibę poza Unią. Zapewniono</w:t>
      </w:r>
      <w:r w:rsidR="00B73D99" w:rsidRPr="00BB0D27">
        <w:rPr>
          <w:noProof/>
        </w:rPr>
        <w:t xml:space="preserve"> w</w:t>
      </w:r>
      <w:r w:rsidR="00B73D99">
        <w:rPr>
          <w:noProof/>
        </w:rPr>
        <w:t> </w:t>
      </w:r>
      <w:r w:rsidR="00B73D99" w:rsidRPr="00BB0D27">
        <w:rPr>
          <w:noProof/>
        </w:rPr>
        <w:t>nim</w:t>
      </w:r>
      <w:r w:rsidRPr="00BB0D27">
        <w:rPr>
          <w:noProof/>
        </w:rPr>
        <w:t xml:space="preserve"> pewność prawa dla producentów</w:t>
      </w:r>
      <w:r w:rsidR="00B73D99" w:rsidRPr="00BB0D27">
        <w:rPr>
          <w:noProof/>
        </w:rPr>
        <w:t xml:space="preserve"> z</w:t>
      </w:r>
      <w:r w:rsidR="00B73D99">
        <w:rPr>
          <w:noProof/>
        </w:rPr>
        <w:t> </w:t>
      </w:r>
      <w:r w:rsidR="00B73D99" w:rsidRPr="00BB0D27">
        <w:rPr>
          <w:noProof/>
        </w:rPr>
        <w:t>pań</w:t>
      </w:r>
      <w:r w:rsidRPr="00BB0D27">
        <w:rPr>
          <w:noProof/>
        </w:rPr>
        <w:t>stw trzecich, określając</w:t>
      </w:r>
      <w:r w:rsidR="00B73D99" w:rsidRPr="00BB0D27">
        <w:rPr>
          <w:noProof/>
        </w:rPr>
        <w:t xml:space="preserve"> w</w:t>
      </w:r>
      <w:r w:rsidR="00B73D99">
        <w:rPr>
          <w:noProof/>
        </w:rPr>
        <w:t> </w:t>
      </w:r>
      <w:r w:rsidR="00B73D99" w:rsidRPr="00BB0D27">
        <w:rPr>
          <w:noProof/>
        </w:rPr>
        <w:t>jak</w:t>
      </w:r>
      <w:r w:rsidRPr="00BB0D27">
        <w:rPr>
          <w:noProof/>
        </w:rPr>
        <w:t>i sposób mogą oni zachować zgodność</w:t>
      </w:r>
      <w:r w:rsidR="00B73D99" w:rsidRPr="00BB0D27">
        <w:rPr>
          <w:noProof/>
        </w:rPr>
        <w:t xml:space="preserve"> z</w:t>
      </w:r>
      <w:r w:rsidR="00B73D99">
        <w:rPr>
          <w:noProof/>
        </w:rPr>
        <w:t> </w:t>
      </w:r>
      <w:r w:rsidR="00B73D99" w:rsidRPr="00BB0D27">
        <w:rPr>
          <w:noProof/>
        </w:rPr>
        <w:t>obo</w:t>
      </w:r>
      <w:r w:rsidRPr="00BB0D27">
        <w:rPr>
          <w:noProof/>
        </w:rPr>
        <w:t>wiązkiem naprawy przy sprzedaży</w:t>
      </w:r>
      <w:r w:rsidRPr="00BB0D27">
        <w:rPr>
          <w:noProof/>
          <w:color w:val="498205"/>
          <w:sz w:val="27"/>
          <w:shd w:val="clear" w:color="auto" w:fill="FFFFFF"/>
        </w:rPr>
        <w:t xml:space="preserve"> </w:t>
      </w:r>
      <w:r w:rsidRPr="00BB0D27">
        <w:rPr>
          <w:noProof/>
        </w:rPr>
        <w:t>towarów nabywanych przez konsumentów</w:t>
      </w:r>
      <w:r w:rsidR="00B73D99" w:rsidRPr="00BB0D27">
        <w:rPr>
          <w:noProof/>
        </w:rPr>
        <w:t xml:space="preserve"> w</w:t>
      </w:r>
      <w:r w:rsidR="00B73D99">
        <w:rPr>
          <w:noProof/>
        </w:rPr>
        <w:t> </w:t>
      </w:r>
      <w:r w:rsidR="00B73D99" w:rsidRPr="00BB0D27">
        <w:rPr>
          <w:noProof/>
        </w:rPr>
        <w:t>Uni</w:t>
      </w:r>
      <w:r w:rsidRPr="00BB0D27">
        <w:rPr>
          <w:noProof/>
        </w:rPr>
        <w:t>i. Zapewniono</w:t>
      </w:r>
      <w:r w:rsidR="00B73D99" w:rsidRPr="00BB0D27">
        <w:rPr>
          <w:noProof/>
        </w:rPr>
        <w:t xml:space="preserve"> w</w:t>
      </w:r>
      <w:r w:rsidR="00B73D99">
        <w:rPr>
          <w:noProof/>
        </w:rPr>
        <w:t> </w:t>
      </w:r>
      <w:r w:rsidR="00B73D99" w:rsidRPr="00BB0D27">
        <w:rPr>
          <w:noProof/>
        </w:rPr>
        <w:t>nim</w:t>
      </w:r>
      <w:r w:rsidRPr="00BB0D27">
        <w:rPr>
          <w:noProof/>
        </w:rPr>
        <w:t xml:space="preserve"> również pewność prawa dla konsumentów, określając do których podmiotów gospodarczych</w:t>
      </w:r>
      <w:r w:rsidR="00B73D99" w:rsidRPr="00BB0D27">
        <w:rPr>
          <w:noProof/>
        </w:rPr>
        <w:t xml:space="preserve"> w</w:t>
      </w:r>
      <w:r w:rsidR="00B73D99">
        <w:rPr>
          <w:noProof/>
        </w:rPr>
        <w:t> </w:t>
      </w:r>
      <w:r w:rsidR="00B73D99" w:rsidRPr="00BB0D27">
        <w:rPr>
          <w:noProof/>
        </w:rPr>
        <w:t>Uni</w:t>
      </w:r>
      <w:r w:rsidRPr="00BB0D27">
        <w:rPr>
          <w:noProof/>
        </w:rPr>
        <w:t>i mogą się oni zwrócić</w:t>
      </w:r>
      <w:r w:rsidR="00B73D99" w:rsidRPr="00BB0D27">
        <w:rPr>
          <w:noProof/>
        </w:rPr>
        <w:t xml:space="preserve"> w</w:t>
      </w:r>
      <w:r w:rsidR="00B73D99">
        <w:rPr>
          <w:noProof/>
        </w:rPr>
        <w:t> </w:t>
      </w:r>
      <w:r w:rsidR="00B73D99" w:rsidRPr="00BB0D27">
        <w:rPr>
          <w:noProof/>
        </w:rPr>
        <w:t>zwi</w:t>
      </w:r>
      <w:r w:rsidRPr="00BB0D27">
        <w:rPr>
          <w:noProof/>
        </w:rPr>
        <w:t>ązku</w:t>
      </w:r>
      <w:r w:rsidR="00B73D99" w:rsidRPr="00BB0D27">
        <w:rPr>
          <w:noProof/>
        </w:rPr>
        <w:t xml:space="preserve"> z</w:t>
      </w:r>
      <w:r w:rsidR="00B73D99">
        <w:rPr>
          <w:noProof/>
        </w:rPr>
        <w:t> </w:t>
      </w:r>
      <w:r w:rsidR="00B73D99" w:rsidRPr="00BB0D27">
        <w:rPr>
          <w:noProof/>
        </w:rPr>
        <w:t>obo</w:t>
      </w:r>
      <w:r w:rsidRPr="00BB0D27">
        <w:rPr>
          <w:noProof/>
        </w:rPr>
        <w:t>wiązkiem naprawy spoczywającym na producentach</w:t>
      </w:r>
      <w:r w:rsidR="00B73D99" w:rsidRPr="00BB0D27">
        <w:rPr>
          <w:noProof/>
        </w:rPr>
        <w:t xml:space="preserve"> z</w:t>
      </w:r>
      <w:r w:rsidR="00B73D99">
        <w:rPr>
          <w:noProof/>
        </w:rPr>
        <w:t> </w:t>
      </w:r>
      <w:r w:rsidR="00B73D99" w:rsidRPr="00BB0D27">
        <w:rPr>
          <w:noProof/>
        </w:rPr>
        <w:t>pań</w:t>
      </w:r>
      <w:r w:rsidRPr="00BB0D27">
        <w:rPr>
          <w:noProof/>
        </w:rPr>
        <w:t>stw trzecich.</w:t>
      </w:r>
    </w:p>
    <w:p w:rsidR="00561C56" w:rsidRPr="00BB0D27" w:rsidRDefault="00373B9D" w:rsidP="00561C56">
      <w:pPr>
        <w:spacing w:before="0" w:after="160" w:line="259" w:lineRule="auto"/>
        <w:rPr>
          <w:rFonts w:eastAsia="Calibri"/>
          <w:noProof/>
          <w:szCs w:val="24"/>
        </w:rPr>
      </w:pPr>
      <w:r w:rsidRPr="00BB0D27">
        <w:rPr>
          <w:noProof/>
        </w:rPr>
        <w:t>W celu aktualizowania treści zawartych</w:t>
      </w:r>
      <w:r w:rsidR="00B73D99" w:rsidRPr="00BB0D27">
        <w:rPr>
          <w:noProof/>
        </w:rPr>
        <w:t xml:space="preserve"> w</w:t>
      </w:r>
      <w:r w:rsidR="00B73D99">
        <w:rPr>
          <w:noProof/>
        </w:rPr>
        <w:t> </w:t>
      </w:r>
      <w:r w:rsidR="00B73D99" w:rsidRPr="00BB0D27">
        <w:rPr>
          <w:noProof/>
        </w:rPr>
        <w:t>zał</w:t>
      </w:r>
      <w:r w:rsidRPr="00BB0D27">
        <w:rPr>
          <w:noProof/>
        </w:rPr>
        <w:t>ączniku II</w:t>
      </w:r>
      <w:r w:rsidR="00B73D99" w:rsidRPr="00BB0D27">
        <w:rPr>
          <w:noProof/>
        </w:rPr>
        <w:t xml:space="preserve"> w</w:t>
      </w:r>
      <w:r w:rsidR="00B73D99">
        <w:rPr>
          <w:noProof/>
        </w:rPr>
        <w:t> </w:t>
      </w:r>
      <w:r w:rsidR="00B73D99" w:rsidRPr="00B73D99">
        <w:rPr>
          <w:noProof/>
        </w:rPr>
        <w:t>art</w:t>
      </w:r>
      <w:r w:rsidRPr="00B73D99">
        <w:rPr>
          <w:noProof/>
        </w:rPr>
        <w:t>.</w:t>
      </w:r>
      <w:r w:rsidR="00B73D99" w:rsidRPr="00B73D99">
        <w:rPr>
          <w:noProof/>
        </w:rPr>
        <w:t> </w:t>
      </w:r>
      <w:r w:rsidRPr="00B73D99">
        <w:rPr>
          <w:noProof/>
        </w:rPr>
        <w:t>5</w:t>
      </w:r>
      <w:r w:rsidRPr="00BB0D27">
        <w:rPr>
          <w:noProof/>
        </w:rPr>
        <w:t xml:space="preserve"> </w:t>
      </w:r>
      <w:r w:rsidRPr="00B73D99">
        <w:rPr>
          <w:noProof/>
        </w:rPr>
        <w:t>ust.</w:t>
      </w:r>
      <w:r w:rsidR="00B73D99" w:rsidRPr="00B73D99">
        <w:rPr>
          <w:noProof/>
        </w:rPr>
        <w:t> </w:t>
      </w:r>
      <w:r w:rsidRPr="00B73D99">
        <w:rPr>
          <w:noProof/>
        </w:rPr>
        <w:t>4</w:t>
      </w:r>
      <w:r w:rsidRPr="00BB0D27">
        <w:rPr>
          <w:noProof/>
        </w:rPr>
        <w:t xml:space="preserve"> wprowadzono uprawnienie Komisji do przyjmowania aktów delegowanych zmieniających załącznik II, na przykład poprzez dodanie do niego nowych grup produktów</w:t>
      </w:r>
      <w:r w:rsidR="00B73D99" w:rsidRPr="00BB0D27">
        <w:rPr>
          <w:noProof/>
        </w:rPr>
        <w:t xml:space="preserve"> w</w:t>
      </w:r>
      <w:r w:rsidR="00B73D99">
        <w:rPr>
          <w:noProof/>
        </w:rPr>
        <w:t> </w:t>
      </w:r>
      <w:r w:rsidR="00B73D99" w:rsidRPr="00BB0D27">
        <w:rPr>
          <w:noProof/>
        </w:rPr>
        <w:t>prz</w:t>
      </w:r>
      <w:r w:rsidRPr="00BB0D27">
        <w:rPr>
          <w:noProof/>
        </w:rPr>
        <w:t>ypadku przyjęcia</w:t>
      </w:r>
      <w:r w:rsidR="00B73D99" w:rsidRPr="00BB0D27">
        <w:rPr>
          <w:noProof/>
        </w:rPr>
        <w:t xml:space="preserve"> w</w:t>
      </w:r>
      <w:r w:rsidR="00B73D99">
        <w:rPr>
          <w:noProof/>
        </w:rPr>
        <w:t> </w:t>
      </w:r>
      <w:r w:rsidR="00B73D99" w:rsidRPr="00BB0D27">
        <w:rPr>
          <w:noProof/>
        </w:rPr>
        <w:t>akt</w:t>
      </w:r>
      <w:r w:rsidRPr="00BB0D27">
        <w:rPr>
          <w:noProof/>
        </w:rPr>
        <w:t>ach prawnych Unii nowych wymogów dotyczących możliwości naprawy. Uprawnienie Komisji do przyjmowania aktów delegowanych zapewni możliwość włączenia do załącznika II wszystkich odpowiednich przyszłych wymogów dotyczących możliwości naprawy.</w:t>
      </w:r>
    </w:p>
    <w:p w:rsidR="00561C56" w:rsidRPr="00BB0D27" w:rsidRDefault="008845F7" w:rsidP="00561C56">
      <w:pPr>
        <w:spacing w:before="0" w:after="160" w:line="259" w:lineRule="auto"/>
        <w:jc w:val="left"/>
        <w:rPr>
          <w:rFonts w:eastAsia="Calibri"/>
          <w:b/>
          <w:noProof/>
          <w:szCs w:val="24"/>
        </w:rPr>
      </w:pPr>
      <w:r w:rsidRPr="00BB0D27">
        <w:rPr>
          <w:b/>
          <w:noProof/>
        </w:rPr>
        <w:t>Artykuł 6: Informowanie</w:t>
      </w:r>
      <w:r w:rsidR="00B73D99" w:rsidRPr="00BB0D27">
        <w:rPr>
          <w:b/>
          <w:noProof/>
        </w:rPr>
        <w:t xml:space="preserve"> o</w:t>
      </w:r>
      <w:r w:rsidR="00B73D99">
        <w:rPr>
          <w:b/>
          <w:noProof/>
        </w:rPr>
        <w:t> </w:t>
      </w:r>
      <w:r w:rsidR="00B73D99" w:rsidRPr="00BB0D27">
        <w:rPr>
          <w:b/>
          <w:noProof/>
        </w:rPr>
        <w:t>obo</w:t>
      </w:r>
      <w:r w:rsidRPr="00BB0D27">
        <w:rPr>
          <w:b/>
          <w:noProof/>
        </w:rPr>
        <w:t>wiązku naprawy</w:t>
      </w:r>
    </w:p>
    <w:p w:rsidR="00561C56" w:rsidRPr="00BB0D27" w:rsidRDefault="00373B9D" w:rsidP="00561C56">
      <w:pPr>
        <w:spacing w:before="0" w:after="160" w:line="259" w:lineRule="auto"/>
        <w:rPr>
          <w:rFonts w:eastAsia="Calibri"/>
          <w:noProof/>
          <w:szCs w:val="24"/>
        </w:rPr>
      </w:pPr>
      <w:r w:rsidRPr="00BB0D27">
        <w:rPr>
          <w:noProof/>
        </w:rPr>
        <w:t xml:space="preserve">Jeżeli producenci są zobowiązani do naprawy towarów na podstawie </w:t>
      </w:r>
      <w:r w:rsidRPr="00B73D99">
        <w:rPr>
          <w:noProof/>
        </w:rPr>
        <w:t>art.</w:t>
      </w:r>
      <w:r w:rsidR="00B73D99" w:rsidRPr="00B73D99">
        <w:rPr>
          <w:noProof/>
        </w:rPr>
        <w:t> </w:t>
      </w:r>
      <w:r w:rsidRPr="00B73D99">
        <w:rPr>
          <w:noProof/>
        </w:rPr>
        <w:t>5</w:t>
      </w:r>
      <w:r w:rsidRPr="00BB0D27">
        <w:rPr>
          <w:noProof/>
        </w:rPr>
        <w:t>, muszą poinformować konsumentów</w:t>
      </w:r>
      <w:r w:rsidR="00B73D99" w:rsidRPr="00BB0D27">
        <w:rPr>
          <w:noProof/>
        </w:rPr>
        <w:t xml:space="preserve"> o</w:t>
      </w:r>
      <w:r w:rsidR="00B73D99">
        <w:rPr>
          <w:noProof/>
        </w:rPr>
        <w:t> </w:t>
      </w:r>
      <w:r w:rsidR="00B73D99" w:rsidRPr="00BB0D27">
        <w:rPr>
          <w:noProof/>
        </w:rPr>
        <w:t>tym</w:t>
      </w:r>
      <w:r w:rsidRPr="00BB0D27">
        <w:rPr>
          <w:noProof/>
        </w:rPr>
        <w:t xml:space="preserve"> obowiązku</w:t>
      </w:r>
      <w:r w:rsidR="00B73D99" w:rsidRPr="00BB0D27">
        <w:rPr>
          <w:noProof/>
        </w:rPr>
        <w:t xml:space="preserve"> i</w:t>
      </w:r>
      <w:r w:rsidR="00B73D99">
        <w:rPr>
          <w:noProof/>
        </w:rPr>
        <w:t> </w:t>
      </w:r>
      <w:r w:rsidR="00B73D99" w:rsidRPr="00BB0D27">
        <w:rPr>
          <w:noProof/>
        </w:rPr>
        <w:t>dos</w:t>
      </w:r>
      <w:r w:rsidRPr="00BB0D27">
        <w:rPr>
          <w:noProof/>
        </w:rPr>
        <w:t>tarczyć im informacje na temat usług naprawczych (</w:t>
      </w:r>
      <w:r w:rsidRPr="00B73D99">
        <w:rPr>
          <w:noProof/>
        </w:rPr>
        <w:t>art.</w:t>
      </w:r>
      <w:r w:rsidR="00B73D99" w:rsidRPr="00B73D99">
        <w:rPr>
          <w:noProof/>
        </w:rPr>
        <w:t> </w:t>
      </w:r>
      <w:r w:rsidRPr="00B73D99">
        <w:rPr>
          <w:noProof/>
        </w:rPr>
        <w:t>6</w:t>
      </w:r>
      <w:r w:rsidRPr="00BB0D27">
        <w:rPr>
          <w:noProof/>
        </w:rPr>
        <w:t>). Taki obowiązek informacyjny ma na celu zapewnienie, aby konsumenci mieli świadomość istnienia obowiązku naprawy, co zwiększy prawdopodobieństwo wykonania naprawy</w:t>
      </w:r>
      <w:r w:rsidR="00B73D99" w:rsidRPr="00BB0D27">
        <w:rPr>
          <w:noProof/>
        </w:rPr>
        <w:t>. W</w:t>
      </w:r>
      <w:r w:rsidR="00B73D99">
        <w:rPr>
          <w:noProof/>
        </w:rPr>
        <w:t> </w:t>
      </w:r>
      <w:r w:rsidR="00B73D99" w:rsidRPr="00B73D99">
        <w:rPr>
          <w:noProof/>
        </w:rPr>
        <w:t>art</w:t>
      </w:r>
      <w:r w:rsidRPr="00B73D99">
        <w:rPr>
          <w:noProof/>
        </w:rPr>
        <w:t>.</w:t>
      </w:r>
      <w:r w:rsidR="00B73D99" w:rsidRPr="00B73D99">
        <w:rPr>
          <w:noProof/>
        </w:rPr>
        <w:t> </w:t>
      </w:r>
      <w:r w:rsidRPr="00B73D99">
        <w:rPr>
          <w:noProof/>
        </w:rPr>
        <w:t>6</w:t>
      </w:r>
      <w:r w:rsidRPr="00BB0D27">
        <w:rPr>
          <w:noProof/>
        </w:rPr>
        <w:t xml:space="preserve"> dopuszcza się elastyczność co do sposobu udostępniania informacji,</w:t>
      </w:r>
      <w:r w:rsidR="00B73D99" w:rsidRPr="00BB0D27">
        <w:rPr>
          <w:noProof/>
        </w:rPr>
        <w:t xml:space="preserve"> o</w:t>
      </w:r>
      <w:r w:rsidR="00B73D99">
        <w:rPr>
          <w:noProof/>
        </w:rPr>
        <w:t> </w:t>
      </w:r>
      <w:r w:rsidR="00B73D99" w:rsidRPr="00BB0D27">
        <w:rPr>
          <w:noProof/>
        </w:rPr>
        <w:t>ile</w:t>
      </w:r>
      <w:r w:rsidRPr="00BB0D27">
        <w:rPr>
          <w:noProof/>
        </w:rPr>
        <w:t xml:space="preserve"> producent udostępni je</w:t>
      </w:r>
      <w:r w:rsidR="00B73D99" w:rsidRPr="00BB0D27">
        <w:rPr>
          <w:noProof/>
        </w:rPr>
        <w:t xml:space="preserve"> w</w:t>
      </w:r>
      <w:r w:rsidR="00B73D99">
        <w:rPr>
          <w:noProof/>
        </w:rPr>
        <w:t> </w:t>
      </w:r>
      <w:r w:rsidR="00B73D99" w:rsidRPr="00BB0D27">
        <w:rPr>
          <w:noProof/>
          <w:color w:val="000000"/>
        </w:rPr>
        <w:t>jas</w:t>
      </w:r>
      <w:r w:rsidRPr="00BB0D27">
        <w:rPr>
          <w:noProof/>
          <w:color w:val="000000"/>
        </w:rPr>
        <w:t>ny</w:t>
      </w:r>
      <w:r w:rsidR="00B73D99" w:rsidRPr="00BB0D27">
        <w:rPr>
          <w:noProof/>
          <w:color w:val="000000"/>
        </w:rPr>
        <w:t xml:space="preserve"> i</w:t>
      </w:r>
      <w:r w:rsidR="00B73D99">
        <w:rPr>
          <w:noProof/>
          <w:color w:val="000000"/>
        </w:rPr>
        <w:t> </w:t>
      </w:r>
      <w:r w:rsidR="00B73D99" w:rsidRPr="00BB0D27">
        <w:rPr>
          <w:noProof/>
          <w:color w:val="000000"/>
        </w:rPr>
        <w:t>zro</w:t>
      </w:r>
      <w:r w:rsidRPr="00BB0D27">
        <w:rPr>
          <w:noProof/>
          <w:color w:val="000000"/>
        </w:rPr>
        <w:t>zumiały sposób.</w:t>
      </w:r>
    </w:p>
    <w:p w:rsidR="00561C56" w:rsidRPr="00BB0D27" w:rsidRDefault="008845F7" w:rsidP="00561C56">
      <w:pPr>
        <w:spacing w:before="0" w:after="160" w:line="259" w:lineRule="auto"/>
        <w:jc w:val="left"/>
        <w:rPr>
          <w:rFonts w:eastAsia="Calibri"/>
          <w:b/>
          <w:noProof/>
          <w:szCs w:val="24"/>
        </w:rPr>
      </w:pPr>
      <w:r w:rsidRPr="00BB0D27">
        <w:rPr>
          <w:b/>
          <w:noProof/>
        </w:rPr>
        <w:t>Artykuł 7: Platforma internetowa dotycząca napraw</w:t>
      </w:r>
      <w:r w:rsidR="00B73D99" w:rsidRPr="00BB0D27">
        <w:rPr>
          <w:b/>
          <w:noProof/>
        </w:rPr>
        <w:t xml:space="preserve"> i</w:t>
      </w:r>
      <w:r w:rsidR="00B73D99">
        <w:rPr>
          <w:b/>
          <w:noProof/>
        </w:rPr>
        <w:t> </w:t>
      </w:r>
      <w:r w:rsidR="00B73D99" w:rsidRPr="00BB0D27">
        <w:rPr>
          <w:b/>
          <w:noProof/>
        </w:rPr>
        <w:t>tow</w:t>
      </w:r>
      <w:r w:rsidRPr="00BB0D27">
        <w:rPr>
          <w:b/>
          <w:noProof/>
        </w:rPr>
        <w:t>arów nadających się do odnowienia</w:t>
      </w:r>
    </w:p>
    <w:p w:rsidR="00561C56" w:rsidRPr="00BB0D27" w:rsidRDefault="008845F7" w:rsidP="00561C56">
      <w:pPr>
        <w:spacing w:before="0" w:after="160" w:line="259" w:lineRule="auto"/>
        <w:rPr>
          <w:rFonts w:eastAsia="Calibri"/>
          <w:noProof/>
          <w:szCs w:val="24"/>
        </w:rPr>
      </w:pPr>
      <w:r w:rsidRPr="00BB0D27">
        <w:rPr>
          <w:noProof/>
        </w:rPr>
        <w:t xml:space="preserve">W </w:t>
      </w:r>
      <w:r w:rsidRPr="00B73D99">
        <w:rPr>
          <w:noProof/>
        </w:rPr>
        <w:t>art.</w:t>
      </w:r>
      <w:r w:rsidR="00B73D99" w:rsidRPr="00B73D99">
        <w:rPr>
          <w:noProof/>
        </w:rPr>
        <w:t> </w:t>
      </w:r>
      <w:r w:rsidRPr="00B73D99">
        <w:rPr>
          <w:noProof/>
        </w:rPr>
        <w:t>7</w:t>
      </w:r>
      <w:r w:rsidRPr="00BB0D27">
        <w:rPr>
          <w:noProof/>
        </w:rPr>
        <w:t xml:space="preserve"> zobowiązuje się państwa członkowskie do zapewnienia przynajmniej jednej krajowej platformy łączącej konsumentów</w:t>
      </w:r>
      <w:r w:rsidR="00B73D99" w:rsidRPr="00BB0D27">
        <w:rPr>
          <w:noProof/>
        </w:rPr>
        <w:t xml:space="preserve"> z</w:t>
      </w:r>
      <w:r w:rsidR="00B73D99">
        <w:rPr>
          <w:noProof/>
        </w:rPr>
        <w:t> </w:t>
      </w:r>
      <w:r w:rsidR="00B73D99" w:rsidRPr="00BB0D27">
        <w:rPr>
          <w:noProof/>
        </w:rPr>
        <w:t>pod</w:t>
      </w:r>
      <w:r w:rsidRPr="00BB0D27">
        <w:rPr>
          <w:noProof/>
        </w:rPr>
        <w:t>miotami zajmującymi się naprawą. Pomoże to konsumentom</w:t>
      </w:r>
      <w:r w:rsidR="00B73D99" w:rsidRPr="00BB0D27">
        <w:rPr>
          <w:noProof/>
        </w:rPr>
        <w:t xml:space="preserve"> w</w:t>
      </w:r>
      <w:r w:rsidR="00B73D99">
        <w:rPr>
          <w:noProof/>
        </w:rPr>
        <w:t> </w:t>
      </w:r>
      <w:r w:rsidR="00B73D99" w:rsidRPr="00BB0D27">
        <w:rPr>
          <w:noProof/>
        </w:rPr>
        <w:t>dok</w:t>
      </w:r>
      <w:r w:rsidRPr="00BB0D27">
        <w:rPr>
          <w:noProof/>
        </w:rPr>
        <w:t>onaniu oceny</w:t>
      </w:r>
      <w:r w:rsidR="00B73D99" w:rsidRPr="00BB0D27">
        <w:rPr>
          <w:noProof/>
        </w:rPr>
        <w:t xml:space="preserve"> i</w:t>
      </w:r>
      <w:r w:rsidR="00B73D99">
        <w:rPr>
          <w:noProof/>
        </w:rPr>
        <w:t> </w:t>
      </w:r>
      <w:r w:rsidR="00B73D99" w:rsidRPr="00BB0D27">
        <w:rPr>
          <w:noProof/>
        </w:rPr>
        <w:t>por</w:t>
      </w:r>
      <w:r w:rsidRPr="00BB0D27">
        <w:rPr>
          <w:noProof/>
        </w:rPr>
        <w:t>ównaniu zalet poszczególnych usług naprawczych, zachęcając</w:t>
      </w:r>
      <w:r w:rsidRPr="00BB0D27">
        <w:rPr>
          <w:noProof/>
          <w:color w:val="D13438"/>
          <w:sz w:val="27"/>
          <w:shd w:val="clear" w:color="auto" w:fill="FFFFFF"/>
        </w:rPr>
        <w:t xml:space="preserve"> </w:t>
      </w:r>
      <w:r w:rsidRPr="00BB0D27">
        <w:rPr>
          <w:noProof/>
        </w:rPr>
        <w:t>ich tym samym do wyboru naprawy zamiast nabywania nowych towarów. Jeżeli istnieje już odpowiednia krajowa platforma spełniająca warunki określone</w:t>
      </w:r>
      <w:r w:rsidR="00B73D99" w:rsidRPr="00BB0D27">
        <w:rPr>
          <w:noProof/>
        </w:rPr>
        <w:t xml:space="preserve"> w</w:t>
      </w:r>
      <w:r w:rsidR="00B73D99">
        <w:rPr>
          <w:noProof/>
        </w:rPr>
        <w:t> </w:t>
      </w:r>
      <w:r w:rsidR="00B73D99" w:rsidRPr="00BB0D27">
        <w:rPr>
          <w:noProof/>
        </w:rPr>
        <w:t>nin</w:t>
      </w:r>
      <w:r w:rsidRPr="00BB0D27">
        <w:rPr>
          <w:noProof/>
        </w:rPr>
        <w:t xml:space="preserve">iejszej dyrektywie, nie należy wymagać od państw członkowskich tworzenia nowych platform. </w:t>
      </w:r>
    </w:p>
    <w:p w:rsidR="00561C56" w:rsidRPr="00BB0D27" w:rsidRDefault="00561C56" w:rsidP="00561C56">
      <w:pPr>
        <w:spacing w:before="0" w:after="160" w:line="259" w:lineRule="auto"/>
        <w:rPr>
          <w:rFonts w:eastAsia="Calibri"/>
          <w:noProof/>
          <w:szCs w:val="24"/>
        </w:rPr>
      </w:pPr>
      <w:r w:rsidRPr="00BB0D27">
        <w:rPr>
          <w:noProof/>
        </w:rPr>
        <w:t xml:space="preserve">W </w:t>
      </w:r>
      <w:r w:rsidRPr="00B73D99">
        <w:rPr>
          <w:noProof/>
        </w:rPr>
        <w:t>art.</w:t>
      </w:r>
      <w:r w:rsidR="00B73D99" w:rsidRPr="00B73D99">
        <w:rPr>
          <w:noProof/>
        </w:rPr>
        <w:t> </w:t>
      </w:r>
      <w:r w:rsidRPr="00B73D99">
        <w:rPr>
          <w:noProof/>
        </w:rPr>
        <w:t>7</w:t>
      </w:r>
      <w:r w:rsidRPr="00BB0D27">
        <w:rPr>
          <w:noProof/>
        </w:rPr>
        <w:t xml:space="preserve"> </w:t>
      </w:r>
      <w:r w:rsidRPr="00B73D99">
        <w:rPr>
          <w:noProof/>
        </w:rPr>
        <w:t>ust.</w:t>
      </w:r>
      <w:r w:rsidR="00B73D99" w:rsidRPr="00B73D99">
        <w:rPr>
          <w:noProof/>
        </w:rPr>
        <w:t> </w:t>
      </w:r>
      <w:r w:rsidRPr="00B73D99">
        <w:rPr>
          <w:noProof/>
        </w:rPr>
        <w:t>1</w:t>
      </w:r>
      <w:r w:rsidRPr="00BB0D27">
        <w:rPr>
          <w:noProof/>
        </w:rPr>
        <w:t xml:space="preserve"> określono szereg wymogów, jakie musi spełniać krajowa platforma. Po pierwsze, platforma powinna zawierać </w:t>
      </w:r>
      <w:r w:rsidRPr="00BB0D27">
        <w:rPr>
          <w:noProof/>
          <w:color w:val="000000"/>
        </w:rPr>
        <w:t>funkcje wyszukiwania towarów, lokalizację usług naprawczych</w:t>
      </w:r>
      <w:r w:rsidR="00B73D99" w:rsidRPr="00BB0D27">
        <w:rPr>
          <w:noProof/>
          <w:color w:val="000000"/>
        </w:rPr>
        <w:t xml:space="preserve"> i</w:t>
      </w:r>
      <w:r w:rsidR="00B73D99">
        <w:rPr>
          <w:noProof/>
          <w:color w:val="000000"/>
        </w:rPr>
        <w:t> </w:t>
      </w:r>
      <w:r w:rsidR="00B73D99" w:rsidRPr="00BB0D27">
        <w:rPr>
          <w:noProof/>
          <w:color w:val="000000"/>
        </w:rPr>
        <w:t>war</w:t>
      </w:r>
      <w:r w:rsidRPr="00BB0D27">
        <w:rPr>
          <w:noProof/>
          <w:color w:val="000000"/>
        </w:rPr>
        <w:t>unki naprawy, na przykład czas potrzebny na dokonanie naprawy, dostępność tymczasowych towarów zastępczych, usługi dodatkowe</w:t>
      </w:r>
      <w:r w:rsidR="00B73D99" w:rsidRPr="00BB0D27">
        <w:rPr>
          <w:noProof/>
          <w:color w:val="000000"/>
        </w:rPr>
        <w:t xml:space="preserve"> i</w:t>
      </w:r>
      <w:r w:rsidR="00B73D99">
        <w:rPr>
          <w:noProof/>
          <w:color w:val="000000"/>
        </w:rPr>
        <w:t> </w:t>
      </w:r>
      <w:r w:rsidR="00B73D99" w:rsidRPr="00BB0D27">
        <w:rPr>
          <w:noProof/>
          <w:color w:val="000000"/>
        </w:rPr>
        <w:t>nor</w:t>
      </w:r>
      <w:r w:rsidRPr="00BB0D27">
        <w:rPr>
          <w:noProof/>
          <w:color w:val="000000"/>
        </w:rPr>
        <w:t>my jakości dotyczące podmiotów zajmujących się naprawą (</w:t>
      </w:r>
      <w:r w:rsidRPr="00B73D99">
        <w:rPr>
          <w:noProof/>
          <w:color w:val="000000"/>
        </w:rPr>
        <w:t>art.</w:t>
      </w:r>
      <w:r w:rsidR="00B73D99" w:rsidRPr="00B73D99">
        <w:rPr>
          <w:noProof/>
          <w:color w:val="000000"/>
        </w:rPr>
        <w:t> </w:t>
      </w:r>
      <w:r w:rsidRPr="00B73D99">
        <w:rPr>
          <w:noProof/>
          <w:color w:val="000000"/>
        </w:rPr>
        <w:t>7</w:t>
      </w:r>
      <w:r w:rsidRPr="00BB0D27">
        <w:rPr>
          <w:noProof/>
          <w:color w:val="000000"/>
        </w:rPr>
        <w:t xml:space="preserve"> </w:t>
      </w:r>
      <w:r w:rsidRPr="00B73D99">
        <w:rPr>
          <w:noProof/>
          <w:color w:val="000000"/>
        </w:rPr>
        <w:t>ust.</w:t>
      </w:r>
      <w:r w:rsidR="00B73D99" w:rsidRPr="00B73D99">
        <w:rPr>
          <w:noProof/>
          <w:color w:val="000000"/>
        </w:rPr>
        <w:t> </w:t>
      </w:r>
      <w:r w:rsidRPr="00B73D99">
        <w:rPr>
          <w:noProof/>
          <w:color w:val="000000"/>
        </w:rPr>
        <w:t>1</w:t>
      </w:r>
      <w:r w:rsidRPr="00BB0D27">
        <w:rPr>
          <w:noProof/>
          <w:color w:val="000000"/>
        </w:rPr>
        <w:t xml:space="preserve"> </w:t>
      </w:r>
      <w:r w:rsidRPr="00B73D99">
        <w:rPr>
          <w:noProof/>
          <w:color w:val="000000"/>
        </w:rPr>
        <w:t>lit.</w:t>
      </w:r>
      <w:r w:rsidR="00B73D99" w:rsidRPr="00B73D99">
        <w:rPr>
          <w:noProof/>
          <w:color w:val="000000"/>
        </w:rPr>
        <w:t> </w:t>
      </w:r>
      <w:r w:rsidRPr="00B73D99">
        <w:rPr>
          <w:noProof/>
          <w:color w:val="000000"/>
        </w:rPr>
        <w:t>a)</w:t>
      </w:r>
      <w:r w:rsidRPr="00BB0D27">
        <w:rPr>
          <w:noProof/>
          <w:color w:val="000000"/>
        </w:rPr>
        <w:t>). Platforma powinna również umożliwiać konsumentom bezpośrednie złożenie wniosku</w:t>
      </w:r>
      <w:r w:rsidR="00B73D99" w:rsidRPr="00BB0D27">
        <w:rPr>
          <w:noProof/>
          <w:color w:val="000000"/>
        </w:rPr>
        <w:t xml:space="preserve"> o</w:t>
      </w:r>
      <w:r w:rsidR="00B73D99">
        <w:rPr>
          <w:noProof/>
          <w:color w:val="000000"/>
        </w:rPr>
        <w:t> </w:t>
      </w:r>
      <w:r w:rsidR="00B73D99" w:rsidRPr="00BB0D27">
        <w:rPr>
          <w:noProof/>
          <w:color w:val="000000"/>
        </w:rPr>
        <w:t>eur</w:t>
      </w:r>
      <w:r w:rsidRPr="00BB0D27">
        <w:rPr>
          <w:noProof/>
          <w:color w:val="000000"/>
        </w:rPr>
        <w:t>opejski formularz informacji</w:t>
      </w:r>
      <w:r w:rsidR="00B73D99" w:rsidRPr="00BB0D27">
        <w:rPr>
          <w:noProof/>
          <w:color w:val="000000"/>
        </w:rPr>
        <w:t xml:space="preserve"> o</w:t>
      </w:r>
      <w:r w:rsidR="00B73D99">
        <w:rPr>
          <w:noProof/>
          <w:color w:val="000000"/>
        </w:rPr>
        <w:t> </w:t>
      </w:r>
      <w:r w:rsidR="00B73D99" w:rsidRPr="00BB0D27">
        <w:rPr>
          <w:noProof/>
          <w:color w:val="000000"/>
        </w:rPr>
        <w:t>nap</w:t>
      </w:r>
      <w:r w:rsidRPr="00BB0D27">
        <w:rPr>
          <w:noProof/>
          <w:color w:val="000000"/>
        </w:rPr>
        <w:t>rawie za pośrednictwem platformy (</w:t>
      </w:r>
      <w:r w:rsidRPr="00B73D99">
        <w:rPr>
          <w:noProof/>
          <w:color w:val="000000"/>
        </w:rPr>
        <w:t>art.</w:t>
      </w:r>
      <w:r w:rsidR="00B73D99" w:rsidRPr="00B73D99">
        <w:rPr>
          <w:noProof/>
          <w:color w:val="000000"/>
        </w:rPr>
        <w:t> </w:t>
      </w:r>
      <w:r w:rsidRPr="00B73D99">
        <w:rPr>
          <w:noProof/>
          <w:color w:val="000000"/>
        </w:rPr>
        <w:t>7</w:t>
      </w:r>
      <w:r w:rsidRPr="00BB0D27">
        <w:rPr>
          <w:noProof/>
          <w:color w:val="000000"/>
        </w:rPr>
        <w:t xml:space="preserve"> </w:t>
      </w:r>
      <w:r w:rsidRPr="00B73D99">
        <w:rPr>
          <w:noProof/>
          <w:color w:val="000000"/>
        </w:rPr>
        <w:t>ust.</w:t>
      </w:r>
      <w:r w:rsidR="00B73D99" w:rsidRPr="00B73D99">
        <w:rPr>
          <w:noProof/>
          <w:color w:val="000000"/>
        </w:rPr>
        <w:t> </w:t>
      </w:r>
      <w:r w:rsidRPr="00B73D99">
        <w:rPr>
          <w:noProof/>
          <w:color w:val="000000"/>
        </w:rPr>
        <w:t>1</w:t>
      </w:r>
      <w:r w:rsidRPr="00BB0D27">
        <w:rPr>
          <w:noProof/>
          <w:color w:val="000000"/>
        </w:rPr>
        <w:t xml:space="preserve"> </w:t>
      </w:r>
      <w:r w:rsidRPr="00B73D99">
        <w:rPr>
          <w:noProof/>
          <w:color w:val="000000"/>
        </w:rPr>
        <w:t>lit.</w:t>
      </w:r>
      <w:r w:rsidR="00B73D99" w:rsidRPr="00B73D99">
        <w:rPr>
          <w:noProof/>
          <w:color w:val="000000"/>
        </w:rPr>
        <w:t> </w:t>
      </w:r>
      <w:r w:rsidRPr="00B73D99">
        <w:rPr>
          <w:noProof/>
          <w:color w:val="000000"/>
        </w:rPr>
        <w:t>b)</w:t>
      </w:r>
      <w:r w:rsidRPr="00BB0D27">
        <w:rPr>
          <w:noProof/>
          <w:color w:val="000000"/>
        </w:rPr>
        <w:t>), aby ułatwić im uzyskanie tego dokumentu. Aby zapewnić dokładność znajdujących się na platformie informacji, należy umożliwić podmiotom zajmującym się naprawą regularną aktualizację treści (</w:t>
      </w:r>
      <w:r w:rsidRPr="00B73D99">
        <w:rPr>
          <w:noProof/>
          <w:color w:val="000000"/>
        </w:rPr>
        <w:t>art.</w:t>
      </w:r>
      <w:r w:rsidR="00B73D99" w:rsidRPr="00B73D99">
        <w:rPr>
          <w:noProof/>
          <w:color w:val="000000"/>
        </w:rPr>
        <w:t> </w:t>
      </w:r>
      <w:r w:rsidRPr="00B73D99">
        <w:rPr>
          <w:noProof/>
          <w:color w:val="000000"/>
        </w:rPr>
        <w:t>7</w:t>
      </w:r>
      <w:r w:rsidRPr="00BB0D27">
        <w:rPr>
          <w:noProof/>
          <w:color w:val="000000"/>
        </w:rPr>
        <w:t xml:space="preserve"> </w:t>
      </w:r>
      <w:r w:rsidRPr="00B73D99">
        <w:rPr>
          <w:noProof/>
          <w:color w:val="000000"/>
        </w:rPr>
        <w:t>ust.</w:t>
      </w:r>
      <w:r w:rsidR="00B73D99" w:rsidRPr="00B73D99">
        <w:rPr>
          <w:noProof/>
          <w:color w:val="000000"/>
        </w:rPr>
        <w:t> </w:t>
      </w:r>
      <w:r w:rsidRPr="00B73D99">
        <w:rPr>
          <w:noProof/>
          <w:color w:val="000000"/>
        </w:rPr>
        <w:t>1</w:t>
      </w:r>
      <w:r w:rsidRPr="00BB0D27">
        <w:rPr>
          <w:noProof/>
          <w:color w:val="000000"/>
        </w:rPr>
        <w:t xml:space="preserve"> </w:t>
      </w:r>
      <w:r w:rsidRPr="00B73D99">
        <w:rPr>
          <w:noProof/>
          <w:color w:val="000000"/>
        </w:rPr>
        <w:t>lit.</w:t>
      </w:r>
      <w:r w:rsidR="00B73D99" w:rsidRPr="00B73D99">
        <w:rPr>
          <w:noProof/>
          <w:color w:val="000000"/>
        </w:rPr>
        <w:t> </w:t>
      </w:r>
      <w:r w:rsidRPr="00B73D99">
        <w:rPr>
          <w:noProof/>
          <w:color w:val="000000"/>
        </w:rPr>
        <w:t>c)</w:t>
      </w:r>
      <w:r w:rsidRPr="00BB0D27">
        <w:rPr>
          <w:noProof/>
          <w:color w:val="000000"/>
        </w:rPr>
        <w:t>). Ponadto, aby budować zaufanie konsumentów, platforma powinna zawierać możliwość wyświetlania specjalnych etykiet zgodnych</w:t>
      </w:r>
      <w:r w:rsidR="00B73D99" w:rsidRPr="00BB0D27">
        <w:rPr>
          <w:noProof/>
          <w:color w:val="000000"/>
        </w:rPr>
        <w:t xml:space="preserve"> z</w:t>
      </w:r>
      <w:r w:rsidR="00B73D99">
        <w:rPr>
          <w:noProof/>
          <w:color w:val="000000"/>
        </w:rPr>
        <w:t> </w:t>
      </w:r>
      <w:r w:rsidR="00B73D99" w:rsidRPr="00BB0D27">
        <w:rPr>
          <w:noProof/>
          <w:color w:val="000000"/>
        </w:rPr>
        <w:t>pra</w:t>
      </w:r>
      <w:r w:rsidRPr="00BB0D27">
        <w:rPr>
          <w:noProof/>
          <w:color w:val="000000"/>
        </w:rPr>
        <w:t>wem krajowym</w:t>
      </w:r>
      <w:r w:rsidR="00B73D99" w:rsidRPr="00BB0D27">
        <w:rPr>
          <w:noProof/>
          <w:color w:val="000000"/>
        </w:rPr>
        <w:t xml:space="preserve"> i</w:t>
      </w:r>
      <w:r w:rsidR="00B73D99">
        <w:rPr>
          <w:noProof/>
          <w:color w:val="000000"/>
        </w:rPr>
        <w:t> </w:t>
      </w:r>
      <w:r w:rsidR="00B73D99" w:rsidRPr="00BB0D27">
        <w:rPr>
          <w:noProof/>
          <w:color w:val="000000"/>
        </w:rPr>
        <w:t>pra</w:t>
      </w:r>
      <w:r w:rsidRPr="00BB0D27">
        <w:rPr>
          <w:noProof/>
          <w:color w:val="000000"/>
        </w:rPr>
        <w:t>wem Unii, przy pomocy których podmioty zajmujące się naprawą informowałyby</w:t>
      </w:r>
      <w:r w:rsidR="00B73D99" w:rsidRPr="00BB0D27">
        <w:rPr>
          <w:noProof/>
          <w:color w:val="000000"/>
        </w:rPr>
        <w:t xml:space="preserve"> o</w:t>
      </w:r>
      <w:r w:rsidR="00B73D99">
        <w:rPr>
          <w:noProof/>
          <w:color w:val="000000"/>
        </w:rPr>
        <w:t> </w:t>
      </w:r>
      <w:r w:rsidR="00B73D99" w:rsidRPr="00BB0D27">
        <w:rPr>
          <w:noProof/>
          <w:color w:val="000000"/>
        </w:rPr>
        <w:t>zgo</w:t>
      </w:r>
      <w:r w:rsidRPr="00BB0D27">
        <w:rPr>
          <w:noProof/>
          <w:color w:val="000000"/>
        </w:rPr>
        <w:t>dności swoich usług</w:t>
      </w:r>
      <w:r w:rsidR="00B73D99" w:rsidRPr="00BB0D27">
        <w:rPr>
          <w:noProof/>
          <w:color w:val="000000"/>
        </w:rPr>
        <w:t xml:space="preserve"> z</w:t>
      </w:r>
      <w:r w:rsidR="00B73D99">
        <w:rPr>
          <w:noProof/>
          <w:color w:val="000000"/>
        </w:rPr>
        <w:t> </w:t>
      </w:r>
      <w:r w:rsidR="00B73D99" w:rsidRPr="00BB0D27">
        <w:rPr>
          <w:noProof/>
          <w:color w:val="000000"/>
        </w:rPr>
        <w:t>eur</w:t>
      </w:r>
      <w:r w:rsidRPr="00BB0D27">
        <w:rPr>
          <w:noProof/>
          <w:color w:val="000000"/>
        </w:rPr>
        <w:t>opejskimi lub krajowymi normami związanymi</w:t>
      </w:r>
      <w:r w:rsidR="00B73D99" w:rsidRPr="00BB0D27">
        <w:rPr>
          <w:noProof/>
          <w:color w:val="000000"/>
        </w:rPr>
        <w:t xml:space="preserve"> z</w:t>
      </w:r>
      <w:r w:rsidR="00B73D99">
        <w:rPr>
          <w:noProof/>
          <w:color w:val="000000"/>
        </w:rPr>
        <w:t> </w:t>
      </w:r>
      <w:r w:rsidR="00B73D99" w:rsidRPr="00BB0D27">
        <w:rPr>
          <w:noProof/>
          <w:color w:val="000000"/>
        </w:rPr>
        <w:t>nap</w:t>
      </w:r>
      <w:r w:rsidRPr="00BB0D27">
        <w:rPr>
          <w:noProof/>
          <w:color w:val="000000"/>
        </w:rPr>
        <w:t>rawą (</w:t>
      </w:r>
      <w:r w:rsidRPr="00B73D99">
        <w:rPr>
          <w:noProof/>
          <w:color w:val="000000"/>
        </w:rPr>
        <w:t>art.</w:t>
      </w:r>
      <w:r w:rsidR="00B73D99" w:rsidRPr="00B73D99">
        <w:rPr>
          <w:noProof/>
          <w:color w:val="000000"/>
        </w:rPr>
        <w:t> </w:t>
      </w:r>
      <w:r w:rsidRPr="00B73D99">
        <w:rPr>
          <w:noProof/>
          <w:color w:val="000000"/>
        </w:rPr>
        <w:t>7</w:t>
      </w:r>
      <w:r w:rsidRPr="00BB0D27">
        <w:rPr>
          <w:noProof/>
          <w:color w:val="000000"/>
        </w:rPr>
        <w:t xml:space="preserve"> </w:t>
      </w:r>
      <w:r w:rsidRPr="00B73D99">
        <w:rPr>
          <w:noProof/>
          <w:color w:val="000000"/>
        </w:rPr>
        <w:t>ust.</w:t>
      </w:r>
      <w:r w:rsidR="00B73D99" w:rsidRPr="00B73D99">
        <w:rPr>
          <w:noProof/>
          <w:color w:val="000000"/>
        </w:rPr>
        <w:t> </w:t>
      </w:r>
      <w:r w:rsidRPr="00B73D99">
        <w:rPr>
          <w:noProof/>
          <w:color w:val="000000"/>
        </w:rPr>
        <w:t>1</w:t>
      </w:r>
      <w:r w:rsidRPr="00BB0D27">
        <w:rPr>
          <w:noProof/>
          <w:color w:val="000000"/>
        </w:rPr>
        <w:t xml:space="preserve"> </w:t>
      </w:r>
      <w:r w:rsidRPr="00B73D99">
        <w:rPr>
          <w:noProof/>
          <w:color w:val="000000"/>
        </w:rPr>
        <w:t>lit.</w:t>
      </w:r>
      <w:r w:rsidR="00B73D99" w:rsidRPr="00B73D99">
        <w:rPr>
          <w:noProof/>
          <w:color w:val="000000"/>
        </w:rPr>
        <w:t> </w:t>
      </w:r>
      <w:r w:rsidRPr="00B73D99">
        <w:rPr>
          <w:noProof/>
          <w:color w:val="000000"/>
        </w:rPr>
        <w:t>d)</w:t>
      </w:r>
      <w:r w:rsidRPr="00BB0D27">
        <w:rPr>
          <w:noProof/>
          <w:color w:val="000000"/>
        </w:rPr>
        <w:t>).W celu zwiększania świadomości, powinna również istnieć możliwość dostępu do platformy za pośrednictwem krajowych stron internetowych połączonych</w:t>
      </w:r>
      <w:r w:rsidR="00B73D99" w:rsidRPr="00BB0D27">
        <w:rPr>
          <w:noProof/>
          <w:color w:val="000000"/>
        </w:rPr>
        <w:t xml:space="preserve"> z</w:t>
      </w:r>
      <w:r w:rsidR="00B73D99">
        <w:rPr>
          <w:noProof/>
          <w:color w:val="000000"/>
        </w:rPr>
        <w:t> </w:t>
      </w:r>
      <w:r w:rsidR="00B73D99" w:rsidRPr="00BB0D27">
        <w:rPr>
          <w:noProof/>
          <w:color w:val="000000"/>
        </w:rPr>
        <w:t>jed</w:t>
      </w:r>
      <w:r w:rsidRPr="00BB0D27">
        <w:rPr>
          <w:noProof/>
          <w:color w:val="000000"/>
        </w:rPr>
        <w:t>nolitym portalem cyfrowym (</w:t>
      </w:r>
      <w:r w:rsidRPr="00B73D99">
        <w:rPr>
          <w:noProof/>
          <w:color w:val="000000"/>
        </w:rPr>
        <w:t>art.</w:t>
      </w:r>
      <w:r w:rsidR="00B73D99" w:rsidRPr="00B73D99">
        <w:rPr>
          <w:noProof/>
          <w:color w:val="000000"/>
        </w:rPr>
        <w:t> </w:t>
      </w:r>
      <w:r w:rsidRPr="00B73D99">
        <w:rPr>
          <w:noProof/>
          <w:color w:val="000000"/>
        </w:rPr>
        <w:t>7</w:t>
      </w:r>
      <w:r w:rsidRPr="00BB0D27">
        <w:rPr>
          <w:noProof/>
          <w:color w:val="000000"/>
        </w:rPr>
        <w:t xml:space="preserve"> </w:t>
      </w:r>
      <w:r w:rsidRPr="00B73D99">
        <w:rPr>
          <w:noProof/>
          <w:color w:val="000000"/>
        </w:rPr>
        <w:t>ust.</w:t>
      </w:r>
      <w:r w:rsidR="00B73D99" w:rsidRPr="00B73D99">
        <w:rPr>
          <w:noProof/>
          <w:color w:val="000000"/>
        </w:rPr>
        <w:t> </w:t>
      </w:r>
      <w:r w:rsidRPr="00B73D99">
        <w:rPr>
          <w:noProof/>
          <w:color w:val="000000"/>
        </w:rPr>
        <w:t>1</w:t>
      </w:r>
      <w:r w:rsidRPr="00BB0D27">
        <w:rPr>
          <w:noProof/>
          <w:color w:val="000000"/>
        </w:rPr>
        <w:t xml:space="preserve"> </w:t>
      </w:r>
      <w:r w:rsidRPr="00B73D99">
        <w:rPr>
          <w:noProof/>
          <w:color w:val="000000"/>
        </w:rPr>
        <w:t>lit.</w:t>
      </w:r>
      <w:r w:rsidR="00B73D99" w:rsidRPr="00B73D99">
        <w:rPr>
          <w:noProof/>
          <w:color w:val="000000"/>
        </w:rPr>
        <w:t> </w:t>
      </w:r>
      <w:r w:rsidRPr="00B73D99">
        <w:rPr>
          <w:noProof/>
          <w:color w:val="000000"/>
        </w:rPr>
        <w:t>e)</w:t>
      </w:r>
      <w:r w:rsidRPr="00BB0D27">
        <w:rPr>
          <w:noProof/>
          <w:color w:val="000000"/>
        </w:rPr>
        <w:t>).</w:t>
      </w:r>
      <w:r w:rsidRPr="00BB0D27">
        <w:rPr>
          <w:noProof/>
        </w:rPr>
        <w:t xml:space="preserve"> </w:t>
      </w:r>
    </w:p>
    <w:p w:rsidR="00561C56" w:rsidRPr="00BB0D27" w:rsidRDefault="000F3801" w:rsidP="00561C56">
      <w:pPr>
        <w:rPr>
          <w:rFonts w:eastAsia="Times New Roman"/>
          <w:noProof/>
          <w:color w:val="000000"/>
          <w:szCs w:val="24"/>
        </w:rPr>
      </w:pPr>
      <w:r w:rsidRPr="00BB0D27">
        <w:rPr>
          <w:noProof/>
          <w:color w:val="000000"/>
        </w:rPr>
        <w:t>W celu promowania odnawiania towarów</w:t>
      </w:r>
      <w:r w:rsidR="00B73D99" w:rsidRPr="00BB0D27">
        <w:rPr>
          <w:noProof/>
          <w:color w:val="000000"/>
        </w:rPr>
        <w:t xml:space="preserve"> w</w:t>
      </w:r>
      <w:r w:rsidR="00B73D99">
        <w:rPr>
          <w:noProof/>
          <w:color w:val="000000"/>
        </w:rPr>
        <w:t> </w:t>
      </w:r>
      <w:r w:rsidR="00B73D99" w:rsidRPr="00B73D99">
        <w:rPr>
          <w:noProof/>
          <w:color w:val="000000"/>
        </w:rPr>
        <w:t>art</w:t>
      </w:r>
      <w:r w:rsidRPr="00B73D99">
        <w:rPr>
          <w:noProof/>
          <w:color w:val="000000"/>
        </w:rPr>
        <w:t>.</w:t>
      </w:r>
      <w:r w:rsidR="00B73D99" w:rsidRPr="00B73D99">
        <w:rPr>
          <w:noProof/>
          <w:color w:val="000000"/>
        </w:rPr>
        <w:t> </w:t>
      </w:r>
      <w:r w:rsidRPr="00B73D99">
        <w:rPr>
          <w:noProof/>
          <w:color w:val="000000"/>
        </w:rPr>
        <w:t>7</w:t>
      </w:r>
      <w:r w:rsidRPr="00BB0D27">
        <w:rPr>
          <w:noProof/>
          <w:color w:val="000000"/>
        </w:rPr>
        <w:t xml:space="preserve"> </w:t>
      </w:r>
      <w:r w:rsidRPr="00B73D99">
        <w:rPr>
          <w:noProof/>
          <w:color w:val="000000"/>
        </w:rPr>
        <w:t>ust.</w:t>
      </w:r>
      <w:r w:rsidR="00B73D99" w:rsidRPr="00B73D99">
        <w:rPr>
          <w:noProof/>
          <w:color w:val="000000"/>
        </w:rPr>
        <w:t> </w:t>
      </w:r>
      <w:r w:rsidRPr="00B73D99">
        <w:rPr>
          <w:noProof/>
          <w:color w:val="000000"/>
        </w:rPr>
        <w:t>2</w:t>
      </w:r>
      <w:r w:rsidRPr="00BB0D27">
        <w:rPr>
          <w:noProof/>
          <w:color w:val="000000"/>
        </w:rPr>
        <w:t xml:space="preserve"> zobowiązuje się państwa członkowskie do zapewnienia, aby platformy internetowe zawierały również funkcję wyszukiwania umożliwiającą wyszukiwanie sprzedawców towarów nadających się do odnowienia</w:t>
      </w:r>
      <w:r w:rsidR="00B73D99" w:rsidRPr="00BB0D27">
        <w:rPr>
          <w:noProof/>
          <w:color w:val="000000"/>
        </w:rPr>
        <w:t xml:space="preserve"> i</w:t>
      </w:r>
      <w:r w:rsidR="00B73D99">
        <w:rPr>
          <w:noProof/>
          <w:color w:val="000000"/>
        </w:rPr>
        <w:t> </w:t>
      </w:r>
      <w:r w:rsidR="00B73D99" w:rsidRPr="00BB0D27">
        <w:rPr>
          <w:noProof/>
          <w:color w:val="000000"/>
        </w:rPr>
        <w:t>nab</w:t>
      </w:r>
      <w:r w:rsidRPr="00BB0D27">
        <w:rPr>
          <w:noProof/>
          <w:color w:val="000000"/>
        </w:rPr>
        <w:t>ywców wadliwych towarów do celów odnowienia.</w:t>
      </w:r>
    </w:p>
    <w:p w:rsidR="00561C56" w:rsidRPr="00BB0D27" w:rsidRDefault="000F3801" w:rsidP="00561C56">
      <w:pPr>
        <w:rPr>
          <w:rFonts w:eastAsia="Times New Roman"/>
          <w:noProof/>
          <w:color w:val="000000"/>
          <w:szCs w:val="24"/>
        </w:rPr>
      </w:pPr>
      <w:r w:rsidRPr="00BB0D27">
        <w:rPr>
          <w:noProof/>
          <w:color w:val="000000"/>
        </w:rPr>
        <w:t xml:space="preserve">W </w:t>
      </w:r>
      <w:r w:rsidRPr="00B73D99">
        <w:rPr>
          <w:noProof/>
          <w:color w:val="000000"/>
        </w:rPr>
        <w:t>art.</w:t>
      </w:r>
      <w:r w:rsidR="00B73D99" w:rsidRPr="00B73D99">
        <w:rPr>
          <w:noProof/>
          <w:color w:val="000000"/>
        </w:rPr>
        <w:t> </w:t>
      </w:r>
      <w:r w:rsidRPr="00B73D99">
        <w:rPr>
          <w:noProof/>
          <w:color w:val="000000"/>
        </w:rPr>
        <w:t>7</w:t>
      </w:r>
      <w:r w:rsidRPr="00BB0D27">
        <w:rPr>
          <w:noProof/>
          <w:color w:val="000000"/>
        </w:rPr>
        <w:t xml:space="preserve"> </w:t>
      </w:r>
      <w:r w:rsidRPr="00B73D99">
        <w:rPr>
          <w:noProof/>
          <w:color w:val="000000"/>
        </w:rPr>
        <w:t>ust.</w:t>
      </w:r>
      <w:r w:rsidR="00B73D99" w:rsidRPr="00B73D99">
        <w:rPr>
          <w:noProof/>
          <w:color w:val="000000"/>
        </w:rPr>
        <w:t> </w:t>
      </w:r>
      <w:r w:rsidRPr="00B73D99">
        <w:rPr>
          <w:noProof/>
          <w:color w:val="000000"/>
        </w:rPr>
        <w:t>3</w:t>
      </w:r>
      <w:r w:rsidRPr="00BB0D27">
        <w:rPr>
          <w:noProof/>
          <w:color w:val="000000"/>
        </w:rPr>
        <w:t xml:space="preserve"> wyjaśniono, że rejestracja na platformie podmiotów zajmujących się naprawą</w:t>
      </w:r>
      <w:r w:rsidR="00B73D99" w:rsidRPr="00BB0D27">
        <w:rPr>
          <w:noProof/>
          <w:color w:val="000000"/>
        </w:rPr>
        <w:t xml:space="preserve"> i</w:t>
      </w:r>
      <w:r w:rsidR="00B73D99">
        <w:rPr>
          <w:noProof/>
          <w:color w:val="000000"/>
        </w:rPr>
        <w:t> </w:t>
      </w:r>
      <w:r w:rsidR="00B73D99" w:rsidRPr="00BB0D27">
        <w:rPr>
          <w:noProof/>
          <w:color w:val="000000"/>
        </w:rPr>
        <w:t>odn</w:t>
      </w:r>
      <w:r w:rsidRPr="00BB0D27">
        <w:rPr>
          <w:noProof/>
          <w:color w:val="000000"/>
        </w:rPr>
        <w:t xml:space="preserve">awianiem jest dobrowolna. Ponadto </w:t>
      </w:r>
      <w:r w:rsidRPr="00BB0D27">
        <w:rPr>
          <w:noProof/>
        </w:rPr>
        <w:t>państwa członkowskie powinny mieć swobodę</w:t>
      </w:r>
      <w:r w:rsidR="00B73D99" w:rsidRPr="00BB0D27">
        <w:rPr>
          <w:noProof/>
        </w:rPr>
        <w:t xml:space="preserve"> w</w:t>
      </w:r>
      <w:r w:rsidR="00B73D99">
        <w:rPr>
          <w:noProof/>
        </w:rPr>
        <w:t> </w:t>
      </w:r>
      <w:r w:rsidR="00B73D99" w:rsidRPr="00BB0D27">
        <w:rPr>
          <w:noProof/>
        </w:rPr>
        <w:t>dec</w:t>
      </w:r>
      <w:r w:rsidRPr="00BB0D27">
        <w:rPr>
          <w:noProof/>
        </w:rPr>
        <w:t>ydowaniu</w:t>
      </w:r>
      <w:r w:rsidR="00B73D99" w:rsidRPr="00BB0D27">
        <w:rPr>
          <w:noProof/>
        </w:rPr>
        <w:t xml:space="preserve"> o</w:t>
      </w:r>
      <w:r w:rsidR="00B73D99">
        <w:rPr>
          <w:noProof/>
        </w:rPr>
        <w:t> </w:t>
      </w:r>
      <w:r w:rsidR="00B73D99" w:rsidRPr="00BB0D27">
        <w:rPr>
          <w:noProof/>
        </w:rPr>
        <w:t>pod</w:t>
      </w:r>
      <w:r w:rsidRPr="00BB0D27">
        <w:rPr>
          <w:noProof/>
        </w:rPr>
        <w:t>miotach mających dostęp do platformy</w:t>
      </w:r>
      <w:r w:rsidR="00B73D99" w:rsidRPr="00BB0D27">
        <w:rPr>
          <w:noProof/>
        </w:rPr>
        <w:t xml:space="preserve"> i</w:t>
      </w:r>
      <w:r w:rsidR="00B73D99">
        <w:rPr>
          <w:noProof/>
        </w:rPr>
        <w:t> </w:t>
      </w:r>
      <w:r w:rsidR="00B73D99" w:rsidRPr="00BB0D27">
        <w:rPr>
          <w:noProof/>
        </w:rPr>
        <w:t>spo</w:t>
      </w:r>
      <w:r w:rsidRPr="00BB0D27">
        <w:rPr>
          <w:noProof/>
        </w:rPr>
        <w:t>sobie dostępu do niej,</w:t>
      </w:r>
      <w:r w:rsidR="00B73D99" w:rsidRPr="00BB0D27">
        <w:rPr>
          <w:noProof/>
        </w:rPr>
        <w:t xml:space="preserve"> o</w:t>
      </w:r>
      <w:r w:rsidR="00B73D99">
        <w:rPr>
          <w:noProof/>
        </w:rPr>
        <w:t> </w:t>
      </w:r>
      <w:r w:rsidR="00B73D99" w:rsidRPr="00BB0D27">
        <w:rPr>
          <w:noProof/>
        </w:rPr>
        <w:t>ile</w:t>
      </w:r>
      <w:r w:rsidRPr="00BB0D27">
        <w:rPr>
          <w:noProof/>
        </w:rPr>
        <w:t xml:space="preserve"> wszystkie podmioty zajmujące się naprawą UE są traktowane</w:t>
      </w:r>
      <w:r w:rsidR="00B73D99" w:rsidRPr="00BB0D27">
        <w:rPr>
          <w:noProof/>
        </w:rPr>
        <w:t xml:space="preserve"> w</w:t>
      </w:r>
      <w:r w:rsidR="00B73D99">
        <w:rPr>
          <w:noProof/>
        </w:rPr>
        <w:t> </w:t>
      </w:r>
      <w:r w:rsidR="00B73D99" w:rsidRPr="00BB0D27">
        <w:rPr>
          <w:noProof/>
        </w:rPr>
        <w:t>rów</w:t>
      </w:r>
      <w:r w:rsidRPr="00BB0D27">
        <w:rPr>
          <w:noProof/>
        </w:rPr>
        <w:t xml:space="preserve">ny sposób. </w:t>
      </w:r>
      <w:r w:rsidRPr="00BB0D27">
        <w:rPr>
          <w:noProof/>
          <w:color w:val="000000"/>
        </w:rPr>
        <w:t>Konsument powinien mieć możliwość bezpłatnego dostępu do platformy.</w:t>
      </w:r>
    </w:p>
    <w:p w:rsidR="00561C56" w:rsidRPr="00BB0D27" w:rsidRDefault="003831AC" w:rsidP="00561C56">
      <w:pPr>
        <w:rPr>
          <w:rFonts w:eastAsia="Times New Roman"/>
          <w:b/>
          <w:noProof/>
          <w:color w:val="000000"/>
          <w:szCs w:val="24"/>
        </w:rPr>
      </w:pPr>
      <w:r w:rsidRPr="00BB0D27">
        <w:rPr>
          <w:b/>
          <w:noProof/>
          <w:color w:val="000000"/>
        </w:rPr>
        <w:t>Artykuł 12: Zmiana dyrektywy</w:t>
      </w:r>
      <w:r w:rsidR="00B73D99" w:rsidRPr="00BB0D27">
        <w:rPr>
          <w:b/>
          <w:noProof/>
          <w:color w:val="000000"/>
        </w:rPr>
        <w:t xml:space="preserve"> w</w:t>
      </w:r>
      <w:r w:rsidR="00B73D99">
        <w:rPr>
          <w:b/>
          <w:noProof/>
          <w:color w:val="000000"/>
        </w:rPr>
        <w:t> </w:t>
      </w:r>
      <w:r w:rsidR="00B73D99" w:rsidRPr="00BB0D27">
        <w:rPr>
          <w:b/>
          <w:noProof/>
          <w:color w:val="000000"/>
        </w:rPr>
        <w:t>spr</w:t>
      </w:r>
      <w:r w:rsidRPr="00BB0D27">
        <w:rPr>
          <w:b/>
          <w:noProof/>
          <w:color w:val="000000"/>
        </w:rPr>
        <w:t>awie sprzedaży towarów</w:t>
      </w:r>
    </w:p>
    <w:p w:rsidR="00561C56" w:rsidRPr="00BB0D27" w:rsidRDefault="00855399" w:rsidP="00561C56">
      <w:pPr>
        <w:rPr>
          <w:rFonts w:eastAsia="Times New Roman"/>
          <w:noProof/>
          <w:sz w:val="27"/>
          <w:szCs w:val="27"/>
        </w:rPr>
      </w:pPr>
      <w:r w:rsidRPr="00BB0D27">
        <w:rPr>
          <w:noProof/>
          <w:color w:val="000000"/>
        </w:rPr>
        <w:t xml:space="preserve">W </w:t>
      </w:r>
      <w:r w:rsidRPr="00B73D99">
        <w:rPr>
          <w:noProof/>
          <w:color w:val="000000"/>
        </w:rPr>
        <w:t>art.</w:t>
      </w:r>
      <w:r w:rsidR="00B73D99" w:rsidRPr="00B73D99">
        <w:rPr>
          <w:noProof/>
          <w:color w:val="000000"/>
        </w:rPr>
        <w:t> </w:t>
      </w:r>
      <w:r w:rsidRPr="00B73D99">
        <w:rPr>
          <w:noProof/>
          <w:color w:val="000000"/>
        </w:rPr>
        <w:t>1</w:t>
      </w:r>
      <w:r w:rsidRPr="00BB0D27">
        <w:rPr>
          <w:noProof/>
          <w:color w:val="000000"/>
        </w:rPr>
        <w:t>2 dostosowano</w:t>
      </w:r>
      <w:r w:rsidR="00B73D99" w:rsidRPr="00BB0D27">
        <w:rPr>
          <w:noProof/>
          <w:color w:val="000000"/>
        </w:rPr>
        <w:t xml:space="preserve"> w</w:t>
      </w:r>
      <w:r w:rsidR="00B73D99">
        <w:rPr>
          <w:noProof/>
          <w:color w:val="000000"/>
        </w:rPr>
        <w:t> </w:t>
      </w:r>
      <w:r w:rsidR="00B73D99" w:rsidRPr="00BB0D27">
        <w:rPr>
          <w:noProof/>
          <w:color w:val="000000"/>
        </w:rPr>
        <w:t>uki</w:t>
      </w:r>
      <w:r w:rsidRPr="00BB0D27">
        <w:rPr>
          <w:noProof/>
          <w:color w:val="000000"/>
        </w:rPr>
        <w:t xml:space="preserve">erunkowany sposób </w:t>
      </w:r>
      <w:r w:rsidRPr="00BB0D27">
        <w:rPr>
          <w:noProof/>
        </w:rPr>
        <w:t>zharmonizowane warunki, na jakich można dokonać wyboru między środkami ochrony prawnej polegającymi na naprawie</w:t>
      </w:r>
      <w:r w:rsidR="00B73D99" w:rsidRPr="00BB0D27">
        <w:rPr>
          <w:noProof/>
        </w:rPr>
        <w:t xml:space="preserve"> i</w:t>
      </w:r>
      <w:r w:rsidR="00B73D99">
        <w:rPr>
          <w:noProof/>
        </w:rPr>
        <w:t> </w:t>
      </w:r>
      <w:r w:rsidR="00B73D99" w:rsidRPr="00BB0D27">
        <w:rPr>
          <w:noProof/>
        </w:rPr>
        <w:t>wym</w:t>
      </w:r>
      <w:r w:rsidRPr="00BB0D27">
        <w:rPr>
          <w:noProof/>
        </w:rPr>
        <w:t>ianie zgodnie</w:t>
      </w:r>
      <w:r w:rsidR="00B73D99" w:rsidRPr="00BB0D27">
        <w:rPr>
          <w:noProof/>
        </w:rPr>
        <w:t xml:space="preserve"> z</w:t>
      </w:r>
      <w:r w:rsidR="00B73D99">
        <w:rPr>
          <w:noProof/>
        </w:rPr>
        <w:t> </w:t>
      </w:r>
      <w:r w:rsidR="00B73D99" w:rsidRPr="00B73D99">
        <w:rPr>
          <w:noProof/>
        </w:rPr>
        <w:t>art</w:t>
      </w:r>
      <w:r w:rsidRPr="00B73D99">
        <w:rPr>
          <w:noProof/>
        </w:rPr>
        <w:t>.</w:t>
      </w:r>
      <w:r w:rsidR="00B73D99" w:rsidRPr="00B73D99">
        <w:rPr>
          <w:noProof/>
        </w:rPr>
        <w:t> </w:t>
      </w:r>
      <w:r w:rsidRPr="00B73D99">
        <w:rPr>
          <w:noProof/>
        </w:rPr>
        <w:t>1</w:t>
      </w:r>
      <w:r w:rsidRPr="00BB0D27">
        <w:rPr>
          <w:noProof/>
        </w:rPr>
        <w:t xml:space="preserve">3 </w:t>
      </w:r>
      <w:r w:rsidRPr="00B73D99">
        <w:rPr>
          <w:noProof/>
        </w:rPr>
        <w:t>ust.</w:t>
      </w:r>
      <w:r w:rsidR="00B73D99" w:rsidRPr="00B73D99">
        <w:rPr>
          <w:noProof/>
        </w:rPr>
        <w:t> </w:t>
      </w:r>
      <w:r w:rsidRPr="00B73D99">
        <w:rPr>
          <w:noProof/>
        </w:rPr>
        <w:t>2</w:t>
      </w:r>
      <w:r w:rsidRPr="00BB0D27">
        <w:rPr>
          <w:noProof/>
        </w:rPr>
        <w:t xml:space="preserve"> dyrektywy</w:t>
      </w:r>
      <w:r w:rsidR="00B73D99" w:rsidRPr="00BB0D27">
        <w:rPr>
          <w:noProof/>
        </w:rPr>
        <w:t xml:space="preserve"> w</w:t>
      </w:r>
      <w:r w:rsidR="00B73D99">
        <w:rPr>
          <w:noProof/>
        </w:rPr>
        <w:t> </w:t>
      </w:r>
      <w:r w:rsidR="00B73D99" w:rsidRPr="00BB0D27">
        <w:rPr>
          <w:noProof/>
        </w:rPr>
        <w:t>spr</w:t>
      </w:r>
      <w:r w:rsidRPr="00BB0D27">
        <w:rPr>
          <w:noProof/>
        </w:rPr>
        <w:t>awie sprzedaży towarów</w:t>
      </w:r>
      <w:r w:rsidR="00B73D99" w:rsidRPr="00BB0D27">
        <w:rPr>
          <w:noProof/>
        </w:rPr>
        <w:t>. W</w:t>
      </w:r>
      <w:r w:rsidR="00B73D99">
        <w:rPr>
          <w:noProof/>
        </w:rPr>
        <w:t> </w:t>
      </w:r>
      <w:r w:rsidR="00B73D99" w:rsidRPr="00BB0D27">
        <w:rPr>
          <w:noProof/>
        </w:rPr>
        <w:t>art</w:t>
      </w:r>
      <w:r w:rsidRPr="00BB0D27">
        <w:rPr>
          <w:noProof/>
        </w:rPr>
        <w:t>ykule tym określono, że konsument może wybrać między naprawą</w:t>
      </w:r>
      <w:r w:rsidR="00B73D99" w:rsidRPr="00BB0D27">
        <w:rPr>
          <w:noProof/>
        </w:rPr>
        <w:t xml:space="preserve"> a</w:t>
      </w:r>
      <w:r w:rsidR="00B73D99">
        <w:rPr>
          <w:noProof/>
        </w:rPr>
        <w:t> </w:t>
      </w:r>
      <w:r w:rsidR="00B73D99" w:rsidRPr="00BB0D27">
        <w:rPr>
          <w:noProof/>
        </w:rPr>
        <w:t>wym</w:t>
      </w:r>
      <w:r w:rsidRPr="00BB0D27">
        <w:rPr>
          <w:noProof/>
        </w:rPr>
        <w:t>ianą, chyba że wybrany środek ochrony prawnej byłby niemożliwy lub,</w:t>
      </w:r>
      <w:r w:rsidR="00B73D99" w:rsidRPr="00BB0D27">
        <w:rPr>
          <w:noProof/>
        </w:rPr>
        <w:t xml:space="preserve"> w</w:t>
      </w:r>
      <w:r w:rsidR="00B73D99">
        <w:rPr>
          <w:noProof/>
        </w:rPr>
        <w:t> </w:t>
      </w:r>
      <w:r w:rsidR="00B73D99" w:rsidRPr="00BB0D27">
        <w:rPr>
          <w:noProof/>
        </w:rPr>
        <w:t>por</w:t>
      </w:r>
      <w:r w:rsidRPr="00BB0D27">
        <w:rPr>
          <w:noProof/>
        </w:rPr>
        <w:t>ównaniu</w:t>
      </w:r>
      <w:r w:rsidR="00B73D99" w:rsidRPr="00BB0D27">
        <w:rPr>
          <w:noProof/>
        </w:rPr>
        <w:t xml:space="preserve"> z</w:t>
      </w:r>
      <w:r w:rsidR="00B73D99">
        <w:rPr>
          <w:noProof/>
        </w:rPr>
        <w:t> </w:t>
      </w:r>
      <w:r w:rsidR="00B73D99" w:rsidRPr="00BB0D27">
        <w:rPr>
          <w:noProof/>
        </w:rPr>
        <w:t>inn</w:t>
      </w:r>
      <w:r w:rsidRPr="00BB0D27">
        <w:rPr>
          <w:noProof/>
        </w:rPr>
        <w:t>ym środkiem ochrony prawnej, wiązałby się</w:t>
      </w:r>
      <w:r w:rsidR="00B73D99" w:rsidRPr="00BB0D27">
        <w:rPr>
          <w:noProof/>
        </w:rPr>
        <w:t xml:space="preserve"> z</w:t>
      </w:r>
      <w:r w:rsidR="00B73D99">
        <w:rPr>
          <w:noProof/>
        </w:rPr>
        <w:t> </w:t>
      </w:r>
      <w:r w:rsidR="00B73D99" w:rsidRPr="00BB0D27">
        <w:rPr>
          <w:noProof/>
        </w:rPr>
        <w:t>nie</w:t>
      </w:r>
      <w:r w:rsidRPr="00BB0D27">
        <w:rPr>
          <w:noProof/>
        </w:rPr>
        <w:t>współmiernymi kosztami dla sprzedawcy</w:t>
      </w:r>
      <w:r w:rsidR="00B73D99" w:rsidRPr="00BB0D27">
        <w:rPr>
          <w:noProof/>
        </w:rPr>
        <w:t>. W</w:t>
      </w:r>
      <w:r w:rsidR="00B73D99">
        <w:rPr>
          <w:noProof/>
        </w:rPr>
        <w:t> </w:t>
      </w:r>
      <w:r w:rsidR="00B73D99" w:rsidRPr="00B73D99">
        <w:rPr>
          <w:noProof/>
        </w:rPr>
        <w:t>art</w:t>
      </w:r>
      <w:r w:rsidRPr="00B73D99">
        <w:rPr>
          <w:noProof/>
        </w:rPr>
        <w:t>.</w:t>
      </w:r>
      <w:r w:rsidR="00B73D99" w:rsidRPr="00B73D99">
        <w:rPr>
          <w:noProof/>
        </w:rPr>
        <w:t> </w:t>
      </w:r>
      <w:r w:rsidRPr="00B73D99">
        <w:rPr>
          <w:noProof/>
        </w:rPr>
        <w:t>1</w:t>
      </w:r>
      <w:r w:rsidRPr="00BB0D27">
        <w:rPr>
          <w:noProof/>
        </w:rPr>
        <w:t xml:space="preserve">2 zachowano tę zasadę, dodając dodatkowe zdanie do </w:t>
      </w:r>
      <w:r w:rsidRPr="00B73D99">
        <w:rPr>
          <w:noProof/>
        </w:rPr>
        <w:t>art.</w:t>
      </w:r>
      <w:r w:rsidR="00B73D99" w:rsidRPr="00B73D99">
        <w:rPr>
          <w:noProof/>
        </w:rPr>
        <w:t> </w:t>
      </w:r>
      <w:r w:rsidRPr="00B73D99">
        <w:rPr>
          <w:noProof/>
        </w:rPr>
        <w:t>1</w:t>
      </w:r>
      <w:r w:rsidRPr="00BB0D27">
        <w:rPr>
          <w:noProof/>
        </w:rPr>
        <w:t xml:space="preserve">3 </w:t>
      </w:r>
      <w:r w:rsidRPr="00B73D99">
        <w:rPr>
          <w:noProof/>
        </w:rPr>
        <w:t>ust.</w:t>
      </w:r>
      <w:r w:rsidR="00B73D99" w:rsidRPr="00B73D99">
        <w:rPr>
          <w:noProof/>
        </w:rPr>
        <w:t> </w:t>
      </w:r>
      <w:r w:rsidRPr="00B73D99">
        <w:rPr>
          <w:noProof/>
        </w:rPr>
        <w:t>2</w:t>
      </w:r>
      <w:r w:rsidRPr="00BB0D27">
        <w:rPr>
          <w:noProof/>
        </w:rPr>
        <w:t xml:space="preserve"> dyrektywy</w:t>
      </w:r>
      <w:r w:rsidR="00B73D99" w:rsidRPr="00BB0D27">
        <w:rPr>
          <w:noProof/>
        </w:rPr>
        <w:t xml:space="preserve"> w</w:t>
      </w:r>
      <w:r w:rsidR="00B73D99">
        <w:rPr>
          <w:noProof/>
        </w:rPr>
        <w:t> </w:t>
      </w:r>
      <w:r w:rsidR="00B73D99" w:rsidRPr="00BB0D27">
        <w:rPr>
          <w:noProof/>
        </w:rPr>
        <w:t>spr</w:t>
      </w:r>
      <w:r w:rsidRPr="00BB0D27">
        <w:rPr>
          <w:noProof/>
        </w:rPr>
        <w:t>awie sprzedaży towarów mające na celu promowanie naprawy zamiast wymiany, stwierdzając, że sprzedawca powinien dokonać naprawy towarów zawsze wtedy, gdy koszty wymiany są równe kosztom naprawy lub je przewyższają</w:t>
      </w:r>
      <w:r w:rsidR="00B73D99" w:rsidRPr="00BB0D27">
        <w:rPr>
          <w:noProof/>
        </w:rPr>
        <w:t>. W</w:t>
      </w:r>
      <w:r w:rsidR="00B73D99">
        <w:rPr>
          <w:noProof/>
        </w:rPr>
        <w:t> </w:t>
      </w:r>
      <w:r w:rsidR="00B73D99" w:rsidRPr="00BB0D27">
        <w:rPr>
          <w:noProof/>
        </w:rPr>
        <w:t>rez</w:t>
      </w:r>
      <w:r w:rsidRPr="00BB0D27">
        <w:rPr>
          <w:noProof/>
        </w:rPr>
        <w:t>ultacie konsument może wybrać wymianę jako środek ochrony prawnej wyłącznie wówczas, gdy jest ona tańsza od naprawy</w:t>
      </w:r>
      <w:r w:rsidRPr="00BB0D27">
        <w:rPr>
          <w:noProof/>
          <w:sz w:val="27"/>
        </w:rPr>
        <w:t xml:space="preserve">. </w:t>
      </w:r>
    </w:p>
    <w:p w:rsidR="00561C56" w:rsidRPr="00BB0D27" w:rsidRDefault="00561C56" w:rsidP="00F733C8">
      <w:pPr>
        <w:spacing w:before="0" w:after="0"/>
        <w:jc w:val="left"/>
        <w:rPr>
          <w:noProof/>
        </w:rPr>
        <w:sectPr w:rsidR="00561C56" w:rsidRPr="00BB0D27" w:rsidSect="00B63322">
          <w:footerReference w:type="default" r:id="rId10"/>
          <w:footerReference w:type="first" r:id="rId11"/>
          <w:pgSz w:w="11907" w:h="16839"/>
          <w:pgMar w:top="1134" w:right="1417" w:bottom="1134" w:left="1417" w:header="709" w:footer="709" w:gutter="0"/>
          <w:cols w:space="708"/>
          <w:docGrid w:linePitch="360"/>
        </w:sectPr>
      </w:pPr>
    </w:p>
    <w:p w:rsidR="002D0E72" w:rsidRPr="00BB0D27" w:rsidRDefault="00E32473" w:rsidP="00E32473">
      <w:pPr>
        <w:pStyle w:val="Rfrenceinterinstitutionnelle"/>
        <w:rPr>
          <w:noProof/>
        </w:rPr>
      </w:pPr>
      <w:r w:rsidRPr="00E32473">
        <w:t>2023/0083 (COD)</w:t>
      </w:r>
    </w:p>
    <w:p w:rsidR="00FA250B" w:rsidRPr="00BB0D27" w:rsidRDefault="00B73D99" w:rsidP="00B73D99">
      <w:pPr>
        <w:pStyle w:val="Statut"/>
        <w:rPr>
          <w:noProof/>
        </w:rPr>
      </w:pPr>
      <w:r w:rsidRPr="00B73D99">
        <w:rPr>
          <w:noProof/>
        </w:rPr>
        <w:t>Wniosek</w:t>
      </w:r>
    </w:p>
    <w:p w:rsidR="00FA250B" w:rsidRPr="00BB0D27" w:rsidRDefault="00B73D99" w:rsidP="00B73D99">
      <w:pPr>
        <w:pStyle w:val="Typedudocument"/>
        <w:rPr>
          <w:noProof/>
        </w:rPr>
      </w:pPr>
      <w:r w:rsidRPr="00B73D99">
        <w:rPr>
          <w:noProof/>
        </w:rPr>
        <w:t>DYREKTYWA PARLAMENTU EUROPEJSKIEGO I RADY</w:t>
      </w:r>
    </w:p>
    <w:p w:rsidR="00FA250B" w:rsidRPr="00BB0D27" w:rsidRDefault="00B73D99" w:rsidP="00B73D99">
      <w:pPr>
        <w:pStyle w:val="Titreobjet"/>
        <w:rPr>
          <w:noProof/>
        </w:rPr>
      </w:pPr>
      <w:r w:rsidRPr="00B73D99">
        <w:rPr>
          <w:noProof/>
        </w:rPr>
        <w:t>w sprawie wspólnych zasad promujących naprawę towarów, zmieniająca rozporządzenie (UE) 2017/2394 oraz dyrektywy (UE) 2019/771 i (UE) 2020/1828</w:t>
      </w:r>
    </w:p>
    <w:p w:rsidR="00FA250B" w:rsidRPr="00BB0D27" w:rsidRDefault="00B73D99" w:rsidP="00B73D99">
      <w:pPr>
        <w:pStyle w:val="IntrtEEE"/>
        <w:rPr>
          <w:noProof/>
        </w:rPr>
      </w:pPr>
      <w:r w:rsidRPr="00B73D99">
        <w:rPr>
          <w:noProof/>
        </w:rPr>
        <w:t>(Tekst mający znaczenie dla EOG)</w:t>
      </w:r>
    </w:p>
    <w:p w:rsidR="00FA250B" w:rsidRPr="00BB0D27" w:rsidRDefault="00FA250B" w:rsidP="00F733C8">
      <w:pPr>
        <w:pStyle w:val="Institutionquiagit"/>
        <w:rPr>
          <w:noProof/>
        </w:rPr>
      </w:pPr>
      <w:r w:rsidRPr="00BB0D27">
        <w:rPr>
          <w:noProof/>
        </w:rPr>
        <w:t>PARLAMENT EUROPEJSKI I RADA UNII EUROPEJSKIEJ,</w:t>
      </w:r>
    </w:p>
    <w:p w:rsidR="00FA250B" w:rsidRPr="00BB0D27" w:rsidRDefault="00FA250B" w:rsidP="00F733C8">
      <w:pPr>
        <w:rPr>
          <w:noProof/>
        </w:rPr>
      </w:pPr>
      <w:r w:rsidRPr="00BB0D27">
        <w:rPr>
          <w:noProof/>
        </w:rPr>
        <w:t>uwzględniając Traktat</w:t>
      </w:r>
      <w:r w:rsidR="00B73D99" w:rsidRPr="00BB0D27">
        <w:rPr>
          <w:noProof/>
        </w:rPr>
        <w:t xml:space="preserve"> o</w:t>
      </w:r>
      <w:r w:rsidR="00B73D99">
        <w:rPr>
          <w:noProof/>
        </w:rPr>
        <w:t> </w:t>
      </w:r>
      <w:r w:rsidR="00B73D99" w:rsidRPr="00BB0D27">
        <w:rPr>
          <w:noProof/>
        </w:rPr>
        <w:t>fun</w:t>
      </w:r>
      <w:r w:rsidRPr="00BB0D27">
        <w:rPr>
          <w:noProof/>
        </w:rPr>
        <w:t>kcjonowaniu Unii Europejskiej,</w:t>
      </w:r>
      <w:r w:rsidR="00B73D99" w:rsidRPr="00BB0D27">
        <w:rPr>
          <w:noProof/>
        </w:rPr>
        <w:t xml:space="preserve"> w</w:t>
      </w:r>
      <w:r w:rsidR="00B73D99">
        <w:rPr>
          <w:noProof/>
        </w:rPr>
        <w:t> </w:t>
      </w:r>
      <w:r w:rsidR="00B73D99" w:rsidRPr="00BB0D27">
        <w:rPr>
          <w:noProof/>
        </w:rPr>
        <w:t>szc</w:t>
      </w:r>
      <w:r w:rsidRPr="00BB0D27">
        <w:rPr>
          <w:noProof/>
        </w:rPr>
        <w:t xml:space="preserve">zególności jego </w:t>
      </w:r>
      <w:r w:rsidRPr="00B73D99">
        <w:rPr>
          <w:noProof/>
        </w:rPr>
        <w:t>art.</w:t>
      </w:r>
      <w:r w:rsidR="00B73D99" w:rsidRPr="00B73D99">
        <w:rPr>
          <w:noProof/>
        </w:rPr>
        <w:t> </w:t>
      </w:r>
      <w:r w:rsidRPr="00B73D99">
        <w:rPr>
          <w:noProof/>
        </w:rPr>
        <w:t>1</w:t>
      </w:r>
      <w:r w:rsidRPr="00BB0D27">
        <w:rPr>
          <w:noProof/>
        </w:rPr>
        <w:t>14,</w:t>
      </w:r>
    </w:p>
    <w:p w:rsidR="00FA250B" w:rsidRPr="00BB0D27" w:rsidRDefault="00FA250B" w:rsidP="00F733C8">
      <w:pPr>
        <w:rPr>
          <w:noProof/>
        </w:rPr>
      </w:pPr>
      <w:r w:rsidRPr="00BB0D27">
        <w:rPr>
          <w:noProof/>
        </w:rPr>
        <w:t>uwzględniając wniosek Komisji Europejskiej,</w:t>
      </w:r>
    </w:p>
    <w:p w:rsidR="00FA250B" w:rsidRPr="00BB0D27" w:rsidRDefault="00FA250B" w:rsidP="00F733C8">
      <w:pPr>
        <w:rPr>
          <w:noProof/>
        </w:rPr>
      </w:pPr>
      <w:r w:rsidRPr="00BB0D27">
        <w:rPr>
          <w:noProof/>
        </w:rPr>
        <w:t>po przekazaniu projektu aktu ustawodawczego parlamentom narodowym,</w:t>
      </w:r>
    </w:p>
    <w:p w:rsidR="00FA250B" w:rsidRPr="00BB0D27" w:rsidRDefault="00FA250B" w:rsidP="00F733C8">
      <w:pPr>
        <w:rPr>
          <w:noProof/>
        </w:rPr>
      </w:pPr>
      <w:r w:rsidRPr="00BB0D27">
        <w:rPr>
          <w:noProof/>
        </w:rPr>
        <w:t>uwzględniając opinię Europejskiego Komitetu Ekonomiczno-Społecznego</w:t>
      </w:r>
      <w:r w:rsidRPr="00BB0D27">
        <w:rPr>
          <w:rStyle w:val="FootnoteReference"/>
          <w:noProof/>
        </w:rPr>
        <w:footnoteReference w:id="11"/>
      </w:r>
      <w:r w:rsidRPr="00BB0D27">
        <w:rPr>
          <w:noProof/>
        </w:rPr>
        <w:t xml:space="preserve">, </w:t>
      </w:r>
    </w:p>
    <w:p w:rsidR="00FA250B" w:rsidRPr="00BB0D27" w:rsidRDefault="4901A583" w:rsidP="00F733C8">
      <w:pPr>
        <w:rPr>
          <w:noProof/>
        </w:rPr>
      </w:pPr>
      <w:r w:rsidRPr="00BB0D27">
        <w:rPr>
          <w:noProof/>
        </w:rPr>
        <w:t>stanowiąc zgodnie ze zwykłą procedurą ustawodawczą</w:t>
      </w:r>
      <w:r w:rsidR="005922D0" w:rsidRPr="00BB0D27">
        <w:rPr>
          <w:rStyle w:val="FootnoteReference"/>
          <w:noProof/>
        </w:rPr>
        <w:footnoteReference w:id="12"/>
      </w:r>
      <w:r w:rsidRPr="00BB0D27">
        <w:rPr>
          <w:noProof/>
        </w:rPr>
        <w:t>,</w:t>
      </w:r>
    </w:p>
    <w:p w:rsidR="00FA250B" w:rsidRPr="00BB0D27" w:rsidRDefault="00FA250B" w:rsidP="00F733C8">
      <w:pPr>
        <w:rPr>
          <w:noProof/>
        </w:rPr>
      </w:pPr>
      <w:r w:rsidRPr="00BB0D27">
        <w:rPr>
          <w:noProof/>
        </w:rPr>
        <w:t>a także mając na uwadze, co następuje:</w:t>
      </w:r>
    </w:p>
    <w:p w:rsidR="00FA250B" w:rsidRPr="00BB0D27" w:rsidRDefault="001C4EB9" w:rsidP="001C4EB9">
      <w:pPr>
        <w:pStyle w:val="ManualConsidrant"/>
        <w:rPr>
          <w:noProof/>
          <w:szCs w:val="24"/>
        </w:rPr>
      </w:pPr>
      <w:r w:rsidRPr="001C4EB9">
        <w:t>(1)</w:t>
      </w:r>
      <w:r w:rsidRPr="001C4EB9">
        <w:tab/>
      </w:r>
      <w:r w:rsidR="4901A583" w:rsidRPr="00BB0D27">
        <w:rPr>
          <w:noProof/>
        </w:rPr>
        <w:t>Dyrektywa Parlamentu Europejskiego</w:t>
      </w:r>
      <w:r w:rsidR="00B73D99" w:rsidRPr="00BB0D27">
        <w:rPr>
          <w:noProof/>
        </w:rPr>
        <w:t xml:space="preserve"> i</w:t>
      </w:r>
      <w:r w:rsidR="00B73D99">
        <w:rPr>
          <w:noProof/>
        </w:rPr>
        <w:t> </w:t>
      </w:r>
      <w:r w:rsidR="00B73D99" w:rsidRPr="00BB0D27">
        <w:rPr>
          <w:noProof/>
        </w:rPr>
        <w:t>Rad</w:t>
      </w:r>
      <w:r w:rsidR="4901A583" w:rsidRPr="00BB0D27">
        <w:rPr>
          <w:noProof/>
        </w:rPr>
        <w:t>y (UE) 2019/771</w:t>
      </w:r>
      <w:r w:rsidR="00084612" w:rsidRPr="00BB0D27">
        <w:rPr>
          <w:rStyle w:val="FootnoteReference"/>
          <w:rFonts w:eastAsia="Calibri"/>
          <w:noProof/>
        </w:rPr>
        <w:footnoteReference w:id="13"/>
      </w:r>
      <w:r w:rsidR="4901A583" w:rsidRPr="00BB0D27">
        <w:rPr>
          <w:noProof/>
        </w:rPr>
        <w:t xml:space="preserve"> ma na celu usprawnienie funkcjonowania rynku wewnętrznego, przy jednoczesnym osiągnięciu wysokiego poziomu ochrony konsumentów</w:t>
      </w:r>
      <w:r w:rsidR="00B73D99" w:rsidRPr="00BB0D27">
        <w:rPr>
          <w:noProof/>
        </w:rPr>
        <w:t>. W</w:t>
      </w:r>
      <w:r w:rsidR="00B73D99">
        <w:rPr>
          <w:noProof/>
        </w:rPr>
        <w:t> </w:t>
      </w:r>
      <w:r w:rsidR="00B73D99" w:rsidRPr="00BB0D27">
        <w:rPr>
          <w:noProof/>
        </w:rPr>
        <w:t>kon</w:t>
      </w:r>
      <w:r w:rsidR="4901A583" w:rsidRPr="00BB0D27">
        <w:rPr>
          <w:noProof/>
        </w:rPr>
        <w:t>tekście transformacji ekologicznej celem niniejszej dyrektywy jest poprawa funkcjonowania rynku wewnętrznego przy jednoczesnym promowaniu bardziej zrównoważonej konsumpcji, co stanowi uzupełnienie celu dyrektywy (UE) 2019/771.</w:t>
      </w:r>
    </w:p>
    <w:p w:rsidR="00316106" w:rsidRPr="00BB0D27" w:rsidRDefault="001C4EB9" w:rsidP="001C4EB9">
      <w:pPr>
        <w:pStyle w:val="ManualConsidrant"/>
        <w:rPr>
          <w:noProof/>
        </w:rPr>
      </w:pPr>
      <w:r w:rsidRPr="001C4EB9">
        <w:t>(2)</w:t>
      </w:r>
      <w:r w:rsidRPr="001C4EB9">
        <w:tab/>
      </w:r>
      <w:r w:rsidR="008F74AA" w:rsidRPr="00BB0D27">
        <w:rPr>
          <w:noProof/>
        </w:rPr>
        <w:t>Aby osiągnąć te cele,</w:t>
      </w:r>
      <w:r w:rsidR="00B73D99" w:rsidRPr="00BB0D27">
        <w:rPr>
          <w:noProof/>
        </w:rPr>
        <w:t xml:space="preserve"> a</w:t>
      </w:r>
      <w:r w:rsidR="00B73D99">
        <w:rPr>
          <w:noProof/>
        </w:rPr>
        <w:t> </w:t>
      </w:r>
      <w:r w:rsidR="00B73D99" w:rsidRPr="00BB0D27">
        <w:rPr>
          <w:noProof/>
        </w:rPr>
        <w:t>w</w:t>
      </w:r>
      <w:r w:rsidR="00B73D99">
        <w:rPr>
          <w:noProof/>
        </w:rPr>
        <w:t> </w:t>
      </w:r>
      <w:r w:rsidR="00B73D99" w:rsidRPr="00BB0D27">
        <w:rPr>
          <w:noProof/>
        </w:rPr>
        <w:t>szc</w:t>
      </w:r>
      <w:r w:rsidR="008F74AA" w:rsidRPr="00BB0D27">
        <w:rPr>
          <w:noProof/>
        </w:rPr>
        <w:t>zególności ułatwić transgraniczne świadczenie usług</w:t>
      </w:r>
      <w:r w:rsidR="00B73D99" w:rsidRPr="00BB0D27">
        <w:rPr>
          <w:noProof/>
        </w:rPr>
        <w:t xml:space="preserve"> i</w:t>
      </w:r>
      <w:r w:rsidR="00B73D99">
        <w:rPr>
          <w:noProof/>
        </w:rPr>
        <w:t> </w:t>
      </w:r>
      <w:r w:rsidR="00B73D99" w:rsidRPr="00BB0D27">
        <w:rPr>
          <w:noProof/>
        </w:rPr>
        <w:t>kon</w:t>
      </w:r>
      <w:r w:rsidR="008F74AA" w:rsidRPr="00BB0D27">
        <w:rPr>
          <w:noProof/>
        </w:rPr>
        <w:t>kurencję</w:t>
      </w:r>
      <w:r w:rsidR="00B73D99" w:rsidRPr="00BB0D27">
        <w:rPr>
          <w:noProof/>
        </w:rPr>
        <w:t xml:space="preserve"> w</w:t>
      </w:r>
      <w:r w:rsidR="00B73D99">
        <w:rPr>
          <w:noProof/>
        </w:rPr>
        <w:t> </w:t>
      </w:r>
      <w:r w:rsidR="00B73D99" w:rsidRPr="00BB0D27">
        <w:rPr>
          <w:noProof/>
        </w:rPr>
        <w:t>prz</w:t>
      </w:r>
      <w:r w:rsidR="008F74AA" w:rsidRPr="00BB0D27">
        <w:rPr>
          <w:noProof/>
        </w:rPr>
        <w:t>ypadku podmiotów zajmujących się naprawą towarów nabywanych przez konsumentów na rynku wewnętrznym, konieczne jest ustanowienie jednolitych przepisów promujących naprawę towarów nabywanych przez konsumentów</w:t>
      </w:r>
      <w:r w:rsidR="00B73D99" w:rsidRPr="00BB0D27">
        <w:rPr>
          <w:noProof/>
        </w:rPr>
        <w:t xml:space="preserve"> i</w:t>
      </w:r>
      <w:r w:rsidR="00B73D99">
        <w:rPr>
          <w:noProof/>
        </w:rPr>
        <w:t> </w:t>
      </w:r>
      <w:r w:rsidR="00B73D99" w:rsidRPr="00BB0D27">
        <w:rPr>
          <w:noProof/>
        </w:rPr>
        <w:t>obj</w:t>
      </w:r>
      <w:r w:rsidR="008F74AA" w:rsidRPr="00BB0D27">
        <w:rPr>
          <w:noProof/>
        </w:rPr>
        <w:t>ętych zakresem odpowiedzialności sprzedawcy ustanowionej dyrektywą (UE) 2019/771 lub wykraczających poza ten zakres. Państwa członkowskie wprowadziły już przepisy promujące naprawę</w:t>
      </w:r>
      <w:r w:rsidR="00B73D99" w:rsidRPr="00BB0D27">
        <w:rPr>
          <w:noProof/>
        </w:rPr>
        <w:t xml:space="preserve"> i</w:t>
      </w:r>
      <w:r w:rsidR="00B73D99">
        <w:rPr>
          <w:noProof/>
        </w:rPr>
        <w:t> </w:t>
      </w:r>
      <w:r w:rsidR="00B73D99" w:rsidRPr="00BB0D27">
        <w:rPr>
          <w:noProof/>
        </w:rPr>
        <w:t>pon</w:t>
      </w:r>
      <w:r w:rsidR="008F74AA" w:rsidRPr="00BB0D27">
        <w:rPr>
          <w:noProof/>
        </w:rPr>
        <w:t>owne wykorzystanie towarów nabywanych przez konsumentów</w:t>
      </w:r>
      <w:r w:rsidR="00B73D99" w:rsidRPr="00BB0D27">
        <w:rPr>
          <w:noProof/>
        </w:rPr>
        <w:t xml:space="preserve"> i</w:t>
      </w:r>
      <w:r w:rsidR="00B73D99">
        <w:rPr>
          <w:noProof/>
        </w:rPr>
        <w:t> </w:t>
      </w:r>
      <w:r w:rsidR="00B73D99" w:rsidRPr="00BB0D27">
        <w:rPr>
          <w:noProof/>
        </w:rPr>
        <w:t>wyk</w:t>
      </w:r>
      <w:r w:rsidR="008F74AA" w:rsidRPr="00BB0D27">
        <w:rPr>
          <w:noProof/>
        </w:rPr>
        <w:t>raczających poza zakres odpowiedzialności sprzedawcy ustanowionej dyrektywą (UE) 2019/771 lub rozważają wprowadzenie takich przepisów. Zróżnicowanie przepisów krajowych obowiązujących</w:t>
      </w:r>
      <w:r w:rsidR="00B73D99" w:rsidRPr="00BB0D27">
        <w:rPr>
          <w:noProof/>
        </w:rPr>
        <w:t xml:space="preserve"> w</w:t>
      </w:r>
      <w:r w:rsidR="00B73D99">
        <w:rPr>
          <w:noProof/>
        </w:rPr>
        <w:t> </w:t>
      </w:r>
      <w:r w:rsidR="00B73D99" w:rsidRPr="00BB0D27">
        <w:rPr>
          <w:noProof/>
        </w:rPr>
        <w:t>tym</w:t>
      </w:r>
      <w:r w:rsidR="008F74AA" w:rsidRPr="00BB0D27">
        <w:rPr>
          <w:noProof/>
        </w:rPr>
        <w:t xml:space="preserve"> obszarze stanowi rzeczywistą lub potencjalną przeszkodę dla funkcjonowania rynku wewnętrznego oraz wpływa niekorzystnie na transakcje transgraniczne podmiotów gospodarczych prowadzących działalność na tym rynku. Podmioty te mogą być zmuszone do dostosowania swoich usług</w:t>
      </w:r>
      <w:r w:rsidR="00B73D99" w:rsidRPr="00BB0D27">
        <w:rPr>
          <w:noProof/>
        </w:rPr>
        <w:t xml:space="preserve"> w</w:t>
      </w:r>
      <w:r w:rsidR="00B73D99">
        <w:rPr>
          <w:noProof/>
        </w:rPr>
        <w:t> </w:t>
      </w:r>
      <w:r w:rsidR="00B73D99" w:rsidRPr="00BB0D27">
        <w:rPr>
          <w:noProof/>
        </w:rPr>
        <w:t>tak</w:t>
      </w:r>
      <w:r w:rsidR="008F74AA" w:rsidRPr="00BB0D27">
        <w:rPr>
          <w:noProof/>
        </w:rPr>
        <w:t>i sposób, aby były one zgodne</w:t>
      </w:r>
      <w:r w:rsidR="00B73D99" w:rsidRPr="00BB0D27">
        <w:rPr>
          <w:noProof/>
        </w:rPr>
        <w:t xml:space="preserve"> z</w:t>
      </w:r>
      <w:r w:rsidR="00B73D99">
        <w:rPr>
          <w:noProof/>
        </w:rPr>
        <w:t> </w:t>
      </w:r>
      <w:r w:rsidR="00B73D99" w:rsidRPr="00BB0D27">
        <w:rPr>
          <w:noProof/>
        </w:rPr>
        <w:t>prz</w:t>
      </w:r>
      <w:r w:rsidR="008F74AA" w:rsidRPr="00BB0D27">
        <w:rPr>
          <w:noProof/>
        </w:rPr>
        <w:t>episami obowiązującymi</w:t>
      </w:r>
      <w:r w:rsidR="00B73D99" w:rsidRPr="00BB0D27">
        <w:rPr>
          <w:noProof/>
        </w:rPr>
        <w:t xml:space="preserve"> w</w:t>
      </w:r>
      <w:r w:rsidR="00B73D99">
        <w:rPr>
          <w:noProof/>
        </w:rPr>
        <w:t> </w:t>
      </w:r>
      <w:r w:rsidR="00B73D99" w:rsidRPr="00BB0D27">
        <w:rPr>
          <w:noProof/>
        </w:rPr>
        <w:t>pos</w:t>
      </w:r>
      <w:r w:rsidR="008F74AA" w:rsidRPr="00BB0D27">
        <w:rPr>
          <w:noProof/>
        </w:rPr>
        <w:t>zczególnych państwach,</w:t>
      </w:r>
      <w:r w:rsidR="00B73D99" w:rsidRPr="00BB0D27">
        <w:rPr>
          <w:noProof/>
        </w:rPr>
        <w:t xml:space="preserve"> i</w:t>
      </w:r>
      <w:r w:rsidR="00B73D99">
        <w:rPr>
          <w:noProof/>
        </w:rPr>
        <w:t> </w:t>
      </w:r>
      <w:r w:rsidR="00B73D99" w:rsidRPr="00BB0D27">
        <w:rPr>
          <w:noProof/>
        </w:rPr>
        <w:t>mog</w:t>
      </w:r>
      <w:r w:rsidR="008F74AA" w:rsidRPr="00BB0D27">
        <w:rPr>
          <w:noProof/>
        </w:rPr>
        <w:t>ą być narażone na dodatkowe koszty transakcyjne związane</w:t>
      </w:r>
      <w:r w:rsidR="00B73D99" w:rsidRPr="00BB0D27">
        <w:rPr>
          <w:noProof/>
        </w:rPr>
        <w:t xml:space="preserve"> z</w:t>
      </w:r>
      <w:r w:rsidR="00B73D99">
        <w:rPr>
          <w:noProof/>
        </w:rPr>
        <w:t> </w:t>
      </w:r>
      <w:r w:rsidR="00B73D99" w:rsidRPr="00BB0D27">
        <w:rPr>
          <w:noProof/>
        </w:rPr>
        <w:t>uzy</w:t>
      </w:r>
      <w:r w:rsidR="008F74AA" w:rsidRPr="00BB0D27">
        <w:rPr>
          <w:noProof/>
        </w:rPr>
        <w:t>skaniem niezbędnej porady prawnej</w:t>
      </w:r>
      <w:r w:rsidR="00B73D99" w:rsidRPr="00BB0D27">
        <w:rPr>
          <w:noProof/>
        </w:rPr>
        <w:t xml:space="preserve"> w</w:t>
      </w:r>
      <w:r w:rsidR="00B73D99">
        <w:rPr>
          <w:noProof/>
        </w:rPr>
        <w:t> </w:t>
      </w:r>
      <w:r w:rsidR="00B73D99" w:rsidRPr="00BB0D27">
        <w:rPr>
          <w:noProof/>
        </w:rPr>
        <w:t>cel</w:t>
      </w:r>
      <w:r w:rsidR="008F74AA" w:rsidRPr="00BB0D27">
        <w:rPr>
          <w:noProof/>
        </w:rPr>
        <w:t>u poznania wymogów określonych</w:t>
      </w:r>
      <w:r w:rsidR="00B73D99" w:rsidRPr="00BB0D27">
        <w:rPr>
          <w:noProof/>
        </w:rPr>
        <w:t xml:space="preserve"> w</w:t>
      </w:r>
      <w:r w:rsidR="00B73D99">
        <w:rPr>
          <w:noProof/>
        </w:rPr>
        <w:t> </w:t>
      </w:r>
      <w:r w:rsidR="00B73D99" w:rsidRPr="00BB0D27">
        <w:rPr>
          <w:noProof/>
        </w:rPr>
        <w:t>pra</w:t>
      </w:r>
      <w:r w:rsidR="008F74AA" w:rsidRPr="00BB0D27">
        <w:rPr>
          <w:noProof/>
        </w:rPr>
        <w:t>wie państwa członkowskiego będącego miejscem zwykłego pobytu konsumenta, mających zastosowanie zgodnie</w:t>
      </w:r>
      <w:r w:rsidR="00B73D99" w:rsidRPr="00BB0D27">
        <w:rPr>
          <w:noProof/>
        </w:rPr>
        <w:t xml:space="preserve"> z</w:t>
      </w:r>
      <w:r w:rsidR="00B73D99">
        <w:rPr>
          <w:noProof/>
        </w:rPr>
        <w:t> </w:t>
      </w:r>
      <w:r w:rsidR="00B73D99" w:rsidRPr="00BB0D27">
        <w:rPr>
          <w:noProof/>
        </w:rPr>
        <w:t>roz</w:t>
      </w:r>
      <w:r w:rsidR="008F74AA" w:rsidRPr="00BB0D27">
        <w:rPr>
          <w:noProof/>
        </w:rPr>
        <w:t>porządzeniem Parlamentu Europejskiego</w:t>
      </w:r>
      <w:r w:rsidR="00B73D99" w:rsidRPr="00BB0D27">
        <w:rPr>
          <w:noProof/>
        </w:rPr>
        <w:t xml:space="preserve"> i</w:t>
      </w:r>
      <w:r w:rsidR="00B73D99">
        <w:rPr>
          <w:noProof/>
        </w:rPr>
        <w:t> </w:t>
      </w:r>
      <w:r w:rsidR="00B73D99" w:rsidRPr="00BB0D27">
        <w:rPr>
          <w:noProof/>
        </w:rPr>
        <w:t>Rad</w:t>
      </w:r>
      <w:r w:rsidR="008F74AA" w:rsidRPr="00BB0D27">
        <w:rPr>
          <w:noProof/>
        </w:rPr>
        <w:t xml:space="preserve">y (WE) </w:t>
      </w:r>
      <w:r w:rsidR="008F74AA" w:rsidRPr="00B73D99">
        <w:rPr>
          <w:noProof/>
        </w:rPr>
        <w:t>nr</w:t>
      </w:r>
      <w:r w:rsidR="00B73D99" w:rsidRPr="00B73D99">
        <w:rPr>
          <w:noProof/>
        </w:rPr>
        <w:t> </w:t>
      </w:r>
      <w:r w:rsidR="008F74AA" w:rsidRPr="00B73D99">
        <w:rPr>
          <w:noProof/>
        </w:rPr>
        <w:t>5</w:t>
      </w:r>
      <w:r w:rsidR="008F74AA" w:rsidRPr="00BB0D27">
        <w:rPr>
          <w:noProof/>
        </w:rPr>
        <w:t>93/2008</w:t>
      </w:r>
      <w:r w:rsidR="0004115F" w:rsidRPr="00BB0D27">
        <w:rPr>
          <w:rStyle w:val="FootnoteReference"/>
          <w:noProof/>
        </w:rPr>
        <w:footnoteReference w:id="14"/>
      </w:r>
      <w:r w:rsidR="008F74AA" w:rsidRPr="00BB0D27">
        <w:rPr>
          <w:noProof/>
        </w:rPr>
        <w:t>, oraz</w:t>
      </w:r>
      <w:r w:rsidR="00B73D99" w:rsidRPr="00BB0D27">
        <w:rPr>
          <w:noProof/>
        </w:rPr>
        <w:t xml:space="preserve"> z</w:t>
      </w:r>
      <w:r w:rsidR="00B73D99">
        <w:rPr>
          <w:noProof/>
        </w:rPr>
        <w:t> </w:t>
      </w:r>
      <w:r w:rsidR="00B73D99" w:rsidRPr="00BB0D27">
        <w:rPr>
          <w:noProof/>
        </w:rPr>
        <w:t>odp</w:t>
      </w:r>
      <w:r w:rsidR="008F74AA" w:rsidRPr="00BB0D27">
        <w:rPr>
          <w:noProof/>
        </w:rPr>
        <w:t>owiednim dostosowaniem swoich umów na świadczenie usług naprawczych. Dotyczyć to będzie</w:t>
      </w:r>
      <w:r w:rsidR="00B73D99" w:rsidRPr="00BB0D27">
        <w:rPr>
          <w:noProof/>
        </w:rPr>
        <w:t xml:space="preserve"> w</w:t>
      </w:r>
      <w:r w:rsidR="00B73D99">
        <w:rPr>
          <w:noProof/>
        </w:rPr>
        <w:t> </w:t>
      </w:r>
      <w:r w:rsidR="00B73D99" w:rsidRPr="00BB0D27">
        <w:rPr>
          <w:noProof/>
        </w:rPr>
        <w:t>szc</w:t>
      </w:r>
      <w:r w:rsidR="008F74AA" w:rsidRPr="00BB0D27">
        <w:rPr>
          <w:noProof/>
        </w:rPr>
        <w:t>zególności małych</w:t>
      </w:r>
      <w:r w:rsidR="00B73D99" w:rsidRPr="00BB0D27">
        <w:rPr>
          <w:noProof/>
        </w:rPr>
        <w:t xml:space="preserve"> i</w:t>
      </w:r>
      <w:r w:rsidR="00B73D99">
        <w:rPr>
          <w:noProof/>
        </w:rPr>
        <w:t> </w:t>
      </w:r>
      <w:r w:rsidR="00B73D99" w:rsidRPr="00BB0D27">
        <w:rPr>
          <w:noProof/>
        </w:rPr>
        <w:t>śre</w:t>
      </w:r>
      <w:r w:rsidR="008F74AA" w:rsidRPr="00BB0D27">
        <w:rPr>
          <w:noProof/>
        </w:rPr>
        <w:t>dnich przedsiębiorstw, gdyż to właśnie ich najwięcej działa</w:t>
      </w:r>
      <w:r w:rsidR="00B73D99" w:rsidRPr="00BB0D27">
        <w:rPr>
          <w:noProof/>
        </w:rPr>
        <w:t xml:space="preserve"> w</w:t>
      </w:r>
      <w:r w:rsidR="00B73D99">
        <w:rPr>
          <w:noProof/>
        </w:rPr>
        <w:t> </w:t>
      </w:r>
      <w:r w:rsidR="00B73D99" w:rsidRPr="00BB0D27">
        <w:rPr>
          <w:noProof/>
        </w:rPr>
        <w:t>sek</w:t>
      </w:r>
      <w:r w:rsidR="008F74AA" w:rsidRPr="00BB0D27">
        <w:rPr>
          <w:noProof/>
        </w:rPr>
        <w:t>torze napraw. Zróżnicowanie przepisów może również negatywnie wpływać na zaufanie konsumentów do napraw transgranicznych</w:t>
      </w:r>
      <w:r w:rsidR="00B73D99" w:rsidRPr="00BB0D27">
        <w:rPr>
          <w:noProof/>
        </w:rPr>
        <w:t xml:space="preserve"> z</w:t>
      </w:r>
      <w:r w:rsidR="00B73D99">
        <w:rPr>
          <w:noProof/>
        </w:rPr>
        <w:t> </w:t>
      </w:r>
      <w:r w:rsidR="00B73D99" w:rsidRPr="00BB0D27">
        <w:rPr>
          <w:noProof/>
        </w:rPr>
        <w:t>uwa</w:t>
      </w:r>
      <w:r w:rsidR="008F74AA" w:rsidRPr="00BB0D27">
        <w:rPr>
          <w:noProof/>
        </w:rPr>
        <w:t>gi na niepewność dotyczącą czynników istotnych przy decydowaniu</w:t>
      </w:r>
      <w:r w:rsidR="00B73D99" w:rsidRPr="00BB0D27">
        <w:rPr>
          <w:noProof/>
        </w:rPr>
        <w:t xml:space="preserve"> o</w:t>
      </w:r>
      <w:r w:rsidR="00B73D99">
        <w:rPr>
          <w:noProof/>
        </w:rPr>
        <w:t> </w:t>
      </w:r>
      <w:r w:rsidR="00B73D99" w:rsidRPr="00BB0D27">
        <w:rPr>
          <w:noProof/>
        </w:rPr>
        <w:t>nap</w:t>
      </w:r>
      <w:r w:rsidR="008F74AA" w:rsidRPr="00BB0D27">
        <w:rPr>
          <w:noProof/>
        </w:rPr>
        <w:t>rawie towarów.</w:t>
      </w:r>
    </w:p>
    <w:p w:rsidR="00AF2E1B" w:rsidRPr="00BB0D27" w:rsidRDefault="001C4EB9" w:rsidP="001C4EB9">
      <w:pPr>
        <w:pStyle w:val="ManualConsidrant"/>
        <w:rPr>
          <w:noProof/>
        </w:rPr>
      </w:pPr>
      <w:r w:rsidRPr="001C4EB9">
        <w:t>(3)</w:t>
      </w:r>
      <w:r w:rsidRPr="001C4EB9">
        <w:tab/>
      </w:r>
      <w:r w:rsidR="00316106" w:rsidRPr="00BB0D27">
        <w:rPr>
          <w:noProof/>
        </w:rPr>
        <w:t>Aby ograniczyć przedwczesne pozbywanie się funkcjonalnych towarów nabywanych przez konsumentów</w:t>
      </w:r>
      <w:r w:rsidR="00B73D99" w:rsidRPr="00BB0D27">
        <w:rPr>
          <w:noProof/>
        </w:rPr>
        <w:t xml:space="preserve"> i</w:t>
      </w:r>
      <w:r w:rsidR="00B73D99">
        <w:rPr>
          <w:noProof/>
        </w:rPr>
        <w:t> </w:t>
      </w:r>
      <w:r w:rsidR="00B73D99" w:rsidRPr="00BB0D27">
        <w:rPr>
          <w:noProof/>
        </w:rPr>
        <w:t>zac</w:t>
      </w:r>
      <w:r w:rsidR="00316106" w:rsidRPr="00BB0D27">
        <w:rPr>
          <w:noProof/>
        </w:rPr>
        <w:t>hęcić konsumentów do dłuższego użytkowania towarów, konieczne jest ustanowienie przepisów dotyczących ich naprawy. Naprawy powinny zaowocować bardziej zrównoważoną konsumpcją –</w:t>
      </w:r>
      <w:r w:rsidR="00B73D99" w:rsidRPr="00BB0D27">
        <w:rPr>
          <w:noProof/>
        </w:rPr>
        <w:t xml:space="preserve"> z</w:t>
      </w:r>
      <w:r w:rsidR="00B73D99">
        <w:rPr>
          <w:noProof/>
        </w:rPr>
        <w:t> </w:t>
      </w:r>
      <w:r w:rsidR="00B73D99" w:rsidRPr="00BB0D27">
        <w:rPr>
          <w:noProof/>
        </w:rPr>
        <w:t>uwa</w:t>
      </w:r>
      <w:r w:rsidR="00316106" w:rsidRPr="00BB0D27">
        <w:rPr>
          <w:noProof/>
        </w:rPr>
        <w:t>gi na prawdopodobieństwo zmniejszenia ilości odpadów</w:t>
      </w:r>
      <w:r w:rsidR="00B73D99" w:rsidRPr="00BB0D27">
        <w:rPr>
          <w:noProof/>
        </w:rPr>
        <w:t xml:space="preserve"> w</w:t>
      </w:r>
      <w:r w:rsidR="00B73D99">
        <w:rPr>
          <w:noProof/>
        </w:rPr>
        <w:t> </w:t>
      </w:r>
      <w:r w:rsidR="00B73D99" w:rsidRPr="00BB0D27">
        <w:rPr>
          <w:noProof/>
        </w:rPr>
        <w:t>pos</w:t>
      </w:r>
      <w:r w:rsidR="00316106" w:rsidRPr="00BB0D27">
        <w:rPr>
          <w:noProof/>
        </w:rPr>
        <w:t>taci zużytych towarów – mniejszym zapotrzebowaniem na zasoby,</w:t>
      </w:r>
      <w:r w:rsidR="00B73D99" w:rsidRPr="00BB0D27">
        <w:rPr>
          <w:noProof/>
        </w:rPr>
        <w:t xml:space="preserve"> w</w:t>
      </w:r>
      <w:r w:rsidR="00B73D99">
        <w:rPr>
          <w:noProof/>
        </w:rPr>
        <w:t> </w:t>
      </w:r>
      <w:r w:rsidR="00B73D99" w:rsidRPr="00BB0D27">
        <w:rPr>
          <w:noProof/>
        </w:rPr>
        <w:t>tym</w:t>
      </w:r>
      <w:r w:rsidR="00316106" w:rsidRPr="00BB0D27">
        <w:rPr>
          <w:noProof/>
        </w:rPr>
        <w:t xml:space="preserve"> na energię elektryczną, wynikającym</w:t>
      </w:r>
      <w:r w:rsidR="00B73D99" w:rsidRPr="00BB0D27">
        <w:rPr>
          <w:noProof/>
        </w:rPr>
        <w:t xml:space="preserve"> z</w:t>
      </w:r>
      <w:r w:rsidR="00B73D99">
        <w:rPr>
          <w:noProof/>
        </w:rPr>
        <w:t> </w:t>
      </w:r>
      <w:r w:rsidR="00B73D99" w:rsidRPr="00BB0D27">
        <w:rPr>
          <w:noProof/>
        </w:rPr>
        <w:t>pro</w:t>
      </w:r>
      <w:r w:rsidR="00316106" w:rsidRPr="00BB0D27">
        <w:rPr>
          <w:noProof/>
        </w:rPr>
        <w:t>cesu produkcji</w:t>
      </w:r>
      <w:r w:rsidR="00B73D99" w:rsidRPr="00BB0D27">
        <w:rPr>
          <w:noProof/>
        </w:rPr>
        <w:t xml:space="preserve"> i</w:t>
      </w:r>
      <w:r w:rsidR="00B73D99">
        <w:rPr>
          <w:noProof/>
        </w:rPr>
        <w:t> </w:t>
      </w:r>
      <w:r w:rsidR="00B73D99" w:rsidRPr="00BB0D27">
        <w:rPr>
          <w:noProof/>
        </w:rPr>
        <w:t>spr</w:t>
      </w:r>
      <w:r w:rsidR="00316106" w:rsidRPr="00BB0D27">
        <w:rPr>
          <w:noProof/>
        </w:rPr>
        <w:t>zedaży nowych towarów zastępujących towary wadliwe, jak również mniejszą emisją gazów cieplarnianych. Niniejsza dyrektywa promuje zrównoważoną konsumpcję</w:t>
      </w:r>
      <w:r w:rsidR="00B73D99" w:rsidRPr="00BB0D27">
        <w:rPr>
          <w:noProof/>
        </w:rPr>
        <w:t xml:space="preserve"> z</w:t>
      </w:r>
      <w:r w:rsidR="00B73D99">
        <w:rPr>
          <w:noProof/>
        </w:rPr>
        <w:t> </w:t>
      </w:r>
      <w:r w:rsidR="00B73D99" w:rsidRPr="00BB0D27">
        <w:rPr>
          <w:noProof/>
        </w:rPr>
        <w:t>kor</w:t>
      </w:r>
      <w:r w:rsidR="00316106" w:rsidRPr="00BB0D27">
        <w:rPr>
          <w:noProof/>
        </w:rPr>
        <w:t>zyścią dla środowiska, jak również przyniesie korzyści konsumentom, którzy unikną kosztów związanych</w:t>
      </w:r>
      <w:r w:rsidR="00B73D99" w:rsidRPr="00BB0D27">
        <w:rPr>
          <w:noProof/>
        </w:rPr>
        <w:t xml:space="preserve"> z</w:t>
      </w:r>
      <w:r w:rsidR="00B73D99">
        <w:rPr>
          <w:noProof/>
        </w:rPr>
        <w:t> </w:t>
      </w:r>
      <w:r w:rsidR="00B73D99" w:rsidRPr="00BB0D27">
        <w:rPr>
          <w:noProof/>
        </w:rPr>
        <w:t>nab</w:t>
      </w:r>
      <w:r w:rsidR="00316106" w:rsidRPr="00BB0D27">
        <w:rPr>
          <w:noProof/>
        </w:rPr>
        <w:t>ywaniem nowych towarów</w:t>
      </w:r>
      <w:r w:rsidR="00B73D99" w:rsidRPr="00BB0D27">
        <w:rPr>
          <w:noProof/>
        </w:rPr>
        <w:t xml:space="preserve"> w</w:t>
      </w:r>
      <w:r w:rsidR="00B73D99">
        <w:rPr>
          <w:noProof/>
        </w:rPr>
        <w:t> </w:t>
      </w:r>
      <w:r w:rsidR="00B73D99" w:rsidRPr="00BB0D27">
        <w:rPr>
          <w:noProof/>
        </w:rPr>
        <w:t>per</w:t>
      </w:r>
      <w:r w:rsidR="00316106" w:rsidRPr="00BB0D27">
        <w:rPr>
          <w:noProof/>
        </w:rPr>
        <w:t>spektywie krótkoterminowej.</w:t>
      </w:r>
    </w:p>
    <w:p w:rsidR="00AF2E1B" w:rsidRPr="00BB0D27" w:rsidRDefault="001C4EB9" w:rsidP="001C4EB9">
      <w:pPr>
        <w:pStyle w:val="ManualConsidrant"/>
        <w:rPr>
          <w:noProof/>
        </w:rPr>
      </w:pPr>
      <w:r w:rsidRPr="001C4EB9">
        <w:t>(4)</w:t>
      </w:r>
      <w:r w:rsidRPr="001C4EB9">
        <w:tab/>
      </w:r>
      <w:r w:rsidR="00AF2E1B" w:rsidRPr="00BB0D27">
        <w:rPr>
          <w:noProof/>
        </w:rPr>
        <w:t>W rozporządzeniu Parlamentu Europejskiego</w:t>
      </w:r>
      <w:r w:rsidR="00B73D99" w:rsidRPr="00BB0D27">
        <w:rPr>
          <w:noProof/>
        </w:rPr>
        <w:t xml:space="preserve"> i</w:t>
      </w:r>
      <w:r w:rsidR="00B73D99">
        <w:rPr>
          <w:noProof/>
        </w:rPr>
        <w:t> </w:t>
      </w:r>
      <w:r w:rsidR="00B73D99" w:rsidRPr="00BB0D27">
        <w:rPr>
          <w:noProof/>
        </w:rPr>
        <w:t>Rad</w:t>
      </w:r>
      <w:r w:rsidR="00AF2E1B" w:rsidRPr="00BB0D27">
        <w:rPr>
          <w:noProof/>
        </w:rPr>
        <w:t>y (UE) […/…] [w sprawie ekoprojektu dla zrównoważonych produktów] określono</w:t>
      </w:r>
      <w:r w:rsidR="00B73D99" w:rsidRPr="00BB0D27">
        <w:rPr>
          <w:noProof/>
        </w:rPr>
        <w:t xml:space="preserve"> w</w:t>
      </w:r>
      <w:r w:rsidR="00B73D99">
        <w:rPr>
          <w:noProof/>
        </w:rPr>
        <w:t> </w:t>
      </w:r>
      <w:r w:rsidR="00B73D99" w:rsidRPr="00BB0D27">
        <w:rPr>
          <w:noProof/>
        </w:rPr>
        <w:t>szc</w:t>
      </w:r>
      <w:r w:rsidR="00AF2E1B" w:rsidRPr="00BB0D27">
        <w:rPr>
          <w:noProof/>
        </w:rPr>
        <w:t>zególności wymogi po stronie podaży służące osiągnięciu celu jakim jest projektowanie bardziej zrównoważonych produktów na etapie produkcji</w:t>
      </w:r>
      <w:r w:rsidR="00B73D99" w:rsidRPr="00BB0D27">
        <w:rPr>
          <w:noProof/>
        </w:rPr>
        <w:t>. W</w:t>
      </w:r>
      <w:r w:rsidR="00B73D99">
        <w:rPr>
          <w:noProof/>
        </w:rPr>
        <w:t> </w:t>
      </w:r>
      <w:r w:rsidR="00B73D99" w:rsidRPr="00BB0D27">
        <w:rPr>
          <w:noProof/>
        </w:rPr>
        <w:t>dyr</w:t>
      </w:r>
      <w:r w:rsidR="00AF2E1B" w:rsidRPr="00BB0D27">
        <w:rPr>
          <w:noProof/>
        </w:rPr>
        <w:t>ektywie Parlamentu Europejskiego</w:t>
      </w:r>
      <w:r w:rsidR="00B73D99" w:rsidRPr="00BB0D27">
        <w:rPr>
          <w:noProof/>
        </w:rPr>
        <w:t xml:space="preserve"> i</w:t>
      </w:r>
      <w:r w:rsidR="00B73D99">
        <w:rPr>
          <w:noProof/>
        </w:rPr>
        <w:t> </w:t>
      </w:r>
      <w:r w:rsidR="00B73D99" w:rsidRPr="00BB0D27">
        <w:rPr>
          <w:noProof/>
        </w:rPr>
        <w:t>Rad</w:t>
      </w:r>
      <w:r w:rsidR="00AF2E1B" w:rsidRPr="00BB0D27">
        <w:rPr>
          <w:noProof/>
        </w:rPr>
        <w:t>y (UE) […/…] [w sprawie wzmocnienia pozycji konsumentów</w:t>
      </w:r>
      <w:r w:rsidR="00B73D99" w:rsidRPr="00BB0D27">
        <w:rPr>
          <w:noProof/>
        </w:rPr>
        <w:t xml:space="preserve"> w</w:t>
      </w:r>
      <w:r w:rsidR="00B73D99">
        <w:rPr>
          <w:noProof/>
        </w:rPr>
        <w:t> </w:t>
      </w:r>
      <w:r w:rsidR="00B73D99" w:rsidRPr="00BB0D27">
        <w:rPr>
          <w:noProof/>
        </w:rPr>
        <w:t>pro</w:t>
      </w:r>
      <w:r w:rsidR="00AF2E1B" w:rsidRPr="00BB0D27">
        <w:rPr>
          <w:noProof/>
        </w:rPr>
        <w:t>cesie transformacji ekologicznej] określono wymogi po stronie popytu, polegające na zapewnieniu</w:t>
      </w:r>
      <w:r w:rsidR="00B73D99" w:rsidRPr="00BB0D27">
        <w:rPr>
          <w:noProof/>
        </w:rPr>
        <w:t xml:space="preserve"> w</w:t>
      </w:r>
      <w:r w:rsidR="00B73D99">
        <w:rPr>
          <w:noProof/>
        </w:rPr>
        <w:t> </w:t>
      </w:r>
      <w:r w:rsidR="00B73D99" w:rsidRPr="00BB0D27">
        <w:rPr>
          <w:noProof/>
        </w:rPr>
        <w:t>pun</w:t>
      </w:r>
      <w:r w:rsidR="00AF2E1B" w:rsidRPr="00BB0D27">
        <w:rPr>
          <w:noProof/>
        </w:rPr>
        <w:t>kcie sprzedaży pełniejszych informacji</w:t>
      </w:r>
      <w:r w:rsidR="00B73D99" w:rsidRPr="00BB0D27">
        <w:rPr>
          <w:noProof/>
        </w:rPr>
        <w:t xml:space="preserve"> o</w:t>
      </w:r>
      <w:r w:rsidR="00B73D99">
        <w:rPr>
          <w:noProof/>
        </w:rPr>
        <w:t> </w:t>
      </w:r>
      <w:r w:rsidR="00B73D99" w:rsidRPr="00BB0D27">
        <w:rPr>
          <w:noProof/>
        </w:rPr>
        <w:t>trw</w:t>
      </w:r>
      <w:r w:rsidR="00AF2E1B" w:rsidRPr="00BB0D27">
        <w:rPr>
          <w:noProof/>
        </w:rPr>
        <w:t>ałości</w:t>
      </w:r>
      <w:r w:rsidR="00B73D99" w:rsidRPr="00BB0D27">
        <w:rPr>
          <w:noProof/>
        </w:rPr>
        <w:t xml:space="preserve"> i</w:t>
      </w:r>
      <w:r w:rsidR="00B73D99">
        <w:rPr>
          <w:noProof/>
        </w:rPr>
        <w:t> </w:t>
      </w:r>
      <w:r w:rsidR="00B73D99" w:rsidRPr="00BB0D27">
        <w:rPr>
          <w:noProof/>
        </w:rPr>
        <w:t>moż</w:t>
      </w:r>
      <w:r w:rsidR="00AF2E1B" w:rsidRPr="00BB0D27">
        <w:rPr>
          <w:noProof/>
        </w:rPr>
        <w:t>liwości naprawy towarów, co powinno umożliwić konsumentom podejmowanie świadomych</w:t>
      </w:r>
      <w:r w:rsidR="00B73D99" w:rsidRPr="00BB0D27">
        <w:rPr>
          <w:noProof/>
        </w:rPr>
        <w:t xml:space="preserve"> i</w:t>
      </w:r>
      <w:r w:rsidR="00B73D99">
        <w:rPr>
          <w:noProof/>
        </w:rPr>
        <w:t> </w:t>
      </w:r>
      <w:r w:rsidR="00B73D99" w:rsidRPr="00BB0D27">
        <w:rPr>
          <w:noProof/>
        </w:rPr>
        <w:t>zró</w:t>
      </w:r>
      <w:r w:rsidR="00AF2E1B" w:rsidRPr="00BB0D27">
        <w:rPr>
          <w:noProof/>
        </w:rPr>
        <w:t>wnoważonych decyzji zakupowych</w:t>
      </w:r>
      <w:r w:rsidR="00B73D99" w:rsidRPr="00BB0D27">
        <w:rPr>
          <w:noProof/>
        </w:rPr>
        <w:t>. W</w:t>
      </w:r>
      <w:r w:rsidR="00B73D99">
        <w:rPr>
          <w:noProof/>
        </w:rPr>
        <w:t> </w:t>
      </w:r>
      <w:r w:rsidR="00B73D99" w:rsidRPr="00BB0D27">
        <w:rPr>
          <w:noProof/>
        </w:rPr>
        <w:t>nin</w:t>
      </w:r>
      <w:r w:rsidR="00AF2E1B" w:rsidRPr="00BB0D27">
        <w:rPr>
          <w:noProof/>
        </w:rPr>
        <w:t>iejszej dyrektywie uzupełniono wspomniane wymogi po stronie podaży</w:t>
      </w:r>
      <w:r w:rsidR="00B73D99" w:rsidRPr="00BB0D27">
        <w:rPr>
          <w:noProof/>
        </w:rPr>
        <w:t xml:space="preserve"> i</w:t>
      </w:r>
      <w:r w:rsidR="00B73D99">
        <w:rPr>
          <w:noProof/>
        </w:rPr>
        <w:t> </w:t>
      </w:r>
      <w:r w:rsidR="00B73D99" w:rsidRPr="00BB0D27">
        <w:rPr>
          <w:noProof/>
        </w:rPr>
        <w:t>pop</w:t>
      </w:r>
      <w:r w:rsidR="00AF2E1B" w:rsidRPr="00BB0D27">
        <w:rPr>
          <w:noProof/>
        </w:rPr>
        <w:t>ytu</w:t>
      </w:r>
      <w:r w:rsidR="00B73D99" w:rsidRPr="00BB0D27">
        <w:rPr>
          <w:noProof/>
        </w:rPr>
        <w:t xml:space="preserve"> o</w:t>
      </w:r>
      <w:r w:rsidR="00B73D99">
        <w:rPr>
          <w:noProof/>
        </w:rPr>
        <w:t> </w:t>
      </w:r>
      <w:r w:rsidR="00B73D99" w:rsidRPr="00BB0D27">
        <w:rPr>
          <w:noProof/>
        </w:rPr>
        <w:t>pro</w:t>
      </w:r>
      <w:r w:rsidR="00AF2E1B" w:rsidRPr="00BB0D27">
        <w:rPr>
          <w:noProof/>
        </w:rPr>
        <w:t>mowanie napraw</w:t>
      </w:r>
      <w:r w:rsidR="00B73D99" w:rsidRPr="00BB0D27">
        <w:rPr>
          <w:noProof/>
        </w:rPr>
        <w:t xml:space="preserve"> i</w:t>
      </w:r>
      <w:r w:rsidR="00B73D99">
        <w:rPr>
          <w:noProof/>
        </w:rPr>
        <w:t> </w:t>
      </w:r>
      <w:r w:rsidR="00B73D99" w:rsidRPr="00BB0D27">
        <w:rPr>
          <w:noProof/>
        </w:rPr>
        <w:t>pon</w:t>
      </w:r>
      <w:r w:rsidR="00AF2E1B" w:rsidRPr="00BB0D27">
        <w:rPr>
          <w:noProof/>
        </w:rPr>
        <w:t>ownego użycia na etapie posprzedażowym, zarówno</w:t>
      </w:r>
      <w:r w:rsidR="00B73D99" w:rsidRPr="00BB0D27">
        <w:rPr>
          <w:noProof/>
        </w:rPr>
        <w:t xml:space="preserve"> w</w:t>
      </w:r>
      <w:r w:rsidR="00B73D99">
        <w:rPr>
          <w:noProof/>
        </w:rPr>
        <w:t> </w:t>
      </w:r>
      <w:r w:rsidR="00B73D99" w:rsidRPr="00BB0D27">
        <w:rPr>
          <w:noProof/>
        </w:rPr>
        <w:t>zak</w:t>
      </w:r>
      <w:r w:rsidR="00AF2E1B" w:rsidRPr="00BB0D27">
        <w:rPr>
          <w:noProof/>
        </w:rPr>
        <w:t>resie odpowiedzialności sprzedawcy ustanowionej dyrektywą (UE) 2019/771, jak</w:t>
      </w:r>
      <w:r w:rsidR="00B73D99" w:rsidRPr="00BB0D27">
        <w:rPr>
          <w:noProof/>
        </w:rPr>
        <w:t xml:space="preserve"> i</w:t>
      </w:r>
      <w:r w:rsidR="00B73D99">
        <w:rPr>
          <w:noProof/>
        </w:rPr>
        <w:t> </w:t>
      </w:r>
      <w:r w:rsidR="00B73D99" w:rsidRPr="00BB0D27">
        <w:rPr>
          <w:noProof/>
        </w:rPr>
        <w:t>poz</w:t>
      </w:r>
      <w:r w:rsidR="00AF2E1B" w:rsidRPr="00BB0D27">
        <w:rPr>
          <w:noProof/>
        </w:rPr>
        <w:t>a tym zakresem. Niniejsza dyrektywa służy zatem osiąganiu celów Europejskiego Zielonego Ładu polegających na promowaniu bardziej zrównoważonej konsumpcji, gospodarki</w:t>
      </w:r>
      <w:r w:rsidR="00B73D99" w:rsidRPr="00BB0D27">
        <w:rPr>
          <w:noProof/>
        </w:rPr>
        <w:t xml:space="preserve"> o</w:t>
      </w:r>
      <w:r w:rsidR="00B73D99">
        <w:rPr>
          <w:noProof/>
        </w:rPr>
        <w:t> </w:t>
      </w:r>
      <w:r w:rsidR="00B73D99" w:rsidRPr="00BB0D27">
        <w:rPr>
          <w:noProof/>
        </w:rPr>
        <w:t>obi</w:t>
      </w:r>
      <w:r w:rsidR="00AF2E1B" w:rsidRPr="00BB0D27">
        <w:rPr>
          <w:noProof/>
        </w:rPr>
        <w:t>egu zamkniętym</w:t>
      </w:r>
      <w:r w:rsidR="00B73D99" w:rsidRPr="00BB0D27">
        <w:rPr>
          <w:noProof/>
        </w:rPr>
        <w:t xml:space="preserve"> i</w:t>
      </w:r>
      <w:r w:rsidR="00B73D99">
        <w:rPr>
          <w:noProof/>
        </w:rPr>
        <w:t> </w:t>
      </w:r>
      <w:r w:rsidR="00B73D99" w:rsidRPr="00BB0D27">
        <w:rPr>
          <w:noProof/>
        </w:rPr>
        <w:t>tra</w:t>
      </w:r>
      <w:r w:rsidR="00AF2E1B" w:rsidRPr="00BB0D27">
        <w:rPr>
          <w:noProof/>
        </w:rPr>
        <w:t>nsformacji ekologicznej.</w:t>
      </w:r>
    </w:p>
    <w:p w:rsidR="00F5352F" w:rsidRPr="00BB0D27" w:rsidRDefault="001C4EB9" w:rsidP="001C4EB9">
      <w:pPr>
        <w:pStyle w:val="ManualConsidrant"/>
        <w:rPr>
          <w:noProof/>
        </w:rPr>
      </w:pPr>
      <w:r w:rsidRPr="001C4EB9">
        <w:t>(5)</w:t>
      </w:r>
      <w:r w:rsidRPr="001C4EB9">
        <w:tab/>
      </w:r>
      <w:r w:rsidR="00AF2E1B" w:rsidRPr="00BB0D27">
        <w:rPr>
          <w:noProof/>
        </w:rPr>
        <w:t>Niniejsza dyrektywa nie powinna wpływać na możliwość regulowania przez państwa członkowskie kwestii związanych</w:t>
      </w:r>
      <w:r w:rsidR="00B73D99" w:rsidRPr="00BB0D27">
        <w:rPr>
          <w:noProof/>
        </w:rPr>
        <w:t xml:space="preserve"> z</w:t>
      </w:r>
      <w:r w:rsidR="00B73D99">
        <w:rPr>
          <w:noProof/>
        </w:rPr>
        <w:t> </w:t>
      </w:r>
      <w:r w:rsidR="00B73D99" w:rsidRPr="00BB0D27">
        <w:rPr>
          <w:noProof/>
        </w:rPr>
        <w:t>umo</w:t>
      </w:r>
      <w:r w:rsidR="00AF2E1B" w:rsidRPr="00BB0D27">
        <w:rPr>
          <w:noProof/>
        </w:rPr>
        <w:t>wami na świadczenie usług naprawczych innych niż kwestie zharmonizowane</w:t>
      </w:r>
      <w:r w:rsidR="00B73D99" w:rsidRPr="00BB0D27">
        <w:rPr>
          <w:noProof/>
        </w:rPr>
        <w:t xml:space="preserve"> w</w:t>
      </w:r>
      <w:r w:rsidR="00B73D99">
        <w:rPr>
          <w:noProof/>
        </w:rPr>
        <w:t> </w:t>
      </w:r>
      <w:r w:rsidR="00B73D99" w:rsidRPr="00BB0D27">
        <w:rPr>
          <w:noProof/>
        </w:rPr>
        <w:t>pra</w:t>
      </w:r>
      <w:r w:rsidR="00AF2E1B" w:rsidRPr="00BB0D27">
        <w:rPr>
          <w:noProof/>
        </w:rPr>
        <w:t>wie Unii. </w:t>
      </w:r>
    </w:p>
    <w:p w:rsidR="00AF2E1B" w:rsidRPr="00BB0D27" w:rsidRDefault="001C4EB9" w:rsidP="001C4EB9">
      <w:pPr>
        <w:pStyle w:val="ManualConsidrant"/>
        <w:rPr>
          <w:noProof/>
        </w:rPr>
      </w:pPr>
      <w:r w:rsidRPr="001C4EB9">
        <w:t>(6)</w:t>
      </w:r>
      <w:r w:rsidRPr="001C4EB9">
        <w:tab/>
      </w:r>
      <w:r w:rsidR="00F5352F" w:rsidRPr="00BB0D27">
        <w:rPr>
          <w:noProof/>
        </w:rPr>
        <w:t>Wymogi dotyczące możliwości naprawy powinny obejmować wszystkie wymogi określone</w:t>
      </w:r>
      <w:r w:rsidR="00B73D99" w:rsidRPr="00BB0D27">
        <w:rPr>
          <w:noProof/>
        </w:rPr>
        <w:t xml:space="preserve"> w</w:t>
      </w:r>
      <w:r w:rsidR="00B73D99">
        <w:rPr>
          <w:noProof/>
        </w:rPr>
        <w:t> </w:t>
      </w:r>
      <w:r w:rsidR="00B73D99" w:rsidRPr="00BB0D27">
        <w:rPr>
          <w:noProof/>
        </w:rPr>
        <w:t>akt</w:t>
      </w:r>
      <w:r w:rsidR="00F5352F" w:rsidRPr="00BB0D27">
        <w:rPr>
          <w:noProof/>
        </w:rPr>
        <w:t>ach prawnych Unii zapewniających możliwość naprawy towarów,</w:t>
      </w:r>
      <w:r w:rsidR="00B73D99" w:rsidRPr="00BB0D27">
        <w:rPr>
          <w:noProof/>
        </w:rPr>
        <w:t xml:space="preserve"> w</w:t>
      </w:r>
      <w:r w:rsidR="00B73D99">
        <w:rPr>
          <w:noProof/>
        </w:rPr>
        <w:t> </w:t>
      </w:r>
      <w:r w:rsidR="00B73D99" w:rsidRPr="00BB0D27">
        <w:rPr>
          <w:noProof/>
        </w:rPr>
        <w:t>tym</w:t>
      </w:r>
      <w:r w:rsidR="00F5352F" w:rsidRPr="00BB0D27">
        <w:rPr>
          <w:noProof/>
        </w:rPr>
        <w:t xml:space="preserve"> między innymi wymogi wynikające</w:t>
      </w:r>
      <w:r w:rsidR="00B73D99" w:rsidRPr="00BB0D27">
        <w:rPr>
          <w:noProof/>
        </w:rPr>
        <w:t xml:space="preserve"> z</w:t>
      </w:r>
      <w:r w:rsidR="00B73D99">
        <w:rPr>
          <w:noProof/>
        </w:rPr>
        <w:t> </w:t>
      </w:r>
      <w:r w:rsidR="00B73D99" w:rsidRPr="00BB0D27">
        <w:rPr>
          <w:noProof/>
        </w:rPr>
        <w:t>ram</w:t>
      </w:r>
      <w:r w:rsidR="00F5352F" w:rsidRPr="00BB0D27">
        <w:rPr>
          <w:noProof/>
        </w:rPr>
        <w:t xml:space="preserve"> dla ekoprojektu,</w:t>
      </w:r>
      <w:r w:rsidR="00B73D99" w:rsidRPr="00BB0D27">
        <w:rPr>
          <w:noProof/>
        </w:rPr>
        <w:t xml:space="preserve"> o</w:t>
      </w:r>
      <w:r w:rsidR="00B73D99">
        <w:rPr>
          <w:noProof/>
        </w:rPr>
        <w:t> </w:t>
      </w:r>
      <w:r w:rsidR="00B73D99" w:rsidRPr="00BB0D27">
        <w:rPr>
          <w:noProof/>
        </w:rPr>
        <w:t>któ</w:t>
      </w:r>
      <w:r w:rsidR="00F5352F" w:rsidRPr="00BB0D27">
        <w:rPr>
          <w:noProof/>
        </w:rPr>
        <w:t>rych mowa</w:t>
      </w:r>
      <w:r w:rsidR="00B73D99" w:rsidRPr="00BB0D27">
        <w:rPr>
          <w:noProof/>
        </w:rPr>
        <w:t xml:space="preserve"> w</w:t>
      </w:r>
      <w:r w:rsidR="00B73D99">
        <w:rPr>
          <w:noProof/>
        </w:rPr>
        <w:t> </w:t>
      </w:r>
      <w:r w:rsidR="00B73D99" w:rsidRPr="00BB0D27">
        <w:rPr>
          <w:noProof/>
        </w:rPr>
        <w:t>roz</w:t>
      </w:r>
      <w:r w:rsidR="00F5352F" w:rsidRPr="00BB0D27">
        <w:rPr>
          <w:noProof/>
        </w:rPr>
        <w:t>porządzeniu [w sprawie ekoprojektu dla zrównoważonych produktów], aby objąć nimi szeroki zakres produktów, jak również przyszłe zmiany we wszelkich innych obszarach prawa Unii.</w:t>
      </w:r>
    </w:p>
    <w:p w:rsidR="00F5352F" w:rsidRPr="00BB0D27" w:rsidRDefault="001C4EB9" w:rsidP="001C4EB9">
      <w:pPr>
        <w:pStyle w:val="ManualConsidrant"/>
        <w:rPr>
          <w:noProof/>
        </w:rPr>
      </w:pPr>
      <w:r w:rsidRPr="001C4EB9">
        <w:t>(7)</w:t>
      </w:r>
      <w:r w:rsidRPr="001C4EB9">
        <w:tab/>
      </w:r>
      <w:r w:rsidR="00F5352F" w:rsidRPr="00BB0D27">
        <w:rPr>
          <w:noProof/>
        </w:rPr>
        <w:t>Aby pomóc konsumentom</w:t>
      </w:r>
      <w:r w:rsidR="00B73D99" w:rsidRPr="00BB0D27">
        <w:rPr>
          <w:noProof/>
        </w:rPr>
        <w:t xml:space="preserve"> w</w:t>
      </w:r>
      <w:r w:rsidR="00B73D99">
        <w:rPr>
          <w:noProof/>
        </w:rPr>
        <w:t> </w:t>
      </w:r>
      <w:r w:rsidR="00B73D99" w:rsidRPr="00BB0D27">
        <w:rPr>
          <w:noProof/>
        </w:rPr>
        <w:t>okr</w:t>
      </w:r>
      <w:r w:rsidR="00F5352F" w:rsidRPr="00BB0D27">
        <w:rPr>
          <w:noProof/>
        </w:rPr>
        <w:t>eśleniu</w:t>
      </w:r>
      <w:r w:rsidR="00B73D99" w:rsidRPr="00BB0D27">
        <w:rPr>
          <w:noProof/>
        </w:rPr>
        <w:t xml:space="preserve"> i</w:t>
      </w:r>
      <w:r w:rsidR="00B73D99">
        <w:rPr>
          <w:noProof/>
        </w:rPr>
        <w:t> </w:t>
      </w:r>
      <w:r w:rsidR="00B73D99" w:rsidRPr="00BB0D27">
        <w:rPr>
          <w:noProof/>
        </w:rPr>
        <w:t>wyb</w:t>
      </w:r>
      <w:r w:rsidR="00F5352F" w:rsidRPr="00BB0D27">
        <w:rPr>
          <w:noProof/>
        </w:rPr>
        <w:t>orze odpowiednich usług naprawczych, należy dostarczyć im kluczowe informacje</w:t>
      </w:r>
      <w:r w:rsidR="00B73D99" w:rsidRPr="00BB0D27">
        <w:rPr>
          <w:noProof/>
        </w:rPr>
        <w:t xml:space="preserve"> o</w:t>
      </w:r>
      <w:r w:rsidR="00B73D99">
        <w:rPr>
          <w:noProof/>
        </w:rPr>
        <w:t> </w:t>
      </w:r>
      <w:r w:rsidR="00B73D99" w:rsidRPr="00BB0D27">
        <w:rPr>
          <w:noProof/>
        </w:rPr>
        <w:t>tyc</w:t>
      </w:r>
      <w:r w:rsidR="00F5352F" w:rsidRPr="00BB0D27">
        <w:rPr>
          <w:noProof/>
        </w:rPr>
        <w:t>h usługach</w:t>
      </w:r>
      <w:r w:rsidR="00B73D99" w:rsidRPr="00BB0D27">
        <w:rPr>
          <w:noProof/>
        </w:rPr>
        <w:t>. W</w:t>
      </w:r>
      <w:r w:rsidR="00B73D99">
        <w:rPr>
          <w:noProof/>
        </w:rPr>
        <w:t> </w:t>
      </w:r>
      <w:r w:rsidR="00B73D99" w:rsidRPr="00BB0D27">
        <w:rPr>
          <w:noProof/>
        </w:rPr>
        <w:t>eur</w:t>
      </w:r>
      <w:r w:rsidR="00F5352F" w:rsidRPr="00BB0D27">
        <w:rPr>
          <w:noProof/>
        </w:rPr>
        <w:t>opejskim formularzu informacji</w:t>
      </w:r>
      <w:r w:rsidR="00B73D99" w:rsidRPr="00BB0D27">
        <w:rPr>
          <w:noProof/>
        </w:rPr>
        <w:t xml:space="preserve"> o</w:t>
      </w:r>
      <w:r w:rsidR="00B73D99">
        <w:rPr>
          <w:noProof/>
        </w:rPr>
        <w:t> </w:t>
      </w:r>
      <w:r w:rsidR="00B73D99" w:rsidRPr="00BB0D27">
        <w:rPr>
          <w:noProof/>
        </w:rPr>
        <w:t>nap</w:t>
      </w:r>
      <w:r w:rsidR="00F5352F" w:rsidRPr="00BB0D27">
        <w:rPr>
          <w:noProof/>
        </w:rPr>
        <w:t>rawie należy określić najważniejsze parametry mające wpływ na decyzje konsumentów co do tego, czy naprawiać wadliwe towary</w:t>
      </w:r>
      <w:r w:rsidR="00B73D99" w:rsidRPr="00BB0D27">
        <w:rPr>
          <w:noProof/>
        </w:rPr>
        <w:t>. W</w:t>
      </w:r>
      <w:r w:rsidR="00B73D99">
        <w:rPr>
          <w:noProof/>
        </w:rPr>
        <w:t> </w:t>
      </w:r>
      <w:r w:rsidR="00B73D99" w:rsidRPr="00BB0D27">
        <w:rPr>
          <w:noProof/>
        </w:rPr>
        <w:t>dyr</w:t>
      </w:r>
      <w:r w:rsidR="00F5352F" w:rsidRPr="00BB0D27">
        <w:rPr>
          <w:noProof/>
        </w:rPr>
        <w:t>ektywie należy ujednolicić wzór takiego formularza. Ujednolicony formularz informacji</w:t>
      </w:r>
      <w:r w:rsidR="00B73D99" w:rsidRPr="00BB0D27">
        <w:rPr>
          <w:noProof/>
        </w:rPr>
        <w:t xml:space="preserve"> o</w:t>
      </w:r>
      <w:r w:rsidR="00B73D99">
        <w:rPr>
          <w:noProof/>
        </w:rPr>
        <w:t> </w:t>
      </w:r>
      <w:r w:rsidR="00B73D99" w:rsidRPr="00BB0D27">
        <w:rPr>
          <w:noProof/>
        </w:rPr>
        <w:t>usł</w:t>
      </w:r>
      <w:r w:rsidR="00F5352F" w:rsidRPr="00BB0D27">
        <w:rPr>
          <w:noProof/>
        </w:rPr>
        <w:t>ugach naprawczych powinien umożliwiać konsumentom ocenę</w:t>
      </w:r>
      <w:r w:rsidR="00B73D99" w:rsidRPr="00BB0D27">
        <w:rPr>
          <w:noProof/>
        </w:rPr>
        <w:t xml:space="preserve"> i</w:t>
      </w:r>
      <w:r w:rsidR="00B73D99">
        <w:rPr>
          <w:noProof/>
        </w:rPr>
        <w:t> </w:t>
      </w:r>
      <w:r w:rsidR="00B73D99" w:rsidRPr="00BB0D27">
        <w:rPr>
          <w:noProof/>
        </w:rPr>
        <w:t>łat</w:t>
      </w:r>
      <w:r w:rsidR="00F5352F" w:rsidRPr="00BB0D27">
        <w:rPr>
          <w:noProof/>
        </w:rPr>
        <w:t>we porównanie takich usług. Powinien on również ułatwić dostarczanie informacji</w:t>
      </w:r>
      <w:r w:rsidR="00B73D99" w:rsidRPr="00BB0D27">
        <w:rPr>
          <w:noProof/>
        </w:rPr>
        <w:t xml:space="preserve"> o</w:t>
      </w:r>
      <w:r w:rsidR="00B73D99">
        <w:rPr>
          <w:noProof/>
        </w:rPr>
        <w:t> </w:t>
      </w:r>
      <w:r w:rsidR="00B73D99" w:rsidRPr="00BB0D27">
        <w:rPr>
          <w:noProof/>
        </w:rPr>
        <w:t>usł</w:t>
      </w:r>
      <w:r w:rsidR="00F5352F" w:rsidRPr="00BB0D27">
        <w:rPr>
          <w:noProof/>
        </w:rPr>
        <w:t>ugach naprawczych, szczególnie</w:t>
      </w:r>
      <w:r w:rsidR="00B73D99" w:rsidRPr="00BB0D27">
        <w:rPr>
          <w:noProof/>
        </w:rPr>
        <w:t xml:space="preserve"> w</w:t>
      </w:r>
      <w:r w:rsidR="00B73D99">
        <w:rPr>
          <w:noProof/>
        </w:rPr>
        <w:t> </w:t>
      </w:r>
      <w:r w:rsidR="00B73D99" w:rsidRPr="00BB0D27">
        <w:rPr>
          <w:noProof/>
        </w:rPr>
        <w:t>prz</w:t>
      </w:r>
      <w:r w:rsidR="00F5352F" w:rsidRPr="00BB0D27">
        <w:rPr>
          <w:noProof/>
        </w:rPr>
        <w:t>ypadku mikroprzedsiębiorstw oraz małych</w:t>
      </w:r>
      <w:r w:rsidR="00B73D99" w:rsidRPr="00BB0D27">
        <w:rPr>
          <w:noProof/>
        </w:rPr>
        <w:t xml:space="preserve"> i</w:t>
      </w:r>
      <w:r w:rsidR="00B73D99">
        <w:rPr>
          <w:noProof/>
        </w:rPr>
        <w:t> </w:t>
      </w:r>
      <w:r w:rsidR="00B73D99" w:rsidRPr="00BB0D27">
        <w:rPr>
          <w:noProof/>
        </w:rPr>
        <w:t>śre</w:t>
      </w:r>
      <w:r w:rsidR="00F5352F" w:rsidRPr="00BB0D27">
        <w:rPr>
          <w:noProof/>
        </w:rPr>
        <w:t>dnich przedsiębiorstw świadczących usługi naprawcze. Aby uniknąć dodatkowego obciążenia</w:t>
      </w:r>
      <w:r w:rsidR="00B73D99" w:rsidRPr="00BB0D27">
        <w:rPr>
          <w:noProof/>
        </w:rPr>
        <w:t xml:space="preserve"> w</w:t>
      </w:r>
      <w:r w:rsidR="00B73D99">
        <w:rPr>
          <w:noProof/>
        </w:rPr>
        <w:t> </w:t>
      </w:r>
      <w:r w:rsidR="00B73D99" w:rsidRPr="00BB0D27">
        <w:rPr>
          <w:noProof/>
        </w:rPr>
        <w:t>prz</w:t>
      </w:r>
      <w:r w:rsidR="00F5352F" w:rsidRPr="00BB0D27">
        <w:rPr>
          <w:noProof/>
        </w:rPr>
        <w:t>ypadku kolizji wymogów dotyczących informacji udzielanych przed zawarciem umowy, należy uznać że,</w:t>
      </w:r>
      <w:r w:rsidR="00B73D99" w:rsidRPr="00BB0D27">
        <w:rPr>
          <w:noProof/>
        </w:rPr>
        <w:t xml:space="preserve"> w</w:t>
      </w:r>
      <w:r w:rsidR="00B73D99">
        <w:rPr>
          <w:noProof/>
        </w:rPr>
        <w:t> </w:t>
      </w:r>
      <w:r w:rsidR="00B73D99" w:rsidRPr="00BB0D27">
        <w:rPr>
          <w:noProof/>
        </w:rPr>
        <w:t>sto</w:t>
      </w:r>
      <w:r w:rsidR="00F5352F" w:rsidRPr="00BB0D27">
        <w:rPr>
          <w:noProof/>
        </w:rPr>
        <w:t>sownych przypadkach, podmiot zajmujący się naprawą spełnił odpowiednie wymogi informacyjne wynikające</w:t>
      </w:r>
      <w:r w:rsidR="00B73D99" w:rsidRPr="00BB0D27">
        <w:rPr>
          <w:noProof/>
        </w:rPr>
        <w:t xml:space="preserve"> z</w:t>
      </w:r>
      <w:r w:rsidR="00B73D99">
        <w:rPr>
          <w:noProof/>
        </w:rPr>
        <w:t> </w:t>
      </w:r>
      <w:r w:rsidR="00B73D99" w:rsidRPr="00BB0D27">
        <w:rPr>
          <w:noProof/>
        </w:rPr>
        <w:t>wła</w:t>
      </w:r>
      <w:r w:rsidR="00F5352F" w:rsidRPr="00BB0D27">
        <w:rPr>
          <w:noProof/>
        </w:rPr>
        <w:t>ściwych aktów prawnych UE, jeżeli poprawnie wypełnił europejski formularz informacji</w:t>
      </w:r>
      <w:r w:rsidR="00B73D99" w:rsidRPr="00BB0D27">
        <w:rPr>
          <w:noProof/>
        </w:rPr>
        <w:t xml:space="preserve"> o</w:t>
      </w:r>
      <w:r w:rsidR="00B73D99">
        <w:rPr>
          <w:noProof/>
        </w:rPr>
        <w:t> </w:t>
      </w:r>
      <w:r w:rsidR="00B73D99" w:rsidRPr="00BB0D27">
        <w:rPr>
          <w:noProof/>
        </w:rPr>
        <w:t>nap</w:t>
      </w:r>
      <w:r w:rsidR="00F5352F" w:rsidRPr="00BB0D27">
        <w:rPr>
          <w:noProof/>
        </w:rPr>
        <w:t>rawie</w:t>
      </w:r>
      <w:r w:rsidR="00B73D99" w:rsidRPr="00BB0D27">
        <w:rPr>
          <w:noProof/>
        </w:rPr>
        <w:t xml:space="preserve"> i</w:t>
      </w:r>
      <w:r w:rsidR="00B73D99">
        <w:rPr>
          <w:noProof/>
        </w:rPr>
        <w:t> </w:t>
      </w:r>
      <w:r w:rsidR="00B73D99" w:rsidRPr="00BB0D27">
        <w:rPr>
          <w:noProof/>
        </w:rPr>
        <w:t>dos</w:t>
      </w:r>
      <w:r w:rsidR="00F5352F" w:rsidRPr="00BB0D27">
        <w:rPr>
          <w:noProof/>
        </w:rPr>
        <w:t>tarczył go konsumentowi. Informacje zawarte</w:t>
      </w:r>
      <w:r w:rsidR="00B73D99" w:rsidRPr="00BB0D27">
        <w:rPr>
          <w:noProof/>
        </w:rPr>
        <w:t xml:space="preserve"> w</w:t>
      </w:r>
      <w:r w:rsidR="00B73D99">
        <w:rPr>
          <w:noProof/>
        </w:rPr>
        <w:t> </w:t>
      </w:r>
      <w:r w:rsidR="00B73D99" w:rsidRPr="00BB0D27">
        <w:rPr>
          <w:noProof/>
        </w:rPr>
        <w:t>eur</w:t>
      </w:r>
      <w:r w:rsidR="00F5352F" w:rsidRPr="00BB0D27">
        <w:rPr>
          <w:noProof/>
        </w:rPr>
        <w:t>opejskim formularzu informacji</w:t>
      </w:r>
      <w:r w:rsidR="00B73D99" w:rsidRPr="00BB0D27">
        <w:rPr>
          <w:noProof/>
        </w:rPr>
        <w:t xml:space="preserve"> o</w:t>
      </w:r>
      <w:r w:rsidR="00B73D99">
        <w:rPr>
          <w:noProof/>
        </w:rPr>
        <w:t> </w:t>
      </w:r>
      <w:r w:rsidR="00B73D99" w:rsidRPr="00BB0D27">
        <w:rPr>
          <w:noProof/>
        </w:rPr>
        <w:t>nap</w:t>
      </w:r>
      <w:r w:rsidR="00F5352F" w:rsidRPr="00BB0D27">
        <w:rPr>
          <w:noProof/>
        </w:rPr>
        <w:t>rawie należy dostarczyć konsumentowi</w:t>
      </w:r>
      <w:r w:rsidR="00B73D99" w:rsidRPr="00BB0D27">
        <w:rPr>
          <w:noProof/>
        </w:rPr>
        <w:t xml:space="preserve"> w</w:t>
      </w:r>
      <w:r w:rsidR="00B73D99">
        <w:rPr>
          <w:noProof/>
        </w:rPr>
        <w:t> </w:t>
      </w:r>
      <w:r w:rsidR="00B73D99" w:rsidRPr="00BB0D27">
        <w:rPr>
          <w:noProof/>
        </w:rPr>
        <w:t>spo</w:t>
      </w:r>
      <w:r w:rsidR="00F5352F" w:rsidRPr="00BB0D27">
        <w:rPr>
          <w:noProof/>
        </w:rPr>
        <w:t>sób jasny</w:t>
      </w:r>
      <w:r w:rsidR="00B73D99" w:rsidRPr="00BB0D27">
        <w:rPr>
          <w:noProof/>
        </w:rPr>
        <w:t xml:space="preserve"> i</w:t>
      </w:r>
      <w:r w:rsidR="00B73D99">
        <w:rPr>
          <w:noProof/>
        </w:rPr>
        <w:t> </w:t>
      </w:r>
      <w:r w:rsidR="00B73D99" w:rsidRPr="00BB0D27">
        <w:rPr>
          <w:noProof/>
        </w:rPr>
        <w:t>zro</w:t>
      </w:r>
      <w:r w:rsidR="00F5352F" w:rsidRPr="00BB0D27">
        <w:rPr>
          <w:noProof/>
        </w:rPr>
        <w:t>zumiały,</w:t>
      </w:r>
      <w:r w:rsidR="00B73D99" w:rsidRPr="00BB0D27">
        <w:rPr>
          <w:noProof/>
        </w:rPr>
        <w:t xml:space="preserve"> z</w:t>
      </w:r>
      <w:r w:rsidR="00B73D99">
        <w:rPr>
          <w:noProof/>
        </w:rPr>
        <w:t> </w:t>
      </w:r>
      <w:r w:rsidR="00B73D99" w:rsidRPr="00BB0D27">
        <w:rPr>
          <w:noProof/>
        </w:rPr>
        <w:t>zac</w:t>
      </w:r>
      <w:r w:rsidR="00F5352F" w:rsidRPr="00BB0D27">
        <w:rPr>
          <w:noProof/>
        </w:rPr>
        <w:t>howaniem wymogów dostępności określonych</w:t>
      </w:r>
      <w:r w:rsidR="00B73D99" w:rsidRPr="00BB0D27">
        <w:rPr>
          <w:noProof/>
        </w:rPr>
        <w:t xml:space="preserve"> w</w:t>
      </w:r>
      <w:r w:rsidR="00B73D99">
        <w:rPr>
          <w:noProof/>
        </w:rPr>
        <w:t> </w:t>
      </w:r>
      <w:r w:rsidR="00B73D99" w:rsidRPr="00BB0D27">
        <w:rPr>
          <w:noProof/>
        </w:rPr>
        <w:t>dyr</w:t>
      </w:r>
      <w:r w:rsidR="00F5352F" w:rsidRPr="00BB0D27">
        <w:rPr>
          <w:noProof/>
        </w:rPr>
        <w:t>ektywie 2019/882</w:t>
      </w:r>
      <w:r w:rsidR="00F10041" w:rsidRPr="00BB0D27">
        <w:rPr>
          <w:rStyle w:val="FootnoteReference"/>
          <w:noProof/>
          <w:szCs w:val="24"/>
        </w:rPr>
        <w:footnoteReference w:id="15"/>
      </w:r>
      <w:r w:rsidR="00F5352F" w:rsidRPr="00BB0D27">
        <w:rPr>
          <w:noProof/>
        </w:rPr>
        <w:t>.</w:t>
      </w:r>
    </w:p>
    <w:p w:rsidR="00C52888" w:rsidRPr="00BB0D27" w:rsidRDefault="001C4EB9" w:rsidP="001C4EB9">
      <w:pPr>
        <w:pStyle w:val="ManualConsidrant"/>
        <w:rPr>
          <w:noProof/>
        </w:rPr>
      </w:pPr>
      <w:r w:rsidRPr="001C4EB9">
        <w:t>(8)</w:t>
      </w:r>
      <w:r w:rsidRPr="001C4EB9">
        <w:tab/>
      </w:r>
      <w:r w:rsidR="00F5352F" w:rsidRPr="00BB0D27">
        <w:rPr>
          <w:noProof/>
        </w:rPr>
        <w:t>Należy ułatwić konsumentom wolny wybór podmiotu, któremu chcą powierzyć naprawę towaru, poprzez umożliwienie im wystąpienia</w:t>
      </w:r>
      <w:r w:rsidR="00B73D99" w:rsidRPr="00BB0D27">
        <w:rPr>
          <w:noProof/>
        </w:rPr>
        <w:t xml:space="preserve"> o</w:t>
      </w:r>
      <w:r w:rsidR="00B73D99">
        <w:rPr>
          <w:noProof/>
        </w:rPr>
        <w:t> </w:t>
      </w:r>
      <w:r w:rsidR="00B73D99" w:rsidRPr="00BB0D27">
        <w:rPr>
          <w:noProof/>
        </w:rPr>
        <w:t>eur</w:t>
      </w:r>
      <w:r w:rsidR="00F5352F" w:rsidRPr="00BB0D27">
        <w:rPr>
          <w:noProof/>
        </w:rPr>
        <w:t>opejski formularz informacji</w:t>
      </w:r>
      <w:r w:rsidR="00B73D99" w:rsidRPr="00BB0D27">
        <w:rPr>
          <w:noProof/>
        </w:rPr>
        <w:t xml:space="preserve"> o</w:t>
      </w:r>
      <w:r w:rsidR="00B73D99">
        <w:rPr>
          <w:noProof/>
        </w:rPr>
        <w:t> </w:t>
      </w:r>
      <w:r w:rsidR="00B73D99" w:rsidRPr="00BB0D27">
        <w:rPr>
          <w:noProof/>
        </w:rPr>
        <w:t>nap</w:t>
      </w:r>
      <w:r w:rsidR="00F5352F" w:rsidRPr="00BB0D27">
        <w:rPr>
          <w:noProof/>
        </w:rPr>
        <w:t>rawie nie tylko do producenta, lecz także,</w:t>
      </w:r>
      <w:r w:rsidR="00B73D99" w:rsidRPr="00BB0D27">
        <w:rPr>
          <w:noProof/>
        </w:rPr>
        <w:t xml:space="preserve"> w</w:t>
      </w:r>
      <w:r w:rsidR="00B73D99">
        <w:rPr>
          <w:noProof/>
        </w:rPr>
        <w:t> </w:t>
      </w:r>
      <w:r w:rsidR="00B73D99" w:rsidRPr="00BB0D27">
        <w:rPr>
          <w:noProof/>
        </w:rPr>
        <w:t>sto</w:t>
      </w:r>
      <w:r w:rsidR="00F5352F" w:rsidRPr="00BB0D27">
        <w:rPr>
          <w:noProof/>
        </w:rPr>
        <w:t>sownych przypadkach, do sprzedawcy towaru lub do niezależnych podmiotów zajmujących się naprawą. Podmioty zajmujące się naprawą powinny dostarczyć europejski formularz informacji</w:t>
      </w:r>
      <w:r w:rsidR="00B73D99" w:rsidRPr="00BB0D27">
        <w:rPr>
          <w:noProof/>
        </w:rPr>
        <w:t xml:space="preserve"> o</w:t>
      </w:r>
      <w:r w:rsidR="00B73D99">
        <w:rPr>
          <w:noProof/>
        </w:rPr>
        <w:t> </w:t>
      </w:r>
      <w:r w:rsidR="00B73D99" w:rsidRPr="00BB0D27">
        <w:rPr>
          <w:noProof/>
        </w:rPr>
        <w:t>nap</w:t>
      </w:r>
      <w:r w:rsidR="00F5352F" w:rsidRPr="00BB0D27">
        <w:rPr>
          <w:noProof/>
        </w:rPr>
        <w:t>rawie wyłącznie wówczas, gdy konsument się</w:t>
      </w:r>
      <w:r w:rsidR="00B73D99" w:rsidRPr="00BB0D27">
        <w:rPr>
          <w:noProof/>
        </w:rPr>
        <w:t xml:space="preserve"> o</w:t>
      </w:r>
      <w:r w:rsidR="00B73D99">
        <w:rPr>
          <w:noProof/>
        </w:rPr>
        <w:t> </w:t>
      </w:r>
      <w:r w:rsidR="00B73D99" w:rsidRPr="00BB0D27">
        <w:rPr>
          <w:noProof/>
        </w:rPr>
        <w:t>nie</w:t>
      </w:r>
      <w:r w:rsidR="00F5352F" w:rsidRPr="00BB0D27">
        <w:rPr>
          <w:noProof/>
        </w:rPr>
        <w:t>go zwróci,</w:t>
      </w:r>
      <w:r w:rsidR="00B73D99" w:rsidRPr="00BB0D27">
        <w:rPr>
          <w:noProof/>
        </w:rPr>
        <w:t xml:space="preserve"> a</w:t>
      </w:r>
      <w:r w:rsidR="00B73D99">
        <w:rPr>
          <w:noProof/>
        </w:rPr>
        <w:t> </w:t>
      </w:r>
      <w:r w:rsidR="00B73D99" w:rsidRPr="00BB0D27">
        <w:rPr>
          <w:noProof/>
        </w:rPr>
        <w:t>dan</w:t>
      </w:r>
      <w:r w:rsidR="00F5352F" w:rsidRPr="00BB0D27">
        <w:rPr>
          <w:noProof/>
        </w:rPr>
        <w:t>y podmiot zamierza świadczyć usługi naprawcze lub jest do ich świadczenia zobowiązany. Konsument może również zdecydować</w:t>
      </w:r>
      <w:r w:rsidR="00B73D99" w:rsidRPr="00BB0D27">
        <w:rPr>
          <w:noProof/>
        </w:rPr>
        <w:t xml:space="preserve"> o</w:t>
      </w:r>
      <w:r w:rsidR="00B73D99">
        <w:rPr>
          <w:noProof/>
        </w:rPr>
        <w:t> </w:t>
      </w:r>
      <w:r w:rsidR="00B73D99" w:rsidRPr="00BB0D27">
        <w:rPr>
          <w:noProof/>
        </w:rPr>
        <w:t>nie</w:t>
      </w:r>
      <w:r w:rsidR="00F5352F" w:rsidRPr="00BB0D27">
        <w:rPr>
          <w:noProof/>
        </w:rPr>
        <w:t>zwracaniu się</w:t>
      </w:r>
      <w:r w:rsidR="00B73D99" w:rsidRPr="00BB0D27">
        <w:rPr>
          <w:noProof/>
        </w:rPr>
        <w:t xml:space="preserve"> o</w:t>
      </w:r>
      <w:r w:rsidR="00B73D99">
        <w:rPr>
          <w:noProof/>
        </w:rPr>
        <w:t> </w:t>
      </w:r>
      <w:r w:rsidR="00B73D99" w:rsidRPr="00BB0D27">
        <w:rPr>
          <w:noProof/>
        </w:rPr>
        <w:t>eur</w:t>
      </w:r>
      <w:r w:rsidR="00F5352F" w:rsidRPr="00BB0D27">
        <w:rPr>
          <w:noProof/>
        </w:rPr>
        <w:t>opejski formularz informacji</w:t>
      </w:r>
      <w:r w:rsidR="00B73D99" w:rsidRPr="00BB0D27">
        <w:rPr>
          <w:noProof/>
        </w:rPr>
        <w:t xml:space="preserve"> o</w:t>
      </w:r>
      <w:r w:rsidR="00B73D99">
        <w:rPr>
          <w:noProof/>
        </w:rPr>
        <w:t> </w:t>
      </w:r>
      <w:r w:rsidR="00B73D99" w:rsidRPr="00BB0D27">
        <w:rPr>
          <w:noProof/>
        </w:rPr>
        <w:t>nap</w:t>
      </w:r>
      <w:r w:rsidR="00F5352F" w:rsidRPr="00BB0D27">
        <w:rPr>
          <w:noProof/>
        </w:rPr>
        <w:t>rawie</w:t>
      </w:r>
      <w:r w:rsidR="00B73D99" w:rsidRPr="00BB0D27">
        <w:rPr>
          <w:noProof/>
        </w:rPr>
        <w:t xml:space="preserve"> i</w:t>
      </w:r>
      <w:r w:rsidR="00B73D99">
        <w:rPr>
          <w:noProof/>
        </w:rPr>
        <w:t> </w:t>
      </w:r>
      <w:r w:rsidR="00B73D99" w:rsidRPr="00BB0D27">
        <w:rPr>
          <w:noProof/>
        </w:rPr>
        <w:t>zaw</w:t>
      </w:r>
      <w:r w:rsidR="00F5352F" w:rsidRPr="00BB0D27">
        <w:rPr>
          <w:noProof/>
        </w:rPr>
        <w:t>rzeć</w:t>
      </w:r>
      <w:r w:rsidR="00B73D99" w:rsidRPr="00BB0D27">
        <w:rPr>
          <w:noProof/>
        </w:rPr>
        <w:t xml:space="preserve"> z</w:t>
      </w:r>
      <w:r w:rsidR="00B73D99">
        <w:rPr>
          <w:noProof/>
        </w:rPr>
        <w:t> </w:t>
      </w:r>
      <w:r w:rsidR="00B73D99" w:rsidRPr="00BB0D27">
        <w:rPr>
          <w:noProof/>
        </w:rPr>
        <w:t>pod</w:t>
      </w:r>
      <w:r w:rsidR="00F5352F" w:rsidRPr="00BB0D27">
        <w:rPr>
          <w:noProof/>
        </w:rPr>
        <w:t>miotem zajmującym się naprawą umowę</w:t>
      </w:r>
      <w:r w:rsidR="00B73D99" w:rsidRPr="00BB0D27">
        <w:rPr>
          <w:noProof/>
        </w:rPr>
        <w:t xml:space="preserve"> o</w:t>
      </w:r>
      <w:r w:rsidR="00B73D99">
        <w:rPr>
          <w:noProof/>
        </w:rPr>
        <w:t> </w:t>
      </w:r>
      <w:r w:rsidR="00B73D99" w:rsidRPr="00BB0D27">
        <w:rPr>
          <w:noProof/>
        </w:rPr>
        <w:t>świ</w:t>
      </w:r>
      <w:r w:rsidR="00F5352F" w:rsidRPr="00BB0D27">
        <w:rPr>
          <w:noProof/>
        </w:rPr>
        <w:t>adczenie usług naprawczych na podstawie informacji udzielanych przed zawarciem umowy dostarczonych</w:t>
      </w:r>
      <w:r w:rsidR="00B73D99" w:rsidRPr="00BB0D27">
        <w:rPr>
          <w:noProof/>
        </w:rPr>
        <w:t xml:space="preserve"> w</w:t>
      </w:r>
      <w:r w:rsidR="00B73D99">
        <w:rPr>
          <w:noProof/>
        </w:rPr>
        <w:t> </w:t>
      </w:r>
      <w:r w:rsidR="00B73D99" w:rsidRPr="00BB0D27">
        <w:rPr>
          <w:noProof/>
        </w:rPr>
        <w:t>inn</w:t>
      </w:r>
      <w:r w:rsidR="00F5352F" w:rsidRPr="00BB0D27">
        <w:rPr>
          <w:noProof/>
        </w:rPr>
        <w:t>y sposób, zgodnie</w:t>
      </w:r>
      <w:r w:rsidR="00B73D99" w:rsidRPr="00BB0D27">
        <w:rPr>
          <w:noProof/>
        </w:rPr>
        <w:t xml:space="preserve"> z</w:t>
      </w:r>
      <w:r w:rsidR="00B73D99">
        <w:rPr>
          <w:noProof/>
        </w:rPr>
        <w:t> </w:t>
      </w:r>
      <w:r w:rsidR="00B73D99" w:rsidRPr="00BB0D27">
        <w:rPr>
          <w:noProof/>
        </w:rPr>
        <w:t>dyr</w:t>
      </w:r>
      <w:r w:rsidR="00F5352F" w:rsidRPr="00BB0D27">
        <w:rPr>
          <w:noProof/>
        </w:rPr>
        <w:t>ektywą Parlamentu Europejskiego</w:t>
      </w:r>
      <w:r w:rsidR="00B73D99" w:rsidRPr="00BB0D27">
        <w:rPr>
          <w:noProof/>
        </w:rPr>
        <w:t xml:space="preserve"> i</w:t>
      </w:r>
      <w:r w:rsidR="00B73D99">
        <w:rPr>
          <w:noProof/>
        </w:rPr>
        <w:t> </w:t>
      </w:r>
      <w:r w:rsidR="00B73D99" w:rsidRPr="00BB0D27">
        <w:rPr>
          <w:noProof/>
        </w:rPr>
        <w:t>Rad</w:t>
      </w:r>
      <w:r w:rsidR="00F5352F" w:rsidRPr="00BB0D27">
        <w:rPr>
          <w:noProof/>
        </w:rPr>
        <w:t>y 2011/83/UE</w:t>
      </w:r>
      <w:r w:rsidR="00B81A82" w:rsidRPr="00BB0D27">
        <w:rPr>
          <w:rStyle w:val="FootnoteReference"/>
          <w:noProof/>
        </w:rPr>
        <w:footnoteReference w:id="16"/>
      </w:r>
      <w:r w:rsidR="00BB0D27">
        <w:rPr>
          <w:noProof/>
        </w:rPr>
        <w:t>.</w:t>
      </w:r>
    </w:p>
    <w:p w:rsidR="00C52888" w:rsidRPr="00BB0D27" w:rsidRDefault="001C4EB9" w:rsidP="001C4EB9">
      <w:pPr>
        <w:pStyle w:val="ManualConsidrant"/>
        <w:rPr>
          <w:noProof/>
        </w:rPr>
      </w:pPr>
      <w:r w:rsidRPr="001C4EB9">
        <w:t>(9)</w:t>
      </w:r>
      <w:r w:rsidRPr="001C4EB9">
        <w:tab/>
      </w:r>
      <w:r w:rsidR="00C52888" w:rsidRPr="00BB0D27">
        <w:rPr>
          <w:noProof/>
        </w:rPr>
        <w:t>W pewnych sytuacjach podmiot zajmujący się naprawą ponosi koszty konieczne do dostarczenia informacji</w:t>
      </w:r>
      <w:r w:rsidR="00B73D99" w:rsidRPr="00BB0D27">
        <w:rPr>
          <w:noProof/>
        </w:rPr>
        <w:t xml:space="preserve"> o</w:t>
      </w:r>
      <w:r w:rsidR="00B73D99">
        <w:rPr>
          <w:noProof/>
        </w:rPr>
        <w:t> </w:t>
      </w:r>
      <w:r w:rsidR="00B73D99" w:rsidRPr="00BB0D27">
        <w:rPr>
          <w:noProof/>
        </w:rPr>
        <w:t>nap</w:t>
      </w:r>
      <w:r w:rsidR="00C52888" w:rsidRPr="00BB0D27">
        <w:rPr>
          <w:noProof/>
        </w:rPr>
        <w:t>rawie</w:t>
      </w:r>
      <w:r w:rsidR="00B73D99" w:rsidRPr="00BB0D27">
        <w:rPr>
          <w:noProof/>
        </w:rPr>
        <w:t xml:space="preserve"> i</w:t>
      </w:r>
      <w:r w:rsidR="00B73D99">
        <w:rPr>
          <w:noProof/>
        </w:rPr>
        <w:t> </w:t>
      </w:r>
      <w:r w:rsidR="00B73D99" w:rsidRPr="00BB0D27">
        <w:rPr>
          <w:noProof/>
        </w:rPr>
        <w:t>jej</w:t>
      </w:r>
      <w:r w:rsidR="00C52888" w:rsidRPr="00BB0D27">
        <w:rPr>
          <w:noProof/>
        </w:rPr>
        <w:t xml:space="preserve"> cenie, zawartych</w:t>
      </w:r>
      <w:r w:rsidR="00B73D99" w:rsidRPr="00BB0D27">
        <w:rPr>
          <w:noProof/>
        </w:rPr>
        <w:t xml:space="preserve"> w</w:t>
      </w:r>
      <w:r w:rsidR="00B73D99">
        <w:rPr>
          <w:noProof/>
        </w:rPr>
        <w:t> </w:t>
      </w:r>
      <w:r w:rsidR="00B73D99" w:rsidRPr="00BB0D27">
        <w:rPr>
          <w:noProof/>
        </w:rPr>
        <w:t>eur</w:t>
      </w:r>
      <w:r w:rsidR="00C52888" w:rsidRPr="00BB0D27">
        <w:rPr>
          <w:noProof/>
        </w:rPr>
        <w:t>opejskim formularzu informacji</w:t>
      </w:r>
      <w:r w:rsidR="00B73D99" w:rsidRPr="00BB0D27">
        <w:rPr>
          <w:noProof/>
        </w:rPr>
        <w:t xml:space="preserve"> o</w:t>
      </w:r>
      <w:r w:rsidR="00B73D99">
        <w:rPr>
          <w:noProof/>
        </w:rPr>
        <w:t> </w:t>
      </w:r>
      <w:r w:rsidR="00B73D99" w:rsidRPr="00BB0D27">
        <w:rPr>
          <w:noProof/>
        </w:rPr>
        <w:t>nap</w:t>
      </w:r>
      <w:r w:rsidR="00C52888" w:rsidRPr="00BB0D27">
        <w:rPr>
          <w:noProof/>
        </w:rPr>
        <w:t>rawie. Podmiot zajmujący się naprawą może na przykład potrzebować sprawdzić towary, aby określić wadę lub rodzaj wymaganej naprawy,</w:t>
      </w:r>
      <w:r w:rsidR="00B73D99" w:rsidRPr="00BB0D27">
        <w:rPr>
          <w:noProof/>
        </w:rPr>
        <w:t xml:space="preserve"> w</w:t>
      </w:r>
      <w:r w:rsidR="00B73D99">
        <w:rPr>
          <w:noProof/>
        </w:rPr>
        <w:t> </w:t>
      </w:r>
      <w:r w:rsidR="00B73D99" w:rsidRPr="00BB0D27">
        <w:rPr>
          <w:noProof/>
        </w:rPr>
        <w:t>tym</w:t>
      </w:r>
      <w:r w:rsidR="00C52888" w:rsidRPr="00BB0D27">
        <w:rPr>
          <w:noProof/>
        </w:rPr>
        <w:t xml:space="preserve"> zapotrzebowanie na części zamienne,</w:t>
      </w:r>
      <w:r w:rsidR="00B73D99" w:rsidRPr="00BB0D27">
        <w:rPr>
          <w:noProof/>
        </w:rPr>
        <w:t xml:space="preserve"> i</w:t>
      </w:r>
      <w:r w:rsidR="00B73D99">
        <w:rPr>
          <w:noProof/>
        </w:rPr>
        <w:t> </w:t>
      </w:r>
      <w:r w:rsidR="00B73D99" w:rsidRPr="00BB0D27">
        <w:rPr>
          <w:noProof/>
        </w:rPr>
        <w:t>osz</w:t>
      </w:r>
      <w:r w:rsidR="00C52888" w:rsidRPr="00BB0D27">
        <w:rPr>
          <w:noProof/>
        </w:rPr>
        <w:t>acować cenę naprawy</w:t>
      </w:r>
      <w:r w:rsidR="00B73D99" w:rsidRPr="00BB0D27">
        <w:rPr>
          <w:noProof/>
        </w:rPr>
        <w:t>. W</w:t>
      </w:r>
      <w:r w:rsidR="00B73D99">
        <w:rPr>
          <w:noProof/>
        </w:rPr>
        <w:t> </w:t>
      </w:r>
      <w:r w:rsidR="00B73D99" w:rsidRPr="00BB0D27">
        <w:rPr>
          <w:noProof/>
        </w:rPr>
        <w:t>tak</w:t>
      </w:r>
      <w:r w:rsidR="00C52888" w:rsidRPr="00BB0D27">
        <w:rPr>
          <w:noProof/>
        </w:rPr>
        <w:t>ich przypadkach podmiot zajmujący się naprawą może zażądać od konsumenta wyłącznie poniesienia kosztów koniecznych do dostarczenia informacji zawartych</w:t>
      </w:r>
      <w:r w:rsidR="00B73D99" w:rsidRPr="00BB0D27">
        <w:rPr>
          <w:noProof/>
        </w:rPr>
        <w:t xml:space="preserve"> w</w:t>
      </w:r>
      <w:r w:rsidR="00B73D99">
        <w:rPr>
          <w:noProof/>
        </w:rPr>
        <w:t> </w:t>
      </w:r>
      <w:r w:rsidR="00B73D99" w:rsidRPr="00BB0D27">
        <w:rPr>
          <w:noProof/>
        </w:rPr>
        <w:t>eur</w:t>
      </w:r>
      <w:r w:rsidR="00C52888" w:rsidRPr="00BB0D27">
        <w:rPr>
          <w:noProof/>
        </w:rPr>
        <w:t>opejskim formularzu informacji</w:t>
      </w:r>
      <w:r w:rsidR="00B73D99" w:rsidRPr="00BB0D27">
        <w:rPr>
          <w:noProof/>
        </w:rPr>
        <w:t xml:space="preserve"> o</w:t>
      </w:r>
      <w:r w:rsidR="00B73D99">
        <w:rPr>
          <w:noProof/>
        </w:rPr>
        <w:t> </w:t>
      </w:r>
      <w:r w:rsidR="00B73D99" w:rsidRPr="00BB0D27">
        <w:rPr>
          <w:noProof/>
        </w:rPr>
        <w:t>nap</w:t>
      </w:r>
      <w:r w:rsidR="00C52888" w:rsidRPr="00BB0D27">
        <w:rPr>
          <w:noProof/>
        </w:rPr>
        <w:t>rawie. Zgodnie</w:t>
      </w:r>
      <w:r w:rsidR="00B73D99" w:rsidRPr="00BB0D27">
        <w:rPr>
          <w:noProof/>
        </w:rPr>
        <w:t xml:space="preserve"> z</w:t>
      </w:r>
      <w:r w:rsidR="00B73D99">
        <w:rPr>
          <w:noProof/>
        </w:rPr>
        <w:t> </w:t>
      </w:r>
      <w:r w:rsidR="00B73D99" w:rsidRPr="00BB0D27">
        <w:rPr>
          <w:noProof/>
        </w:rPr>
        <w:t>wym</w:t>
      </w:r>
      <w:r w:rsidR="00C52888" w:rsidRPr="00BB0D27">
        <w:rPr>
          <w:noProof/>
        </w:rPr>
        <w:t>ogiem dotyczącym informacji udzielanych przed zawarciem umowy</w:t>
      </w:r>
      <w:r w:rsidR="00B73D99" w:rsidRPr="00BB0D27">
        <w:rPr>
          <w:noProof/>
        </w:rPr>
        <w:t xml:space="preserve"> i</w:t>
      </w:r>
      <w:r w:rsidR="00B73D99">
        <w:rPr>
          <w:noProof/>
        </w:rPr>
        <w:t> </w:t>
      </w:r>
      <w:r w:rsidR="00B73D99" w:rsidRPr="00BB0D27">
        <w:rPr>
          <w:noProof/>
        </w:rPr>
        <w:t>inn</w:t>
      </w:r>
      <w:r w:rsidR="00C52888" w:rsidRPr="00BB0D27">
        <w:rPr>
          <w:noProof/>
        </w:rPr>
        <w:t>ymi wymogami określonymi</w:t>
      </w:r>
      <w:r w:rsidR="00B73D99" w:rsidRPr="00BB0D27">
        <w:rPr>
          <w:noProof/>
        </w:rPr>
        <w:t xml:space="preserve"> w</w:t>
      </w:r>
      <w:r w:rsidR="00B73D99">
        <w:rPr>
          <w:noProof/>
        </w:rPr>
        <w:t> </w:t>
      </w:r>
      <w:r w:rsidR="00B73D99" w:rsidRPr="00BB0D27">
        <w:rPr>
          <w:noProof/>
        </w:rPr>
        <w:t>dyr</w:t>
      </w:r>
      <w:r w:rsidR="00C52888" w:rsidRPr="00BB0D27">
        <w:rPr>
          <w:noProof/>
        </w:rPr>
        <w:t>ektywie 2011/83/UE podmiot zajmujący się naprawą powinien poinformować konsumenta</w:t>
      </w:r>
      <w:r w:rsidR="00B73D99" w:rsidRPr="00BB0D27">
        <w:rPr>
          <w:noProof/>
        </w:rPr>
        <w:t xml:space="preserve"> o</w:t>
      </w:r>
      <w:r w:rsidR="00B73D99">
        <w:rPr>
          <w:noProof/>
        </w:rPr>
        <w:t> </w:t>
      </w:r>
      <w:r w:rsidR="00B73D99" w:rsidRPr="00BB0D27">
        <w:rPr>
          <w:noProof/>
        </w:rPr>
        <w:t>tak</w:t>
      </w:r>
      <w:r w:rsidR="00C52888" w:rsidRPr="00BB0D27">
        <w:rPr>
          <w:noProof/>
        </w:rPr>
        <w:t>ich kosztach jeszcze zanim konsument zwróci się</w:t>
      </w:r>
      <w:r w:rsidR="00B73D99" w:rsidRPr="00BB0D27">
        <w:rPr>
          <w:noProof/>
        </w:rPr>
        <w:t xml:space="preserve"> o</w:t>
      </w:r>
      <w:r w:rsidR="00B73D99">
        <w:rPr>
          <w:noProof/>
        </w:rPr>
        <w:t> </w:t>
      </w:r>
      <w:r w:rsidR="00B73D99" w:rsidRPr="00BB0D27">
        <w:rPr>
          <w:noProof/>
        </w:rPr>
        <w:t>dos</w:t>
      </w:r>
      <w:r w:rsidR="00C52888" w:rsidRPr="00BB0D27">
        <w:rPr>
          <w:noProof/>
        </w:rPr>
        <w:t>tarczenie europejskiego formularza informacji</w:t>
      </w:r>
      <w:r w:rsidR="00B73D99" w:rsidRPr="00BB0D27">
        <w:rPr>
          <w:noProof/>
        </w:rPr>
        <w:t xml:space="preserve"> o</w:t>
      </w:r>
      <w:r w:rsidR="00B73D99">
        <w:rPr>
          <w:noProof/>
        </w:rPr>
        <w:t> </w:t>
      </w:r>
      <w:r w:rsidR="00B73D99" w:rsidRPr="00BB0D27">
        <w:rPr>
          <w:noProof/>
        </w:rPr>
        <w:t>nap</w:t>
      </w:r>
      <w:r w:rsidR="00C52888" w:rsidRPr="00BB0D27">
        <w:rPr>
          <w:noProof/>
        </w:rPr>
        <w:t>rawie. Konsumenci mogą wstrzymać się od zwracania się</w:t>
      </w:r>
      <w:r w:rsidR="00B73D99" w:rsidRPr="00BB0D27">
        <w:rPr>
          <w:noProof/>
        </w:rPr>
        <w:t xml:space="preserve"> o</w:t>
      </w:r>
      <w:r w:rsidR="00B73D99">
        <w:rPr>
          <w:noProof/>
        </w:rPr>
        <w:t> </w:t>
      </w:r>
      <w:r w:rsidR="00B73D99" w:rsidRPr="00BB0D27">
        <w:rPr>
          <w:noProof/>
        </w:rPr>
        <w:t>eur</w:t>
      </w:r>
      <w:r w:rsidR="00C52888" w:rsidRPr="00BB0D27">
        <w:rPr>
          <w:noProof/>
        </w:rPr>
        <w:t>opejski formularz informacji</w:t>
      </w:r>
      <w:r w:rsidR="00B73D99" w:rsidRPr="00BB0D27">
        <w:rPr>
          <w:noProof/>
        </w:rPr>
        <w:t xml:space="preserve"> o</w:t>
      </w:r>
      <w:r w:rsidR="00B73D99">
        <w:rPr>
          <w:noProof/>
        </w:rPr>
        <w:t> </w:t>
      </w:r>
      <w:r w:rsidR="00B73D99" w:rsidRPr="00BB0D27">
        <w:rPr>
          <w:noProof/>
        </w:rPr>
        <w:t>nap</w:t>
      </w:r>
      <w:r w:rsidR="00C52888" w:rsidRPr="00BB0D27">
        <w:rPr>
          <w:noProof/>
        </w:rPr>
        <w:t>rawie, jeżeli uznają, że koszty jego otrzymania ą zbyt wysokie.</w:t>
      </w:r>
    </w:p>
    <w:p w:rsidR="00C52888" w:rsidRPr="00BB0D27" w:rsidRDefault="001C4EB9" w:rsidP="001C4EB9">
      <w:pPr>
        <w:pStyle w:val="ManualConsidrant"/>
        <w:rPr>
          <w:noProof/>
        </w:rPr>
      </w:pPr>
      <w:r w:rsidRPr="001C4EB9">
        <w:t>(10)</w:t>
      </w:r>
      <w:r w:rsidRPr="001C4EB9">
        <w:tab/>
      </w:r>
      <w:r w:rsidR="00943029" w:rsidRPr="00BB0D27">
        <w:rPr>
          <w:noProof/>
        </w:rPr>
        <w:t>Podmioty zajmujące się naprawą nie powinny przez określony czas zmieniać warunków naprawy przedstawionych</w:t>
      </w:r>
      <w:r w:rsidR="00B73D99" w:rsidRPr="00BB0D27">
        <w:rPr>
          <w:noProof/>
        </w:rPr>
        <w:t xml:space="preserve"> w</w:t>
      </w:r>
      <w:r w:rsidR="00B73D99">
        <w:rPr>
          <w:noProof/>
        </w:rPr>
        <w:t> </w:t>
      </w:r>
      <w:r w:rsidR="00B73D99" w:rsidRPr="00BB0D27">
        <w:rPr>
          <w:noProof/>
        </w:rPr>
        <w:t>eur</w:t>
      </w:r>
      <w:r w:rsidR="00943029" w:rsidRPr="00BB0D27">
        <w:rPr>
          <w:noProof/>
        </w:rPr>
        <w:t>opejskim formularzu informacji</w:t>
      </w:r>
      <w:r w:rsidR="00B73D99" w:rsidRPr="00BB0D27">
        <w:rPr>
          <w:noProof/>
        </w:rPr>
        <w:t xml:space="preserve"> o</w:t>
      </w:r>
      <w:r w:rsidR="00B73D99">
        <w:rPr>
          <w:noProof/>
        </w:rPr>
        <w:t> </w:t>
      </w:r>
      <w:r w:rsidR="00B73D99" w:rsidRPr="00BB0D27">
        <w:rPr>
          <w:noProof/>
        </w:rPr>
        <w:t>nap</w:t>
      </w:r>
      <w:r w:rsidR="00943029" w:rsidRPr="00BB0D27">
        <w:rPr>
          <w:noProof/>
        </w:rPr>
        <w:t>rawie,</w:t>
      </w:r>
      <w:r w:rsidR="00B73D99" w:rsidRPr="00BB0D27">
        <w:rPr>
          <w:noProof/>
        </w:rPr>
        <w:t xml:space="preserve"> w</w:t>
      </w:r>
      <w:r w:rsidR="00B73D99">
        <w:rPr>
          <w:noProof/>
        </w:rPr>
        <w:t> </w:t>
      </w:r>
      <w:r w:rsidR="00B73D99" w:rsidRPr="00BB0D27">
        <w:rPr>
          <w:noProof/>
        </w:rPr>
        <w:t>tym</w:t>
      </w:r>
      <w:r w:rsidR="00943029" w:rsidRPr="00BB0D27">
        <w:rPr>
          <w:noProof/>
        </w:rPr>
        <w:t xml:space="preserve"> warunków dotyczących ceny. Zapewni to konsumentom wystarczająco dużo czasu, aby porównać różne oferty naprawy. Aby –</w:t>
      </w:r>
      <w:r w:rsidR="00B73D99" w:rsidRPr="00BB0D27">
        <w:rPr>
          <w:noProof/>
        </w:rPr>
        <w:t xml:space="preserve"> w</w:t>
      </w:r>
      <w:r w:rsidR="00B73D99">
        <w:rPr>
          <w:noProof/>
        </w:rPr>
        <w:t> </w:t>
      </w:r>
      <w:r w:rsidR="00B73D99" w:rsidRPr="00BB0D27">
        <w:rPr>
          <w:noProof/>
        </w:rPr>
        <w:t>prz</w:t>
      </w:r>
      <w:r w:rsidR="00943029" w:rsidRPr="00BB0D27">
        <w:rPr>
          <w:noProof/>
        </w:rPr>
        <w:t>ypadku podmiotów zajmujących się naprawą innych niż producenci towarów podlegający obowiązkowi naprawy – jak najlepiej zabezpieczyć swobodę umów umożliwiającą tym podmiotom podjęcie decyzji, czy</w:t>
      </w:r>
      <w:r w:rsidR="00B73D99" w:rsidRPr="00BB0D27">
        <w:rPr>
          <w:noProof/>
        </w:rPr>
        <w:t xml:space="preserve"> w</w:t>
      </w:r>
      <w:r w:rsidR="00B73D99">
        <w:rPr>
          <w:noProof/>
        </w:rPr>
        <w:t> </w:t>
      </w:r>
      <w:r w:rsidR="00B73D99" w:rsidRPr="00BB0D27">
        <w:rPr>
          <w:noProof/>
        </w:rPr>
        <w:t>ogó</w:t>
      </w:r>
      <w:r w:rsidR="00943029" w:rsidRPr="00BB0D27">
        <w:rPr>
          <w:noProof/>
        </w:rPr>
        <w:t>le zawierać umowę na świadczenie usług naprawczych, podmiotom tym przysługuje prawo niezawarcia takiej umowy, nawet jeżeli dostarczyły już one europejski formularz informacji</w:t>
      </w:r>
      <w:r w:rsidR="00B73D99" w:rsidRPr="00BB0D27">
        <w:rPr>
          <w:noProof/>
        </w:rPr>
        <w:t xml:space="preserve"> o</w:t>
      </w:r>
      <w:r w:rsidR="00B73D99">
        <w:rPr>
          <w:noProof/>
        </w:rPr>
        <w:t> </w:t>
      </w:r>
      <w:r w:rsidR="00B73D99" w:rsidRPr="00BB0D27">
        <w:rPr>
          <w:noProof/>
        </w:rPr>
        <w:t>nap</w:t>
      </w:r>
      <w:r w:rsidR="00943029" w:rsidRPr="00BB0D27">
        <w:rPr>
          <w:noProof/>
        </w:rPr>
        <w:t>rawie</w:t>
      </w:r>
      <w:r w:rsidR="00B73D99" w:rsidRPr="00BB0D27">
        <w:rPr>
          <w:noProof/>
        </w:rPr>
        <w:t>. W</w:t>
      </w:r>
      <w:r w:rsidR="00B73D99">
        <w:rPr>
          <w:noProof/>
        </w:rPr>
        <w:t> </w:t>
      </w:r>
      <w:r w:rsidR="00B73D99" w:rsidRPr="00BB0D27">
        <w:rPr>
          <w:noProof/>
        </w:rPr>
        <w:t>prz</w:t>
      </w:r>
      <w:r w:rsidR="00943029" w:rsidRPr="00BB0D27">
        <w:rPr>
          <w:noProof/>
        </w:rPr>
        <w:t>ypadku zawarcia umowy</w:t>
      </w:r>
      <w:r w:rsidR="00B73D99" w:rsidRPr="00BB0D27">
        <w:rPr>
          <w:noProof/>
        </w:rPr>
        <w:t xml:space="preserve"> o</w:t>
      </w:r>
      <w:r w:rsidR="00B73D99">
        <w:rPr>
          <w:noProof/>
        </w:rPr>
        <w:t> </w:t>
      </w:r>
      <w:r w:rsidR="00B73D99" w:rsidRPr="00BB0D27">
        <w:rPr>
          <w:noProof/>
        </w:rPr>
        <w:t>świ</w:t>
      </w:r>
      <w:r w:rsidR="00943029" w:rsidRPr="00BB0D27">
        <w:rPr>
          <w:noProof/>
        </w:rPr>
        <w:t>adczenie usług naprawczych</w:t>
      </w:r>
      <w:r w:rsidR="00B73D99" w:rsidRPr="00BB0D27">
        <w:rPr>
          <w:noProof/>
        </w:rPr>
        <w:t xml:space="preserve"> w</w:t>
      </w:r>
      <w:r w:rsidR="00B73D99">
        <w:rPr>
          <w:noProof/>
        </w:rPr>
        <w:t> </w:t>
      </w:r>
      <w:r w:rsidR="00B73D99" w:rsidRPr="00BB0D27">
        <w:rPr>
          <w:noProof/>
        </w:rPr>
        <w:t>opa</w:t>
      </w:r>
      <w:r w:rsidR="00943029" w:rsidRPr="00BB0D27">
        <w:rPr>
          <w:noProof/>
        </w:rPr>
        <w:t>rciu</w:t>
      </w:r>
      <w:r w:rsidR="00B73D99" w:rsidRPr="00BB0D27">
        <w:rPr>
          <w:noProof/>
        </w:rPr>
        <w:t xml:space="preserve"> o</w:t>
      </w:r>
      <w:r w:rsidR="00B73D99">
        <w:rPr>
          <w:noProof/>
        </w:rPr>
        <w:t> </w:t>
      </w:r>
      <w:r w:rsidR="00B73D99" w:rsidRPr="00BB0D27">
        <w:rPr>
          <w:noProof/>
        </w:rPr>
        <w:t>eur</w:t>
      </w:r>
      <w:r w:rsidR="00943029" w:rsidRPr="00BB0D27">
        <w:rPr>
          <w:noProof/>
        </w:rPr>
        <w:t>opejski formularz informacji</w:t>
      </w:r>
      <w:r w:rsidR="00B73D99" w:rsidRPr="00BB0D27">
        <w:rPr>
          <w:noProof/>
        </w:rPr>
        <w:t xml:space="preserve"> o</w:t>
      </w:r>
      <w:r w:rsidR="00B73D99">
        <w:rPr>
          <w:noProof/>
        </w:rPr>
        <w:t> </w:t>
      </w:r>
      <w:r w:rsidR="00B73D99" w:rsidRPr="00BB0D27">
        <w:rPr>
          <w:noProof/>
        </w:rPr>
        <w:t>nap</w:t>
      </w:r>
      <w:r w:rsidR="00943029" w:rsidRPr="00BB0D27">
        <w:rPr>
          <w:noProof/>
        </w:rPr>
        <w:t>rawie, informacje</w:t>
      </w:r>
      <w:r w:rsidR="00B73D99" w:rsidRPr="00BB0D27">
        <w:rPr>
          <w:noProof/>
        </w:rPr>
        <w:t xml:space="preserve"> o</w:t>
      </w:r>
      <w:r w:rsidR="00B73D99">
        <w:rPr>
          <w:noProof/>
        </w:rPr>
        <w:t> </w:t>
      </w:r>
      <w:r w:rsidR="00B73D99" w:rsidRPr="00BB0D27">
        <w:rPr>
          <w:noProof/>
        </w:rPr>
        <w:t>war</w:t>
      </w:r>
      <w:r w:rsidR="00943029" w:rsidRPr="00BB0D27">
        <w:rPr>
          <w:noProof/>
        </w:rPr>
        <w:t>unkach naprawy</w:t>
      </w:r>
      <w:r w:rsidR="00B73D99" w:rsidRPr="00BB0D27">
        <w:rPr>
          <w:noProof/>
        </w:rPr>
        <w:t xml:space="preserve"> i</w:t>
      </w:r>
      <w:r w:rsidR="00B73D99">
        <w:rPr>
          <w:noProof/>
        </w:rPr>
        <w:t> </w:t>
      </w:r>
      <w:r w:rsidR="00B73D99" w:rsidRPr="00BB0D27">
        <w:rPr>
          <w:noProof/>
        </w:rPr>
        <w:t>cen</w:t>
      </w:r>
      <w:r w:rsidR="00943029" w:rsidRPr="00BB0D27">
        <w:rPr>
          <w:noProof/>
        </w:rPr>
        <w:t>ie zawarte</w:t>
      </w:r>
      <w:r w:rsidR="00B73D99" w:rsidRPr="00BB0D27">
        <w:rPr>
          <w:noProof/>
        </w:rPr>
        <w:t xml:space="preserve"> w</w:t>
      </w:r>
      <w:r w:rsidR="00B73D99">
        <w:rPr>
          <w:noProof/>
        </w:rPr>
        <w:t> </w:t>
      </w:r>
      <w:r w:rsidR="00B73D99" w:rsidRPr="00BB0D27">
        <w:rPr>
          <w:noProof/>
        </w:rPr>
        <w:t>tym</w:t>
      </w:r>
      <w:r w:rsidR="00943029" w:rsidRPr="00BB0D27">
        <w:rPr>
          <w:noProof/>
        </w:rPr>
        <w:t xml:space="preserve"> formularzu powinny stanowić integralną część umowy</w:t>
      </w:r>
      <w:r w:rsidR="00B73D99" w:rsidRPr="00BB0D27">
        <w:rPr>
          <w:noProof/>
        </w:rPr>
        <w:t xml:space="preserve"> o</w:t>
      </w:r>
      <w:r w:rsidR="00B73D99">
        <w:rPr>
          <w:noProof/>
        </w:rPr>
        <w:t> </w:t>
      </w:r>
      <w:r w:rsidR="00B73D99" w:rsidRPr="00BB0D27">
        <w:rPr>
          <w:noProof/>
        </w:rPr>
        <w:t>świ</w:t>
      </w:r>
      <w:r w:rsidR="00943029" w:rsidRPr="00BB0D27">
        <w:rPr>
          <w:noProof/>
        </w:rPr>
        <w:t>adczenie usług naprawczych, definiującą zobowiązania umowne podmiotu zajmującego się naprawą. Niewykonanie tych zobowiązań umownych regulowane jest mającym</w:t>
      </w:r>
      <w:r w:rsidR="00BB0D27">
        <w:rPr>
          <w:noProof/>
        </w:rPr>
        <w:t xml:space="preserve"> zastosowanie prawem krajowym.</w:t>
      </w:r>
    </w:p>
    <w:p w:rsidR="00943029" w:rsidRPr="00BB0D27" w:rsidRDefault="001C4EB9" w:rsidP="001C4EB9">
      <w:pPr>
        <w:pStyle w:val="ManualConsidrant"/>
        <w:rPr>
          <w:noProof/>
        </w:rPr>
      </w:pPr>
      <w:r w:rsidRPr="001C4EB9">
        <w:t>(11)</w:t>
      </w:r>
      <w:r w:rsidRPr="001C4EB9">
        <w:tab/>
      </w:r>
      <w:r w:rsidR="00943029" w:rsidRPr="00BB0D27">
        <w:rPr>
          <w:noProof/>
        </w:rPr>
        <w:t>W dyrektywie (UE) 2019/771 nałożono na sprzedawców obowiązek naprawy towarów</w:t>
      </w:r>
      <w:r w:rsidR="00B73D99" w:rsidRPr="00BB0D27">
        <w:rPr>
          <w:noProof/>
        </w:rPr>
        <w:t xml:space="preserve"> w</w:t>
      </w:r>
      <w:r w:rsidR="00B73D99">
        <w:rPr>
          <w:noProof/>
        </w:rPr>
        <w:t> </w:t>
      </w:r>
      <w:r w:rsidR="00B73D99" w:rsidRPr="00BB0D27">
        <w:rPr>
          <w:noProof/>
        </w:rPr>
        <w:t>prz</w:t>
      </w:r>
      <w:r w:rsidR="00943029" w:rsidRPr="00BB0D27">
        <w:rPr>
          <w:noProof/>
        </w:rPr>
        <w:t>ypadku braku zgodności</w:t>
      </w:r>
      <w:r w:rsidR="00B73D99" w:rsidRPr="00BB0D27">
        <w:rPr>
          <w:noProof/>
        </w:rPr>
        <w:t xml:space="preserve"> z</w:t>
      </w:r>
      <w:r w:rsidR="00B73D99">
        <w:rPr>
          <w:noProof/>
        </w:rPr>
        <w:t> </w:t>
      </w:r>
      <w:r w:rsidR="00B73D99" w:rsidRPr="00BB0D27">
        <w:rPr>
          <w:noProof/>
        </w:rPr>
        <w:t>umo</w:t>
      </w:r>
      <w:r w:rsidR="00943029" w:rsidRPr="00BB0D27">
        <w:rPr>
          <w:noProof/>
        </w:rPr>
        <w:t>wą</w:t>
      </w:r>
      <w:r w:rsidR="00B73D99" w:rsidRPr="00BB0D27">
        <w:rPr>
          <w:noProof/>
        </w:rPr>
        <w:t xml:space="preserve"> w</w:t>
      </w:r>
      <w:r w:rsidR="00B73D99">
        <w:rPr>
          <w:noProof/>
        </w:rPr>
        <w:t> </w:t>
      </w:r>
      <w:r w:rsidR="00B73D99" w:rsidRPr="00BB0D27">
        <w:rPr>
          <w:noProof/>
        </w:rPr>
        <w:t>mom</w:t>
      </w:r>
      <w:r w:rsidR="00943029" w:rsidRPr="00BB0D27">
        <w:rPr>
          <w:noProof/>
        </w:rPr>
        <w:t>encie ich dostawy, jeżeli brak ten ujawnił się przed upływem okresu odpowiedzialności</w:t>
      </w:r>
      <w:r w:rsidR="00B73D99" w:rsidRPr="00BB0D27">
        <w:rPr>
          <w:noProof/>
        </w:rPr>
        <w:t>. W</w:t>
      </w:r>
      <w:r w:rsidR="00B73D99">
        <w:rPr>
          <w:noProof/>
        </w:rPr>
        <w:t> </w:t>
      </w:r>
      <w:r w:rsidR="00B73D99" w:rsidRPr="00BB0D27">
        <w:rPr>
          <w:noProof/>
        </w:rPr>
        <w:t>opa</w:t>
      </w:r>
      <w:r w:rsidR="00943029" w:rsidRPr="00BB0D27">
        <w:rPr>
          <w:noProof/>
        </w:rPr>
        <w:t>rciu</w:t>
      </w:r>
      <w:r w:rsidR="00B73D99" w:rsidRPr="00BB0D27">
        <w:rPr>
          <w:noProof/>
        </w:rPr>
        <w:t xml:space="preserve"> o</w:t>
      </w:r>
      <w:r w:rsidR="00B73D99">
        <w:rPr>
          <w:noProof/>
        </w:rPr>
        <w:t> </w:t>
      </w:r>
      <w:r w:rsidR="00B73D99" w:rsidRPr="00BB0D27">
        <w:rPr>
          <w:noProof/>
        </w:rPr>
        <w:t>prz</w:t>
      </w:r>
      <w:r w:rsidR="00943029" w:rsidRPr="00BB0D27">
        <w:rPr>
          <w:noProof/>
        </w:rPr>
        <w:t>edmiotową dyrektywę konsumentom nie przysługuje prawo do naprawy wad nieobjętych tym obowiązkiem</w:t>
      </w:r>
      <w:r w:rsidR="00B73D99" w:rsidRPr="00BB0D27">
        <w:rPr>
          <w:noProof/>
        </w:rPr>
        <w:t>. W</w:t>
      </w:r>
      <w:r w:rsidR="00B73D99">
        <w:rPr>
          <w:noProof/>
        </w:rPr>
        <w:t> </w:t>
      </w:r>
      <w:r w:rsidR="00B73D99" w:rsidRPr="00BB0D27">
        <w:rPr>
          <w:noProof/>
        </w:rPr>
        <w:t>rez</w:t>
      </w:r>
      <w:r w:rsidR="00943029" w:rsidRPr="00BB0D27">
        <w:rPr>
          <w:noProof/>
        </w:rPr>
        <w:t>ultacie konsumenci przedwcześnie pozbywają się wielu wadliwych towarów, które mogłyby jeszcze funkcjonować. Aby zachęcić konsumentów do naprawy towarów</w:t>
      </w:r>
      <w:r w:rsidR="00B73D99" w:rsidRPr="00BB0D27">
        <w:rPr>
          <w:noProof/>
        </w:rPr>
        <w:t xml:space="preserve"> w</w:t>
      </w:r>
      <w:r w:rsidR="00B73D99">
        <w:rPr>
          <w:noProof/>
        </w:rPr>
        <w:t> </w:t>
      </w:r>
      <w:r w:rsidR="00B73D99" w:rsidRPr="00BB0D27">
        <w:rPr>
          <w:noProof/>
        </w:rPr>
        <w:t>tak</w:t>
      </w:r>
      <w:r w:rsidR="00943029" w:rsidRPr="00BB0D27">
        <w:rPr>
          <w:noProof/>
        </w:rPr>
        <w:t>ich sytuacjach,</w:t>
      </w:r>
      <w:r w:rsidR="00B73D99" w:rsidRPr="00BB0D27">
        <w:rPr>
          <w:noProof/>
        </w:rPr>
        <w:t xml:space="preserve"> w</w:t>
      </w:r>
      <w:r w:rsidR="00B73D99">
        <w:rPr>
          <w:noProof/>
        </w:rPr>
        <w:t> </w:t>
      </w:r>
      <w:r w:rsidR="00B73D99" w:rsidRPr="00BB0D27">
        <w:rPr>
          <w:noProof/>
        </w:rPr>
        <w:t>nin</w:t>
      </w:r>
      <w:r w:rsidR="00943029" w:rsidRPr="00BB0D27">
        <w:rPr>
          <w:noProof/>
        </w:rPr>
        <w:t>iejszej dyrektywie należy nałożyć na producentów obowiązek naprawy towarów, do których mają zastosowanie wymogi dotyczące możliwości naprawy określone</w:t>
      </w:r>
      <w:r w:rsidR="00B73D99" w:rsidRPr="00BB0D27">
        <w:rPr>
          <w:noProof/>
        </w:rPr>
        <w:t xml:space="preserve"> w</w:t>
      </w:r>
      <w:r w:rsidR="00B73D99">
        <w:rPr>
          <w:noProof/>
        </w:rPr>
        <w:t> </w:t>
      </w:r>
      <w:r w:rsidR="00B73D99" w:rsidRPr="00BB0D27">
        <w:rPr>
          <w:noProof/>
        </w:rPr>
        <w:t>akt</w:t>
      </w:r>
      <w:r w:rsidR="00943029" w:rsidRPr="00BB0D27">
        <w:rPr>
          <w:noProof/>
        </w:rPr>
        <w:t>ach prawnych Unii. Obowiązek naprawy należy nałożyć, na wniosek konsumenta, na producentów takich towarów, jako na adresatów wspomnianych wymogów dotyczących możliwości naprawy. Obowiązek ten powinien mieć zastosowanie do producentów mających siedzibę zarówno</w:t>
      </w:r>
      <w:r w:rsidR="00B73D99" w:rsidRPr="00BB0D27">
        <w:rPr>
          <w:noProof/>
        </w:rPr>
        <w:t xml:space="preserve"> w</w:t>
      </w:r>
      <w:r w:rsidR="00B73D99">
        <w:rPr>
          <w:noProof/>
        </w:rPr>
        <w:t> </w:t>
      </w:r>
      <w:r w:rsidR="00B73D99" w:rsidRPr="00BB0D27">
        <w:rPr>
          <w:noProof/>
        </w:rPr>
        <w:t>Uni</w:t>
      </w:r>
      <w:r w:rsidR="00943029" w:rsidRPr="00BB0D27">
        <w:rPr>
          <w:noProof/>
        </w:rPr>
        <w:t>i, jak</w:t>
      </w:r>
      <w:r w:rsidR="00B73D99" w:rsidRPr="00BB0D27">
        <w:rPr>
          <w:noProof/>
        </w:rPr>
        <w:t xml:space="preserve"> i</w:t>
      </w:r>
      <w:r w:rsidR="00B73D99">
        <w:rPr>
          <w:noProof/>
        </w:rPr>
        <w:t> </w:t>
      </w:r>
      <w:r w:rsidR="00B73D99" w:rsidRPr="00BB0D27">
        <w:rPr>
          <w:noProof/>
        </w:rPr>
        <w:t>poz</w:t>
      </w:r>
      <w:r w:rsidR="00943029" w:rsidRPr="00BB0D27">
        <w:rPr>
          <w:noProof/>
        </w:rPr>
        <w:t>a Unią,</w:t>
      </w:r>
      <w:r w:rsidR="00B73D99" w:rsidRPr="00BB0D27">
        <w:rPr>
          <w:noProof/>
        </w:rPr>
        <w:t xml:space="preserve"> w</w:t>
      </w:r>
      <w:r w:rsidR="00B73D99">
        <w:rPr>
          <w:noProof/>
        </w:rPr>
        <w:t> </w:t>
      </w:r>
      <w:r w:rsidR="00B73D99" w:rsidRPr="00BB0D27">
        <w:rPr>
          <w:noProof/>
        </w:rPr>
        <w:t>odn</w:t>
      </w:r>
      <w:r w:rsidR="00943029" w:rsidRPr="00BB0D27">
        <w:rPr>
          <w:noProof/>
        </w:rPr>
        <w:t>iesieniu do towarów wprowadzanych do obrotu na rynku unijnym.</w:t>
      </w:r>
    </w:p>
    <w:p w:rsidR="00AC5545" w:rsidRPr="00BB0D27" w:rsidRDefault="001C4EB9" w:rsidP="001C4EB9">
      <w:pPr>
        <w:pStyle w:val="ManualConsidrant"/>
        <w:rPr>
          <w:noProof/>
        </w:rPr>
      </w:pPr>
      <w:r w:rsidRPr="001C4EB9">
        <w:t>(12)</w:t>
      </w:r>
      <w:r w:rsidRPr="001C4EB9">
        <w:tab/>
      </w:r>
      <w:r w:rsidR="00D4038D" w:rsidRPr="00BB0D27">
        <w:rPr>
          <w:noProof/>
        </w:rPr>
        <w:t>Ponieważ obowiązek naprawy nakładany na producentów na podstawie niniejszej dyrektywy obejmuje swoim zakresem wady, które nie wynikają</w:t>
      </w:r>
      <w:r w:rsidR="00B73D99" w:rsidRPr="00BB0D27">
        <w:rPr>
          <w:noProof/>
        </w:rPr>
        <w:t xml:space="preserve"> z</w:t>
      </w:r>
      <w:r w:rsidR="00B73D99">
        <w:rPr>
          <w:noProof/>
        </w:rPr>
        <w:t> </w:t>
      </w:r>
      <w:r w:rsidR="00B73D99" w:rsidRPr="00BB0D27">
        <w:rPr>
          <w:noProof/>
        </w:rPr>
        <w:t>nie</w:t>
      </w:r>
      <w:r w:rsidR="00D4038D" w:rsidRPr="00BB0D27">
        <w:rPr>
          <w:noProof/>
        </w:rPr>
        <w:t>zgodności towaru</w:t>
      </w:r>
      <w:r w:rsidR="00B73D99" w:rsidRPr="00BB0D27">
        <w:rPr>
          <w:noProof/>
        </w:rPr>
        <w:t xml:space="preserve"> z</w:t>
      </w:r>
      <w:r w:rsidR="00B73D99">
        <w:rPr>
          <w:noProof/>
        </w:rPr>
        <w:t> </w:t>
      </w:r>
      <w:r w:rsidR="00B73D99" w:rsidRPr="00BB0D27">
        <w:rPr>
          <w:noProof/>
        </w:rPr>
        <w:t>umo</w:t>
      </w:r>
      <w:r w:rsidR="00D4038D" w:rsidRPr="00BB0D27">
        <w:rPr>
          <w:noProof/>
        </w:rPr>
        <w:t>wą sprzedaży, producenci mogą świadczyć usługi naprawcze za określoną opłatą uiszczaną przez konsumenta,</w:t>
      </w:r>
      <w:r w:rsidR="00B73D99" w:rsidRPr="00BB0D27">
        <w:rPr>
          <w:noProof/>
        </w:rPr>
        <w:t xml:space="preserve"> w</w:t>
      </w:r>
      <w:r w:rsidR="00B73D99">
        <w:rPr>
          <w:noProof/>
        </w:rPr>
        <w:t> </w:t>
      </w:r>
      <w:r w:rsidR="00B73D99" w:rsidRPr="00BB0D27">
        <w:rPr>
          <w:noProof/>
        </w:rPr>
        <w:t>zam</w:t>
      </w:r>
      <w:r w:rsidR="00D4038D" w:rsidRPr="00BB0D27">
        <w:rPr>
          <w:noProof/>
        </w:rPr>
        <w:t>ian za innego rodzaju wynagrodzenie lub bezpłatnie. Wprowadzenie opłat powinno zachęcić producentów do rozwijania zrównoważonych modeli biznesowych,</w:t>
      </w:r>
      <w:r w:rsidR="00B73D99" w:rsidRPr="00BB0D27">
        <w:rPr>
          <w:noProof/>
        </w:rPr>
        <w:t xml:space="preserve"> w</w:t>
      </w:r>
      <w:r w:rsidR="00B73D99">
        <w:rPr>
          <w:noProof/>
        </w:rPr>
        <w:t> </w:t>
      </w:r>
      <w:r w:rsidR="00B73D99" w:rsidRPr="00BB0D27">
        <w:rPr>
          <w:noProof/>
        </w:rPr>
        <w:t>tym</w:t>
      </w:r>
      <w:r w:rsidR="00D4038D" w:rsidRPr="00BB0D27">
        <w:rPr>
          <w:noProof/>
        </w:rPr>
        <w:t xml:space="preserve"> do świadczenia usług naprawczych. Wysokości takiej opłaty może uwzględniać na przykład koszty pracy, części zamiennych</w:t>
      </w:r>
      <w:r w:rsidR="00B73D99" w:rsidRPr="00BB0D27">
        <w:rPr>
          <w:noProof/>
        </w:rPr>
        <w:t xml:space="preserve"> i</w:t>
      </w:r>
      <w:r w:rsidR="00B73D99">
        <w:rPr>
          <w:noProof/>
        </w:rPr>
        <w:t> </w:t>
      </w:r>
      <w:r w:rsidR="00B73D99" w:rsidRPr="00BB0D27">
        <w:rPr>
          <w:noProof/>
        </w:rPr>
        <w:t>pro</w:t>
      </w:r>
      <w:r w:rsidR="00D4038D" w:rsidRPr="00BB0D27">
        <w:rPr>
          <w:noProof/>
        </w:rPr>
        <w:t>wadzenia zakładu naprawczego,</w:t>
      </w:r>
      <w:r w:rsidR="00B73D99" w:rsidRPr="00BB0D27">
        <w:rPr>
          <w:noProof/>
        </w:rPr>
        <w:t xml:space="preserve"> a</w:t>
      </w:r>
      <w:r w:rsidR="00B73D99">
        <w:rPr>
          <w:noProof/>
        </w:rPr>
        <w:t> </w:t>
      </w:r>
      <w:r w:rsidR="00B73D99" w:rsidRPr="00BB0D27">
        <w:rPr>
          <w:noProof/>
        </w:rPr>
        <w:t>tak</w:t>
      </w:r>
      <w:r w:rsidR="00D4038D" w:rsidRPr="00BB0D27">
        <w:rPr>
          <w:noProof/>
        </w:rPr>
        <w:t>że zwyczajową marżę. Cenę</w:t>
      </w:r>
      <w:r w:rsidR="00B73D99" w:rsidRPr="00BB0D27">
        <w:rPr>
          <w:noProof/>
        </w:rPr>
        <w:t xml:space="preserve"> i</w:t>
      </w:r>
      <w:r w:rsidR="00B73D99">
        <w:rPr>
          <w:noProof/>
        </w:rPr>
        <w:t> </w:t>
      </w:r>
      <w:r w:rsidR="00B73D99" w:rsidRPr="00BB0D27">
        <w:rPr>
          <w:noProof/>
        </w:rPr>
        <w:t>war</w:t>
      </w:r>
      <w:r w:rsidR="00D4038D" w:rsidRPr="00BB0D27">
        <w:rPr>
          <w:noProof/>
        </w:rPr>
        <w:t>unki naprawy należy uzgodnić</w:t>
      </w:r>
      <w:r w:rsidR="00B73D99" w:rsidRPr="00BB0D27">
        <w:rPr>
          <w:noProof/>
        </w:rPr>
        <w:t xml:space="preserve"> w</w:t>
      </w:r>
      <w:r w:rsidR="00B73D99">
        <w:rPr>
          <w:noProof/>
        </w:rPr>
        <w:t> </w:t>
      </w:r>
      <w:r w:rsidR="00B73D99" w:rsidRPr="00BB0D27">
        <w:rPr>
          <w:noProof/>
        </w:rPr>
        <w:t>umo</w:t>
      </w:r>
      <w:r w:rsidR="00D4038D" w:rsidRPr="00BB0D27">
        <w:rPr>
          <w:noProof/>
        </w:rPr>
        <w:t>wie między konsumentem</w:t>
      </w:r>
      <w:r w:rsidR="00B73D99" w:rsidRPr="00BB0D27">
        <w:rPr>
          <w:noProof/>
        </w:rPr>
        <w:t xml:space="preserve"> a</w:t>
      </w:r>
      <w:r w:rsidR="00B73D99">
        <w:rPr>
          <w:noProof/>
        </w:rPr>
        <w:t> </w:t>
      </w:r>
      <w:r w:rsidR="00B73D99" w:rsidRPr="00BB0D27">
        <w:rPr>
          <w:noProof/>
        </w:rPr>
        <w:t>pro</w:t>
      </w:r>
      <w:r w:rsidR="00D4038D" w:rsidRPr="00BB0D27">
        <w:rPr>
          <w:noProof/>
        </w:rPr>
        <w:t>ducentem,</w:t>
      </w:r>
      <w:r w:rsidR="00B73D99" w:rsidRPr="00BB0D27">
        <w:rPr>
          <w:noProof/>
        </w:rPr>
        <w:t xml:space="preserve"> a</w:t>
      </w:r>
      <w:r w:rsidR="00B73D99">
        <w:rPr>
          <w:noProof/>
        </w:rPr>
        <w:t> </w:t>
      </w:r>
      <w:r w:rsidR="00B73D99" w:rsidRPr="00BB0D27">
        <w:rPr>
          <w:noProof/>
        </w:rPr>
        <w:t>kon</w:t>
      </w:r>
      <w:r w:rsidR="00D4038D" w:rsidRPr="00BB0D27">
        <w:rPr>
          <w:noProof/>
        </w:rPr>
        <w:t>sumentowi należy pozostawić swobodę decydowania, czy taka cena</w:t>
      </w:r>
      <w:r w:rsidR="00B73D99" w:rsidRPr="00BB0D27">
        <w:rPr>
          <w:noProof/>
        </w:rPr>
        <w:t xml:space="preserve"> i</w:t>
      </w:r>
      <w:r w:rsidR="00B73D99">
        <w:rPr>
          <w:noProof/>
        </w:rPr>
        <w:t> </w:t>
      </w:r>
      <w:r w:rsidR="00B73D99" w:rsidRPr="00BB0D27">
        <w:rPr>
          <w:noProof/>
        </w:rPr>
        <w:t>tak</w:t>
      </w:r>
      <w:r w:rsidR="00D4038D" w:rsidRPr="00BB0D27">
        <w:rPr>
          <w:noProof/>
        </w:rPr>
        <w:t>ie warunki są dla niego akceptowalne. Konieczność zawarcia takiej umowy</w:t>
      </w:r>
      <w:r w:rsidR="00B73D99" w:rsidRPr="00BB0D27">
        <w:rPr>
          <w:noProof/>
        </w:rPr>
        <w:t xml:space="preserve"> i</w:t>
      </w:r>
      <w:r w:rsidR="00B73D99">
        <w:rPr>
          <w:noProof/>
        </w:rPr>
        <w:t> </w:t>
      </w:r>
      <w:r w:rsidR="00B73D99" w:rsidRPr="00BB0D27">
        <w:rPr>
          <w:noProof/>
        </w:rPr>
        <w:t>pre</w:t>
      </w:r>
      <w:r w:rsidR="00D4038D" w:rsidRPr="00BB0D27">
        <w:rPr>
          <w:noProof/>
        </w:rPr>
        <w:t>sja konkurencyjna ze strony innych podmiotów zajmujących się naprawą powinna zachęcić producentów zobowiązanych do naprawy do utrzymania cen na poziomie akceptowalnym dla konsumenta. Obowiązek naprawy można również wykonać bezpłatnie, jeżeli wada objęta jest zakresem gwarancji handlowej, na przykład ze względu na gwarantowaną trwałość towaru.</w:t>
      </w:r>
    </w:p>
    <w:p w:rsidR="004E3C00" w:rsidRPr="00BB0D27" w:rsidRDefault="001C4EB9" w:rsidP="001C4EB9">
      <w:pPr>
        <w:pStyle w:val="ManualConsidrant"/>
        <w:rPr>
          <w:noProof/>
        </w:rPr>
      </w:pPr>
      <w:r w:rsidRPr="001C4EB9">
        <w:t>(13)</w:t>
      </w:r>
      <w:r w:rsidRPr="001C4EB9">
        <w:tab/>
      </w:r>
      <w:r w:rsidR="00567E99" w:rsidRPr="00BB0D27">
        <w:rPr>
          <w:noProof/>
        </w:rPr>
        <w:t>Producenci mogą realizować obowiązek naprawy poprzez zlecenie podwykonawstwa, na przykład gdy nie dysponują oni infrastrukturą umożliwiającą naprawę lub gdy naprawy może dokonać podmiot zajmujący się naprawą zlokalizowany bliżej konsumenta, między innymi</w:t>
      </w:r>
      <w:r w:rsidR="00B73D99" w:rsidRPr="00BB0D27">
        <w:rPr>
          <w:noProof/>
        </w:rPr>
        <w:t xml:space="preserve"> w</w:t>
      </w:r>
      <w:r w:rsidR="00B73D99">
        <w:rPr>
          <w:noProof/>
        </w:rPr>
        <w:t> </w:t>
      </w:r>
      <w:r w:rsidR="00B73D99" w:rsidRPr="00BB0D27">
        <w:rPr>
          <w:noProof/>
        </w:rPr>
        <w:t>syt</w:t>
      </w:r>
      <w:r w:rsidR="00567E99" w:rsidRPr="00BB0D27">
        <w:rPr>
          <w:noProof/>
        </w:rPr>
        <w:t>uacji, gdy producent ma siedzibę poza Unią. </w:t>
      </w:r>
    </w:p>
    <w:p w:rsidR="00567E99" w:rsidRPr="00BB0D27" w:rsidRDefault="001C4EB9" w:rsidP="001C4EB9">
      <w:pPr>
        <w:pStyle w:val="ManualConsidrant"/>
        <w:rPr>
          <w:noProof/>
        </w:rPr>
      </w:pPr>
      <w:r w:rsidRPr="001C4EB9">
        <w:t>(14)</w:t>
      </w:r>
      <w:r w:rsidRPr="001C4EB9">
        <w:tab/>
      </w:r>
      <w:r w:rsidR="00110991" w:rsidRPr="00BB0D27">
        <w:rPr>
          <w:noProof/>
        </w:rPr>
        <w:t>Zastosowanie mają wymogi określone</w:t>
      </w:r>
      <w:r w:rsidR="00B73D99" w:rsidRPr="00BB0D27">
        <w:rPr>
          <w:noProof/>
        </w:rPr>
        <w:t xml:space="preserve"> w</w:t>
      </w:r>
      <w:r w:rsidR="00B73D99">
        <w:rPr>
          <w:noProof/>
        </w:rPr>
        <w:t> </w:t>
      </w:r>
      <w:r w:rsidR="00B73D99" w:rsidRPr="00BB0D27">
        <w:rPr>
          <w:noProof/>
        </w:rPr>
        <w:t>akt</w:t>
      </w:r>
      <w:r w:rsidR="00110991" w:rsidRPr="00BB0D27">
        <w:rPr>
          <w:noProof/>
        </w:rPr>
        <w:t>ach delegowanych przyjętych zgodnie</w:t>
      </w:r>
      <w:r w:rsidR="00B73D99" w:rsidRPr="00BB0D27">
        <w:rPr>
          <w:noProof/>
        </w:rPr>
        <w:t xml:space="preserve"> z</w:t>
      </w:r>
      <w:r w:rsidR="00B73D99">
        <w:rPr>
          <w:noProof/>
        </w:rPr>
        <w:t> </w:t>
      </w:r>
      <w:r w:rsidR="00B73D99" w:rsidRPr="00BB0D27">
        <w:rPr>
          <w:noProof/>
        </w:rPr>
        <w:t>roz</w:t>
      </w:r>
      <w:r w:rsidR="00110991" w:rsidRPr="00BB0D27">
        <w:rPr>
          <w:noProof/>
        </w:rPr>
        <w:t>porządzeniem [w sprawie ekoprojektu dla zrównoważonych produktów] lub</w:t>
      </w:r>
      <w:r w:rsidR="00B73D99" w:rsidRPr="00BB0D27">
        <w:rPr>
          <w:noProof/>
        </w:rPr>
        <w:t xml:space="preserve"> w</w:t>
      </w:r>
      <w:r w:rsidR="00B73D99">
        <w:rPr>
          <w:noProof/>
        </w:rPr>
        <w:t> </w:t>
      </w:r>
      <w:r w:rsidR="00B73D99" w:rsidRPr="00BB0D27">
        <w:rPr>
          <w:noProof/>
        </w:rPr>
        <w:t>prz</w:t>
      </w:r>
      <w:r w:rsidR="00110991" w:rsidRPr="00BB0D27">
        <w:rPr>
          <w:noProof/>
        </w:rPr>
        <w:t>episach wykonawczych przyjętych zgodnie</w:t>
      </w:r>
      <w:r w:rsidR="00B73D99" w:rsidRPr="00BB0D27">
        <w:rPr>
          <w:noProof/>
        </w:rPr>
        <w:t xml:space="preserve"> z</w:t>
      </w:r>
      <w:r w:rsidR="00B73D99">
        <w:rPr>
          <w:noProof/>
        </w:rPr>
        <w:t> </w:t>
      </w:r>
      <w:r w:rsidR="00B73D99" w:rsidRPr="00BB0D27">
        <w:rPr>
          <w:noProof/>
        </w:rPr>
        <w:t>dyr</w:t>
      </w:r>
      <w:r w:rsidR="00110991" w:rsidRPr="00BB0D27">
        <w:rPr>
          <w:noProof/>
        </w:rPr>
        <w:t>ektywą Parlamentu Europejskiego</w:t>
      </w:r>
      <w:r w:rsidR="00B73D99" w:rsidRPr="00BB0D27">
        <w:rPr>
          <w:noProof/>
        </w:rPr>
        <w:t xml:space="preserve"> i</w:t>
      </w:r>
      <w:r w:rsidR="00B73D99">
        <w:rPr>
          <w:noProof/>
        </w:rPr>
        <w:t> </w:t>
      </w:r>
      <w:r w:rsidR="00B73D99" w:rsidRPr="00BB0D27">
        <w:rPr>
          <w:noProof/>
        </w:rPr>
        <w:t>Rad</w:t>
      </w:r>
      <w:r w:rsidR="00110991" w:rsidRPr="00BB0D27">
        <w:rPr>
          <w:noProof/>
        </w:rPr>
        <w:t>y 2009/125/WE</w:t>
      </w:r>
      <w:r w:rsidR="00C74D12" w:rsidRPr="00BB0D27">
        <w:rPr>
          <w:rStyle w:val="FootnoteReference"/>
          <w:noProof/>
        </w:rPr>
        <w:footnoteReference w:id="17"/>
      </w:r>
      <w:r w:rsidR="00110991" w:rsidRPr="00BB0D27">
        <w:rPr>
          <w:noProof/>
        </w:rPr>
        <w:t>, zgodnie</w:t>
      </w:r>
      <w:r w:rsidR="00B73D99" w:rsidRPr="00BB0D27">
        <w:rPr>
          <w:noProof/>
        </w:rPr>
        <w:t xml:space="preserve"> z</w:t>
      </w:r>
      <w:r w:rsidR="00B73D99">
        <w:rPr>
          <w:noProof/>
        </w:rPr>
        <w:t> </w:t>
      </w:r>
      <w:r w:rsidR="00B73D99" w:rsidRPr="00BB0D27">
        <w:rPr>
          <w:noProof/>
        </w:rPr>
        <w:t>któ</w:t>
      </w:r>
      <w:r w:rsidR="00110991" w:rsidRPr="00BB0D27">
        <w:rPr>
          <w:noProof/>
        </w:rPr>
        <w:t>rymi producenci powinni zapewnić dostęp do części zamiennych oraz do informacji związanych</w:t>
      </w:r>
      <w:r w:rsidR="00B73D99" w:rsidRPr="00BB0D27">
        <w:rPr>
          <w:noProof/>
        </w:rPr>
        <w:t xml:space="preserve"> z</w:t>
      </w:r>
      <w:r w:rsidR="00B73D99">
        <w:rPr>
          <w:noProof/>
        </w:rPr>
        <w:t> </w:t>
      </w:r>
      <w:r w:rsidR="00B73D99" w:rsidRPr="00BB0D27">
        <w:rPr>
          <w:noProof/>
        </w:rPr>
        <w:t>nap</w:t>
      </w:r>
      <w:r w:rsidR="00110991" w:rsidRPr="00BB0D27">
        <w:rPr>
          <w:noProof/>
        </w:rPr>
        <w:t>rawą</w:t>
      </w:r>
      <w:r w:rsidR="00B73D99" w:rsidRPr="00BB0D27">
        <w:rPr>
          <w:noProof/>
        </w:rPr>
        <w:t xml:space="preserve"> i</w:t>
      </w:r>
      <w:r w:rsidR="00B73D99">
        <w:rPr>
          <w:noProof/>
        </w:rPr>
        <w:t> </w:t>
      </w:r>
      <w:r w:rsidR="00B73D99" w:rsidRPr="00BB0D27">
        <w:rPr>
          <w:noProof/>
        </w:rPr>
        <w:t>kon</w:t>
      </w:r>
      <w:r w:rsidR="00110991" w:rsidRPr="00BB0D27">
        <w:rPr>
          <w:noProof/>
        </w:rPr>
        <w:t>serwacją lub do wszelkich narzędzi oprogramowania, oprogramowania układowego lub podobnych środków pomocniczych związanych</w:t>
      </w:r>
      <w:r w:rsidR="00B73D99" w:rsidRPr="00BB0D27">
        <w:rPr>
          <w:noProof/>
        </w:rPr>
        <w:t xml:space="preserve"> z</w:t>
      </w:r>
      <w:r w:rsidR="00B73D99">
        <w:rPr>
          <w:noProof/>
        </w:rPr>
        <w:t> </w:t>
      </w:r>
      <w:r w:rsidR="00B73D99" w:rsidRPr="00BB0D27">
        <w:rPr>
          <w:noProof/>
        </w:rPr>
        <w:t>nap</w:t>
      </w:r>
      <w:r w:rsidR="00110991" w:rsidRPr="00BB0D27">
        <w:rPr>
          <w:noProof/>
        </w:rPr>
        <w:t>rawą. Wymogi te służą zapewnieniu, aby naprawa była technicznie wykonalna nie tylko przez producenta, lecz także przez inne podmioty zajmujące się naprawą</w:t>
      </w:r>
      <w:r w:rsidR="00B73D99" w:rsidRPr="00BB0D27">
        <w:rPr>
          <w:noProof/>
        </w:rPr>
        <w:t>. W</w:t>
      </w:r>
      <w:r w:rsidR="00B73D99">
        <w:rPr>
          <w:noProof/>
        </w:rPr>
        <w:t> </w:t>
      </w:r>
      <w:r w:rsidR="00B73D99" w:rsidRPr="00BB0D27">
        <w:rPr>
          <w:noProof/>
        </w:rPr>
        <w:t>rez</w:t>
      </w:r>
      <w:r w:rsidR="00110991" w:rsidRPr="00BB0D27">
        <w:rPr>
          <w:noProof/>
        </w:rPr>
        <w:t>ultacie konsument może sam wybrać podmiot, który zajmie się naprawą.</w:t>
      </w:r>
    </w:p>
    <w:p w:rsidR="00110991" w:rsidRPr="00BB0D27" w:rsidRDefault="001C4EB9" w:rsidP="001C4EB9">
      <w:pPr>
        <w:pStyle w:val="ManualConsidrant"/>
        <w:rPr>
          <w:noProof/>
        </w:rPr>
      </w:pPr>
      <w:r w:rsidRPr="001C4EB9">
        <w:t>(15)</w:t>
      </w:r>
      <w:r w:rsidRPr="001C4EB9">
        <w:tab/>
      </w:r>
      <w:r w:rsidR="00110991" w:rsidRPr="00BB0D27">
        <w:rPr>
          <w:noProof/>
        </w:rPr>
        <w:t>Obowiązek naprawy powinien być również skuteczny</w:t>
      </w:r>
      <w:r w:rsidR="00B73D99" w:rsidRPr="00BB0D27">
        <w:rPr>
          <w:noProof/>
        </w:rPr>
        <w:t xml:space="preserve"> w</w:t>
      </w:r>
      <w:r w:rsidR="00B73D99">
        <w:rPr>
          <w:noProof/>
        </w:rPr>
        <w:t> </w:t>
      </w:r>
      <w:r w:rsidR="00B73D99" w:rsidRPr="00BB0D27">
        <w:rPr>
          <w:noProof/>
        </w:rPr>
        <w:t>prz</w:t>
      </w:r>
      <w:r w:rsidR="00110991" w:rsidRPr="00BB0D27">
        <w:rPr>
          <w:noProof/>
        </w:rPr>
        <w:t>ypadkach, gdy producent ma siedzibę poza Unią. Aby umożliwić konsumentom zwrócenie się</w:t>
      </w:r>
      <w:r w:rsidR="00B73D99" w:rsidRPr="00BB0D27">
        <w:rPr>
          <w:noProof/>
        </w:rPr>
        <w:t xml:space="preserve"> o</w:t>
      </w:r>
      <w:r w:rsidR="00B73D99">
        <w:rPr>
          <w:noProof/>
        </w:rPr>
        <w:t> </w:t>
      </w:r>
      <w:r w:rsidR="00B73D99" w:rsidRPr="00BB0D27">
        <w:rPr>
          <w:noProof/>
        </w:rPr>
        <w:t>wyk</w:t>
      </w:r>
      <w:r w:rsidR="00110991" w:rsidRPr="00BB0D27">
        <w:rPr>
          <w:noProof/>
        </w:rPr>
        <w:t>onanie tego obowiązku do podmiotów gospodarczych mających siedzibę</w:t>
      </w:r>
      <w:r w:rsidR="00B73D99" w:rsidRPr="00BB0D27">
        <w:rPr>
          <w:noProof/>
        </w:rPr>
        <w:t xml:space="preserve"> w</w:t>
      </w:r>
      <w:r w:rsidR="00B73D99">
        <w:rPr>
          <w:noProof/>
        </w:rPr>
        <w:t> </w:t>
      </w:r>
      <w:r w:rsidR="00B73D99" w:rsidRPr="00BB0D27">
        <w:rPr>
          <w:noProof/>
        </w:rPr>
        <w:t>Uni</w:t>
      </w:r>
      <w:r w:rsidR="00110991" w:rsidRPr="00BB0D27">
        <w:rPr>
          <w:noProof/>
        </w:rPr>
        <w:t>i,</w:t>
      </w:r>
      <w:r w:rsidR="00B73D99" w:rsidRPr="00BB0D27">
        <w:rPr>
          <w:noProof/>
        </w:rPr>
        <w:t xml:space="preserve"> w</w:t>
      </w:r>
      <w:r w:rsidR="00B73D99">
        <w:rPr>
          <w:noProof/>
        </w:rPr>
        <w:t> </w:t>
      </w:r>
      <w:r w:rsidR="00B73D99" w:rsidRPr="00BB0D27">
        <w:rPr>
          <w:noProof/>
        </w:rPr>
        <w:t>nin</w:t>
      </w:r>
      <w:r w:rsidR="00110991" w:rsidRPr="00BB0D27">
        <w:rPr>
          <w:noProof/>
        </w:rPr>
        <w:t>iejszej dyrektywie przewidziano szereg alternatywnych podmiotów gospodarczych, które są</w:t>
      </w:r>
      <w:r w:rsidR="00B73D99" w:rsidRPr="00BB0D27">
        <w:rPr>
          <w:noProof/>
        </w:rPr>
        <w:t xml:space="preserve"> w</w:t>
      </w:r>
      <w:r w:rsidR="00B73D99">
        <w:rPr>
          <w:noProof/>
        </w:rPr>
        <w:t> </w:t>
      </w:r>
      <w:r w:rsidR="00B73D99" w:rsidRPr="00BB0D27">
        <w:rPr>
          <w:noProof/>
        </w:rPr>
        <w:t>tak</w:t>
      </w:r>
      <w:r w:rsidR="00110991" w:rsidRPr="00BB0D27">
        <w:rPr>
          <w:noProof/>
        </w:rPr>
        <w:t>ich przypadkach zobowiązane do wykonania spoczywającego na producencie obowiązku naprawy. Rozwiązanie takie powinno umożliwić producentom spoza Unii odpowiednią organizację</w:t>
      </w:r>
      <w:r w:rsidR="00B73D99" w:rsidRPr="00BB0D27">
        <w:rPr>
          <w:noProof/>
        </w:rPr>
        <w:t xml:space="preserve"> i</w:t>
      </w:r>
      <w:r w:rsidR="00B73D99">
        <w:rPr>
          <w:noProof/>
        </w:rPr>
        <w:t> </w:t>
      </w:r>
      <w:r w:rsidR="00B73D99" w:rsidRPr="00BB0D27">
        <w:rPr>
          <w:noProof/>
        </w:rPr>
        <w:t>wyk</w:t>
      </w:r>
      <w:r w:rsidR="00110991" w:rsidRPr="00BB0D27">
        <w:rPr>
          <w:noProof/>
        </w:rPr>
        <w:t>onanie obowiązku naprawy na terenie Unii.</w:t>
      </w:r>
    </w:p>
    <w:p w:rsidR="00110991" w:rsidRPr="00BB0D27" w:rsidRDefault="001C4EB9" w:rsidP="001C4EB9">
      <w:pPr>
        <w:pStyle w:val="ManualConsidrant"/>
        <w:rPr>
          <w:noProof/>
        </w:rPr>
      </w:pPr>
      <w:r w:rsidRPr="001C4EB9">
        <w:t>(16)</w:t>
      </w:r>
      <w:r w:rsidRPr="001C4EB9">
        <w:tab/>
      </w:r>
      <w:r w:rsidR="3CFB2F64" w:rsidRPr="00BB0D27">
        <w:rPr>
          <w:noProof/>
        </w:rPr>
        <w:t>Aby uniknąć nadmiernego obciążenia producentów</w:t>
      </w:r>
      <w:r w:rsidR="00B73D99" w:rsidRPr="00BB0D27">
        <w:rPr>
          <w:noProof/>
        </w:rPr>
        <w:t xml:space="preserve"> i</w:t>
      </w:r>
      <w:r w:rsidR="00B73D99">
        <w:rPr>
          <w:noProof/>
        </w:rPr>
        <w:t> </w:t>
      </w:r>
      <w:r w:rsidR="00B73D99" w:rsidRPr="00BB0D27">
        <w:rPr>
          <w:noProof/>
        </w:rPr>
        <w:t>zap</w:t>
      </w:r>
      <w:r w:rsidR="3CFB2F64" w:rsidRPr="00BB0D27">
        <w:rPr>
          <w:noProof/>
        </w:rPr>
        <w:t>ewnić, aby byli oni</w:t>
      </w:r>
      <w:r w:rsidR="00B73D99" w:rsidRPr="00BB0D27">
        <w:rPr>
          <w:noProof/>
        </w:rPr>
        <w:t xml:space="preserve"> w</w:t>
      </w:r>
      <w:r w:rsidR="00B73D99">
        <w:rPr>
          <w:noProof/>
        </w:rPr>
        <w:t> </w:t>
      </w:r>
      <w:r w:rsidR="00B73D99" w:rsidRPr="00BB0D27">
        <w:rPr>
          <w:noProof/>
        </w:rPr>
        <w:t>sta</w:t>
      </w:r>
      <w:r w:rsidR="3CFB2F64" w:rsidRPr="00BB0D27">
        <w:rPr>
          <w:noProof/>
        </w:rPr>
        <w:t>nie wykonać obowiązek naprawy, obowiązek ten należy ograniczyć do produktów,</w:t>
      </w:r>
      <w:r w:rsidR="00B73D99" w:rsidRPr="00BB0D27">
        <w:rPr>
          <w:noProof/>
        </w:rPr>
        <w:t xml:space="preserve"> w</w:t>
      </w:r>
      <w:r w:rsidR="00B73D99">
        <w:rPr>
          <w:noProof/>
        </w:rPr>
        <w:t> </w:t>
      </w:r>
      <w:r w:rsidR="00B73D99" w:rsidRPr="00BB0D27">
        <w:rPr>
          <w:noProof/>
        </w:rPr>
        <w:t>odn</w:t>
      </w:r>
      <w:r w:rsidR="3CFB2F64" w:rsidRPr="00BB0D27">
        <w:rPr>
          <w:noProof/>
        </w:rPr>
        <w:t>iesieniu do których</w:t>
      </w:r>
      <w:r w:rsidR="00B73D99" w:rsidRPr="00BB0D27">
        <w:rPr>
          <w:noProof/>
        </w:rPr>
        <w:t xml:space="preserve"> w</w:t>
      </w:r>
      <w:r w:rsidR="00B73D99">
        <w:rPr>
          <w:noProof/>
        </w:rPr>
        <w:t> </w:t>
      </w:r>
      <w:r w:rsidR="00B73D99" w:rsidRPr="00BB0D27">
        <w:rPr>
          <w:noProof/>
        </w:rPr>
        <w:t>akt</w:t>
      </w:r>
      <w:r w:rsidR="3CFB2F64" w:rsidRPr="00BB0D27">
        <w:rPr>
          <w:noProof/>
        </w:rPr>
        <w:t>ach prawnych Unii przewidziano wymogi dotyczące możliwości naprawy, oraz do zakresu takich wymogów. Wymogi dotyczące możliwości naprawy nie zobowiązują producentów do naprawy wadliwych towarów, lecz zapewniają, aby towary te były naprawialne. Przedmiotowe wymogi dotyczące możliwości naprawy mogą być określone</w:t>
      </w:r>
      <w:r w:rsidR="00B73D99" w:rsidRPr="00BB0D27">
        <w:rPr>
          <w:noProof/>
        </w:rPr>
        <w:t xml:space="preserve"> w</w:t>
      </w:r>
      <w:r w:rsidR="00B73D99">
        <w:rPr>
          <w:noProof/>
        </w:rPr>
        <w:t> </w:t>
      </w:r>
      <w:r w:rsidR="00B73D99" w:rsidRPr="00BB0D27">
        <w:rPr>
          <w:noProof/>
        </w:rPr>
        <w:t>odp</w:t>
      </w:r>
      <w:r w:rsidR="3CFB2F64" w:rsidRPr="00BB0D27">
        <w:rPr>
          <w:noProof/>
        </w:rPr>
        <w:t>owiednich aktach prawnych Unii. Są to na przykład akty delegowane przyjęte zgodnie</w:t>
      </w:r>
      <w:r w:rsidR="00B73D99" w:rsidRPr="00BB0D27">
        <w:rPr>
          <w:noProof/>
        </w:rPr>
        <w:t xml:space="preserve"> z</w:t>
      </w:r>
      <w:r w:rsidR="00B73D99">
        <w:rPr>
          <w:noProof/>
        </w:rPr>
        <w:t> </w:t>
      </w:r>
      <w:r w:rsidR="00B73D99" w:rsidRPr="00BB0D27">
        <w:rPr>
          <w:noProof/>
        </w:rPr>
        <w:t>roz</w:t>
      </w:r>
      <w:r w:rsidR="3CFB2F64" w:rsidRPr="00BB0D27">
        <w:rPr>
          <w:noProof/>
        </w:rPr>
        <w:t>porządzeniem [w sprawie ekoprojektu dla zrównoważonych produktów] lub przepisy wykonawcze przyjęte zgodnie</w:t>
      </w:r>
      <w:r w:rsidR="00B73D99" w:rsidRPr="00BB0D27">
        <w:rPr>
          <w:noProof/>
        </w:rPr>
        <w:t xml:space="preserve"> z</w:t>
      </w:r>
      <w:r w:rsidR="00B73D99">
        <w:rPr>
          <w:noProof/>
        </w:rPr>
        <w:t> </w:t>
      </w:r>
      <w:r w:rsidR="00B73D99" w:rsidRPr="00BB0D27">
        <w:rPr>
          <w:noProof/>
        </w:rPr>
        <w:t>dyr</w:t>
      </w:r>
      <w:r w:rsidR="3CFB2F64" w:rsidRPr="00BB0D27">
        <w:rPr>
          <w:noProof/>
        </w:rPr>
        <w:t>ektywą Parlamentu Europejskiego</w:t>
      </w:r>
      <w:r w:rsidR="00B73D99" w:rsidRPr="00BB0D27">
        <w:rPr>
          <w:noProof/>
        </w:rPr>
        <w:t xml:space="preserve"> i</w:t>
      </w:r>
      <w:r w:rsidR="00B73D99">
        <w:rPr>
          <w:noProof/>
        </w:rPr>
        <w:t> </w:t>
      </w:r>
      <w:r w:rsidR="00B73D99" w:rsidRPr="00BB0D27">
        <w:rPr>
          <w:noProof/>
        </w:rPr>
        <w:t>Rad</w:t>
      </w:r>
      <w:r w:rsidR="3CFB2F64" w:rsidRPr="00BB0D27">
        <w:rPr>
          <w:noProof/>
        </w:rPr>
        <w:t>y 2009/125/WE</w:t>
      </w:r>
      <w:r w:rsidR="00110991" w:rsidRPr="00BB0D27">
        <w:rPr>
          <w:rStyle w:val="FootnoteReference"/>
          <w:noProof/>
        </w:rPr>
        <w:footnoteReference w:id="18"/>
      </w:r>
      <w:r w:rsidR="3CFB2F64" w:rsidRPr="00BB0D27">
        <w:rPr>
          <w:noProof/>
        </w:rPr>
        <w:t>, które stanowią ramy mające na celu poprawę zrównoważenia środowiskowego produktów. Takie ograniczenie obowiązku naprawy służy zapewnieniu, aby podlegały mu wyłącznie towary, które</w:t>
      </w:r>
      <w:r w:rsidR="00B73D99" w:rsidRPr="00BB0D27">
        <w:rPr>
          <w:noProof/>
        </w:rPr>
        <w:t xml:space="preserve"> z</w:t>
      </w:r>
      <w:r w:rsidR="00B73D99">
        <w:rPr>
          <w:noProof/>
        </w:rPr>
        <w:t> </w:t>
      </w:r>
      <w:r w:rsidR="00B73D99" w:rsidRPr="00BB0D27">
        <w:rPr>
          <w:noProof/>
        </w:rPr>
        <w:t>zał</w:t>
      </w:r>
      <w:r w:rsidR="3CFB2F64" w:rsidRPr="00BB0D27">
        <w:rPr>
          <w:noProof/>
        </w:rPr>
        <w:t>ożenia nadają się do naprawy. Odpowiednie wymogi dotyczące możliwości naprawy obejmują wymogi dotyczące projektowania zwiększającego możliwość rozmontowania towaru oraz wymogi dotyczące minimalnego okresu dostępności szeregu części zamiennych. Obowiązek naprawy odpowiada zakresowi wymogów dotyczących możliwości naprawy, na przykład wymogi dotyczące ekoprojektu mogą mieć zastosowanie zaledwie do niektórych części składowych towarów,</w:t>
      </w:r>
      <w:r w:rsidR="00B73D99" w:rsidRPr="00BB0D27">
        <w:rPr>
          <w:noProof/>
        </w:rPr>
        <w:t xml:space="preserve"> a</w:t>
      </w:r>
      <w:r w:rsidR="00B73D99">
        <w:rPr>
          <w:noProof/>
        </w:rPr>
        <w:t> </w:t>
      </w:r>
      <w:r w:rsidR="00B73D99" w:rsidRPr="00BB0D27">
        <w:rPr>
          <w:noProof/>
        </w:rPr>
        <w:t>obo</w:t>
      </w:r>
      <w:r w:rsidR="3CFB2F64" w:rsidRPr="00BB0D27">
        <w:rPr>
          <w:noProof/>
        </w:rPr>
        <w:t>wiązek zapewnienia dostępności części zamiennych może zostać ograniczony czasowo. Obowiązek naprawy wynikający</w:t>
      </w:r>
      <w:r w:rsidR="00B73D99" w:rsidRPr="00BB0D27">
        <w:rPr>
          <w:noProof/>
        </w:rPr>
        <w:t xml:space="preserve"> z</w:t>
      </w:r>
      <w:r w:rsidR="00B73D99">
        <w:rPr>
          <w:noProof/>
        </w:rPr>
        <w:t> </w:t>
      </w:r>
      <w:r w:rsidR="00B73D99" w:rsidRPr="00BB0D27">
        <w:rPr>
          <w:noProof/>
        </w:rPr>
        <w:t>nin</w:t>
      </w:r>
      <w:r w:rsidR="3CFB2F64" w:rsidRPr="00BB0D27">
        <w:rPr>
          <w:noProof/>
        </w:rPr>
        <w:t>iejszej dyrektywy,</w:t>
      </w:r>
      <w:r w:rsidR="00B73D99" w:rsidRPr="00BB0D27">
        <w:rPr>
          <w:noProof/>
        </w:rPr>
        <w:t xml:space="preserve"> w</w:t>
      </w:r>
      <w:r w:rsidR="00B73D99">
        <w:rPr>
          <w:noProof/>
        </w:rPr>
        <w:t> </w:t>
      </w:r>
      <w:r w:rsidR="00B73D99" w:rsidRPr="00BB0D27">
        <w:rPr>
          <w:noProof/>
        </w:rPr>
        <w:t>ram</w:t>
      </w:r>
      <w:r w:rsidR="3CFB2F64" w:rsidRPr="00BB0D27">
        <w:rPr>
          <w:noProof/>
        </w:rPr>
        <w:t>ach którego konsument może domagać się naprawy posprzedażnej bezpośrednio od producenta, stanowi uzupełnienie wymogów dotyczących możliwości naprawy związanych ze stroną podaży określonych</w:t>
      </w:r>
      <w:r w:rsidR="00B73D99" w:rsidRPr="00BB0D27">
        <w:rPr>
          <w:noProof/>
        </w:rPr>
        <w:t xml:space="preserve"> w</w:t>
      </w:r>
      <w:r w:rsidR="00B73D99">
        <w:rPr>
          <w:noProof/>
        </w:rPr>
        <w:t> </w:t>
      </w:r>
      <w:r w:rsidR="00B73D99" w:rsidRPr="00BB0D27">
        <w:rPr>
          <w:noProof/>
        </w:rPr>
        <w:t>roz</w:t>
      </w:r>
      <w:r w:rsidR="3CFB2F64" w:rsidRPr="00BB0D27">
        <w:rPr>
          <w:noProof/>
        </w:rPr>
        <w:t>porządzeniu [w sprawie ekoprojektu dla zrównoważonych produktów]</w:t>
      </w:r>
      <w:r w:rsidR="00B73D99" w:rsidRPr="00BB0D27">
        <w:rPr>
          <w:noProof/>
        </w:rPr>
        <w:t xml:space="preserve"> i</w:t>
      </w:r>
      <w:r w:rsidR="00B73D99">
        <w:rPr>
          <w:noProof/>
        </w:rPr>
        <w:t> </w:t>
      </w:r>
      <w:r w:rsidR="00B73D99" w:rsidRPr="00BB0D27">
        <w:rPr>
          <w:noProof/>
        </w:rPr>
        <w:t>spr</w:t>
      </w:r>
      <w:r w:rsidR="3CFB2F64" w:rsidRPr="00BB0D27">
        <w:rPr>
          <w:noProof/>
        </w:rPr>
        <w:t xml:space="preserve">zyjają rozwojowi popytu konsumpcyjnego na naprawę. </w:t>
      </w:r>
    </w:p>
    <w:p w:rsidR="004044BA" w:rsidRPr="00BB0D27" w:rsidRDefault="001C4EB9" w:rsidP="001C4EB9">
      <w:pPr>
        <w:pStyle w:val="ManualConsidrant"/>
        <w:rPr>
          <w:noProof/>
        </w:rPr>
      </w:pPr>
      <w:r w:rsidRPr="001C4EB9">
        <w:t>(17)</w:t>
      </w:r>
      <w:r w:rsidRPr="001C4EB9">
        <w:tab/>
      </w:r>
      <w:r w:rsidR="3F737094" w:rsidRPr="00BB0D27">
        <w:rPr>
          <w:noProof/>
        </w:rPr>
        <w:t>Aby zapewnić pewność prawa,</w:t>
      </w:r>
      <w:r w:rsidR="00B73D99" w:rsidRPr="00BB0D27">
        <w:rPr>
          <w:noProof/>
        </w:rPr>
        <w:t xml:space="preserve"> w</w:t>
      </w:r>
      <w:r w:rsidR="00B73D99">
        <w:rPr>
          <w:noProof/>
        </w:rPr>
        <w:t> </w:t>
      </w:r>
      <w:r w:rsidR="00B73D99" w:rsidRPr="00BB0D27">
        <w:rPr>
          <w:noProof/>
        </w:rPr>
        <w:t>zał</w:t>
      </w:r>
      <w:r w:rsidR="3F737094" w:rsidRPr="00BB0D27">
        <w:rPr>
          <w:noProof/>
        </w:rPr>
        <w:t>ączniku II do niniejszej dyrektywy zamieszczono wykaz odpowiednich grup produktów objętych zakresem takich wymogów dotyczących możliwości naprawy, określonych</w:t>
      </w:r>
      <w:r w:rsidR="00B73D99" w:rsidRPr="00BB0D27">
        <w:rPr>
          <w:noProof/>
        </w:rPr>
        <w:t xml:space="preserve"> w</w:t>
      </w:r>
      <w:r w:rsidR="00B73D99">
        <w:rPr>
          <w:noProof/>
        </w:rPr>
        <w:t> </w:t>
      </w:r>
      <w:r w:rsidR="00B73D99" w:rsidRPr="00BB0D27">
        <w:rPr>
          <w:noProof/>
        </w:rPr>
        <w:t>akt</w:t>
      </w:r>
      <w:r w:rsidR="3F737094" w:rsidRPr="00BB0D27">
        <w:rPr>
          <w:noProof/>
        </w:rPr>
        <w:t>ach prawnych Unii. Dla zapewnienia spójności</w:t>
      </w:r>
      <w:r w:rsidR="00B73D99" w:rsidRPr="00BB0D27">
        <w:rPr>
          <w:noProof/>
        </w:rPr>
        <w:t xml:space="preserve"> z</w:t>
      </w:r>
      <w:r w:rsidR="00B73D99">
        <w:rPr>
          <w:noProof/>
        </w:rPr>
        <w:t> </w:t>
      </w:r>
      <w:r w:rsidR="00B73D99" w:rsidRPr="00BB0D27">
        <w:rPr>
          <w:noProof/>
        </w:rPr>
        <w:t>prz</w:t>
      </w:r>
      <w:r w:rsidR="3F737094" w:rsidRPr="00BB0D27">
        <w:rPr>
          <w:noProof/>
        </w:rPr>
        <w:t>yszłymi wymogami dotyczącymi możliwości naprawy wynikającymi</w:t>
      </w:r>
      <w:r w:rsidR="00B73D99" w:rsidRPr="00BB0D27">
        <w:rPr>
          <w:noProof/>
        </w:rPr>
        <w:t xml:space="preserve"> z</w:t>
      </w:r>
      <w:r w:rsidR="00B73D99">
        <w:rPr>
          <w:noProof/>
        </w:rPr>
        <w:t> </w:t>
      </w:r>
      <w:r w:rsidR="00B73D99" w:rsidRPr="00BB0D27">
        <w:rPr>
          <w:noProof/>
        </w:rPr>
        <w:t>akt</w:t>
      </w:r>
      <w:r w:rsidR="3F737094" w:rsidRPr="00BB0D27">
        <w:rPr>
          <w:noProof/>
        </w:rPr>
        <w:t>ów prawnych Unii należy przekazać Komisji uprawnienia do przyjmowania aktów zgodnie</w:t>
      </w:r>
      <w:r w:rsidR="00B73D99" w:rsidRPr="00BB0D27">
        <w:rPr>
          <w:noProof/>
        </w:rPr>
        <w:t xml:space="preserve"> z</w:t>
      </w:r>
      <w:r w:rsidR="00B73D99">
        <w:rPr>
          <w:noProof/>
        </w:rPr>
        <w:t> </w:t>
      </w:r>
      <w:r w:rsidR="00B73D99" w:rsidRPr="00B73D99">
        <w:rPr>
          <w:noProof/>
        </w:rPr>
        <w:t>art</w:t>
      </w:r>
      <w:r w:rsidR="3F737094" w:rsidRPr="00B73D99">
        <w:rPr>
          <w:noProof/>
        </w:rPr>
        <w:t>.</w:t>
      </w:r>
      <w:r w:rsidR="00B73D99" w:rsidRPr="00B73D99">
        <w:rPr>
          <w:noProof/>
        </w:rPr>
        <w:t> </w:t>
      </w:r>
      <w:r w:rsidR="3F737094" w:rsidRPr="00B73D99">
        <w:rPr>
          <w:noProof/>
        </w:rPr>
        <w:t>2</w:t>
      </w:r>
      <w:r w:rsidR="3F737094" w:rsidRPr="00BB0D27">
        <w:rPr>
          <w:noProof/>
        </w:rPr>
        <w:t>90 Traktatu</w:t>
      </w:r>
      <w:r w:rsidR="00B73D99" w:rsidRPr="00BB0D27">
        <w:rPr>
          <w:noProof/>
        </w:rPr>
        <w:t xml:space="preserve"> o</w:t>
      </w:r>
      <w:r w:rsidR="00B73D99">
        <w:rPr>
          <w:noProof/>
        </w:rPr>
        <w:t> </w:t>
      </w:r>
      <w:r w:rsidR="00B73D99" w:rsidRPr="00BB0D27">
        <w:rPr>
          <w:noProof/>
        </w:rPr>
        <w:t>fun</w:t>
      </w:r>
      <w:r w:rsidR="3F737094" w:rsidRPr="00BB0D27">
        <w:rPr>
          <w:noProof/>
        </w:rPr>
        <w:t>kcjonowaniu Unii Europejskiej</w:t>
      </w:r>
      <w:r w:rsidR="00B73D99" w:rsidRPr="00BB0D27">
        <w:rPr>
          <w:noProof/>
        </w:rPr>
        <w:t xml:space="preserve"> w</w:t>
      </w:r>
      <w:r w:rsidR="00B73D99">
        <w:rPr>
          <w:noProof/>
        </w:rPr>
        <w:t> </w:t>
      </w:r>
      <w:r w:rsidR="00B73D99" w:rsidRPr="00BB0D27">
        <w:rPr>
          <w:noProof/>
        </w:rPr>
        <w:t>szc</w:t>
      </w:r>
      <w:r w:rsidR="3F737094" w:rsidRPr="00BB0D27">
        <w:rPr>
          <w:noProof/>
        </w:rPr>
        <w:t>zególności</w:t>
      </w:r>
      <w:r w:rsidR="00B73D99" w:rsidRPr="00BB0D27">
        <w:rPr>
          <w:noProof/>
        </w:rPr>
        <w:t xml:space="preserve"> w</w:t>
      </w:r>
      <w:r w:rsidR="00B73D99">
        <w:rPr>
          <w:noProof/>
        </w:rPr>
        <w:t> </w:t>
      </w:r>
      <w:r w:rsidR="00B73D99" w:rsidRPr="00BB0D27">
        <w:rPr>
          <w:noProof/>
        </w:rPr>
        <w:t>odn</w:t>
      </w:r>
      <w:r w:rsidR="3F737094" w:rsidRPr="00BB0D27">
        <w:rPr>
          <w:noProof/>
        </w:rPr>
        <w:t>iesieniu do dodawania nowych grup produktów do załącznika II</w:t>
      </w:r>
      <w:r w:rsidR="00B73D99" w:rsidRPr="00BB0D27">
        <w:rPr>
          <w:noProof/>
        </w:rPr>
        <w:t xml:space="preserve"> w</w:t>
      </w:r>
      <w:r w:rsidR="00B73D99">
        <w:rPr>
          <w:noProof/>
        </w:rPr>
        <w:t> </w:t>
      </w:r>
      <w:r w:rsidR="00B73D99" w:rsidRPr="00BB0D27">
        <w:rPr>
          <w:noProof/>
        </w:rPr>
        <w:t>prz</w:t>
      </w:r>
      <w:r w:rsidR="3F737094" w:rsidRPr="00BB0D27">
        <w:rPr>
          <w:noProof/>
        </w:rPr>
        <w:t>ypadku wprowadzenia nowych wymogów dotyczących możliwości naprawy. Szczególnie ważne jest, aby</w:t>
      </w:r>
      <w:r w:rsidR="00B73D99" w:rsidRPr="00BB0D27">
        <w:rPr>
          <w:noProof/>
        </w:rPr>
        <w:t xml:space="preserve"> w</w:t>
      </w:r>
      <w:r w:rsidR="00B73D99">
        <w:rPr>
          <w:noProof/>
        </w:rPr>
        <w:t> </w:t>
      </w:r>
      <w:r w:rsidR="00B73D99" w:rsidRPr="00BB0D27">
        <w:rPr>
          <w:noProof/>
        </w:rPr>
        <w:t>cza</w:t>
      </w:r>
      <w:r w:rsidR="3F737094" w:rsidRPr="00BB0D27">
        <w:rPr>
          <w:noProof/>
        </w:rPr>
        <w:t>sie prac przygotowawczych Komisja prowadziła stosowne konsultacje,</w:t>
      </w:r>
      <w:r w:rsidR="00B73D99" w:rsidRPr="00BB0D27">
        <w:rPr>
          <w:noProof/>
        </w:rPr>
        <w:t xml:space="preserve"> w</w:t>
      </w:r>
      <w:r w:rsidR="00B73D99">
        <w:rPr>
          <w:noProof/>
        </w:rPr>
        <w:t> </w:t>
      </w:r>
      <w:r w:rsidR="00B73D99" w:rsidRPr="00BB0D27">
        <w:rPr>
          <w:noProof/>
        </w:rPr>
        <w:t>tym</w:t>
      </w:r>
      <w:r w:rsidR="3F737094" w:rsidRPr="00BB0D27">
        <w:rPr>
          <w:noProof/>
        </w:rPr>
        <w:t xml:space="preserve"> na poziomie ekspertów, oraz aby konsultacje te były prowadzone zgodnie</w:t>
      </w:r>
      <w:r w:rsidR="00B73D99" w:rsidRPr="00BB0D27">
        <w:rPr>
          <w:noProof/>
        </w:rPr>
        <w:t xml:space="preserve"> z</w:t>
      </w:r>
      <w:r w:rsidR="00B73D99">
        <w:rPr>
          <w:noProof/>
        </w:rPr>
        <w:t> </w:t>
      </w:r>
      <w:r w:rsidR="00B73D99" w:rsidRPr="00BB0D27">
        <w:rPr>
          <w:noProof/>
        </w:rPr>
        <w:t>zas</w:t>
      </w:r>
      <w:r w:rsidR="3F737094" w:rsidRPr="00BB0D27">
        <w:rPr>
          <w:noProof/>
        </w:rPr>
        <w:t>adami określonymi</w:t>
      </w:r>
      <w:r w:rsidR="00B73D99" w:rsidRPr="00BB0D27">
        <w:rPr>
          <w:noProof/>
        </w:rPr>
        <w:t xml:space="preserve"> w</w:t>
      </w:r>
      <w:r w:rsidR="00B73D99">
        <w:rPr>
          <w:noProof/>
        </w:rPr>
        <w:t> </w:t>
      </w:r>
      <w:r w:rsidR="00B73D99" w:rsidRPr="00BB0D27">
        <w:rPr>
          <w:noProof/>
        </w:rPr>
        <w:t>Por</w:t>
      </w:r>
      <w:r w:rsidR="3F737094" w:rsidRPr="00BB0D27">
        <w:rPr>
          <w:noProof/>
        </w:rPr>
        <w:t>ozumieniu międzyinstytucjonalnym</w:t>
      </w:r>
      <w:r w:rsidR="00B73D99" w:rsidRPr="00BB0D27">
        <w:rPr>
          <w:noProof/>
        </w:rPr>
        <w:t xml:space="preserve"> z</w:t>
      </w:r>
      <w:r w:rsidR="00B73D99">
        <w:rPr>
          <w:noProof/>
        </w:rPr>
        <w:t> </w:t>
      </w:r>
      <w:r w:rsidR="00B73D99" w:rsidRPr="00BB0D27">
        <w:rPr>
          <w:noProof/>
        </w:rPr>
        <w:t>dni</w:t>
      </w:r>
      <w:r w:rsidR="3F737094" w:rsidRPr="00BB0D27">
        <w:rPr>
          <w:noProof/>
        </w:rPr>
        <w:t>a 13 kwietnia 20</w:t>
      </w:r>
      <w:r w:rsidR="3F737094" w:rsidRPr="00B73D99">
        <w:rPr>
          <w:noProof/>
        </w:rPr>
        <w:t>16</w:t>
      </w:r>
      <w:r w:rsidR="00B73D99" w:rsidRPr="00B73D99">
        <w:rPr>
          <w:noProof/>
        </w:rPr>
        <w:t> </w:t>
      </w:r>
      <w:r w:rsidR="3F737094" w:rsidRPr="00B73D99">
        <w:rPr>
          <w:noProof/>
        </w:rPr>
        <w:t>r.</w:t>
      </w:r>
      <w:r w:rsidR="00B73D99" w:rsidRPr="00BB0D27">
        <w:rPr>
          <w:noProof/>
        </w:rPr>
        <w:t xml:space="preserve"> w</w:t>
      </w:r>
      <w:r w:rsidR="00B73D99">
        <w:rPr>
          <w:noProof/>
        </w:rPr>
        <w:t> </w:t>
      </w:r>
      <w:r w:rsidR="00B73D99" w:rsidRPr="00BB0D27">
        <w:rPr>
          <w:noProof/>
        </w:rPr>
        <w:t>spr</w:t>
      </w:r>
      <w:r w:rsidR="3F737094" w:rsidRPr="00BB0D27">
        <w:rPr>
          <w:noProof/>
        </w:rPr>
        <w:t>awie lepszego stanowienia prawa</w:t>
      </w:r>
      <w:r w:rsidR="00441373" w:rsidRPr="00BB0D27">
        <w:rPr>
          <w:rStyle w:val="FootnoteReference"/>
          <w:noProof/>
        </w:rPr>
        <w:footnoteReference w:id="19"/>
      </w:r>
      <w:r w:rsidR="00B73D99" w:rsidRPr="00BB0D27">
        <w:rPr>
          <w:noProof/>
        </w:rPr>
        <w:t>. W</w:t>
      </w:r>
      <w:r w:rsidR="00B73D99">
        <w:rPr>
          <w:noProof/>
        </w:rPr>
        <w:t> </w:t>
      </w:r>
      <w:r w:rsidR="00B73D99" w:rsidRPr="00BB0D27">
        <w:rPr>
          <w:noProof/>
        </w:rPr>
        <w:t>szc</w:t>
      </w:r>
      <w:r w:rsidR="3F737094" w:rsidRPr="00BB0D27">
        <w:rPr>
          <w:noProof/>
        </w:rPr>
        <w:t>zególności, aby zapewnić Parlamentowi Europejskiemu</w:t>
      </w:r>
      <w:r w:rsidR="00B73D99" w:rsidRPr="00BB0D27">
        <w:rPr>
          <w:noProof/>
        </w:rPr>
        <w:t xml:space="preserve"> i</w:t>
      </w:r>
      <w:r w:rsidR="00B73D99">
        <w:rPr>
          <w:noProof/>
        </w:rPr>
        <w:t> </w:t>
      </w:r>
      <w:r w:rsidR="00B73D99" w:rsidRPr="00BB0D27">
        <w:rPr>
          <w:noProof/>
        </w:rPr>
        <w:t>Rad</w:t>
      </w:r>
      <w:r w:rsidR="3F737094" w:rsidRPr="00BB0D27">
        <w:rPr>
          <w:noProof/>
        </w:rPr>
        <w:t>zie udział na równych zasadach</w:t>
      </w:r>
      <w:r w:rsidR="00B73D99" w:rsidRPr="00BB0D27">
        <w:rPr>
          <w:noProof/>
        </w:rPr>
        <w:t xml:space="preserve"> w</w:t>
      </w:r>
      <w:r w:rsidR="00B73D99">
        <w:rPr>
          <w:noProof/>
        </w:rPr>
        <w:t> </w:t>
      </w:r>
      <w:r w:rsidR="00B73D99" w:rsidRPr="00BB0D27">
        <w:rPr>
          <w:noProof/>
        </w:rPr>
        <w:t>prz</w:t>
      </w:r>
      <w:r w:rsidR="3F737094" w:rsidRPr="00BB0D27">
        <w:rPr>
          <w:noProof/>
        </w:rPr>
        <w:t>ygotowaniu aktów delegowanych, instytucje te powinny otrzymywać wszelkie dokumenty</w:t>
      </w:r>
      <w:r w:rsidR="00B73D99" w:rsidRPr="00BB0D27">
        <w:rPr>
          <w:noProof/>
        </w:rPr>
        <w:t xml:space="preserve"> w</w:t>
      </w:r>
      <w:r w:rsidR="00B73D99">
        <w:rPr>
          <w:noProof/>
        </w:rPr>
        <w:t> </w:t>
      </w:r>
      <w:r w:rsidR="00B73D99" w:rsidRPr="00BB0D27">
        <w:rPr>
          <w:noProof/>
        </w:rPr>
        <w:t>tym</w:t>
      </w:r>
      <w:r w:rsidR="3F737094" w:rsidRPr="00BB0D27">
        <w:rPr>
          <w:noProof/>
        </w:rPr>
        <w:t xml:space="preserve"> samym czasie co eksperci państw członkowskich,</w:t>
      </w:r>
      <w:r w:rsidR="00B73D99" w:rsidRPr="00BB0D27">
        <w:rPr>
          <w:noProof/>
        </w:rPr>
        <w:t xml:space="preserve"> a</w:t>
      </w:r>
      <w:r w:rsidR="00B73D99">
        <w:rPr>
          <w:noProof/>
        </w:rPr>
        <w:t> </w:t>
      </w:r>
      <w:r w:rsidR="00B73D99" w:rsidRPr="00BB0D27">
        <w:rPr>
          <w:noProof/>
        </w:rPr>
        <w:t>eks</w:t>
      </w:r>
      <w:r w:rsidR="3F737094" w:rsidRPr="00BB0D27">
        <w:rPr>
          <w:noProof/>
        </w:rPr>
        <w:t>perci tych instytucji powinni systematycznie brać udział</w:t>
      </w:r>
      <w:r w:rsidR="00B73D99" w:rsidRPr="00BB0D27">
        <w:rPr>
          <w:noProof/>
        </w:rPr>
        <w:t xml:space="preserve"> w</w:t>
      </w:r>
      <w:r w:rsidR="00B73D99">
        <w:rPr>
          <w:noProof/>
        </w:rPr>
        <w:t> </w:t>
      </w:r>
      <w:r w:rsidR="00B73D99" w:rsidRPr="00BB0D27">
        <w:rPr>
          <w:noProof/>
        </w:rPr>
        <w:t>pos</w:t>
      </w:r>
      <w:r w:rsidR="3F737094" w:rsidRPr="00BB0D27">
        <w:rPr>
          <w:noProof/>
        </w:rPr>
        <w:t>iedzeniach grup eksperckich Komisji zajmujących się przygotowaniem aktów delegowanych.</w:t>
      </w:r>
    </w:p>
    <w:p w:rsidR="004044BA" w:rsidRPr="00BB0D27" w:rsidRDefault="001C4EB9" w:rsidP="001C4EB9">
      <w:pPr>
        <w:pStyle w:val="ManualConsidrant"/>
        <w:rPr>
          <w:noProof/>
        </w:rPr>
      </w:pPr>
      <w:r w:rsidRPr="001C4EB9">
        <w:t>(18)</w:t>
      </w:r>
      <w:r w:rsidRPr="001C4EB9">
        <w:tab/>
      </w:r>
      <w:r w:rsidR="004044BA" w:rsidRPr="00BB0D27">
        <w:rPr>
          <w:noProof/>
        </w:rPr>
        <w:t>Niniejsza dyrektywa nie tylko nakłada na producenta obowiązek naprawy, lecz także ułatwia konsumentowi wybór usług naprawczych świadczonych przez inne podmioty zajmujące się naprawą. Wybór ten należy</w:t>
      </w:r>
      <w:r w:rsidR="00B73D99" w:rsidRPr="00BB0D27">
        <w:rPr>
          <w:noProof/>
        </w:rPr>
        <w:t xml:space="preserve"> w</w:t>
      </w:r>
      <w:r w:rsidR="00B73D99">
        <w:rPr>
          <w:noProof/>
        </w:rPr>
        <w:t> </w:t>
      </w:r>
      <w:r w:rsidR="00B73D99" w:rsidRPr="00BB0D27">
        <w:rPr>
          <w:noProof/>
        </w:rPr>
        <w:t>szc</w:t>
      </w:r>
      <w:r w:rsidR="004044BA" w:rsidRPr="00BB0D27">
        <w:rPr>
          <w:noProof/>
        </w:rPr>
        <w:t>zególności ułatwić poprzez umożliwienie wystąpienia</w:t>
      </w:r>
      <w:r w:rsidR="00B73D99" w:rsidRPr="00BB0D27">
        <w:rPr>
          <w:noProof/>
        </w:rPr>
        <w:t xml:space="preserve"> o</w:t>
      </w:r>
      <w:r w:rsidR="00B73D99">
        <w:rPr>
          <w:noProof/>
        </w:rPr>
        <w:t> </w:t>
      </w:r>
      <w:r w:rsidR="00B73D99" w:rsidRPr="00BB0D27">
        <w:rPr>
          <w:noProof/>
        </w:rPr>
        <w:t>eur</w:t>
      </w:r>
      <w:r w:rsidR="004044BA" w:rsidRPr="00BB0D27">
        <w:rPr>
          <w:noProof/>
        </w:rPr>
        <w:t>opejski formularz informacji</w:t>
      </w:r>
      <w:r w:rsidR="00B73D99" w:rsidRPr="00BB0D27">
        <w:rPr>
          <w:noProof/>
        </w:rPr>
        <w:t xml:space="preserve"> o</w:t>
      </w:r>
      <w:r w:rsidR="00B73D99">
        <w:rPr>
          <w:noProof/>
        </w:rPr>
        <w:t> </w:t>
      </w:r>
      <w:r w:rsidR="00B73D99" w:rsidRPr="00BB0D27">
        <w:rPr>
          <w:noProof/>
        </w:rPr>
        <w:t>nap</w:t>
      </w:r>
      <w:r w:rsidR="004044BA" w:rsidRPr="00BB0D27">
        <w:rPr>
          <w:noProof/>
        </w:rPr>
        <w:t>rawie nie tylko do producenta, lecz także od innych podmiotów zajmujących się naprawą, takich jak sprzedawcy lub niezależne podmioty zajmujące się naprawą, lub przez umożliwienie wyszukiwania informacji na internetowej platformie naprawczej. Ponieważ konsumenci będą musieli opłacić naprawę, będą oni prawdopodobnie porównywać możliwości, aby wybrać usługi najlepiej odpowiadające swoim potrzebom. Możliwe jest zatem, że zanim zwrócą się do producentów, którzy mogą na przykład znajdować się</w:t>
      </w:r>
      <w:r w:rsidR="00B73D99" w:rsidRPr="00BB0D27">
        <w:rPr>
          <w:noProof/>
        </w:rPr>
        <w:t xml:space="preserve"> w</w:t>
      </w:r>
      <w:r w:rsidR="00B73D99">
        <w:rPr>
          <w:noProof/>
        </w:rPr>
        <w:t> </w:t>
      </w:r>
      <w:r w:rsidR="00B73D99" w:rsidRPr="00BB0D27">
        <w:rPr>
          <w:noProof/>
        </w:rPr>
        <w:t>duż</w:t>
      </w:r>
      <w:r w:rsidR="004044BA" w:rsidRPr="00BB0D27">
        <w:rPr>
          <w:noProof/>
        </w:rPr>
        <w:t>ej odległości od nich</w:t>
      </w:r>
      <w:r w:rsidR="00B73D99" w:rsidRPr="00BB0D27">
        <w:rPr>
          <w:noProof/>
        </w:rPr>
        <w:t xml:space="preserve"> i</w:t>
      </w:r>
      <w:r w:rsidR="00B73D99">
        <w:rPr>
          <w:noProof/>
        </w:rPr>
        <w:t> </w:t>
      </w:r>
      <w:r w:rsidR="00B73D99" w:rsidRPr="00BB0D27">
        <w:rPr>
          <w:noProof/>
        </w:rPr>
        <w:t>w</w:t>
      </w:r>
      <w:r w:rsidR="00B73D99">
        <w:rPr>
          <w:noProof/>
        </w:rPr>
        <w:t> </w:t>
      </w:r>
      <w:r w:rsidR="00B73D99" w:rsidRPr="00BB0D27">
        <w:rPr>
          <w:noProof/>
        </w:rPr>
        <w:t>prz</w:t>
      </w:r>
      <w:r w:rsidR="004044BA" w:rsidRPr="00BB0D27">
        <w:rPr>
          <w:noProof/>
        </w:rPr>
        <w:t xml:space="preserve">ypadku których cena mogłaby być wyższa ze względu na koszty transportu, konsumenci zwrócą się do sprzedawcy lub do niezależnych podmiotów zajmujących się naprawą, zlokalizowanych bliżej nich. </w:t>
      </w:r>
    </w:p>
    <w:p w:rsidR="004044BA" w:rsidRPr="00BB0D27" w:rsidRDefault="001C4EB9" w:rsidP="001C4EB9">
      <w:pPr>
        <w:pStyle w:val="ManualConsidrant"/>
        <w:rPr>
          <w:noProof/>
        </w:rPr>
      </w:pPr>
      <w:r w:rsidRPr="001C4EB9">
        <w:t>(19)</w:t>
      </w:r>
      <w:r w:rsidRPr="001C4EB9">
        <w:tab/>
      </w:r>
      <w:r w:rsidR="3F737094" w:rsidRPr="00BB0D27">
        <w:rPr>
          <w:noProof/>
        </w:rPr>
        <w:t>Zgodnie</w:t>
      </w:r>
      <w:r w:rsidR="00B73D99" w:rsidRPr="00BB0D27">
        <w:rPr>
          <w:noProof/>
        </w:rPr>
        <w:t xml:space="preserve"> z</w:t>
      </w:r>
      <w:r w:rsidR="00B73D99">
        <w:rPr>
          <w:noProof/>
        </w:rPr>
        <w:t> </w:t>
      </w:r>
      <w:r w:rsidR="00B73D99" w:rsidRPr="00BB0D27">
        <w:rPr>
          <w:noProof/>
        </w:rPr>
        <w:t>dyr</w:t>
      </w:r>
      <w:r w:rsidR="3F737094" w:rsidRPr="00BB0D27">
        <w:rPr>
          <w:noProof/>
        </w:rPr>
        <w:t>ektywą (UE) 2019/771 należy zwolnić producenta</w:t>
      </w:r>
      <w:r w:rsidR="00B73D99" w:rsidRPr="00BB0D27">
        <w:rPr>
          <w:noProof/>
        </w:rPr>
        <w:t xml:space="preserve"> z</w:t>
      </w:r>
      <w:r w:rsidR="00B73D99">
        <w:rPr>
          <w:noProof/>
        </w:rPr>
        <w:t> </w:t>
      </w:r>
      <w:r w:rsidR="00B73D99" w:rsidRPr="00BB0D27">
        <w:rPr>
          <w:noProof/>
        </w:rPr>
        <w:t>obo</w:t>
      </w:r>
      <w:r w:rsidR="3F737094" w:rsidRPr="00BB0D27">
        <w:rPr>
          <w:noProof/>
        </w:rPr>
        <w:t>wiązku naprawy, jeżeli jest ona faktycznie lub prawnie niemożliwa. Producent nie powinien na przykład odmawiać naprawy</w:t>
      </w:r>
      <w:r w:rsidR="00B73D99" w:rsidRPr="00BB0D27">
        <w:rPr>
          <w:noProof/>
        </w:rPr>
        <w:t xml:space="preserve"> z</w:t>
      </w:r>
      <w:r w:rsidR="00B73D99">
        <w:rPr>
          <w:noProof/>
        </w:rPr>
        <w:t> </w:t>
      </w:r>
      <w:r w:rsidR="00B73D99" w:rsidRPr="00BB0D27">
        <w:rPr>
          <w:noProof/>
        </w:rPr>
        <w:t>prz</w:t>
      </w:r>
      <w:r w:rsidR="3F737094" w:rsidRPr="00BB0D27">
        <w:rPr>
          <w:noProof/>
        </w:rPr>
        <w:t>yczyn czysto ekonomicznych, takich jak koszt części zamiennych</w:t>
      </w:r>
      <w:r w:rsidR="00B73D99" w:rsidRPr="00BB0D27">
        <w:rPr>
          <w:noProof/>
        </w:rPr>
        <w:t>. W</w:t>
      </w:r>
      <w:r w:rsidR="00B73D99">
        <w:rPr>
          <w:noProof/>
        </w:rPr>
        <w:t> </w:t>
      </w:r>
      <w:r w:rsidR="00B73D99" w:rsidRPr="00BB0D27">
        <w:rPr>
          <w:noProof/>
        </w:rPr>
        <w:t>pra</w:t>
      </w:r>
      <w:r w:rsidR="3F737094" w:rsidRPr="00BB0D27">
        <w:rPr>
          <w:noProof/>
        </w:rPr>
        <w:t>wie krajowym wdrażającym dyrektywę (UE) 2019/771 lub poprzedzającą ją dyrektywę 1999/44/WE Parlamentu Europejskiego</w:t>
      </w:r>
      <w:r w:rsidR="00B73D99" w:rsidRPr="00BB0D27">
        <w:rPr>
          <w:noProof/>
        </w:rPr>
        <w:t xml:space="preserve"> i</w:t>
      </w:r>
      <w:r w:rsidR="00B73D99">
        <w:rPr>
          <w:noProof/>
        </w:rPr>
        <w:t> </w:t>
      </w:r>
      <w:r w:rsidR="00B73D99" w:rsidRPr="00BB0D27">
        <w:rPr>
          <w:noProof/>
        </w:rPr>
        <w:t>Rad</w:t>
      </w:r>
      <w:r w:rsidR="3F737094" w:rsidRPr="00BB0D27">
        <w:rPr>
          <w:noProof/>
        </w:rPr>
        <w:t>y</w:t>
      </w:r>
      <w:r w:rsidR="00CB6DB4" w:rsidRPr="00BB0D27">
        <w:rPr>
          <w:rStyle w:val="FootnoteReference"/>
          <w:noProof/>
        </w:rPr>
        <w:footnoteReference w:id="20"/>
      </w:r>
      <w:r w:rsidR="3F737094" w:rsidRPr="00BB0D27">
        <w:rPr>
          <w:noProof/>
        </w:rPr>
        <w:t xml:space="preserve"> wprowadzono już kryterium wymagające sprawdzenia, czy naprawa jest niemożliwa,</w:t>
      </w:r>
      <w:r w:rsidR="00B73D99" w:rsidRPr="00BB0D27">
        <w:rPr>
          <w:noProof/>
        </w:rPr>
        <w:t xml:space="preserve"> i</w:t>
      </w:r>
      <w:r w:rsidR="00B73D99">
        <w:rPr>
          <w:noProof/>
        </w:rPr>
        <w:t> </w:t>
      </w:r>
      <w:r w:rsidR="00B73D99" w:rsidRPr="00BB0D27">
        <w:rPr>
          <w:noProof/>
        </w:rPr>
        <w:t>jes</w:t>
      </w:r>
      <w:r w:rsidR="3F737094" w:rsidRPr="00BB0D27">
        <w:rPr>
          <w:noProof/>
        </w:rPr>
        <w:t>t ono stosowane przez sądy krajowe.</w:t>
      </w:r>
    </w:p>
    <w:p w:rsidR="004044BA" w:rsidRPr="00BB0D27" w:rsidRDefault="001C4EB9" w:rsidP="001C4EB9">
      <w:pPr>
        <w:pStyle w:val="ManualConsidrant"/>
        <w:rPr>
          <w:noProof/>
        </w:rPr>
      </w:pPr>
      <w:r w:rsidRPr="001C4EB9">
        <w:t>(20)</w:t>
      </w:r>
      <w:r w:rsidRPr="001C4EB9">
        <w:tab/>
      </w:r>
      <w:r w:rsidR="004044BA" w:rsidRPr="00BB0D27">
        <w:rPr>
          <w:noProof/>
        </w:rPr>
        <w:t>W celu zwiększenia świadomości konsumentów</w:t>
      </w:r>
      <w:r w:rsidR="00B73D99" w:rsidRPr="00BB0D27">
        <w:rPr>
          <w:noProof/>
        </w:rPr>
        <w:t xml:space="preserve"> w</w:t>
      </w:r>
      <w:r w:rsidR="00B73D99">
        <w:rPr>
          <w:noProof/>
        </w:rPr>
        <w:t> </w:t>
      </w:r>
      <w:r w:rsidR="00B73D99" w:rsidRPr="00BB0D27">
        <w:rPr>
          <w:noProof/>
        </w:rPr>
        <w:t>zak</w:t>
      </w:r>
      <w:r w:rsidR="004044BA" w:rsidRPr="00BB0D27">
        <w:rPr>
          <w:noProof/>
        </w:rPr>
        <w:t>resie dostępności naprawy,</w:t>
      </w:r>
      <w:r w:rsidR="00B73D99" w:rsidRPr="00BB0D27">
        <w:rPr>
          <w:noProof/>
        </w:rPr>
        <w:t xml:space="preserve"> a</w:t>
      </w:r>
      <w:r w:rsidR="00B73D99">
        <w:rPr>
          <w:noProof/>
        </w:rPr>
        <w:t> </w:t>
      </w:r>
      <w:r w:rsidR="00B73D99" w:rsidRPr="00BB0D27">
        <w:rPr>
          <w:noProof/>
        </w:rPr>
        <w:t>zat</w:t>
      </w:r>
      <w:r w:rsidR="004044BA" w:rsidRPr="00BB0D27">
        <w:rPr>
          <w:noProof/>
        </w:rPr>
        <w:t>em</w:t>
      </w:r>
      <w:r w:rsidR="00B73D99" w:rsidRPr="00BB0D27">
        <w:rPr>
          <w:noProof/>
        </w:rPr>
        <w:t xml:space="preserve"> i</w:t>
      </w:r>
      <w:r w:rsidR="00B73D99">
        <w:rPr>
          <w:noProof/>
        </w:rPr>
        <w:t> </w:t>
      </w:r>
      <w:r w:rsidR="00B73D99" w:rsidRPr="00BB0D27">
        <w:rPr>
          <w:noProof/>
        </w:rPr>
        <w:t>zwi</w:t>
      </w:r>
      <w:r w:rsidR="004044BA" w:rsidRPr="00BB0D27">
        <w:rPr>
          <w:noProof/>
        </w:rPr>
        <w:t>ększenia jej prawdopodobieństwa, producenci powinni informować konsumentów</w:t>
      </w:r>
      <w:r w:rsidR="00B73D99" w:rsidRPr="00BB0D27">
        <w:rPr>
          <w:noProof/>
        </w:rPr>
        <w:t xml:space="preserve"> o</w:t>
      </w:r>
      <w:r w:rsidR="00B73D99">
        <w:rPr>
          <w:noProof/>
        </w:rPr>
        <w:t> </w:t>
      </w:r>
      <w:r w:rsidR="00B73D99" w:rsidRPr="00BB0D27">
        <w:rPr>
          <w:noProof/>
        </w:rPr>
        <w:t>ist</w:t>
      </w:r>
      <w:r w:rsidR="004044BA" w:rsidRPr="00BB0D27">
        <w:rPr>
          <w:noProof/>
        </w:rPr>
        <w:t>nieniu obowiązku naprawy. Powinni oni wskazać, które towary objęte są zakresem takiego obowiązku,</w:t>
      </w:r>
      <w:r w:rsidR="00B73D99" w:rsidRPr="00BB0D27">
        <w:rPr>
          <w:noProof/>
        </w:rPr>
        <w:t xml:space="preserve"> a</w:t>
      </w:r>
      <w:r w:rsidR="00B73D99">
        <w:rPr>
          <w:noProof/>
        </w:rPr>
        <w:t> </w:t>
      </w:r>
      <w:r w:rsidR="00B73D99" w:rsidRPr="00BB0D27">
        <w:rPr>
          <w:noProof/>
        </w:rPr>
        <w:t>tak</w:t>
      </w:r>
      <w:r w:rsidR="004044BA" w:rsidRPr="00BB0D27">
        <w:rPr>
          <w:noProof/>
        </w:rPr>
        <w:t>że wyjaśnić, że</w:t>
      </w:r>
      <w:r w:rsidR="00B73D99" w:rsidRPr="00BB0D27">
        <w:rPr>
          <w:noProof/>
        </w:rPr>
        <w:t xml:space="preserve"> w</w:t>
      </w:r>
      <w:r w:rsidR="00B73D99">
        <w:rPr>
          <w:noProof/>
        </w:rPr>
        <w:t> </w:t>
      </w:r>
      <w:r w:rsidR="00B73D99" w:rsidRPr="00BB0D27">
        <w:rPr>
          <w:noProof/>
        </w:rPr>
        <w:t>ich</w:t>
      </w:r>
      <w:r w:rsidR="004044BA" w:rsidRPr="00BB0D27">
        <w:rPr>
          <w:noProof/>
        </w:rPr>
        <w:t xml:space="preserve"> przypadku świadczona jest usługa naprawy, na przykład przez podwykonawcę, oraz wskazać zakres takiej naprawy. Informacje te powinny być łatwo dostępne dla konsumenta</w:t>
      </w:r>
      <w:r w:rsidR="00B73D99" w:rsidRPr="00BB0D27">
        <w:rPr>
          <w:noProof/>
        </w:rPr>
        <w:t xml:space="preserve"> i</w:t>
      </w:r>
      <w:r w:rsidR="00B73D99">
        <w:rPr>
          <w:noProof/>
        </w:rPr>
        <w:t> </w:t>
      </w:r>
      <w:r w:rsidR="00B73D99" w:rsidRPr="00BB0D27">
        <w:rPr>
          <w:noProof/>
        </w:rPr>
        <w:t>zre</w:t>
      </w:r>
      <w:r w:rsidR="004044BA" w:rsidRPr="00BB0D27">
        <w:rPr>
          <w:noProof/>
        </w:rPr>
        <w:t>dagowane</w:t>
      </w:r>
      <w:r w:rsidR="00B73D99" w:rsidRPr="00BB0D27">
        <w:rPr>
          <w:noProof/>
        </w:rPr>
        <w:t xml:space="preserve"> w</w:t>
      </w:r>
      <w:r w:rsidR="00B73D99">
        <w:rPr>
          <w:noProof/>
        </w:rPr>
        <w:t> </w:t>
      </w:r>
      <w:r w:rsidR="00B73D99" w:rsidRPr="00BB0D27">
        <w:rPr>
          <w:noProof/>
        </w:rPr>
        <w:t>jas</w:t>
      </w:r>
      <w:r w:rsidR="004044BA" w:rsidRPr="00BB0D27">
        <w:rPr>
          <w:noProof/>
        </w:rPr>
        <w:t>ny</w:t>
      </w:r>
      <w:r w:rsidR="00B73D99" w:rsidRPr="00BB0D27">
        <w:rPr>
          <w:noProof/>
        </w:rPr>
        <w:t xml:space="preserve"> i</w:t>
      </w:r>
      <w:r w:rsidR="00B73D99">
        <w:rPr>
          <w:noProof/>
        </w:rPr>
        <w:t> </w:t>
      </w:r>
      <w:r w:rsidR="00B73D99" w:rsidRPr="00BB0D27">
        <w:rPr>
          <w:noProof/>
        </w:rPr>
        <w:t>zro</w:t>
      </w:r>
      <w:r w:rsidR="004044BA" w:rsidRPr="00BB0D27">
        <w:rPr>
          <w:noProof/>
        </w:rPr>
        <w:t>zumiały sposób, tak aby nie trzeba było się</w:t>
      </w:r>
      <w:r w:rsidR="00B73D99" w:rsidRPr="00BB0D27">
        <w:rPr>
          <w:noProof/>
        </w:rPr>
        <w:t xml:space="preserve"> o</w:t>
      </w:r>
      <w:r w:rsidR="00B73D99">
        <w:rPr>
          <w:noProof/>
        </w:rPr>
        <w:t> </w:t>
      </w:r>
      <w:r w:rsidR="00B73D99" w:rsidRPr="00BB0D27">
        <w:rPr>
          <w:noProof/>
        </w:rPr>
        <w:t>nie</w:t>
      </w:r>
      <w:r w:rsidR="004044BA" w:rsidRPr="00BB0D27">
        <w:rPr>
          <w:noProof/>
        </w:rPr>
        <w:t xml:space="preserve"> zwracać, oraz</w:t>
      </w:r>
      <w:r w:rsidR="00B73D99" w:rsidRPr="00BB0D27">
        <w:rPr>
          <w:noProof/>
        </w:rPr>
        <w:t xml:space="preserve"> z</w:t>
      </w:r>
      <w:r w:rsidR="00B73D99">
        <w:rPr>
          <w:noProof/>
        </w:rPr>
        <w:t> </w:t>
      </w:r>
      <w:r w:rsidR="00B73D99" w:rsidRPr="00BB0D27">
        <w:rPr>
          <w:noProof/>
        </w:rPr>
        <w:t>zac</w:t>
      </w:r>
      <w:r w:rsidR="004044BA" w:rsidRPr="00BB0D27">
        <w:rPr>
          <w:noProof/>
        </w:rPr>
        <w:t>howaniem wymogów dostępności określonych</w:t>
      </w:r>
      <w:r w:rsidR="00B73D99" w:rsidRPr="00BB0D27">
        <w:rPr>
          <w:noProof/>
        </w:rPr>
        <w:t xml:space="preserve"> w</w:t>
      </w:r>
      <w:r w:rsidR="00B73D99">
        <w:rPr>
          <w:noProof/>
        </w:rPr>
        <w:t> </w:t>
      </w:r>
      <w:r w:rsidR="00B73D99" w:rsidRPr="00BB0D27">
        <w:rPr>
          <w:noProof/>
        </w:rPr>
        <w:t>dyr</w:t>
      </w:r>
      <w:r w:rsidR="004044BA" w:rsidRPr="00BB0D27">
        <w:rPr>
          <w:noProof/>
        </w:rPr>
        <w:t>ektywie 2019/882. Producent może sam określić,</w:t>
      </w:r>
      <w:r w:rsidR="00B73D99" w:rsidRPr="00BB0D27">
        <w:rPr>
          <w:noProof/>
        </w:rPr>
        <w:t xml:space="preserve"> w</w:t>
      </w:r>
      <w:r w:rsidR="00B73D99">
        <w:rPr>
          <w:noProof/>
        </w:rPr>
        <w:t> </w:t>
      </w:r>
      <w:r w:rsidR="00B73D99" w:rsidRPr="00BB0D27">
        <w:rPr>
          <w:noProof/>
        </w:rPr>
        <w:t>jak</w:t>
      </w:r>
      <w:r w:rsidR="004044BA" w:rsidRPr="00BB0D27">
        <w:rPr>
          <w:noProof/>
        </w:rPr>
        <w:t xml:space="preserve">iej formie będzie informował konsumentów. </w:t>
      </w:r>
    </w:p>
    <w:p w:rsidR="004044BA" w:rsidRPr="00BB0D27" w:rsidRDefault="001C4EB9" w:rsidP="001C4EB9">
      <w:pPr>
        <w:pStyle w:val="ManualConsidrant"/>
        <w:rPr>
          <w:noProof/>
        </w:rPr>
      </w:pPr>
      <w:r w:rsidRPr="001C4EB9">
        <w:t>(21)</w:t>
      </w:r>
      <w:r w:rsidRPr="001C4EB9">
        <w:tab/>
      </w:r>
      <w:r w:rsidR="004044BA" w:rsidRPr="00BB0D27">
        <w:rPr>
          <w:noProof/>
        </w:rPr>
        <w:t>Aby zachęcić do dokonywania napraw, państwa członkowskie powinny zapewnić, aby ich terytorium obejmowała przynajmniej jedna platforma internetowa umożliwiająca konsumentom wyszukiwanie odpowiednich podmiotów zajmujących się naprawą. Może to być istniejąca już platforma lub platforma obsługiwana przez podmiot prywatny, pod warunkiem że spełnia ona warunki określone</w:t>
      </w:r>
      <w:r w:rsidR="00B73D99" w:rsidRPr="00BB0D27">
        <w:rPr>
          <w:noProof/>
        </w:rPr>
        <w:t xml:space="preserve"> w</w:t>
      </w:r>
      <w:r w:rsidR="00B73D99">
        <w:rPr>
          <w:noProof/>
        </w:rPr>
        <w:t> </w:t>
      </w:r>
      <w:r w:rsidR="00B73D99" w:rsidRPr="00BB0D27">
        <w:rPr>
          <w:noProof/>
        </w:rPr>
        <w:t>nin</w:t>
      </w:r>
      <w:r w:rsidR="004044BA" w:rsidRPr="00BB0D27">
        <w:rPr>
          <w:noProof/>
        </w:rPr>
        <w:t>iejszej dyrektywie. Platforma ta powinna oferować łatwe</w:t>
      </w:r>
      <w:r w:rsidR="00B73D99" w:rsidRPr="00BB0D27">
        <w:rPr>
          <w:noProof/>
        </w:rPr>
        <w:t xml:space="preserve"> w</w:t>
      </w:r>
      <w:r w:rsidR="00B73D99">
        <w:rPr>
          <w:noProof/>
        </w:rPr>
        <w:t> </w:t>
      </w:r>
      <w:r w:rsidR="00B73D99" w:rsidRPr="00BB0D27">
        <w:rPr>
          <w:noProof/>
        </w:rPr>
        <w:t>obs</w:t>
      </w:r>
      <w:r w:rsidR="004044BA" w:rsidRPr="00BB0D27">
        <w:rPr>
          <w:noProof/>
        </w:rPr>
        <w:t>łudze</w:t>
      </w:r>
      <w:r w:rsidR="00B73D99" w:rsidRPr="00BB0D27">
        <w:rPr>
          <w:noProof/>
        </w:rPr>
        <w:t xml:space="preserve"> i</w:t>
      </w:r>
      <w:r w:rsidR="00B73D99">
        <w:rPr>
          <w:noProof/>
        </w:rPr>
        <w:t> </w:t>
      </w:r>
      <w:r w:rsidR="00B73D99" w:rsidRPr="00BB0D27">
        <w:rPr>
          <w:noProof/>
        </w:rPr>
        <w:t>nie</w:t>
      </w:r>
      <w:r w:rsidR="004044BA" w:rsidRPr="00BB0D27">
        <w:rPr>
          <w:noProof/>
        </w:rPr>
        <w:t>zależne narzędzia porównawcze, które pomogą konsumentom</w:t>
      </w:r>
      <w:r w:rsidR="00B73D99" w:rsidRPr="00BB0D27">
        <w:rPr>
          <w:noProof/>
        </w:rPr>
        <w:t xml:space="preserve"> w</w:t>
      </w:r>
      <w:r w:rsidR="00B73D99">
        <w:rPr>
          <w:noProof/>
        </w:rPr>
        <w:t> </w:t>
      </w:r>
      <w:r w:rsidR="00B73D99" w:rsidRPr="00BB0D27">
        <w:rPr>
          <w:noProof/>
        </w:rPr>
        <w:t>dok</w:t>
      </w:r>
      <w:r w:rsidR="004044BA" w:rsidRPr="00BB0D27">
        <w:rPr>
          <w:noProof/>
        </w:rPr>
        <w:t>onaniu oceny</w:t>
      </w:r>
      <w:r w:rsidR="00B73D99" w:rsidRPr="00BB0D27">
        <w:rPr>
          <w:noProof/>
        </w:rPr>
        <w:t xml:space="preserve"> i</w:t>
      </w:r>
      <w:r w:rsidR="00B73D99">
        <w:rPr>
          <w:noProof/>
        </w:rPr>
        <w:t> </w:t>
      </w:r>
      <w:r w:rsidR="00B73D99" w:rsidRPr="00BB0D27">
        <w:rPr>
          <w:noProof/>
        </w:rPr>
        <w:t>por</w:t>
      </w:r>
      <w:r w:rsidR="004044BA" w:rsidRPr="00BB0D27">
        <w:rPr>
          <w:noProof/>
        </w:rPr>
        <w:t>ównaniu podmiotów zajmujących się naprawą,</w:t>
      </w:r>
      <w:r w:rsidR="00B73D99" w:rsidRPr="00BB0D27">
        <w:rPr>
          <w:noProof/>
        </w:rPr>
        <w:t xml:space="preserve"> a</w:t>
      </w:r>
      <w:r w:rsidR="00B73D99">
        <w:rPr>
          <w:noProof/>
        </w:rPr>
        <w:t> </w:t>
      </w:r>
      <w:r w:rsidR="00B73D99" w:rsidRPr="00BB0D27">
        <w:rPr>
          <w:noProof/>
        </w:rPr>
        <w:t>tym</w:t>
      </w:r>
      <w:r w:rsidR="004044BA" w:rsidRPr="00BB0D27">
        <w:rPr>
          <w:noProof/>
        </w:rPr>
        <w:t xml:space="preserve"> samym zachęci konsumentów, aby zdecydowali się na naprawę zamiast kupna nowych towarów. Chociaż celem tej platformy jest ułatwienie wyszukiwania usług naprawczych</w:t>
      </w:r>
      <w:r w:rsidR="00B73D99" w:rsidRPr="00BB0D27">
        <w:rPr>
          <w:noProof/>
        </w:rPr>
        <w:t xml:space="preserve"> w</w:t>
      </w:r>
      <w:r w:rsidR="00B73D99">
        <w:rPr>
          <w:noProof/>
        </w:rPr>
        <w:t> </w:t>
      </w:r>
      <w:r w:rsidR="00B73D99" w:rsidRPr="00BB0D27">
        <w:rPr>
          <w:noProof/>
        </w:rPr>
        <w:t>rel</w:t>
      </w:r>
      <w:r w:rsidR="004044BA" w:rsidRPr="00BB0D27">
        <w:rPr>
          <w:noProof/>
        </w:rPr>
        <w:t>acjach między przedsiębiorstwami</w:t>
      </w:r>
      <w:r w:rsidR="00B73D99" w:rsidRPr="00BB0D27">
        <w:rPr>
          <w:noProof/>
        </w:rPr>
        <w:t xml:space="preserve"> a</w:t>
      </w:r>
      <w:r w:rsidR="00B73D99">
        <w:rPr>
          <w:noProof/>
        </w:rPr>
        <w:t> </w:t>
      </w:r>
      <w:r w:rsidR="00B73D99" w:rsidRPr="00BB0D27">
        <w:rPr>
          <w:noProof/>
        </w:rPr>
        <w:t>kon</w:t>
      </w:r>
      <w:r w:rsidR="004044BA" w:rsidRPr="00BB0D27">
        <w:rPr>
          <w:noProof/>
        </w:rPr>
        <w:t>sumentami, państwa członkowskie mogą rozszerzyć zakres jej użyteczności włączając do niego również relacje między przedsiębiorstwami oraz inicjatywy naprawcze kierowane przez społeczność.</w:t>
      </w:r>
    </w:p>
    <w:p w:rsidR="004044BA" w:rsidRPr="00BB0D27" w:rsidRDefault="001C4EB9" w:rsidP="001C4EB9">
      <w:pPr>
        <w:pStyle w:val="ManualConsidrant"/>
        <w:rPr>
          <w:noProof/>
        </w:rPr>
      </w:pPr>
      <w:r w:rsidRPr="001C4EB9">
        <w:t>(22)</w:t>
      </w:r>
      <w:r w:rsidRPr="001C4EB9">
        <w:tab/>
      </w:r>
      <w:r w:rsidR="004044BA" w:rsidRPr="00BB0D27">
        <w:rPr>
          <w:noProof/>
        </w:rPr>
        <w:t>Państwa członkowskie powinny zapewnić, aby wszystkie podmioty gospodarcze, które mogą świadczyć usługi naprawcze</w:t>
      </w:r>
      <w:r w:rsidR="00B73D99" w:rsidRPr="00BB0D27">
        <w:rPr>
          <w:noProof/>
        </w:rPr>
        <w:t xml:space="preserve"> w</w:t>
      </w:r>
      <w:r w:rsidR="00B73D99">
        <w:rPr>
          <w:noProof/>
        </w:rPr>
        <w:t> </w:t>
      </w:r>
      <w:r w:rsidR="00B73D99" w:rsidRPr="00BB0D27">
        <w:rPr>
          <w:noProof/>
        </w:rPr>
        <w:t>Uni</w:t>
      </w:r>
      <w:r w:rsidR="004044BA" w:rsidRPr="00BB0D27">
        <w:rPr>
          <w:noProof/>
        </w:rPr>
        <w:t>i, miały łatwy dostęp do takiej platformy internetowej. Państwa członkowskie powinny mieć swobodę decydowania</w:t>
      </w:r>
      <w:r w:rsidR="00B73D99" w:rsidRPr="00BB0D27">
        <w:rPr>
          <w:noProof/>
        </w:rPr>
        <w:t xml:space="preserve"> o</w:t>
      </w:r>
      <w:r w:rsidR="00B73D99">
        <w:rPr>
          <w:noProof/>
        </w:rPr>
        <w:t> </w:t>
      </w:r>
      <w:r w:rsidR="00B73D99" w:rsidRPr="00BB0D27">
        <w:rPr>
          <w:noProof/>
        </w:rPr>
        <w:t>tym</w:t>
      </w:r>
      <w:r w:rsidR="004044BA" w:rsidRPr="00BB0D27">
        <w:rPr>
          <w:noProof/>
        </w:rPr>
        <w:t>, które podmioty zajmujące się naprawą mogą rejestrować się na platformie internetowej, pod warunkiem że – zgodnie</w:t>
      </w:r>
      <w:r w:rsidR="00B73D99" w:rsidRPr="00BB0D27">
        <w:rPr>
          <w:noProof/>
        </w:rPr>
        <w:t xml:space="preserve"> z</w:t>
      </w:r>
      <w:r w:rsidR="00B73D99">
        <w:rPr>
          <w:noProof/>
        </w:rPr>
        <w:t> </w:t>
      </w:r>
      <w:r w:rsidR="00B73D99" w:rsidRPr="00BB0D27">
        <w:rPr>
          <w:noProof/>
        </w:rPr>
        <w:t>pra</w:t>
      </w:r>
      <w:r w:rsidR="004044BA" w:rsidRPr="00BB0D27">
        <w:rPr>
          <w:noProof/>
        </w:rPr>
        <w:t>wem Unii – dostęp do niej jest rozsądny</w:t>
      </w:r>
      <w:r w:rsidR="00B73D99" w:rsidRPr="00BB0D27">
        <w:rPr>
          <w:noProof/>
        </w:rPr>
        <w:t xml:space="preserve"> i</w:t>
      </w:r>
      <w:r w:rsidR="00B73D99">
        <w:rPr>
          <w:noProof/>
        </w:rPr>
        <w:t> </w:t>
      </w:r>
      <w:r w:rsidR="00B73D99" w:rsidRPr="00BB0D27">
        <w:rPr>
          <w:noProof/>
        </w:rPr>
        <w:t>nie</w:t>
      </w:r>
      <w:r w:rsidR="004044BA" w:rsidRPr="00BB0D27">
        <w:rPr>
          <w:noProof/>
        </w:rPr>
        <w:t>dyskryminujący dla wszystkich podmiotów zajmujących się naprawą. Umożliwienie podmiotom zajmującym się naprawą</w:t>
      </w:r>
      <w:r w:rsidR="00B73D99" w:rsidRPr="00BB0D27">
        <w:rPr>
          <w:noProof/>
        </w:rPr>
        <w:t xml:space="preserve"> z</w:t>
      </w:r>
      <w:r w:rsidR="00B73D99">
        <w:rPr>
          <w:noProof/>
        </w:rPr>
        <w:t> </w:t>
      </w:r>
      <w:r w:rsidR="00B73D99" w:rsidRPr="00BB0D27">
        <w:rPr>
          <w:noProof/>
        </w:rPr>
        <w:t>jed</w:t>
      </w:r>
      <w:r w:rsidR="004044BA" w:rsidRPr="00BB0D27">
        <w:rPr>
          <w:noProof/>
        </w:rPr>
        <w:t>nego państwa członkowskiego rejestrowanie się na platformie internetowej</w:t>
      </w:r>
      <w:r w:rsidR="00B73D99" w:rsidRPr="00BB0D27">
        <w:rPr>
          <w:noProof/>
        </w:rPr>
        <w:t xml:space="preserve"> w</w:t>
      </w:r>
      <w:r w:rsidR="00B73D99">
        <w:rPr>
          <w:noProof/>
        </w:rPr>
        <w:t> </w:t>
      </w:r>
      <w:r w:rsidR="00B73D99" w:rsidRPr="00BB0D27">
        <w:rPr>
          <w:noProof/>
        </w:rPr>
        <w:t>inn</w:t>
      </w:r>
      <w:r w:rsidR="004044BA" w:rsidRPr="00BB0D27">
        <w:rPr>
          <w:noProof/>
        </w:rPr>
        <w:t>ym państwie członkowskim</w:t>
      </w:r>
      <w:r w:rsidR="00B73D99" w:rsidRPr="00BB0D27">
        <w:rPr>
          <w:noProof/>
        </w:rPr>
        <w:t xml:space="preserve"> w</w:t>
      </w:r>
      <w:r w:rsidR="00B73D99">
        <w:rPr>
          <w:noProof/>
        </w:rPr>
        <w:t> </w:t>
      </w:r>
      <w:r w:rsidR="00B73D99" w:rsidRPr="00BB0D27">
        <w:rPr>
          <w:noProof/>
        </w:rPr>
        <w:t>cel</w:t>
      </w:r>
      <w:r w:rsidR="004044BA" w:rsidRPr="00BB0D27">
        <w:rPr>
          <w:noProof/>
        </w:rPr>
        <w:t>u świadczenia usług naprawczych na obszarach wyszukiwanych przez konsumenta powinno służyć wspieraniu transgranicznego świadczenia usług naprawczych</w:t>
      </w:r>
      <w:r w:rsidR="00B73D99" w:rsidRPr="00BB0D27">
        <w:rPr>
          <w:noProof/>
        </w:rPr>
        <w:t>. W</w:t>
      </w:r>
      <w:r w:rsidR="00B73D99">
        <w:rPr>
          <w:noProof/>
        </w:rPr>
        <w:t> </w:t>
      </w:r>
      <w:r w:rsidR="00B73D99" w:rsidRPr="00BB0D27">
        <w:rPr>
          <w:noProof/>
        </w:rPr>
        <w:t>ges</w:t>
      </w:r>
      <w:r w:rsidR="004044BA" w:rsidRPr="00BB0D27">
        <w:rPr>
          <w:noProof/>
        </w:rPr>
        <w:t>tii państw członkowskich należy pozostawić decyzję</w:t>
      </w:r>
      <w:r w:rsidR="00B73D99" w:rsidRPr="00BB0D27">
        <w:rPr>
          <w:noProof/>
        </w:rPr>
        <w:t xml:space="preserve"> o</w:t>
      </w:r>
      <w:r w:rsidR="00B73D99">
        <w:rPr>
          <w:noProof/>
        </w:rPr>
        <w:t> </w:t>
      </w:r>
      <w:r w:rsidR="00B73D99" w:rsidRPr="00BB0D27">
        <w:rPr>
          <w:noProof/>
        </w:rPr>
        <w:t>spo</w:t>
      </w:r>
      <w:r w:rsidR="004044BA" w:rsidRPr="00BB0D27">
        <w:rPr>
          <w:noProof/>
        </w:rPr>
        <w:t>sobie zapełniania platformy internetowej – na przykład poprzez samodzielną rejestrację podmiotów zajmujących się naprawą lub pobieranie, za ich zgodą, informacji</w:t>
      </w:r>
      <w:r w:rsidR="00B73D99" w:rsidRPr="00BB0D27">
        <w:rPr>
          <w:noProof/>
        </w:rPr>
        <w:t xml:space="preserve"> z</w:t>
      </w:r>
      <w:r w:rsidR="00B73D99">
        <w:rPr>
          <w:noProof/>
        </w:rPr>
        <w:t> </w:t>
      </w:r>
      <w:r w:rsidR="00B73D99" w:rsidRPr="00BB0D27">
        <w:rPr>
          <w:noProof/>
        </w:rPr>
        <w:t>ist</w:t>
      </w:r>
      <w:r w:rsidR="004044BA" w:rsidRPr="00BB0D27">
        <w:rPr>
          <w:noProof/>
        </w:rPr>
        <w:t>niejących baz danych – oraz decyzję</w:t>
      </w:r>
      <w:r w:rsidR="00B73D99" w:rsidRPr="00BB0D27">
        <w:rPr>
          <w:noProof/>
        </w:rPr>
        <w:t xml:space="preserve"> o</w:t>
      </w:r>
      <w:r w:rsidR="00B73D99">
        <w:rPr>
          <w:noProof/>
        </w:rPr>
        <w:t> </w:t>
      </w:r>
      <w:r w:rsidR="00B73D99" w:rsidRPr="00BB0D27">
        <w:rPr>
          <w:noProof/>
        </w:rPr>
        <w:t>tym</w:t>
      </w:r>
      <w:r w:rsidR="004044BA" w:rsidRPr="00BB0D27">
        <w:rPr>
          <w:noProof/>
        </w:rPr>
        <w:t>, czy rejestracja powinna wiązać się</w:t>
      </w:r>
      <w:r w:rsidR="00B73D99" w:rsidRPr="00BB0D27">
        <w:rPr>
          <w:noProof/>
        </w:rPr>
        <w:t xml:space="preserve"> z</w:t>
      </w:r>
      <w:r w:rsidR="00B73D99">
        <w:rPr>
          <w:noProof/>
        </w:rPr>
        <w:t> </w:t>
      </w:r>
      <w:r w:rsidR="00B73D99" w:rsidRPr="00BB0D27">
        <w:rPr>
          <w:noProof/>
        </w:rPr>
        <w:t>opł</w:t>
      </w:r>
      <w:r w:rsidR="004044BA" w:rsidRPr="00BB0D27">
        <w:rPr>
          <w:noProof/>
        </w:rPr>
        <w:t>atą na pokrycie kosztów obsługi platformy. Aby zagwarantować szeroki wybór usług naprawczych na platformie internetowej, państwa członkowskie powinny zapewnić, aby dostęp do niej nie był ograniczony do określonej kategorii podmiotów zajmujących się naprawą. Chociaż wymogi krajowe, na przykład dotyczące niezbędnych kwalifikacji zawodowych,</w:t>
      </w:r>
      <w:r w:rsidR="00B73D99" w:rsidRPr="00BB0D27">
        <w:rPr>
          <w:noProof/>
        </w:rPr>
        <w:t xml:space="preserve"> w</w:t>
      </w:r>
      <w:r w:rsidR="00B73D99">
        <w:rPr>
          <w:noProof/>
        </w:rPr>
        <w:t> </w:t>
      </w:r>
      <w:r w:rsidR="00B73D99" w:rsidRPr="00BB0D27">
        <w:rPr>
          <w:noProof/>
        </w:rPr>
        <w:t>dal</w:t>
      </w:r>
      <w:r w:rsidR="004044BA" w:rsidRPr="00BB0D27">
        <w:rPr>
          <w:noProof/>
        </w:rPr>
        <w:t>szym ciągu mają zastosowanie, państwa członkowskie powinny zapewnić, aby platforma internetowa była otwarta dla wszystkich podmiotów zajmujących się naprawą, które spełniają te wymogi. Państwa członkowskie powinny mieć również swobodę decydowania</w:t>
      </w:r>
      <w:r w:rsidR="00B73D99" w:rsidRPr="00BB0D27">
        <w:rPr>
          <w:noProof/>
        </w:rPr>
        <w:t xml:space="preserve"> o</w:t>
      </w:r>
      <w:r w:rsidR="00B73D99">
        <w:rPr>
          <w:noProof/>
        </w:rPr>
        <w:t> </w:t>
      </w:r>
      <w:r w:rsidR="00B73D99" w:rsidRPr="00BB0D27">
        <w:rPr>
          <w:noProof/>
        </w:rPr>
        <w:t>tym</w:t>
      </w:r>
      <w:r w:rsidR="004044BA" w:rsidRPr="00BB0D27">
        <w:rPr>
          <w:noProof/>
        </w:rPr>
        <w:t>, czy</w:t>
      </w:r>
      <w:r w:rsidR="00B73D99" w:rsidRPr="00BB0D27">
        <w:rPr>
          <w:noProof/>
        </w:rPr>
        <w:t xml:space="preserve"> i</w:t>
      </w:r>
      <w:r w:rsidR="00B73D99">
        <w:rPr>
          <w:noProof/>
        </w:rPr>
        <w:t> </w:t>
      </w:r>
      <w:r w:rsidR="00B73D99" w:rsidRPr="00BB0D27">
        <w:rPr>
          <w:noProof/>
        </w:rPr>
        <w:t>w</w:t>
      </w:r>
      <w:r w:rsidR="00B73D99">
        <w:rPr>
          <w:noProof/>
        </w:rPr>
        <w:t> </w:t>
      </w:r>
      <w:r w:rsidR="00B73D99" w:rsidRPr="00BB0D27">
        <w:rPr>
          <w:noProof/>
        </w:rPr>
        <w:t>jak</w:t>
      </w:r>
      <w:r w:rsidR="004044BA" w:rsidRPr="00BB0D27">
        <w:rPr>
          <w:noProof/>
        </w:rPr>
        <w:t>im zakresie inicjatywy naprawcze kierowane przez społeczność, takie jak kawiarenki naprawcze, można zarejestrować na tej platformie internetowej,</w:t>
      </w:r>
      <w:r w:rsidR="00B73D99" w:rsidRPr="00BB0D27">
        <w:rPr>
          <w:noProof/>
        </w:rPr>
        <w:t xml:space="preserve"> z</w:t>
      </w:r>
      <w:r w:rsidR="00B73D99">
        <w:rPr>
          <w:noProof/>
        </w:rPr>
        <w:t> </w:t>
      </w:r>
      <w:r w:rsidR="00B73D99" w:rsidRPr="00BB0D27">
        <w:rPr>
          <w:noProof/>
        </w:rPr>
        <w:t>uwz</w:t>
      </w:r>
      <w:r w:rsidR="004044BA" w:rsidRPr="00BB0D27">
        <w:rPr>
          <w:noProof/>
        </w:rPr>
        <w:t>ględnieniem</w:t>
      </w:r>
      <w:r w:rsidR="00B73D99" w:rsidRPr="00BB0D27">
        <w:rPr>
          <w:noProof/>
        </w:rPr>
        <w:t xml:space="preserve"> w</w:t>
      </w:r>
      <w:r w:rsidR="00B73D99">
        <w:rPr>
          <w:noProof/>
        </w:rPr>
        <w:t> </w:t>
      </w:r>
      <w:r w:rsidR="00B73D99" w:rsidRPr="00BB0D27">
        <w:rPr>
          <w:noProof/>
        </w:rPr>
        <w:t>sto</w:t>
      </w:r>
      <w:r w:rsidR="004044BA" w:rsidRPr="00BB0D27">
        <w:rPr>
          <w:noProof/>
        </w:rPr>
        <w:t xml:space="preserve">sownych przypadkach kwestii bezpieczeństwa. Rejestracja na platformie internetowej powinna być zawsze możliwa na wniosek podmiotu zajmującego się naprawą, pod warunkiem że spełnia on mające zastosowanie wymogi dostępu do tej platformy. </w:t>
      </w:r>
    </w:p>
    <w:p w:rsidR="00B87768" w:rsidRPr="00BB0D27" w:rsidRDefault="001C4EB9" w:rsidP="001C4EB9">
      <w:pPr>
        <w:pStyle w:val="ManualConsidrant"/>
        <w:rPr>
          <w:noProof/>
        </w:rPr>
      </w:pPr>
      <w:r w:rsidRPr="001C4EB9">
        <w:t>(23)</w:t>
      </w:r>
      <w:r w:rsidRPr="001C4EB9">
        <w:tab/>
      </w:r>
      <w:r w:rsidR="00B87768" w:rsidRPr="00BB0D27">
        <w:rPr>
          <w:noProof/>
        </w:rPr>
        <w:t>Państwa członkowskie powinny zapewnić, aby konsumenci mieli łatwy dostęp do platformy internetowej umożliwiającej im znalezienie odpowiednich usług naprawy swoich wadliwych towarów. Platforma internetowa powinna być również dostępna dla konsumentów podatnych na zagrożenia,</w:t>
      </w:r>
      <w:r w:rsidR="00B73D99" w:rsidRPr="00BB0D27">
        <w:rPr>
          <w:noProof/>
        </w:rPr>
        <w:t xml:space="preserve"> w</w:t>
      </w:r>
      <w:r w:rsidR="00B73D99">
        <w:rPr>
          <w:noProof/>
        </w:rPr>
        <w:t> </w:t>
      </w:r>
      <w:r w:rsidR="00B73D99" w:rsidRPr="00BB0D27">
        <w:rPr>
          <w:noProof/>
        </w:rPr>
        <w:t>tym</w:t>
      </w:r>
      <w:r w:rsidR="00B87768" w:rsidRPr="00BB0D27">
        <w:rPr>
          <w:noProof/>
        </w:rPr>
        <w:t xml:space="preserve"> dla osób</w:t>
      </w:r>
      <w:r w:rsidR="00B73D99" w:rsidRPr="00BB0D27">
        <w:rPr>
          <w:noProof/>
        </w:rPr>
        <w:t xml:space="preserve"> z</w:t>
      </w:r>
      <w:r w:rsidR="00B73D99">
        <w:rPr>
          <w:noProof/>
        </w:rPr>
        <w:t> </w:t>
      </w:r>
      <w:r w:rsidR="00B73D99" w:rsidRPr="00BB0D27">
        <w:rPr>
          <w:noProof/>
        </w:rPr>
        <w:t>nie</w:t>
      </w:r>
      <w:r w:rsidR="00B87768" w:rsidRPr="00BB0D27">
        <w:rPr>
          <w:noProof/>
        </w:rPr>
        <w:t>pełnosprawnościami, zgodnie</w:t>
      </w:r>
      <w:r w:rsidR="00B73D99" w:rsidRPr="00BB0D27">
        <w:rPr>
          <w:noProof/>
        </w:rPr>
        <w:t xml:space="preserve"> z</w:t>
      </w:r>
      <w:r w:rsidR="00B73D99">
        <w:rPr>
          <w:noProof/>
        </w:rPr>
        <w:t> </w:t>
      </w:r>
      <w:r w:rsidR="00B73D99" w:rsidRPr="00BB0D27">
        <w:rPr>
          <w:noProof/>
        </w:rPr>
        <w:t>maj</w:t>
      </w:r>
      <w:r w:rsidR="00B87768" w:rsidRPr="00BB0D27">
        <w:rPr>
          <w:noProof/>
        </w:rPr>
        <w:t>ącym zastosowanie prawem Unii dotyczącym dostępności.</w:t>
      </w:r>
    </w:p>
    <w:p w:rsidR="00B87768" w:rsidRPr="00BB0D27" w:rsidRDefault="001C4EB9" w:rsidP="001C4EB9">
      <w:pPr>
        <w:pStyle w:val="ManualConsidrant"/>
        <w:rPr>
          <w:noProof/>
        </w:rPr>
      </w:pPr>
      <w:r w:rsidRPr="001C4EB9">
        <w:t>(24)</w:t>
      </w:r>
      <w:r w:rsidRPr="001C4EB9">
        <w:tab/>
      </w:r>
      <w:r w:rsidR="00B87768" w:rsidRPr="00BB0D27">
        <w:rPr>
          <w:noProof/>
        </w:rPr>
        <w:t>Funkcja wyszukiwania na podstawie produktu może odnosić się do jego rodzaju lub marki. Ponieważ podmioty zajmujące się naprawą nie mogą wiedzieć</w:t>
      </w:r>
      <w:r w:rsidR="00B73D99" w:rsidRPr="00BB0D27">
        <w:rPr>
          <w:noProof/>
        </w:rPr>
        <w:t xml:space="preserve"> o</w:t>
      </w:r>
      <w:r w:rsidR="00B73D99">
        <w:rPr>
          <w:noProof/>
        </w:rPr>
        <w:t> </w:t>
      </w:r>
      <w:r w:rsidR="00B73D99" w:rsidRPr="00BB0D27">
        <w:rPr>
          <w:noProof/>
        </w:rPr>
        <w:t>kon</w:t>
      </w:r>
      <w:r w:rsidR="00B87768" w:rsidRPr="00BB0D27">
        <w:rPr>
          <w:noProof/>
        </w:rPr>
        <w:t>kretnej wadzie przed otrzymaniem wniosku</w:t>
      </w:r>
      <w:r w:rsidR="00B73D99" w:rsidRPr="00BB0D27">
        <w:rPr>
          <w:noProof/>
        </w:rPr>
        <w:t xml:space="preserve"> o</w:t>
      </w:r>
      <w:r w:rsidR="00B73D99">
        <w:rPr>
          <w:noProof/>
        </w:rPr>
        <w:t> </w:t>
      </w:r>
      <w:r w:rsidR="00B73D99" w:rsidRPr="00BB0D27">
        <w:rPr>
          <w:noProof/>
        </w:rPr>
        <w:t>nap</w:t>
      </w:r>
      <w:r w:rsidR="00B87768" w:rsidRPr="00BB0D27">
        <w:rPr>
          <w:noProof/>
        </w:rPr>
        <w:t>rawę, wystarczy że umieszczą na platformie internetowej ogólne informacje</w:t>
      </w:r>
      <w:r w:rsidR="00B73D99" w:rsidRPr="00BB0D27">
        <w:rPr>
          <w:noProof/>
        </w:rPr>
        <w:t xml:space="preserve"> o</w:t>
      </w:r>
      <w:r w:rsidR="00B73D99">
        <w:rPr>
          <w:noProof/>
        </w:rPr>
        <w:t> </w:t>
      </w:r>
      <w:r w:rsidR="00B73D99" w:rsidRPr="00BB0D27">
        <w:rPr>
          <w:noProof/>
        </w:rPr>
        <w:t>naj</w:t>
      </w:r>
      <w:r w:rsidR="00B87768" w:rsidRPr="00BB0D27">
        <w:rPr>
          <w:noProof/>
        </w:rPr>
        <w:t>ważniejszych elementach usług naprawczych, aby umożliwić konsumentowi podjęcie decyzji</w:t>
      </w:r>
      <w:r w:rsidR="00B73D99" w:rsidRPr="00BB0D27">
        <w:rPr>
          <w:noProof/>
        </w:rPr>
        <w:t xml:space="preserve"> o</w:t>
      </w:r>
      <w:r w:rsidR="00B73D99">
        <w:rPr>
          <w:noProof/>
        </w:rPr>
        <w:t> </w:t>
      </w:r>
      <w:r w:rsidR="00B73D99" w:rsidRPr="00BB0D27">
        <w:rPr>
          <w:noProof/>
        </w:rPr>
        <w:t>nap</w:t>
      </w:r>
      <w:r w:rsidR="00B87768" w:rsidRPr="00BB0D27">
        <w:rPr>
          <w:noProof/>
        </w:rPr>
        <w:t>rawie danego towaru, szczególnie informacje dotyczące średniego czasu dokonania naprawy, dostępności towarów zastępczych, miejsca, do którego konsument musi dostarczyć towar do naprawy, oraz dostępności usług dodatkowych. Należy zachęcać podmioty zajmujące się naprawą do regularnej aktualizacji informacji na platformie internetowej. Aby zwiększyć zaufanie konsumentów do usług naprawczych dostępnych poprzez platformę internetową, podmioty zajmujące się naprawą powinny mieć możliwość wykazania, że wykonywane przez nie usługi są zgodne</w:t>
      </w:r>
      <w:r w:rsidR="00B73D99" w:rsidRPr="00BB0D27">
        <w:rPr>
          <w:noProof/>
        </w:rPr>
        <w:t xml:space="preserve"> z</w:t>
      </w:r>
      <w:r w:rsidR="00B73D99">
        <w:rPr>
          <w:noProof/>
        </w:rPr>
        <w:t> </w:t>
      </w:r>
      <w:r w:rsidR="00B73D99" w:rsidRPr="00BB0D27">
        <w:rPr>
          <w:noProof/>
        </w:rPr>
        <w:t>okr</w:t>
      </w:r>
      <w:r w:rsidR="00B87768" w:rsidRPr="00BB0D27">
        <w:rPr>
          <w:noProof/>
        </w:rPr>
        <w:t xml:space="preserve">eślonymi standardami naprawy. </w:t>
      </w:r>
    </w:p>
    <w:p w:rsidR="00B87768" w:rsidRPr="00BB0D27" w:rsidRDefault="001C4EB9" w:rsidP="001C4EB9">
      <w:pPr>
        <w:pStyle w:val="ManualConsidrant"/>
        <w:rPr>
          <w:noProof/>
        </w:rPr>
      </w:pPr>
      <w:r w:rsidRPr="001C4EB9">
        <w:t>(25)</w:t>
      </w:r>
      <w:r w:rsidRPr="001C4EB9">
        <w:tab/>
      </w:r>
      <w:r w:rsidR="00B87768" w:rsidRPr="00BB0D27">
        <w:rPr>
          <w:noProof/>
        </w:rPr>
        <w:t>Aby ułatwić uzyskanie europejskiego formularza informacji</w:t>
      </w:r>
      <w:r w:rsidR="00B73D99" w:rsidRPr="00BB0D27">
        <w:rPr>
          <w:noProof/>
        </w:rPr>
        <w:t xml:space="preserve"> o</w:t>
      </w:r>
      <w:r w:rsidR="00B73D99">
        <w:rPr>
          <w:noProof/>
        </w:rPr>
        <w:t> </w:t>
      </w:r>
      <w:r w:rsidR="00B73D99" w:rsidRPr="00BB0D27">
        <w:rPr>
          <w:noProof/>
        </w:rPr>
        <w:t>nap</w:t>
      </w:r>
      <w:r w:rsidR="00B87768" w:rsidRPr="00BB0D27">
        <w:rPr>
          <w:noProof/>
        </w:rPr>
        <w:t>rawie, należy zapewnić konsumentom możliwość złożenia za pośrednictwem platformy internetowej bezpośredniego wniosku</w:t>
      </w:r>
      <w:r w:rsidR="00B73D99" w:rsidRPr="00BB0D27">
        <w:rPr>
          <w:noProof/>
        </w:rPr>
        <w:t xml:space="preserve"> o</w:t>
      </w:r>
      <w:r w:rsidR="00B73D99">
        <w:rPr>
          <w:noProof/>
        </w:rPr>
        <w:t> </w:t>
      </w:r>
      <w:r w:rsidR="00B73D99" w:rsidRPr="00BB0D27">
        <w:rPr>
          <w:noProof/>
        </w:rPr>
        <w:t>tak</w:t>
      </w:r>
      <w:r w:rsidR="00B87768" w:rsidRPr="00BB0D27">
        <w:rPr>
          <w:noProof/>
        </w:rPr>
        <w:t>i formularza do podmiotu zajmującego się naprawą. Informacje</w:t>
      </w:r>
      <w:r w:rsidR="00B73D99" w:rsidRPr="00BB0D27">
        <w:rPr>
          <w:noProof/>
        </w:rPr>
        <w:t xml:space="preserve"> o</w:t>
      </w:r>
      <w:r w:rsidR="00B73D99">
        <w:rPr>
          <w:noProof/>
        </w:rPr>
        <w:t> </w:t>
      </w:r>
      <w:r w:rsidR="00B73D99" w:rsidRPr="00BB0D27">
        <w:rPr>
          <w:noProof/>
        </w:rPr>
        <w:t>tak</w:t>
      </w:r>
      <w:r w:rsidR="00B87768" w:rsidRPr="00BB0D27">
        <w:rPr>
          <w:noProof/>
        </w:rPr>
        <w:t>iej możliwości należy zamieścić</w:t>
      </w:r>
      <w:r w:rsidR="00B73D99" w:rsidRPr="00BB0D27">
        <w:rPr>
          <w:noProof/>
        </w:rPr>
        <w:t xml:space="preserve"> w</w:t>
      </w:r>
      <w:r w:rsidR="00B73D99">
        <w:rPr>
          <w:noProof/>
        </w:rPr>
        <w:t> </w:t>
      </w:r>
      <w:r w:rsidR="00B73D99" w:rsidRPr="00BB0D27">
        <w:rPr>
          <w:noProof/>
        </w:rPr>
        <w:t>dob</w:t>
      </w:r>
      <w:r w:rsidR="00B87768" w:rsidRPr="00BB0D27">
        <w:rPr>
          <w:noProof/>
        </w:rPr>
        <w:t>rze widocznym miejscu na platformie internetowej. Aby rozpropagować krajowe internetowe platformy naprawcze oraz ułatwić dostęp do nich</w:t>
      </w:r>
      <w:r w:rsidR="00B73D99" w:rsidRPr="00BB0D27">
        <w:rPr>
          <w:noProof/>
        </w:rPr>
        <w:t xml:space="preserve"> w</w:t>
      </w:r>
      <w:r w:rsidR="00B73D99">
        <w:rPr>
          <w:noProof/>
        </w:rPr>
        <w:t> </w:t>
      </w:r>
      <w:r w:rsidR="00B73D99" w:rsidRPr="00BB0D27">
        <w:rPr>
          <w:noProof/>
        </w:rPr>
        <w:t>cał</w:t>
      </w:r>
      <w:r w:rsidR="00B87768" w:rsidRPr="00BB0D27">
        <w:rPr>
          <w:noProof/>
        </w:rPr>
        <w:t>ej Unii, państwa członkowskie powinny zapewnić dostęp do swoich platform internetowych za pośrednictwem odpowiednich krajowych stron internetowych połączonych</w:t>
      </w:r>
      <w:r w:rsidR="00B73D99" w:rsidRPr="00BB0D27">
        <w:rPr>
          <w:noProof/>
        </w:rPr>
        <w:t xml:space="preserve"> z</w:t>
      </w:r>
      <w:r w:rsidR="00B73D99">
        <w:rPr>
          <w:noProof/>
        </w:rPr>
        <w:t> </w:t>
      </w:r>
      <w:r w:rsidR="00B73D99" w:rsidRPr="00BB0D27">
        <w:rPr>
          <w:noProof/>
        </w:rPr>
        <w:t>jed</w:t>
      </w:r>
      <w:r w:rsidR="00B87768" w:rsidRPr="00BB0D27">
        <w:rPr>
          <w:noProof/>
        </w:rPr>
        <w:t>nolitym portalem cyfrowym ustanowionym rozporządzeniem Parlamentu Europejskiego</w:t>
      </w:r>
      <w:r w:rsidR="00B73D99" w:rsidRPr="00BB0D27">
        <w:rPr>
          <w:noProof/>
        </w:rPr>
        <w:t xml:space="preserve"> i</w:t>
      </w:r>
      <w:r w:rsidR="00B73D99">
        <w:rPr>
          <w:noProof/>
        </w:rPr>
        <w:t> </w:t>
      </w:r>
      <w:r w:rsidR="00B73D99" w:rsidRPr="00BB0D27">
        <w:rPr>
          <w:noProof/>
        </w:rPr>
        <w:t>Rad</w:t>
      </w:r>
      <w:r w:rsidR="00B87768" w:rsidRPr="00BB0D27">
        <w:rPr>
          <w:noProof/>
        </w:rPr>
        <w:t>y (UE) 2018/1724</w:t>
      </w:r>
      <w:r w:rsidR="00B0218E" w:rsidRPr="00BB0D27">
        <w:rPr>
          <w:rStyle w:val="FootnoteReference"/>
          <w:noProof/>
        </w:rPr>
        <w:footnoteReference w:id="21"/>
      </w:r>
      <w:r w:rsidR="00B87768" w:rsidRPr="00BB0D27">
        <w:rPr>
          <w:noProof/>
        </w:rPr>
        <w:t>. Państwa członkowskie powinny podjąć odpowiednie kroki</w:t>
      </w:r>
      <w:r w:rsidR="00B73D99" w:rsidRPr="00BB0D27">
        <w:rPr>
          <w:noProof/>
        </w:rPr>
        <w:t xml:space="preserve"> w</w:t>
      </w:r>
      <w:r w:rsidR="00B73D99">
        <w:rPr>
          <w:noProof/>
        </w:rPr>
        <w:t> </w:t>
      </w:r>
      <w:r w:rsidR="00B73D99" w:rsidRPr="00BB0D27">
        <w:rPr>
          <w:noProof/>
        </w:rPr>
        <w:t>cel</w:t>
      </w:r>
      <w:r w:rsidR="00B87768" w:rsidRPr="00BB0D27">
        <w:rPr>
          <w:noProof/>
        </w:rPr>
        <w:t>u zwiększenia świadomości konsumentów na temat platformy internetowej, na przykład umieścić na powiązanych krajowych stronach internetowych oznaczenie przekierowujące do platformy internetowej lub przeprowadzić kampanię informacyjną.</w:t>
      </w:r>
    </w:p>
    <w:p w:rsidR="00B87768" w:rsidRPr="00BB0D27" w:rsidRDefault="001C4EB9" w:rsidP="001C4EB9">
      <w:pPr>
        <w:pStyle w:val="ManualConsidrant"/>
        <w:rPr>
          <w:noProof/>
        </w:rPr>
      </w:pPr>
      <w:r w:rsidRPr="001C4EB9">
        <w:t>(26)</w:t>
      </w:r>
      <w:r w:rsidRPr="001C4EB9">
        <w:tab/>
      </w:r>
      <w:r w:rsidR="00B87768" w:rsidRPr="00BB0D27">
        <w:rPr>
          <w:noProof/>
        </w:rPr>
        <w:t>W celu promowania zrównoważonej konsumpcji towarów</w:t>
      </w:r>
      <w:r w:rsidR="00B73D99" w:rsidRPr="00BB0D27">
        <w:rPr>
          <w:noProof/>
        </w:rPr>
        <w:t xml:space="preserve"> w</w:t>
      </w:r>
      <w:r w:rsidR="00B73D99">
        <w:rPr>
          <w:noProof/>
        </w:rPr>
        <w:t> </w:t>
      </w:r>
      <w:r w:rsidR="00B73D99" w:rsidRPr="00BB0D27">
        <w:rPr>
          <w:noProof/>
        </w:rPr>
        <w:t>syt</w:t>
      </w:r>
      <w:r w:rsidR="00B87768" w:rsidRPr="00BB0D27">
        <w:rPr>
          <w:noProof/>
        </w:rPr>
        <w:t>uacjach wykraczających poza zakres odpowiedzialności sprzedawcy platforma internetowa powinna również służyć promowaniu towarów nadających się do odnowienia jako alternatywy dla naprawy lub nabywania nowych towarów</w:t>
      </w:r>
      <w:r w:rsidR="00B73D99" w:rsidRPr="00BB0D27">
        <w:rPr>
          <w:noProof/>
        </w:rPr>
        <w:t>. W</w:t>
      </w:r>
      <w:r w:rsidR="00B73D99">
        <w:rPr>
          <w:noProof/>
        </w:rPr>
        <w:t> </w:t>
      </w:r>
      <w:r w:rsidR="00B73D99" w:rsidRPr="00BB0D27">
        <w:rPr>
          <w:noProof/>
        </w:rPr>
        <w:t>tym</w:t>
      </w:r>
      <w:r w:rsidR="00B87768" w:rsidRPr="00BB0D27">
        <w:rPr>
          <w:noProof/>
        </w:rPr>
        <w:t xml:space="preserve"> celu platforma internetowa powinna zawierać funkcję umożliwiającą konsumentom znajdowanie sprzedawców towarów nadających się do odnowienia lub przedsiębiorstw nabywających wadliwe towary celem ich odnowienia, szczególnie poprzez umożliwienie wyszukiwania według kategorii produktu. Sprzedawcy towarów nadających się do odnowienia lub nabywcy wadliwych towarów kupowanych</w:t>
      </w:r>
      <w:r w:rsidR="00B73D99" w:rsidRPr="00BB0D27">
        <w:rPr>
          <w:noProof/>
        </w:rPr>
        <w:t xml:space="preserve"> w</w:t>
      </w:r>
      <w:r w:rsidR="00B73D99">
        <w:rPr>
          <w:noProof/>
        </w:rPr>
        <w:t> </w:t>
      </w:r>
      <w:r w:rsidR="00B73D99" w:rsidRPr="00BB0D27">
        <w:rPr>
          <w:noProof/>
        </w:rPr>
        <w:t>cel</w:t>
      </w:r>
      <w:r w:rsidR="00B87768" w:rsidRPr="00BB0D27">
        <w:rPr>
          <w:noProof/>
        </w:rPr>
        <w:t>u ich odnowienia powinni mieć dostęp do platformy na tych samych zasadach</w:t>
      </w:r>
      <w:r w:rsidR="00B73D99" w:rsidRPr="00BB0D27">
        <w:rPr>
          <w:noProof/>
        </w:rPr>
        <w:t xml:space="preserve"> i</w:t>
      </w:r>
      <w:r w:rsidR="00B73D99">
        <w:rPr>
          <w:noProof/>
        </w:rPr>
        <w:t> </w:t>
      </w:r>
      <w:r w:rsidR="00B73D99" w:rsidRPr="00BB0D27">
        <w:rPr>
          <w:noProof/>
        </w:rPr>
        <w:t>w</w:t>
      </w:r>
      <w:r w:rsidR="00B73D99">
        <w:rPr>
          <w:noProof/>
        </w:rPr>
        <w:t> </w:t>
      </w:r>
      <w:r w:rsidR="00B73D99" w:rsidRPr="00BB0D27">
        <w:rPr>
          <w:noProof/>
        </w:rPr>
        <w:t>opa</w:t>
      </w:r>
      <w:r w:rsidR="00B87768" w:rsidRPr="00BB0D27">
        <w:rPr>
          <w:noProof/>
        </w:rPr>
        <w:t>rciu o te same specyfikacje techniczne, które obowiązują</w:t>
      </w:r>
      <w:r w:rsidR="00B73D99" w:rsidRPr="00BB0D27">
        <w:rPr>
          <w:noProof/>
        </w:rPr>
        <w:t xml:space="preserve"> w</w:t>
      </w:r>
      <w:r w:rsidR="00B73D99">
        <w:rPr>
          <w:noProof/>
        </w:rPr>
        <w:t> </w:t>
      </w:r>
      <w:r w:rsidR="00B73D99" w:rsidRPr="00BB0D27">
        <w:rPr>
          <w:noProof/>
        </w:rPr>
        <w:t>prz</w:t>
      </w:r>
      <w:r w:rsidR="00B87768" w:rsidRPr="00BB0D27">
        <w:rPr>
          <w:noProof/>
        </w:rPr>
        <w:t xml:space="preserve">ypadku naprawy. </w:t>
      </w:r>
    </w:p>
    <w:p w:rsidR="00B87768" w:rsidRPr="00BB0D27" w:rsidRDefault="001C4EB9" w:rsidP="001C4EB9">
      <w:pPr>
        <w:pStyle w:val="ManualConsidrant"/>
        <w:rPr>
          <w:noProof/>
        </w:rPr>
      </w:pPr>
      <w:r w:rsidRPr="001C4EB9">
        <w:t>(27)</w:t>
      </w:r>
      <w:r w:rsidRPr="001C4EB9">
        <w:tab/>
      </w:r>
      <w:r w:rsidR="00B87768" w:rsidRPr="00BB0D27">
        <w:rPr>
          <w:noProof/>
        </w:rPr>
        <w:t>Komisja powinna umożliwić powstanie dobrowolnej europejskiej normy jakości usług naprawczych, na przykład poprzez zachęcenie do dobrowolnej współpracy nad taką normą przedsiębiorstw, organów publicznych</w:t>
      </w:r>
      <w:r w:rsidR="00B73D99" w:rsidRPr="00BB0D27">
        <w:rPr>
          <w:noProof/>
        </w:rPr>
        <w:t xml:space="preserve"> i</w:t>
      </w:r>
      <w:r w:rsidR="00B73D99">
        <w:rPr>
          <w:noProof/>
        </w:rPr>
        <w:t> </w:t>
      </w:r>
      <w:r w:rsidR="00B73D99" w:rsidRPr="00BB0D27">
        <w:rPr>
          <w:noProof/>
        </w:rPr>
        <w:t>inn</w:t>
      </w:r>
      <w:r w:rsidR="00B87768" w:rsidRPr="00BB0D27">
        <w:rPr>
          <w:noProof/>
        </w:rPr>
        <w:t>ych zainteresowanych stron</w:t>
      </w:r>
      <w:r w:rsidR="00B73D99" w:rsidRPr="00BB0D27">
        <w:rPr>
          <w:noProof/>
        </w:rPr>
        <w:t xml:space="preserve"> i</w:t>
      </w:r>
      <w:r w:rsidR="00B73D99">
        <w:rPr>
          <w:noProof/>
        </w:rPr>
        <w:t> </w:t>
      </w:r>
      <w:r w:rsidR="00B73D99" w:rsidRPr="00BB0D27">
        <w:rPr>
          <w:noProof/>
        </w:rPr>
        <w:t>uła</w:t>
      </w:r>
      <w:r w:rsidR="00B87768" w:rsidRPr="00BB0D27">
        <w:rPr>
          <w:noProof/>
        </w:rPr>
        <w:t>twianie takiej współpracy, lub poprzez skierowanie wniosku</w:t>
      </w:r>
      <w:r w:rsidR="00B73D99" w:rsidRPr="00BB0D27">
        <w:rPr>
          <w:noProof/>
        </w:rPr>
        <w:t xml:space="preserve"> o</w:t>
      </w:r>
      <w:r w:rsidR="00B73D99">
        <w:rPr>
          <w:noProof/>
        </w:rPr>
        <w:t> </w:t>
      </w:r>
      <w:r w:rsidR="00B73D99" w:rsidRPr="00BB0D27">
        <w:rPr>
          <w:noProof/>
        </w:rPr>
        <w:t>nor</w:t>
      </w:r>
      <w:r w:rsidR="00B87768" w:rsidRPr="00BB0D27">
        <w:rPr>
          <w:noProof/>
        </w:rPr>
        <w:t>malizację do europejskich organizacji normalizacyjnych. Europejska norma usług naprawczych mogłaby przyczynić się do zwiększenia zaufania konsumentów do usług naprawczych</w:t>
      </w:r>
      <w:r w:rsidR="00B73D99" w:rsidRPr="00BB0D27">
        <w:rPr>
          <w:noProof/>
        </w:rPr>
        <w:t xml:space="preserve"> w</w:t>
      </w:r>
      <w:r w:rsidR="00B73D99">
        <w:rPr>
          <w:noProof/>
        </w:rPr>
        <w:t> </w:t>
      </w:r>
      <w:r w:rsidR="00B73D99" w:rsidRPr="00BB0D27">
        <w:rPr>
          <w:noProof/>
        </w:rPr>
        <w:t>cał</w:t>
      </w:r>
      <w:r w:rsidR="00B87768" w:rsidRPr="00BB0D27">
        <w:rPr>
          <w:noProof/>
        </w:rPr>
        <w:t>ej Unii. Mogłaby ona obejmować następujące aspekty mające wpływ na decyzje konsumentów dotyczące naprawy: czas potrzebny na jej dokonanie, dostępność tymczasowych towarów zastępczych, zapewnianie jakości, na przykład</w:t>
      </w:r>
      <w:r w:rsidR="00B73D99" w:rsidRPr="00BB0D27">
        <w:rPr>
          <w:noProof/>
        </w:rPr>
        <w:t xml:space="preserve"> w</w:t>
      </w:r>
      <w:r w:rsidR="00B73D99">
        <w:rPr>
          <w:noProof/>
        </w:rPr>
        <w:t> </w:t>
      </w:r>
      <w:r w:rsidR="00B73D99" w:rsidRPr="00BB0D27">
        <w:rPr>
          <w:noProof/>
        </w:rPr>
        <w:t>pos</w:t>
      </w:r>
      <w:r w:rsidR="00B87768" w:rsidRPr="00BB0D27">
        <w:rPr>
          <w:noProof/>
        </w:rPr>
        <w:t>taci gwarancji handlowej na naprawę, oraz dostępność usług dodatkowych, takich jak usunięcie, instalacja</w:t>
      </w:r>
      <w:r w:rsidR="00B73D99" w:rsidRPr="00BB0D27">
        <w:rPr>
          <w:noProof/>
        </w:rPr>
        <w:t xml:space="preserve"> i</w:t>
      </w:r>
      <w:r w:rsidR="00B73D99">
        <w:rPr>
          <w:noProof/>
        </w:rPr>
        <w:t> </w:t>
      </w:r>
      <w:r w:rsidR="00B73D99" w:rsidRPr="00BB0D27">
        <w:rPr>
          <w:noProof/>
        </w:rPr>
        <w:t>tra</w:t>
      </w:r>
      <w:r w:rsidR="00B87768" w:rsidRPr="00BB0D27">
        <w:rPr>
          <w:noProof/>
        </w:rPr>
        <w:t xml:space="preserve">nsport, oferowanych przez podmioty zajmujące się naprawą. </w:t>
      </w:r>
    </w:p>
    <w:p w:rsidR="00B87768" w:rsidRPr="00BB0D27" w:rsidRDefault="001C4EB9" w:rsidP="001C4EB9">
      <w:pPr>
        <w:pStyle w:val="ManualConsidrant"/>
        <w:rPr>
          <w:noProof/>
        </w:rPr>
      </w:pPr>
      <w:r w:rsidRPr="001C4EB9">
        <w:t>(28)</w:t>
      </w:r>
      <w:r w:rsidRPr="001C4EB9">
        <w:tab/>
      </w:r>
      <w:r w:rsidR="00B87768" w:rsidRPr="00BB0D27">
        <w:rPr>
          <w:noProof/>
        </w:rPr>
        <w:t>W celu promowania naprawy</w:t>
      </w:r>
      <w:r w:rsidR="00B73D99" w:rsidRPr="00BB0D27">
        <w:rPr>
          <w:noProof/>
        </w:rPr>
        <w:t xml:space="preserve"> w</w:t>
      </w:r>
      <w:r w:rsidR="00B73D99">
        <w:rPr>
          <w:noProof/>
        </w:rPr>
        <w:t> </w:t>
      </w:r>
      <w:r w:rsidR="00B73D99" w:rsidRPr="00BB0D27">
        <w:rPr>
          <w:noProof/>
        </w:rPr>
        <w:t>ram</w:t>
      </w:r>
      <w:r w:rsidR="00B87768" w:rsidRPr="00BB0D27">
        <w:rPr>
          <w:noProof/>
        </w:rPr>
        <w:t>ach odpowiedzialności sprzedawcy ustanowionej</w:t>
      </w:r>
      <w:r w:rsidR="00B73D99" w:rsidRPr="00BB0D27">
        <w:rPr>
          <w:noProof/>
        </w:rPr>
        <w:t xml:space="preserve"> w</w:t>
      </w:r>
      <w:r w:rsidR="00B73D99">
        <w:rPr>
          <w:noProof/>
        </w:rPr>
        <w:t> </w:t>
      </w:r>
      <w:r w:rsidR="00B73D99" w:rsidRPr="00BB0D27">
        <w:rPr>
          <w:noProof/>
        </w:rPr>
        <w:t>dyr</w:t>
      </w:r>
      <w:r w:rsidR="00B87768" w:rsidRPr="00BB0D27">
        <w:rPr>
          <w:noProof/>
        </w:rPr>
        <w:t>ektywie (UE) 2019/771 należy przyjąć zharmonizowane warunki, na jakich można dokonać wyboru między środkami ochrony prawnej polegającymi na naprawie lub wymianie. Należy utrzymać zasadę ustanowioną</w:t>
      </w:r>
      <w:r w:rsidR="00B73D99" w:rsidRPr="00BB0D27">
        <w:rPr>
          <w:noProof/>
        </w:rPr>
        <w:t xml:space="preserve"> w</w:t>
      </w:r>
      <w:r w:rsidR="00B73D99">
        <w:rPr>
          <w:noProof/>
        </w:rPr>
        <w:t> </w:t>
      </w:r>
      <w:r w:rsidR="00B73D99" w:rsidRPr="00BB0D27">
        <w:rPr>
          <w:noProof/>
        </w:rPr>
        <w:t>dyr</w:t>
      </w:r>
      <w:r w:rsidR="00B87768" w:rsidRPr="00BB0D27">
        <w:rPr>
          <w:noProof/>
        </w:rPr>
        <w:t>ektywie (UE) 2019/771, zgodnie</w:t>
      </w:r>
      <w:r w:rsidR="00B73D99" w:rsidRPr="00BB0D27">
        <w:rPr>
          <w:noProof/>
        </w:rPr>
        <w:t xml:space="preserve"> z</w:t>
      </w:r>
      <w:r w:rsidR="00B73D99">
        <w:rPr>
          <w:noProof/>
        </w:rPr>
        <w:t> </w:t>
      </w:r>
      <w:r w:rsidR="00B73D99" w:rsidRPr="00BB0D27">
        <w:rPr>
          <w:noProof/>
        </w:rPr>
        <w:t>któ</w:t>
      </w:r>
      <w:r w:rsidR="00B87768" w:rsidRPr="00BB0D27">
        <w:rPr>
          <w:noProof/>
        </w:rPr>
        <w:t>rą należy rozważyć, czy wybrany środek ochrony prawnej wiązałby się</w:t>
      </w:r>
      <w:r w:rsidR="00B73D99" w:rsidRPr="00BB0D27">
        <w:rPr>
          <w:noProof/>
        </w:rPr>
        <w:t xml:space="preserve"> z</w:t>
      </w:r>
      <w:r w:rsidR="00B73D99">
        <w:rPr>
          <w:noProof/>
        </w:rPr>
        <w:t> </w:t>
      </w:r>
      <w:r w:rsidR="00B73D99" w:rsidRPr="00BB0D27">
        <w:rPr>
          <w:noProof/>
        </w:rPr>
        <w:t>nie</w:t>
      </w:r>
      <w:r w:rsidR="00B87768" w:rsidRPr="00BB0D27">
        <w:rPr>
          <w:noProof/>
        </w:rPr>
        <w:t>współmiernymi kosztami dla sprzedawcy</w:t>
      </w:r>
      <w:r w:rsidR="00B73D99" w:rsidRPr="00BB0D27">
        <w:rPr>
          <w:noProof/>
        </w:rPr>
        <w:t xml:space="preserve"> w</w:t>
      </w:r>
      <w:r w:rsidR="00B73D99">
        <w:rPr>
          <w:noProof/>
        </w:rPr>
        <w:t> </w:t>
      </w:r>
      <w:r w:rsidR="00B73D99" w:rsidRPr="00BB0D27">
        <w:rPr>
          <w:noProof/>
        </w:rPr>
        <w:t>por</w:t>
      </w:r>
      <w:r w:rsidR="00B87768" w:rsidRPr="00BB0D27">
        <w:rPr>
          <w:noProof/>
        </w:rPr>
        <w:t>ównaniu</w:t>
      </w:r>
      <w:r w:rsidR="00B73D99" w:rsidRPr="00BB0D27">
        <w:rPr>
          <w:noProof/>
        </w:rPr>
        <w:t xml:space="preserve"> z</w:t>
      </w:r>
      <w:r w:rsidR="00B73D99">
        <w:rPr>
          <w:noProof/>
        </w:rPr>
        <w:t> </w:t>
      </w:r>
      <w:r w:rsidR="00B73D99" w:rsidRPr="00BB0D27">
        <w:rPr>
          <w:noProof/>
        </w:rPr>
        <w:t>poz</w:t>
      </w:r>
      <w:r w:rsidR="00B87768" w:rsidRPr="00BB0D27">
        <w:rPr>
          <w:noProof/>
        </w:rPr>
        <w:t>ostałymi środkami ochrony prawnej, jako jedno</w:t>
      </w:r>
      <w:r w:rsidR="00B73D99" w:rsidRPr="00BB0D27">
        <w:rPr>
          <w:noProof/>
        </w:rPr>
        <w:t xml:space="preserve"> z</w:t>
      </w:r>
      <w:r w:rsidR="00B73D99">
        <w:rPr>
          <w:noProof/>
        </w:rPr>
        <w:t> </w:t>
      </w:r>
      <w:r w:rsidR="00B73D99" w:rsidRPr="00BB0D27">
        <w:rPr>
          <w:noProof/>
        </w:rPr>
        <w:t>kry</w:t>
      </w:r>
      <w:r w:rsidR="00B87768" w:rsidRPr="00BB0D27">
        <w:rPr>
          <w:noProof/>
        </w:rPr>
        <w:t>teriów wyboru środka mającego zastosowanie. Konsument wciąż może wybrać naprawę zamiast wymiany, chyba że naprawa byłaby niemożliwa lub wiązałaby się</w:t>
      </w:r>
      <w:r w:rsidR="00B73D99" w:rsidRPr="00BB0D27">
        <w:rPr>
          <w:noProof/>
        </w:rPr>
        <w:t xml:space="preserve"> z</w:t>
      </w:r>
      <w:r w:rsidR="00B73D99">
        <w:rPr>
          <w:noProof/>
        </w:rPr>
        <w:t> </w:t>
      </w:r>
      <w:r w:rsidR="00B73D99" w:rsidRPr="00BB0D27">
        <w:rPr>
          <w:noProof/>
        </w:rPr>
        <w:t>nie</w:t>
      </w:r>
      <w:r w:rsidR="00B87768" w:rsidRPr="00BB0D27">
        <w:rPr>
          <w:noProof/>
        </w:rPr>
        <w:t>współmiernymi kosztami dla sprzedawcy</w:t>
      </w:r>
      <w:r w:rsidR="00B73D99" w:rsidRPr="00BB0D27">
        <w:rPr>
          <w:noProof/>
        </w:rPr>
        <w:t xml:space="preserve"> w</w:t>
      </w:r>
      <w:r w:rsidR="00B73D99">
        <w:rPr>
          <w:noProof/>
        </w:rPr>
        <w:t> </w:t>
      </w:r>
      <w:r w:rsidR="00B73D99" w:rsidRPr="00BB0D27">
        <w:rPr>
          <w:noProof/>
        </w:rPr>
        <w:t>por</w:t>
      </w:r>
      <w:r w:rsidR="00B87768" w:rsidRPr="00BB0D27">
        <w:rPr>
          <w:noProof/>
        </w:rPr>
        <w:t>ównaniu</w:t>
      </w:r>
      <w:r w:rsidR="00B73D99" w:rsidRPr="00BB0D27">
        <w:rPr>
          <w:noProof/>
        </w:rPr>
        <w:t xml:space="preserve"> z</w:t>
      </w:r>
      <w:r w:rsidR="00B73D99">
        <w:rPr>
          <w:noProof/>
        </w:rPr>
        <w:t> </w:t>
      </w:r>
      <w:r w:rsidR="00B73D99" w:rsidRPr="00BB0D27">
        <w:rPr>
          <w:noProof/>
        </w:rPr>
        <w:t>wym</w:t>
      </w:r>
      <w:r w:rsidR="00B87768" w:rsidRPr="00BB0D27">
        <w:rPr>
          <w:noProof/>
        </w:rPr>
        <w:t>ianą. Jeżeli jednak koszty wymiany przewyższają koszty naprawy lub są im równe, sprzedawca powinien zawsze dokonać naprawy towarów. Konsument może zatem wybrać wymianę jako środek ochrony prawnej wyłącznie wówczas, gdy jest ona tańsza od naprawy. Należy zatem odpowiednio zmienić dyrektywę (UE) 2019/771.</w:t>
      </w:r>
    </w:p>
    <w:p w:rsidR="0080224A" w:rsidRPr="00BB0D27" w:rsidRDefault="001C4EB9" w:rsidP="001C4EB9">
      <w:pPr>
        <w:pStyle w:val="ManualConsidrant"/>
        <w:rPr>
          <w:noProof/>
        </w:rPr>
      </w:pPr>
      <w:r w:rsidRPr="001C4EB9">
        <w:t>(29)</w:t>
      </w:r>
      <w:r w:rsidRPr="001C4EB9">
        <w:tab/>
      </w:r>
      <w:r w:rsidR="0080224A" w:rsidRPr="00BB0D27">
        <w:rPr>
          <w:noProof/>
        </w:rPr>
        <w:t>Aby umożliwić egzekwowanie określonych</w:t>
      </w:r>
      <w:r w:rsidR="00B73D99" w:rsidRPr="00BB0D27">
        <w:rPr>
          <w:noProof/>
        </w:rPr>
        <w:t xml:space="preserve"> w</w:t>
      </w:r>
      <w:r w:rsidR="00B73D99">
        <w:rPr>
          <w:noProof/>
        </w:rPr>
        <w:t> </w:t>
      </w:r>
      <w:r w:rsidR="00B73D99" w:rsidRPr="00BB0D27">
        <w:rPr>
          <w:noProof/>
        </w:rPr>
        <w:t>nin</w:t>
      </w:r>
      <w:r w:rsidR="0080224A" w:rsidRPr="00BB0D27">
        <w:rPr>
          <w:noProof/>
        </w:rPr>
        <w:t>iejszej dy</w:t>
      </w:r>
      <w:r w:rsidR="00BB0D27">
        <w:rPr>
          <w:noProof/>
        </w:rPr>
        <w:t>rektywie przepisów</w:t>
      </w:r>
      <w:r w:rsidR="00B73D99">
        <w:rPr>
          <w:noProof/>
        </w:rPr>
        <w:t xml:space="preserve"> w opa</w:t>
      </w:r>
      <w:r w:rsidR="00BB0D27">
        <w:rPr>
          <w:noProof/>
        </w:rPr>
        <w:t>rciu</w:t>
      </w:r>
      <w:r w:rsidR="00B73D99">
        <w:rPr>
          <w:noProof/>
        </w:rPr>
        <w:t xml:space="preserve"> o </w:t>
      </w:r>
      <w:r w:rsidR="00B73D99" w:rsidRPr="00BB0D27">
        <w:rPr>
          <w:noProof/>
        </w:rPr>
        <w:t>pow</w:t>
      </w:r>
      <w:r w:rsidR="0080224A" w:rsidRPr="00BB0D27">
        <w:rPr>
          <w:noProof/>
        </w:rPr>
        <w:t>ództwa przedstawicielskie, konieczna jest zmiana załącznika I do dyrektywy Parlamentu Europejskiego</w:t>
      </w:r>
      <w:r w:rsidR="00B73D99" w:rsidRPr="00BB0D27">
        <w:rPr>
          <w:noProof/>
        </w:rPr>
        <w:t xml:space="preserve"> i</w:t>
      </w:r>
      <w:r w:rsidR="00B73D99">
        <w:rPr>
          <w:noProof/>
        </w:rPr>
        <w:t> </w:t>
      </w:r>
      <w:r w:rsidR="00B73D99" w:rsidRPr="00BB0D27">
        <w:rPr>
          <w:noProof/>
        </w:rPr>
        <w:t>Rad</w:t>
      </w:r>
      <w:r w:rsidR="0080224A" w:rsidRPr="00BB0D27">
        <w:rPr>
          <w:noProof/>
        </w:rPr>
        <w:t>y (UE) 2020/1828</w:t>
      </w:r>
      <w:r w:rsidR="0080224A" w:rsidRPr="00BB0D27">
        <w:rPr>
          <w:noProof/>
          <w:vertAlign w:val="superscript"/>
        </w:rPr>
        <w:t>16</w:t>
      </w:r>
      <w:r w:rsidR="00B73D99" w:rsidRPr="00BB0D27">
        <w:rPr>
          <w:noProof/>
        </w:rPr>
        <w:t>. W</w:t>
      </w:r>
      <w:r w:rsidR="00B73D99">
        <w:rPr>
          <w:noProof/>
        </w:rPr>
        <w:t> </w:t>
      </w:r>
      <w:r w:rsidR="00B73D99" w:rsidRPr="00BB0D27">
        <w:rPr>
          <w:noProof/>
        </w:rPr>
        <w:t>odn</w:t>
      </w:r>
      <w:r w:rsidR="0080224A" w:rsidRPr="00BB0D27">
        <w:rPr>
          <w:noProof/>
        </w:rPr>
        <w:t>iesieniu do właściwych organów wskazanych przez państwa członkowskie, aby współpracowały ze sobą</w:t>
      </w:r>
      <w:r w:rsidR="00B73D99" w:rsidRPr="00BB0D27">
        <w:rPr>
          <w:noProof/>
        </w:rPr>
        <w:t xml:space="preserve"> i</w:t>
      </w:r>
      <w:r w:rsidR="00B73D99">
        <w:rPr>
          <w:noProof/>
        </w:rPr>
        <w:t> </w:t>
      </w:r>
      <w:r w:rsidR="00B73D99" w:rsidRPr="00BB0D27">
        <w:rPr>
          <w:noProof/>
        </w:rPr>
        <w:t>koo</w:t>
      </w:r>
      <w:r w:rsidR="0080224A" w:rsidRPr="00BB0D27">
        <w:rPr>
          <w:noProof/>
        </w:rPr>
        <w:t>rdynowały działania ze sobą oraz</w:t>
      </w:r>
      <w:r w:rsidR="00B73D99" w:rsidRPr="00BB0D27">
        <w:rPr>
          <w:noProof/>
        </w:rPr>
        <w:t xml:space="preserve"> z</w:t>
      </w:r>
      <w:r w:rsidR="00B73D99">
        <w:rPr>
          <w:noProof/>
        </w:rPr>
        <w:t> </w:t>
      </w:r>
      <w:r w:rsidR="00B73D99" w:rsidRPr="00BB0D27">
        <w:rPr>
          <w:noProof/>
        </w:rPr>
        <w:t>Kom</w:t>
      </w:r>
      <w:r w:rsidR="0080224A" w:rsidRPr="00BB0D27">
        <w:rPr>
          <w:noProof/>
        </w:rPr>
        <w:t>isją</w:t>
      </w:r>
      <w:r w:rsidR="00B73D99" w:rsidRPr="00BB0D27">
        <w:rPr>
          <w:noProof/>
        </w:rPr>
        <w:t xml:space="preserve"> w</w:t>
      </w:r>
      <w:r w:rsidR="00B73D99">
        <w:rPr>
          <w:noProof/>
        </w:rPr>
        <w:t> </w:t>
      </w:r>
      <w:r w:rsidR="00B73D99" w:rsidRPr="00BB0D27">
        <w:rPr>
          <w:noProof/>
        </w:rPr>
        <w:t>cel</w:t>
      </w:r>
      <w:r w:rsidR="0080224A" w:rsidRPr="00BB0D27">
        <w:rPr>
          <w:noProof/>
        </w:rPr>
        <w:t>u egzekwowania przestrzegania przepisów określonych</w:t>
      </w:r>
      <w:r w:rsidR="00B73D99" w:rsidRPr="00BB0D27">
        <w:rPr>
          <w:noProof/>
        </w:rPr>
        <w:t xml:space="preserve"> w</w:t>
      </w:r>
      <w:r w:rsidR="00B73D99">
        <w:rPr>
          <w:noProof/>
        </w:rPr>
        <w:t> </w:t>
      </w:r>
      <w:r w:rsidR="00B73D99" w:rsidRPr="00BB0D27">
        <w:rPr>
          <w:noProof/>
        </w:rPr>
        <w:t>nin</w:t>
      </w:r>
      <w:r w:rsidR="0080224A" w:rsidRPr="00BB0D27">
        <w:rPr>
          <w:noProof/>
        </w:rPr>
        <w:t>iejszej dyrektywie, konieczna jest zmiana załącznika do rozporządzenia Parlamentu Europejskiego</w:t>
      </w:r>
      <w:r w:rsidR="00B73D99" w:rsidRPr="00BB0D27">
        <w:rPr>
          <w:noProof/>
        </w:rPr>
        <w:t xml:space="preserve"> i</w:t>
      </w:r>
      <w:r w:rsidR="00B73D99">
        <w:rPr>
          <w:noProof/>
        </w:rPr>
        <w:t> </w:t>
      </w:r>
      <w:r w:rsidR="00B73D99" w:rsidRPr="00BB0D27">
        <w:rPr>
          <w:noProof/>
        </w:rPr>
        <w:t>Rad</w:t>
      </w:r>
      <w:r w:rsidR="0080224A" w:rsidRPr="00BB0D27">
        <w:rPr>
          <w:noProof/>
        </w:rPr>
        <w:t>y (UE) 2017/2394</w:t>
      </w:r>
      <w:r w:rsidR="0080224A" w:rsidRPr="00BB0D27">
        <w:rPr>
          <w:noProof/>
          <w:vertAlign w:val="superscript"/>
        </w:rPr>
        <w:t>17</w:t>
      </w:r>
      <w:r w:rsidR="00BB0D27">
        <w:rPr>
          <w:noProof/>
        </w:rPr>
        <w:t>.</w:t>
      </w:r>
    </w:p>
    <w:p w:rsidR="0080224A" w:rsidRPr="00BB0D27" w:rsidRDefault="001C4EB9" w:rsidP="001C4EB9">
      <w:pPr>
        <w:pStyle w:val="ManualConsidrant"/>
        <w:rPr>
          <w:noProof/>
        </w:rPr>
      </w:pPr>
      <w:r w:rsidRPr="001C4EB9">
        <w:t>(30)</w:t>
      </w:r>
      <w:r w:rsidRPr="001C4EB9">
        <w:tab/>
      </w:r>
      <w:r w:rsidR="0080224A" w:rsidRPr="00BB0D27">
        <w:rPr>
          <w:noProof/>
        </w:rPr>
        <w:t>Aby umożliwić podmiotom gospodarczym dostosowanie się do nowych zasad, należy wprowadzić przepisy przejściowe dotyczące stosowania niektórych przepisów niniejszej dyrektywy. Obowiązek naprawy</w:t>
      </w:r>
      <w:r w:rsidR="00B73D99" w:rsidRPr="00BB0D27">
        <w:rPr>
          <w:noProof/>
        </w:rPr>
        <w:t xml:space="preserve"> i</w:t>
      </w:r>
      <w:r w:rsidR="00B73D99">
        <w:rPr>
          <w:noProof/>
        </w:rPr>
        <w:t> </w:t>
      </w:r>
      <w:r w:rsidR="00B73D99" w:rsidRPr="00BB0D27">
        <w:rPr>
          <w:noProof/>
        </w:rPr>
        <w:t>obo</w:t>
      </w:r>
      <w:r w:rsidR="0080224A" w:rsidRPr="00BB0D27">
        <w:rPr>
          <w:noProof/>
        </w:rPr>
        <w:t>wiązek informowania</w:t>
      </w:r>
      <w:r w:rsidR="00B73D99" w:rsidRPr="00BB0D27">
        <w:rPr>
          <w:noProof/>
        </w:rPr>
        <w:t xml:space="preserve"> o</w:t>
      </w:r>
      <w:r w:rsidR="00B73D99">
        <w:rPr>
          <w:noProof/>
        </w:rPr>
        <w:t> </w:t>
      </w:r>
      <w:r w:rsidR="00B73D99" w:rsidRPr="00BB0D27">
        <w:rPr>
          <w:noProof/>
        </w:rPr>
        <w:t>obo</w:t>
      </w:r>
      <w:r w:rsidR="0080224A" w:rsidRPr="00BB0D27">
        <w:rPr>
          <w:noProof/>
        </w:rPr>
        <w:t>wiązku naprawy powinny mieć zatem zastosowanie do umów</w:t>
      </w:r>
      <w:r w:rsidR="00B73D99" w:rsidRPr="00BB0D27">
        <w:rPr>
          <w:noProof/>
        </w:rPr>
        <w:t xml:space="preserve"> o</w:t>
      </w:r>
      <w:r w:rsidR="00B73D99">
        <w:rPr>
          <w:noProof/>
        </w:rPr>
        <w:t> </w:t>
      </w:r>
      <w:r w:rsidR="00B73D99" w:rsidRPr="00BB0D27">
        <w:rPr>
          <w:noProof/>
        </w:rPr>
        <w:t>świ</w:t>
      </w:r>
      <w:r w:rsidR="0080224A" w:rsidRPr="00BB0D27">
        <w:rPr>
          <w:noProof/>
        </w:rPr>
        <w:t>adczenie usług naprawczych zawartych po [24 miesiące po wejściu</w:t>
      </w:r>
      <w:r w:rsidR="00B73D99" w:rsidRPr="00BB0D27">
        <w:rPr>
          <w:noProof/>
        </w:rPr>
        <w:t xml:space="preserve"> w</w:t>
      </w:r>
      <w:r w:rsidR="00B73D99">
        <w:rPr>
          <w:noProof/>
        </w:rPr>
        <w:t> </w:t>
      </w:r>
      <w:r w:rsidR="00B73D99" w:rsidRPr="00BB0D27">
        <w:rPr>
          <w:noProof/>
        </w:rPr>
        <w:t>życ</w:t>
      </w:r>
      <w:r w:rsidR="0080224A" w:rsidRPr="00BB0D27">
        <w:rPr>
          <w:noProof/>
        </w:rPr>
        <w:t>ie]</w:t>
      </w:r>
      <w:r w:rsidR="00B73D99" w:rsidRPr="00BB0D27">
        <w:rPr>
          <w:noProof/>
        </w:rPr>
        <w:t>. W</w:t>
      </w:r>
      <w:r w:rsidR="00B73D99">
        <w:rPr>
          <w:noProof/>
        </w:rPr>
        <w:t> </w:t>
      </w:r>
      <w:r w:rsidR="00B73D99" w:rsidRPr="00BB0D27">
        <w:rPr>
          <w:noProof/>
        </w:rPr>
        <w:t>cel</w:t>
      </w:r>
      <w:r w:rsidR="0080224A" w:rsidRPr="00BB0D27">
        <w:rPr>
          <w:noProof/>
        </w:rPr>
        <w:t>u zapewnienia pewności prawa</w:t>
      </w:r>
      <w:r w:rsidR="00B73D99" w:rsidRPr="00BB0D27">
        <w:rPr>
          <w:noProof/>
        </w:rPr>
        <w:t xml:space="preserve"> i</w:t>
      </w:r>
      <w:r w:rsidR="00B73D99">
        <w:rPr>
          <w:noProof/>
        </w:rPr>
        <w:t> </w:t>
      </w:r>
      <w:r w:rsidR="00B73D99" w:rsidRPr="00BB0D27">
        <w:rPr>
          <w:noProof/>
        </w:rPr>
        <w:t>zap</w:t>
      </w:r>
      <w:r w:rsidR="0080224A" w:rsidRPr="00BB0D27">
        <w:rPr>
          <w:noProof/>
        </w:rPr>
        <w:t>ewnienia sprzedawcom wystarczająco dużo czasu na dostosowanie się do zmiany środków ochrony prawnej polegających na naprawie</w:t>
      </w:r>
      <w:r w:rsidR="00B73D99" w:rsidRPr="00BB0D27">
        <w:rPr>
          <w:noProof/>
        </w:rPr>
        <w:t xml:space="preserve"> i</w:t>
      </w:r>
      <w:r w:rsidR="00B73D99">
        <w:rPr>
          <w:noProof/>
        </w:rPr>
        <w:t> </w:t>
      </w:r>
      <w:r w:rsidR="00B73D99" w:rsidRPr="00BB0D27">
        <w:rPr>
          <w:noProof/>
        </w:rPr>
        <w:t>wym</w:t>
      </w:r>
      <w:r w:rsidR="0080224A" w:rsidRPr="00BB0D27">
        <w:rPr>
          <w:noProof/>
        </w:rPr>
        <w:t>ianie zmiana dyrektywy (UE) 2019/771 powinna mieć zastosowanie wyłącznie do umów sprzedaży zawartych po [24 miesiące po wejściu</w:t>
      </w:r>
      <w:r w:rsidR="00B73D99" w:rsidRPr="00BB0D27">
        <w:rPr>
          <w:noProof/>
        </w:rPr>
        <w:t xml:space="preserve"> w</w:t>
      </w:r>
      <w:r w:rsidR="00B73D99">
        <w:rPr>
          <w:noProof/>
        </w:rPr>
        <w:t> </w:t>
      </w:r>
      <w:r w:rsidR="00B73D99" w:rsidRPr="00BB0D27">
        <w:rPr>
          <w:noProof/>
        </w:rPr>
        <w:t>życ</w:t>
      </w:r>
      <w:r w:rsidR="0080224A" w:rsidRPr="00BB0D27">
        <w:rPr>
          <w:noProof/>
        </w:rPr>
        <w:t>ie]. </w:t>
      </w:r>
    </w:p>
    <w:p w:rsidR="0080224A" w:rsidRPr="00BB0D27" w:rsidRDefault="001C4EB9" w:rsidP="001C4EB9">
      <w:pPr>
        <w:pStyle w:val="ManualConsidrant"/>
        <w:rPr>
          <w:noProof/>
        </w:rPr>
      </w:pPr>
      <w:r w:rsidRPr="001C4EB9">
        <w:t>(31)</w:t>
      </w:r>
      <w:r w:rsidRPr="001C4EB9">
        <w:tab/>
      </w:r>
      <w:r w:rsidR="0080224A" w:rsidRPr="00BB0D27">
        <w:rPr>
          <w:noProof/>
        </w:rPr>
        <w:t>Zgodnie ze wspólną deklaracją polityczną państw członkowskich</w:t>
      </w:r>
      <w:r w:rsidR="00B73D99" w:rsidRPr="00BB0D27">
        <w:rPr>
          <w:noProof/>
        </w:rPr>
        <w:t xml:space="preserve"> i</w:t>
      </w:r>
      <w:r w:rsidR="00B73D99">
        <w:rPr>
          <w:noProof/>
        </w:rPr>
        <w:t> </w:t>
      </w:r>
      <w:r w:rsidR="00B73D99" w:rsidRPr="00BB0D27">
        <w:rPr>
          <w:noProof/>
        </w:rPr>
        <w:t>Kom</w:t>
      </w:r>
      <w:r w:rsidR="0080224A" w:rsidRPr="00BB0D27">
        <w:rPr>
          <w:noProof/>
        </w:rPr>
        <w:t>isji</w:t>
      </w:r>
      <w:r w:rsidR="00B73D99" w:rsidRPr="00BB0D27">
        <w:rPr>
          <w:noProof/>
        </w:rPr>
        <w:t xml:space="preserve"> z</w:t>
      </w:r>
      <w:r w:rsidR="00B73D99">
        <w:rPr>
          <w:noProof/>
        </w:rPr>
        <w:t> </w:t>
      </w:r>
      <w:r w:rsidR="00B73D99" w:rsidRPr="00BB0D27">
        <w:rPr>
          <w:noProof/>
        </w:rPr>
        <w:t>dni</w:t>
      </w:r>
      <w:r w:rsidR="0080224A" w:rsidRPr="00BB0D27">
        <w:rPr>
          <w:noProof/>
        </w:rPr>
        <w:t>a 28 września 20</w:t>
      </w:r>
      <w:r w:rsidR="0080224A" w:rsidRPr="00B73D99">
        <w:rPr>
          <w:noProof/>
        </w:rPr>
        <w:t>11</w:t>
      </w:r>
      <w:r w:rsidR="00B73D99" w:rsidRPr="00B73D99">
        <w:rPr>
          <w:noProof/>
        </w:rPr>
        <w:t> </w:t>
      </w:r>
      <w:r w:rsidR="0080224A" w:rsidRPr="00B73D99">
        <w:rPr>
          <w:noProof/>
        </w:rPr>
        <w:t>r.</w:t>
      </w:r>
      <w:r w:rsidR="0080224A" w:rsidRPr="00BB0D27">
        <w:rPr>
          <w:noProof/>
        </w:rPr>
        <w:t xml:space="preserve"> dotyczącą dokumentów wyjaśniających</w:t>
      </w:r>
      <w:r w:rsidR="0080224A" w:rsidRPr="00BB0D27">
        <w:rPr>
          <w:noProof/>
          <w:vertAlign w:val="superscript"/>
        </w:rPr>
        <w:t>18</w:t>
      </w:r>
      <w:r w:rsidR="0080224A" w:rsidRPr="00BB0D27">
        <w:rPr>
          <w:noProof/>
        </w:rPr>
        <w:t xml:space="preserve"> państwa członkowskie zobowiązały się do złożenia,</w:t>
      </w:r>
      <w:r w:rsidR="00B73D99" w:rsidRPr="00BB0D27">
        <w:rPr>
          <w:noProof/>
        </w:rPr>
        <w:t xml:space="preserve"> w</w:t>
      </w:r>
      <w:r w:rsidR="00B73D99">
        <w:rPr>
          <w:noProof/>
        </w:rPr>
        <w:t> </w:t>
      </w:r>
      <w:r w:rsidR="00B73D99" w:rsidRPr="00BB0D27">
        <w:rPr>
          <w:noProof/>
        </w:rPr>
        <w:t>uza</w:t>
      </w:r>
      <w:r w:rsidR="0080224A" w:rsidRPr="00BB0D27">
        <w:rPr>
          <w:noProof/>
        </w:rPr>
        <w:t>sadnionych przypadkach, wraz</w:t>
      </w:r>
      <w:r w:rsidR="00B73D99" w:rsidRPr="00BB0D27">
        <w:rPr>
          <w:noProof/>
        </w:rPr>
        <w:t xml:space="preserve"> z</w:t>
      </w:r>
      <w:r w:rsidR="00B73D99">
        <w:rPr>
          <w:noProof/>
        </w:rPr>
        <w:t> </w:t>
      </w:r>
      <w:r w:rsidR="00B73D99" w:rsidRPr="00BB0D27">
        <w:rPr>
          <w:noProof/>
        </w:rPr>
        <w:t>pow</w:t>
      </w:r>
      <w:r w:rsidR="0080224A" w:rsidRPr="00BB0D27">
        <w:rPr>
          <w:noProof/>
        </w:rPr>
        <w:t>iadomieniem</w:t>
      </w:r>
      <w:r w:rsidR="00B73D99" w:rsidRPr="00BB0D27">
        <w:rPr>
          <w:noProof/>
        </w:rPr>
        <w:t xml:space="preserve"> o</w:t>
      </w:r>
      <w:r w:rsidR="00B73D99">
        <w:rPr>
          <w:noProof/>
        </w:rPr>
        <w:t> </w:t>
      </w:r>
      <w:r w:rsidR="00B73D99" w:rsidRPr="00BB0D27">
        <w:rPr>
          <w:noProof/>
        </w:rPr>
        <w:t>tra</w:t>
      </w:r>
      <w:r w:rsidR="0080224A" w:rsidRPr="00BB0D27">
        <w:rPr>
          <w:noProof/>
        </w:rPr>
        <w:t>nspozycji, jednego lub większej liczby dokumentów wyjaśniających związki między elementami dyrektywy</w:t>
      </w:r>
      <w:r w:rsidR="00B73D99" w:rsidRPr="00BB0D27">
        <w:rPr>
          <w:noProof/>
        </w:rPr>
        <w:t xml:space="preserve"> a</w:t>
      </w:r>
      <w:r w:rsidR="00B73D99">
        <w:rPr>
          <w:noProof/>
        </w:rPr>
        <w:t> </w:t>
      </w:r>
      <w:r w:rsidR="00B73D99" w:rsidRPr="00BB0D27">
        <w:rPr>
          <w:noProof/>
        </w:rPr>
        <w:t>odp</w:t>
      </w:r>
      <w:r w:rsidR="0080224A" w:rsidRPr="00BB0D27">
        <w:rPr>
          <w:noProof/>
        </w:rPr>
        <w:t>owiadającymi im częściami krajowych instrumentów transpozycyjnych</w:t>
      </w:r>
      <w:r w:rsidR="00B73D99" w:rsidRPr="00BB0D27">
        <w:rPr>
          <w:noProof/>
        </w:rPr>
        <w:t>. W</w:t>
      </w:r>
      <w:r w:rsidR="00B73D99">
        <w:rPr>
          <w:noProof/>
        </w:rPr>
        <w:t> </w:t>
      </w:r>
      <w:r w:rsidR="00B73D99" w:rsidRPr="00BB0D27">
        <w:rPr>
          <w:noProof/>
        </w:rPr>
        <w:t>odn</w:t>
      </w:r>
      <w:r w:rsidR="0080224A" w:rsidRPr="00BB0D27">
        <w:rPr>
          <w:noProof/>
        </w:rPr>
        <w:t>iesieniu do niniejszej dyrektywy prawodawca uznaje, że przekazanie takich dokumentów jest uzasadnione. </w:t>
      </w:r>
    </w:p>
    <w:p w:rsidR="0080224A" w:rsidRPr="00BB0D27" w:rsidRDefault="001C4EB9" w:rsidP="001C4EB9">
      <w:pPr>
        <w:pStyle w:val="ManualConsidrant"/>
        <w:rPr>
          <w:noProof/>
        </w:rPr>
      </w:pPr>
      <w:r w:rsidRPr="001C4EB9">
        <w:t>(32)</w:t>
      </w:r>
      <w:r w:rsidRPr="001C4EB9">
        <w:tab/>
      </w:r>
      <w:r w:rsidR="0080224A" w:rsidRPr="00BB0D27">
        <w:rPr>
          <w:noProof/>
        </w:rPr>
        <w:t>Państwa członkowskie nie są</w:t>
      </w:r>
      <w:r w:rsidR="00B73D99" w:rsidRPr="00BB0D27">
        <w:rPr>
          <w:noProof/>
        </w:rPr>
        <w:t xml:space="preserve"> w</w:t>
      </w:r>
      <w:r w:rsidR="00B73D99">
        <w:rPr>
          <w:noProof/>
        </w:rPr>
        <w:t> </w:t>
      </w:r>
      <w:r w:rsidR="00B73D99" w:rsidRPr="00BB0D27">
        <w:rPr>
          <w:noProof/>
        </w:rPr>
        <w:t>sta</w:t>
      </w:r>
      <w:r w:rsidR="0080224A" w:rsidRPr="00BB0D27">
        <w:rPr>
          <w:noProof/>
        </w:rPr>
        <w:t>nie</w:t>
      </w:r>
      <w:r w:rsidR="00B73D99" w:rsidRPr="00BB0D27">
        <w:rPr>
          <w:noProof/>
        </w:rPr>
        <w:t xml:space="preserve"> w</w:t>
      </w:r>
      <w:r w:rsidR="00B73D99">
        <w:rPr>
          <w:noProof/>
        </w:rPr>
        <w:t> </w:t>
      </w:r>
      <w:r w:rsidR="00B73D99" w:rsidRPr="00BB0D27">
        <w:rPr>
          <w:noProof/>
        </w:rPr>
        <w:t>wys</w:t>
      </w:r>
      <w:r w:rsidR="0080224A" w:rsidRPr="00BB0D27">
        <w:rPr>
          <w:noProof/>
        </w:rPr>
        <w:t>tarczającym stopniu osiągnąć celu polegającego na propagowaniu naprawy towarów nabywanych przez konsumentów</w:t>
      </w:r>
      <w:r w:rsidR="00B73D99" w:rsidRPr="00BB0D27">
        <w:rPr>
          <w:noProof/>
        </w:rPr>
        <w:t xml:space="preserve"> i</w:t>
      </w:r>
      <w:r w:rsidR="00B73D99">
        <w:rPr>
          <w:noProof/>
        </w:rPr>
        <w:t> </w:t>
      </w:r>
      <w:r w:rsidR="00B73D99" w:rsidRPr="00BB0D27">
        <w:rPr>
          <w:noProof/>
        </w:rPr>
        <w:t>słu</w:t>
      </w:r>
      <w:r w:rsidR="0080224A" w:rsidRPr="00BB0D27">
        <w:rPr>
          <w:noProof/>
        </w:rPr>
        <w:t>żącego wniesieniu wkładu</w:t>
      </w:r>
      <w:r w:rsidR="00B73D99" w:rsidRPr="00BB0D27">
        <w:rPr>
          <w:noProof/>
        </w:rPr>
        <w:t xml:space="preserve"> w</w:t>
      </w:r>
      <w:r w:rsidR="00B73D99">
        <w:rPr>
          <w:noProof/>
        </w:rPr>
        <w:t> </w:t>
      </w:r>
      <w:r w:rsidR="00B73D99" w:rsidRPr="00BB0D27">
        <w:rPr>
          <w:noProof/>
        </w:rPr>
        <w:t>pra</w:t>
      </w:r>
      <w:r w:rsidR="0080224A" w:rsidRPr="00BB0D27">
        <w:rPr>
          <w:noProof/>
        </w:rPr>
        <w:t>widłowe funkcjonowanie rynku wewnętrznego przy jednoczesnym zapewnieniu wysokiego poziomu ochrony środowiska</w:t>
      </w:r>
      <w:r w:rsidR="00B73D99" w:rsidRPr="00BB0D27">
        <w:rPr>
          <w:noProof/>
        </w:rPr>
        <w:t xml:space="preserve"> i</w:t>
      </w:r>
      <w:r w:rsidR="00B73D99">
        <w:rPr>
          <w:noProof/>
        </w:rPr>
        <w:t> </w:t>
      </w:r>
      <w:r w:rsidR="00B73D99" w:rsidRPr="00BB0D27">
        <w:rPr>
          <w:noProof/>
        </w:rPr>
        <w:t>kon</w:t>
      </w:r>
      <w:r w:rsidR="0080224A" w:rsidRPr="00BB0D27">
        <w:rPr>
          <w:noProof/>
        </w:rPr>
        <w:t>sumentów. Przyjmowane na szczeblu krajowym bezwzględnie obowiązujące przepisy dotyczące propagowania zrównoważonej konsumpcji poprzez naprawianie wad wykraczających poza zakres dyrektywy (UE) 2019/771 będą prawdopodobnie niespójne, co doprowadzi do fragmentacji rynku wewnętrznego. Państwa członkowskie nie mogą wprowadzać zmian do</w:t>
      </w:r>
      <w:r w:rsidR="00B73D99" w:rsidRPr="00BB0D27">
        <w:rPr>
          <w:noProof/>
        </w:rPr>
        <w:t xml:space="preserve"> w</w:t>
      </w:r>
      <w:r w:rsidR="00B73D99">
        <w:rPr>
          <w:noProof/>
        </w:rPr>
        <w:t> </w:t>
      </w:r>
      <w:r w:rsidR="00B73D99" w:rsidRPr="00BB0D27">
        <w:rPr>
          <w:noProof/>
        </w:rPr>
        <w:t>peł</w:t>
      </w:r>
      <w:r w:rsidR="0080224A" w:rsidRPr="00BB0D27">
        <w:rPr>
          <w:noProof/>
        </w:rPr>
        <w:t>ni zharmonizowanych przepisów dotyczących wad</w:t>
      </w:r>
      <w:r w:rsidR="00B73D99" w:rsidRPr="00BB0D27">
        <w:rPr>
          <w:noProof/>
        </w:rPr>
        <w:t xml:space="preserve"> w</w:t>
      </w:r>
      <w:r w:rsidR="00B73D99">
        <w:rPr>
          <w:noProof/>
        </w:rPr>
        <w:t> </w:t>
      </w:r>
      <w:r w:rsidR="00B73D99" w:rsidRPr="00BB0D27">
        <w:rPr>
          <w:noProof/>
        </w:rPr>
        <w:t>ram</w:t>
      </w:r>
      <w:r w:rsidR="0080224A" w:rsidRPr="00BB0D27">
        <w:rPr>
          <w:noProof/>
        </w:rPr>
        <w:t>ach odpowiedzialności sprzedawcy określonej</w:t>
      </w:r>
      <w:r w:rsidR="00B73D99" w:rsidRPr="00BB0D27">
        <w:rPr>
          <w:noProof/>
        </w:rPr>
        <w:t xml:space="preserve"> w</w:t>
      </w:r>
      <w:r w:rsidR="00B73D99">
        <w:rPr>
          <w:noProof/>
        </w:rPr>
        <w:t> </w:t>
      </w:r>
      <w:r w:rsidR="00B73D99" w:rsidRPr="00BB0D27">
        <w:rPr>
          <w:noProof/>
        </w:rPr>
        <w:t>dyr</w:t>
      </w:r>
      <w:r w:rsidR="0080224A" w:rsidRPr="00BB0D27">
        <w:rPr>
          <w:noProof/>
        </w:rPr>
        <w:t>ektywie (UE) 2019/771. Cel niniejszej dyrektywy –</w:t>
      </w:r>
      <w:r w:rsidR="00B73D99" w:rsidRPr="00BB0D27">
        <w:rPr>
          <w:noProof/>
        </w:rPr>
        <w:t xml:space="preserve"> z</w:t>
      </w:r>
      <w:r w:rsidR="00B73D99">
        <w:rPr>
          <w:noProof/>
        </w:rPr>
        <w:t> </w:t>
      </w:r>
      <w:r w:rsidR="00B73D99" w:rsidRPr="00BB0D27">
        <w:rPr>
          <w:noProof/>
        </w:rPr>
        <w:t>uwa</w:t>
      </w:r>
      <w:r w:rsidR="0080224A" w:rsidRPr="00BB0D27">
        <w:rPr>
          <w:noProof/>
        </w:rPr>
        <w:t>gi na zakres jej oddziaływania</w:t>
      </w:r>
      <w:r w:rsidR="00B73D99" w:rsidRPr="00BB0D27">
        <w:rPr>
          <w:noProof/>
        </w:rPr>
        <w:t xml:space="preserve"> i</w:t>
      </w:r>
      <w:r w:rsidR="00B73D99">
        <w:rPr>
          <w:noProof/>
        </w:rPr>
        <w:t> </w:t>
      </w:r>
      <w:r w:rsidR="00B73D99" w:rsidRPr="00BB0D27">
        <w:rPr>
          <w:noProof/>
        </w:rPr>
        <w:t>wyw</w:t>
      </w:r>
      <w:r w:rsidR="0080224A" w:rsidRPr="00BB0D27">
        <w:rPr>
          <w:noProof/>
        </w:rPr>
        <w:t>ierane przez nią skutki – można lepiej osiągnąć na szczeblu Unii poprzez</w:t>
      </w:r>
      <w:r w:rsidR="00B73D99" w:rsidRPr="00BB0D27">
        <w:rPr>
          <w:noProof/>
        </w:rPr>
        <w:t xml:space="preserve"> w</w:t>
      </w:r>
      <w:r w:rsidR="00B73D99">
        <w:rPr>
          <w:noProof/>
        </w:rPr>
        <w:t> </w:t>
      </w:r>
      <w:r w:rsidR="00B73D99" w:rsidRPr="00BB0D27">
        <w:rPr>
          <w:noProof/>
        </w:rPr>
        <w:t>peł</w:t>
      </w:r>
      <w:r w:rsidR="0080224A" w:rsidRPr="00BB0D27">
        <w:rPr>
          <w:noProof/>
        </w:rPr>
        <w:t>ni zharmonizowane wspólne przepisy promujące naprawę towarów</w:t>
      </w:r>
      <w:r w:rsidR="00B73D99" w:rsidRPr="00BB0D27">
        <w:rPr>
          <w:noProof/>
        </w:rPr>
        <w:t xml:space="preserve"> w</w:t>
      </w:r>
      <w:r w:rsidR="00B73D99">
        <w:rPr>
          <w:noProof/>
        </w:rPr>
        <w:t> </w:t>
      </w:r>
      <w:r w:rsidR="00B73D99" w:rsidRPr="00BB0D27">
        <w:rPr>
          <w:noProof/>
        </w:rPr>
        <w:t>ram</w:t>
      </w:r>
      <w:r w:rsidR="0080224A" w:rsidRPr="00BB0D27">
        <w:rPr>
          <w:noProof/>
        </w:rPr>
        <w:t>ach odpowiedzialności sprzedawcy określonej</w:t>
      </w:r>
      <w:r w:rsidR="00B73D99" w:rsidRPr="00BB0D27">
        <w:rPr>
          <w:noProof/>
        </w:rPr>
        <w:t xml:space="preserve"> w</w:t>
      </w:r>
      <w:r w:rsidR="00B73D99">
        <w:rPr>
          <w:noProof/>
        </w:rPr>
        <w:t> </w:t>
      </w:r>
      <w:r w:rsidR="00B73D99" w:rsidRPr="00BB0D27">
        <w:rPr>
          <w:noProof/>
        </w:rPr>
        <w:t>dyr</w:t>
      </w:r>
      <w:r w:rsidR="0080224A" w:rsidRPr="00BB0D27">
        <w:rPr>
          <w:noProof/>
        </w:rPr>
        <w:t>ektywie (UE) 2019/771 oraz naprawę wykraczającą poza zakres tej odpowiedzialności. Unia może zatem podjąć działania zgodnie</w:t>
      </w:r>
      <w:r w:rsidR="00B73D99" w:rsidRPr="00BB0D27">
        <w:rPr>
          <w:noProof/>
        </w:rPr>
        <w:t xml:space="preserve"> z</w:t>
      </w:r>
      <w:r w:rsidR="00B73D99">
        <w:rPr>
          <w:noProof/>
        </w:rPr>
        <w:t> </w:t>
      </w:r>
      <w:r w:rsidR="00B73D99" w:rsidRPr="00BB0D27">
        <w:rPr>
          <w:noProof/>
        </w:rPr>
        <w:t>zas</w:t>
      </w:r>
      <w:r w:rsidR="0080224A" w:rsidRPr="00BB0D27">
        <w:rPr>
          <w:noProof/>
        </w:rPr>
        <w:t>adą pomocniczości określoną</w:t>
      </w:r>
      <w:r w:rsidR="00B73D99" w:rsidRPr="00BB0D27">
        <w:rPr>
          <w:noProof/>
        </w:rPr>
        <w:t xml:space="preserve"> w</w:t>
      </w:r>
      <w:r w:rsidR="00B73D99">
        <w:rPr>
          <w:noProof/>
        </w:rPr>
        <w:t> </w:t>
      </w:r>
      <w:r w:rsidR="00B73D99" w:rsidRPr="00B73D99">
        <w:rPr>
          <w:noProof/>
        </w:rPr>
        <w:t>art</w:t>
      </w:r>
      <w:r w:rsidR="0080224A" w:rsidRPr="00B73D99">
        <w:rPr>
          <w:noProof/>
        </w:rPr>
        <w:t>.</w:t>
      </w:r>
      <w:r w:rsidR="00B73D99" w:rsidRPr="00B73D99">
        <w:rPr>
          <w:noProof/>
        </w:rPr>
        <w:t> </w:t>
      </w:r>
      <w:r w:rsidR="0080224A" w:rsidRPr="00B73D99">
        <w:rPr>
          <w:noProof/>
        </w:rPr>
        <w:t>5</w:t>
      </w:r>
      <w:r w:rsidR="0080224A" w:rsidRPr="00BB0D27">
        <w:rPr>
          <w:noProof/>
        </w:rPr>
        <w:t xml:space="preserve"> Traktatu</w:t>
      </w:r>
      <w:r w:rsidR="00B73D99" w:rsidRPr="00BB0D27">
        <w:rPr>
          <w:noProof/>
        </w:rPr>
        <w:t xml:space="preserve"> o</w:t>
      </w:r>
      <w:r w:rsidR="00B73D99">
        <w:rPr>
          <w:noProof/>
        </w:rPr>
        <w:t> </w:t>
      </w:r>
      <w:r w:rsidR="00B73D99" w:rsidRPr="00BB0D27">
        <w:rPr>
          <w:noProof/>
        </w:rPr>
        <w:t>Uni</w:t>
      </w:r>
      <w:r w:rsidR="0080224A" w:rsidRPr="00BB0D27">
        <w:rPr>
          <w:noProof/>
        </w:rPr>
        <w:t>i Europejskiej. Zgodnie</w:t>
      </w:r>
      <w:r w:rsidR="00B73D99" w:rsidRPr="00BB0D27">
        <w:rPr>
          <w:noProof/>
        </w:rPr>
        <w:t xml:space="preserve"> z</w:t>
      </w:r>
      <w:r w:rsidR="00B73D99">
        <w:rPr>
          <w:noProof/>
        </w:rPr>
        <w:t> </w:t>
      </w:r>
      <w:r w:rsidR="00B73D99" w:rsidRPr="00BB0D27">
        <w:rPr>
          <w:noProof/>
        </w:rPr>
        <w:t>zas</w:t>
      </w:r>
      <w:r w:rsidR="0080224A" w:rsidRPr="00BB0D27">
        <w:rPr>
          <w:noProof/>
        </w:rPr>
        <w:t>adą proporcjonalności określoną</w:t>
      </w:r>
      <w:r w:rsidR="00B73D99" w:rsidRPr="00BB0D27">
        <w:rPr>
          <w:noProof/>
        </w:rPr>
        <w:t xml:space="preserve"> w</w:t>
      </w:r>
      <w:r w:rsidR="00B73D99">
        <w:rPr>
          <w:noProof/>
        </w:rPr>
        <w:t> </w:t>
      </w:r>
      <w:r w:rsidR="00B73D99" w:rsidRPr="00BB0D27">
        <w:rPr>
          <w:noProof/>
        </w:rPr>
        <w:t>tym</w:t>
      </w:r>
      <w:r w:rsidR="0080224A" w:rsidRPr="00BB0D27">
        <w:rPr>
          <w:noProof/>
        </w:rPr>
        <w:t xml:space="preserve"> artykule niniejsza dyrektywa nie wykracza poza to, co jest konieczne do osiągnięcia tych celów. </w:t>
      </w:r>
    </w:p>
    <w:p w:rsidR="00B87768" w:rsidRPr="00BB0D27" w:rsidRDefault="001C4EB9" w:rsidP="001C4EB9">
      <w:pPr>
        <w:pStyle w:val="ManualConsidrant"/>
        <w:rPr>
          <w:noProof/>
        </w:rPr>
      </w:pPr>
      <w:r w:rsidRPr="001C4EB9">
        <w:t>(33)</w:t>
      </w:r>
      <w:r w:rsidRPr="001C4EB9">
        <w:tab/>
      </w:r>
      <w:r w:rsidR="0080224A" w:rsidRPr="00BB0D27">
        <w:rPr>
          <w:noProof/>
        </w:rPr>
        <w:t>Niniejsza dyrektywa nie narusza praw podstawowych</w:t>
      </w:r>
      <w:r w:rsidR="00B73D99" w:rsidRPr="00BB0D27">
        <w:rPr>
          <w:noProof/>
        </w:rPr>
        <w:t xml:space="preserve"> i</w:t>
      </w:r>
      <w:r w:rsidR="00B73D99">
        <w:rPr>
          <w:noProof/>
        </w:rPr>
        <w:t> </w:t>
      </w:r>
      <w:r w:rsidR="00B73D99" w:rsidRPr="00BB0D27">
        <w:rPr>
          <w:noProof/>
        </w:rPr>
        <w:t>pod</w:t>
      </w:r>
      <w:r w:rsidR="0080224A" w:rsidRPr="00BB0D27">
        <w:rPr>
          <w:noProof/>
        </w:rPr>
        <w:t>stawowych wolności,</w:t>
      </w:r>
      <w:r w:rsidR="00B73D99" w:rsidRPr="00BB0D27">
        <w:rPr>
          <w:noProof/>
        </w:rPr>
        <w:t xml:space="preserve"> a</w:t>
      </w:r>
      <w:r w:rsidR="00B73D99">
        <w:rPr>
          <w:noProof/>
        </w:rPr>
        <w:t> </w:t>
      </w:r>
      <w:r w:rsidR="00B73D99" w:rsidRPr="00BB0D27">
        <w:rPr>
          <w:noProof/>
        </w:rPr>
        <w:t>jej</w:t>
      </w:r>
      <w:r w:rsidR="0080224A" w:rsidRPr="00BB0D27">
        <w:rPr>
          <w:noProof/>
        </w:rPr>
        <w:t xml:space="preserve"> celem jest zapewnienie</w:t>
      </w:r>
      <w:r w:rsidR="00B73D99" w:rsidRPr="00BB0D27">
        <w:rPr>
          <w:noProof/>
        </w:rPr>
        <w:t xml:space="preserve"> w</w:t>
      </w:r>
      <w:r w:rsidR="00B73D99">
        <w:rPr>
          <w:noProof/>
        </w:rPr>
        <w:t> </w:t>
      </w:r>
      <w:r w:rsidR="00B73D99" w:rsidRPr="00BB0D27">
        <w:rPr>
          <w:noProof/>
        </w:rPr>
        <w:t>szc</w:t>
      </w:r>
      <w:r w:rsidR="0080224A" w:rsidRPr="00BB0D27">
        <w:rPr>
          <w:noProof/>
        </w:rPr>
        <w:t xml:space="preserve">zególności pełnego poszanowania przepisów </w:t>
      </w:r>
      <w:r w:rsidR="0080224A" w:rsidRPr="00B73D99">
        <w:rPr>
          <w:noProof/>
        </w:rPr>
        <w:t>art.</w:t>
      </w:r>
      <w:r w:rsidR="00B73D99" w:rsidRPr="00B73D99">
        <w:rPr>
          <w:noProof/>
        </w:rPr>
        <w:t> </w:t>
      </w:r>
      <w:r w:rsidR="0080224A" w:rsidRPr="00B73D99">
        <w:rPr>
          <w:noProof/>
        </w:rPr>
        <w:t>1</w:t>
      </w:r>
      <w:r w:rsidR="0080224A" w:rsidRPr="00BB0D27">
        <w:rPr>
          <w:noProof/>
        </w:rPr>
        <w:t>6, 26, 37, 38</w:t>
      </w:r>
      <w:r w:rsidR="00B73D99" w:rsidRPr="00BB0D27">
        <w:rPr>
          <w:noProof/>
        </w:rPr>
        <w:t xml:space="preserve"> i</w:t>
      </w:r>
      <w:r w:rsidR="00B73D99">
        <w:rPr>
          <w:noProof/>
        </w:rPr>
        <w:t> </w:t>
      </w:r>
      <w:r w:rsidR="00B73D99" w:rsidRPr="00BB0D27">
        <w:rPr>
          <w:noProof/>
        </w:rPr>
        <w:t>4</w:t>
      </w:r>
      <w:r w:rsidR="0080224A" w:rsidRPr="00BB0D27">
        <w:rPr>
          <w:noProof/>
        </w:rPr>
        <w:t>7 Karty praw podstawowych Unii Europejskiej. Przyczynia się ona do poprawy jakości środowiska zgodnie</w:t>
      </w:r>
      <w:r w:rsidR="00B73D99" w:rsidRPr="00BB0D27">
        <w:rPr>
          <w:noProof/>
        </w:rPr>
        <w:t xml:space="preserve"> z</w:t>
      </w:r>
      <w:r w:rsidR="00B73D99">
        <w:rPr>
          <w:noProof/>
        </w:rPr>
        <w:t> </w:t>
      </w:r>
      <w:r w:rsidR="00B73D99" w:rsidRPr="00B73D99">
        <w:rPr>
          <w:noProof/>
        </w:rPr>
        <w:t>art</w:t>
      </w:r>
      <w:r w:rsidR="0080224A" w:rsidRPr="00B73D99">
        <w:rPr>
          <w:noProof/>
        </w:rPr>
        <w:t>.</w:t>
      </w:r>
      <w:r w:rsidR="00B73D99" w:rsidRPr="00B73D99">
        <w:rPr>
          <w:noProof/>
        </w:rPr>
        <w:t> </w:t>
      </w:r>
      <w:r w:rsidR="0080224A" w:rsidRPr="00B73D99">
        <w:rPr>
          <w:noProof/>
        </w:rPr>
        <w:t>3</w:t>
      </w:r>
      <w:r w:rsidR="0080224A" w:rsidRPr="00BB0D27">
        <w:rPr>
          <w:noProof/>
        </w:rPr>
        <w:t>7 Karty praw podstawowych Unii Europejskiej poprzez propagowanie zrównoważonej konsumpcji towarów,</w:t>
      </w:r>
      <w:r w:rsidR="00B73D99" w:rsidRPr="00BB0D27">
        <w:rPr>
          <w:noProof/>
        </w:rPr>
        <w:t xml:space="preserve"> a</w:t>
      </w:r>
      <w:r w:rsidR="00B73D99">
        <w:rPr>
          <w:noProof/>
        </w:rPr>
        <w:t> </w:t>
      </w:r>
      <w:r w:rsidR="00B73D99" w:rsidRPr="00BB0D27">
        <w:rPr>
          <w:noProof/>
        </w:rPr>
        <w:t>tym</w:t>
      </w:r>
      <w:r w:rsidR="0080224A" w:rsidRPr="00BB0D27">
        <w:rPr>
          <w:noProof/>
        </w:rPr>
        <w:t xml:space="preserve"> samym ograniczanie negatywnego wpływu na środowisko wynikającego</w:t>
      </w:r>
      <w:r w:rsidR="00B73D99" w:rsidRPr="00BB0D27">
        <w:rPr>
          <w:noProof/>
        </w:rPr>
        <w:t xml:space="preserve"> z</w:t>
      </w:r>
      <w:r w:rsidR="00B73D99">
        <w:rPr>
          <w:noProof/>
        </w:rPr>
        <w:t> </w:t>
      </w:r>
      <w:r w:rsidR="00B73D99" w:rsidRPr="00BB0D27">
        <w:rPr>
          <w:noProof/>
        </w:rPr>
        <w:t>prz</w:t>
      </w:r>
      <w:r w:rsidR="0080224A" w:rsidRPr="00BB0D27">
        <w:rPr>
          <w:noProof/>
        </w:rPr>
        <w:t xml:space="preserve">edwczesnego pozbywania się funkcjonalnych towarów. Dyrektywa zapewnia pełne poszanowanie przepisów </w:t>
      </w:r>
      <w:r w:rsidR="0080224A" w:rsidRPr="00B73D99">
        <w:rPr>
          <w:noProof/>
        </w:rPr>
        <w:t>art.</w:t>
      </w:r>
      <w:r w:rsidR="00B73D99" w:rsidRPr="00B73D99">
        <w:rPr>
          <w:noProof/>
        </w:rPr>
        <w:t> </w:t>
      </w:r>
      <w:r w:rsidR="0080224A" w:rsidRPr="00B73D99">
        <w:rPr>
          <w:noProof/>
        </w:rPr>
        <w:t>3</w:t>
      </w:r>
      <w:r w:rsidR="0080224A" w:rsidRPr="00BB0D27">
        <w:rPr>
          <w:noProof/>
        </w:rPr>
        <w:t>8 dotyczącego ochrony konsumentów poprzez wzmocnienie praw konsumentów</w:t>
      </w:r>
      <w:r w:rsidR="00B73D99" w:rsidRPr="00BB0D27">
        <w:rPr>
          <w:noProof/>
        </w:rPr>
        <w:t xml:space="preserve"> w</w:t>
      </w:r>
      <w:r w:rsidR="00B73D99">
        <w:rPr>
          <w:noProof/>
        </w:rPr>
        <w:t> </w:t>
      </w:r>
      <w:r w:rsidR="00B73D99" w:rsidRPr="00BB0D27">
        <w:rPr>
          <w:noProof/>
        </w:rPr>
        <w:t>prz</w:t>
      </w:r>
      <w:r w:rsidR="0080224A" w:rsidRPr="00BB0D27">
        <w:rPr>
          <w:noProof/>
        </w:rPr>
        <w:t>ypadku wystąpienia lub ujawnienia wad nieobjętych odpowiedzialnością sprzedawcy określoną</w:t>
      </w:r>
      <w:r w:rsidR="00B73D99" w:rsidRPr="00BB0D27">
        <w:rPr>
          <w:noProof/>
        </w:rPr>
        <w:t xml:space="preserve"> w</w:t>
      </w:r>
      <w:r w:rsidR="00B73D99">
        <w:rPr>
          <w:noProof/>
        </w:rPr>
        <w:t> </w:t>
      </w:r>
      <w:r w:rsidR="00B73D99" w:rsidRPr="00B73D99">
        <w:rPr>
          <w:noProof/>
        </w:rPr>
        <w:t>art</w:t>
      </w:r>
      <w:r w:rsidR="0080224A" w:rsidRPr="00B73D99">
        <w:rPr>
          <w:noProof/>
        </w:rPr>
        <w:t>.</w:t>
      </w:r>
      <w:r w:rsidR="00B73D99" w:rsidRPr="00B73D99">
        <w:rPr>
          <w:noProof/>
        </w:rPr>
        <w:t> </w:t>
      </w:r>
      <w:r w:rsidR="0080224A" w:rsidRPr="00B73D99">
        <w:rPr>
          <w:noProof/>
        </w:rPr>
        <w:t>1</w:t>
      </w:r>
      <w:r w:rsidR="0080224A" w:rsidRPr="00BB0D27">
        <w:rPr>
          <w:noProof/>
        </w:rPr>
        <w:t>0 dyrektywy (UE) 2019/771. Gwarantuje również poszanowanie wolności prowadzenia działalności gospodarczej zgodnie</w:t>
      </w:r>
      <w:r w:rsidR="00B73D99" w:rsidRPr="00BB0D27">
        <w:rPr>
          <w:noProof/>
        </w:rPr>
        <w:t xml:space="preserve"> z</w:t>
      </w:r>
      <w:r w:rsidR="00B73D99">
        <w:rPr>
          <w:noProof/>
        </w:rPr>
        <w:t> </w:t>
      </w:r>
      <w:r w:rsidR="00B73D99" w:rsidRPr="00B73D99">
        <w:rPr>
          <w:noProof/>
        </w:rPr>
        <w:t>art</w:t>
      </w:r>
      <w:r w:rsidR="0080224A" w:rsidRPr="00B73D99">
        <w:rPr>
          <w:noProof/>
        </w:rPr>
        <w:t>.</w:t>
      </w:r>
      <w:r w:rsidR="00B73D99" w:rsidRPr="00B73D99">
        <w:rPr>
          <w:noProof/>
        </w:rPr>
        <w:t> </w:t>
      </w:r>
      <w:r w:rsidR="0080224A" w:rsidRPr="00B73D99">
        <w:rPr>
          <w:noProof/>
        </w:rPr>
        <w:t>1</w:t>
      </w:r>
      <w:r w:rsidR="0080224A" w:rsidRPr="00BB0D27">
        <w:rPr>
          <w:noProof/>
        </w:rPr>
        <w:t>6 Karty praw podstawowych Unii Europejskiej poprzez zapewnienie swobody umów</w:t>
      </w:r>
      <w:r w:rsidR="00B73D99" w:rsidRPr="00BB0D27">
        <w:rPr>
          <w:noProof/>
        </w:rPr>
        <w:t xml:space="preserve"> i</w:t>
      </w:r>
      <w:r w:rsidR="00B73D99">
        <w:rPr>
          <w:noProof/>
        </w:rPr>
        <w:t> </w:t>
      </w:r>
      <w:r w:rsidR="00B73D99" w:rsidRPr="00BB0D27">
        <w:rPr>
          <w:noProof/>
        </w:rPr>
        <w:t>spr</w:t>
      </w:r>
      <w:r w:rsidR="0080224A" w:rsidRPr="00BB0D27">
        <w:rPr>
          <w:noProof/>
        </w:rPr>
        <w:t>zyjanie rozwojowi usług naprawczych na rynku wewnętrznym. Niniejsza dyrektywa przyczynia się do integracji osób niepełnosprawnych zgodnie</w:t>
      </w:r>
      <w:r w:rsidR="00B73D99" w:rsidRPr="00BB0D27">
        <w:rPr>
          <w:noProof/>
        </w:rPr>
        <w:t xml:space="preserve"> z</w:t>
      </w:r>
      <w:r w:rsidR="00B73D99">
        <w:rPr>
          <w:noProof/>
        </w:rPr>
        <w:t> </w:t>
      </w:r>
      <w:r w:rsidR="00B73D99" w:rsidRPr="00B73D99">
        <w:rPr>
          <w:noProof/>
        </w:rPr>
        <w:t>art</w:t>
      </w:r>
      <w:r w:rsidR="0080224A" w:rsidRPr="00B73D99">
        <w:rPr>
          <w:noProof/>
        </w:rPr>
        <w:t>.</w:t>
      </w:r>
      <w:r w:rsidR="00B73D99" w:rsidRPr="00B73D99">
        <w:rPr>
          <w:noProof/>
        </w:rPr>
        <w:t> </w:t>
      </w:r>
      <w:r w:rsidR="0080224A" w:rsidRPr="00B73D99">
        <w:rPr>
          <w:noProof/>
        </w:rPr>
        <w:t>2</w:t>
      </w:r>
      <w:r w:rsidR="0080224A" w:rsidRPr="00BB0D27">
        <w:rPr>
          <w:noProof/>
        </w:rPr>
        <w:t xml:space="preserve">6 Karty praw podstawowych Unii Europejskiej poprzez zapewnienie osobom niepełnosprawnym lepszego dostępu do platformy internetowej. Niniejsza dyrektywa realizuje dążenie do zapewnienia pełnego poszanowania </w:t>
      </w:r>
      <w:r w:rsidR="0080224A" w:rsidRPr="00B73D99">
        <w:rPr>
          <w:noProof/>
        </w:rPr>
        <w:t>art.</w:t>
      </w:r>
      <w:r w:rsidR="00B73D99" w:rsidRPr="00B73D99">
        <w:rPr>
          <w:noProof/>
        </w:rPr>
        <w:t> </w:t>
      </w:r>
      <w:r w:rsidR="0080224A" w:rsidRPr="00B73D99">
        <w:rPr>
          <w:noProof/>
        </w:rPr>
        <w:t>4</w:t>
      </w:r>
      <w:r w:rsidR="0080224A" w:rsidRPr="00BB0D27">
        <w:rPr>
          <w:noProof/>
        </w:rPr>
        <w:t>7 Karty dotyczącego prawa do skutecznego środka prawnego</w:t>
      </w:r>
      <w:r w:rsidR="00B73D99" w:rsidRPr="00BB0D27">
        <w:rPr>
          <w:noProof/>
        </w:rPr>
        <w:t xml:space="preserve"> i</w:t>
      </w:r>
      <w:r w:rsidR="00B73D99">
        <w:rPr>
          <w:noProof/>
        </w:rPr>
        <w:t> </w:t>
      </w:r>
      <w:r w:rsidR="00B73D99" w:rsidRPr="00BB0D27">
        <w:rPr>
          <w:noProof/>
        </w:rPr>
        <w:t>dos</w:t>
      </w:r>
      <w:r w:rsidR="0080224A" w:rsidRPr="00BB0D27">
        <w:rPr>
          <w:noProof/>
        </w:rPr>
        <w:t>tępu do bezstronnego sądu poprzez ustanowienie skutecz</w:t>
      </w:r>
      <w:r w:rsidR="00BB0D27">
        <w:rPr>
          <w:noProof/>
        </w:rPr>
        <w:t>nych środków egzekwowania prawa,</w:t>
      </w:r>
    </w:p>
    <w:p w:rsidR="00D83277" w:rsidRPr="00BB0D27" w:rsidRDefault="00D83277" w:rsidP="00010EBE">
      <w:pPr>
        <w:rPr>
          <w:noProof/>
        </w:rPr>
      </w:pPr>
    </w:p>
    <w:p w:rsidR="00FA250B" w:rsidRPr="00BB0D27" w:rsidRDefault="00FA250B" w:rsidP="00F733C8">
      <w:pPr>
        <w:pStyle w:val="Formuledadoption"/>
        <w:rPr>
          <w:noProof/>
        </w:rPr>
      </w:pPr>
      <w:r w:rsidRPr="00BB0D27">
        <w:rPr>
          <w:noProof/>
        </w:rPr>
        <w:t>PRZYJMUJĄ NINIEJSZĄ DYREKTYWĘ:</w:t>
      </w:r>
    </w:p>
    <w:p w:rsidR="00FA250B" w:rsidRPr="00BB0D27" w:rsidRDefault="00FA250B" w:rsidP="00F733C8">
      <w:pPr>
        <w:pStyle w:val="Titrearticle"/>
        <w:rPr>
          <w:noProof/>
        </w:rPr>
      </w:pPr>
      <w:r w:rsidRPr="00BB0D27">
        <w:rPr>
          <w:noProof/>
        </w:rPr>
        <w:t>Artykuł 1</w:t>
      </w:r>
    </w:p>
    <w:p w:rsidR="0002120B" w:rsidRPr="00BB0D27" w:rsidRDefault="00BD4757" w:rsidP="0002120B">
      <w:pPr>
        <w:spacing w:before="100" w:beforeAutospacing="1" w:after="100" w:afterAutospacing="1"/>
        <w:jc w:val="center"/>
        <w:rPr>
          <w:rFonts w:eastAsia="Times New Roman"/>
          <w:noProof/>
          <w:color w:val="000000"/>
          <w:sz w:val="27"/>
          <w:szCs w:val="27"/>
        </w:rPr>
      </w:pPr>
      <w:r w:rsidRPr="00BB0D27">
        <w:rPr>
          <w:b/>
          <w:noProof/>
          <w:color w:val="000000"/>
          <w:sz w:val="27"/>
        </w:rPr>
        <w:t>Przedmiot, cel</w:t>
      </w:r>
      <w:r w:rsidR="00B73D99" w:rsidRPr="00BB0D27">
        <w:rPr>
          <w:b/>
          <w:noProof/>
          <w:color w:val="000000"/>
          <w:sz w:val="27"/>
        </w:rPr>
        <w:t xml:space="preserve"> i</w:t>
      </w:r>
      <w:r w:rsidR="00B73D99">
        <w:rPr>
          <w:b/>
          <w:noProof/>
          <w:color w:val="000000"/>
          <w:sz w:val="27"/>
        </w:rPr>
        <w:t> </w:t>
      </w:r>
      <w:r w:rsidR="00B73D99" w:rsidRPr="00BB0D27">
        <w:rPr>
          <w:b/>
          <w:noProof/>
          <w:color w:val="000000"/>
          <w:sz w:val="27"/>
        </w:rPr>
        <w:t>zak</w:t>
      </w:r>
      <w:r w:rsidRPr="00BB0D27">
        <w:rPr>
          <w:b/>
          <w:noProof/>
          <w:color w:val="000000"/>
          <w:sz w:val="27"/>
        </w:rPr>
        <w:t>res stosowania</w:t>
      </w:r>
    </w:p>
    <w:p w:rsidR="0002120B" w:rsidRPr="00BB0D27" w:rsidRDefault="001C4EB9" w:rsidP="001C4EB9">
      <w:pPr>
        <w:pStyle w:val="ManualNumPar1"/>
        <w:rPr>
          <w:noProof/>
        </w:rPr>
      </w:pPr>
      <w:r w:rsidRPr="001C4EB9">
        <w:t>1.</w:t>
      </w:r>
      <w:r w:rsidRPr="001C4EB9">
        <w:tab/>
      </w:r>
      <w:r w:rsidR="0002120B" w:rsidRPr="00BB0D27">
        <w:rPr>
          <w:noProof/>
        </w:rPr>
        <w:t>W niniejszej dyrektywie ustanowiono wspólne przepisy promujące naprawę towarów, które mają przyczynić się do prawidłowego funkcjonowania rynku wewnętrznego przy jednoczesnym zapewnieniu wysokiego poziomu ochrony konsumentów</w:t>
      </w:r>
      <w:r w:rsidR="00B73D99" w:rsidRPr="00BB0D27">
        <w:rPr>
          <w:noProof/>
        </w:rPr>
        <w:t xml:space="preserve"> i</w:t>
      </w:r>
      <w:r w:rsidR="00B73D99">
        <w:rPr>
          <w:noProof/>
        </w:rPr>
        <w:t> </w:t>
      </w:r>
      <w:r w:rsidR="00B73D99" w:rsidRPr="00BB0D27">
        <w:rPr>
          <w:noProof/>
        </w:rPr>
        <w:t>śro</w:t>
      </w:r>
      <w:r w:rsidR="0002120B" w:rsidRPr="00BB0D27">
        <w:rPr>
          <w:noProof/>
        </w:rPr>
        <w:t xml:space="preserve">dowiska. </w:t>
      </w:r>
    </w:p>
    <w:p w:rsidR="0002120B" w:rsidRPr="00BB0D27" w:rsidRDefault="001C4EB9" w:rsidP="001C4EB9">
      <w:pPr>
        <w:pStyle w:val="ManualNumPar1"/>
        <w:rPr>
          <w:noProof/>
        </w:rPr>
      </w:pPr>
      <w:r w:rsidRPr="001C4EB9">
        <w:t>2.</w:t>
      </w:r>
      <w:r w:rsidRPr="001C4EB9">
        <w:tab/>
      </w:r>
      <w:r w:rsidR="00BD4757" w:rsidRPr="00BB0D27">
        <w:rPr>
          <w:noProof/>
        </w:rPr>
        <w:t>Niniejsza dyrektywa ma zastosowanie</w:t>
      </w:r>
      <w:r w:rsidR="00B73D99" w:rsidRPr="00BB0D27">
        <w:rPr>
          <w:noProof/>
        </w:rPr>
        <w:t xml:space="preserve"> w</w:t>
      </w:r>
      <w:r w:rsidR="00B73D99">
        <w:rPr>
          <w:noProof/>
        </w:rPr>
        <w:t> </w:t>
      </w:r>
      <w:r w:rsidR="00B73D99" w:rsidRPr="00BB0D27">
        <w:rPr>
          <w:noProof/>
        </w:rPr>
        <w:t>prz</w:t>
      </w:r>
      <w:r w:rsidR="00BD4757" w:rsidRPr="00BB0D27">
        <w:rPr>
          <w:noProof/>
        </w:rPr>
        <w:t>ypadku naprawy nabytych przez konsumentów towarów</w:t>
      </w:r>
      <w:r w:rsidR="00B73D99" w:rsidRPr="00BB0D27">
        <w:rPr>
          <w:noProof/>
        </w:rPr>
        <w:t xml:space="preserve"> w</w:t>
      </w:r>
      <w:r w:rsidR="00B73D99">
        <w:rPr>
          <w:noProof/>
        </w:rPr>
        <w:t> </w:t>
      </w:r>
      <w:r w:rsidR="00B73D99" w:rsidRPr="00BB0D27">
        <w:rPr>
          <w:noProof/>
        </w:rPr>
        <w:t>prz</w:t>
      </w:r>
      <w:r w:rsidR="00BD4757" w:rsidRPr="00BB0D27">
        <w:rPr>
          <w:noProof/>
        </w:rPr>
        <w:t>ypadku wystąpienia lub ujawnienia się wady nieobjętej odpowiedzialnością sprzedawcy określoną</w:t>
      </w:r>
      <w:r w:rsidR="00B73D99" w:rsidRPr="00BB0D27">
        <w:rPr>
          <w:noProof/>
        </w:rPr>
        <w:t xml:space="preserve"> w</w:t>
      </w:r>
      <w:r w:rsidR="00B73D99">
        <w:rPr>
          <w:noProof/>
        </w:rPr>
        <w:t> </w:t>
      </w:r>
      <w:r w:rsidR="00B73D99" w:rsidRPr="00B73D99">
        <w:rPr>
          <w:noProof/>
        </w:rPr>
        <w:t>art</w:t>
      </w:r>
      <w:r w:rsidR="00BD4757" w:rsidRPr="00B73D99">
        <w:rPr>
          <w:noProof/>
        </w:rPr>
        <w:t>.</w:t>
      </w:r>
      <w:r w:rsidR="00B73D99" w:rsidRPr="00B73D99">
        <w:rPr>
          <w:noProof/>
        </w:rPr>
        <w:t> </w:t>
      </w:r>
      <w:r w:rsidR="00BD4757" w:rsidRPr="00B73D99">
        <w:rPr>
          <w:noProof/>
        </w:rPr>
        <w:t>1</w:t>
      </w:r>
      <w:r w:rsidR="00BD4757" w:rsidRPr="00BB0D27">
        <w:rPr>
          <w:noProof/>
        </w:rPr>
        <w:t>0 dyrektywy (UE) 2019/771. </w:t>
      </w:r>
    </w:p>
    <w:p w:rsidR="0002120B" w:rsidRPr="00BB0D27" w:rsidRDefault="0002120B" w:rsidP="0013390F">
      <w:pPr>
        <w:pStyle w:val="Titrearticle"/>
        <w:rPr>
          <w:noProof/>
        </w:rPr>
      </w:pPr>
      <w:r w:rsidRPr="00BB0D27">
        <w:rPr>
          <w:noProof/>
        </w:rPr>
        <w:t>Artykuł 2</w:t>
      </w:r>
    </w:p>
    <w:p w:rsidR="0002120B" w:rsidRPr="00BB0D27" w:rsidRDefault="0002120B" w:rsidP="0002120B">
      <w:pPr>
        <w:spacing w:before="100" w:beforeAutospacing="1" w:after="100" w:afterAutospacing="1"/>
        <w:jc w:val="center"/>
        <w:rPr>
          <w:rFonts w:eastAsia="Times New Roman"/>
          <w:b/>
          <w:noProof/>
          <w:color w:val="000000"/>
          <w:sz w:val="27"/>
          <w:szCs w:val="27"/>
        </w:rPr>
      </w:pPr>
      <w:r w:rsidRPr="00BB0D27">
        <w:rPr>
          <w:b/>
          <w:noProof/>
          <w:color w:val="000000"/>
          <w:sz w:val="27"/>
        </w:rPr>
        <w:t>Definicje</w:t>
      </w:r>
    </w:p>
    <w:p w:rsidR="00886100" w:rsidRPr="00BB0D27" w:rsidRDefault="00886100" w:rsidP="00886100">
      <w:pPr>
        <w:rPr>
          <w:noProof/>
        </w:rPr>
      </w:pPr>
      <w:r w:rsidRPr="00BB0D27">
        <w:rPr>
          <w:noProof/>
        </w:rPr>
        <w:t>Do celów niniejszej dyrektywy stosuje się następujące definicje:</w:t>
      </w:r>
    </w:p>
    <w:p w:rsidR="0002120B" w:rsidRPr="00BB0D27" w:rsidRDefault="001C4EB9" w:rsidP="001C4EB9">
      <w:pPr>
        <w:pStyle w:val="ManualNumPar1"/>
        <w:rPr>
          <w:noProof/>
        </w:rPr>
      </w:pPr>
      <w:r w:rsidRPr="001C4EB9">
        <w:t>1.</w:t>
      </w:r>
      <w:r w:rsidRPr="001C4EB9">
        <w:tab/>
      </w:r>
      <w:r w:rsidR="0002120B" w:rsidRPr="00BB0D27">
        <w:rPr>
          <w:noProof/>
        </w:rPr>
        <w:t>„konsument” oznacza konsumenta zdefiniowanego</w:t>
      </w:r>
      <w:r w:rsidR="00B73D99" w:rsidRPr="00BB0D27">
        <w:rPr>
          <w:noProof/>
        </w:rPr>
        <w:t xml:space="preserve"> w</w:t>
      </w:r>
      <w:r w:rsidR="00B73D99">
        <w:rPr>
          <w:noProof/>
        </w:rPr>
        <w:t> </w:t>
      </w:r>
      <w:r w:rsidR="00B73D99" w:rsidRPr="00B73D99">
        <w:rPr>
          <w:noProof/>
        </w:rPr>
        <w:t>art</w:t>
      </w:r>
      <w:r w:rsidR="0002120B" w:rsidRPr="00B73D99">
        <w:rPr>
          <w:noProof/>
        </w:rPr>
        <w:t>.</w:t>
      </w:r>
      <w:r w:rsidR="00B73D99" w:rsidRPr="00B73D99">
        <w:rPr>
          <w:noProof/>
        </w:rPr>
        <w:t> </w:t>
      </w:r>
      <w:r w:rsidR="0002120B" w:rsidRPr="00B73D99">
        <w:rPr>
          <w:noProof/>
        </w:rPr>
        <w:t>2</w:t>
      </w:r>
      <w:r w:rsidR="0002120B" w:rsidRPr="00BB0D27">
        <w:rPr>
          <w:noProof/>
        </w:rPr>
        <w:t xml:space="preserve"> </w:t>
      </w:r>
      <w:r w:rsidR="0002120B" w:rsidRPr="00B73D99">
        <w:rPr>
          <w:noProof/>
        </w:rPr>
        <w:t>pkt</w:t>
      </w:r>
      <w:r w:rsidR="00B73D99" w:rsidRPr="00B73D99">
        <w:rPr>
          <w:noProof/>
        </w:rPr>
        <w:t> </w:t>
      </w:r>
      <w:r w:rsidR="0002120B" w:rsidRPr="00B73D99">
        <w:rPr>
          <w:noProof/>
        </w:rPr>
        <w:t>2</w:t>
      </w:r>
      <w:r w:rsidR="0002120B" w:rsidRPr="00BB0D27">
        <w:rPr>
          <w:noProof/>
        </w:rPr>
        <w:t xml:space="preserve"> dyrektywy (UE) 2019/771; </w:t>
      </w:r>
    </w:p>
    <w:p w:rsidR="0002120B" w:rsidRPr="00BB0D27" w:rsidRDefault="001C4EB9" w:rsidP="001C4EB9">
      <w:pPr>
        <w:pStyle w:val="ManualNumPar1"/>
        <w:rPr>
          <w:noProof/>
        </w:rPr>
      </w:pPr>
      <w:r w:rsidRPr="001C4EB9">
        <w:t>2.</w:t>
      </w:r>
      <w:r w:rsidRPr="001C4EB9">
        <w:tab/>
      </w:r>
      <w:r w:rsidR="0002120B" w:rsidRPr="00BB0D27">
        <w:rPr>
          <w:noProof/>
        </w:rPr>
        <w:t>„podmiot zajmujący się naprawą” oznacza każdą osobę fizyczną lub prawną, świadczącą usługi naprawy</w:t>
      </w:r>
      <w:r w:rsidR="00B73D99" w:rsidRPr="00BB0D27">
        <w:rPr>
          <w:noProof/>
        </w:rPr>
        <w:t xml:space="preserve"> w</w:t>
      </w:r>
      <w:r w:rsidR="00B73D99">
        <w:rPr>
          <w:noProof/>
        </w:rPr>
        <w:t> </w:t>
      </w:r>
      <w:r w:rsidR="00B73D99" w:rsidRPr="00BB0D27">
        <w:rPr>
          <w:noProof/>
        </w:rPr>
        <w:t>zwi</w:t>
      </w:r>
      <w:r w:rsidR="0002120B" w:rsidRPr="00BB0D27">
        <w:rPr>
          <w:noProof/>
        </w:rPr>
        <w:t>ązku ze swoją działalnością handlową, gospodarczą, rzemieślniczą lub zawodową,</w:t>
      </w:r>
      <w:r w:rsidR="00B73D99" w:rsidRPr="00BB0D27">
        <w:rPr>
          <w:noProof/>
        </w:rPr>
        <w:t xml:space="preserve"> w</w:t>
      </w:r>
      <w:r w:rsidR="00B73D99">
        <w:rPr>
          <w:noProof/>
        </w:rPr>
        <w:t> </w:t>
      </w:r>
      <w:r w:rsidR="00B73D99" w:rsidRPr="00BB0D27">
        <w:rPr>
          <w:noProof/>
        </w:rPr>
        <w:t>tym</w:t>
      </w:r>
      <w:r w:rsidR="0002120B" w:rsidRPr="00BB0D27">
        <w:rPr>
          <w:noProof/>
        </w:rPr>
        <w:t xml:space="preserve"> producenta</w:t>
      </w:r>
      <w:r w:rsidR="00B73D99" w:rsidRPr="00BB0D27">
        <w:rPr>
          <w:noProof/>
        </w:rPr>
        <w:t xml:space="preserve"> i</w:t>
      </w:r>
      <w:r w:rsidR="00B73D99">
        <w:rPr>
          <w:noProof/>
        </w:rPr>
        <w:t> </w:t>
      </w:r>
      <w:r w:rsidR="00B73D99" w:rsidRPr="00BB0D27">
        <w:rPr>
          <w:noProof/>
        </w:rPr>
        <w:t>spr</w:t>
      </w:r>
      <w:r w:rsidR="0002120B" w:rsidRPr="00BB0D27">
        <w:rPr>
          <w:noProof/>
        </w:rPr>
        <w:t>zedawcę, którzy świadczą usługi naprawy, oraz inne podmioty świadczące usługi naprawy, niezależnie od tego, czy podmioty te są niezależne, czy też powiązane</w:t>
      </w:r>
      <w:r w:rsidR="00B73D99" w:rsidRPr="00BB0D27">
        <w:rPr>
          <w:noProof/>
        </w:rPr>
        <w:t xml:space="preserve"> z</w:t>
      </w:r>
      <w:r w:rsidR="00B73D99">
        <w:rPr>
          <w:noProof/>
        </w:rPr>
        <w:t> </w:t>
      </w:r>
      <w:r w:rsidR="00B73D99" w:rsidRPr="00BB0D27">
        <w:rPr>
          <w:noProof/>
        </w:rPr>
        <w:t>tak</w:t>
      </w:r>
      <w:r w:rsidR="0002120B" w:rsidRPr="00BB0D27">
        <w:rPr>
          <w:noProof/>
        </w:rPr>
        <w:t>imi producentami lub sprzedawcami;</w:t>
      </w:r>
    </w:p>
    <w:p w:rsidR="0002120B" w:rsidRPr="00BB0D27" w:rsidRDefault="001C4EB9" w:rsidP="001C4EB9">
      <w:pPr>
        <w:pStyle w:val="ManualNumPar1"/>
        <w:rPr>
          <w:noProof/>
        </w:rPr>
      </w:pPr>
      <w:r w:rsidRPr="001C4EB9">
        <w:t>3.</w:t>
      </w:r>
      <w:r w:rsidRPr="001C4EB9">
        <w:tab/>
      </w:r>
      <w:r w:rsidR="0002120B" w:rsidRPr="00BB0D27">
        <w:rPr>
          <w:noProof/>
        </w:rPr>
        <w:t>„sprzedawca” oznacza sprzedawcę zdefiniowanego</w:t>
      </w:r>
      <w:r w:rsidR="00B73D99" w:rsidRPr="00BB0D27">
        <w:rPr>
          <w:noProof/>
        </w:rPr>
        <w:t xml:space="preserve"> w</w:t>
      </w:r>
      <w:r w:rsidR="00B73D99">
        <w:rPr>
          <w:noProof/>
        </w:rPr>
        <w:t> </w:t>
      </w:r>
      <w:r w:rsidR="00B73D99" w:rsidRPr="00BB0D27">
        <w:rPr>
          <w:noProof/>
        </w:rPr>
        <w:t>art</w:t>
      </w:r>
      <w:r w:rsidR="0002120B" w:rsidRPr="00BB0D27">
        <w:rPr>
          <w:noProof/>
        </w:rPr>
        <w:t xml:space="preserve">. 2 </w:t>
      </w:r>
      <w:r w:rsidR="0002120B" w:rsidRPr="00B73D99">
        <w:rPr>
          <w:noProof/>
        </w:rPr>
        <w:t>pkt</w:t>
      </w:r>
      <w:r w:rsidR="00B73D99" w:rsidRPr="00B73D99">
        <w:rPr>
          <w:noProof/>
        </w:rPr>
        <w:t> </w:t>
      </w:r>
      <w:r w:rsidR="0002120B" w:rsidRPr="00B73D99">
        <w:rPr>
          <w:noProof/>
        </w:rPr>
        <w:t>3</w:t>
      </w:r>
      <w:r w:rsidR="0002120B" w:rsidRPr="00BB0D27">
        <w:rPr>
          <w:noProof/>
        </w:rPr>
        <w:t xml:space="preserve"> dyrektywy (UE) 2019/771;</w:t>
      </w:r>
    </w:p>
    <w:p w:rsidR="0002120B" w:rsidRPr="00BB0D27" w:rsidRDefault="001C4EB9" w:rsidP="001C4EB9">
      <w:pPr>
        <w:pStyle w:val="ManualNumPar1"/>
        <w:rPr>
          <w:noProof/>
        </w:rPr>
      </w:pPr>
      <w:r w:rsidRPr="001C4EB9">
        <w:t>4.</w:t>
      </w:r>
      <w:r w:rsidRPr="001C4EB9">
        <w:tab/>
      </w:r>
      <w:r w:rsidR="0002120B" w:rsidRPr="00BB0D27">
        <w:rPr>
          <w:noProof/>
        </w:rPr>
        <w:t>„producent” oznacza producenta zdefiniowanego</w:t>
      </w:r>
      <w:r w:rsidR="00B73D99" w:rsidRPr="00BB0D27">
        <w:rPr>
          <w:noProof/>
        </w:rPr>
        <w:t xml:space="preserve"> w</w:t>
      </w:r>
      <w:r w:rsidR="00B73D99">
        <w:rPr>
          <w:noProof/>
        </w:rPr>
        <w:t> </w:t>
      </w:r>
      <w:r w:rsidR="00B73D99" w:rsidRPr="00B73D99">
        <w:rPr>
          <w:noProof/>
        </w:rPr>
        <w:t>art</w:t>
      </w:r>
      <w:r w:rsidR="0002120B" w:rsidRPr="00B73D99">
        <w:rPr>
          <w:noProof/>
        </w:rPr>
        <w:t>.</w:t>
      </w:r>
      <w:r w:rsidR="00B73D99" w:rsidRPr="00B73D99">
        <w:rPr>
          <w:noProof/>
        </w:rPr>
        <w:t> </w:t>
      </w:r>
      <w:r w:rsidR="0002120B" w:rsidRPr="00B73D99">
        <w:rPr>
          <w:noProof/>
        </w:rPr>
        <w:t>2</w:t>
      </w:r>
      <w:r w:rsidR="0002120B" w:rsidRPr="00BB0D27">
        <w:rPr>
          <w:noProof/>
        </w:rPr>
        <w:t xml:space="preserve"> </w:t>
      </w:r>
      <w:r w:rsidR="0002120B" w:rsidRPr="00B73D99">
        <w:rPr>
          <w:noProof/>
        </w:rPr>
        <w:t>pkt</w:t>
      </w:r>
      <w:r w:rsidR="00B73D99" w:rsidRPr="00B73D99">
        <w:rPr>
          <w:noProof/>
        </w:rPr>
        <w:t> </w:t>
      </w:r>
      <w:r w:rsidR="0002120B" w:rsidRPr="00B73D99">
        <w:rPr>
          <w:noProof/>
        </w:rPr>
        <w:t>4</w:t>
      </w:r>
      <w:r w:rsidR="0002120B" w:rsidRPr="00BB0D27">
        <w:rPr>
          <w:noProof/>
        </w:rPr>
        <w:t>2 rozporządzenia [w sprawie ekoprojektu dla zrównoważonych produktów];</w:t>
      </w:r>
    </w:p>
    <w:p w:rsidR="0002120B" w:rsidRPr="00BB0D27" w:rsidRDefault="001C4EB9" w:rsidP="001C4EB9">
      <w:pPr>
        <w:pStyle w:val="ManualNumPar1"/>
        <w:rPr>
          <w:noProof/>
        </w:rPr>
      </w:pPr>
      <w:r w:rsidRPr="001C4EB9">
        <w:t>5.</w:t>
      </w:r>
      <w:r w:rsidRPr="001C4EB9">
        <w:tab/>
      </w:r>
      <w:r w:rsidR="000505DD" w:rsidRPr="00BB0D27">
        <w:rPr>
          <w:noProof/>
        </w:rPr>
        <w:t>„upoważniony przedstawiciel” oznacza upoważnionego przedstawiciela zdefiniowanego</w:t>
      </w:r>
      <w:r w:rsidR="00B73D99" w:rsidRPr="00BB0D27">
        <w:rPr>
          <w:noProof/>
        </w:rPr>
        <w:t xml:space="preserve"> w</w:t>
      </w:r>
      <w:r w:rsidR="00B73D99">
        <w:rPr>
          <w:noProof/>
        </w:rPr>
        <w:t> </w:t>
      </w:r>
      <w:r w:rsidR="00B73D99" w:rsidRPr="00B73D99">
        <w:rPr>
          <w:noProof/>
        </w:rPr>
        <w:t>art</w:t>
      </w:r>
      <w:r w:rsidR="000505DD" w:rsidRPr="00B73D99">
        <w:rPr>
          <w:noProof/>
        </w:rPr>
        <w:t>.</w:t>
      </w:r>
      <w:r w:rsidR="00B73D99" w:rsidRPr="00B73D99">
        <w:rPr>
          <w:noProof/>
        </w:rPr>
        <w:t> </w:t>
      </w:r>
      <w:r w:rsidR="000505DD" w:rsidRPr="00B73D99">
        <w:rPr>
          <w:noProof/>
        </w:rPr>
        <w:t>2</w:t>
      </w:r>
      <w:r w:rsidR="000505DD" w:rsidRPr="00BB0D27">
        <w:rPr>
          <w:noProof/>
        </w:rPr>
        <w:t xml:space="preserve"> </w:t>
      </w:r>
      <w:r w:rsidR="000505DD" w:rsidRPr="00B73D99">
        <w:rPr>
          <w:noProof/>
        </w:rPr>
        <w:t>pkt</w:t>
      </w:r>
      <w:r w:rsidR="00B73D99" w:rsidRPr="00B73D99">
        <w:rPr>
          <w:noProof/>
        </w:rPr>
        <w:t> </w:t>
      </w:r>
      <w:r w:rsidR="000505DD" w:rsidRPr="00B73D99">
        <w:rPr>
          <w:noProof/>
        </w:rPr>
        <w:t>4</w:t>
      </w:r>
      <w:r w:rsidR="000505DD" w:rsidRPr="00BB0D27">
        <w:rPr>
          <w:noProof/>
        </w:rPr>
        <w:t>3 rozporządzenia [w sprawie ekoprojektu dla zrównoważonych produktów]; </w:t>
      </w:r>
    </w:p>
    <w:p w:rsidR="0002120B" w:rsidRPr="00BB0D27" w:rsidRDefault="001C4EB9" w:rsidP="001C4EB9">
      <w:pPr>
        <w:pStyle w:val="ManualNumPar1"/>
        <w:rPr>
          <w:noProof/>
        </w:rPr>
      </w:pPr>
      <w:r w:rsidRPr="001C4EB9">
        <w:t>6.</w:t>
      </w:r>
      <w:r w:rsidRPr="001C4EB9">
        <w:tab/>
      </w:r>
      <w:r w:rsidR="000505DD" w:rsidRPr="00BB0D27">
        <w:rPr>
          <w:noProof/>
        </w:rPr>
        <w:t>„importer” oznacza importera zdefiniowanego</w:t>
      </w:r>
      <w:r w:rsidR="00B73D99" w:rsidRPr="00BB0D27">
        <w:rPr>
          <w:noProof/>
        </w:rPr>
        <w:t xml:space="preserve"> w</w:t>
      </w:r>
      <w:r w:rsidR="00B73D99">
        <w:rPr>
          <w:noProof/>
        </w:rPr>
        <w:t> </w:t>
      </w:r>
      <w:r w:rsidR="00B73D99" w:rsidRPr="00B73D99">
        <w:rPr>
          <w:noProof/>
        </w:rPr>
        <w:t>art</w:t>
      </w:r>
      <w:r w:rsidR="000505DD" w:rsidRPr="00B73D99">
        <w:rPr>
          <w:noProof/>
        </w:rPr>
        <w:t>.</w:t>
      </w:r>
      <w:r w:rsidR="00B73D99" w:rsidRPr="00B73D99">
        <w:rPr>
          <w:noProof/>
        </w:rPr>
        <w:t> </w:t>
      </w:r>
      <w:r w:rsidR="000505DD" w:rsidRPr="00B73D99">
        <w:rPr>
          <w:noProof/>
        </w:rPr>
        <w:t>2</w:t>
      </w:r>
      <w:r w:rsidR="000505DD" w:rsidRPr="00BB0D27">
        <w:rPr>
          <w:noProof/>
        </w:rPr>
        <w:t xml:space="preserve"> </w:t>
      </w:r>
      <w:r w:rsidR="000505DD" w:rsidRPr="00B73D99">
        <w:rPr>
          <w:noProof/>
        </w:rPr>
        <w:t>pkt</w:t>
      </w:r>
      <w:r w:rsidR="00B73D99" w:rsidRPr="00B73D99">
        <w:rPr>
          <w:noProof/>
        </w:rPr>
        <w:t> </w:t>
      </w:r>
      <w:r w:rsidR="000505DD" w:rsidRPr="00B73D99">
        <w:rPr>
          <w:noProof/>
        </w:rPr>
        <w:t>4</w:t>
      </w:r>
      <w:r w:rsidR="000505DD" w:rsidRPr="00BB0D27">
        <w:rPr>
          <w:noProof/>
        </w:rPr>
        <w:t>4 rozporządzenia [w sprawie ekoprojektu dla zrównoważonych produktów];</w:t>
      </w:r>
    </w:p>
    <w:p w:rsidR="0002120B" w:rsidRPr="00BB0D27" w:rsidRDefault="001C4EB9" w:rsidP="001C4EB9">
      <w:pPr>
        <w:pStyle w:val="ManualNumPar1"/>
        <w:rPr>
          <w:noProof/>
        </w:rPr>
      </w:pPr>
      <w:r w:rsidRPr="001C4EB9">
        <w:t>7.</w:t>
      </w:r>
      <w:r w:rsidRPr="001C4EB9">
        <w:tab/>
      </w:r>
      <w:r w:rsidR="000505DD" w:rsidRPr="00BB0D27">
        <w:rPr>
          <w:noProof/>
        </w:rPr>
        <w:t>„dystrybutor” oznacza dystrybutora zdefiniowanego</w:t>
      </w:r>
      <w:r w:rsidR="00B73D99" w:rsidRPr="00BB0D27">
        <w:rPr>
          <w:noProof/>
        </w:rPr>
        <w:t xml:space="preserve"> w</w:t>
      </w:r>
      <w:r w:rsidR="00B73D99">
        <w:rPr>
          <w:noProof/>
        </w:rPr>
        <w:t> </w:t>
      </w:r>
      <w:r w:rsidR="00B73D99" w:rsidRPr="00B73D99">
        <w:rPr>
          <w:noProof/>
        </w:rPr>
        <w:t>art</w:t>
      </w:r>
      <w:r w:rsidR="000505DD" w:rsidRPr="00B73D99">
        <w:rPr>
          <w:noProof/>
        </w:rPr>
        <w:t>.</w:t>
      </w:r>
      <w:r w:rsidR="00B73D99" w:rsidRPr="00B73D99">
        <w:rPr>
          <w:noProof/>
        </w:rPr>
        <w:t> </w:t>
      </w:r>
      <w:r w:rsidR="000505DD" w:rsidRPr="00B73D99">
        <w:rPr>
          <w:noProof/>
        </w:rPr>
        <w:t>2</w:t>
      </w:r>
      <w:r w:rsidR="000505DD" w:rsidRPr="00BB0D27">
        <w:rPr>
          <w:noProof/>
        </w:rPr>
        <w:t xml:space="preserve"> </w:t>
      </w:r>
      <w:r w:rsidR="000505DD" w:rsidRPr="00B73D99">
        <w:rPr>
          <w:noProof/>
        </w:rPr>
        <w:t>pkt</w:t>
      </w:r>
      <w:r w:rsidR="00B73D99" w:rsidRPr="00B73D99">
        <w:rPr>
          <w:noProof/>
        </w:rPr>
        <w:t> </w:t>
      </w:r>
      <w:r w:rsidR="000505DD" w:rsidRPr="00B73D99">
        <w:rPr>
          <w:noProof/>
        </w:rPr>
        <w:t>4</w:t>
      </w:r>
      <w:r w:rsidR="000505DD" w:rsidRPr="00BB0D27">
        <w:rPr>
          <w:noProof/>
        </w:rPr>
        <w:t>5 rozporządzenia [w sprawie ekoprojektu dla zrównoważonych produktów];</w:t>
      </w:r>
    </w:p>
    <w:p w:rsidR="000505DD" w:rsidRPr="00BB0D27" w:rsidRDefault="001C4EB9" w:rsidP="001C4EB9">
      <w:pPr>
        <w:pStyle w:val="ManualNumPar1"/>
        <w:rPr>
          <w:noProof/>
        </w:rPr>
      </w:pPr>
      <w:r w:rsidRPr="001C4EB9">
        <w:t>8.</w:t>
      </w:r>
      <w:r w:rsidRPr="001C4EB9">
        <w:tab/>
      </w:r>
      <w:r w:rsidR="000505DD" w:rsidRPr="00BB0D27">
        <w:rPr>
          <w:noProof/>
        </w:rPr>
        <w:t>„towary” oznaczają towary zdefiniowane</w:t>
      </w:r>
      <w:r w:rsidR="00B73D99" w:rsidRPr="00BB0D27">
        <w:rPr>
          <w:noProof/>
        </w:rPr>
        <w:t xml:space="preserve"> w</w:t>
      </w:r>
      <w:r w:rsidR="00B73D99">
        <w:rPr>
          <w:noProof/>
        </w:rPr>
        <w:t> </w:t>
      </w:r>
      <w:r w:rsidR="00B73D99" w:rsidRPr="00B73D99">
        <w:rPr>
          <w:noProof/>
        </w:rPr>
        <w:t>art</w:t>
      </w:r>
      <w:r w:rsidR="000505DD" w:rsidRPr="00B73D99">
        <w:rPr>
          <w:noProof/>
        </w:rPr>
        <w:t>.</w:t>
      </w:r>
      <w:r w:rsidR="00B73D99" w:rsidRPr="00B73D99">
        <w:rPr>
          <w:noProof/>
        </w:rPr>
        <w:t> </w:t>
      </w:r>
      <w:r w:rsidR="000505DD" w:rsidRPr="00B73D99">
        <w:rPr>
          <w:noProof/>
        </w:rPr>
        <w:t>2</w:t>
      </w:r>
      <w:r w:rsidR="000505DD" w:rsidRPr="00BB0D27">
        <w:rPr>
          <w:noProof/>
        </w:rPr>
        <w:t xml:space="preserve"> </w:t>
      </w:r>
      <w:r w:rsidR="000505DD" w:rsidRPr="00B73D99">
        <w:rPr>
          <w:noProof/>
        </w:rPr>
        <w:t>pkt</w:t>
      </w:r>
      <w:r w:rsidR="00B73D99" w:rsidRPr="00B73D99">
        <w:rPr>
          <w:noProof/>
        </w:rPr>
        <w:t> </w:t>
      </w:r>
      <w:r w:rsidR="000505DD" w:rsidRPr="00B73D99">
        <w:rPr>
          <w:noProof/>
        </w:rPr>
        <w:t>5</w:t>
      </w:r>
      <w:r w:rsidR="000505DD" w:rsidRPr="00BB0D27">
        <w:rPr>
          <w:noProof/>
        </w:rPr>
        <w:t xml:space="preserve"> dyrektywy (UE) 2019/771,</w:t>
      </w:r>
      <w:r w:rsidR="00B73D99" w:rsidRPr="00BB0D27">
        <w:rPr>
          <w:noProof/>
        </w:rPr>
        <w:t xml:space="preserve"> z</w:t>
      </w:r>
      <w:r w:rsidR="00B73D99">
        <w:rPr>
          <w:noProof/>
        </w:rPr>
        <w:t> </w:t>
      </w:r>
      <w:r w:rsidR="00B73D99" w:rsidRPr="00BB0D27">
        <w:rPr>
          <w:noProof/>
        </w:rPr>
        <w:t>wyj</w:t>
      </w:r>
      <w:r w:rsidR="000505DD" w:rsidRPr="00BB0D27">
        <w:rPr>
          <w:noProof/>
        </w:rPr>
        <w:t>ątkiem wody, gazu</w:t>
      </w:r>
      <w:r w:rsidR="00B73D99" w:rsidRPr="00BB0D27">
        <w:rPr>
          <w:noProof/>
        </w:rPr>
        <w:t xml:space="preserve"> i</w:t>
      </w:r>
      <w:r w:rsidR="00B73D99">
        <w:rPr>
          <w:noProof/>
        </w:rPr>
        <w:t> </w:t>
      </w:r>
      <w:r w:rsidR="00B73D99" w:rsidRPr="00BB0D27">
        <w:rPr>
          <w:noProof/>
        </w:rPr>
        <w:t>ene</w:t>
      </w:r>
      <w:r w:rsidR="000505DD" w:rsidRPr="00BB0D27">
        <w:rPr>
          <w:noProof/>
        </w:rPr>
        <w:t>rgii elektrycznej; </w:t>
      </w:r>
    </w:p>
    <w:p w:rsidR="0002120B" w:rsidRPr="00BB0D27" w:rsidRDefault="001C4EB9" w:rsidP="001C4EB9">
      <w:pPr>
        <w:pStyle w:val="ManualNumPar1"/>
        <w:rPr>
          <w:noProof/>
        </w:rPr>
      </w:pPr>
      <w:r w:rsidRPr="001C4EB9">
        <w:t>9.</w:t>
      </w:r>
      <w:r w:rsidRPr="001C4EB9">
        <w:tab/>
      </w:r>
      <w:r w:rsidR="000505DD" w:rsidRPr="00BB0D27">
        <w:rPr>
          <w:noProof/>
        </w:rPr>
        <w:t>„odnowienie” oznacza odnowienie zdefiniowane</w:t>
      </w:r>
      <w:r w:rsidR="00B73D99" w:rsidRPr="00BB0D27">
        <w:rPr>
          <w:noProof/>
        </w:rPr>
        <w:t xml:space="preserve"> w</w:t>
      </w:r>
      <w:r w:rsidR="00B73D99">
        <w:rPr>
          <w:noProof/>
        </w:rPr>
        <w:t> </w:t>
      </w:r>
      <w:r w:rsidR="00B73D99" w:rsidRPr="00B73D99">
        <w:rPr>
          <w:noProof/>
        </w:rPr>
        <w:t>art</w:t>
      </w:r>
      <w:r w:rsidR="000505DD" w:rsidRPr="00B73D99">
        <w:rPr>
          <w:noProof/>
        </w:rPr>
        <w:t>.</w:t>
      </w:r>
      <w:r w:rsidR="00B73D99" w:rsidRPr="00B73D99">
        <w:rPr>
          <w:noProof/>
        </w:rPr>
        <w:t> </w:t>
      </w:r>
      <w:r w:rsidR="000505DD" w:rsidRPr="00B73D99">
        <w:rPr>
          <w:noProof/>
        </w:rPr>
        <w:t>2</w:t>
      </w:r>
      <w:r w:rsidR="000505DD" w:rsidRPr="00BB0D27">
        <w:rPr>
          <w:noProof/>
        </w:rPr>
        <w:t xml:space="preserve"> </w:t>
      </w:r>
      <w:r w:rsidR="000505DD" w:rsidRPr="00B73D99">
        <w:rPr>
          <w:noProof/>
        </w:rPr>
        <w:t>pkt</w:t>
      </w:r>
      <w:r w:rsidR="00B73D99" w:rsidRPr="00B73D99">
        <w:rPr>
          <w:noProof/>
        </w:rPr>
        <w:t> </w:t>
      </w:r>
      <w:r w:rsidR="000505DD" w:rsidRPr="00B73D99">
        <w:rPr>
          <w:noProof/>
        </w:rPr>
        <w:t>1</w:t>
      </w:r>
      <w:r w:rsidR="000505DD" w:rsidRPr="00BB0D27">
        <w:rPr>
          <w:noProof/>
        </w:rPr>
        <w:t>8 rozporządzenia [w sprawie ekoprojektu dla zrównoważonych produktów];</w:t>
      </w:r>
    </w:p>
    <w:p w:rsidR="00561C56" w:rsidRPr="00BB0D27" w:rsidRDefault="001C4EB9" w:rsidP="001C4EB9">
      <w:pPr>
        <w:pStyle w:val="ManualNumPar1"/>
        <w:rPr>
          <w:noProof/>
        </w:rPr>
      </w:pPr>
      <w:r w:rsidRPr="001C4EB9">
        <w:t>10.</w:t>
      </w:r>
      <w:r w:rsidRPr="001C4EB9">
        <w:tab/>
      </w:r>
      <w:r w:rsidR="000505DD" w:rsidRPr="00BB0D27">
        <w:rPr>
          <w:noProof/>
        </w:rPr>
        <w:t>„wymogi dotyczące możliwości naprawy” oznaczają wymogi określone</w:t>
      </w:r>
      <w:r w:rsidR="00B73D99" w:rsidRPr="00BB0D27">
        <w:rPr>
          <w:noProof/>
        </w:rPr>
        <w:t xml:space="preserve"> w</w:t>
      </w:r>
      <w:r w:rsidR="00B73D99">
        <w:rPr>
          <w:noProof/>
        </w:rPr>
        <w:t> </w:t>
      </w:r>
      <w:r w:rsidR="00B73D99" w:rsidRPr="00BB0D27">
        <w:rPr>
          <w:noProof/>
        </w:rPr>
        <w:t>akt</w:t>
      </w:r>
      <w:r w:rsidR="000505DD" w:rsidRPr="00BB0D27">
        <w:rPr>
          <w:noProof/>
        </w:rPr>
        <w:t>ach prawnych Unii wymienionych</w:t>
      </w:r>
      <w:r w:rsidR="00B73D99" w:rsidRPr="00BB0D27">
        <w:rPr>
          <w:noProof/>
        </w:rPr>
        <w:t xml:space="preserve"> w</w:t>
      </w:r>
      <w:r w:rsidR="00B73D99">
        <w:rPr>
          <w:noProof/>
        </w:rPr>
        <w:t> </w:t>
      </w:r>
      <w:r w:rsidR="00B73D99" w:rsidRPr="00BB0D27">
        <w:rPr>
          <w:noProof/>
        </w:rPr>
        <w:t>zał</w:t>
      </w:r>
      <w:r w:rsidR="000505DD" w:rsidRPr="00BB0D27">
        <w:rPr>
          <w:noProof/>
        </w:rPr>
        <w:t>ączniku II umożliwiające naprawę produktu –</w:t>
      </w:r>
      <w:r w:rsidR="00B73D99" w:rsidRPr="00BB0D27">
        <w:rPr>
          <w:noProof/>
        </w:rPr>
        <w:t xml:space="preserve"> w</w:t>
      </w:r>
      <w:r w:rsidR="00B73D99">
        <w:rPr>
          <w:noProof/>
        </w:rPr>
        <w:t> </w:t>
      </w:r>
      <w:r w:rsidR="00B73D99" w:rsidRPr="00BB0D27">
        <w:rPr>
          <w:noProof/>
        </w:rPr>
        <w:t>tym</w:t>
      </w:r>
      <w:r w:rsidR="000505DD" w:rsidRPr="00BB0D27">
        <w:rPr>
          <w:noProof/>
        </w:rPr>
        <w:t xml:space="preserve"> wymogi mające na celu ułatwienie demontażu, dostępu do części zamiennych oraz do informacji</w:t>
      </w:r>
      <w:r w:rsidR="00B73D99" w:rsidRPr="00BB0D27">
        <w:rPr>
          <w:noProof/>
        </w:rPr>
        <w:t xml:space="preserve"> i</w:t>
      </w:r>
      <w:r w:rsidR="00B73D99">
        <w:rPr>
          <w:noProof/>
        </w:rPr>
        <w:t> </w:t>
      </w:r>
      <w:r w:rsidR="00B73D99" w:rsidRPr="00BB0D27">
        <w:rPr>
          <w:noProof/>
        </w:rPr>
        <w:t>nar</w:t>
      </w:r>
      <w:r w:rsidR="000505DD" w:rsidRPr="00BB0D27">
        <w:rPr>
          <w:noProof/>
        </w:rPr>
        <w:t>zędzi związanych</w:t>
      </w:r>
      <w:r w:rsidR="00B73D99" w:rsidRPr="00BB0D27">
        <w:rPr>
          <w:noProof/>
        </w:rPr>
        <w:t xml:space="preserve"> z</w:t>
      </w:r>
      <w:r w:rsidR="00B73D99">
        <w:rPr>
          <w:noProof/>
        </w:rPr>
        <w:t> </w:t>
      </w:r>
      <w:r w:rsidR="00B73D99" w:rsidRPr="00BB0D27">
        <w:rPr>
          <w:noProof/>
        </w:rPr>
        <w:t>nap</w:t>
      </w:r>
      <w:r w:rsidR="000505DD" w:rsidRPr="00BB0D27">
        <w:rPr>
          <w:noProof/>
        </w:rPr>
        <w:t>rawą – mające zastosowanie do produktów lub ich określonych komponentów.</w:t>
      </w:r>
    </w:p>
    <w:p w:rsidR="0002120B" w:rsidRPr="00BB0D27" w:rsidRDefault="0002120B" w:rsidP="0013390F">
      <w:pPr>
        <w:pStyle w:val="Titrearticle"/>
        <w:rPr>
          <w:noProof/>
        </w:rPr>
      </w:pPr>
      <w:r w:rsidRPr="00BB0D27">
        <w:rPr>
          <w:noProof/>
        </w:rPr>
        <w:t>Artykuł 3</w:t>
      </w:r>
    </w:p>
    <w:p w:rsidR="0002120B" w:rsidRPr="00BB0D27" w:rsidRDefault="001C08E5" w:rsidP="00561C56">
      <w:pPr>
        <w:spacing w:before="100" w:beforeAutospacing="1" w:after="100" w:afterAutospacing="1"/>
        <w:jc w:val="center"/>
        <w:rPr>
          <w:rFonts w:eastAsia="Times New Roman"/>
          <w:b/>
          <w:noProof/>
          <w:color w:val="000000"/>
          <w:szCs w:val="24"/>
        </w:rPr>
      </w:pPr>
      <w:r w:rsidRPr="00BB0D27">
        <w:rPr>
          <w:b/>
          <w:noProof/>
          <w:color w:val="000000"/>
        </w:rPr>
        <w:t>Poziom harmonizacji</w:t>
      </w:r>
    </w:p>
    <w:p w:rsidR="001C08E5" w:rsidRPr="00BB0D27" w:rsidRDefault="001C08E5" w:rsidP="001C08E5">
      <w:pPr>
        <w:rPr>
          <w:noProof/>
        </w:rPr>
      </w:pPr>
      <w:r w:rsidRPr="00BB0D27">
        <w:rPr>
          <w:noProof/>
        </w:rPr>
        <w:t>Państwa członkowskie nie mogą utrzymywać</w:t>
      </w:r>
      <w:r w:rsidR="00B73D99" w:rsidRPr="00BB0D27">
        <w:rPr>
          <w:noProof/>
        </w:rPr>
        <w:t xml:space="preserve"> w</w:t>
      </w:r>
      <w:r w:rsidR="00B73D99">
        <w:rPr>
          <w:noProof/>
        </w:rPr>
        <w:t> </w:t>
      </w:r>
      <w:r w:rsidR="00B73D99" w:rsidRPr="00BB0D27">
        <w:rPr>
          <w:noProof/>
        </w:rPr>
        <w:t>swo</w:t>
      </w:r>
      <w:r w:rsidRPr="00BB0D27">
        <w:rPr>
          <w:noProof/>
        </w:rPr>
        <w:t>im prawie krajowym ani wprowadzać do niego przepisów odbiegających od tych, które ustanowiono</w:t>
      </w:r>
      <w:r w:rsidR="00B73D99" w:rsidRPr="00BB0D27">
        <w:rPr>
          <w:noProof/>
        </w:rPr>
        <w:t xml:space="preserve"> w</w:t>
      </w:r>
      <w:r w:rsidR="00B73D99">
        <w:rPr>
          <w:noProof/>
        </w:rPr>
        <w:t> </w:t>
      </w:r>
      <w:r w:rsidR="00B73D99" w:rsidRPr="00BB0D27">
        <w:rPr>
          <w:noProof/>
        </w:rPr>
        <w:t>nin</w:t>
      </w:r>
      <w:r w:rsidRPr="00BB0D27">
        <w:rPr>
          <w:noProof/>
        </w:rPr>
        <w:t>iejszej dyrektywie. </w:t>
      </w:r>
    </w:p>
    <w:p w:rsidR="0002120B" w:rsidRPr="00BB0D27" w:rsidRDefault="0002120B" w:rsidP="001C08E5">
      <w:pPr>
        <w:spacing w:before="100" w:beforeAutospacing="1" w:after="100" w:afterAutospacing="1"/>
        <w:jc w:val="center"/>
        <w:rPr>
          <w:rFonts w:eastAsia="Times New Roman"/>
          <w:i/>
          <w:noProof/>
          <w:color w:val="000000"/>
          <w:sz w:val="27"/>
          <w:szCs w:val="27"/>
        </w:rPr>
      </w:pPr>
      <w:r w:rsidRPr="00BB0D27">
        <w:rPr>
          <w:i/>
          <w:noProof/>
          <w:color w:val="000000"/>
          <w:sz w:val="27"/>
        </w:rPr>
        <w:t>Artykuł 4</w:t>
      </w:r>
    </w:p>
    <w:p w:rsidR="001C08E5" w:rsidRPr="00BB0D27" w:rsidRDefault="00A43FE0" w:rsidP="001C08E5">
      <w:pPr>
        <w:spacing w:before="100" w:beforeAutospacing="1" w:after="100" w:afterAutospacing="1"/>
        <w:jc w:val="center"/>
        <w:rPr>
          <w:rFonts w:eastAsia="Times New Roman"/>
          <w:b/>
          <w:noProof/>
          <w:color w:val="000000"/>
          <w:szCs w:val="24"/>
        </w:rPr>
      </w:pPr>
      <w:r w:rsidRPr="00BB0D27">
        <w:rPr>
          <w:b/>
          <w:noProof/>
          <w:color w:val="000000"/>
        </w:rPr>
        <w:t>Europejski formularz informacji</w:t>
      </w:r>
      <w:r w:rsidR="00B73D99" w:rsidRPr="00BB0D27">
        <w:rPr>
          <w:b/>
          <w:noProof/>
          <w:color w:val="000000"/>
        </w:rPr>
        <w:t xml:space="preserve"> o</w:t>
      </w:r>
      <w:r w:rsidR="00B73D99">
        <w:rPr>
          <w:b/>
          <w:noProof/>
          <w:color w:val="000000"/>
        </w:rPr>
        <w:t> </w:t>
      </w:r>
      <w:r w:rsidR="00B73D99" w:rsidRPr="00BB0D27">
        <w:rPr>
          <w:b/>
          <w:noProof/>
          <w:color w:val="000000"/>
        </w:rPr>
        <w:t>nap</w:t>
      </w:r>
      <w:r w:rsidRPr="00BB0D27">
        <w:rPr>
          <w:b/>
          <w:noProof/>
          <w:color w:val="000000"/>
        </w:rPr>
        <w:t xml:space="preserve">rawie </w:t>
      </w:r>
    </w:p>
    <w:p w:rsidR="0002120B" w:rsidRPr="00BB0D27" w:rsidRDefault="001C4EB9" w:rsidP="001C4EB9">
      <w:pPr>
        <w:pStyle w:val="ManualNumPar1"/>
        <w:rPr>
          <w:noProof/>
        </w:rPr>
      </w:pPr>
      <w:r w:rsidRPr="001C4EB9">
        <w:t>1.</w:t>
      </w:r>
      <w:r w:rsidRPr="001C4EB9">
        <w:tab/>
      </w:r>
      <w:r w:rsidR="0002120B" w:rsidRPr="00BB0D27">
        <w:rPr>
          <w:noProof/>
        </w:rPr>
        <w:t>Państwa członkowskie zapewniają, aby konsument przed zawarciem umowy</w:t>
      </w:r>
      <w:r w:rsidR="00B73D99" w:rsidRPr="00BB0D27">
        <w:rPr>
          <w:noProof/>
        </w:rPr>
        <w:t xml:space="preserve"> o</w:t>
      </w:r>
      <w:r w:rsidR="00B73D99">
        <w:rPr>
          <w:noProof/>
        </w:rPr>
        <w:t> </w:t>
      </w:r>
      <w:r w:rsidR="00B73D99" w:rsidRPr="00BB0D27">
        <w:rPr>
          <w:noProof/>
        </w:rPr>
        <w:t>świ</w:t>
      </w:r>
      <w:r w:rsidR="0002120B" w:rsidRPr="00BB0D27">
        <w:rPr>
          <w:noProof/>
        </w:rPr>
        <w:t>adczenie usług naprawczych otrzymał – na swój wniosek – od podmiotu zajmującego się naprawą europejski formularz informacji</w:t>
      </w:r>
      <w:r w:rsidR="00B73D99" w:rsidRPr="00BB0D27">
        <w:rPr>
          <w:noProof/>
        </w:rPr>
        <w:t xml:space="preserve"> o</w:t>
      </w:r>
      <w:r w:rsidR="00B73D99">
        <w:rPr>
          <w:noProof/>
        </w:rPr>
        <w:t> </w:t>
      </w:r>
      <w:r w:rsidR="00B73D99" w:rsidRPr="00BB0D27">
        <w:rPr>
          <w:noProof/>
        </w:rPr>
        <w:t>nap</w:t>
      </w:r>
      <w:r w:rsidR="0002120B" w:rsidRPr="00BB0D27">
        <w:rPr>
          <w:noProof/>
        </w:rPr>
        <w:t>rawie określony</w:t>
      </w:r>
      <w:r w:rsidR="00B73D99" w:rsidRPr="00BB0D27">
        <w:rPr>
          <w:noProof/>
        </w:rPr>
        <w:t xml:space="preserve"> w</w:t>
      </w:r>
      <w:r w:rsidR="00B73D99">
        <w:rPr>
          <w:noProof/>
        </w:rPr>
        <w:t> </w:t>
      </w:r>
      <w:r w:rsidR="00B73D99" w:rsidRPr="00BB0D27">
        <w:rPr>
          <w:noProof/>
        </w:rPr>
        <w:t>zał</w:t>
      </w:r>
      <w:r w:rsidR="0002120B" w:rsidRPr="00BB0D27">
        <w:rPr>
          <w:noProof/>
        </w:rPr>
        <w:t>ączniku I, przekazany na trwałym nośniku</w:t>
      </w:r>
      <w:r w:rsidR="00B73D99" w:rsidRPr="00BB0D27">
        <w:rPr>
          <w:noProof/>
        </w:rPr>
        <w:t xml:space="preserve"> w</w:t>
      </w:r>
      <w:r w:rsidR="00B73D99">
        <w:rPr>
          <w:noProof/>
        </w:rPr>
        <w:t> </w:t>
      </w:r>
      <w:r w:rsidR="00B73D99" w:rsidRPr="00BB0D27">
        <w:rPr>
          <w:noProof/>
        </w:rPr>
        <w:t>roz</w:t>
      </w:r>
      <w:r w:rsidR="0002120B" w:rsidRPr="00BB0D27">
        <w:rPr>
          <w:noProof/>
        </w:rPr>
        <w:t xml:space="preserve">umieniu </w:t>
      </w:r>
      <w:r w:rsidR="0002120B" w:rsidRPr="00B73D99">
        <w:rPr>
          <w:noProof/>
        </w:rPr>
        <w:t>art.</w:t>
      </w:r>
      <w:r w:rsidR="00B73D99" w:rsidRPr="00B73D99">
        <w:rPr>
          <w:noProof/>
        </w:rPr>
        <w:t> </w:t>
      </w:r>
      <w:r w:rsidR="0002120B" w:rsidRPr="00B73D99">
        <w:rPr>
          <w:noProof/>
        </w:rPr>
        <w:t>2</w:t>
      </w:r>
      <w:r w:rsidR="0002120B" w:rsidRPr="00BB0D27">
        <w:rPr>
          <w:noProof/>
        </w:rPr>
        <w:t xml:space="preserve"> </w:t>
      </w:r>
      <w:r w:rsidR="0002120B" w:rsidRPr="00B73D99">
        <w:rPr>
          <w:noProof/>
        </w:rPr>
        <w:t>pkt</w:t>
      </w:r>
      <w:r w:rsidR="00B73D99" w:rsidRPr="00B73D99">
        <w:rPr>
          <w:noProof/>
        </w:rPr>
        <w:t> </w:t>
      </w:r>
      <w:r w:rsidR="0002120B" w:rsidRPr="00B73D99">
        <w:rPr>
          <w:noProof/>
        </w:rPr>
        <w:t>1</w:t>
      </w:r>
      <w:r w:rsidR="0002120B" w:rsidRPr="00BB0D27">
        <w:rPr>
          <w:noProof/>
        </w:rPr>
        <w:t>1 dyrektywy 2019/771/UE.</w:t>
      </w:r>
    </w:p>
    <w:p w:rsidR="008D7701" w:rsidRPr="00BB0D27" w:rsidRDefault="001C4EB9" w:rsidP="001C4EB9">
      <w:pPr>
        <w:pStyle w:val="ManualNumPar1"/>
        <w:rPr>
          <w:noProof/>
        </w:rPr>
      </w:pPr>
      <w:r w:rsidRPr="001C4EB9">
        <w:t>2.</w:t>
      </w:r>
      <w:r w:rsidRPr="001C4EB9">
        <w:tab/>
      </w:r>
      <w:r w:rsidR="008D7701" w:rsidRPr="00BB0D27">
        <w:rPr>
          <w:noProof/>
        </w:rPr>
        <w:t xml:space="preserve">Podmioty zajmujące się naprawą, których </w:t>
      </w:r>
      <w:r w:rsidR="008D7701" w:rsidRPr="00B73D99">
        <w:rPr>
          <w:noProof/>
        </w:rPr>
        <w:t>art.</w:t>
      </w:r>
      <w:r w:rsidR="00B73D99" w:rsidRPr="00B73D99">
        <w:rPr>
          <w:noProof/>
        </w:rPr>
        <w:t> </w:t>
      </w:r>
      <w:r w:rsidR="008D7701" w:rsidRPr="00B73D99">
        <w:rPr>
          <w:noProof/>
        </w:rPr>
        <w:t>5</w:t>
      </w:r>
      <w:r w:rsidR="008D7701" w:rsidRPr="00BB0D27">
        <w:rPr>
          <w:noProof/>
        </w:rPr>
        <w:t xml:space="preserve"> nie zobowiązuje do dokonania naprawy, nie muszą przekazać konsumentowi europejskiego formularza informacji</w:t>
      </w:r>
      <w:r w:rsidR="00B73D99" w:rsidRPr="00BB0D27">
        <w:rPr>
          <w:noProof/>
        </w:rPr>
        <w:t xml:space="preserve"> o</w:t>
      </w:r>
      <w:r w:rsidR="00B73D99">
        <w:rPr>
          <w:noProof/>
        </w:rPr>
        <w:t> </w:t>
      </w:r>
      <w:r w:rsidR="00B73D99" w:rsidRPr="00BB0D27">
        <w:rPr>
          <w:noProof/>
        </w:rPr>
        <w:t>nap</w:t>
      </w:r>
      <w:r w:rsidR="008D7701" w:rsidRPr="00BB0D27">
        <w:rPr>
          <w:noProof/>
        </w:rPr>
        <w:t>rawie, jeżeli nie zamierzają świadczyć usług naprawczych.</w:t>
      </w:r>
    </w:p>
    <w:p w:rsidR="00864CE9" w:rsidRPr="00BB0D27" w:rsidRDefault="001C4EB9" w:rsidP="001C4EB9">
      <w:pPr>
        <w:pStyle w:val="ManualNumPar1"/>
        <w:rPr>
          <w:noProof/>
        </w:rPr>
      </w:pPr>
      <w:r w:rsidRPr="001C4EB9">
        <w:t>3.</w:t>
      </w:r>
      <w:r w:rsidRPr="001C4EB9">
        <w:tab/>
      </w:r>
      <w:r w:rsidR="008D7701" w:rsidRPr="00BB0D27">
        <w:rPr>
          <w:noProof/>
        </w:rPr>
        <w:t>Podmiot zajmujący się naprawą może zażądać od konsumenta pokrycia niezbędnych kosztów, jakie podmiot ten poniósł</w:t>
      </w:r>
      <w:r w:rsidR="00B73D99" w:rsidRPr="00BB0D27">
        <w:rPr>
          <w:noProof/>
          <w:color w:val="000000"/>
          <w:sz w:val="27"/>
          <w:shd w:val="clear" w:color="auto" w:fill="FFFFFF"/>
        </w:rPr>
        <w:t xml:space="preserve"> </w:t>
      </w:r>
      <w:r w:rsidR="00B73D99" w:rsidRPr="00BB0D27">
        <w:rPr>
          <w:noProof/>
        </w:rPr>
        <w:t>w</w:t>
      </w:r>
      <w:r w:rsidR="00B73D99">
        <w:rPr>
          <w:noProof/>
          <w:color w:val="000000"/>
          <w:sz w:val="27"/>
          <w:shd w:val="clear" w:color="auto" w:fill="FFFFFF"/>
        </w:rPr>
        <w:t> </w:t>
      </w:r>
      <w:r w:rsidR="00B73D99" w:rsidRPr="00BB0D27">
        <w:rPr>
          <w:noProof/>
        </w:rPr>
        <w:t>zwi</w:t>
      </w:r>
      <w:r w:rsidR="008D7701" w:rsidRPr="00BB0D27">
        <w:rPr>
          <w:noProof/>
        </w:rPr>
        <w:t>ązku</w:t>
      </w:r>
      <w:r w:rsidR="00B73D99" w:rsidRPr="00BB0D27">
        <w:rPr>
          <w:noProof/>
        </w:rPr>
        <w:t xml:space="preserve"> z</w:t>
      </w:r>
      <w:r w:rsidR="00B73D99">
        <w:rPr>
          <w:noProof/>
        </w:rPr>
        <w:t> </w:t>
      </w:r>
      <w:r w:rsidR="00B73D99" w:rsidRPr="00BB0D27">
        <w:rPr>
          <w:noProof/>
        </w:rPr>
        <w:t>kon</w:t>
      </w:r>
      <w:r w:rsidR="008D7701" w:rsidRPr="00BB0D27">
        <w:rPr>
          <w:noProof/>
        </w:rPr>
        <w:t>iecznością udostępnienia stosownych informacji na europejskim formularzu informacji</w:t>
      </w:r>
      <w:r w:rsidR="00B73D99" w:rsidRPr="00BB0D27">
        <w:rPr>
          <w:noProof/>
        </w:rPr>
        <w:t xml:space="preserve"> o</w:t>
      </w:r>
      <w:r w:rsidR="00B73D99">
        <w:rPr>
          <w:noProof/>
        </w:rPr>
        <w:t> </w:t>
      </w:r>
      <w:r w:rsidR="00B73D99" w:rsidRPr="00BB0D27">
        <w:rPr>
          <w:noProof/>
        </w:rPr>
        <w:t>nap</w:t>
      </w:r>
      <w:r w:rsidR="008D7701" w:rsidRPr="00BB0D27">
        <w:rPr>
          <w:noProof/>
        </w:rPr>
        <w:t xml:space="preserve">rawie. </w:t>
      </w:r>
    </w:p>
    <w:p w:rsidR="008D7701" w:rsidRPr="00BB0D27" w:rsidRDefault="00864CE9" w:rsidP="000A1AC8">
      <w:pPr>
        <w:ind w:left="851"/>
        <w:rPr>
          <w:noProof/>
        </w:rPr>
      </w:pPr>
      <w:r w:rsidRPr="00BB0D27">
        <w:rPr>
          <w:noProof/>
        </w:rPr>
        <w:t>Bez uszczerbku dla przepisów dyrektywy 2011/83/UE podmiot zajmujący się naprawą informuje konsumenta</w:t>
      </w:r>
      <w:r w:rsidR="00B73D99" w:rsidRPr="00BB0D27">
        <w:rPr>
          <w:noProof/>
        </w:rPr>
        <w:t xml:space="preserve"> o</w:t>
      </w:r>
      <w:r w:rsidR="00B73D99">
        <w:rPr>
          <w:noProof/>
        </w:rPr>
        <w:t> </w:t>
      </w:r>
      <w:r w:rsidR="00B73D99" w:rsidRPr="00BB0D27">
        <w:rPr>
          <w:noProof/>
        </w:rPr>
        <w:t>kos</w:t>
      </w:r>
      <w:r w:rsidRPr="00BB0D27">
        <w:rPr>
          <w:noProof/>
        </w:rPr>
        <w:t>ztach,</w:t>
      </w:r>
      <w:r w:rsidR="00B73D99" w:rsidRPr="00BB0D27">
        <w:rPr>
          <w:noProof/>
        </w:rPr>
        <w:t xml:space="preserve"> o</w:t>
      </w:r>
      <w:r w:rsidR="00B73D99">
        <w:rPr>
          <w:noProof/>
        </w:rPr>
        <w:t> </w:t>
      </w:r>
      <w:r w:rsidR="00B73D99" w:rsidRPr="00BB0D27">
        <w:rPr>
          <w:noProof/>
        </w:rPr>
        <w:t>któ</w:t>
      </w:r>
      <w:r w:rsidRPr="00BB0D27">
        <w:rPr>
          <w:noProof/>
        </w:rPr>
        <w:t>rych mowa</w:t>
      </w:r>
      <w:r w:rsidR="00B73D99" w:rsidRPr="00BB0D27">
        <w:rPr>
          <w:noProof/>
        </w:rPr>
        <w:t xml:space="preserve"> w</w:t>
      </w:r>
      <w:r w:rsidR="00B73D99">
        <w:rPr>
          <w:noProof/>
        </w:rPr>
        <w:t> </w:t>
      </w:r>
      <w:r w:rsidR="00B73D99" w:rsidRPr="00BB0D27">
        <w:rPr>
          <w:noProof/>
        </w:rPr>
        <w:t>aka</w:t>
      </w:r>
      <w:r w:rsidRPr="00BB0D27">
        <w:rPr>
          <w:noProof/>
        </w:rPr>
        <w:t>picie pierwszym, zanim konsument wystąpi</w:t>
      </w:r>
      <w:r w:rsidR="00B73D99" w:rsidRPr="00BB0D27">
        <w:rPr>
          <w:noProof/>
        </w:rPr>
        <w:t xml:space="preserve"> o</w:t>
      </w:r>
      <w:r w:rsidR="00B73D99">
        <w:rPr>
          <w:noProof/>
        </w:rPr>
        <w:t> </w:t>
      </w:r>
      <w:r w:rsidR="00B73D99" w:rsidRPr="00BB0D27">
        <w:rPr>
          <w:noProof/>
        </w:rPr>
        <w:t>prz</w:t>
      </w:r>
      <w:r w:rsidRPr="00BB0D27">
        <w:rPr>
          <w:noProof/>
        </w:rPr>
        <w:t>ekazanie mu europejskiego formularza informacji</w:t>
      </w:r>
      <w:r w:rsidR="00B73D99" w:rsidRPr="00BB0D27">
        <w:rPr>
          <w:noProof/>
        </w:rPr>
        <w:t xml:space="preserve"> o</w:t>
      </w:r>
      <w:r w:rsidR="00B73D99">
        <w:rPr>
          <w:noProof/>
        </w:rPr>
        <w:t> </w:t>
      </w:r>
      <w:r w:rsidR="00B73D99" w:rsidRPr="00BB0D27">
        <w:rPr>
          <w:noProof/>
        </w:rPr>
        <w:t>nap</w:t>
      </w:r>
      <w:r w:rsidRPr="00BB0D27">
        <w:rPr>
          <w:noProof/>
        </w:rPr>
        <w:t>rawie.</w:t>
      </w:r>
    </w:p>
    <w:p w:rsidR="006145CD" w:rsidRPr="00BB0D27" w:rsidRDefault="001C4EB9" w:rsidP="001C4EB9">
      <w:pPr>
        <w:pStyle w:val="ManualNumPar1"/>
        <w:rPr>
          <w:noProof/>
        </w:rPr>
      </w:pPr>
      <w:r w:rsidRPr="001C4EB9">
        <w:t>4.</w:t>
      </w:r>
      <w:r w:rsidRPr="001C4EB9">
        <w:tab/>
      </w:r>
      <w:r w:rsidR="006145CD" w:rsidRPr="00BB0D27">
        <w:rPr>
          <w:noProof/>
        </w:rPr>
        <w:t>W europejskim formularzu informacji</w:t>
      </w:r>
      <w:r w:rsidR="00B73D99" w:rsidRPr="00BB0D27">
        <w:rPr>
          <w:noProof/>
        </w:rPr>
        <w:t xml:space="preserve"> o</w:t>
      </w:r>
      <w:r w:rsidR="00B73D99">
        <w:rPr>
          <w:noProof/>
        </w:rPr>
        <w:t> </w:t>
      </w:r>
      <w:r w:rsidR="00B73D99" w:rsidRPr="00BB0D27">
        <w:rPr>
          <w:noProof/>
        </w:rPr>
        <w:t>nap</w:t>
      </w:r>
      <w:r w:rsidR="006145CD" w:rsidRPr="00BB0D27">
        <w:rPr>
          <w:noProof/>
        </w:rPr>
        <w:t>rawie przedstawia się następujące informacje</w:t>
      </w:r>
      <w:r w:rsidR="00B73D99" w:rsidRPr="00BB0D27">
        <w:rPr>
          <w:noProof/>
        </w:rPr>
        <w:t xml:space="preserve"> o</w:t>
      </w:r>
      <w:r w:rsidR="00B73D99">
        <w:rPr>
          <w:noProof/>
        </w:rPr>
        <w:t> </w:t>
      </w:r>
      <w:r w:rsidR="00B73D99" w:rsidRPr="00BB0D27">
        <w:rPr>
          <w:noProof/>
        </w:rPr>
        <w:t>war</w:t>
      </w:r>
      <w:r w:rsidR="006145CD" w:rsidRPr="00BB0D27">
        <w:rPr>
          <w:noProof/>
        </w:rPr>
        <w:t>unkach naprawy</w:t>
      </w:r>
      <w:r w:rsidR="00B73D99" w:rsidRPr="00BB0D27">
        <w:rPr>
          <w:noProof/>
        </w:rPr>
        <w:t xml:space="preserve"> w</w:t>
      </w:r>
      <w:r w:rsidR="00B73D99">
        <w:rPr>
          <w:noProof/>
        </w:rPr>
        <w:t> </w:t>
      </w:r>
      <w:r w:rsidR="00B73D99" w:rsidRPr="00BB0D27">
        <w:rPr>
          <w:noProof/>
        </w:rPr>
        <w:t>jas</w:t>
      </w:r>
      <w:r w:rsidR="006145CD" w:rsidRPr="00BB0D27">
        <w:rPr>
          <w:noProof/>
        </w:rPr>
        <w:t>ny</w:t>
      </w:r>
      <w:r w:rsidR="00B73D99" w:rsidRPr="00BB0D27">
        <w:rPr>
          <w:noProof/>
        </w:rPr>
        <w:t xml:space="preserve"> i</w:t>
      </w:r>
      <w:r w:rsidR="00B73D99">
        <w:rPr>
          <w:noProof/>
        </w:rPr>
        <w:t> </w:t>
      </w:r>
      <w:r w:rsidR="00B73D99" w:rsidRPr="00BB0D27">
        <w:rPr>
          <w:noProof/>
        </w:rPr>
        <w:t>zro</w:t>
      </w:r>
      <w:r w:rsidR="006145CD" w:rsidRPr="00BB0D27">
        <w:rPr>
          <w:noProof/>
        </w:rPr>
        <w:t>zumiały sposób: </w:t>
      </w:r>
    </w:p>
    <w:p w:rsidR="008D7701" w:rsidRPr="00BB0D27" w:rsidRDefault="00B73D99" w:rsidP="00B73D99">
      <w:pPr>
        <w:pStyle w:val="Point1"/>
        <w:rPr>
          <w:rStyle w:val="eop"/>
          <w:noProof/>
          <w:color w:val="000000"/>
          <w:szCs w:val="24"/>
        </w:rPr>
      </w:pPr>
      <w:r>
        <w:rPr>
          <w:rStyle w:val="normaltextrun"/>
          <w:noProof/>
          <w:color w:val="000000"/>
        </w:rPr>
        <w:t>a)</w:t>
      </w:r>
      <w:r>
        <w:rPr>
          <w:rStyle w:val="normaltextrun"/>
          <w:noProof/>
          <w:color w:val="000000"/>
        </w:rPr>
        <w:tab/>
      </w:r>
      <w:r w:rsidR="00B94D02" w:rsidRPr="00BB0D27">
        <w:rPr>
          <w:rStyle w:val="normaltextrun"/>
          <w:noProof/>
          <w:color w:val="000000"/>
        </w:rPr>
        <w:t>dane służące identyfikacji podmiotu zajmującego się naprawą;</w:t>
      </w:r>
    </w:p>
    <w:p w:rsidR="008D7701" w:rsidRPr="00BB0D27" w:rsidRDefault="00B73D99" w:rsidP="00B73D99">
      <w:pPr>
        <w:pStyle w:val="Point1"/>
        <w:rPr>
          <w:noProof/>
        </w:rPr>
      </w:pPr>
      <w:r>
        <w:rPr>
          <w:rStyle w:val="normaltextrun"/>
          <w:noProof/>
          <w:color w:val="000000"/>
        </w:rPr>
        <w:t>b)</w:t>
      </w:r>
      <w:r>
        <w:rPr>
          <w:rStyle w:val="normaltextrun"/>
          <w:noProof/>
          <w:color w:val="000000"/>
        </w:rPr>
        <w:tab/>
      </w:r>
      <w:r w:rsidR="008D7701" w:rsidRPr="00BB0D27">
        <w:rPr>
          <w:rStyle w:val="normaltextrun"/>
          <w:noProof/>
          <w:color w:val="000000"/>
        </w:rPr>
        <w:t>pełny adres siedziby podmiotu zajmującego się naprawą, jego numer telefonu, adres poczty elektronicznej oraz inne środki komunikacji online, umożliwiające konsumentowi szybkie</w:t>
      </w:r>
      <w:r w:rsidRPr="00BB0D27">
        <w:rPr>
          <w:rStyle w:val="normaltextrun"/>
          <w:noProof/>
          <w:color w:val="000000"/>
        </w:rPr>
        <w:t xml:space="preserve"> i</w:t>
      </w:r>
      <w:r>
        <w:rPr>
          <w:rStyle w:val="normaltextrun"/>
          <w:noProof/>
          <w:color w:val="000000"/>
        </w:rPr>
        <w:t> </w:t>
      </w:r>
      <w:r w:rsidRPr="00BB0D27">
        <w:rPr>
          <w:rStyle w:val="normaltextrun"/>
          <w:noProof/>
          <w:color w:val="000000"/>
        </w:rPr>
        <w:t>sku</w:t>
      </w:r>
      <w:r w:rsidR="008D7701" w:rsidRPr="00BB0D27">
        <w:rPr>
          <w:rStyle w:val="normaltextrun"/>
          <w:noProof/>
          <w:color w:val="000000"/>
        </w:rPr>
        <w:t>teczne skontaktowanie się</w:t>
      </w:r>
      <w:r w:rsidRPr="00BB0D27">
        <w:rPr>
          <w:rStyle w:val="normaltextrun"/>
          <w:noProof/>
          <w:color w:val="000000"/>
        </w:rPr>
        <w:t xml:space="preserve"> i</w:t>
      </w:r>
      <w:r>
        <w:rPr>
          <w:rStyle w:val="normaltextrun"/>
          <w:noProof/>
          <w:color w:val="000000"/>
        </w:rPr>
        <w:t> </w:t>
      </w:r>
      <w:r w:rsidRPr="00BB0D27">
        <w:rPr>
          <w:rStyle w:val="normaltextrun"/>
          <w:noProof/>
          <w:color w:val="000000"/>
        </w:rPr>
        <w:t>por</w:t>
      </w:r>
      <w:r w:rsidR="008D7701" w:rsidRPr="00BB0D27">
        <w:rPr>
          <w:rStyle w:val="normaltextrun"/>
          <w:noProof/>
          <w:color w:val="000000"/>
        </w:rPr>
        <w:t>ozumiewanie się</w:t>
      </w:r>
      <w:r w:rsidRPr="00BB0D27">
        <w:rPr>
          <w:rStyle w:val="normaltextrun"/>
          <w:noProof/>
          <w:color w:val="000000"/>
        </w:rPr>
        <w:t xml:space="preserve"> z</w:t>
      </w:r>
      <w:r>
        <w:rPr>
          <w:rStyle w:val="normaltextrun"/>
          <w:noProof/>
          <w:color w:val="000000"/>
        </w:rPr>
        <w:t> </w:t>
      </w:r>
      <w:r w:rsidRPr="00BB0D27">
        <w:rPr>
          <w:rStyle w:val="normaltextrun"/>
          <w:noProof/>
          <w:color w:val="000000"/>
        </w:rPr>
        <w:t>pod</w:t>
      </w:r>
      <w:r w:rsidR="008D7701" w:rsidRPr="00BB0D27">
        <w:rPr>
          <w:rStyle w:val="normaltextrun"/>
          <w:noProof/>
          <w:color w:val="000000"/>
        </w:rPr>
        <w:t>miotem zajmującym się naprawą;</w:t>
      </w:r>
    </w:p>
    <w:p w:rsidR="008D7701" w:rsidRPr="00B73D99" w:rsidRDefault="00B73D99" w:rsidP="00B73D99">
      <w:pPr>
        <w:pStyle w:val="Point1"/>
        <w:rPr>
          <w:noProof/>
        </w:rPr>
      </w:pPr>
      <w:r>
        <w:rPr>
          <w:rStyle w:val="normaltextrun"/>
          <w:noProof/>
          <w:color w:val="000000"/>
        </w:rPr>
        <w:t>c)</w:t>
      </w:r>
      <w:r>
        <w:rPr>
          <w:rStyle w:val="normaltextrun"/>
          <w:noProof/>
          <w:color w:val="000000"/>
        </w:rPr>
        <w:tab/>
      </w:r>
      <w:r w:rsidR="00A43FE0" w:rsidRPr="00BB0D27">
        <w:rPr>
          <w:rStyle w:val="normaltextrun"/>
          <w:noProof/>
          <w:color w:val="000000"/>
        </w:rPr>
        <w:t>towar, który ma zostać naprawiony;</w:t>
      </w:r>
    </w:p>
    <w:p w:rsidR="008D7701" w:rsidRPr="00B73D99" w:rsidRDefault="00B73D99" w:rsidP="00B73D99">
      <w:pPr>
        <w:pStyle w:val="Point1"/>
        <w:rPr>
          <w:noProof/>
        </w:rPr>
      </w:pPr>
      <w:r>
        <w:rPr>
          <w:rStyle w:val="normaltextrun"/>
          <w:noProof/>
          <w:color w:val="000000"/>
        </w:rPr>
        <w:t>d)</w:t>
      </w:r>
      <w:r>
        <w:rPr>
          <w:rStyle w:val="normaltextrun"/>
          <w:noProof/>
          <w:color w:val="000000"/>
        </w:rPr>
        <w:tab/>
      </w:r>
      <w:r w:rsidR="008D7701" w:rsidRPr="00B73D99">
        <w:rPr>
          <w:rStyle w:val="normaltextrun"/>
          <w:noProof/>
          <w:color w:val="000000"/>
        </w:rPr>
        <w:t>c</w:t>
      </w:r>
      <w:r w:rsidR="008D7701" w:rsidRPr="00BB0D27">
        <w:rPr>
          <w:rStyle w:val="normaltextrun"/>
          <w:noProof/>
          <w:color w:val="000000"/>
        </w:rPr>
        <w:t>harakter wady</w:t>
      </w:r>
      <w:r w:rsidRPr="00BB0D27">
        <w:rPr>
          <w:rStyle w:val="normaltextrun"/>
          <w:noProof/>
          <w:color w:val="000000"/>
        </w:rPr>
        <w:t xml:space="preserve"> i</w:t>
      </w:r>
      <w:r>
        <w:rPr>
          <w:rStyle w:val="normaltextrun"/>
          <w:noProof/>
          <w:color w:val="000000"/>
        </w:rPr>
        <w:t> </w:t>
      </w:r>
      <w:r w:rsidRPr="00BB0D27">
        <w:rPr>
          <w:rStyle w:val="normaltextrun"/>
          <w:noProof/>
          <w:color w:val="000000"/>
        </w:rPr>
        <w:t>sug</w:t>
      </w:r>
      <w:r w:rsidR="008D7701" w:rsidRPr="00BB0D27">
        <w:rPr>
          <w:rStyle w:val="normaltextrun"/>
          <w:noProof/>
          <w:color w:val="000000"/>
        </w:rPr>
        <w:t>erowany rodzaj naprawy;</w:t>
      </w:r>
    </w:p>
    <w:p w:rsidR="008D7701" w:rsidRPr="00B73D99" w:rsidRDefault="00B73D99" w:rsidP="00B73D99">
      <w:pPr>
        <w:pStyle w:val="Point1"/>
        <w:rPr>
          <w:noProof/>
        </w:rPr>
      </w:pPr>
      <w:r>
        <w:rPr>
          <w:rStyle w:val="normaltextrun"/>
          <w:noProof/>
          <w:color w:val="000000"/>
        </w:rPr>
        <w:t>e)</w:t>
      </w:r>
      <w:r>
        <w:rPr>
          <w:rStyle w:val="normaltextrun"/>
          <w:noProof/>
          <w:color w:val="000000"/>
        </w:rPr>
        <w:tab/>
      </w:r>
      <w:r w:rsidR="008D7701" w:rsidRPr="00B73D99">
        <w:rPr>
          <w:rStyle w:val="normaltextrun"/>
          <w:noProof/>
          <w:color w:val="000000"/>
        </w:rPr>
        <w:t>c</w:t>
      </w:r>
      <w:r w:rsidR="008D7701" w:rsidRPr="00BB0D27">
        <w:rPr>
          <w:rStyle w:val="normaltextrun"/>
          <w:noProof/>
          <w:color w:val="000000"/>
        </w:rPr>
        <w:t>ena lub – jeżeli nie można jej</w:t>
      </w:r>
      <w:r w:rsidRPr="00BB0D27">
        <w:rPr>
          <w:rStyle w:val="normaltextrun"/>
          <w:noProof/>
          <w:color w:val="000000"/>
        </w:rPr>
        <w:t xml:space="preserve"> w</w:t>
      </w:r>
      <w:r>
        <w:rPr>
          <w:rStyle w:val="normaltextrun"/>
          <w:noProof/>
          <w:color w:val="000000"/>
        </w:rPr>
        <w:t> </w:t>
      </w:r>
      <w:r w:rsidRPr="00BB0D27">
        <w:rPr>
          <w:rStyle w:val="normaltextrun"/>
          <w:noProof/>
          <w:color w:val="000000"/>
        </w:rPr>
        <w:t>spo</w:t>
      </w:r>
      <w:r w:rsidR="008D7701" w:rsidRPr="00BB0D27">
        <w:rPr>
          <w:rStyle w:val="normaltextrun"/>
          <w:noProof/>
          <w:color w:val="000000"/>
        </w:rPr>
        <w:t>sób racjonalny obliczyć</w:t>
      </w:r>
      <w:r w:rsidRPr="00BB0D27">
        <w:rPr>
          <w:rStyle w:val="normaltextrun"/>
          <w:noProof/>
          <w:color w:val="000000"/>
        </w:rPr>
        <w:t xml:space="preserve"> z</w:t>
      </w:r>
      <w:r>
        <w:rPr>
          <w:rStyle w:val="normaltextrun"/>
          <w:noProof/>
          <w:color w:val="000000"/>
        </w:rPr>
        <w:t> </w:t>
      </w:r>
      <w:r w:rsidRPr="00BB0D27">
        <w:rPr>
          <w:rStyle w:val="normaltextrun"/>
          <w:noProof/>
          <w:color w:val="000000"/>
        </w:rPr>
        <w:t>wyp</w:t>
      </w:r>
      <w:r w:rsidR="008D7701" w:rsidRPr="00BB0D27">
        <w:rPr>
          <w:rStyle w:val="normaltextrun"/>
          <w:noProof/>
          <w:color w:val="000000"/>
        </w:rPr>
        <w:t>rzedzeniem – sposób,</w:t>
      </w:r>
      <w:r w:rsidRPr="00BB0D27">
        <w:rPr>
          <w:rStyle w:val="normaltextrun"/>
          <w:noProof/>
          <w:color w:val="000000"/>
        </w:rPr>
        <w:t xml:space="preserve"> w</w:t>
      </w:r>
      <w:r>
        <w:rPr>
          <w:rStyle w:val="normaltextrun"/>
          <w:noProof/>
          <w:color w:val="000000"/>
        </w:rPr>
        <w:t> </w:t>
      </w:r>
      <w:r w:rsidRPr="00BB0D27">
        <w:rPr>
          <w:rStyle w:val="normaltextrun"/>
          <w:noProof/>
          <w:color w:val="000000"/>
        </w:rPr>
        <w:t>jak</w:t>
      </w:r>
      <w:r w:rsidR="008D7701" w:rsidRPr="00BB0D27">
        <w:rPr>
          <w:rStyle w:val="normaltextrun"/>
          <w:noProof/>
          <w:color w:val="000000"/>
        </w:rPr>
        <w:t>i zostanie ona obliczona, oraz maksymalna wysokość ceny naprawy;</w:t>
      </w:r>
    </w:p>
    <w:p w:rsidR="008D7701" w:rsidRPr="00B73D99" w:rsidRDefault="00B73D99" w:rsidP="00B73D99">
      <w:pPr>
        <w:pStyle w:val="Point1"/>
        <w:rPr>
          <w:noProof/>
        </w:rPr>
      </w:pPr>
      <w:r>
        <w:rPr>
          <w:rStyle w:val="normaltextrun"/>
          <w:noProof/>
          <w:color w:val="000000"/>
        </w:rPr>
        <w:t>f)</w:t>
      </w:r>
      <w:r>
        <w:rPr>
          <w:rStyle w:val="normaltextrun"/>
          <w:noProof/>
          <w:color w:val="000000"/>
        </w:rPr>
        <w:tab/>
      </w:r>
      <w:r w:rsidR="008D7701" w:rsidRPr="00B73D99">
        <w:rPr>
          <w:rStyle w:val="normaltextrun"/>
          <w:noProof/>
          <w:color w:val="000000"/>
        </w:rPr>
        <w:t>o</w:t>
      </w:r>
      <w:r w:rsidR="008D7701" w:rsidRPr="00BB0D27">
        <w:rPr>
          <w:rStyle w:val="normaltextrun"/>
          <w:noProof/>
          <w:color w:val="000000"/>
        </w:rPr>
        <w:t>rientacyjny czas potrzebny na dokonanie naprawy;</w:t>
      </w:r>
    </w:p>
    <w:p w:rsidR="008D7701" w:rsidRPr="00BB0D27" w:rsidRDefault="00B73D99" w:rsidP="00B73D99">
      <w:pPr>
        <w:pStyle w:val="Point1"/>
        <w:rPr>
          <w:rStyle w:val="normaltextrun"/>
          <w:noProof/>
          <w:szCs w:val="24"/>
        </w:rPr>
      </w:pPr>
      <w:r>
        <w:rPr>
          <w:rStyle w:val="normaltextrun"/>
          <w:noProof/>
          <w:color w:val="000000"/>
        </w:rPr>
        <w:t>g)</w:t>
      </w:r>
      <w:r>
        <w:rPr>
          <w:rStyle w:val="normaltextrun"/>
          <w:noProof/>
          <w:color w:val="000000"/>
        </w:rPr>
        <w:tab/>
      </w:r>
      <w:r w:rsidR="008D7701" w:rsidRPr="00B73D99">
        <w:rPr>
          <w:rStyle w:val="normaltextrun"/>
          <w:noProof/>
          <w:color w:val="000000"/>
        </w:rPr>
        <w:t>d</w:t>
      </w:r>
      <w:r w:rsidR="008D7701" w:rsidRPr="00BB0D27">
        <w:rPr>
          <w:rStyle w:val="normaltextrun"/>
          <w:noProof/>
          <w:color w:val="000000"/>
        </w:rPr>
        <w:t>ostępność tymczasowych towarów zastępczych na czas naprawy oraz,</w:t>
      </w:r>
      <w:r w:rsidRPr="00BB0D27">
        <w:rPr>
          <w:rStyle w:val="normaltextrun"/>
          <w:noProof/>
          <w:color w:val="000000"/>
        </w:rPr>
        <w:t xml:space="preserve"> w</w:t>
      </w:r>
      <w:r>
        <w:rPr>
          <w:rStyle w:val="normaltextrun"/>
          <w:noProof/>
          <w:color w:val="000000"/>
        </w:rPr>
        <w:t> </w:t>
      </w:r>
      <w:r w:rsidRPr="00BB0D27">
        <w:rPr>
          <w:rStyle w:val="normaltextrun"/>
          <w:noProof/>
          <w:color w:val="000000"/>
        </w:rPr>
        <w:t>sto</w:t>
      </w:r>
      <w:r w:rsidR="008D7701" w:rsidRPr="00BB0D27">
        <w:rPr>
          <w:rStyle w:val="normaltextrun"/>
          <w:noProof/>
          <w:color w:val="000000"/>
        </w:rPr>
        <w:t>sownych przypadkach, ich koszty, które konsument będzie zobowiązany pokryć;</w:t>
      </w:r>
    </w:p>
    <w:p w:rsidR="00204CF6" w:rsidRPr="00BB0D27" w:rsidRDefault="00B73D99" w:rsidP="00B73D99">
      <w:pPr>
        <w:pStyle w:val="Point1"/>
        <w:rPr>
          <w:noProof/>
        </w:rPr>
      </w:pPr>
      <w:r>
        <w:rPr>
          <w:noProof/>
        </w:rPr>
        <w:t>h)</w:t>
      </w:r>
      <w:r>
        <w:rPr>
          <w:noProof/>
        </w:rPr>
        <w:tab/>
      </w:r>
      <w:r w:rsidR="00204CF6" w:rsidRPr="00BB0D27">
        <w:rPr>
          <w:noProof/>
        </w:rPr>
        <w:t>miejsce dostarczenia przez konsumenta towarów przeznaczonych do naprawy; </w:t>
      </w:r>
    </w:p>
    <w:p w:rsidR="008D7701" w:rsidRPr="00BB0D27" w:rsidRDefault="00B73D99" w:rsidP="00B73D99">
      <w:pPr>
        <w:pStyle w:val="Point1"/>
        <w:rPr>
          <w:noProof/>
        </w:rPr>
      </w:pPr>
      <w:r>
        <w:rPr>
          <w:noProof/>
        </w:rPr>
        <w:t>i)</w:t>
      </w:r>
      <w:r>
        <w:rPr>
          <w:noProof/>
        </w:rPr>
        <w:tab/>
      </w:r>
      <w:r w:rsidR="00204CF6" w:rsidRPr="00BB0D27">
        <w:rPr>
          <w:noProof/>
        </w:rPr>
        <w:t>w stosownych przypadkach dostępność usług dodatkowych oferowanych przez podmiot zajmujący się naprawą, takich jak usunięcie, instalacja</w:t>
      </w:r>
      <w:r w:rsidRPr="00BB0D27">
        <w:rPr>
          <w:noProof/>
        </w:rPr>
        <w:t xml:space="preserve"> i</w:t>
      </w:r>
      <w:r>
        <w:rPr>
          <w:noProof/>
        </w:rPr>
        <w:t> </w:t>
      </w:r>
      <w:r w:rsidRPr="00BB0D27">
        <w:rPr>
          <w:noProof/>
        </w:rPr>
        <w:t>tra</w:t>
      </w:r>
      <w:r w:rsidR="00204CF6" w:rsidRPr="00BB0D27">
        <w:rPr>
          <w:noProof/>
        </w:rPr>
        <w:t>nsport,</w:t>
      </w:r>
      <w:r w:rsidRPr="00BB0D27">
        <w:rPr>
          <w:noProof/>
        </w:rPr>
        <w:t xml:space="preserve"> a</w:t>
      </w:r>
      <w:r>
        <w:rPr>
          <w:noProof/>
        </w:rPr>
        <w:t> </w:t>
      </w:r>
      <w:r w:rsidRPr="00BB0D27">
        <w:rPr>
          <w:noProof/>
        </w:rPr>
        <w:t>tak</w:t>
      </w:r>
      <w:r w:rsidR="00204CF6" w:rsidRPr="00BB0D27">
        <w:rPr>
          <w:noProof/>
        </w:rPr>
        <w:t>że ewentualne koszty takich usług, spoczywające na konsumencie.</w:t>
      </w:r>
    </w:p>
    <w:p w:rsidR="00204CF6" w:rsidRPr="00BB0D27" w:rsidRDefault="001C4EB9" w:rsidP="001C4EB9">
      <w:pPr>
        <w:pStyle w:val="ManualNumPar1"/>
        <w:rPr>
          <w:noProof/>
        </w:rPr>
      </w:pPr>
      <w:r w:rsidRPr="001C4EB9">
        <w:t>5.</w:t>
      </w:r>
      <w:r w:rsidRPr="001C4EB9">
        <w:tab/>
      </w:r>
      <w:r w:rsidR="00204CF6" w:rsidRPr="00BB0D27">
        <w:rPr>
          <w:noProof/>
        </w:rPr>
        <w:t>Podmiot zajmujący się naprawą nie może zmienić warunków naprawy określonych</w:t>
      </w:r>
      <w:r w:rsidR="00B73D99" w:rsidRPr="00BB0D27">
        <w:rPr>
          <w:noProof/>
        </w:rPr>
        <w:t xml:space="preserve"> w</w:t>
      </w:r>
      <w:r w:rsidR="00B73D99">
        <w:rPr>
          <w:noProof/>
        </w:rPr>
        <w:t> </w:t>
      </w:r>
      <w:r w:rsidR="00B73D99" w:rsidRPr="00BB0D27">
        <w:rPr>
          <w:noProof/>
        </w:rPr>
        <w:t>eur</w:t>
      </w:r>
      <w:r w:rsidR="00204CF6" w:rsidRPr="00BB0D27">
        <w:rPr>
          <w:noProof/>
        </w:rPr>
        <w:t>opejskim formularzu informacji</w:t>
      </w:r>
      <w:r w:rsidR="00B73D99" w:rsidRPr="00BB0D27">
        <w:rPr>
          <w:noProof/>
        </w:rPr>
        <w:t xml:space="preserve"> o</w:t>
      </w:r>
      <w:r w:rsidR="00B73D99">
        <w:rPr>
          <w:noProof/>
        </w:rPr>
        <w:t> </w:t>
      </w:r>
      <w:r w:rsidR="00B73D99" w:rsidRPr="00BB0D27">
        <w:rPr>
          <w:noProof/>
        </w:rPr>
        <w:t>nap</w:t>
      </w:r>
      <w:r w:rsidR="00204CF6" w:rsidRPr="00BB0D27">
        <w:rPr>
          <w:noProof/>
        </w:rPr>
        <w:t>rawie przez okres 30 dni kalendarzowych od dnia przekazania tego formularza konsumentowi, chyba że podmiot zajmujący się naprawą</w:t>
      </w:r>
      <w:r w:rsidR="00B73D99" w:rsidRPr="00BB0D27">
        <w:rPr>
          <w:noProof/>
        </w:rPr>
        <w:t xml:space="preserve"> i</w:t>
      </w:r>
      <w:r w:rsidR="00B73D99">
        <w:rPr>
          <w:noProof/>
        </w:rPr>
        <w:t> </w:t>
      </w:r>
      <w:r w:rsidR="00B73D99" w:rsidRPr="00BB0D27">
        <w:rPr>
          <w:noProof/>
        </w:rPr>
        <w:t>kon</w:t>
      </w:r>
      <w:r w:rsidR="00204CF6" w:rsidRPr="00BB0D27">
        <w:rPr>
          <w:noProof/>
        </w:rPr>
        <w:t>sument</w:t>
      </w:r>
      <w:r w:rsidR="00204CF6" w:rsidRPr="00BB0D27">
        <w:rPr>
          <w:noProof/>
          <w:color w:val="000000"/>
          <w:sz w:val="27"/>
          <w:shd w:val="clear" w:color="auto" w:fill="FFFFFF"/>
        </w:rPr>
        <w:t xml:space="preserve"> </w:t>
      </w:r>
      <w:r w:rsidR="00204CF6" w:rsidRPr="00BB0D27">
        <w:rPr>
          <w:noProof/>
        </w:rPr>
        <w:t>uzgodnili inaczej</w:t>
      </w:r>
      <w:r w:rsidR="00B73D99" w:rsidRPr="00BB0D27">
        <w:rPr>
          <w:noProof/>
        </w:rPr>
        <w:t>. W</w:t>
      </w:r>
      <w:r w:rsidR="00B73D99">
        <w:rPr>
          <w:noProof/>
        </w:rPr>
        <w:t> </w:t>
      </w:r>
      <w:r w:rsidR="00B73D99" w:rsidRPr="00BB0D27">
        <w:rPr>
          <w:noProof/>
        </w:rPr>
        <w:t>prz</w:t>
      </w:r>
      <w:r w:rsidR="00204CF6" w:rsidRPr="00BB0D27">
        <w:rPr>
          <w:noProof/>
        </w:rPr>
        <w:t>ypadku zawarcia umowy</w:t>
      </w:r>
      <w:r w:rsidR="00B73D99" w:rsidRPr="00BB0D27">
        <w:rPr>
          <w:noProof/>
        </w:rPr>
        <w:t xml:space="preserve"> o</w:t>
      </w:r>
      <w:r w:rsidR="00B73D99">
        <w:rPr>
          <w:noProof/>
        </w:rPr>
        <w:t> </w:t>
      </w:r>
      <w:r w:rsidR="00B73D99" w:rsidRPr="00BB0D27">
        <w:rPr>
          <w:noProof/>
        </w:rPr>
        <w:t>świ</w:t>
      </w:r>
      <w:r w:rsidR="00204CF6" w:rsidRPr="00BB0D27">
        <w:rPr>
          <w:noProof/>
        </w:rPr>
        <w:t>adczenie usług naprawczych</w:t>
      </w:r>
      <w:r w:rsidR="00B73D99" w:rsidRPr="00BB0D27">
        <w:rPr>
          <w:noProof/>
        </w:rPr>
        <w:t xml:space="preserve"> w</w:t>
      </w:r>
      <w:r w:rsidR="00B73D99">
        <w:rPr>
          <w:noProof/>
        </w:rPr>
        <w:t> </w:t>
      </w:r>
      <w:r w:rsidR="00B73D99" w:rsidRPr="00BB0D27">
        <w:rPr>
          <w:noProof/>
        </w:rPr>
        <w:t>cią</w:t>
      </w:r>
      <w:r w:rsidR="00204CF6" w:rsidRPr="00BB0D27">
        <w:rPr>
          <w:noProof/>
        </w:rPr>
        <w:t>gu tych 30 dni warunki naprawy określone</w:t>
      </w:r>
      <w:r w:rsidR="00B73D99" w:rsidRPr="00BB0D27">
        <w:rPr>
          <w:noProof/>
        </w:rPr>
        <w:t xml:space="preserve"> w</w:t>
      </w:r>
      <w:r w:rsidR="00B73D99">
        <w:rPr>
          <w:noProof/>
        </w:rPr>
        <w:t> </w:t>
      </w:r>
      <w:r w:rsidR="00B73D99" w:rsidRPr="00BB0D27">
        <w:rPr>
          <w:noProof/>
        </w:rPr>
        <w:t>eur</w:t>
      </w:r>
      <w:r w:rsidR="00204CF6" w:rsidRPr="00BB0D27">
        <w:rPr>
          <w:noProof/>
        </w:rPr>
        <w:t>opejskim formularzu informacji</w:t>
      </w:r>
      <w:r w:rsidR="00B73D99" w:rsidRPr="00BB0D27">
        <w:rPr>
          <w:noProof/>
        </w:rPr>
        <w:t xml:space="preserve"> o</w:t>
      </w:r>
      <w:r w:rsidR="00B73D99">
        <w:rPr>
          <w:noProof/>
        </w:rPr>
        <w:t> </w:t>
      </w:r>
      <w:r w:rsidR="00B73D99" w:rsidRPr="00BB0D27">
        <w:rPr>
          <w:noProof/>
        </w:rPr>
        <w:t>nap</w:t>
      </w:r>
      <w:r w:rsidR="00204CF6" w:rsidRPr="00BB0D27">
        <w:rPr>
          <w:noProof/>
        </w:rPr>
        <w:t>rawie stają się integralną częścią tej umowy.</w:t>
      </w:r>
    </w:p>
    <w:p w:rsidR="00955FA7" w:rsidRPr="00BB0D27" w:rsidRDefault="001C4EB9" w:rsidP="001C4EB9">
      <w:pPr>
        <w:pStyle w:val="ManualNumPar1"/>
        <w:rPr>
          <w:noProof/>
        </w:rPr>
      </w:pPr>
      <w:r w:rsidRPr="001C4EB9">
        <w:t>6.</w:t>
      </w:r>
      <w:r w:rsidRPr="001C4EB9">
        <w:tab/>
      </w:r>
      <w:r w:rsidR="00955FA7" w:rsidRPr="00BB0D27">
        <w:rPr>
          <w:noProof/>
        </w:rPr>
        <w:t>Jeżeli podmiot zajmujący się naprawą przekazał konsumentowi kompletny europejski formularz informacji</w:t>
      </w:r>
      <w:r w:rsidR="00B73D99" w:rsidRPr="00BB0D27">
        <w:rPr>
          <w:noProof/>
        </w:rPr>
        <w:t xml:space="preserve"> o</w:t>
      </w:r>
      <w:r w:rsidR="00B73D99">
        <w:rPr>
          <w:noProof/>
        </w:rPr>
        <w:t> </w:t>
      </w:r>
      <w:r w:rsidR="00B73D99" w:rsidRPr="00BB0D27">
        <w:rPr>
          <w:noProof/>
        </w:rPr>
        <w:t>nap</w:t>
      </w:r>
      <w:r w:rsidR="00955FA7" w:rsidRPr="00BB0D27">
        <w:rPr>
          <w:noProof/>
        </w:rPr>
        <w:t>rawie zawierający wiarygodne informacje, przyjmuje się, że przy sporządzan</w:t>
      </w:r>
      <w:r w:rsidR="00BB0D27">
        <w:rPr>
          <w:noProof/>
        </w:rPr>
        <w:t>iu tego formularza przestrzegał</w:t>
      </w:r>
      <w:r w:rsidR="00955FA7" w:rsidRPr="00BB0D27">
        <w:rPr>
          <w:noProof/>
        </w:rPr>
        <w:t xml:space="preserve"> wymogów informacyjnych dotyczących:</w:t>
      </w:r>
    </w:p>
    <w:p w:rsidR="00955FA7" w:rsidRPr="00B73D99" w:rsidRDefault="00B73D99" w:rsidP="00B73D99">
      <w:pPr>
        <w:pStyle w:val="Point1"/>
        <w:rPr>
          <w:noProof/>
        </w:rPr>
      </w:pPr>
      <w:r>
        <w:rPr>
          <w:noProof/>
        </w:rPr>
        <w:t>a)</w:t>
      </w:r>
      <w:r>
        <w:rPr>
          <w:noProof/>
        </w:rPr>
        <w:tab/>
      </w:r>
      <w:r w:rsidR="00955FA7" w:rsidRPr="00BB0D27">
        <w:rPr>
          <w:noProof/>
        </w:rPr>
        <w:t>głównych cech usługi naprawczej, które to wymogi ustanowiono</w:t>
      </w:r>
      <w:r w:rsidRPr="00BB0D27">
        <w:rPr>
          <w:noProof/>
        </w:rPr>
        <w:t xml:space="preserve"> w</w:t>
      </w:r>
      <w:r>
        <w:rPr>
          <w:noProof/>
        </w:rPr>
        <w:t> </w:t>
      </w:r>
      <w:r w:rsidRPr="00B73D99">
        <w:rPr>
          <w:noProof/>
        </w:rPr>
        <w:t>art</w:t>
      </w:r>
      <w:r w:rsidR="00955FA7" w:rsidRPr="00B73D99">
        <w:rPr>
          <w:noProof/>
        </w:rPr>
        <w:t>.</w:t>
      </w:r>
      <w:r w:rsidRPr="00B73D99">
        <w:rPr>
          <w:noProof/>
        </w:rPr>
        <w:t> </w:t>
      </w:r>
      <w:r w:rsidR="00955FA7" w:rsidRPr="00B73D99">
        <w:rPr>
          <w:noProof/>
        </w:rPr>
        <w:t>5</w:t>
      </w:r>
      <w:r w:rsidR="00955FA7" w:rsidRPr="00BB0D27">
        <w:rPr>
          <w:noProof/>
        </w:rPr>
        <w:t xml:space="preserve"> </w:t>
      </w:r>
      <w:r w:rsidR="00955FA7" w:rsidRPr="00B73D99">
        <w:rPr>
          <w:noProof/>
        </w:rPr>
        <w:t>ust.</w:t>
      </w:r>
      <w:r w:rsidRPr="00B73D99">
        <w:rPr>
          <w:noProof/>
        </w:rPr>
        <w:t> </w:t>
      </w:r>
      <w:r w:rsidR="00955FA7" w:rsidRPr="00B73D99">
        <w:rPr>
          <w:noProof/>
        </w:rPr>
        <w:t>1</w:t>
      </w:r>
      <w:r w:rsidR="00955FA7" w:rsidRPr="00BB0D27">
        <w:rPr>
          <w:noProof/>
        </w:rPr>
        <w:t xml:space="preserve"> </w:t>
      </w:r>
      <w:r w:rsidR="00955FA7" w:rsidRPr="00B73D99">
        <w:rPr>
          <w:noProof/>
        </w:rPr>
        <w:t>lit.</w:t>
      </w:r>
      <w:r w:rsidRPr="00B73D99">
        <w:rPr>
          <w:noProof/>
        </w:rPr>
        <w:t> </w:t>
      </w:r>
      <w:r w:rsidR="00955FA7" w:rsidRPr="00B73D99">
        <w:rPr>
          <w:noProof/>
        </w:rPr>
        <w:t>a)</w:t>
      </w:r>
      <w:r w:rsidRPr="00BB0D27">
        <w:rPr>
          <w:noProof/>
        </w:rPr>
        <w:t xml:space="preserve"> i</w:t>
      </w:r>
      <w:r>
        <w:rPr>
          <w:noProof/>
        </w:rPr>
        <w:t> </w:t>
      </w:r>
      <w:r w:rsidRPr="00B73D99">
        <w:rPr>
          <w:noProof/>
        </w:rPr>
        <w:t>art</w:t>
      </w:r>
      <w:r w:rsidR="00955FA7" w:rsidRPr="00B73D99">
        <w:rPr>
          <w:noProof/>
        </w:rPr>
        <w:t>.</w:t>
      </w:r>
      <w:r w:rsidRPr="00B73D99">
        <w:rPr>
          <w:noProof/>
        </w:rPr>
        <w:t> </w:t>
      </w:r>
      <w:r w:rsidR="00955FA7" w:rsidRPr="00B73D99">
        <w:rPr>
          <w:noProof/>
        </w:rPr>
        <w:t>6</w:t>
      </w:r>
      <w:r w:rsidR="00955FA7" w:rsidRPr="00BB0D27">
        <w:rPr>
          <w:noProof/>
        </w:rPr>
        <w:t xml:space="preserve"> </w:t>
      </w:r>
      <w:r w:rsidR="00955FA7" w:rsidRPr="00B73D99">
        <w:rPr>
          <w:noProof/>
        </w:rPr>
        <w:t>ust.</w:t>
      </w:r>
      <w:r w:rsidRPr="00B73D99">
        <w:rPr>
          <w:noProof/>
        </w:rPr>
        <w:t> </w:t>
      </w:r>
      <w:r w:rsidR="00955FA7" w:rsidRPr="00B73D99">
        <w:rPr>
          <w:noProof/>
        </w:rPr>
        <w:t>1</w:t>
      </w:r>
      <w:r w:rsidR="00955FA7" w:rsidRPr="00BB0D27">
        <w:rPr>
          <w:noProof/>
        </w:rPr>
        <w:t xml:space="preserve"> </w:t>
      </w:r>
      <w:r w:rsidR="00955FA7" w:rsidRPr="00B73D99">
        <w:rPr>
          <w:noProof/>
        </w:rPr>
        <w:t>lit.</w:t>
      </w:r>
      <w:r w:rsidRPr="00B73D99">
        <w:rPr>
          <w:noProof/>
        </w:rPr>
        <w:t> </w:t>
      </w:r>
      <w:r w:rsidR="00955FA7" w:rsidRPr="00B73D99">
        <w:rPr>
          <w:noProof/>
        </w:rPr>
        <w:t>a)</w:t>
      </w:r>
      <w:r w:rsidR="00955FA7" w:rsidRPr="00BB0D27">
        <w:rPr>
          <w:noProof/>
        </w:rPr>
        <w:t xml:space="preserve"> dyrektywy 2011/83/UE oraz </w:t>
      </w:r>
      <w:r w:rsidR="00955FA7" w:rsidRPr="00B73D99">
        <w:rPr>
          <w:noProof/>
        </w:rPr>
        <w:t>art.</w:t>
      </w:r>
      <w:r w:rsidRPr="00B73D99">
        <w:rPr>
          <w:noProof/>
        </w:rPr>
        <w:t> </w:t>
      </w:r>
      <w:r w:rsidR="00955FA7" w:rsidRPr="00B73D99">
        <w:rPr>
          <w:noProof/>
        </w:rPr>
        <w:t>2</w:t>
      </w:r>
      <w:r w:rsidR="00955FA7" w:rsidRPr="00BB0D27">
        <w:rPr>
          <w:noProof/>
        </w:rPr>
        <w:t xml:space="preserve">2 </w:t>
      </w:r>
      <w:r w:rsidR="00955FA7" w:rsidRPr="00B73D99">
        <w:rPr>
          <w:noProof/>
        </w:rPr>
        <w:t>ust.</w:t>
      </w:r>
      <w:r w:rsidRPr="00B73D99">
        <w:rPr>
          <w:noProof/>
        </w:rPr>
        <w:t> </w:t>
      </w:r>
      <w:r w:rsidR="00955FA7" w:rsidRPr="00B73D99">
        <w:rPr>
          <w:noProof/>
        </w:rPr>
        <w:t>1</w:t>
      </w:r>
      <w:r w:rsidR="00955FA7" w:rsidRPr="00BB0D27">
        <w:rPr>
          <w:noProof/>
        </w:rPr>
        <w:t xml:space="preserve"> </w:t>
      </w:r>
      <w:r w:rsidR="00955FA7" w:rsidRPr="00B73D99">
        <w:rPr>
          <w:noProof/>
        </w:rPr>
        <w:t>lit.</w:t>
      </w:r>
      <w:r w:rsidRPr="00B73D99">
        <w:rPr>
          <w:noProof/>
        </w:rPr>
        <w:t> </w:t>
      </w:r>
      <w:r w:rsidR="00955FA7" w:rsidRPr="00B73D99">
        <w:rPr>
          <w:noProof/>
        </w:rPr>
        <w:t>j)</w:t>
      </w:r>
      <w:r w:rsidR="00955FA7" w:rsidRPr="00BB0D27">
        <w:rPr>
          <w:noProof/>
        </w:rPr>
        <w:t xml:space="preserve"> dyrektywy 2006/123/WE;</w:t>
      </w:r>
    </w:p>
    <w:p w:rsidR="00955FA7" w:rsidRPr="00BB0D27" w:rsidRDefault="00B73D99" w:rsidP="00B73D99">
      <w:pPr>
        <w:pStyle w:val="Point1"/>
        <w:rPr>
          <w:noProof/>
        </w:rPr>
      </w:pPr>
      <w:r>
        <w:rPr>
          <w:noProof/>
        </w:rPr>
        <w:t>b)</w:t>
      </w:r>
      <w:r>
        <w:rPr>
          <w:noProof/>
        </w:rPr>
        <w:tab/>
      </w:r>
      <w:r w:rsidR="00955FA7" w:rsidRPr="00B73D99">
        <w:rPr>
          <w:noProof/>
        </w:rPr>
        <w:t>d</w:t>
      </w:r>
      <w:r w:rsidR="00955FA7" w:rsidRPr="00BB0D27">
        <w:rPr>
          <w:noProof/>
        </w:rPr>
        <w:t>anych identyfikujących podmiot zajmujący się naprawą</w:t>
      </w:r>
      <w:r w:rsidRPr="00BB0D27">
        <w:rPr>
          <w:noProof/>
        </w:rPr>
        <w:t xml:space="preserve"> i</w:t>
      </w:r>
      <w:r>
        <w:rPr>
          <w:noProof/>
        </w:rPr>
        <w:t> </w:t>
      </w:r>
      <w:r w:rsidRPr="00BB0D27">
        <w:rPr>
          <w:noProof/>
        </w:rPr>
        <w:t>jeg</w:t>
      </w:r>
      <w:r w:rsidR="00955FA7" w:rsidRPr="00BB0D27">
        <w:rPr>
          <w:noProof/>
        </w:rPr>
        <w:t>o danych kontaktowych, które to wymogi ustanowiono</w:t>
      </w:r>
      <w:r w:rsidRPr="00BB0D27">
        <w:rPr>
          <w:noProof/>
        </w:rPr>
        <w:t xml:space="preserve"> w</w:t>
      </w:r>
      <w:r>
        <w:rPr>
          <w:noProof/>
        </w:rPr>
        <w:t> </w:t>
      </w:r>
      <w:r w:rsidRPr="00B73D99">
        <w:rPr>
          <w:noProof/>
        </w:rPr>
        <w:t>art</w:t>
      </w:r>
      <w:r w:rsidR="00955FA7" w:rsidRPr="00B73D99">
        <w:rPr>
          <w:noProof/>
        </w:rPr>
        <w:t>.</w:t>
      </w:r>
      <w:r w:rsidRPr="00B73D99">
        <w:rPr>
          <w:noProof/>
        </w:rPr>
        <w:t> </w:t>
      </w:r>
      <w:r w:rsidR="00955FA7" w:rsidRPr="00B73D99">
        <w:rPr>
          <w:noProof/>
        </w:rPr>
        <w:t>5</w:t>
      </w:r>
      <w:r w:rsidR="00955FA7" w:rsidRPr="00BB0D27">
        <w:rPr>
          <w:noProof/>
        </w:rPr>
        <w:t xml:space="preserve"> </w:t>
      </w:r>
      <w:r w:rsidR="00955FA7" w:rsidRPr="00B73D99">
        <w:rPr>
          <w:noProof/>
        </w:rPr>
        <w:t>ust.</w:t>
      </w:r>
      <w:r w:rsidRPr="00B73D99">
        <w:rPr>
          <w:noProof/>
        </w:rPr>
        <w:t> </w:t>
      </w:r>
      <w:r w:rsidR="00955FA7" w:rsidRPr="00B73D99">
        <w:rPr>
          <w:noProof/>
        </w:rPr>
        <w:t>1</w:t>
      </w:r>
      <w:r w:rsidR="00955FA7" w:rsidRPr="00BB0D27">
        <w:rPr>
          <w:noProof/>
        </w:rPr>
        <w:t xml:space="preserve"> </w:t>
      </w:r>
      <w:r w:rsidR="00955FA7" w:rsidRPr="00B73D99">
        <w:rPr>
          <w:noProof/>
        </w:rPr>
        <w:t>lit.</w:t>
      </w:r>
      <w:r w:rsidRPr="00B73D99">
        <w:rPr>
          <w:noProof/>
        </w:rPr>
        <w:t> </w:t>
      </w:r>
      <w:r w:rsidR="00955FA7" w:rsidRPr="00B73D99">
        <w:rPr>
          <w:noProof/>
        </w:rPr>
        <w:t>b)</w:t>
      </w:r>
      <w:r w:rsidRPr="00BB0D27">
        <w:rPr>
          <w:noProof/>
        </w:rPr>
        <w:t xml:space="preserve"> i</w:t>
      </w:r>
      <w:r>
        <w:rPr>
          <w:noProof/>
        </w:rPr>
        <w:t> </w:t>
      </w:r>
      <w:r w:rsidRPr="00B73D99">
        <w:rPr>
          <w:noProof/>
        </w:rPr>
        <w:t>art</w:t>
      </w:r>
      <w:r w:rsidR="00955FA7" w:rsidRPr="00B73D99">
        <w:rPr>
          <w:noProof/>
        </w:rPr>
        <w:t>.</w:t>
      </w:r>
      <w:r w:rsidRPr="00B73D99">
        <w:rPr>
          <w:noProof/>
        </w:rPr>
        <w:t> </w:t>
      </w:r>
      <w:r w:rsidR="00955FA7" w:rsidRPr="00B73D99">
        <w:rPr>
          <w:noProof/>
        </w:rPr>
        <w:t>6</w:t>
      </w:r>
      <w:r w:rsidR="00955FA7" w:rsidRPr="00BB0D27">
        <w:rPr>
          <w:noProof/>
        </w:rPr>
        <w:t xml:space="preserve"> </w:t>
      </w:r>
      <w:r w:rsidR="00955FA7" w:rsidRPr="00B73D99">
        <w:rPr>
          <w:noProof/>
        </w:rPr>
        <w:t>ust.</w:t>
      </w:r>
      <w:r w:rsidRPr="00B73D99">
        <w:rPr>
          <w:noProof/>
        </w:rPr>
        <w:t> </w:t>
      </w:r>
      <w:r w:rsidR="00955FA7" w:rsidRPr="00B73D99">
        <w:rPr>
          <w:noProof/>
        </w:rPr>
        <w:t>1</w:t>
      </w:r>
      <w:r w:rsidR="00955FA7" w:rsidRPr="00BB0D27">
        <w:rPr>
          <w:noProof/>
        </w:rPr>
        <w:t xml:space="preserve"> </w:t>
      </w:r>
      <w:r w:rsidR="00955FA7" w:rsidRPr="00B73D99">
        <w:rPr>
          <w:noProof/>
        </w:rPr>
        <w:t>lit.</w:t>
      </w:r>
      <w:r w:rsidRPr="00B73D99">
        <w:rPr>
          <w:noProof/>
        </w:rPr>
        <w:t> </w:t>
      </w:r>
      <w:r w:rsidR="00955FA7" w:rsidRPr="00B73D99">
        <w:rPr>
          <w:noProof/>
        </w:rPr>
        <w:t>b)</w:t>
      </w:r>
      <w:r w:rsidR="00955FA7" w:rsidRPr="00BB0D27">
        <w:rPr>
          <w:noProof/>
        </w:rPr>
        <w:t xml:space="preserve"> i c) dyrektywy 2011/83/UE, </w:t>
      </w:r>
      <w:r w:rsidR="00955FA7" w:rsidRPr="00B73D99">
        <w:rPr>
          <w:noProof/>
        </w:rPr>
        <w:t>art.</w:t>
      </w:r>
      <w:r w:rsidRPr="00B73D99">
        <w:rPr>
          <w:noProof/>
        </w:rPr>
        <w:t> </w:t>
      </w:r>
      <w:r w:rsidR="00955FA7" w:rsidRPr="00B73D99">
        <w:rPr>
          <w:noProof/>
        </w:rPr>
        <w:t>2</w:t>
      </w:r>
      <w:r w:rsidR="00955FA7" w:rsidRPr="00BB0D27">
        <w:rPr>
          <w:noProof/>
        </w:rPr>
        <w:t xml:space="preserve">2 </w:t>
      </w:r>
      <w:r w:rsidR="00955FA7" w:rsidRPr="00B73D99">
        <w:rPr>
          <w:noProof/>
        </w:rPr>
        <w:t>ust.</w:t>
      </w:r>
      <w:r w:rsidRPr="00B73D99">
        <w:rPr>
          <w:noProof/>
        </w:rPr>
        <w:t> </w:t>
      </w:r>
      <w:r w:rsidR="00955FA7" w:rsidRPr="00B73D99">
        <w:rPr>
          <w:noProof/>
        </w:rPr>
        <w:t>1</w:t>
      </w:r>
      <w:r w:rsidR="00955FA7" w:rsidRPr="00BB0D27">
        <w:rPr>
          <w:noProof/>
        </w:rPr>
        <w:t xml:space="preserve"> </w:t>
      </w:r>
      <w:r w:rsidR="00955FA7" w:rsidRPr="00B73D99">
        <w:rPr>
          <w:noProof/>
        </w:rPr>
        <w:t>lit.</w:t>
      </w:r>
      <w:r w:rsidRPr="00B73D99">
        <w:rPr>
          <w:noProof/>
        </w:rPr>
        <w:t> </w:t>
      </w:r>
      <w:r w:rsidR="00955FA7" w:rsidRPr="00B73D99">
        <w:rPr>
          <w:noProof/>
        </w:rPr>
        <w:t>a)</w:t>
      </w:r>
      <w:r w:rsidR="00955FA7" w:rsidRPr="00BB0D27">
        <w:rPr>
          <w:noProof/>
        </w:rPr>
        <w:t xml:space="preserve"> dyrektywy 2006/123/WE oraz </w:t>
      </w:r>
      <w:r w:rsidR="00955FA7" w:rsidRPr="00B73D99">
        <w:rPr>
          <w:noProof/>
        </w:rPr>
        <w:t>art.</w:t>
      </w:r>
      <w:r w:rsidRPr="00B73D99">
        <w:rPr>
          <w:noProof/>
        </w:rPr>
        <w:t> </w:t>
      </w:r>
      <w:r w:rsidR="00955FA7" w:rsidRPr="00B73D99">
        <w:rPr>
          <w:noProof/>
        </w:rPr>
        <w:t>5</w:t>
      </w:r>
      <w:r w:rsidR="00955FA7" w:rsidRPr="00BB0D27">
        <w:rPr>
          <w:noProof/>
        </w:rPr>
        <w:t xml:space="preserve"> </w:t>
      </w:r>
      <w:r w:rsidR="00955FA7" w:rsidRPr="00B73D99">
        <w:rPr>
          <w:noProof/>
        </w:rPr>
        <w:t>ust.</w:t>
      </w:r>
      <w:r w:rsidRPr="00B73D99">
        <w:rPr>
          <w:noProof/>
        </w:rPr>
        <w:t> </w:t>
      </w:r>
      <w:r w:rsidR="00955FA7" w:rsidRPr="00B73D99">
        <w:rPr>
          <w:noProof/>
        </w:rPr>
        <w:t>1</w:t>
      </w:r>
      <w:r w:rsidR="00955FA7" w:rsidRPr="00BB0D27">
        <w:rPr>
          <w:noProof/>
        </w:rPr>
        <w:t xml:space="preserve"> </w:t>
      </w:r>
      <w:r w:rsidR="00955FA7" w:rsidRPr="00B73D99">
        <w:rPr>
          <w:noProof/>
        </w:rPr>
        <w:t>lit.</w:t>
      </w:r>
      <w:r w:rsidRPr="00B73D99">
        <w:rPr>
          <w:noProof/>
        </w:rPr>
        <w:t> </w:t>
      </w:r>
      <w:r w:rsidR="00955FA7" w:rsidRPr="00B73D99">
        <w:rPr>
          <w:noProof/>
        </w:rPr>
        <w:t>a)</w:t>
      </w:r>
      <w:r w:rsidR="00955FA7" w:rsidRPr="00BB0D27">
        <w:rPr>
          <w:noProof/>
        </w:rPr>
        <w:t>, b) i c) dyrektywy 2000/31/WE;</w:t>
      </w:r>
    </w:p>
    <w:p w:rsidR="00955FA7" w:rsidRPr="00BB0D27" w:rsidRDefault="00B73D99" w:rsidP="00B73D99">
      <w:pPr>
        <w:pStyle w:val="Point1"/>
        <w:rPr>
          <w:noProof/>
        </w:rPr>
      </w:pPr>
      <w:r>
        <w:rPr>
          <w:noProof/>
        </w:rPr>
        <w:t>c)</w:t>
      </w:r>
      <w:r>
        <w:rPr>
          <w:noProof/>
        </w:rPr>
        <w:tab/>
      </w:r>
      <w:r w:rsidR="00955FA7" w:rsidRPr="00BB0D27">
        <w:rPr>
          <w:noProof/>
        </w:rPr>
        <w:t>ceny, które to wymogi ustanowiono</w:t>
      </w:r>
      <w:r w:rsidRPr="00BB0D27">
        <w:rPr>
          <w:noProof/>
        </w:rPr>
        <w:t xml:space="preserve"> w</w:t>
      </w:r>
      <w:r>
        <w:rPr>
          <w:noProof/>
        </w:rPr>
        <w:t> </w:t>
      </w:r>
      <w:r w:rsidRPr="00B73D99">
        <w:rPr>
          <w:noProof/>
        </w:rPr>
        <w:t>art</w:t>
      </w:r>
      <w:r w:rsidR="00955FA7" w:rsidRPr="00B73D99">
        <w:rPr>
          <w:noProof/>
        </w:rPr>
        <w:t>.</w:t>
      </w:r>
      <w:r w:rsidRPr="00B73D99">
        <w:rPr>
          <w:noProof/>
        </w:rPr>
        <w:t> </w:t>
      </w:r>
      <w:r w:rsidR="00955FA7" w:rsidRPr="00B73D99">
        <w:rPr>
          <w:noProof/>
        </w:rPr>
        <w:t>5</w:t>
      </w:r>
      <w:r w:rsidR="00955FA7" w:rsidRPr="00BB0D27">
        <w:rPr>
          <w:noProof/>
        </w:rPr>
        <w:t xml:space="preserve"> </w:t>
      </w:r>
      <w:r w:rsidR="00955FA7" w:rsidRPr="00B73D99">
        <w:rPr>
          <w:noProof/>
        </w:rPr>
        <w:t>ust.</w:t>
      </w:r>
      <w:r w:rsidRPr="00B73D99">
        <w:rPr>
          <w:noProof/>
        </w:rPr>
        <w:t> </w:t>
      </w:r>
      <w:r w:rsidR="00955FA7" w:rsidRPr="00B73D99">
        <w:rPr>
          <w:noProof/>
        </w:rPr>
        <w:t>1</w:t>
      </w:r>
      <w:r w:rsidR="00955FA7" w:rsidRPr="00BB0D27">
        <w:rPr>
          <w:noProof/>
        </w:rPr>
        <w:t xml:space="preserve"> </w:t>
      </w:r>
      <w:r w:rsidR="00955FA7" w:rsidRPr="00B73D99">
        <w:rPr>
          <w:noProof/>
        </w:rPr>
        <w:t>lit.</w:t>
      </w:r>
      <w:r w:rsidRPr="00B73D99">
        <w:rPr>
          <w:noProof/>
        </w:rPr>
        <w:t> </w:t>
      </w:r>
      <w:r w:rsidR="00955FA7" w:rsidRPr="00B73D99">
        <w:rPr>
          <w:noProof/>
        </w:rPr>
        <w:t>c)</w:t>
      </w:r>
      <w:r w:rsidRPr="00BB0D27">
        <w:rPr>
          <w:noProof/>
        </w:rPr>
        <w:t xml:space="preserve"> i</w:t>
      </w:r>
      <w:r>
        <w:rPr>
          <w:noProof/>
        </w:rPr>
        <w:t> </w:t>
      </w:r>
      <w:r w:rsidRPr="00B73D99">
        <w:rPr>
          <w:noProof/>
        </w:rPr>
        <w:t>art</w:t>
      </w:r>
      <w:r w:rsidR="00955FA7" w:rsidRPr="00B73D99">
        <w:rPr>
          <w:noProof/>
        </w:rPr>
        <w:t>.</w:t>
      </w:r>
      <w:r w:rsidRPr="00B73D99">
        <w:rPr>
          <w:noProof/>
        </w:rPr>
        <w:t> </w:t>
      </w:r>
      <w:r w:rsidR="00955FA7" w:rsidRPr="00B73D99">
        <w:rPr>
          <w:noProof/>
        </w:rPr>
        <w:t>6</w:t>
      </w:r>
      <w:r w:rsidR="00955FA7" w:rsidRPr="00BB0D27">
        <w:rPr>
          <w:noProof/>
        </w:rPr>
        <w:t xml:space="preserve"> </w:t>
      </w:r>
      <w:r w:rsidR="00955FA7" w:rsidRPr="00B73D99">
        <w:rPr>
          <w:noProof/>
        </w:rPr>
        <w:t>ust.</w:t>
      </w:r>
      <w:r w:rsidRPr="00B73D99">
        <w:rPr>
          <w:noProof/>
        </w:rPr>
        <w:t> </w:t>
      </w:r>
      <w:r w:rsidR="00955FA7" w:rsidRPr="00B73D99">
        <w:rPr>
          <w:noProof/>
        </w:rPr>
        <w:t>1</w:t>
      </w:r>
      <w:r w:rsidR="00955FA7" w:rsidRPr="00BB0D27">
        <w:rPr>
          <w:noProof/>
        </w:rPr>
        <w:t xml:space="preserve"> </w:t>
      </w:r>
      <w:r w:rsidR="00955FA7" w:rsidRPr="00B73D99">
        <w:rPr>
          <w:noProof/>
        </w:rPr>
        <w:t>lit.</w:t>
      </w:r>
      <w:r w:rsidRPr="00B73D99">
        <w:rPr>
          <w:noProof/>
        </w:rPr>
        <w:t> </w:t>
      </w:r>
      <w:r w:rsidR="00955FA7" w:rsidRPr="00B73D99">
        <w:rPr>
          <w:noProof/>
        </w:rPr>
        <w:t>e)</w:t>
      </w:r>
      <w:r w:rsidR="00955FA7" w:rsidRPr="00BB0D27">
        <w:rPr>
          <w:noProof/>
        </w:rPr>
        <w:t xml:space="preserve"> dyrektywy 2011/83/UE oraz </w:t>
      </w:r>
      <w:r w:rsidR="00955FA7" w:rsidRPr="00B73D99">
        <w:rPr>
          <w:noProof/>
        </w:rPr>
        <w:t>art.</w:t>
      </w:r>
      <w:r w:rsidRPr="00B73D99">
        <w:rPr>
          <w:noProof/>
        </w:rPr>
        <w:t> </w:t>
      </w:r>
      <w:r w:rsidR="00955FA7" w:rsidRPr="00B73D99">
        <w:rPr>
          <w:noProof/>
        </w:rPr>
        <w:t>2</w:t>
      </w:r>
      <w:r w:rsidR="00955FA7" w:rsidRPr="00BB0D27">
        <w:rPr>
          <w:noProof/>
        </w:rPr>
        <w:t xml:space="preserve">2 </w:t>
      </w:r>
      <w:r w:rsidR="00955FA7" w:rsidRPr="00B73D99">
        <w:rPr>
          <w:noProof/>
        </w:rPr>
        <w:t>ust.</w:t>
      </w:r>
      <w:r w:rsidRPr="00B73D99">
        <w:rPr>
          <w:noProof/>
        </w:rPr>
        <w:t> </w:t>
      </w:r>
      <w:r w:rsidR="00955FA7" w:rsidRPr="00B73D99">
        <w:rPr>
          <w:noProof/>
        </w:rPr>
        <w:t>1</w:t>
      </w:r>
      <w:r w:rsidR="00955FA7" w:rsidRPr="00BB0D27">
        <w:rPr>
          <w:noProof/>
        </w:rPr>
        <w:t xml:space="preserve"> </w:t>
      </w:r>
      <w:r w:rsidR="00955FA7" w:rsidRPr="00B73D99">
        <w:rPr>
          <w:noProof/>
        </w:rPr>
        <w:t>lit.</w:t>
      </w:r>
      <w:r w:rsidRPr="00B73D99">
        <w:rPr>
          <w:noProof/>
        </w:rPr>
        <w:t> </w:t>
      </w:r>
      <w:r w:rsidR="00955FA7" w:rsidRPr="00B73D99">
        <w:rPr>
          <w:noProof/>
        </w:rPr>
        <w:t>i)</w:t>
      </w:r>
      <w:r w:rsidRPr="00BB0D27">
        <w:rPr>
          <w:noProof/>
        </w:rPr>
        <w:t xml:space="preserve"> i</w:t>
      </w:r>
      <w:r>
        <w:rPr>
          <w:noProof/>
        </w:rPr>
        <w:t> </w:t>
      </w:r>
      <w:r w:rsidRPr="00B73D99">
        <w:rPr>
          <w:noProof/>
        </w:rPr>
        <w:t>art</w:t>
      </w:r>
      <w:r w:rsidR="00955FA7" w:rsidRPr="00B73D99">
        <w:rPr>
          <w:noProof/>
        </w:rPr>
        <w:t>.</w:t>
      </w:r>
      <w:r w:rsidRPr="00B73D99">
        <w:rPr>
          <w:noProof/>
        </w:rPr>
        <w:t> </w:t>
      </w:r>
      <w:r w:rsidR="00955FA7" w:rsidRPr="00B73D99">
        <w:rPr>
          <w:noProof/>
        </w:rPr>
        <w:t>2</w:t>
      </w:r>
      <w:r w:rsidR="00955FA7" w:rsidRPr="00BB0D27">
        <w:rPr>
          <w:noProof/>
        </w:rPr>
        <w:t xml:space="preserve">2 </w:t>
      </w:r>
      <w:r w:rsidR="00955FA7" w:rsidRPr="00B73D99">
        <w:rPr>
          <w:noProof/>
        </w:rPr>
        <w:t>ust.</w:t>
      </w:r>
      <w:r w:rsidRPr="00B73D99">
        <w:rPr>
          <w:noProof/>
        </w:rPr>
        <w:t> </w:t>
      </w:r>
      <w:r w:rsidR="00955FA7" w:rsidRPr="00B73D99">
        <w:rPr>
          <w:noProof/>
        </w:rPr>
        <w:t>3</w:t>
      </w:r>
      <w:r w:rsidR="00955FA7" w:rsidRPr="00BB0D27">
        <w:rPr>
          <w:noProof/>
        </w:rPr>
        <w:t xml:space="preserve"> </w:t>
      </w:r>
      <w:r w:rsidR="00955FA7" w:rsidRPr="00B73D99">
        <w:rPr>
          <w:noProof/>
        </w:rPr>
        <w:t>lit.</w:t>
      </w:r>
      <w:r w:rsidRPr="00B73D99">
        <w:rPr>
          <w:noProof/>
        </w:rPr>
        <w:t> </w:t>
      </w:r>
      <w:r w:rsidR="00955FA7" w:rsidRPr="00B73D99">
        <w:rPr>
          <w:noProof/>
        </w:rPr>
        <w:t>a)</w:t>
      </w:r>
      <w:r w:rsidR="00955FA7" w:rsidRPr="00BB0D27">
        <w:rPr>
          <w:noProof/>
        </w:rPr>
        <w:t xml:space="preserve"> dyrektywy 2006/123/WE;</w:t>
      </w:r>
    </w:p>
    <w:p w:rsidR="00955FA7" w:rsidRPr="00BB0D27" w:rsidRDefault="00B73D99" w:rsidP="00B73D99">
      <w:pPr>
        <w:pStyle w:val="Point1"/>
        <w:rPr>
          <w:noProof/>
        </w:rPr>
      </w:pPr>
      <w:r>
        <w:rPr>
          <w:noProof/>
        </w:rPr>
        <w:t>d)</w:t>
      </w:r>
      <w:r>
        <w:rPr>
          <w:noProof/>
        </w:rPr>
        <w:tab/>
      </w:r>
      <w:r w:rsidR="00955FA7" w:rsidRPr="00BB0D27">
        <w:rPr>
          <w:noProof/>
        </w:rPr>
        <w:t>warunków</w:t>
      </w:r>
      <w:r w:rsidRPr="00BB0D27">
        <w:rPr>
          <w:noProof/>
        </w:rPr>
        <w:t xml:space="preserve"> i</w:t>
      </w:r>
      <w:r>
        <w:rPr>
          <w:noProof/>
        </w:rPr>
        <w:t> </w:t>
      </w:r>
      <w:r w:rsidRPr="00BB0D27">
        <w:rPr>
          <w:noProof/>
        </w:rPr>
        <w:t>ter</w:t>
      </w:r>
      <w:r w:rsidR="00955FA7" w:rsidRPr="00BB0D27">
        <w:rPr>
          <w:noProof/>
        </w:rPr>
        <w:t>minu wykonania usług naprawczych, które to wymogi ustanowiono</w:t>
      </w:r>
      <w:r w:rsidRPr="00BB0D27">
        <w:rPr>
          <w:noProof/>
        </w:rPr>
        <w:t xml:space="preserve"> w</w:t>
      </w:r>
      <w:r>
        <w:rPr>
          <w:noProof/>
        </w:rPr>
        <w:t> </w:t>
      </w:r>
      <w:r w:rsidRPr="00B73D99">
        <w:rPr>
          <w:noProof/>
        </w:rPr>
        <w:t>art</w:t>
      </w:r>
      <w:r w:rsidR="00955FA7" w:rsidRPr="00B73D99">
        <w:rPr>
          <w:noProof/>
        </w:rPr>
        <w:t>.</w:t>
      </w:r>
      <w:r w:rsidRPr="00B73D99">
        <w:rPr>
          <w:noProof/>
        </w:rPr>
        <w:t> </w:t>
      </w:r>
      <w:r w:rsidR="00955FA7" w:rsidRPr="00B73D99">
        <w:rPr>
          <w:noProof/>
        </w:rPr>
        <w:t>5</w:t>
      </w:r>
      <w:r w:rsidR="00955FA7" w:rsidRPr="00BB0D27">
        <w:rPr>
          <w:noProof/>
        </w:rPr>
        <w:t xml:space="preserve"> </w:t>
      </w:r>
      <w:r w:rsidR="00955FA7" w:rsidRPr="00B73D99">
        <w:rPr>
          <w:noProof/>
        </w:rPr>
        <w:t>ust.</w:t>
      </w:r>
      <w:r w:rsidRPr="00B73D99">
        <w:rPr>
          <w:noProof/>
        </w:rPr>
        <w:t> </w:t>
      </w:r>
      <w:r w:rsidR="00955FA7" w:rsidRPr="00B73D99">
        <w:rPr>
          <w:noProof/>
        </w:rPr>
        <w:t>1</w:t>
      </w:r>
      <w:r w:rsidR="00955FA7" w:rsidRPr="00BB0D27">
        <w:rPr>
          <w:noProof/>
        </w:rPr>
        <w:t xml:space="preserve"> </w:t>
      </w:r>
      <w:r w:rsidR="00955FA7" w:rsidRPr="00B73D99">
        <w:rPr>
          <w:noProof/>
        </w:rPr>
        <w:t>lit.</w:t>
      </w:r>
      <w:r w:rsidRPr="00B73D99">
        <w:rPr>
          <w:noProof/>
        </w:rPr>
        <w:t> </w:t>
      </w:r>
      <w:r w:rsidR="00955FA7" w:rsidRPr="00B73D99">
        <w:rPr>
          <w:noProof/>
        </w:rPr>
        <w:t>d)</w:t>
      </w:r>
      <w:r w:rsidRPr="00BB0D27">
        <w:rPr>
          <w:noProof/>
        </w:rPr>
        <w:t xml:space="preserve"> i</w:t>
      </w:r>
      <w:r>
        <w:rPr>
          <w:noProof/>
        </w:rPr>
        <w:t> </w:t>
      </w:r>
      <w:r w:rsidRPr="00B73D99">
        <w:rPr>
          <w:noProof/>
        </w:rPr>
        <w:t>art</w:t>
      </w:r>
      <w:r w:rsidR="00955FA7" w:rsidRPr="00B73D99">
        <w:rPr>
          <w:noProof/>
        </w:rPr>
        <w:t>.</w:t>
      </w:r>
      <w:r w:rsidRPr="00B73D99">
        <w:rPr>
          <w:noProof/>
        </w:rPr>
        <w:t> </w:t>
      </w:r>
      <w:r w:rsidR="00955FA7" w:rsidRPr="00B73D99">
        <w:rPr>
          <w:noProof/>
        </w:rPr>
        <w:t>6</w:t>
      </w:r>
      <w:r w:rsidR="00955FA7" w:rsidRPr="00BB0D27">
        <w:rPr>
          <w:noProof/>
        </w:rPr>
        <w:t xml:space="preserve"> </w:t>
      </w:r>
      <w:r w:rsidR="00955FA7" w:rsidRPr="00B73D99">
        <w:rPr>
          <w:noProof/>
        </w:rPr>
        <w:t>ust.</w:t>
      </w:r>
      <w:r w:rsidRPr="00B73D99">
        <w:rPr>
          <w:noProof/>
        </w:rPr>
        <w:t> </w:t>
      </w:r>
      <w:r w:rsidR="00955FA7" w:rsidRPr="00B73D99">
        <w:rPr>
          <w:noProof/>
        </w:rPr>
        <w:t>1</w:t>
      </w:r>
      <w:r w:rsidR="00955FA7" w:rsidRPr="00BB0D27">
        <w:rPr>
          <w:noProof/>
        </w:rPr>
        <w:t xml:space="preserve"> </w:t>
      </w:r>
      <w:r w:rsidR="00955FA7" w:rsidRPr="00B73D99">
        <w:rPr>
          <w:noProof/>
        </w:rPr>
        <w:t>lit.</w:t>
      </w:r>
      <w:r w:rsidRPr="00B73D99">
        <w:rPr>
          <w:noProof/>
        </w:rPr>
        <w:t> </w:t>
      </w:r>
      <w:r w:rsidR="00955FA7" w:rsidRPr="00B73D99">
        <w:rPr>
          <w:noProof/>
        </w:rPr>
        <w:t>g)</w:t>
      </w:r>
      <w:r w:rsidR="00955FA7" w:rsidRPr="00BB0D27">
        <w:rPr>
          <w:noProof/>
        </w:rPr>
        <w:t xml:space="preserve"> dyrektywy 2011/83/UE.</w:t>
      </w:r>
    </w:p>
    <w:p w:rsidR="0002120B" w:rsidRPr="00BB0D27" w:rsidRDefault="0002120B" w:rsidP="0013390F">
      <w:pPr>
        <w:pStyle w:val="Titrearticle"/>
        <w:rPr>
          <w:b/>
          <w:noProof/>
        </w:rPr>
      </w:pPr>
      <w:r w:rsidRPr="00BB0D27">
        <w:rPr>
          <w:noProof/>
        </w:rPr>
        <w:t>Artykuł 5</w:t>
      </w:r>
    </w:p>
    <w:p w:rsidR="0002120B" w:rsidRPr="00BB0D27" w:rsidRDefault="00955FA7" w:rsidP="00411638">
      <w:pPr>
        <w:jc w:val="center"/>
        <w:rPr>
          <w:b/>
          <w:noProof/>
        </w:rPr>
      </w:pPr>
      <w:r w:rsidRPr="00BB0D27">
        <w:rPr>
          <w:b/>
          <w:noProof/>
        </w:rPr>
        <w:t xml:space="preserve">Obowiązek naprawy </w:t>
      </w:r>
    </w:p>
    <w:p w:rsidR="00561C56" w:rsidRPr="00BB0D27" w:rsidRDefault="001C4EB9" w:rsidP="001C4EB9">
      <w:pPr>
        <w:pStyle w:val="ManualNumPar1"/>
        <w:rPr>
          <w:noProof/>
        </w:rPr>
      </w:pPr>
      <w:r w:rsidRPr="001C4EB9">
        <w:t>1.</w:t>
      </w:r>
      <w:r w:rsidRPr="001C4EB9">
        <w:tab/>
      </w:r>
      <w:r w:rsidR="00955FA7" w:rsidRPr="00BB0D27">
        <w:rPr>
          <w:noProof/>
        </w:rPr>
        <w:t>Państwa członkowskie zapewniają, aby na żądanie konsumenta producent był zobowiązany naprawić – nieodpłatnie, za określoną opłatą lub za innego rodzaju wynagrodzeniem – towary,</w:t>
      </w:r>
      <w:r w:rsidR="00B73D99" w:rsidRPr="00BB0D27">
        <w:rPr>
          <w:noProof/>
        </w:rPr>
        <w:t xml:space="preserve"> w</w:t>
      </w:r>
      <w:r w:rsidR="00B73D99">
        <w:rPr>
          <w:noProof/>
        </w:rPr>
        <w:t> </w:t>
      </w:r>
      <w:r w:rsidR="00B73D99" w:rsidRPr="00BB0D27">
        <w:rPr>
          <w:noProof/>
        </w:rPr>
        <w:t>odn</w:t>
      </w:r>
      <w:r w:rsidR="00955FA7" w:rsidRPr="00BB0D27">
        <w:rPr>
          <w:noProof/>
        </w:rPr>
        <w:t>iesieniu do których</w:t>
      </w:r>
      <w:r w:rsidR="00B73D99" w:rsidRPr="00BB0D27">
        <w:rPr>
          <w:noProof/>
        </w:rPr>
        <w:t xml:space="preserve"> w</w:t>
      </w:r>
      <w:r w:rsidR="00B73D99">
        <w:rPr>
          <w:noProof/>
        </w:rPr>
        <w:t> </w:t>
      </w:r>
      <w:r w:rsidR="00B73D99" w:rsidRPr="00BB0D27">
        <w:rPr>
          <w:noProof/>
        </w:rPr>
        <w:t>akt</w:t>
      </w:r>
      <w:r w:rsidR="00955FA7" w:rsidRPr="00BB0D27">
        <w:rPr>
          <w:noProof/>
        </w:rPr>
        <w:t>ach prawnych Unii wymienionych</w:t>
      </w:r>
      <w:r w:rsidR="00B73D99" w:rsidRPr="00BB0D27">
        <w:rPr>
          <w:noProof/>
        </w:rPr>
        <w:t xml:space="preserve"> w</w:t>
      </w:r>
      <w:r w:rsidR="00B73D99">
        <w:rPr>
          <w:noProof/>
        </w:rPr>
        <w:t> </w:t>
      </w:r>
      <w:r w:rsidR="00B73D99" w:rsidRPr="00BB0D27">
        <w:rPr>
          <w:noProof/>
        </w:rPr>
        <w:t>zał</w:t>
      </w:r>
      <w:r w:rsidR="00955FA7" w:rsidRPr="00BB0D27">
        <w:rPr>
          <w:noProof/>
        </w:rPr>
        <w:t>ączniku II określono wymogi dotyczące możliwości naprawy,</w:t>
      </w:r>
      <w:r w:rsidR="00B73D99" w:rsidRPr="00BB0D27">
        <w:rPr>
          <w:noProof/>
        </w:rPr>
        <w:t xml:space="preserve"> w</w:t>
      </w:r>
      <w:r w:rsidR="00B73D99">
        <w:rPr>
          <w:noProof/>
        </w:rPr>
        <w:t> </w:t>
      </w:r>
      <w:r w:rsidR="00B73D99" w:rsidRPr="00BB0D27">
        <w:rPr>
          <w:noProof/>
        </w:rPr>
        <w:t>zak</w:t>
      </w:r>
      <w:r w:rsidR="00955FA7" w:rsidRPr="00BB0D27">
        <w:rPr>
          <w:noProof/>
        </w:rPr>
        <w:t>resie określonym</w:t>
      </w:r>
      <w:r w:rsidR="00B73D99" w:rsidRPr="00BB0D27">
        <w:rPr>
          <w:noProof/>
        </w:rPr>
        <w:t xml:space="preserve"> w</w:t>
      </w:r>
      <w:r w:rsidR="00B73D99">
        <w:rPr>
          <w:noProof/>
        </w:rPr>
        <w:t> </w:t>
      </w:r>
      <w:r w:rsidR="00B73D99" w:rsidRPr="00BB0D27">
        <w:rPr>
          <w:noProof/>
        </w:rPr>
        <w:t>tyc</w:t>
      </w:r>
      <w:r w:rsidR="00955FA7" w:rsidRPr="00BB0D27">
        <w:rPr>
          <w:noProof/>
        </w:rPr>
        <w:t>h wymogach. Producent nie będzie zobowiązany naprawić takich towarów</w:t>
      </w:r>
      <w:r w:rsidR="00B73D99" w:rsidRPr="00BB0D27">
        <w:rPr>
          <w:noProof/>
        </w:rPr>
        <w:t xml:space="preserve"> w</w:t>
      </w:r>
      <w:r w:rsidR="00B73D99">
        <w:rPr>
          <w:noProof/>
        </w:rPr>
        <w:t> </w:t>
      </w:r>
      <w:r w:rsidR="00B73D99" w:rsidRPr="00BB0D27">
        <w:rPr>
          <w:noProof/>
        </w:rPr>
        <w:t>prz</w:t>
      </w:r>
      <w:r w:rsidR="00955FA7" w:rsidRPr="00BB0D27">
        <w:rPr>
          <w:noProof/>
        </w:rPr>
        <w:t>ypadku gdy ich naprawa jest niemożliwa. Aby wywiązać się ze spoczywającego na nim obowiązku naprawy, producent może zlecić jej wykonanie podwykonawcy.</w:t>
      </w:r>
    </w:p>
    <w:p w:rsidR="0034517D" w:rsidRPr="00BB0D27" w:rsidRDefault="001C4EB9" w:rsidP="001C4EB9">
      <w:pPr>
        <w:pStyle w:val="ManualNumPar1"/>
        <w:rPr>
          <w:noProof/>
        </w:rPr>
      </w:pPr>
      <w:r w:rsidRPr="001C4EB9">
        <w:t>2.</w:t>
      </w:r>
      <w:r w:rsidRPr="001C4EB9">
        <w:tab/>
      </w:r>
      <w:r w:rsidR="0034517D" w:rsidRPr="00BB0D27">
        <w:rPr>
          <w:noProof/>
        </w:rPr>
        <w:t>Jeżeli producent, na którym zgodnie</w:t>
      </w:r>
      <w:r w:rsidR="00B73D99" w:rsidRPr="00BB0D27">
        <w:rPr>
          <w:noProof/>
        </w:rPr>
        <w:t xml:space="preserve"> z</w:t>
      </w:r>
      <w:r w:rsidR="00B73D99">
        <w:rPr>
          <w:noProof/>
        </w:rPr>
        <w:t> </w:t>
      </w:r>
      <w:r w:rsidR="00B73D99" w:rsidRPr="00B73D99">
        <w:rPr>
          <w:noProof/>
        </w:rPr>
        <w:t>ust</w:t>
      </w:r>
      <w:r w:rsidR="0034517D" w:rsidRPr="00B73D99">
        <w:rPr>
          <w:noProof/>
        </w:rPr>
        <w:t>.</w:t>
      </w:r>
      <w:r w:rsidR="00B73D99" w:rsidRPr="00B73D99">
        <w:rPr>
          <w:noProof/>
        </w:rPr>
        <w:t> </w:t>
      </w:r>
      <w:r w:rsidR="0034517D" w:rsidRPr="00B73D99">
        <w:rPr>
          <w:noProof/>
        </w:rPr>
        <w:t>1</w:t>
      </w:r>
      <w:r w:rsidR="0034517D" w:rsidRPr="00BB0D27">
        <w:rPr>
          <w:noProof/>
        </w:rPr>
        <w:t xml:space="preserve"> spoczywa obowiązek naprawy, ma siedzibę poza Unią, odpowiedzialność za wywiązanie się</w:t>
      </w:r>
      <w:r w:rsidR="00B73D99" w:rsidRPr="00BB0D27">
        <w:rPr>
          <w:noProof/>
        </w:rPr>
        <w:t xml:space="preserve"> z</w:t>
      </w:r>
      <w:r w:rsidR="00B73D99">
        <w:rPr>
          <w:noProof/>
        </w:rPr>
        <w:t> </w:t>
      </w:r>
      <w:r w:rsidR="00B73D99" w:rsidRPr="00BB0D27">
        <w:rPr>
          <w:noProof/>
        </w:rPr>
        <w:t>obo</w:t>
      </w:r>
      <w:r w:rsidR="0034517D" w:rsidRPr="00BB0D27">
        <w:rPr>
          <w:noProof/>
        </w:rPr>
        <w:t>wiązku naprawy spoczywa na upoważnionym przedstawicielu tego producenta</w:t>
      </w:r>
      <w:r w:rsidR="00B73D99" w:rsidRPr="00BB0D27">
        <w:rPr>
          <w:noProof/>
        </w:rPr>
        <w:t xml:space="preserve"> w</w:t>
      </w:r>
      <w:r w:rsidR="00B73D99">
        <w:rPr>
          <w:noProof/>
        </w:rPr>
        <w:t> </w:t>
      </w:r>
      <w:r w:rsidR="00B73D99" w:rsidRPr="00BB0D27">
        <w:rPr>
          <w:noProof/>
        </w:rPr>
        <w:t>Uni</w:t>
      </w:r>
      <w:r w:rsidR="0034517D" w:rsidRPr="00BB0D27">
        <w:rPr>
          <w:noProof/>
        </w:rPr>
        <w:t>i. Jeżeli producent nie ma upoważnionego przedstawiciela</w:t>
      </w:r>
      <w:r w:rsidR="00B73D99" w:rsidRPr="00BB0D27">
        <w:rPr>
          <w:noProof/>
        </w:rPr>
        <w:t xml:space="preserve"> w</w:t>
      </w:r>
      <w:r w:rsidR="00B73D99">
        <w:rPr>
          <w:noProof/>
        </w:rPr>
        <w:t> </w:t>
      </w:r>
      <w:r w:rsidR="00B73D99" w:rsidRPr="00BB0D27">
        <w:rPr>
          <w:noProof/>
        </w:rPr>
        <w:t>Uni</w:t>
      </w:r>
      <w:r w:rsidR="0034517D" w:rsidRPr="00BB0D27">
        <w:rPr>
          <w:noProof/>
        </w:rPr>
        <w:t>i, obowiązek naprawy spoczywa na importerze danego towaru</w:t>
      </w:r>
      <w:r w:rsidR="00B73D99" w:rsidRPr="00BB0D27">
        <w:rPr>
          <w:noProof/>
        </w:rPr>
        <w:t>. W</w:t>
      </w:r>
      <w:r w:rsidR="00B73D99">
        <w:rPr>
          <w:noProof/>
        </w:rPr>
        <w:t> </w:t>
      </w:r>
      <w:r w:rsidR="00B73D99" w:rsidRPr="00BB0D27">
        <w:rPr>
          <w:noProof/>
        </w:rPr>
        <w:t>prz</w:t>
      </w:r>
      <w:r w:rsidR="0034517D" w:rsidRPr="00BB0D27">
        <w:rPr>
          <w:noProof/>
        </w:rPr>
        <w:t>ypadku braku importera odpowiedzialność za wywiązanie się</w:t>
      </w:r>
      <w:r w:rsidR="00B73D99" w:rsidRPr="00BB0D27">
        <w:rPr>
          <w:noProof/>
        </w:rPr>
        <w:t xml:space="preserve"> z</w:t>
      </w:r>
      <w:r w:rsidR="00B73D99">
        <w:rPr>
          <w:noProof/>
        </w:rPr>
        <w:t> </w:t>
      </w:r>
      <w:r w:rsidR="00B73D99" w:rsidRPr="00BB0D27">
        <w:rPr>
          <w:noProof/>
        </w:rPr>
        <w:t>teg</w:t>
      </w:r>
      <w:r w:rsidR="0034517D" w:rsidRPr="00BB0D27">
        <w:rPr>
          <w:noProof/>
        </w:rPr>
        <w:t>o obowiązku spoczywa na dystrybutorze danego towaru.</w:t>
      </w:r>
    </w:p>
    <w:p w:rsidR="0034517D" w:rsidRPr="00BB0D27" w:rsidRDefault="001C4EB9" w:rsidP="001C4EB9">
      <w:pPr>
        <w:pStyle w:val="ManualNumPar1"/>
        <w:rPr>
          <w:noProof/>
        </w:rPr>
      </w:pPr>
      <w:r w:rsidRPr="001C4EB9">
        <w:t>3.</w:t>
      </w:r>
      <w:r w:rsidRPr="001C4EB9">
        <w:tab/>
      </w:r>
      <w:r w:rsidR="004E3698" w:rsidRPr="00BB0D27">
        <w:rPr>
          <w:rStyle w:val="ui-provider"/>
          <w:noProof/>
        </w:rPr>
        <w:t>Producenci zapewniają, aby niezależne podmioty zajmujące się naprawą miały dostęp do części zamiennych oraz do informacji</w:t>
      </w:r>
      <w:r w:rsidR="00B73D99" w:rsidRPr="00BB0D27">
        <w:rPr>
          <w:rStyle w:val="ui-provider"/>
          <w:noProof/>
        </w:rPr>
        <w:t xml:space="preserve"> i</w:t>
      </w:r>
      <w:r w:rsidR="00B73D99">
        <w:rPr>
          <w:rStyle w:val="ui-provider"/>
          <w:noProof/>
        </w:rPr>
        <w:t> </w:t>
      </w:r>
      <w:r w:rsidR="00B73D99" w:rsidRPr="00BB0D27">
        <w:rPr>
          <w:rStyle w:val="ui-provider"/>
          <w:noProof/>
        </w:rPr>
        <w:t>nar</w:t>
      </w:r>
      <w:r w:rsidR="004E3698" w:rsidRPr="00BB0D27">
        <w:rPr>
          <w:rStyle w:val="ui-provider"/>
          <w:noProof/>
        </w:rPr>
        <w:t>zędzi związanych</w:t>
      </w:r>
      <w:r w:rsidR="00B73D99" w:rsidRPr="00BB0D27">
        <w:rPr>
          <w:rStyle w:val="ui-provider"/>
          <w:noProof/>
        </w:rPr>
        <w:t xml:space="preserve"> z</w:t>
      </w:r>
      <w:r w:rsidR="00B73D99">
        <w:rPr>
          <w:rStyle w:val="ui-provider"/>
          <w:noProof/>
        </w:rPr>
        <w:t> </w:t>
      </w:r>
      <w:r w:rsidR="00B73D99" w:rsidRPr="00BB0D27">
        <w:rPr>
          <w:rStyle w:val="ui-provider"/>
          <w:noProof/>
        </w:rPr>
        <w:t>nap</w:t>
      </w:r>
      <w:r w:rsidR="004E3698" w:rsidRPr="00BB0D27">
        <w:rPr>
          <w:rStyle w:val="ui-provider"/>
          <w:noProof/>
        </w:rPr>
        <w:t>rawą, zgodnie</w:t>
      </w:r>
      <w:r w:rsidR="00B73D99" w:rsidRPr="00BB0D27">
        <w:rPr>
          <w:rStyle w:val="ui-provider"/>
          <w:noProof/>
        </w:rPr>
        <w:t xml:space="preserve"> z</w:t>
      </w:r>
      <w:r w:rsidR="00B73D99">
        <w:rPr>
          <w:rStyle w:val="ui-provider"/>
          <w:noProof/>
        </w:rPr>
        <w:t> </w:t>
      </w:r>
      <w:r w:rsidR="00B73D99" w:rsidRPr="00BB0D27">
        <w:rPr>
          <w:rStyle w:val="ui-provider"/>
          <w:noProof/>
        </w:rPr>
        <w:t>akt</w:t>
      </w:r>
      <w:r w:rsidR="004E3698" w:rsidRPr="00BB0D27">
        <w:rPr>
          <w:rStyle w:val="ui-provider"/>
          <w:noProof/>
        </w:rPr>
        <w:t>ami prawnymi Unii wymienionymi</w:t>
      </w:r>
      <w:r w:rsidR="00B73D99" w:rsidRPr="00BB0D27">
        <w:rPr>
          <w:rStyle w:val="ui-provider"/>
          <w:noProof/>
        </w:rPr>
        <w:t xml:space="preserve"> w</w:t>
      </w:r>
      <w:r w:rsidR="00B73D99">
        <w:rPr>
          <w:rStyle w:val="ui-provider"/>
          <w:noProof/>
        </w:rPr>
        <w:t> </w:t>
      </w:r>
      <w:r w:rsidR="00B73D99" w:rsidRPr="00BB0D27">
        <w:rPr>
          <w:rStyle w:val="ui-provider"/>
          <w:noProof/>
        </w:rPr>
        <w:t>zał</w:t>
      </w:r>
      <w:r w:rsidR="004E3698" w:rsidRPr="00BB0D27">
        <w:rPr>
          <w:rStyle w:val="ui-provider"/>
          <w:noProof/>
        </w:rPr>
        <w:t xml:space="preserve">ączniku II. </w:t>
      </w:r>
    </w:p>
    <w:p w:rsidR="0002120B" w:rsidRPr="00BB0D27" w:rsidRDefault="001C4EB9" w:rsidP="001C4EB9">
      <w:pPr>
        <w:pStyle w:val="ManualNumPar1"/>
        <w:rPr>
          <w:noProof/>
        </w:rPr>
      </w:pPr>
      <w:r w:rsidRPr="001C4EB9">
        <w:t>4.</w:t>
      </w:r>
      <w:r w:rsidRPr="001C4EB9">
        <w:tab/>
      </w:r>
      <w:r w:rsidR="00AF1370" w:rsidRPr="00BB0D27">
        <w:rPr>
          <w:noProof/>
        </w:rPr>
        <w:t>Komisja jest uprawniona do przyjmowania aktów delegowanych zgodnie</w:t>
      </w:r>
      <w:r w:rsidR="00B73D99" w:rsidRPr="00BB0D27">
        <w:rPr>
          <w:noProof/>
        </w:rPr>
        <w:t xml:space="preserve"> z</w:t>
      </w:r>
      <w:r w:rsidR="00B73D99">
        <w:rPr>
          <w:noProof/>
        </w:rPr>
        <w:t> </w:t>
      </w:r>
      <w:r w:rsidR="00B73D99" w:rsidRPr="00B73D99">
        <w:rPr>
          <w:noProof/>
        </w:rPr>
        <w:t>art</w:t>
      </w:r>
      <w:r w:rsidR="00AF1370" w:rsidRPr="00B73D99">
        <w:rPr>
          <w:noProof/>
        </w:rPr>
        <w:t>.</w:t>
      </w:r>
      <w:r w:rsidR="00B73D99" w:rsidRPr="00B73D99">
        <w:rPr>
          <w:noProof/>
        </w:rPr>
        <w:t> </w:t>
      </w:r>
      <w:r w:rsidR="00AF1370" w:rsidRPr="00B73D99">
        <w:rPr>
          <w:noProof/>
        </w:rPr>
        <w:t>1</w:t>
      </w:r>
      <w:r w:rsidR="00AF1370" w:rsidRPr="00BB0D27">
        <w:rPr>
          <w:noProof/>
        </w:rPr>
        <w:t>5 oraz do wprowadzania zmian</w:t>
      </w:r>
      <w:r w:rsidR="00B73D99" w:rsidRPr="00BB0D27">
        <w:rPr>
          <w:noProof/>
        </w:rPr>
        <w:t xml:space="preserve"> w</w:t>
      </w:r>
      <w:r w:rsidR="00B73D99">
        <w:rPr>
          <w:noProof/>
        </w:rPr>
        <w:t> </w:t>
      </w:r>
      <w:r w:rsidR="00B73D99" w:rsidRPr="00BB0D27">
        <w:rPr>
          <w:noProof/>
        </w:rPr>
        <w:t>zał</w:t>
      </w:r>
      <w:r w:rsidR="00AF1370" w:rsidRPr="00BB0D27">
        <w:rPr>
          <w:noProof/>
        </w:rPr>
        <w:t>ączniku II poprzez aktualizowanie –</w:t>
      </w:r>
      <w:r w:rsidR="00B73D99" w:rsidRPr="00BB0D27">
        <w:rPr>
          <w:noProof/>
        </w:rPr>
        <w:t xml:space="preserve"> w</w:t>
      </w:r>
      <w:r w:rsidR="00B73D99">
        <w:rPr>
          <w:noProof/>
        </w:rPr>
        <w:t> </w:t>
      </w:r>
      <w:r w:rsidR="00B73D99" w:rsidRPr="00BB0D27">
        <w:rPr>
          <w:noProof/>
        </w:rPr>
        <w:t>świ</w:t>
      </w:r>
      <w:r w:rsidR="00AF1370" w:rsidRPr="00BB0D27">
        <w:rPr>
          <w:noProof/>
        </w:rPr>
        <w:t>etle zmian legislacyjnych –wykazu aktów prawnych Unii określających wymogi dotyczące możliwości naprawy.</w:t>
      </w:r>
    </w:p>
    <w:p w:rsidR="0002120B" w:rsidRPr="00BB0D27" w:rsidRDefault="0002120B" w:rsidP="0013390F">
      <w:pPr>
        <w:pStyle w:val="Titrearticle"/>
        <w:rPr>
          <w:noProof/>
        </w:rPr>
      </w:pPr>
      <w:r w:rsidRPr="00BB0D27">
        <w:rPr>
          <w:noProof/>
        </w:rPr>
        <w:t>Artykuł 6</w:t>
      </w:r>
    </w:p>
    <w:p w:rsidR="00955FA7" w:rsidRPr="00BB0D27" w:rsidRDefault="00955FA7" w:rsidP="00955FA7">
      <w:pPr>
        <w:jc w:val="center"/>
        <w:rPr>
          <w:b/>
          <w:noProof/>
        </w:rPr>
      </w:pPr>
      <w:r w:rsidRPr="00BB0D27">
        <w:rPr>
          <w:b/>
          <w:noProof/>
        </w:rPr>
        <w:t>Informowanie</w:t>
      </w:r>
      <w:r w:rsidR="00B73D99" w:rsidRPr="00BB0D27">
        <w:rPr>
          <w:b/>
          <w:noProof/>
        </w:rPr>
        <w:t xml:space="preserve"> o</w:t>
      </w:r>
      <w:r w:rsidR="00B73D99">
        <w:rPr>
          <w:b/>
          <w:noProof/>
        </w:rPr>
        <w:t> </w:t>
      </w:r>
      <w:r w:rsidR="00B73D99" w:rsidRPr="00BB0D27">
        <w:rPr>
          <w:b/>
          <w:noProof/>
        </w:rPr>
        <w:t>obo</w:t>
      </w:r>
      <w:r w:rsidRPr="00BB0D27">
        <w:rPr>
          <w:b/>
          <w:noProof/>
        </w:rPr>
        <w:t>wiązku naprawy </w:t>
      </w:r>
    </w:p>
    <w:p w:rsidR="0002120B" w:rsidRPr="00B73D99" w:rsidRDefault="00AF1370" w:rsidP="0002120B">
      <w:pPr>
        <w:spacing w:before="100" w:beforeAutospacing="1" w:after="240"/>
        <w:rPr>
          <w:rFonts w:eastAsia="Times New Roman"/>
          <w:noProof/>
          <w:color w:val="000000"/>
          <w:szCs w:val="24"/>
        </w:rPr>
      </w:pPr>
      <w:r w:rsidRPr="00BB0D27">
        <w:rPr>
          <w:noProof/>
          <w:color w:val="000000"/>
        </w:rPr>
        <w:t>Państwa członkowskie zapewniają, aby producenci informowali konsumentów</w:t>
      </w:r>
      <w:r w:rsidR="00B73D99" w:rsidRPr="00BB0D27">
        <w:rPr>
          <w:noProof/>
          <w:color w:val="000000"/>
        </w:rPr>
        <w:t xml:space="preserve"> o</w:t>
      </w:r>
      <w:r w:rsidR="00B73D99">
        <w:rPr>
          <w:noProof/>
          <w:color w:val="000000"/>
        </w:rPr>
        <w:t> </w:t>
      </w:r>
      <w:r w:rsidR="00B73D99" w:rsidRPr="00BB0D27">
        <w:rPr>
          <w:noProof/>
          <w:color w:val="000000"/>
        </w:rPr>
        <w:t>obo</w:t>
      </w:r>
      <w:r w:rsidRPr="00BB0D27">
        <w:rPr>
          <w:noProof/>
          <w:color w:val="000000"/>
        </w:rPr>
        <w:t>wiązku naprawy spoczywającym na producencie zgodnie</w:t>
      </w:r>
      <w:r w:rsidR="00B73D99" w:rsidRPr="00BB0D27">
        <w:rPr>
          <w:noProof/>
          <w:color w:val="000000"/>
        </w:rPr>
        <w:t xml:space="preserve"> z</w:t>
      </w:r>
      <w:r w:rsidR="00B73D99">
        <w:rPr>
          <w:noProof/>
          <w:color w:val="000000"/>
        </w:rPr>
        <w:t> </w:t>
      </w:r>
      <w:r w:rsidR="00B73D99" w:rsidRPr="00B73D99">
        <w:rPr>
          <w:noProof/>
          <w:color w:val="000000"/>
        </w:rPr>
        <w:t>art</w:t>
      </w:r>
      <w:r w:rsidRPr="00B73D99">
        <w:rPr>
          <w:noProof/>
          <w:color w:val="000000"/>
        </w:rPr>
        <w:t>.</w:t>
      </w:r>
      <w:r w:rsidR="00B73D99" w:rsidRPr="00B73D99">
        <w:rPr>
          <w:noProof/>
          <w:color w:val="000000"/>
        </w:rPr>
        <w:t> </w:t>
      </w:r>
      <w:r w:rsidRPr="00B73D99">
        <w:rPr>
          <w:noProof/>
          <w:color w:val="000000"/>
        </w:rPr>
        <w:t>5</w:t>
      </w:r>
      <w:r w:rsidRPr="00BB0D27">
        <w:rPr>
          <w:noProof/>
          <w:color w:val="000000"/>
        </w:rPr>
        <w:t xml:space="preserve"> oraz, aby przekazywali konsumentom informacje</w:t>
      </w:r>
      <w:r w:rsidR="00B73D99" w:rsidRPr="00BB0D27">
        <w:rPr>
          <w:noProof/>
          <w:color w:val="000000"/>
        </w:rPr>
        <w:t xml:space="preserve"> o</w:t>
      </w:r>
      <w:r w:rsidR="00B73D99">
        <w:rPr>
          <w:noProof/>
          <w:color w:val="000000"/>
        </w:rPr>
        <w:t> </w:t>
      </w:r>
      <w:r w:rsidR="00B73D99" w:rsidRPr="00BB0D27">
        <w:rPr>
          <w:noProof/>
          <w:color w:val="000000"/>
        </w:rPr>
        <w:t>usł</w:t>
      </w:r>
      <w:r w:rsidRPr="00BB0D27">
        <w:rPr>
          <w:noProof/>
          <w:color w:val="000000"/>
        </w:rPr>
        <w:t>ugach naprawczych</w:t>
      </w:r>
      <w:r w:rsidR="00B73D99" w:rsidRPr="00BB0D27">
        <w:rPr>
          <w:noProof/>
          <w:color w:val="000000"/>
        </w:rPr>
        <w:t xml:space="preserve"> w</w:t>
      </w:r>
      <w:r w:rsidR="00B73D99">
        <w:rPr>
          <w:noProof/>
          <w:color w:val="000000"/>
        </w:rPr>
        <w:t> </w:t>
      </w:r>
      <w:r w:rsidR="00B73D99" w:rsidRPr="00BB0D27">
        <w:rPr>
          <w:noProof/>
          <w:color w:val="000000"/>
        </w:rPr>
        <w:t>łat</w:t>
      </w:r>
      <w:r w:rsidRPr="00BB0D27">
        <w:rPr>
          <w:noProof/>
          <w:color w:val="000000"/>
        </w:rPr>
        <w:t>wo dostępny, przejrzysty</w:t>
      </w:r>
      <w:r w:rsidR="00B73D99" w:rsidRPr="00BB0D27">
        <w:rPr>
          <w:noProof/>
          <w:color w:val="000000"/>
        </w:rPr>
        <w:t xml:space="preserve"> i</w:t>
      </w:r>
      <w:r w:rsidR="00B73D99">
        <w:rPr>
          <w:noProof/>
          <w:color w:val="000000"/>
        </w:rPr>
        <w:t> </w:t>
      </w:r>
      <w:r w:rsidR="00B73D99" w:rsidRPr="00BB0D27">
        <w:rPr>
          <w:noProof/>
          <w:color w:val="000000"/>
        </w:rPr>
        <w:t>zro</w:t>
      </w:r>
      <w:r w:rsidRPr="00BB0D27">
        <w:rPr>
          <w:noProof/>
          <w:color w:val="000000"/>
        </w:rPr>
        <w:t>zumiały sposób, na przykład na platformie internetowej,</w:t>
      </w:r>
      <w:r w:rsidR="00B73D99" w:rsidRPr="00BB0D27">
        <w:rPr>
          <w:noProof/>
          <w:color w:val="000000"/>
        </w:rPr>
        <w:t xml:space="preserve"> o</w:t>
      </w:r>
      <w:r w:rsidR="00B73D99">
        <w:rPr>
          <w:noProof/>
          <w:color w:val="000000"/>
        </w:rPr>
        <w:t> </w:t>
      </w:r>
      <w:r w:rsidR="00B73D99" w:rsidRPr="00BB0D27">
        <w:rPr>
          <w:noProof/>
          <w:color w:val="000000"/>
        </w:rPr>
        <w:t>któ</w:t>
      </w:r>
      <w:r w:rsidRPr="00BB0D27">
        <w:rPr>
          <w:noProof/>
          <w:color w:val="000000"/>
        </w:rPr>
        <w:t>rej mowa</w:t>
      </w:r>
      <w:r w:rsidR="00B73D99" w:rsidRPr="00BB0D27">
        <w:rPr>
          <w:noProof/>
          <w:color w:val="000000"/>
        </w:rPr>
        <w:t xml:space="preserve"> w</w:t>
      </w:r>
      <w:r w:rsidR="00B73D99">
        <w:rPr>
          <w:noProof/>
          <w:color w:val="000000"/>
        </w:rPr>
        <w:t> </w:t>
      </w:r>
      <w:r w:rsidR="00B73D99" w:rsidRPr="00B73D99">
        <w:rPr>
          <w:noProof/>
          <w:color w:val="000000"/>
        </w:rPr>
        <w:t>art</w:t>
      </w:r>
      <w:r w:rsidRPr="00B73D99">
        <w:rPr>
          <w:noProof/>
          <w:color w:val="000000"/>
        </w:rPr>
        <w:t>.</w:t>
      </w:r>
      <w:r w:rsidR="00B73D99" w:rsidRPr="00B73D99">
        <w:rPr>
          <w:noProof/>
          <w:color w:val="000000"/>
        </w:rPr>
        <w:t> </w:t>
      </w:r>
      <w:r w:rsidRPr="00B73D99">
        <w:rPr>
          <w:noProof/>
          <w:color w:val="000000"/>
        </w:rPr>
        <w:t>7</w:t>
      </w:r>
      <w:r w:rsidRPr="00BB0D27">
        <w:rPr>
          <w:noProof/>
          <w:color w:val="000000"/>
        </w:rPr>
        <w:t>. </w:t>
      </w:r>
    </w:p>
    <w:p w:rsidR="0002120B" w:rsidRPr="00BB0D27" w:rsidRDefault="0002120B" w:rsidP="0013390F">
      <w:pPr>
        <w:pStyle w:val="Titrearticle"/>
        <w:rPr>
          <w:noProof/>
        </w:rPr>
      </w:pPr>
      <w:r w:rsidRPr="00B73D99">
        <w:rPr>
          <w:noProof/>
        </w:rPr>
        <w:t>A</w:t>
      </w:r>
      <w:r w:rsidRPr="00BB0D27">
        <w:rPr>
          <w:noProof/>
        </w:rPr>
        <w:t>rtykuł 7</w:t>
      </w:r>
    </w:p>
    <w:p w:rsidR="00FE49E2" w:rsidRPr="00BB0D27" w:rsidRDefault="00AF1370" w:rsidP="00BB0D27">
      <w:pPr>
        <w:jc w:val="center"/>
        <w:rPr>
          <w:b/>
          <w:noProof/>
        </w:rPr>
      </w:pPr>
      <w:r w:rsidRPr="00BB0D27">
        <w:rPr>
          <w:b/>
          <w:noProof/>
        </w:rPr>
        <w:t>Platforma internetowa dotycząca napraw</w:t>
      </w:r>
      <w:r w:rsidR="00B73D99" w:rsidRPr="00BB0D27">
        <w:rPr>
          <w:b/>
          <w:noProof/>
        </w:rPr>
        <w:t xml:space="preserve"> i</w:t>
      </w:r>
      <w:r w:rsidR="00B73D99">
        <w:rPr>
          <w:b/>
          <w:noProof/>
        </w:rPr>
        <w:t> </w:t>
      </w:r>
      <w:r w:rsidR="00B73D99" w:rsidRPr="00BB0D27">
        <w:rPr>
          <w:b/>
          <w:noProof/>
        </w:rPr>
        <w:t>tow</w:t>
      </w:r>
      <w:r w:rsidRPr="00BB0D27">
        <w:rPr>
          <w:b/>
          <w:noProof/>
        </w:rPr>
        <w:t>arów nadających się do odnowienia </w:t>
      </w:r>
    </w:p>
    <w:p w:rsidR="0002120B" w:rsidRPr="00BB0D27" w:rsidRDefault="001C4EB9" w:rsidP="001C4EB9">
      <w:pPr>
        <w:pStyle w:val="ManualNumPar1"/>
        <w:rPr>
          <w:noProof/>
        </w:rPr>
      </w:pPr>
      <w:r w:rsidRPr="001C4EB9">
        <w:t>1.</w:t>
      </w:r>
      <w:r w:rsidRPr="001C4EB9">
        <w:tab/>
      </w:r>
      <w:r w:rsidR="00AF1370" w:rsidRPr="00BB0D27">
        <w:rPr>
          <w:noProof/>
        </w:rPr>
        <w:t>Państwa członkowskie zapewniają, aby istniała przynajmniej jedna platforma internetowa umożliwiająca konsumentom znalezienie podmiotów zajmujących się naprawą na terytorium danego państwa członkowskiego. Wspomniana platforma musi spełniać następujące wymogi: </w:t>
      </w:r>
    </w:p>
    <w:p w:rsidR="00CA1137" w:rsidRPr="00BB0D27" w:rsidRDefault="00B73D99" w:rsidP="00B73D99">
      <w:pPr>
        <w:pStyle w:val="Point1"/>
        <w:rPr>
          <w:noProof/>
        </w:rPr>
      </w:pPr>
      <w:r>
        <w:rPr>
          <w:noProof/>
        </w:rPr>
        <w:t>a)</w:t>
      </w:r>
      <w:r>
        <w:rPr>
          <w:noProof/>
        </w:rPr>
        <w:tab/>
      </w:r>
      <w:r w:rsidR="00CA1137" w:rsidRPr="00BB0D27">
        <w:rPr>
          <w:noProof/>
        </w:rPr>
        <w:t>umożliwiać wyszukiwanie pod kątem towarów, lokalizacji usług naprawczych, warunków naprawy – takich, jak czas potrzebny na jej dokonanie, dostępność tymczasowych towarów zastępczych oraz miejsce dostarczenia przez konsumenta towarów przeznaczonych do naprawy – dostępności</w:t>
      </w:r>
      <w:r w:rsidRPr="00BB0D27">
        <w:rPr>
          <w:noProof/>
        </w:rPr>
        <w:t xml:space="preserve"> i</w:t>
      </w:r>
      <w:r>
        <w:rPr>
          <w:noProof/>
        </w:rPr>
        <w:t> </w:t>
      </w:r>
      <w:r w:rsidRPr="00BB0D27">
        <w:rPr>
          <w:noProof/>
        </w:rPr>
        <w:t>war</w:t>
      </w:r>
      <w:r w:rsidR="00CA1137" w:rsidRPr="00BB0D27">
        <w:rPr>
          <w:noProof/>
        </w:rPr>
        <w:t>unków świadczenia oferowanych przez podmioty zajmujące się naprawą usług dodatkowych, takich jak usunięcie, instalacja</w:t>
      </w:r>
      <w:r w:rsidRPr="00BB0D27">
        <w:rPr>
          <w:noProof/>
        </w:rPr>
        <w:t xml:space="preserve"> i</w:t>
      </w:r>
      <w:r>
        <w:rPr>
          <w:noProof/>
        </w:rPr>
        <w:t> </w:t>
      </w:r>
      <w:r w:rsidRPr="00BB0D27">
        <w:rPr>
          <w:noProof/>
        </w:rPr>
        <w:t>tra</w:t>
      </w:r>
      <w:r w:rsidR="00CA1137" w:rsidRPr="00BB0D27">
        <w:rPr>
          <w:noProof/>
        </w:rPr>
        <w:t>nsport,</w:t>
      </w:r>
      <w:r w:rsidRPr="00BB0D27">
        <w:rPr>
          <w:noProof/>
        </w:rPr>
        <w:t xml:space="preserve"> a</w:t>
      </w:r>
      <w:r>
        <w:rPr>
          <w:noProof/>
        </w:rPr>
        <w:t> </w:t>
      </w:r>
      <w:r w:rsidRPr="00BB0D27">
        <w:rPr>
          <w:noProof/>
        </w:rPr>
        <w:t>tak</w:t>
      </w:r>
      <w:r w:rsidR="00CA1137" w:rsidRPr="00BB0D27">
        <w:rPr>
          <w:noProof/>
        </w:rPr>
        <w:t>że pod kątem krajowych lub europejskich norm jakości;</w:t>
      </w:r>
    </w:p>
    <w:p w:rsidR="00CA1137" w:rsidRPr="00BB0D27" w:rsidRDefault="00B73D99" w:rsidP="00B73D99">
      <w:pPr>
        <w:pStyle w:val="Point1"/>
        <w:rPr>
          <w:noProof/>
        </w:rPr>
      </w:pPr>
      <w:r>
        <w:rPr>
          <w:noProof/>
        </w:rPr>
        <w:t>b)</w:t>
      </w:r>
      <w:r>
        <w:rPr>
          <w:noProof/>
        </w:rPr>
        <w:tab/>
      </w:r>
      <w:r w:rsidR="00CA1137" w:rsidRPr="00BB0D27">
        <w:rPr>
          <w:noProof/>
        </w:rPr>
        <w:t>umożliwiać konsumentom złożenie za jej pośrednictwem wniosku</w:t>
      </w:r>
      <w:r w:rsidRPr="00BB0D27">
        <w:rPr>
          <w:noProof/>
        </w:rPr>
        <w:t xml:space="preserve"> o</w:t>
      </w:r>
      <w:r>
        <w:rPr>
          <w:noProof/>
        </w:rPr>
        <w:t> </w:t>
      </w:r>
      <w:r w:rsidRPr="00BB0D27">
        <w:rPr>
          <w:noProof/>
        </w:rPr>
        <w:t>wyd</w:t>
      </w:r>
      <w:r w:rsidR="00CA1137" w:rsidRPr="00BB0D27">
        <w:rPr>
          <w:noProof/>
        </w:rPr>
        <w:t>anie europejskiego formularza informacji</w:t>
      </w:r>
      <w:r w:rsidRPr="00BB0D27">
        <w:rPr>
          <w:noProof/>
        </w:rPr>
        <w:t xml:space="preserve"> o</w:t>
      </w:r>
      <w:r>
        <w:rPr>
          <w:noProof/>
        </w:rPr>
        <w:t> </w:t>
      </w:r>
      <w:r w:rsidRPr="00BB0D27">
        <w:rPr>
          <w:noProof/>
        </w:rPr>
        <w:t>nap</w:t>
      </w:r>
      <w:r w:rsidR="00CA1137" w:rsidRPr="00BB0D27">
        <w:rPr>
          <w:noProof/>
        </w:rPr>
        <w:t>rawie;</w:t>
      </w:r>
    </w:p>
    <w:p w:rsidR="00CA1137" w:rsidRPr="00BB0D27" w:rsidRDefault="00B73D99" w:rsidP="00B73D99">
      <w:pPr>
        <w:pStyle w:val="Point1"/>
        <w:rPr>
          <w:noProof/>
        </w:rPr>
      </w:pPr>
      <w:r>
        <w:rPr>
          <w:noProof/>
        </w:rPr>
        <w:t>c)</w:t>
      </w:r>
      <w:r>
        <w:rPr>
          <w:noProof/>
        </w:rPr>
        <w:tab/>
      </w:r>
      <w:r w:rsidR="00CA1137" w:rsidRPr="00BB0D27">
        <w:rPr>
          <w:noProof/>
        </w:rPr>
        <w:t>umożliwiać regularne aktualizowanie danych kontaktowych podmiotów zajmujących się naprawą oraz informacji</w:t>
      </w:r>
      <w:r w:rsidRPr="00BB0D27">
        <w:rPr>
          <w:noProof/>
        </w:rPr>
        <w:t xml:space="preserve"> o</w:t>
      </w:r>
      <w:r>
        <w:rPr>
          <w:noProof/>
        </w:rPr>
        <w:t> </w:t>
      </w:r>
      <w:r w:rsidRPr="00BB0D27">
        <w:rPr>
          <w:noProof/>
        </w:rPr>
        <w:t>usł</w:t>
      </w:r>
      <w:r w:rsidR="00CA1137" w:rsidRPr="00BB0D27">
        <w:rPr>
          <w:noProof/>
        </w:rPr>
        <w:t>ugach świadczonych przez te podmioty;</w:t>
      </w:r>
    </w:p>
    <w:p w:rsidR="00CA1137" w:rsidRPr="00BB0D27" w:rsidRDefault="00B73D99" w:rsidP="00B73D99">
      <w:pPr>
        <w:pStyle w:val="Point1"/>
        <w:rPr>
          <w:noProof/>
        </w:rPr>
      </w:pPr>
      <w:r>
        <w:rPr>
          <w:noProof/>
        </w:rPr>
        <w:t>d)</w:t>
      </w:r>
      <w:r>
        <w:rPr>
          <w:noProof/>
        </w:rPr>
        <w:tab/>
      </w:r>
      <w:r w:rsidR="00CA1137" w:rsidRPr="00BB0D27">
        <w:rPr>
          <w:noProof/>
        </w:rPr>
        <w:t>umożliwiać podmiotom zajmującym się naprawą wykazanie, że oferowane przez nie usługi są zgodne</w:t>
      </w:r>
      <w:r w:rsidRPr="00BB0D27">
        <w:rPr>
          <w:noProof/>
        </w:rPr>
        <w:t xml:space="preserve"> z</w:t>
      </w:r>
      <w:r>
        <w:rPr>
          <w:noProof/>
        </w:rPr>
        <w:t> </w:t>
      </w:r>
      <w:r w:rsidRPr="00BB0D27">
        <w:rPr>
          <w:noProof/>
        </w:rPr>
        <w:t>kra</w:t>
      </w:r>
      <w:r w:rsidR="00CA1137" w:rsidRPr="00BB0D27">
        <w:rPr>
          <w:noProof/>
        </w:rPr>
        <w:t>jowymi lub europejskimi normami jakości;</w:t>
      </w:r>
    </w:p>
    <w:p w:rsidR="00CA1137" w:rsidRPr="00BB0D27" w:rsidRDefault="00B73D99" w:rsidP="00B73D99">
      <w:pPr>
        <w:pStyle w:val="Point1"/>
        <w:rPr>
          <w:noProof/>
        </w:rPr>
      </w:pPr>
      <w:r>
        <w:rPr>
          <w:noProof/>
        </w:rPr>
        <w:t>e)</w:t>
      </w:r>
      <w:r>
        <w:rPr>
          <w:noProof/>
        </w:rPr>
        <w:tab/>
      </w:r>
      <w:r w:rsidR="00CA1137" w:rsidRPr="00BB0D27">
        <w:rPr>
          <w:noProof/>
        </w:rPr>
        <w:t>być dostępna za pośrednictwem krajowych stron internetowych połączonych</w:t>
      </w:r>
      <w:r w:rsidRPr="00BB0D27">
        <w:rPr>
          <w:noProof/>
        </w:rPr>
        <w:t xml:space="preserve"> z</w:t>
      </w:r>
      <w:r>
        <w:rPr>
          <w:noProof/>
        </w:rPr>
        <w:t> </w:t>
      </w:r>
      <w:r w:rsidRPr="00BB0D27">
        <w:rPr>
          <w:noProof/>
        </w:rPr>
        <w:t>jed</w:t>
      </w:r>
      <w:r w:rsidR="00CA1137" w:rsidRPr="00BB0D27">
        <w:rPr>
          <w:noProof/>
        </w:rPr>
        <w:t>nolitym portalem cyfrowym ustanowionym rozporządzeniem (UE) 2018/1724;</w:t>
      </w:r>
    </w:p>
    <w:p w:rsidR="00CA1137" w:rsidRPr="00BB0D27" w:rsidRDefault="00B73D99" w:rsidP="00B73D99">
      <w:pPr>
        <w:pStyle w:val="Point1"/>
        <w:rPr>
          <w:noProof/>
        </w:rPr>
      </w:pPr>
      <w:r>
        <w:rPr>
          <w:noProof/>
        </w:rPr>
        <w:t>f)</w:t>
      </w:r>
      <w:r>
        <w:rPr>
          <w:noProof/>
        </w:rPr>
        <w:tab/>
      </w:r>
      <w:r w:rsidR="00846D6D" w:rsidRPr="00BB0D27">
        <w:rPr>
          <w:noProof/>
        </w:rPr>
        <w:t>być dostępna dla osób niepełnosprawnych. </w:t>
      </w:r>
    </w:p>
    <w:p w:rsidR="00CA1137" w:rsidRPr="00BB0D27" w:rsidRDefault="001C4EB9" w:rsidP="001C4EB9">
      <w:pPr>
        <w:pStyle w:val="ManualNumPar1"/>
        <w:rPr>
          <w:noProof/>
        </w:rPr>
      </w:pPr>
      <w:r w:rsidRPr="001C4EB9">
        <w:t>2.</w:t>
      </w:r>
      <w:r w:rsidRPr="001C4EB9">
        <w:tab/>
      </w:r>
      <w:r w:rsidR="00331046" w:rsidRPr="00BB0D27">
        <w:rPr>
          <w:noProof/>
        </w:rPr>
        <w:t>Państwa członkowskie zapewniają, aby taka platforma internetowa umożliwiała również wyszukiwanie według kategorii produktu</w:t>
      </w:r>
      <w:r w:rsidR="00B73D99" w:rsidRPr="00BB0D27">
        <w:rPr>
          <w:noProof/>
        </w:rPr>
        <w:t xml:space="preserve"> w</w:t>
      </w:r>
      <w:r w:rsidR="00B73D99">
        <w:rPr>
          <w:noProof/>
        </w:rPr>
        <w:t> </w:t>
      </w:r>
      <w:r w:rsidR="00B73D99" w:rsidRPr="00BB0D27">
        <w:rPr>
          <w:noProof/>
        </w:rPr>
        <w:t>cel</w:t>
      </w:r>
      <w:r w:rsidR="00331046" w:rsidRPr="00BB0D27">
        <w:rPr>
          <w:noProof/>
        </w:rPr>
        <w:t>u znalezienia sprzedawców towarów nadających się do odnowienia</w:t>
      </w:r>
      <w:r w:rsidR="00B73D99" w:rsidRPr="00BB0D27">
        <w:rPr>
          <w:noProof/>
        </w:rPr>
        <w:t xml:space="preserve"> i</w:t>
      </w:r>
      <w:r w:rsidR="00B73D99">
        <w:rPr>
          <w:noProof/>
        </w:rPr>
        <w:t> </w:t>
      </w:r>
      <w:r w:rsidR="00B73D99" w:rsidRPr="00BB0D27">
        <w:rPr>
          <w:noProof/>
        </w:rPr>
        <w:t>nab</w:t>
      </w:r>
      <w:r w:rsidR="00331046" w:rsidRPr="00BB0D27">
        <w:rPr>
          <w:noProof/>
        </w:rPr>
        <w:t>ywców towarów wadliwych kupowanych</w:t>
      </w:r>
      <w:r w:rsidR="00B73D99" w:rsidRPr="00BB0D27">
        <w:rPr>
          <w:noProof/>
        </w:rPr>
        <w:t xml:space="preserve"> w</w:t>
      </w:r>
      <w:r w:rsidR="00B73D99">
        <w:rPr>
          <w:noProof/>
        </w:rPr>
        <w:t> </w:t>
      </w:r>
      <w:r w:rsidR="00B73D99" w:rsidRPr="00BB0D27">
        <w:rPr>
          <w:noProof/>
        </w:rPr>
        <w:t>cel</w:t>
      </w:r>
      <w:r w:rsidR="00331046" w:rsidRPr="00BB0D27">
        <w:rPr>
          <w:noProof/>
        </w:rPr>
        <w:t>u ich odnowienia.</w:t>
      </w:r>
    </w:p>
    <w:p w:rsidR="00CA1137" w:rsidRDefault="001C4EB9" w:rsidP="001C4EB9">
      <w:pPr>
        <w:pStyle w:val="ManualNumPar1"/>
        <w:rPr>
          <w:noProof/>
        </w:rPr>
      </w:pPr>
      <w:r w:rsidRPr="001C4EB9">
        <w:t>3.</w:t>
      </w:r>
      <w:r w:rsidRPr="001C4EB9">
        <w:tab/>
      </w:r>
      <w:r w:rsidR="00BB0D27">
        <w:rPr>
          <w:noProof/>
        </w:rPr>
        <w:t xml:space="preserve">Rejestracja </w:t>
      </w:r>
      <w:r w:rsidR="00331046" w:rsidRPr="00BB0D27">
        <w:rPr>
          <w:noProof/>
        </w:rPr>
        <w:t>podmiotów zajmujących się naprawą, sprzedawców towarów nadających się do odnowienia</w:t>
      </w:r>
      <w:r w:rsidR="00B73D99" w:rsidRPr="00BB0D27">
        <w:rPr>
          <w:noProof/>
        </w:rPr>
        <w:t xml:space="preserve"> i</w:t>
      </w:r>
      <w:r w:rsidR="00B73D99">
        <w:rPr>
          <w:noProof/>
        </w:rPr>
        <w:t> </w:t>
      </w:r>
      <w:r w:rsidR="00B73D99" w:rsidRPr="00BB0D27">
        <w:rPr>
          <w:noProof/>
        </w:rPr>
        <w:t>nab</w:t>
      </w:r>
      <w:r w:rsidR="00331046" w:rsidRPr="00BB0D27">
        <w:rPr>
          <w:noProof/>
        </w:rPr>
        <w:t>ywców wadliwych towarów na platformie internetowej jest dobrowolna. Państwa członkowskie regulują dostęp do platformy zgodnie</w:t>
      </w:r>
      <w:r w:rsidR="00B73D99" w:rsidRPr="00BB0D27">
        <w:rPr>
          <w:noProof/>
        </w:rPr>
        <w:t xml:space="preserve"> z</w:t>
      </w:r>
      <w:r w:rsidR="00B73D99">
        <w:rPr>
          <w:noProof/>
        </w:rPr>
        <w:t> </w:t>
      </w:r>
      <w:r w:rsidR="00B73D99" w:rsidRPr="00BB0D27">
        <w:rPr>
          <w:noProof/>
        </w:rPr>
        <w:t>pra</w:t>
      </w:r>
      <w:r w:rsidR="00331046" w:rsidRPr="00BB0D27">
        <w:rPr>
          <w:noProof/>
        </w:rPr>
        <w:t>wem Unii. Konsumenci mogą korzystać</w:t>
      </w:r>
      <w:r w:rsidR="00B73D99" w:rsidRPr="00BB0D27">
        <w:rPr>
          <w:noProof/>
        </w:rPr>
        <w:t xml:space="preserve"> z</w:t>
      </w:r>
      <w:r w:rsidR="00B73D99">
        <w:rPr>
          <w:noProof/>
        </w:rPr>
        <w:t> </w:t>
      </w:r>
      <w:r w:rsidR="00B73D99" w:rsidRPr="00BB0D27">
        <w:rPr>
          <w:noProof/>
        </w:rPr>
        <w:t>pla</w:t>
      </w:r>
      <w:r w:rsidR="00331046" w:rsidRPr="00BB0D27">
        <w:rPr>
          <w:noProof/>
        </w:rPr>
        <w:t>tformy internetowej nieodpłatnie. </w:t>
      </w:r>
    </w:p>
    <w:p w:rsidR="00BB0D27" w:rsidRPr="00BB0D27" w:rsidRDefault="00BB0D27" w:rsidP="00BB0D27">
      <w:pPr>
        <w:pStyle w:val="Text1"/>
        <w:rPr>
          <w:noProof/>
        </w:rPr>
      </w:pPr>
    </w:p>
    <w:p w:rsidR="00FE49E2" w:rsidRPr="00BB0D27" w:rsidRDefault="0002120B" w:rsidP="001A58AF">
      <w:pPr>
        <w:pStyle w:val="Titrearticle"/>
        <w:spacing w:before="0" w:after="0"/>
        <w:rPr>
          <w:noProof/>
        </w:rPr>
      </w:pPr>
      <w:r w:rsidRPr="00BB0D27">
        <w:rPr>
          <w:noProof/>
        </w:rPr>
        <w:t>Artykuł 8</w:t>
      </w:r>
    </w:p>
    <w:p w:rsidR="00992214" w:rsidRPr="00BB0D27" w:rsidRDefault="00FE49E2" w:rsidP="00FE49E2">
      <w:pPr>
        <w:spacing w:before="0" w:after="0"/>
        <w:jc w:val="center"/>
        <w:rPr>
          <w:rFonts w:eastAsia="Times New Roman"/>
          <w:b/>
          <w:noProof/>
          <w:color w:val="000000"/>
          <w:szCs w:val="24"/>
        </w:rPr>
      </w:pPr>
      <w:r w:rsidRPr="00BB0D27">
        <w:rPr>
          <w:b/>
          <w:noProof/>
          <w:color w:val="000000"/>
        </w:rPr>
        <w:t xml:space="preserve">Egzekwowanie przepisów </w:t>
      </w:r>
    </w:p>
    <w:p w:rsidR="001A58AF" w:rsidRPr="00BB0D27" w:rsidRDefault="001A58AF" w:rsidP="00FE49E2">
      <w:pPr>
        <w:spacing w:before="0" w:after="0"/>
        <w:jc w:val="center"/>
        <w:rPr>
          <w:rFonts w:eastAsia="Times New Roman"/>
          <w:b/>
          <w:noProof/>
          <w:color w:val="000000"/>
          <w:szCs w:val="24"/>
          <w:lang w:eastAsia="en-IE"/>
        </w:rPr>
      </w:pPr>
    </w:p>
    <w:p w:rsidR="00FE49E2" w:rsidRPr="00BB0D27" w:rsidRDefault="001C4EB9" w:rsidP="001C4EB9">
      <w:pPr>
        <w:pStyle w:val="ManualNumPar1"/>
        <w:rPr>
          <w:noProof/>
        </w:rPr>
      </w:pPr>
      <w:r w:rsidRPr="001C4EB9">
        <w:t>1.</w:t>
      </w:r>
      <w:r w:rsidRPr="001C4EB9">
        <w:tab/>
      </w:r>
      <w:r w:rsidR="00FE49E2" w:rsidRPr="00BB0D27">
        <w:rPr>
          <w:noProof/>
        </w:rPr>
        <w:t>Państwa członkowskie zapewniają, aby przyjęto odpowiednie</w:t>
      </w:r>
      <w:r w:rsidR="00B73D99" w:rsidRPr="00BB0D27">
        <w:rPr>
          <w:noProof/>
        </w:rPr>
        <w:t xml:space="preserve"> i</w:t>
      </w:r>
      <w:r w:rsidR="00B73D99">
        <w:rPr>
          <w:noProof/>
        </w:rPr>
        <w:t> </w:t>
      </w:r>
      <w:r w:rsidR="00B73D99" w:rsidRPr="00BB0D27">
        <w:rPr>
          <w:noProof/>
        </w:rPr>
        <w:t>sku</w:t>
      </w:r>
      <w:r w:rsidR="00FE49E2" w:rsidRPr="00BB0D27">
        <w:rPr>
          <w:noProof/>
        </w:rPr>
        <w:t>teczne środki zapewniające przestrzeganie dyrektywy. </w:t>
      </w:r>
    </w:p>
    <w:p w:rsidR="00FE49E2" w:rsidRPr="00BB0D27" w:rsidRDefault="001C4EB9" w:rsidP="001C4EB9">
      <w:pPr>
        <w:pStyle w:val="ManualNumPar1"/>
        <w:rPr>
          <w:noProof/>
        </w:rPr>
      </w:pPr>
      <w:r w:rsidRPr="001C4EB9">
        <w:t>2.</w:t>
      </w:r>
      <w:r w:rsidRPr="001C4EB9">
        <w:tab/>
      </w:r>
      <w:r w:rsidR="00FE49E2" w:rsidRPr="00BB0D27">
        <w:rPr>
          <w:noProof/>
        </w:rPr>
        <w:t>Środki,</w:t>
      </w:r>
      <w:r w:rsidR="00B73D99" w:rsidRPr="00BB0D27">
        <w:rPr>
          <w:noProof/>
        </w:rPr>
        <w:t xml:space="preserve"> o</w:t>
      </w:r>
      <w:r w:rsidR="00B73D99">
        <w:rPr>
          <w:noProof/>
        </w:rPr>
        <w:t> </w:t>
      </w:r>
      <w:r w:rsidR="00B73D99" w:rsidRPr="00BB0D27">
        <w:rPr>
          <w:noProof/>
        </w:rPr>
        <w:t>któ</w:t>
      </w:r>
      <w:r w:rsidR="00FE49E2" w:rsidRPr="00BB0D27">
        <w:rPr>
          <w:noProof/>
        </w:rPr>
        <w:t>rych mowa</w:t>
      </w:r>
      <w:r w:rsidR="00B73D99" w:rsidRPr="00BB0D27">
        <w:rPr>
          <w:noProof/>
        </w:rPr>
        <w:t xml:space="preserve"> w</w:t>
      </w:r>
      <w:r w:rsidR="00B73D99">
        <w:rPr>
          <w:noProof/>
        </w:rPr>
        <w:t> </w:t>
      </w:r>
      <w:r w:rsidR="00B73D99" w:rsidRPr="00B73D99">
        <w:rPr>
          <w:noProof/>
        </w:rPr>
        <w:t>ust</w:t>
      </w:r>
      <w:r w:rsidR="00FE49E2" w:rsidRPr="00B73D99">
        <w:rPr>
          <w:noProof/>
        </w:rPr>
        <w:t>.</w:t>
      </w:r>
      <w:r w:rsidR="00B73D99" w:rsidRPr="00B73D99">
        <w:rPr>
          <w:noProof/>
        </w:rPr>
        <w:t> </w:t>
      </w:r>
      <w:r w:rsidR="00FE49E2" w:rsidRPr="00B73D99">
        <w:rPr>
          <w:noProof/>
        </w:rPr>
        <w:t>1</w:t>
      </w:r>
      <w:r w:rsidR="00FE49E2" w:rsidRPr="00BB0D27">
        <w:rPr>
          <w:noProof/>
        </w:rPr>
        <w:t>, obejmują przepisy umożliwiające co najmniej jednemu spośród wymienionych poniżej organów, zgodnie</w:t>
      </w:r>
      <w:r w:rsidR="00B73D99" w:rsidRPr="00BB0D27">
        <w:rPr>
          <w:noProof/>
        </w:rPr>
        <w:t xml:space="preserve"> z</w:t>
      </w:r>
      <w:r w:rsidR="00B73D99">
        <w:rPr>
          <w:noProof/>
        </w:rPr>
        <w:t> </w:t>
      </w:r>
      <w:r w:rsidR="00B73D99" w:rsidRPr="00BB0D27">
        <w:rPr>
          <w:noProof/>
        </w:rPr>
        <w:t>pra</w:t>
      </w:r>
      <w:r w:rsidR="00FE49E2" w:rsidRPr="00BB0D27">
        <w:rPr>
          <w:noProof/>
        </w:rPr>
        <w:t>wem krajowym, wszczęcie postępowania na mocy prawa krajowego przed sądami lub właściwymi organami administracyjnymi państwa członkowskiego, aby zapewnić stosowanie przepisów krajowych transponujących niniejszą dyrektywę: </w:t>
      </w:r>
    </w:p>
    <w:p w:rsidR="00FE49E2" w:rsidRPr="00BB0D27" w:rsidRDefault="00B73D99" w:rsidP="00B73D99">
      <w:pPr>
        <w:pStyle w:val="Point1"/>
        <w:rPr>
          <w:noProof/>
        </w:rPr>
      </w:pPr>
      <w:r>
        <w:rPr>
          <w:noProof/>
        </w:rPr>
        <w:t>a)</w:t>
      </w:r>
      <w:r>
        <w:rPr>
          <w:noProof/>
        </w:rPr>
        <w:tab/>
      </w:r>
      <w:r w:rsidR="00FE49E2" w:rsidRPr="00BB0D27">
        <w:rPr>
          <w:noProof/>
        </w:rPr>
        <w:t>instytucje publiczne lub ich przedstawiciele; </w:t>
      </w:r>
    </w:p>
    <w:p w:rsidR="00FE49E2" w:rsidRPr="00BB0D27" w:rsidRDefault="00B73D99" w:rsidP="00B73D99">
      <w:pPr>
        <w:pStyle w:val="Point1"/>
        <w:rPr>
          <w:noProof/>
        </w:rPr>
      </w:pPr>
      <w:r>
        <w:rPr>
          <w:noProof/>
        </w:rPr>
        <w:t>b)</w:t>
      </w:r>
      <w:r>
        <w:rPr>
          <w:noProof/>
        </w:rPr>
        <w:tab/>
      </w:r>
      <w:r w:rsidR="00FE49E2" w:rsidRPr="00BB0D27">
        <w:rPr>
          <w:noProof/>
        </w:rPr>
        <w:t>organizacje mające uzasadniony interes</w:t>
      </w:r>
      <w:r w:rsidRPr="00BB0D27">
        <w:rPr>
          <w:noProof/>
        </w:rPr>
        <w:t xml:space="preserve"> w</w:t>
      </w:r>
      <w:r>
        <w:rPr>
          <w:noProof/>
        </w:rPr>
        <w:t> </w:t>
      </w:r>
      <w:r w:rsidRPr="00BB0D27">
        <w:rPr>
          <w:noProof/>
        </w:rPr>
        <w:t>och</w:t>
      </w:r>
      <w:r w:rsidR="00FE49E2" w:rsidRPr="00BB0D27">
        <w:rPr>
          <w:noProof/>
        </w:rPr>
        <w:t>ronie konsumentów lub środowiska; </w:t>
      </w:r>
    </w:p>
    <w:p w:rsidR="0002120B" w:rsidRPr="00BB0D27" w:rsidRDefault="00B73D99" w:rsidP="00B73D99">
      <w:pPr>
        <w:pStyle w:val="Point1"/>
        <w:rPr>
          <w:noProof/>
        </w:rPr>
      </w:pPr>
      <w:r>
        <w:rPr>
          <w:noProof/>
        </w:rPr>
        <w:t>c)</w:t>
      </w:r>
      <w:r>
        <w:rPr>
          <w:noProof/>
        </w:rPr>
        <w:tab/>
      </w:r>
      <w:r w:rsidR="00FE49E2" w:rsidRPr="00BB0D27">
        <w:rPr>
          <w:noProof/>
        </w:rPr>
        <w:t>organizacje zawodowe mające uzasadniony interes</w:t>
      </w:r>
      <w:r w:rsidRPr="00BB0D27">
        <w:rPr>
          <w:noProof/>
        </w:rPr>
        <w:t xml:space="preserve"> w</w:t>
      </w:r>
      <w:r>
        <w:rPr>
          <w:noProof/>
        </w:rPr>
        <w:t> </w:t>
      </w:r>
      <w:r w:rsidRPr="00BB0D27">
        <w:rPr>
          <w:noProof/>
        </w:rPr>
        <w:t>pod</w:t>
      </w:r>
      <w:r w:rsidR="00FE49E2" w:rsidRPr="00BB0D27">
        <w:rPr>
          <w:noProof/>
        </w:rPr>
        <w:t>ejmowaniu działań.</w:t>
      </w:r>
    </w:p>
    <w:p w:rsidR="0002120B" w:rsidRPr="00BB0D27" w:rsidRDefault="0002120B" w:rsidP="0013390F">
      <w:pPr>
        <w:pStyle w:val="Titrearticle"/>
        <w:rPr>
          <w:noProof/>
        </w:rPr>
      </w:pPr>
      <w:r w:rsidRPr="00BB0D27">
        <w:rPr>
          <w:noProof/>
        </w:rPr>
        <w:t>Artykuł 9</w:t>
      </w:r>
    </w:p>
    <w:p w:rsidR="0002120B" w:rsidRPr="00BB0D27" w:rsidRDefault="00FE49E2" w:rsidP="0002120B">
      <w:pPr>
        <w:ind w:left="360"/>
        <w:jc w:val="center"/>
        <w:rPr>
          <w:rFonts w:eastAsia="Times New Roman"/>
          <w:b/>
          <w:noProof/>
          <w:szCs w:val="24"/>
        </w:rPr>
      </w:pPr>
      <w:r w:rsidRPr="00BB0D27">
        <w:rPr>
          <w:b/>
          <w:noProof/>
        </w:rPr>
        <w:t>Informacje dla konsumentów </w:t>
      </w:r>
    </w:p>
    <w:p w:rsidR="0002120B" w:rsidRPr="00B73D99" w:rsidRDefault="00FE49E2" w:rsidP="0002120B">
      <w:pPr>
        <w:ind w:left="360"/>
        <w:rPr>
          <w:rFonts w:eastAsia="Times New Roman"/>
          <w:noProof/>
          <w:color w:val="000000"/>
          <w:szCs w:val="24"/>
        </w:rPr>
      </w:pPr>
      <w:r w:rsidRPr="00BB0D27">
        <w:rPr>
          <w:noProof/>
          <w:color w:val="000000"/>
        </w:rPr>
        <w:t>Państwa członkowskie podejmują odpowiednie działania</w:t>
      </w:r>
      <w:r w:rsidR="00B73D99" w:rsidRPr="00BB0D27">
        <w:rPr>
          <w:noProof/>
          <w:color w:val="000000"/>
        </w:rPr>
        <w:t xml:space="preserve"> w</w:t>
      </w:r>
      <w:r w:rsidR="00B73D99">
        <w:rPr>
          <w:noProof/>
          <w:color w:val="000000"/>
        </w:rPr>
        <w:t> </w:t>
      </w:r>
      <w:r w:rsidR="00B73D99" w:rsidRPr="00BB0D27">
        <w:rPr>
          <w:noProof/>
          <w:color w:val="000000"/>
        </w:rPr>
        <w:t>cel</w:t>
      </w:r>
      <w:r w:rsidRPr="00BB0D27">
        <w:rPr>
          <w:noProof/>
          <w:color w:val="000000"/>
        </w:rPr>
        <w:t>u zapewnienia konsumentom dostępu do informacji</w:t>
      </w:r>
      <w:r w:rsidR="00B73D99" w:rsidRPr="00BB0D27">
        <w:rPr>
          <w:noProof/>
          <w:color w:val="000000"/>
        </w:rPr>
        <w:t xml:space="preserve"> o</w:t>
      </w:r>
      <w:r w:rsidR="00B73D99">
        <w:rPr>
          <w:noProof/>
          <w:color w:val="000000"/>
        </w:rPr>
        <w:t> </w:t>
      </w:r>
      <w:r w:rsidR="00B73D99" w:rsidRPr="00BB0D27">
        <w:rPr>
          <w:noProof/>
          <w:color w:val="000000"/>
        </w:rPr>
        <w:t>pra</w:t>
      </w:r>
      <w:r w:rsidRPr="00BB0D27">
        <w:rPr>
          <w:noProof/>
          <w:color w:val="000000"/>
        </w:rPr>
        <w:t>wach przysługujących im na mocy niniejszej dyrektywy oraz</w:t>
      </w:r>
      <w:r w:rsidR="00B73D99" w:rsidRPr="00BB0D27">
        <w:rPr>
          <w:noProof/>
          <w:color w:val="000000"/>
        </w:rPr>
        <w:t xml:space="preserve"> o</w:t>
      </w:r>
      <w:r w:rsidR="00B73D99">
        <w:rPr>
          <w:noProof/>
          <w:color w:val="000000"/>
        </w:rPr>
        <w:t> </w:t>
      </w:r>
      <w:r w:rsidR="00B73D99" w:rsidRPr="00BB0D27">
        <w:rPr>
          <w:noProof/>
          <w:color w:val="000000"/>
        </w:rPr>
        <w:t>śro</w:t>
      </w:r>
      <w:r w:rsidRPr="00BB0D27">
        <w:rPr>
          <w:noProof/>
          <w:color w:val="000000"/>
        </w:rPr>
        <w:t>dkach ich egzekwowania m.in. na krajowych stronach internetowych połączonych</w:t>
      </w:r>
      <w:r w:rsidR="00B73D99" w:rsidRPr="00BB0D27">
        <w:rPr>
          <w:noProof/>
          <w:color w:val="000000"/>
        </w:rPr>
        <w:t xml:space="preserve"> z</w:t>
      </w:r>
      <w:r w:rsidR="00B73D99">
        <w:rPr>
          <w:noProof/>
          <w:color w:val="000000"/>
        </w:rPr>
        <w:t> </w:t>
      </w:r>
      <w:r w:rsidR="00B73D99" w:rsidRPr="00BB0D27">
        <w:rPr>
          <w:noProof/>
          <w:color w:val="000000"/>
        </w:rPr>
        <w:t>jed</w:t>
      </w:r>
      <w:r w:rsidRPr="00BB0D27">
        <w:rPr>
          <w:noProof/>
          <w:color w:val="000000"/>
        </w:rPr>
        <w:t>nolitym portalem cyfrowym ustanowionym na mocy rozporządzenia (UE) 2018/1724.</w:t>
      </w:r>
    </w:p>
    <w:p w:rsidR="0002120B" w:rsidRPr="00BB0D27" w:rsidRDefault="0002120B" w:rsidP="0013390F">
      <w:pPr>
        <w:pStyle w:val="Titrearticle"/>
        <w:rPr>
          <w:noProof/>
        </w:rPr>
      </w:pPr>
      <w:r w:rsidRPr="00B73D99">
        <w:rPr>
          <w:noProof/>
        </w:rPr>
        <w:t>A</w:t>
      </w:r>
      <w:r w:rsidRPr="00BB0D27">
        <w:rPr>
          <w:noProof/>
        </w:rPr>
        <w:t>rtykuł 10</w:t>
      </w:r>
    </w:p>
    <w:p w:rsidR="0002120B" w:rsidRPr="00BB0D27" w:rsidRDefault="00FE49E2" w:rsidP="0002120B">
      <w:pPr>
        <w:spacing w:before="100" w:beforeAutospacing="1" w:after="100" w:afterAutospacing="1"/>
        <w:jc w:val="center"/>
        <w:rPr>
          <w:rFonts w:eastAsia="Times New Roman"/>
          <w:b/>
          <w:noProof/>
          <w:color w:val="000000"/>
          <w:szCs w:val="24"/>
        </w:rPr>
      </w:pPr>
      <w:r w:rsidRPr="00BB0D27">
        <w:rPr>
          <w:b/>
          <w:noProof/>
          <w:color w:val="000000"/>
        </w:rPr>
        <w:t xml:space="preserve">Charakter obowiązkowy </w:t>
      </w:r>
    </w:p>
    <w:p w:rsidR="00FE49E2" w:rsidRPr="00BB0D27" w:rsidRDefault="001C4EB9" w:rsidP="001C4EB9">
      <w:pPr>
        <w:pStyle w:val="ManualNumPar1"/>
        <w:rPr>
          <w:noProof/>
        </w:rPr>
      </w:pPr>
      <w:r w:rsidRPr="001C4EB9">
        <w:t>1.</w:t>
      </w:r>
      <w:r w:rsidRPr="001C4EB9">
        <w:tab/>
      </w:r>
      <w:r w:rsidR="00FE49E2" w:rsidRPr="00BB0D27">
        <w:rPr>
          <w:noProof/>
        </w:rPr>
        <w:t>Jeżeli dyrektywa nie stanowi inaczej, żadne postanowienie umowy – które ze szkodą dla konsumenta wyłącza stosowanie krajowych środków transponujących niniejszą dyrektywę, stanowi od nich odstępstwo lub zmienia ich skutki – nie jest wiążące dla konsumenta. </w:t>
      </w:r>
    </w:p>
    <w:p w:rsidR="00FE49E2" w:rsidRPr="00BB0D27" w:rsidRDefault="001C4EB9" w:rsidP="001C4EB9">
      <w:pPr>
        <w:pStyle w:val="ManualNumPar1"/>
        <w:rPr>
          <w:noProof/>
        </w:rPr>
      </w:pPr>
      <w:r w:rsidRPr="001C4EB9">
        <w:t>2.</w:t>
      </w:r>
      <w:r w:rsidRPr="001C4EB9">
        <w:tab/>
      </w:r>
      <w:r w:rsidR="00FE49E2" w:rsidRPr="00BB0D27">
        <w:rPr>
          <w:noProof/>
        </w:rPr>
        <w:t>Niniejsza dyrektywa nie uniemożliwia podmiotom zajmującym się naprawą oferowania konsumentowi warunków umownych wykraczających ponad zakres ochrony przewidziany</w:t>
      </w:r>
      <w:r w:rsidR="00B73D99" w:rsidRPr="00BB0D27">
        <w:rPr>
          <w:noProof/>
        </w:rPr>
        <w:t xml:space="preserve"> w</w:t>
      </w:r>
      <w:r w:rsidR="00B73D99">
        <w:rPr>
          <w:noProof/>
        </w:rPr>
        <w:t> </w:t>
      </w:r>
      <w:r w:rsidR="00B73D99" w:rsidRPr="00BB0D27">
        <w:rPr>
          <w:noProof/>
        </w:rPr>
        <w:t>nin</w:t>
      </w:r>
      <w:r w:rsidR="00FE49E2" w:rsidRPr="00BB0D27">
        <w:rPr>
          <w:noProof/>
        </w:rPr>
        <w:t>iejszej dyrektywie. </w:t>
      </w:r>
    </w:p>
    <w:p w:rsidR="0002120B" w:rsidRPr="00BB0D27" w:rsidRDefault="0002120B" w:rsidP="0013390F">
      <w:pPr>
        <w:pStyle w:val="Titrearticle"/>
        <w:rPr>
          <w:noProof/>
        </w:rPr>
      </w:pPr>
      <w:r w:rsidRPr="00BB0D27">
        <w:rPr>
          <w:noProof/>
        </w:rPr>
        <w:t>Artykuł 11</w:t>
      </w:r>
    </w:p>
    <w:p w:rsidR="0002120B" w:rsidRPr="00BB0D27" w:rsidRDefault="00FE49E2" w:rsidP="0002120B">
      <w:pPr>
        <w:jc w:val="center"/>
        <w:rPr>
          <w:rFonts w:eastAsia="Times New Roman"/>
          <w:b/>
          <w:noProof/>
          <w:color w:val="000000"/>
          <w:szCs w:val="24"/>
        </w:rPr>
      </w:pPr>
      <w:r w:rsidRPr="00BB0D27">
        <w:rPr>
          <w:b/>
          <w:noProof/>
          <w:color w:val="000000"/>
        </w:rPr>
        <w:t>Kary </w:t>
      </w:r>
    </w:p>
    <w:p w:rsidR="0002120B" w:rsidRPr="00BB0D27" w:rsidRDefault="001C4EB9" w:rsidP="001C4EB9">
      <w:pPr>
        <w:pStyle w:val="ManualNumPar1"/>
        <w:rPr>
          <w:noProof/>
        </w:rPr>
      </w:pPr>
      <w:r w:rsidRPr="001C4EB9">
        <w:t>1.</w:t>
      </w:r>
      <w:r w:rsidRPr="001C4EB9">
        <w:tab/>
      </w:r>
      <w:r w:rsidR="001A58AF" w:rsidRPr="00BB0D27">
        <w:rPr>
          <w:noProof/>
        </w:rPr>
        <w:t>Państwa członkowskie ustanawiają przepisy dotyczące kar mających zastosowanie</w:t>
      </w:r>
      <w:r w:rsidR="00B73D99" w:rsidRPr="00BB0D27">
        <w:rPr>
          <w:noProof/>
        </w:rPr>
        <w:t xml:space="preserve"> w</w:t>
      </w:r>
      <w:r w:rsidR="00B73D99">
        <w:rPr>
          <w:noProof/>
        </w:rPr>
        <w:t> </w:t>
      </w:r>
      <w:r w:rsidR="00B73D99" w:rsidRPr="00BB0D27">
        <w:rPr>
          <w:noProof/>
        </w:rPr>
        <w:t>prz</w:t>
      </w:r>
      <w:r w:rsidR="001A58AF" w:rsidRPr="00BB0D27">
        <w:rPr>
          <w:noProof/>
        </w:rPr>
        <w:t xml:space="preserve">ypadku naruszeń przepisów krajowych przyjętych na podstawie </w:t>
      </w:r>
      <w:r w:rsidR="001A58AF" w:rsidRPr="00B73D99">
        <w:rPr>
          <w:noProof/>
        </w:rPr>
        <w:t>art.</w:t>
      </w:r>
      <w:r w:rsidR="00B73D99" w:rsidRPr="00B73D99">
        <w:rPr>
          <w:noProof/>
        </w:rPr>
        <w:t> </w:t>
      </w:r>
      <w:r w:rsidR="001A58AF" w:rsidRPr="00B73D99">
        <w:rPr>
          <w:noProof/>
        </w:rPr>
        <w:t>4</w:t>
      </w:r>
      <w:r w:rsidR="001A58AF" w:rsidRPr="00BB0D27">
        <w:rPr>
          <w:noProof/>
        </w:rPr>
        <w:t>, 5</w:t>
      </w:r>
      <w:r w:rsidR="00B73D99" w:rsidRPr="00BB0D27">
        <w:rPr>
          <w:noProof/>
        </w:rPr>
        <w:t xml:space="preserve"> i</w:t>
      </w:r>
      <w:r w:rsidR="00B73D99">
        <w:rPr>
          <w:noProof/>
        </w:rPr>
        <w:t> </w:t>
      </w:r>
      <w:r w:rsidR="00B73D99" w:rsidRPr="00BB0D27">
        <w:rPr>
          <w:noProof/>
        </w:rPr>
        <w:t>6 i</w:t>
      </w:r>
      <w:r w:rsidR="00B73D99">
        <w:rPr>
          <w:noProof/>
        </w:rPr>
        <w:t> </w:t>
      </w:r>
      <w:r w:rsidR="00B73D99" w:rsidRPr="00BB0D27">
        <w:rPr>
          <w:noProof/>
        </w:rPr>
        <w:t>pod</w:t>
      </w:r>
      <w:r w:rsidR="001A58AF" w:rsidRPr="00BB0D27">
        <w:rPr>
          <w:noProof/>
        </w:rPr>
        <w:t>ejmują wszelkie niezbędne środki</w:t>
      </w:r>
      <w:r w:rsidR="00B73D99" w:rsidRPr="00BB0D27">
        <w:rPr>
          <w:noProof/>
        </w:rPr>
        <w:t xml:space="preserve"> w</w:t>
      </w:r>
      <w:r w:rsidR="00B73D99">
        <w:rPr>
          <w:noProof/>
        </w:rPr>
        <w:t> </w:t>
      </w:r>
      <w:r w:rsidR="00B73D99" w:rsidRPr="00BB0D27">
        <w:rPr>
          <w:noProof/>
        </w:rPr>
        <w:t>cel</w:t>
      </w:r>
      <w:r w:rsidR="001A58AF" w:rsidRPr="00BB0D27">
        <w:rPr>
          <w:noProof/>
        </w:rPr>
        <w:t>u zapewnienia ich wykonywania. Przewidziane kary muszą być skuteczne, proporcjonalne</w:t>
      </w:r>
      <w:r w:rsidR="00B73D99" w:rsidRPr="00BB0D27">
        <w:rPr>
          <w:noProof/>
        </w:rPr>
        <w:t xml:space="preserve"> i</w:t>
      </w:r>
      <w:r w:rsidR="00B73D99">
        <w:rPr>
          <w:noProof/>
        </w:rPr>
        <w:t> </w:t>
      </w:r>
      <w:r w:rsidR="00B73D99" w:rsidRPr="00BB0D27">
        <w:rPr>
          <w:noProof/>
        </w:rPr>
        <w:t>ods</w:t>
      </w:r>
      <w:r w:rsidR="001A58AF" w:rsidRPr="00BB0D27">
        <w:rPr>
          <w:noProof/>
        </w:rPr>
        <w:t>traszające. </w:t>
      </w:r>
    </w:p>
    <w:p w:rsidR="001A58AF" w:rsidRPr="00BB0D27" w:rsidRDefault="001C4EB9" w:rsidP="001C4EB9">
      <w:pPr>
        <w:pStyle w:val="ManualNumPar1"/>
        <w:rPr>
          <w:noProof/>
        </w:rPr>
      </w:pPr>
      <w:r w:rsidRPr="001C4EB9">
        <w:t>2.</w:t>
      </w:r>
      <w:r w:rsidRPr="001C4EB9">
        <w:tab/>
      </w:r>
      <w:r w:rsidR="001A58AF" w:rsidRPr="00BB0D27">
        <w:rPr>
          <w:noProof/>
        </w:rPr>
        <w:t>Najpóźniej 24 miesiące po dniu wejścia</w:t>
      </w:r>
      <w:r w:rsidR="00B73D99" w:rsidRPr="00BB0D27">
        <w:rPr>
          <w:noProof/>
        </w:rPr>
        <w:t xml:space="preserve"> w</w:t>
      </w:r>
      <w:r w:rsidR="00B73D99">
        <w:rPr>
          <w:noProof/>
        </w:rPr>
        <w:t> </w:t>
      </w:r>
      <w:r w:rsidR="00B73D99" w:rsidRPr="00BB0D27">
        <w:rPr>
          <w:noProof/>
        </w:rPr>
        <w:t>życ</w:t>
      </w:r>
      <w:r w:rsidR="001A58AF" w:rsidRPr="00BB0D27">
        <w:rPr>
          <w:noProof/>
        </w:rPr>
        <w:t>ie niniejszej dyrektywy państwa członkowskie powiadamiają Komisję</w:t>
      </w:r>
      <w:r w:rsidR="00B73D99" w:rsidRPr="00BB0D27">
        <w:rPr>
          <w:noProof/>
        </w:rPr>
        <w:t xml:space="preserve"> o</w:t>
      </w:r>
      <w:r w:rsidR="00B73D99">
        <w:rPr>
          <w:noProof/>
        </w:rPr>
        <w:t> </w:t>
      </w:r>
      <w:r w:rsidR="00B73D99" w:rsidRPr="00BB0D27">
        <w:rPr>
          <w:noProof/>
        </w:rPr>
        <w:t>prz</w:t>
      </w:r>
      <w:r w:rsidR="001A58AF" w:rsidRPr="00BB0D27">
        <w:rPr>
          <w:noProof/>
        </w:rPr>
        <w:t>episach</w:t>
      </w:r>
      <w:r w:rsidR="00B73D99" w:rsidRPr="00BB0D27">
        <w:rPr>
          <w:noProof/>
        </w:rPr>
        <w:t xml:space="preserve"> i</w:t>
      </w:r>
      <w:r w:rsidR="00B73D99">
        <w:rPr>
          <w:noProof/>
        </w:rPr>
        <w:t> </w:t>
      </w:r>
      <w:r w:rsidR="00B73D99" w:rsidRPr="00BB0D27">
        <w:rPr>
          <w:noProof/>
        </w:rPr>
        <w:t>śro</w:t>
      </w:r>
      <w:r w:rsidR="001A58AF" w:rsidRPr="00BB0D27">
        <w:rPr>
          <w:noProof/>
        </w:rPr>
        <w:t>dkach,</w:t>
      </w:r>
      <w:r w:rsidR="00B73D99" w:rsidRPr="00BB0D27">
        <w:rPr>
          <w:noProof/>
        </w:rPr>
        <w:t xml:space="preserve"> o</w:t>
      </w:r>
      <w:r w:rsidR="00B73D99">
        <w:rPr>
          <w:noProof/>
        </w:rPr>
        <w:t> </w:t>
      </w:r>
      <w:r w:rsidR="00B73D99" w:rsidRPr="00BB0D27">
        <w:rPr>
          <w:noProof/>
        </w:rPr>
        <w:t>któ</w:t>
      </w:r>
      <w:r w:rsidR="001A58AF" w:rsidRPr="00BB0D27">
        <w:rPr>
          <w:noProof/>
        </w:rPr>
        <w:t>rych mowa</w:t>
      </w:r>
      <w:r w:rsidR="00B73D99" w:rsidRPr="00BB0D27">
        <w:rPr>
          <w:noProof/>
        </w:rPr>
        <w:t xml:space="preserve"> w</w:t>
      </w:r>
      <w:r w:rsidR="00B73D99">
        <w:rPr>
          <w:noProof/>
        </w:rPr>
        <w:t> </w:t>
      </w:r>
      <w:r w:rsidR="00B73D99" w:rsidRPr="00B73D99">
        <w:rPr>
          <w:noProof/>
        </w:rPr>
        <w:t>ust</w:t>
      </w:r>
      <w:r w:rsidR="001A58AF" w:rsidRPr="00B73D99">
        <w:rPr>
          <w:noProof/>
        </w:rPr>
        <w:t>.</w:t>
      </w:r>
      <w:r w:rsidR="00B73D99" w:rsidRPr="00B73D99">
        <w:rPr>
          <w:noProof/>
        </w:rPr>
        <w:t> </w:t>
      </w:r>
      <w:r w:rsidR="001A58AF" w:rsidRPr="00B73D99">
        <w:rPr>
          <w:noProof/>
        </w:rPr>
        <w:t>1</w:t>
      </w:r>
      <w:r w:rsidR="001A58AF" w:rsidRPr="00BB0D27">
        <w:rPr>
          <w:noProof/>
        </w:rPr>
        <w:t>,</w:t>
      </w:r>
      <w:r w:rsidR="00B73D99" w:rsidRPr="00BB0D27">
        <w:rPr>
          <w:noProof/>
        </w:rPr>
        <w:t xml:space="preserve"> a</w:t>
      </w:r>
      <w:r w:rsidR="00B73D99">
        <w:rPr>
          <w:noProof/>
        </w:rPr>
        <w:t> </w:t>
      </w:r>
      <w:r w:rsidR="00B73D99" w:rsidRPr="00BB0D27">
        <w:rPr>
          <w:noProof/>
        </w:rPr>
        <w:t>tak</w:t>
      </w:r>
      <w:r w:rsidR="001A58AF" w:rsidRPr="00BB0D27">
        <w:rPr>
          <w:noProof/>
        </w:rPr>
        <w:t>że powiadamiają ją niezwłocznie</w:t>
      </w:r>
      <w:r w:rsidR="00B73D99" w:rsidRPr="00BB0D27">
        <w:rPr>
          <w:noProof/>
        </w:rPr>
        <w:t xml:space="preserve"> o</w:t>
      </w:r>
      <w:r w:rsidR="00B73D99">
        <w:rPr>
          <w:noProof/>
        </w:rPr>
        <w:t> </w:t>
      </w:r>
      <w:r w:rsidR="00B73D99" w:rsidRPr="00BB0D27">
        <w:rPr>
          <w:noProof/>
        </w:rPr>
        <w:t>wsz</w:t>
      </w:r>
      <w:r w:rsidR="001A58AF" w:rsidRPr="00BB0D27">
        <w:rPr>
          <w:noProof/>
        </w:rPr>
        <w:t>elkich późniejszych dotyczących ich zmianach. </w:t>
      </w:r>
    </w:p>
    <w:p w:rsidR="0002120B" w:rsidRPr="00BB0D27" w:rsidRDefault="0002120B" w:rsidP="0002120B">
      <w:pPr>
        <w:rPr>
          <w:rFonts w:eastAsia="Times New Roman"/>
          <w:noProof/>
          <w:color w:val="000000"/>
          <w:sz w:val="27"/>
          <w:szCs w:val="27"/>
          <w:lang w:eastAsia="en-IE"/>
        </w:rPr>
      </w:pPr>
    </w:p>
    <w:p w:rsidR="0002120B" w:rsidRPr="00B73D99" w:rsidRDefault="0002120B" w:rsidP="0013390F">
      <w:pPr>
        <w:pStyle w:val="Titrearticle"/>
        <w:rPr>
          <w:noProof/>
        </w:rPr>
      </w:pPr>
      <w:r w:rsidRPr="00BB0D27">
        <w:rPr>
          <w:noProof/>
        </w:rPr>
        <w:t>Artykuł 12</w:t>
      </w:r>
    </w:p>
    <w:p w:rsidR="0002120B" w:rsidRPr="00BB0D27" w:rsidRDefault="001A58AF" w:rsidP="0002120B">
      <w:pPr>
        <w:jc w:val="center"/>
        <w:rPr>
          <w:rFonts w:eastAsia="Times New Roman"/>
          <w:b/>
          <w:noProof/>
          <w:color w:val="000000"/>
          <w:szCs w:val="24"/>
        </w:rPr>
      </w:pPr>
      <w:r w:rsidRPr="00B73D99">
        <w:rPr>
          <w:b/>
          <w:noProof/>
          <w:color w:val="000000"/>
        </w:rPr>
        <w:t>Z</w:t>
      </w:r>
      <w:r w:rsidRPr="00BB0D27">
        <w:rPr>
          <w:b/>
          <w:noProof/>
          <w:color w:val="000000"/>
        </w:rPr>
        <w:t>miana dyrektywy (UE) 2019/771</w:t>
      </w:r>
    </w:p>
    <w:p w:rsidR="001A58AF" w:rsidRPr="00BB0D27" w:rsidRDefault="001A58AF" w:rsidP="001A58AF">
      <w:pPr>
        <w:rPr>
          <w:rFonts w:eastAsia="Times New Roman"/>
          <w:noProof/>
          <w:color w:val="000000"/>
          <w:szCs w:val="24"/>
        </w:rPr>
      </w:pPr>
      <w:r w:rsidRPr="00BB0D27">
        <w:rPr>
          <w:noProof/>
          <w:color w:val="000000"/>
        </w:rPr>
        <w:t xml:space="preserve">W </w:t>
      </w:r>
      <w:r w:rsidRPr="00B73D99">
        <w:rPr>
          <w:noProof/>
          <w:color w:val="000000"/>
        </w:rPr>
        <w:t>art.</w:t>
      </w:r>
      <w:r w:rsidR="00B73D99" w:rsidRPr="00B73D99">
        <w:rPr>
          <w:noProof/>
          <w:color w:val="000000"/>
        </w:rPr>
        <w:t> </w:t>
      </w:r>
      <w:r w:rsidRPr="00B73D99">
        <w:rPr>
          <w:noProof/>
          <w:color w:val="000000"/>
        </w:rPr>
        <w:t>1</w:t>
      </w:r>
      <w:r w:rsidRPr="00BB0D27">
        <w:rPr>
          <w:noProof/>
          <w:color w:val="000000"/>
        </w:rPr>
        <w:t xml:space="preserve">3 </w:t>
      </w:r>
      <w:r w:rsidRPr="00B73D99">
        <w:rPr>
          <w:noProof/>
          <w:color w:val="000000"/>
        </w:rPr>
        <w:t>ust.</w:t>
      </w:r>
      <w:r w:rsidR="00B73D99" w:rsidRPr="00B73D99">
        <w:rPr>
          <w:noProof/>
          <w:color w:val="000000"/>
        </w:rPr>
        <w:t> </w:t>
      </w:r>
      <w:r w:rsidRPr="00B73D99">
        <w:rPr>
          <w:noProof/>
          <w:color w:val="000000"/>
        </w:rPr>
        <w:t>2</w:t>
      </w:r>
      <w:r w:rsidRPr="00BB0D27">
        <w:rPr>
          <w:noProof/>
          <w:color w:val="000000"/>
        </w:rPr>
        <w:t xml:space="preserve"> dyrektywy (UE) 2019/771 dodaje się zdanie</w:t>
      </w:r>
      <w:r w:rsidR="00B73D99" w:rsidRPr="00BB0D27">
        <w:rPr>
          <w:noProof/>
          <w:color w:val="000000"/>
        </w:rPr>
        <w:t xml:space="preserve"> w</w:t>
      </w:r>
      <w:r w:rsidR="00B73D99">
        <w:rPr>
          <w:noProof/>
          <w:color w:val="000000"/>
        </w:rPr>
        <w:t> </w:t>
      </w:r>
      <w:r w:rsidR="00B73D99" w:rsidRPr="00BB0D27">
        <w:rPr>
          <w:noProof/>
          <w:color w:val="000000"/>
        </w:rPr>
        <w:t>brz</w:t>
      </w:r>
      <w:r w:rsidRPr="00BB0D27">
        <w:rPr>
          <w:noProof/>
          <w:color w:val="000000"/>
        </w:rPr>
        <w:t>mieniu: </w:t>
      </w:r>
    </w:p>
    <w:p w:rsidR="0002120B" w:rsidRPr="00BB0D27" w:rsidRDefault="001A58AF" w:rsidP="0002120B">
      <w:pPr>
        <w:rPr>
          <w:rFonts w:eastAsia="Times New Roman"/>
          <w:noProof/>
          <w:color w:val="000000"/>
          <w:szCs w:val="24"/>
        </w:rPr>
      </w:pPr>
      <w:r w:rsidRPr="00BB0D27">
        <w:rPr>
          <w:noProof/>
          <w:color w:val="000000"/>
        </w:rPr>
        <w:t>„Na zasadzie odstępstwa od zdania pierwszego niniejszego ustępu, jeżeli koszty wymiany są równe kosztom naprawy lub od nich wyższe, sprzedawca naprawia towary, aby doprowadzić je do stanu zgodności.”. </w:t>
      </w:r>
    </w:p>
    <w:p w:rsidR="0002120B" w:rsidRPr="00BB0D27" w:rsidRDefault="0002120B" w:rsidP="0013390F">
      <w:pPr>
        <w:pStyle w:val="Titrearticle"/>
        <w:rPr>
          <w:noProof/>
        </w:rPr>
      </w:pPr>
      <w:r w:rsidRPr="00BB0D27">
        <w:rPr>
          <w:noProof/>
        </w:rPr>
        <w:t>Artykuł 13</w:t>
      </w:r>
    </w:p>
    <w:p w:rsidR="0002120B" w:rsidRPr="00BB0D27" w:rsidRDefault="0080224A" w:rsidP="0002120B">
      <w:pPr>
        <w:jc w:val="center"/>
        <w:rPr>
          <w:rFonts w:eastAsia="Times New Roman"/>
          <w:b/>
          <w:noProof/>
          <w:color w:val="000000"/>
          <w:szCs w:val="24"/>
        </w:rPr>
      </w:pPr>
      <w:r w:rsidRPr="00BB0D27">
        <w:rPr>
          <w:b/>
          <w:noProof/>
          <w:color w:val="000000"/>
        </w:rPr>
        <w:t>Zmiana dyrektywy (UE) 2020/1828</w:t>
      </w:r>
    </w:p>
    <w:p w:rsidR="00BA59D3" w:rsidRPr="00BB0D27" w:rsidRDefault="00BA59D3" w:rsidP="00BA59D3">
      <w:pPr>
        <w:rPr>
          <w:rFonts w:eastAsia="Times New Roman"/>
          <w:noProof/>
          <w:color w:val="000000"/>
          <w:szCs w:val="24"/>
        </w:rPr>
      </w:pPr>
      <w:r w:rsidRPr="00BB0D27">
        <w:rPr>
          <w:noProof/>
          <w:color w:val="000000"/>
        </w:rPr>
        <w:t xml:space="preserve">W załączniku I do dyrektywy (UE) 2020/1828 dodaje się </w:t>
      </w:r>
      <w:r w:rsidRPr="00B73D99">
        <w:rPr>
          <w:noProof/>
          <w:color w:val="000000"/>
        </w:rPr>
        <w:t>pkt</w:t>
      </w:r>
      <w:r w:rsidR="00B73D99" w:rsidRPr="00B73D99">
        <w:rPr>
          <w:noProof/>
          <w:color w:val="000000"/>
        </w:rPr>
        <w:t> </w:t>
      </w:r>
      <w:r w:rsidRPr="00B73D99">
        <w:rPr>
          <w:noProof/>
          <w:color w:val="000000"/>
        </w:rPr>
        <w:t>6</w:t>
      </w:r>
      <w:r w:rsidRPr="00BB0D27">
        <w:rPr>
          <w:noProof/>
          <w:color w:val="000000"/>
        </w:rPr>
        <w:t>7</w:t>
      </w:r>
      <w:r w:rsidR="00B73D99" w:rsidRPr="00BB0D27">
        <w:rPr>
          <w:noProof/>
          <w:color w:val="000000"/>
        </w:rPr>
        <w:t xml:space="preserve"> w</w:t>
      </w:r>
      <w:r w:rsidR="00B73D99">
        <w:rPr>
          <w:noProof/>
          <w:color w:val="000000"/>
        </w:rPr>
        <w:t> </w:t>
      </w:r>
      <w:r w:rsidR="00B73D99" w:rsidRPr="00BB0D27">
        <w:rPr>
          <w:noProof/>
          <w:color w:val="000000"/>
        </w:rPr>
        <w:t>brz</w:t>
      </w:r>
      <w:r w:rsidRPr="00BB0D27">
        <w:rPr>
          <w:noProof/>
          <w:color w:val="000000"/>
        </w:rPr>
        <w:t>mieniu:</w:t>
      </w:r>
    </w:p>
    <w:p w:rsidR="0002120B" w:rsidRPr="00BB0D27" w:rsidRDefault="00BA59D3" w:rsidP="0002120B">
      <w:pPr>
        <w:rPr>
          <w:rFonts w:eastAsia="Times New Roman"/>
          <w:noProof/>
          <w:color w:val="000000"/>
          <w:szCs w:val="24"/>
        </w:rPr>
      </w:pPr>
      <w:r w:rsidRPr="00BB0D27">
        <w:rPr>
          <w:noProof/>
          <w:color w:val="000000"/>
        </w:rPr>
        <w:t>„67. Dyrektywa Parlamentu Europejskiego</w:t>
      </w:r>
      <w:r w:rsidR="00B73D99" w:rsidRPr="00BB0D27">
        <w:rPr>
          <w:noProof/>
          <w:color w:val="000000"/>
        </w:rPr>
        <w:t xml:space="preserve"> i</w:t>
      </w:r>
      <w:r w:rsidR="00B73D99">
        <w:rPr>
          <w:noProof/>
          <w:color w:val="000000"/>
        </w:rPr>
        <w:t> </w:t>
      </w:r>
      <w:r w:rsidR="00B73D99" w:rsidRPr="00BB0D27">
        <w:rPr>
          <w:noProof/>
          <w:color w:val="000000"/>
        </w:rPr>
        <w:t>Rad</w:t>
      </w:r>
      <w:r w:rsidRPr="00BB0D27">
        <w:rPr>
          <w:noProof/>
          <w:color w:val="000000"/>
        </w:rPr>
        <w:t>y (UE) xx/xx</w:t>
      </w:r>
      <w:r w:rsidR="00B73D99" w:rsidRPr="00BB0D27">
        <w:rPr>
          <w:noProof/>
          <w:color w:val="000000"/>
        </w:rPr>
        <w:t xml:space="preserve"> z</w:t>
      </w:r>
      <w:r w:rsidR="00B73D99">
        <w:rPr>
          <w:noProof/>
          <w:color w:val="000000"/>
        </w:rPr>
        <w:t> </w:t>
      </w:r>
      <w:r w:rsidR="00B73D99" w:rsidRPr="00BB0D27">
        <w:rPr>
          <w:noProof/>
          <w:color w:val="000000"/>
        </w:rPr>
        <w:t>dni</w:t>
      </w:r>
      <w:r w:rsidRPr="00BB0D27">
        <w:rPr>
          <w:noProof/>
          <w:color w:val="000000"/>
        </w:rPr>
        <w:t>a x</w:t>
      </w:r>
      <w:r w:rsidR="00B73D99" w:rsidRPr="00BB0D27">
        <w:rPr>
          <w:noProof/>
          <w:color w:val="000000"/>
        </w:rPr>
        <w:t xml:space="preserve"> w</w:t>
      </w:r>
      <w:r w:rsidR="00B73D99">
        <w:rPr>
          <w:noProof/>
          <w:color w:val="000000"/>
        </w:rPr>
        <w:t> </w:t>
      </w:r>
      <w:r w:rsidR="00B73D99" w:rsidRPr="00BB0D27">
        <w:rPr>
          <w:noProof/>
          <w:color w:val="000000"/>
        </w:rPr>
        <w:t>spr</w:t>
      </w:r>
      <w:r w:rsidRPr="00BB0D27">
        <w:rPr>
          <w:noProof/>
          <w:color w:val="000000"/>
        </w:rPr>
        <w:t>awie wspólnych zasad promujących naprawę towarów, zmieniająca rozporządzenie (UE) 2017/2394 oraz dyrektywy (UE) 2019/771 i (UE) 2020/1828 (Dz.U. L xx)”.</w:t>
      </w:r>
    </w:p>
    <w:p w:rsidR="0002120B" w:rsidRPr="00BB0D27" w:rsidRDefault="0002120B" w:rsidP="0013390F">
      <w:pPr>
        <w:pStyle w:val="Titrearticle"/>
        <w:rPr>
          <w:noProof/>
        </w:rPr>
      </w:pPr>
      <w:r w:rsidRPr="00BB0D27">
        <w:rPr>
          <w:noProof/>
        </w:rPr>
        <w:t>Artykuł 14</w:t>
      </w:r>
    </w:p>
    <w:p w:rsidR="00BA59D3" w:rsidRPr="00B73D99" w:rsidRDefault="0028643B" w:rsidP="00BA59D3">
      <w:pPr>
        <w:ind w:left="360"/>
        <w:jc w:val="center"/>
        <w:rPr>
          <w:rFonts w:eastAsia="Times New Roman"/>
          <w:b/>
          <w:noProof/>
          <w:color w:val="000000"/>
          <w:szCs w:val="24"/>
        </w:rPr>
      </w:pPr>
      <w:r w:rsidRPr="00BB0D27">
        <w:rPr>
          <w:b/>
          <w:noProof/>
          <w:color w:val="000000"/>
        </w:rPr>
        <w:t>Zmiana rozporządzenia (UE) 2017/2394 </w:t>
      </w:r>
    </w:p>
    <w:p w:rsidR="00BA59D3" w:rsidRPr="00BB0D27" w:rsidRDefault="00BA59D3" w:rsidP="00BA59D3">
      <w:pPr>
        <w:rPr>
          <w:noProof/>
          <w:color w:val="000000"/>
        </w:rPr>
      </w:pPr>
      <w:r w:rsidRPr="00B73D99">
        <w:rPr>
          <w:noProof/>
          <w:color w:val="000000"/>
        </w:rPr>
        <w:t>W</w:t>
      </w:r>
      <w:r w:rsidRPr="00BB0D27">
        <w:rPr>
          <w:noProof/>
          <w:color w:val="000000"/>
        </w:rPr>
        <w:t xml:space="preserve"> załączniku do rozporządzenia (UE) 2017/2394 dodaje się punkt 27</w:t>
      </w:r>
      <w:r w:rsidR="00B73D99" w:rsidRPr="00BB0D27">
        <w:rPr>
          <w:noProof/>
          <w:color w:val="000000"/>
        </w:rPr>
        <w:t xml:space="preserve"> w</w:t>
      </w:r>
      <w:r w:rsidR="00B73D99">
        <w:rPr>
          <w:noProof/>
          <w:color w:val="000000"/>
        </w:rPr>
        <w:t> </w:t>
      </w:r>
      <w:r w:rsidR="00B73D99" w:rsidRPr="00BB0D27">
        <w:rPr>
          <w:noProof/>
          <w:color w:val="000000"/>
        </w:rPr>
        <w:t>brz</w:t>
      </w:r>
      <w:r w:rsidRPr="00BB0D27">
        <w:rPr>
          <w:noProof/>
          <w:color w:val="000000"/>
        </w:rPr>
        <w:t>mieniu:</w:t>
      </w:r>
    </w:p>
    <w:p w:rsidR="0002120B" w:rsidRPr="00BB0D27" w:rsidRDefault="00BA59D3" w:rsidP="00BA59D3">
      <w:pPr>
        <w:rPr>
          <w:rFonts w:eastAsia="Times New Roman"/>
          <w:noProof/>
          <w:color w:val="000000"/>
          <w:szCs w:val="24"/>
        </w:rPr>
      </w:pPr>
      <w:r w:rsidRPr="00BB0D27">
        <w:rPr>
          <w:noProof/>
          <w:color w:val="000000"/>
        </w:rPr>
        <w:t>„27. Dyrektywa Parlamentu Europejskiego</w:t>
      </w:r>
      <w:r w:rsidR="00B73D99" w:rsidRPr="00BB0D27">
        <w:rPr>
          <w:noProof/>
          <w:color w:val="000000"/>
        </w:rPr>
        <w:t xml:space="preserve"> i</w:t>
      </w:r>
      <w:r w:rsidR="00B73D99">
        <w:rPr>
          <w:noProof/>
          <w:color w:val="000000"/>
        </w:rPr>
        <w:t> </w:t>
      </w:r>
      <w:r w:rsidR="00B73D99" w:rsidRPr="00BB0D27">
        <w:rPr>
          <w:noProof/>
          <w:color w:val="000000"/>
        </w:rPr>
        <w:t>Rad</w:t>
      </w:r>
      <w:r w:rsidRPr="00BB0D27">
        <w:rPr>
          <w:noProof/>
          <w:color w:val="000000"/>
        </w:rPr>
        <w:t>y (UE) xx/xx</w:t>
      </w:r>
      <w:r w:rsidR="00B73D99" w:rsidRPr="00BB0D27">
        <w:rPr>
          <w:noProof/>
          <w:color w:val="000000"/>
        </w:rPr>
        <w:t xml:space="preserve"> z</w:t>
      </w:r>
      <w:r w:rsidR="00B73D99">
        <w:rPr>
          <w:noProof/>
          <w:color w:val="000000"/>
        </w:rPr>
        <w:t> </w:t>
      </w:r>
      <w:r w:rsidR="00B73D99" w:rsidRPr="00BB0D27">
        <w:rPr>
          <w:noProof/>
          <w:color w:val="000000"/>
        </w:rPr>
        <w:t>dni</w:t>
      </w:r>
      <w:r w:rsidRPr="00BB0D27">
        <w:rPr>
          <w:noProof/>
          <w:color w:val="000000"/>
        </w:rPr>
        <w:t>a x</w:t>
      </w:r>
      <w:r w:rsidR="00B73D99" w:rsidRPr="00BB0D27">
        <w:rPr>
          <w:noProof/>
          <w:color w:val="000000"/>
        </w:rPr>
        <w:t xml:space="preserve"> w</w:t>
      </w:r>
      <w:r w:rsidR="00B73D99">
        <w:rPr>
          <w:noProof/>
          <w:color w:val="000000"/>
        </w:rPr>
        <w:t> </w:t>
      </w:r>
      <w:r w:rsidR="00B73D99" w:rsidRPr="00BB0D27">
        <w:rPr>
          <w:noProof/>
          <w:color w:val="000000"/>
        </w:rPr>
        <w:t>spr</w:t>
      </w:r>
      <w:r w:rsidRPr="00BB0D27">
        <w:rPr>
          <w:noProof/>
          <w:color w:val="000000"/>
        </w:rPr>
        <w:t>awie wspólnych zasad promujących naprawę towarów, zmieniająca rozporządzenie (UE) 2017/2394 oraz dyrektywy (UE) 2019/771 i (UE) 2020/1828 (Dz.U. L xx)”.</w:t>
      </w:r>
    </w:p>
    <w:p w:rsidR="0002120B" w:rsidRPr="00BB0D27" w:rsidRDefault="0002120B" w:rsidP="0013390F">
      <w:pPr>
        <w:pStyle w:val="Titrearticle"/>
        <w:rPr>
          <w:noProof/>
        </w:rPr>
      </w:pPr>
      <w:r w:rsidRPr="00BB0D27">
        <w:rPr>
          <w:noProof/>
        </w:rPr>
        <w:t>Artykuł 15</w:t>
      </w:r>
    </w:p>
    <w:p w:rsidR="0002120B" w:rsidRPr="00BB0D27" w:rsidRDefault="00FB68FF" w:rsidP="0002120B">
      <w:pPr>
        <w:jc w:val="center"/>
        <w:rPr>
          <w:rFonts w:eastAsia="Times New Roman"/>
          <w:b/>
          <w:noProof/>
          <w:szCs w:val="24"/>
        </w:rPr>
      </w:pPr>
      <w:r w:rsidRPr="00BB0D27">
        <w:rPr>
          <w:b/>
          <w:noProof/>
        </w:rPr>
        <w:t>Wykonywanie przekazanych uprawnień </w:t>
      </w:r>
    </w:p>
    <w:p w:rsidR="00FB68FF" w:rsidRPr="00BB0D27" w:rsidRDefault="001C4EB9" w:rsidP="001C4EB9">
      <w:pPr>
        <w:pStyle w:val="ManualNumPar1"/>
        <w:rPr>
          <w:noProof/>
        </w:rPr>
      </w:pPr>
      <w:r w:rsidRPr="001C4EB9">
        <w:t>1.</w:t>
      </w:r>
      <w:r w:rsidRPr="001C4EB9">
        <w:tab/>
      </w:r>
      <w:r w:rsidR="00FB68FF" w:rsidRPr="00BB0D27">
        <w:rPr>
          <w:noProof/>
        </w:rPr>
        <w:t>Powierzenie Komisji uprawnień do przyjmowania aktów delegowanych podlega warunkom określonym</w:t>
      </w:r>
      <w:r w:rsidR="00B73D99" w:rsidRPr="00BB0D27">
        <w:rPr>
          <w:noProof/>
        </w:rPr>
        <w:t xml:space="preserve"> w</w:t>
      </w:r>
      <w:r w:rsidR="00B73D99">
        <w:rPr>
          <w:noProof/>
        </w:rPr>
        <w:t> </w:t>
      </w:r>
      <w:r w:rsidR="00B73D99" w:rsidRPr="00BB0D27">
        <w:rPr>
          <w:noProof/>
        </w:rPr>
        <w:t>nin</w:t>
      </w:r>
      <w:r w:rsidR="00FB68FF" w:rsidRPr="00BB0D27">
        <w:rPr>
          <w:noProof/>
        </w:rPr>
        <w:t>iejszym artykule. </w:t>
      </w:r>
    </w:p>
    <w:p w:rsidR="00FB68FF" w:rsidRPr="00BB0D27" w:rsidRDefault="001C4EB9" w:rsidP="001C4EB9">
      <w:pPr>
        <w:pStyle w:val="ManualNumPar1"/>
        <w:rPr>
          <w:noProof/>
        </w:rPr>
      </w:pPr>
      <w:r w:rsidRPr="001C4EB9">
        <w:t>2.</w:t>
      </w:r>
      <w:r w:rsidRPr="001C4EB9">
        <w:tab/>
      </w:r>
      <w:r w:rsidR="00FB68FF" w:rsidRPr="00BB0D27">
        <w:rPr>
          <w:noProof/>
        </w:rPr>
        <w:t>Uprawnienia do przyjmowania aktów delegowanych,</w:t>
      </w:r>
      <w:r w:rsidR="00B73D99" w:rsidRPr="00BB0D27">
        <w:rPr>
          <w:noProof/>
        </w:rPr>
        <w:t xml:space="preserve"> o</w:t>
      </w:r>
      <w:r w:rsidR="00B73D99">
        <w:rPr>
          <w:noProof/>
        </w:rPr>
        <w:t> </w:t>
      </w:r>
      <w:r w:rsidR="00B73D99" w:rsidRPr="00BB0D27">
        <w:rPr>
          <w:noProof/>
        </w:rPr>
        <w:t>któ</w:t>
      </w:r>
      <w:r w:rsidR="00FB68FF" w:rsidRPr="00BB0D27">
        <w:rPr>
          <w:noProof/>
        </w:rPr>
        <w:t>rych mowa</w:t>
      </w:r>
      <w:r w:rsidR="00B73D99" w:rsidRPr="00BB0D27">
        <w:rPr>
          <w:noProof/>
        </w:rPr>
        <w:t xml:space="preserve"> w</w:t>
      </w:r>
      <w:r w:rsidR="00B73D99">
        <w:rPr>
          <w:noProof/>
        </w:rPr>
        <w:t> </w:t>
      </w:r>
      <w:r w:rsidR="00B73D99" w:rsidRPr="00B73D99">
        <w:rPr>
          <w:noProof/>
        </w:rPr>
        <w:t>art</w:t>
      </w:r>
      <w:r w:rsidR="00FB68FF" w:rsidRPr="00B73D99">
        <w:rPr>
          <w:noProof/>
        </w:rPr>
        <w:t>.</w:t>
      </w:r>
      <w:r w:rsidR="00B73D99" w:rsidRPr="00B73D99">
        <w:rPr>
          <w:noProof/>
        </w:rPr>
        <w:t> </w:t>
      </w:r>
      <w:r w:rsidR="00FB68FF" w:rsidRPr="00B73D99">
        <w:rPr>
          <w:noProof/>
        </w:rPr>
        <w:t>5</w:t>
      </w:r>
      <w:r w:rsidR="00FB68FF" w:rsidRPr="00BB0D27">
        <w:rPr>
          <w:noProof/>
        </w:rPr>
        <w:t xml:space="preserve"> </w:t>
      </w:r>
      <w:r w:rsidR="00FB68FF" w:rsidRPr="00B73D99">
        <w:rPr>
          <w:noProof/>
        </w:rPr>
        <w:t>ust.</w:t>
      </w:r>
      <w:r w:rsidR="00B73D99" w:rsidRPr="00B73D99">
        <w:rPr>
          <w:noProof/>
        </w:rPr>
        <w:t> </w:t>
      </w:r>
      <w:r w:rsidR="00FB68FF" w:rsidRPr="00B73D99">
        <w:rPr>
          <w:noProof/>
        </w:rPr>
        <w:t>4</w:t>
      </w:r>
      <w:r w:rsidR="00FB68FF" w:rsidRPr="00BB0D27">
        <w:rPr>
          <w:noProof/>
        </w:rPr>
        <w:t>, powierza się Komisji na okres sześciu lat od dnia [miesiąc po wejściu</w:t>
      </w:r>
      <w:r w:rsidR="00B73D99" w:rsidRPr="00BB0D27">
        <w:rPr>
          <w:noProof/>
        </w:rPr>
        <w:t xml:space="preserve"> w</w:t>
      </w:r>
      <w:r w:rsidR="00B73D99">
        <w:rPr>
          <w:noProof/>
        </w:rPr>
        <w:t> </w:t>
      </w:r>
      <w:r w:rsidR="00B73D99" w:rsidRPr="00BB0D27">
        <w:rPr>
          <w:noProof/>
        </w:rPr>
        <w:t>życ</w:t>
      </w:r>
      <w:r w:rsidR="00FB68FF" w:rsidRPr="00BB0D27">
        <w:rPr>
          <w:noProof/>
        </w:rPr>
        <w:t>ie niniejszego aktu]. Komisja sporządza sprawozdanie dotyczące przekazania uprawnień nie później niż dziewięć miesięcy przed końcem okresu sześciu lat. Przekazanie uprawnień zostaje automatycznie przedłużone na takie same okresy, chyba że Parlament Europejski lub Rada sprzeciwią się takiemu przedłużeniu nie później niż trzy miesiące przed końcem każdego okresu. </w:t>
      </w:r>
    </w:p>
    <w:p w:rsidR="0002120B" w:rsidRPr="00BB0D27" w:rsidRDefault="001C4EB9" w:rsidP="001C4EB9">
      <w:pPr>
        <w:pStyle w:val="ManualNumPar1"/>
        <w:rPr>
          <w:noProof/>
        </w:rPr>
      </w:pPr>
      <w:r w:rsidRPr="001C4EB9">
        <w:t>3.</w:t>
      </w:r>
      <w:r w:rsidRPr="001C4EB9">
        <w:tab/>
      </w:r>
      <w:r w:rsidR="005B47BE" w:rsidRPr="00BB0D27">
        <w:rPr>
          <w:noProof/>
        </w:rPr>
        <w:t>Przekazanie uprawnień,</w:t>
      </w:r>
      <w:r w:rsidR="00B73D99" w:rsidRPr="00BB0D27">
        <w:rPr>
          <w:noProof/>
        </w:rPr>
        <w:t xml:space="preserve"> o</w:t>
      </w:r>
      <w:r w:rsidR="00B73D99">
        <w:rPr>
          <w:noProof/>
        </w:rPr>
        <w:t> </w:t>
      </w:r>
      <w:r w:rsidR="00B73D99" w:rsidRPr="00BB0D27">
        <w:rPr>
          <w:noProof/>
        </w:rPr>
        <w:t>któ</w:t>
      </w:r>
      <w:r w:rsidR="005B47BE" w:rsidRPr="00BB0D27">
        <w:rPr>
          <w:noProof/>
        </w:rPr>
        <w:t>rym mowa</w:t>
      </w:r>
      <w:r w:rsidR="00B73D99" w:rsidRPr="00BB0D27">
        <w:rPr>
          <w:noProof/>
        </w:rPr>
        <w:t xml:space="preserve"> w</w:t>
      </w:r>
      <w:r w:rsidR="00B73D99">
        <w:rPr>
          <w:noProof/>
        </w:rPr>
        <w:t> </w:t>
      </w:r>
      <w:r w:rsidR="00B73D99" w:rsidRPr="00B73D99">
        <w:rPr>
          <w:noProof/>
        </w:rPr>
        <w:t>art</w:t>
      </w:r>
      <w:r w:rsidR="005B47BE" w:rsidRPr="00B73D99">
        <w:rPr>
          <w:noProof/>
        </w:rPr>
        <w:t>.</w:t>
      </w:r>
      <w:r w:rsidR="00B73D99" w:rsidRPr="00B73D99">
        <w:rPr>
          <w:noProof/>
        </w:rPr>
        <w:t> </w:t>
      </w:r>
      <w:r w:rsidR="005B47BE" w:rsidRPr="00B73D99">
        <w:rPr>
          <w:noProof/>
        </w:rPr>
        <w:t>5</w:t>
      </w:r>
      <w:r w:rsidR="005B47BE" w:rsidRPr="00BB0D27">
        <w:rPr>
          <w:noProof/>
        </w:rPr>
        <w:t xml:space="preserve"> </w:t>
      </w:r>
      <w:r w:rsidR="005B47BE" w:rsidRPr="00B73D99">
        <w:rPr>
          <w:noProof/>
        </w:rPr>
        <w:t>ust.</w:t>
      </w:r>
      <w:r w:rsidR="00B73D99" w:rsidRPr="00B73D99">
        <w:rPr>
          <w:noProof/>
        </w:rPr>
        <w:t> </w:t>
      </w:r>
      <w:r w:rsidR="005B47BE" w:rsidRPr="00B73D99">
        <w:rPr>
          <w:noProof/>
        </w:rPr>
        <w:t>4</w:t>
      </w:r>
      <w:r w:rsidR="005B47BE" w:rsidRPr="00BB0D27">
        <w:rPr>
          <w:noProof/>
        </w:rPr>
        <w:t>, może zostać</w:t>
      </w:r>
      <w:r w:rsidR="00B73D99" w:rsidRPr="00BB0D27">
        <w:rPr>
          <w:noProof/>
        </w:rPr>
        <w:t xml:space="preserve"> w</w:t>
      </w:r>
      <w:r w:rsidR="00B73D99">
        <w:rPr>
          <w:noProof/>
        </w:rPr>
        <w:t> </w:t>
      </w:r>
      <w:r w:rsidR="00B73D99" w:rsidRPr="00BB0D27">
        <w:rPr>
          <w:noProof/>
        </w:rPr>
        <w:t>dow</w:t>
      </w:r>
      <w:r w:rsidR="005B47BE" w:rsidRPr="00BB0D27">
        <w:rPr>
          <w:noProof/>
        </w:rPr>
        <w:t>olnym momencie odwołane przez Parlament Europejski lub przez Radę. Decyzja</w:t>
      </w:r>
      <w:r w:rsidR="00B73D99" w:rsidRPr="00BB0D27">
        <w:rPr>
          <w:noProof/>
        </w:rPr>
        <w:t xml:space="preserve"> o</w:t>
      </w:r>
      <w:r w:rsidR="00B73D99">
        <w:rPr>
          <w:noProof/>
        </w:rPr>
        <w:t> </w:t>
      </w:r>
      <w:r w:rsidR="00B73D99" w:rsidRPr="00BB0D27">
        <w:rPr>
          <w:noProof/>
        </w:rPr>
        <w:t>odw</w:t>
      </w:r>
      <w:r w:rsidR="005B47BE" w:rsidRPr="00BB0D27">
        <w:rPr>
          <w:noProof/>
        </w:rPr>
        <w:t>ołaniu kończy przekazanie określonych</w:t>
      </w:r>
      <w:r w:rsidR="00B73D99" w:rsidRPr="00BB0D27">
        <w:rPr>
          <w:noProof/>
        </w:rPr>
        <w:t xml:space="preserve"> w</w:t>
      </w:r>
      <w:r w:rsidR="00B73D99">
        <w:rPr>
          <w:noProof/>
        </w:rPr>
        <w:t> </w:t>
      </w:r>
      <w:r w:rsidR="00B73D99" w:rsidRPr="00BB0D27">
        <w:rPr>
          <w:noProof/>
        </w:rPr>
        <w:t>nie</w:t>
      </w:r>
      <w:r w:rsidR="005B47BE" w:rsidRPr="00BB0D27">
        <w:rPr>
          <w:noProof/>
        </w:rPr>
        <w:t>j uprawnień. Decyzja</w:t>
      </w:r>
      <w:r w:rsidR="00B73D99" w:rsidRPr="00BB0D27">
        <w:rPr>
          <w:noProof/>
        </w:rPr>
        <w:t xml:space="preserve"> o</w:t>
      </w:r>
      <w:r w:rsidR="00B73D99">
        <w:rPr>
          <w:noProof/>
        </w:rPr>
        <w:t> </w:t>
      </w:r>
      <w:r w:rsidR="00B73D99" w:rsidRPr="00BB0D27">
        <w:rPr>
          <w:noProof/>
        </w:rPr>
        <w:t>odw</w:t>
      </w:r>
      <w:r w:rsidR="005B47BE" w:rsidRPr="00BB0D27">
        <w:rPr>
          <w:noProof/>
        </w:rPr>
        <w:t>ołaniu staje się skuteczna następnego dnia po jej opublikowaniu</w:t>
      </w:r>
      <w:r w:rsidR="00B73D99" w:rsidRPr="00BB0D27">
        <w:rPr>
          <w:noProof/>
        </w:rPr>
        <w:t xml:space="preserve"> w</w:t>
      </w:r>
      <w:r w:rsidR="00B73D99">
        <w:rPr>
          <w:noProof/>
        </w:rPr>
        <w:t> </w:t>
      </w:r>
      <w:r w:rsidR="00B73D99" w:rsidRPr="00BB0D27">
        <w:rPr>
          <w:i/>
          <w:noProof/>
        </w:rPr>
        <w:t>Dzi</w:t>
      </w:r>
      <w:r w:rsidR="005B47BE" w:rsidRPr="00BB0D27">
        <w:rPr>
          <w:i/>
          <w:noProof/>
        </w:rPr>
        <w:t>enniku Urzędowym Unii Europejskiej</w:t>
      </w:r>
      <w:r w:rsidR="005B47BE" w:rsidRPr="00BB0D27">
        <w:rPr>
          <w:noProof/>
        </w:rPr>
        <w:t xml:space="preserve"> lub</w:t>
      </w:r>
      <w:r w:rsidR="00B73D99" w:rsidRPr="00BB0D27">
        <w:rPr>
          <w:noProof/>
        </w:rPr>
        <w:t xml:space="preserve"> w</w:t>
      </w:r>
      <w:r w:rsidR="00B73D99">
        <w:rPr>
          <w:noProof/>
        </w:rPr>
        <w:t> </w:t>
      </w:r>
      <w:r w:rsidR="00B73D99" w:rsidRPr="00BB0D27">
        <w:rPr>
          <w:noProof/>
        </w:rPr>
        <w:t>póź</w:t>
      </w:r>
      <w:r w:rsidR="005B47BE" w:rsidRPr="00BB0D27">
        <w:rPr>
          <w:noProof/>
        </w:rPr>
        <w:t>niejszym terminie określonym</w:t>
      </w:r>
      <w:r w:rsidR="00B73D99" w:rsidRPr="00BB0D27">
        <w:rPr>
          <w:noProof/>
        </w:rPr>
        <w:t xml:space="preserve"> w</w:t>
      </w:r>
      <w:r w:rsidR="00B73D99">
        <w:rPr>
          <w:noProof/>
        </w:rPr>
        <w:t> </w:t>
      </w:r>
      <w:r w:rsidR="00B73D99" w:rsidRPr="00BB0D27">
        <w:rPr>
          <w:noProof/>
        </w:rPr>
        <w:t>tej</w:t>
      </w:r>
      <w:r w:rsidR="005B47BE" w:rsidRPr="00BB0D27">
        <w:rPr>
          <w:noProof/>
        </w:rPr>
        <w:t xml:space="preserve"> decyzji. Nie wpływa ona na ważność już obowiązujących aktów delegowanych.</w:t>
      </w:r>
    </w:p>
    <w:p w:rsidR="005B47BE" w:rsidRPr="00BB0D27" w:rsidRDefault="001C4EB9" w:rsidP="001C4EB9">
      <w:pPr>
        <w:pStyle w:val="ManualNumPar1"/>
        <w:rPr>
          <w:noProof/>
        </w:rPr>
      </w:pPr>
      <w:r w:rsidRPr="001C4EB9">
        <w:t>4.</w:t>
      </w:r>
      <w:r w:rsidRPr="001C4EB9">
        <w:tab/>
      </w:r>
      <w:r w:rsidR="005B47BE" w:rsidRPr="00BB0D27">
        <w:rPr>
          <w:noProof/>
        </w:rPr>
        <w:t>Przed przyjęciem aktu delegowanego Komisja konsultuje się</w:t>
      </w:r>
      <w:r w:rsidR="00B73D99" w:rsidRPr="00BB0D27">
        <w:rPr>
          <w:noProof/>
        </w:rPr>
        <w:t xml:space="preserve"> z</w:t>
      </w:r>
      <w:r w:rsidR="00B73D99">
        <w:rPr>
          <w:noProof/>
        </w:rPr>
        <w:t> </w:t>
      </w:r>
      <w:r w:rsidR="00B73D99" w:rsidRPr="00BB0D27">
        <w:rPr>
          <w:noProof/>
        </w:rPr>
        <w:t>eks</w:t>
      </w:r>
      <w:r w:rsidR="005B47BE" w:rsidRPr="00BB0D27">
        <w:rPr>
          <w:noProof/>
        </w:rPr>
        <w:t>pertami wyznaczonymi przez każde państwo członkowskie zgodnie</w:t>
      </w:r>
      <w:r w:rsidR="00B73D99" w:rsidRPr="00BB0D27">
        <w:rPr>
          <w:noProof/>
        </w:rPr>
        <w:t xml:space="preserve"> z</w:t>
      </w:r>
      <w:r w:rsidR="00B73D99">
        <w:rPr>
          <w:noProof/>
        </w:rPr>
        <w:t> </w:t>
      </w:r>
      <w:r w:rsidR="00B73D99" w:rsidRPr="00BB0D27">
        <w:rPr>
          <w:noProof/>
        </w:rPr>
        <w:t>zas</w:t>
      </w:r>
      <w:r w:rsidR="005B47BE" w:rsidRPr="00BB0D27">
        <w:rPr>
          <w:noProof/>
        </w:rPr>
        <w:t>adami określonymi</w:t>
      </w:r>
      <w:r w:rsidR="00B73D99" w:rsidRPr="00BB0D27">
        <w:rPr>
          <w:noProof/>
        </w:rPr>
        <w:t xml:space="preserve"> w</w:t>
      </w:r>
      <w:r w:rsidR="00B73D99">
        <w:rPr>
          <w:noProof/>
        </w:rPr>
        <w:t> </w:t>
      </w:r>
      <w:r w:rsidR="00B73D99" w:rsidRPr="00BB0D27">
        <w:rPr>
          <w:noProof/>
        </w:rPr>
        <w:t>Por</w:t>
      </w:r>
      <w:r w:rsidR="005B47BE" w:rsidRPr="00BB0D27">
        <w:rPr>
          <w:noProof/>
        </w:rPr>
        <w:t>ozumieniu międzyinstytucjonalnym</w:t>
      </w:r>
      <w:r w:rsidR="00B73D99" w:rsidRPr="00BB0D27">
        <w:rPr>
          <w:noProof/>
        </w:rPr>
        <w:t xml:space="preserve"> z</w:t>
      </w:r>
      <w:r w:rsidR="00B73D99">
        <w:rPr>
          <w:noProof/>
        </w:rPr>
        <w:t> </w:t>
      </w:r>
      <w:r w:rsidR="00B73D99" w:rsidRPr="00BB0D27">
        <w:rPr>
          <w:noProof/>
        </w:rPr>
        <w:t>dni</w:t>
      </w:r>
      <w:r w:rsidR="005B47BE" w:rsidRPr="00BB0D27">
        <w:rPr>
          <w:noProof/>
        </w:rPr>
        <w:t>a 13 kwietnia 20</w:t>
      </w:r>
      <w:r w:rsidR="005B47BE" w:rsidRPr="00B73D99">
        <w:rPr>
          <w:noProof/>
        </w:rPr>
        <w:t>16</w:t>
      </w:r>
      <w:r w:rsidR="00B73D99" w:rsidRPr="00B73D99">
        <w:rPr>
          <w:noProof/>
        </w:rPr>
        <w:t> </w:t>
      </w:r>
      <w:r w:rsidR="005B47BE" w:rsidRPr="00B73D99">
        <w:rPr>
          <w:noProof/>
        </w:rPr>
        <w:t>r.</w:t>
      </w:r>
      <w:r w:rsidR="00B73D99" w:rsidRPr="00BB0D27">
        <w:rPr>
          <w:noProof/>
        </w:rPr>
        <w:t xml:space="preserve"> w</w:t>
      </w:r>
      <w:r w:rsidR="00B73D99">
        <w:rPr>
          <w:noProof/>
        </w:rPr>
        <w:t> </w:t>
      </w:r>
      <w:r w:rsidR="00B73D99" w:rsidRPr="00BB0D27">
        <w:rPr>
          <w:noProof/>
        </w:rPr>
        <w:t>spr</w:t>
      </w:r>
      <w:r w:rsidR="005B47BE" w:rsidRPr="00BB0D27">
        <w:rPr>
          <w:noProof/>
        </w:rPr>
        <w:t>awie lepszego stanowienia prawa. </w:t>
      </w:r>
    </w:p>
    <w:p w:rsidR="005B47BE" w:rsidRPr="00BB0D27" w:rsidRDefault="001C4EB9" w:rsidP="001C4EB9">
      <w:pPr>
        <w:pStyle w:val="ManualNumPar1"/>
        <w:rPr>
          <w:noProof/>
        </w:rPr>
      </w:pPr>
      <w:r w:rsidRPr="001C4EB9">
        <w:t>5.</w:t>
      </w:r>
      <w:r w:rsidRPr="001C4EB9">
        <w:tab/>
      </w:r>
      <w:r w:rsidR="005B47BE" w:rsidRPr="00BB0D27">
        <w:rPr>
          <w:noProof/>
        </w:rPr>
        <w:t>Niezwłocznie po przyjęciu aktu delegowanego Komisja przekazuje go równocześnie Parlamentowi Europejskiemu</w:t>
      </w:r>
      <w:r w:rsidR="00B73D99" w:rsidRPr="00BB0D27">
        <w:rPr>
          <w:noProof/>
        </w:rPr>
        <w:t xml:space="preserve"> i</w:t>
      </w:r>
      <w:r w:rsidR="00B73D99">
        <w:rPr>
          <w:noProof/>
        </w:rPr>
        <w:t> </w:t>
      </w:r>
      <w:r w:rsidR="00B73D99" w:rsidRPr="00BB0D27">
        <w:rPr>
          <w:noProof/>
        </w:rPr>
        <w:t>Rad</w:t>
      </w:r>
      <w:r w:rsidR="005B47BE" w:rsidRPr="00BB0D27">
        <w:rPr>
          <w:noProof/>
        </w:rPr>
        <w:t>zie. </w:t>
      </w:r>
    </w:p>
    <w:p w:rsidR="0002120B" w:rsidRPr="00BB0D27" w:rsidRDefault="001C4EB9" w:rsidP="001C4EB9">
      <w:pPr>
        <w:pStyle w:val="ManualNumPar1"/>
        <w:rPr>
          <w:noProof/>
        </w:rPr>
      </w:pPr>
      <w:r w:rsidRPr="001C4EB9">
        <w:t>6.</w:t>
      </w:r>
      <w:r w:rsidRPr="001C4EB9">
        <w:tab/>
      </w:r>
      <w:r w:rsidR="005B47BE" w:rsidRPr="00BB0D27">
        <w:rPr>
          <w:noProof/>
        </w:rPr>
        <w:t xml:space="preserve">Akt delegowany przyjęty na podstawie </w:t>
      </w:r>
      <w:r w:rsidR="005B47BE" w:rsidRPr="00B73D99">
        <w:rPr>
          <w:noProof/>
        </w:rPr>
        <w:t>art.</w:t>
      </w:r>
      <w:r w:rsidR="00B73D99" w:rsidRPr="00B73D99">
        <w:rPr>
          <w:noProof/>
        </w:rPr>
        <w:t> </w:t>
      </w:r>
      <w:r w:rsidR="005B47BE" w:rsidRPr="00B73D99">
        <w:rPr>
          <w:noProof/>
        </w:rPr>
        <w:t>5</w:t>
      </w:r>
      <w:r w:rsidR="005B47BE" w:rsidRPr="00BB0D27">
        <w:rPr>
          <w:noProof/>
        </w:rPr>
        <w:t xml:space="preserve"> </w:t>
      </w:r>
      <w:r w:rsidR="005B47BE" w:rsidRPr="00B73D99">
        <w:rPr>
          <w:noProof/>
        </w:rPr>
        <w:t>ust.</w:t>
      </w:r>
      <w:r w:rsidR="00B73D99" w:rsidRPr="00B73D99">
        <w:rPr>
          <w:noProof/>
        </w:rPr>
        <w:t> </w:t>
      </w:r>
      <w:r w:rsidR="005B47BE" w:rsidRPr="00B73D99">
        <w:rPr>
          <w:noProof/>
        </w:rPr>
        <w:t>4</w:t>
      </w:r>
      <w:r w:rsidR="005B47BE" w:rsidRPr="00BB0D27">
        <w:rPr>
          <w:noProof/>
        </w:rPr>
        <w:t xml:space="preserve"> wchodzi</w:t>
      </w:r>
      <w:r w:rsidR="00B73D99" w:rsidRPr="00BB0D27">
        <w:rPr>
          <w:noProof/>
        </w:rPr>
        <w:t xml:space="preserve"> w</w:t>
      </w:r>
      <w:r w:rsidR="00B73D99">
        <w:rPr>
          <w:noProof/>
        </w:rPr>
        <w:t> </w:t>
      </w:r>
      <w:r w:rsidR="00B73D99" w:rsidRPr="00BB0D27">
        <w:rPr>
          <w:noProof/>
        </w:rPr>
        <w:t>życ</w:t>
      </w:r>
      <w:r w:rsidR="005B47BE" w:rsidRPr="00BB0D27">
        <w:rPr>
          <w:noProof/>
        </w:rPr>
        <w:t>ie tylko wówczas, gdy ani Parlament Europejski, ani Rada nie wyraziły sprzeciwu</w:t>
      </w:r>
      <w:r w:rsidR="00B73D99" w:rsidRPr="00BB0D27">
        <w:rPr>
          <w:noProof/>
        </w:rPr>
        <w:t xml:space="preserve"> w</w:t>
      </w:r>
      <w:r w:rsidR="00B73D99">
        <w:rPr>
          <w:noProof/>
        </w:rPr>
        <w:t> </w:t>
      </w:r>
      <w:r w:rsidR="00B73D99" w:rsidRPr="00BB0D27">
        <w:rPr>
          <w:noProof/>
        </w:rPr>
        <w:t>ter</w:t>
      </w:r>
      <w:r w:rsidR="005B47BE" w:rsidRPr="00BB0D27">
        <w:rPr>
          <w:noProof/>
        </w:rPr>
        <w:t>minie dwóch miesięcy od przekazania tego aktu Parlamentowi Europejskiemu</w:t>
      </w:r>
      <w:r w:rsidR="00B73D99" w:rsidRPr="00BB0D27">
        <w:rPr>
          <w:noProof/>
        </w:rPr>
        <w:t xml:space="preserve"> i</w:t>
      </w:r>
      <w:r w:rsidR="00B73D99">
        <w:rPr>
          <w:noProof/>
        </w:rPr>
        <w:t> </w:t>
      </w:r>
      <w:r w:rsidR="00B73D99" w:rsidRPr="00BB0D27">
        <w:rPr>
          <w:noProof/>
        </w:rPr>
        <w:t>Rad</w:t>
      </w:r>
      <w:r w:rsidR="005B47BE" w:rsidRPr="00BB0D27">
        <w:rPr>
          <w:noProof/>
        </w:rPr>
        <w:t>zie, lub gdy, przed upływem tego terminu, zarówno Parlament Europejski, jak</w:t>
      </w:r>
      <w:r w:rsidR="00B73D99" w:rsidRPr="00BB0D27">
        <w:rPr>
          <w:noProof/>
        </w:rPr>
        <w:t xml:space="preserve"> i</w:t>
      </w:r>
      <w:r w:rsidR="00B73D99">
        <w:rPr>
          <w:noProof/>
        </w:rPr>
        <w:t> </w:t>
      </w:r>
      <w:r w:rsidR="00B73D99" w:rsidRPr="00BB0D27">
        <w:rPr>
          <w:noProof/>
        </w:rPr>
        <w:t>Rad</w:t>
      </w:r>
      <w:r w:rsidR="005B47BE" w:rsidRPr="00BB0D27">
        <w:rPr>
          <w:noProof/>
        </w:rPr>
        <w:t>a poinformowały Komisję, że nie wniosą sprzeciwu. Termin ten przedłuża się</w:t>
      </w:r>
      <w:r w:rsidR="00B73D99" w:rsidRPr="00BB0D27">
        <w:rPr>
          <w:noProof/>
        </w:rPr>
        <w:t xml:space="preserve"> o</w:t>
      </w:r>
      <w:r w:rsidR="00B73D99">
        <w:rPr>
          <w:noProof/>
        </w:rPr>
        <w:t> </w:t>
      </w:r>
      <w:r w:rsidR="00B73D99" w:rsidRPr="00BB0D27">
        <w:rPr>
          <w:noProof/>
        </w:rPr>
        <w:t>dwa</w:t>
      </w:r>
      <w:r w:rsidR="005B47BE" w:rsidRPr="00BB0D27">
        <w:rPr>
          <w:noProof/>
        </w:rPr>
        <w:t xml:space="preserve"> miesiące</w:t>
      </w:r>
      <w:r w:rsidR="00B73D99" w:rsidRPr="00BB0D27">
        <w:rPr>
          <w:noProof/>
        </w:rPr>
        <w:t xml:space="preserve"> z</w:t>
      </w:r>
      <w:r w:rsidR="00B73D99">
        <w:rPr>
          <w:noProof/>
        </w:rPr>
        <w:t> </w:t>
      </w:r>
      <w:r w:rsidR="00B73D99" w:rsidRPr="00BB0D27">
        <w:rPr>
          <w:noProof/>
        </w:rPr>
        <w:t>ini</w:t>
      </w:r>
      <w:r w:rsidR="005B47BE" w:rsidRPr="00BB0D27">
        <w:rPr>
          <w:noProof/>
        </w:rPr>
        <w:t>cjatywy Parlamentu Europejskiego lub Rady. </w:t>
      </w:r>
    </w:p>
    <w:p w:rsidR="0002120B" w:rsidRPr="00BB0D27" w:rsidRDefault="0002120B" w:rsidP="0013390F">
      <w:pPr>
        <w:pStyle w:val="Titrearticle"/>
        <w:rPr>
          <w:noProof/>
        </w:rPr>
      </w:pPr>
      <w:r w:rsidRPr="00BB0D27">
        <w:rPr>
          <w:noProof/>
        </w:rPr>
        <w:t>Artykuł 16</w:t>
      </w:r>
      <w:r w:rsidRPr="00BB0D27">
        <w:rPr>
          <w:noProof/>
        </w:rPr>
        <w:tab/>
      </w:r>
    </w:p>
    <w:p w:rsidR="0002120B" w:rsidRPr="00BB0D27" w:rsidRDefault="00FC07F1" w:rsidP="0002120B">
      <w:pPr>
        <w:ind w:left="360"/>
        <w:jc w:val="center"/>
        <w:rPr>
          <w:rFonts w:eastAsia="Times New Roman"/>
          <w:b/>
          <w:noProof/>
          <w:szCs w:val="24"/>
        </w:rPr>
      </w:pPr>
      <w:r w:rsidRPr="00BB0D27">
        <w:rPr>
          <w:b/>
          <w:noProof/>
        </w:rPr>
        <w:t>Przepisy przejściowe</w:t>
      </w:r>
    </w:p>
    <w:p w:rsidR="0002120B" w:rsidRPr="00BB0D27" w:rsidRDefault="001C4EB9" w:rsidP="001C4EB9">
      <w:pPr>
        <w:pStyle w:val="ManualNumPar1"/>
        <w:rPr>
          <w:noProof/>
        </w:rPr>
      </w:pPr>
      <w:r w:rsidRPr="001C4EB9">
        <w:t>1.</w:t>
      </w:r>
      <w:r w:rsidRPr="001C4EB9">
        <w:tab/>
      </w:r>
      <w:r w:rsidR="0080224A" w:rsidRPr="00BB0D27">
        <w:rPr>
          <w:noProof/>
        </w:rPr>
        <w:t xml:space="preserve">Art. 5 </w:t>
      </w:r>
      <w:r w:rsidR="0080224A" w:rsidRPr="00B73D99">
        <w:rPr>
          <w:noProof/>
        </w:rPr>
        <w:t>ust.</w:t>
      </w:r>
      <w:r w:rsidR="00B73D99" w:rsidRPr="00B73D99">
        <w:rPr>
          <w:noProof/>
        </w:rPr>
        <w:t> </w:t>
      </w:r>
      <w:r w:rsidR="0080224A" w:rsidRPr="00B73D99">
        <w:rPr>
          <w:noProof/>
        </w:rPr>
        <w:t>1</w:t>
      </w:r>
      <w:r w:rsidR="00B73D99" w:rsidRPr="00BB0D27">
        <w:rPr>
          <w:noProof/>
        </w:rPr>
        <w:t xml:space="preserve"> i</w:t>
      </w:r>
      <w:r w:rsidR="00B73D99">
        <w:rPr>
          <w:noProof/>
        </w:rPr>
        <w:t> </w:t>
      </w:r>
      <w:r w:rsidR="00B73D99" w:rsidRPr="00BB0D27">
        <w:rPr>
          <w:noProof/>
        </w:rPr>
        <w:t>2</w:t>
      </w:r>
      <w:r w:rsidR="0080224A" w:rsidRPr="00BB0D27">
        <w:rPr>
          <w:noProof/>
        </w:rPr>
        <w:t xml:space="preserve"> oraz </w:t>
      </w:r>
      <w:r w:rsidR="0080224A" w:rsidRPr="00B73D99">
        <w:rPr>
          <w:noProof/>
        </w:rPr>
        <w:t>art.</w:t>
      </w:r>
      <w:r w:rsidR="00B73D99" w:rsidRPr="00B73D99">
        <w:rPr>
          <w:noProof/>
        </w:rPr>
        <w:t> </w:t>
      </w:r>
      <w:r w:rsidR="0080224A" w:rsidRPr="00B73D99">
        <w:rPr>
          <w:noProof/>
        </w:rPr>
        <w:t>6</w:t>
      </w:r>
      <w:r w:rsidR="0080224A" w:rsidRPr="00BB0D27">
        <w:rPr>
          <w:noProof/>
        </w:rPr>
        <w:t xml:space="preserve"> niniejszej dyrektywy nie mają zastosowania do umów</w:t>
      </w:r>
      <w:r w:rsidR="00B73D99" w:rsidRPr="00BB0D27">
        <w:rPr>
          <w:noProof/>
        </w:rPr>
        <w:t xml:space="preserve"> o</w:t>
      </w:r>
      <w:r w:rsidR="00B73D99">
        <w:rPr>
          <w:noProof/>
        </w:rPr>
        <w:t> </w:t>
      </w:r>
      <w:r w:rsidR="00B73D99" w:rsidRPr="00BB0D27">
        <w:rPr>
          <w:noProof/>
        </w:rPr>
        <w:t>świ</w:t>
      </w:r>
      <w:r w:rsidR="0080224A" w:rsidRPr="00BB0D27">
        <w:rPr>
          <w:noProof/>
        </w:rPr>
        <w:t>adczenie usług naprawczych zawartych przed dniem [24 miesiące po wejściu</w:t>
      </w:r>
      <w:r w:rsidR="00B73D99" w:rsidRPr="00BB0D27">
        <w:rPr>
          <w:noProof/>
        </w:rPr>
        <w:t xml:space="preserve"> w</w:t>
      </w:r>
      <w:r w:rsidR="00B73D99">
        <w:rPr>
          <w:noProof/>
        </w:rPr>
        <w:t> </w:t>
      </w:r>
      <w:r w:rsidR="00B73D99" w:rsidRPr="00BB0D27">
        <w:rPr>
          <w:noProof/>
        </w:rPr>
        <w:t>życ</w:t>
      </w:r>
      <w:r w:rsidR="0080224A" w:rsidRPr="00BB0D27">
        <w:rPr>
          <w:noProof/>
        </w:rPr>
        <w:t>ie]. </w:t>
      </w:r>
    </w:p>
    <w:p w:rsidR="0080224A" w:rsidRPr="00BB0D27" w:rsidRDefault="001C4EB9" w:rsidP="001C4EB9">
      <w:pPr>
        <w:pStyle w:val="ManualNumPar1"/>
        <w:rPr>
          <w:noProof/>
        </w:rPr>
      </w:pPr>
      <w:r w:rsidRPr="001C4EB9">
        <w:t>2.</w:t>
      </w:r>
      <w:r w:rsidRPr="001C4EB9">
        <w:tab/>
      </w:r>
      <w:r w:rsidR="0080224A" w:rsidRPr="00BB0D27">
        <w:rPr>
          <w:noProof/>
        </w:rPr>
        <w:t>Art. 12 niniejszej dyrektywy nie ma zastosowania do umów sprzedaży zawartych przed dniem [24 miesiące po wejściu</w:t>
      </w:r>
      <w:r w:rsidR="00B73D99" w:rsidRPr="00BB0D27">
        <w:rPr>
          <w:noProof/>
        </w:rPr>
        <w:t xml:space="preserve"> w</w:t>
      </w:r>
      <w:r w:rsidR="00B73D99">
        <w:rPr>
          <w:noProof/>
        </w:rPr>
        <w:t> </w:t>
      </w:r>
      <w:r w:rsidR="00B73D99" w:rsidRPr="00BB0D27">
        <w:rPr>
          <w:noProof/>
        </w:rPr>
        <w:t>życ</w:t>
      </w:r>
      <w:r w:rsidR="0080224A" w:rsidRPr="00BB0D27">
        <w:rPr>
          <w:noProof/>
        </w:rPr>
        <w:t>ie].</w:t>
      </w:r>
    </w:p>
    <w:p w:rsidR="0002120B" w:rsidRPr="00BB0D27" w:rsidRDefault="005B47BE" w:rsidP="0013390F">
      <w:pPr>
        <w:pStyle w:val="Titrearticle"/>
        <w:rPr>
          <w:noProof/>
        </w:rPr>
      </w:pPr>
      <w:r w:rsidRPr="00BB0D27">
        <w:rPr>
          <w:noProof/>
        </w:rPr>
        <w:t>Artykuł 17</w:t>
      </w:r>
    </w:p>
    <w:p w:rsidR="0002120B" w:rsidRPr="00BB0D27" w:rsidRDefault="005B47BE" w:rsidP="0002120B">
      <w:pPr>
        <w:jc w:val="center"/>
        <w:rPr>
          <w:rFonts w:eastAsia="Times New Roman"/>
          <w:noProof/>
          <w:szCs w:val="24"/>
        </w:rPr>
      </w:pPr>
      <w:r w:rsidRPr="00BB0D27">
        <w:rPr>
          <w:b/>
          <w:noProof/>
        </w:rPr>
        <w:t>Transpozycja </w:t>
      </w:r>
    </w:p>
    <w:p w:rsidR="005B47BE" w:rsidRPr="00BB0D27" w:rsidRDefault="001C4EB9" w:rsidP="001C4EB9">
      <w:pPr>
        <w:pStyle w:val="ManualNumPar1"/>
        <w:rPr>
          <w:noProof/>
        </w:rPr>
      </w:pPr>
      <w:r w:rsidRPr="001C4EB9">
        <w:t>1.</w:t>
      </w:r>
      <w:r w:rsidRPr="001C4EB9">
        <w:tab/>
      </w:r>
      <w:r w:rsidR="005B47BE" w:rsidRPr="00BB0D27">
        <w:rPr>
          <w:noProof/>
        </w:rPr>
        <w:t>Państwa członkowskie wprowadzają</w:t>
      </w:r>
      <w:r w:rsidR="00B73D99" w:rsidRPr="00BB0D27">
        <w:rPr>
          <w:noProof/>
        </w:rPr>
        <w:t xml:space="preserve"> w</w:t>
      </w:r>
      <w:r w:rsidR="00B73D99">
        <w:rPr>
          <w:noProof/>
        </w:rPr>
        <w:t> </w:t>
      </w:r>
      <w:r w:rsidR="00B73D99" w:rsidRPr="00BB0D27">
        <w:rPr>
          <w:noProof/>
        </w:rPr>
        <w:t>życ</w:t>
      </w:r>
      <w:r w:rsidR="005B47BE" w:rsidRPr="00BB0D27">
        <w:rPr>
          <w:noProof/>
        </w:rPr>
        <w:t>ie przepisy ustawowe, wykonawcze</w:t>
      </w:r>
      <w:r w:rsidR="00B73D99" w:rsidRPr="00BB0D27">
        <w:rPr>
          <w:noProof/>
        </w:rPr>
        <w:t xml:space="preserve"> i</w:t>
      </w:r>
      <w:r w:rsidR="00B73D99">
        <w:rPr>
          <w:noProof/>
        </w:rPr>
        <w:t> </w:t>
      </w:r>
      <w:r w:rsidR="00B73D99" w:rsidRPr="00BB0D27">
        <w:rPr>
          <w:noProof/>
        </w:rPr>
        <w:t>adm</w:t>
      </w:r>
      <w:r w:rsidR="005B47BE" w:rsidRPr="00BB0D27">
        <w:rPr>
          <w:noProof/>
        </w:rPr>
        <w:t>inistracyjne niezbędne do wykonania niniejszej dyrektywy najpóźniej</w:t>
      </w:r>
      <w:r w:rsidR="00B73D99" w:rsidRPr="00BB0D27">
        <w:rPr>
          <w:noProof/>
        </w:rPr>
        <w:t xml:space="preserve"> w</w:t>
      </w:r>
      <w:r w:rsidR="00B73D99">
        <w:rPr>
          <w:noProof/>
        </w:rPr>
        <w:t> </w:t>
      </w:r>
      <w:r w:rsidR="00B73D99" w:rsidRPr="00BB0D27">
        <w:rPr>
          <w:noProof/>
        </w:rPr>
        <w:t>ter</w:t>
      </w:r>
      <w:r w:rsidR="005B47BE" w:rsidRPr="00BB0D27">
        <w:rPr>
          <w:noProof/>
        </w:rPr>
        <w:t>minie [24 miesiące po wejściu</w:t>
      </w:r>
      <w:r w:rsidR="00B73D99" w:rsidRPr="00BB0D27">
        <w:rPr>
          <w:noProof/>
        </w:rPr>
        <w:t xml:space="preserve"> w</w:t>
      </w:r>
      <w:r w:rsidR="00B73D99">
        <w:rPr>
          <w:noProof/>
        </w:rPr>
        <w:t> </w:t>
      </w:r>
      <w:r w:rsidR="00B73D99" w:rsidRPr="00BB0D27">
        <w:rPr>
          <w:noProof/>
        </w:rPr>
        <w:t>życ</w:t>
      </w:r>
      <w:r w:rsidR="005B47BE" w:rsidRPr="00BB0D27">
        <w:rPr>
          <w:noProof/>
        </w:rPr>
        <w:t>ie]. Niezwłoczn</w:t>
      </w:r>
      <w:r w:rsidR="00BB0D27">
        <w:rPr>
          <w:noProof/>
        </w:rPr>
        <w:t>ie powiadamiają</w:t>
      </w:r>
      <w:r w:rsidR="00B73D99">
        <w:rPr>
          <w:noProof/>
        </w:rPr>
        <w:t xml:space="preserve"> o tym</w:t>
      </w:r>
      <w:r w:rsidR="00BB0D27">
        <w:rPr>
          <w:noProof/>
        </w:rPr>
        <w:t xml:space="preserve"> Komisję.</w:t>
      </w:r>
    </w:p>
    <w:p w:rsidR="005B47BE" w:rsidRPr="00BB0D27" w:rsidRDefault="005B47BE" w:rsidP="002D09C3">
      <w:pPr>
        <w:ind w:left="851"/>
        <w:rPr>
          <w:noProof/>
        </w:rPr>
      </w:pPr>
      <w:r w:rsidRPr="00BB0D27">
        <w:rPr>
          <w:noProof/>
        </w:rPr>
        <w:t>Przepisy przyjęte przez państwa członkowskie zawierają odniesienie do niniejszej dyrektywy lub odniesienie takie towarzyszy ich urzędowej publikacji. Sposób dokonywania takiego odniesienia określany jest przez pań</w:t>
      </w:r>
      <w:r w:rsidR="00BB0D27">
        <w:rPr>
          <w:noProof/>
        </w:rPr>
        <w:t>stwa członkowskie.</w:t>
      </w:r>
    </w:p>
    <w:p w:rsidR="005B47BE" w:rsidRPr="00BB0D27" w:rsidRDefault="005B47BE" w:rsidP="002D09C3">
      <w:pPr>
        <w:ind w:left="851"/>
        <w:rPr>
          <w:noProof/>
        </w:rPr>
      </w:pPr>
      <w:r w:rsidRPr="00BB0D27">
        <w:rPr>
          <w:noProof/>
        </w:rPr>
        <w:t>Państwa członkowskie stosują te środki od dnia [24 miesiące po wejściu</w:t>
      </w:r>
      <w:r w:rsidR="00B73D99" w:rsidRPr="00BB0D27">
        <w:rPr>
          <w:noProof/>
        </w:rPr>
        <w:t xml:space="preserve"> w</w:t>
      </w:r>
      <w:r w:rsidR="00B73D99">
        <w:rPr>
          <w:noProof/>
        </w:rPr>
        <w:t> </w:t>
      </w:r>
      <w:r w:rsidR="00B73D99" w:rsidRPr="00BB0D27">
        <w:rPr>
          <w:noProof/>
        </w:rPr>
        <w:t>życ</w:t>
      </w:r>
      <w:r w:rsidRPr="00BB0D27">
        <w:rPr>
          <w:noProof/>
        </w:rPr>
        <w:t>ie] r. </w:t>
      </w:r>
    </w:p>
    <w:p w:rsidR="0002120B" w:rsidRPr="00BB0D27" w:rsidRDefault="001C4EB9" w:rsidP="001C4EB9">
      <w:pPr>
        <w:pStyle w:val="ManualNumPar1"/>
        <w:rPr>
          <w:noProof/>
        </w:rPr>
      </w:pPr>
      <w:r w:rsidRPr="001C4EB9">
        <w:t>2.</w:t>
      </w:r>
      <w:r w:rsidRPr="001C4EB9">
        <w:tab/>
      </w:r>
      <w:r w:rsidR="005B47BE" w:rsidRPr="00BB0D27">
        <w:rPr>
          <w:noProof/>
        </w:rPr>
        <w:t>Państwa członkowskie przekazują Komisji treść głównych przepisów prawa krajowego przyjętych</w:t>
      </w:r>
      <w:r w:rsidR="00B73D99" w:rsidRPr="00BB0D27">
        <w:rPr>
          <w:noProof/>
        </w:rPr>
        <w:t xml:space="preserve"> w</w:t>
      </w:r>
      <w:r w:rsidR="00B73D99">
        <w:rPr>
          <w:noProof/>
        </w:rPr>
        <w:t> </w:t>
      </w:r>
      <w:r w:rsidR="00B73D99" w:rsidRPr="00BB0D27">
        <w:rPr>
          <w:noProof/>
        </w:rPr>
        <w:t>dzi</w:t>
      </w:r>
      <w:r w:rsidR="005B47BE" w:rsidRPr="00BB0D27">
        <w:rPr>
          <w:noProof/>
        </w:rPr>
        <w:t>edzinie objętej niniejszą dyrektywą oraz informacje</w:t>
      </w:r>
      <w:r w:rsidR="00B73D99" w:rsidRPr="00BB0D27">
        <w:rPr>
          <w:noProof/>
        </w:rPr>
        <w:t xml:space="preserve"> o</w:t>
      </w:r>
      <w:r w:rsidR="00B73D99">
        <w:rPr>
          <w:noProof/>
        </w:rPr>
        <w:t> </w:t>
      </w:r>
      <w:r w:rsidR="00B73D99" w:rsidRPr="00BB0D27">
        <w:rPr>
          <w:noProof/>
        </w:rPr>
        <w:t>kra</w:t>
      </w:r>
      <w:r w:rsidR="005B47BE" w:rsidRPr="00BB0D27">
        <w:rPr>
          <w:noProof/>
        </w:rPr>
        <w:t>jowych platformach internetowych dotyczących napraw</w:t>
      </w:r>
      <w:r w:rsidR="00B73D99" w:rsidRPr="00BB0D27">
        <w:rPr>
          <w:noProof/>
        </w:rPr>
        <w:t xml:space="preserve"> i</w:t>
      </w:r>
      <w:r w:rsidR="00B73D99">
        <w:rPr>
          <w:noProof/>
        </w:rPr>
        <w:t> </w:t>
      </w:r>
      <w:r w:rsidR="00B73D99" w:rsidRPr="00BB0D27">
        <w:rPr>
          <w:noProof/>
        </w:rPr>
        <w:t>tow</w:t>
      </w:r>
      <w:r w:rsidR="005B47BE" w:rsidRPr="00BB0D27">
        <w:rPr>
          <w:noProof/>
        </w:rPr>
        <w:t>arów nadających się do odnowienia, które to platformy ustanowiono zgodnie</w:t>
      </w:r>
      <w:r w:rsidR="00B73D99" w:rsidRPr="00BB0D27">
        <w:rPr>
          <w:noProof/>
        </w:rPr>
        <w:t xml:space="preserve"> z</w:t>
      </w:r>
      <w:r w:rsidR="00B73D99">
        <w:rPr>
          <w:noProof/>
        </w:rPr>
        <w:t> </w:t>
      </w:r>
      <w:r w:rsidR="00B73D99" w:rsidRPr="00BB0D27">
        <w:rPr>
          <w:noProof/>
        </w:rPr>
        <w:t>nin</w:t>
      </w:r>
      <w:r w:rsidR="005B47BE" w:rsidRPr="00BB0D27">
        <w:rPr>
          <w:noProof/>
        </w:rPr>
        <w:t>iejszą dyrektywą. </w:t>
      </w:r>
    </w:p>
    <w:p w:rsidR="0002120B" w:rsidRPr="00BB0D27" w:rsidRDefault="005B47BE" w:rsidP="0013390F">
      <w:pPr>
        <w:pStyle w:val="Titrearticle"/>
        <w:rPr>
          <w:noProof/>
        </w:rPr>
      </w:pPr>
      <w:r w:rsidRPr="00BB0D27">
        <w:rPr>
          <w:noProof/>
        </w:rPr>
        <w:t>Artykuł 18</w:t>
      </w:r>
    </w:p>
    <w:p w:rsidR="0002120B" w:rsidRPr="00BB0D27" w:rsidRDefault="0002120B" w:rsidP="0002120B">
      <w:pPr>
        <w:ind w:left="360"/>
        <w:jc w:val="center"/>
        <w:rPr>
          <w:rFonts w:eastAsia="Times New Roman"/>
          <w:b/>
          <w:noProof/>
          <w:szCs w:val="24"/>
        </w:rPr>
      </w:pPr>
      <w:r w:rsidRPr="00BB0D27">
        <w:rPr>
          <w:b/>
          <w:noProof/>
        </w:rPr>
        <w:t>Wejście</w:t>
      </w:r>
      <w:r w:rsidR="00B73D99" w:rsidRPr="00BB0D27">
        <w:rPr>
          <w:b/>
          <w:noProof/>
        </w:rPr>
        <w:t xml:space="preserve"> w</w:t>
      </w:r>
      <w:r w:rsidR="00B73D99">
        <w:rPr>
          <w:b/>
          <w:noProof/>
        </w:rPr>
        <w:t> </w:t>
      </w:r>
      <w:r w:rsidR="00B73D99" w:rsidRPr="00BB0D27">
        <w:rPr>
          <w:b/>
          <w:noProof/>
        </w:rPr>
        <w:t>życ</w:t>
      </w:r>
      <w:r w:rsidRPr="00BB0D27">
        <w:rPr>
          <w:b/>
          <w:noProof/>
        </w:rPr>
        <w:t>ie</w:t>
      </w:r>
    </w:p>
    <w:p w:rsidR="0002120B" w:rsidRPr="00BB0D27" w:rsidRDefault="0002120B" w:rsidP="00BB0D27">
      <w:pPr>
        <w:ind w:left="720"/>
        <w:rPr>
          <w:rFonts w:eastAsia="Times New Roman"/>
          <w:noProof/>
          <w:sz w:val="27"/>
          <w:szCs w:val="27"/>
        </w:rPr>
      </w:pPr>
      <w:r w:rsidRPr="00BB0D27">
        <w:rPr>
          <w:noProof/>
        </w:rPr>
        <w:t>Niniejsza dyrektywa wchodzi</w:t>
      </w:r>
      <w:r w:rsidR="00B73D99" w:rsidRPr="00BB0D27">
        <w:rPr>
          <w:noProof/>
        </w:rPr>
        <w:t xml:space="preserve"> w</w:t>
      </w:r>
      <w:r w:rsidR="00B73D99">
        <w:rPr>
          <w:noProof/>
        </w:rPr>
        <w:t> </w:t>
      </w:r>
      <w:r w:rsidR="00B73D99" w:rsidRPr="00BB0D27">
        <w:rPr>
          <w:noProof/>
        </w:rPr>
        <w:t>życ</w:t>
      </w:r>
      <w:r w:rsidRPr="00BB0D27">
        <w:rPr>
          <w:noProof/>
        </w:rPr>
        <w:t>ie dwudziestego dnia po jej opublikowaniu</w:t>
      </w:r>
      <w:r w:rsidR="00B73D99" w:rsidRPr="00BB0D27">
        <w:rPr>
          <w:noProof/>
        </w:rPr>
        <w:t xml:space="preserve"> w</w:t>
      </w:r>
      <w:r w:rsidR="00B73D99">
        <w:rPr>
          <w:noProof/>
        </w:rPr>
        <w:t> </w:t>
      </w:r>
      <w:r w:rsidR="00B73D99" w:rsidRPr="00BB0D27">
        <w:rPr>
          <w:i/>
          <w:noProof/>
        </w:rPr>
        <w:t>Dzi</w:t>
      </w:r>
      <w:r w:rsidRPr="00BB0D27">
        <w:rPr>
          <w:i/>
          <w:noProof/>
        </w:rPr>
        <w:t>enniku Urzędowym Unii Europejskiej</w:t>
      </w:r>
      <w:r w:rsidRPr="00BB0D27">
        <w:rPr>
          <w:noProof/>
        </w:rPr>
        <w:t>.</w:t>
      </w:r>
      <w:r w:rsidRPr="00BB0D27">
        <w:rPr>
          <w:noProof/>
          <w:color w:val="000000"/>
          <w:sz w:val="27"/>
          <w:shd w:val="clear" w:color="auto" w:fill="FFFFFF"/>
        </w:rPr>
        <w:t xml:space="preserve"> </w:t>
      </w:r>
    </w:p>
    <w:p w:rsidR="0002120B" w:rsidRPr="00BB0D27" w:rsidRDefault="0002120B" w:rsidP="0013390F">
      <w:pPr>
        <w:pStyle w:val="Titrearticle"/>
        <w:rPr>
          <w:noProof/>
        </w:rPr>
      </w:pPr>
      <w:r w:rsidRPr="00BB0D27">
        <w:rPr>
          <w:noProof/>
        </w:rPr>
        <w:t>Artykuł 19</w:t>
      </w:r>
    </w:p>
    <w:p w:rsidR="0002120B" w:rsidRPr="00BB0D27" w:rsidRDefault="0002120B" w:rsidP="0002120B">
      <w:pPr>
        <w:jc w:val="center"/>
        <w:rPr>
          <w:rFonts w:eastAsia="Times New Roman"/>
          <w:b/>
          <w:noProof/>
          <w:szCs w:val="24"/>
        </w:rPr>
      </w:pPr>
      <w:r w:rsidRPr="00BB0D27">
        <w:rPr>
          <w:b/>
          <w:noProof/>
        </w:rPr>
        <w:t>Adresaci</w:t>
      </w:r>
    </w:p>
    <w:p w:rsidR="00FA250B" w:rsidRPr="00BB0D27" w:rsidRDefault="0002120B" w:rsidP="0002120B">
      <w:pPr>
        <w:rPr>
          <w:noProof/>
        </w:rPr>
      </w:pPr>
      <w:r w:rsidRPr="00BB0D27">
        <w:rPr>
          <w:noProof/>
        </w:rPr>
        <w:br w:type="page"/>
      </w:r>
    </w:p>
    <w:p w:rsidR="00FA250B" w:rsidRPr="00BB0D27" w:rsidRDefault="00FA250B" w:rsidP="001176A2">
      <w:pPr>
        <w:pStyle w:val="Destinataire"/>
        <w:rPr>
          <w:noProof/>
        </w:rPr>
      </w:pPr>
      <w:r w:rsidRPr="00BB0D27">
        <w:rPr>
          <w:noProof/>
        </w:rPr>
        <w:t>Niniejsza dyrektywa skierowana jest do państw członkowskich.</w:t>
      </w:r>
    </w:p>
    <w:p w:rsidR="00FA250B" w:rsidRPr="00BB0D27" w:rsidRDefault="00474DFA" w:rsidP="0037558B">
      <w:pPr>
        <w:pStyle w:val="Fait"/>
        <w:rPr>
          <w:noProof/>
        </w:rPr>
      </w:pPr>
      <w:r w:rsidRPr="00474DFA">
        <w:t xml:space="preserve">Sporządzono w Brukseli dnia </w:t>
      </w:r>
      <w:r w:rsidRPr="00474DFA">
        <w:rPr>
          <w:rStyle w:val="Marker"/>
        </w:rPr>
        <w:t>[…]</w:t>
      </w:r>
      <w:r w:rsidRPr="00474DFA">
        <w:t xml:space="preserve"> r.</w:t>
      </w:r>
    </w:p>
    <w:p w:rsidR="00FA250B" w:rsidRPr="00BB0D27" w:rsidRDefault="00FA250B" w:rsidP="0037558B">
      <w:pPr>
        <w:pStyle w:val="Institutionquisigne"/>
        <w:rPr>
          <w:noProof/>
        </w:rPr>
      </w:pPr>
      <w:r w:rsidRPr="00BB0D27">
        <w:rPr>
          <w:noProof/>
        </w:rPr>
        <w:t>W imieniu Parlamentu Europejskiego</w:t>
      </w:r>
      <w:r w:rsidRPr="00BB0D27">
        <w:rPr>
          <w:noProof/>
        </w:rPr>
        <w:tab/>
        <w:t>W imieniu Rady</w:t>
      </w:r>
    </w:p>
    <w:p w:rsidR="00FA250B" w:rsidRPr="00BB0D27" w:rsidRDefault="00FA250B" w:rsidP="00FA250B">
      <w:pPr>
        <w:pStyle w:val="Personnequisigne"/>
        <w:rPr>
          <w:noProof/>
        </w:rPr>
      </w:pPr>
      <w:r w:rsidRPr="00BB0D27">
        <w:rPr>
          <w:noProof/>
        </w:rPr>
        <w:t>Przewodnicząca</w:t>
      </w:r>
      <w:r w:rsidRPr="00BB0D27">
        <w:rPr>
          <w:noProof/>
        </w:rPr>
        <w:tab/>
        <w:t>Przewodniczący</w:t>
      </w:r>
    </w:p>
    <w:sectPr w:rsidR="00FA250B" w:rsidRPr="00BB0D27" w:rsidSect="00B6332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1CE" w:rsidRDefault="004D61CE" w:rsidP="00FA250B">
      <w:pPr>
        <w:spacing w:before="0" w:after="0"/>
      </w:pPr>
      <w:r>
        <w:separator/>
      </w:r>
    </w:p>
  </w:endnote>
  <w:endnote w:type="continuationSeparator" w:id="0">
    <w:p w:rsidR="004D61CE" w:rsidRDefault="004D61CE" w:rsidP="00FA250B">
      <w:pPr>
        <w:spacing w:before="0" w:after="0"/>
      </w:pPr>
      <w:r>
        <w:continuationSeparator/>
      </w:r>
    </w:p>
  </w:endnote>
  <w:endnote w:type="continuationNotice" w:id="1">
    <w:p w:rsidR="004D61CE" w:rsidRDefault="004D61C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D99" w:rsidRPr="00B63322" w:rsidRDefault="00B63322" w:rsidP="00B63322">
    <w:pPr>
      <w:pStyle w:val="Footer"/>
      <w:rPr>
        <w:rFonts w:ascii="Arial" w:hAnsi="Arial" w:cs="Arial"/>
        <w:b/>
        <w:sz w:val="48"/>
      </w:rPr>
    </w:pPr>
    <w:r w:rsidRPr="00B63322">
      <w:rPr>
        <w:rFonts w:ascii="Arial" w:hAnsi="Arial" w:cs="Arial"/>
        <w:b/>
        <w:sz w:val="48"/>
      </w:rPr>
      <w:t>PL</w:t>
    </w:r>
    <w:r w:rsidRPr="00B63322">
      <w:rPr>
        <w:rFonts w:ascii="Arial" w:hAnsi="Arial" w:cs="Arial"/>
        <w:b/>
        <w:sz w:val="48"/>
      </w:rPr>
      <w:tab/>
    </w:r>
    <w:r w:rsidRPr="00B63322">
      <w:rPr>
        <w:rFonts w:ascii="Arial" w:hAnsi="Arial" w:cs="Arial"/>
        <w:b/>
        <w:sz w:val="48"/>
      </w:rPr>
      <w:tab/>
    </w:r>
    <w:r w:rsidRPr="00B63322">
      <w:tab/>
    </w:r>
    <w:r w:rsidRPr="00B63322">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322" w:rsidRPr="00B63322" w:rsidRDefault="00B63322" w:rsidP="00B63322">
    <w:pPr>
      <w:pStyle w:val="Footer"/>
      <w:rPr>
        <w:rFonts w:ascii="Arial" w:hAnsi="Arial" w:cs="Arial"/>
        <w:b/>
        <w:sz w:val="48"/>
      </w:rPr>
    </w:pPr>
    <w:r w:rsidRPr="00B63322">
      <w:rPr>
        <w:rFonts w:ascii="Arial" w:hAnsi="Arial" w:cs="Arial"/>
        <w:b/>
        <w:sz w:val="48"/>
      </w:rPr>
      <w:t>PL</w:t>
    </w:r>
    <w:r w:rsidRPr="00B63322">
      <w:rPr>
        <w:rFonts w:ascii="Arial" w:hAnsi="Arial" w:cs="Arial"/>
        <w:b/>
        <w:sz w:val="48"/>
      </w:rPr>
      <w:tab/>
    </w:r>
    <w:r>
      <w:fldChar w:fldCharType="begin"/>
    </w:r>
    <w:r>
      <w:instrText xml:space="preserve"> PAGE  \* MERGEFORMAT </w:instrText>
    </w:r>
    <w:r>
      <w:fldChar w:fldCharType="separate"/>
    </w:r>
    <w:r w:rsidR="0037558B">
      <w:rPr>
        <w:noProof/>
      </w:rPr>
      <w:t>33</w:t>
    </w:r>
    <w:r>
      <w:fldChar w:fldCharType="end"/>
    </w:r>
    <w:r>
      <w:tab/>
    </w:r>
    <w:r w:rsidRPr="00B63322">
      <w:tab/>
    </w:r>
    <w:r w:rsidRPr="00B63322">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322" w:rsidRPr="00B63322" w:rsidRDefault="00B63322" w:rsidP="00B63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1CE" w:rsidRDefault="004D61CE" w:rsidP="00FA250B">
      <w:pPr>
        <w:spacing w:before="0" w:after="0"/>
      </w:pPr>
      <w:r>
        <w:separator/>
      </w:r>
    </w:p>
  </w:footnote>
  <w:footnote w:type="continuationSeparator" w:id="0">
    <w:p w:rsidR="004D61CE" w:rsidRDefault="004D61CE" w:rsidP="00FA250B">
      <w:pPr>
        <w:spacing w:before="0" w:after="0"/>
      </w:pPr>
      <w:r>
        <w:continuationSeparator/>
      </w:r>
    </w:p>
  </w:footnote>
  <w:footnote w:type="continuationNotice" w:id="1">
    <w:p w:rsidR="004D61CE" w:rsidRDefault="004D61CE">
      <w:pPr>
        <w:spacing w:before="0" w:after="0"/>
      </w:pPr>
    </w:p>
  </w:footnote>
  <w:footnote w:id="2">
    <w:p w:rsidR="00A436F3" w:rsidRPr="00BB0D27" w:rsidRDefault="00A436F3">
      <w:pPr>
        <w:pStyle w:val="FootnoteText0"/>
      </w:pPr>
      <w:r>
        <w:rPr>
          <w:rStyle w:val="FootnoteReference"/>
        </w:rPr>
        <w:footnoteRef/>
      </w:r>
      <w:r w:rsidRPr="00BB0D27">
        <w:tab/>
        <w:t>COM(2019) 640 final</w:t>
      </w:r>
      <w:r w:rsidR="00B73D99" w:rsidRPr="00BB0D27">
        <w:t xml:space="preserve"> z</w:t>
      </w:r>
      <w:r w:rsidR="00B73D99">
        <w:t> </w:t>
      </w:r>
      <w:r w:rsidR="00B73D99" w:rsidRPr="00BB0D27">
        <w:t>1</w:t>
      </w:r>
      <w:r w:rsidRPr="00BB0D27">
        <w:t>1.12.2019.</w:t>
      </w:r>
    </w:p>
  </w:footnote>
  <w:footnote w:id="3">
    <w:p w:rsidR="00F52256" w:rsidRPr="00BB0D27" w:rsidRDefault="00F8208E">
      <w:pPr>
        <w:pStyle w:val="FootnoteText0"/>
      </w:pPr>
      <w:r>
        <w:rPr>
          <w:rStyle w:val="FootnoteReference"/>
        </w:rPr>
        <w:footnoteRef/>
      </w:r>
      <w:r w:rsidRPr="00BB0D27">
        <w:tab/>
        <w:t>Dz.U. L 136</w:t>
      </w:r>
      <w:r w:rsidR="00B73D99" w:rsidRPr="00BB0D27">
        <w:t xml:space="preserve"> z</w:t>
      </w:r>
      <w:r w:rsidR="00B73D99">
        <w:t> </w:t>
      </w:r>
      <w:r w:rsidR="00B73D99" w:rsidRPr="00BB0D27">
        <w:t>2</w:t>
      </w:r>
      <w:r w:rsidRPr="00BB0D27">
        <w:t>2.5.2019, s. 28.</w:t>
      </w:r>
    </w:p>
  </w:footnote>
  <w:footnote w:id="4">
    <w:p w:rsidR="00AF4156" w:rsidRPr="00BB0D27" w:rsidRDefault="00AF4156" w:rsidP="00AF4156">
      <w:pPr>
        <w:pStyle w:val="FootnoteText0"/>
        <w:rPr>
          <w:sz w:val="18"/>
          <w:szCs w:val="18"/>
        </w:rPr>
      </w:pPr>
      <w:r>
        <w:rPr>
          <w:rStyle w:val="FootnoteReference"/>
        </w:rPr>
        <w:footnoteRef/>
      </w:r>
      <w:r w:rsidRPr="00BB0D27">
        <w:rPr>
          <w:sz w:val="18"/>
        </w:rPr>
        <w:tab/>
      </w:r>
      <w:hyperlink r:id="rId1" w:history="1">
        <w:r w:rsidRPr="00BB0D27">
          <w:rPr>
            <w:rStyle w:val="Hyperlink"/>
            <w:sz w:val="18"/>
          </w:rPr>
          <w:t>Konferencja</w:t>
        </w:r>
        <w:r w:rsidR="00B73D99" w:rsidRPr="00BB0D27">
          <w:rPr>
            <w:rStyle w:val="Hyperlink"/>
            <w:sz w:val="18"/>
          </w:rPr>
          <w:t xml:space="preserve"> w</w:t>
        </w:r>
        <w:r w:rsidR="00B73D99">
          <w:rPr>
            <w:rStyle w:val="Hyperlink"/>
            <w:sz w:val="18"/>
          </w:rPr>
          <w:t> </w:t>
        </w:r>
        <w:r w:rsidR="00B73D99" w:rsidRPr="00BB0D27">
          <w:rPr>
            <w:rStyle w:val="Hyperlink"/>
            <w:sz w:val="18"/>
          </w:rPr>
          <w:t>spr</w:t>
        </w:r>
        <w:r w:rsidRPr="00BB0D27">
          <w:rPr>
            <w:rStyle w:val="Hyperlink"/>
            <w:sz w:val="18"/>
          </w:rPr>
          <w:t>awie przyszłości Europy – sprawozdanie</w:t>
        </w:r>
        <w:r w:rsidR="00B73D99" w:rsidRPr="00BB0D27">
          <w:rPr>
            <w:rStyle w:val="Hyperlink"/>
            <w:sz w:val="18"/>
          </w:rPr>
          <w:t xml:space="preserve"> z</w:t>
        </w:r>
        <w:r w:rsidR="00B73D99">
          <w:rPr>
            <w:rStyle w:val="Hyperlink"/>
            <w:sz w:val="18"/>
          </w:rPr>
          <w:t> </w:t>
        </w:r>
        <w:r w:rsidR="00B73D99" w:rsidRPr="00BB0D27">
          <w:rPr>
            <w:rStyle w:val="Hyperlink"/>
            <w:sz w:val="18"/>
          </w:rPr>
          <w:t>wyn</w:t>
        </w:r>
        <w:r w:rsidRPr="00BB0D27">
          <w:rPr>
            <w:rStyle w:val="Hyperlink"/>
            <w:sz w:val="18"/>
          </w:rPr>
          <w:t xml:space="preserve">ików końcowych, </w:t>
        </w:r>
        <w:r w:rsidRPr="00B73D99">
          <w:rPr>
            <w:rStyle w:val="Hyperlink"/>
            <w:sz w:val="18"/>
          </w:rPr>
          <w:t>maj</w:t>
        </w:r>
        <w:r w:rsidR="00B73D99" w:rsidRPr="00B73D99">
          <w:rPr>
            <w:rStyle w:val="Hyperlink"/>
            <w:sz w:val="18"/>
          </w:rPr>
          <w:t> </w:t>
        </w:r>
        <w:r w:rsidRPr="00B73D99">
          <w:rPr>
            <w:rStyle w:val="Hyperlink"/>
            <w:sz w:val="18"/>
          </w:rPr>
          <w:t>2</w:t>
        </w:r>
        <w:r w:rsidRPr="00BB0D27">
          <w:rPr>
            <w:rStyle w:val="Hyperlink"/>
            <w:sz w:val="18"/>
          </w:rPr>
          <w:t>0</w:t>
        </w:r>
        <w:r w:rsidRPr="00B73D99">
          <w:rPr>
            <w:rStyle w:val="Hyperlink"/>
            <w:sz w:val="18"/>
          </w:rPr>
          <w:t>22</w:t>
        </w:r>
        <w:r w:rsidR="00B73D99" w:rsidRPr="00B73D99">
          <w:rPr>
            <w:rStyle w:val="Hyperlink"/>
            <w:sz w:val="18"/>
          </w:rPr>
          <w:t> </w:t>
        </w:r>
        <w:r w:rsidRPr="00B73D99">
          <w:rPr>
            <w:rStyle w:val="Hyperlink"/>
            <w:sz w:val="18"/>
          </w:rPr>
          <w:t>r.</w:t>
        </w:r>
      </w:hyperlink>
    </w:p>
  </w:footnote>
  <w:footnote w:id="5">
    <w:p w:rsidR="00AF4156" w:rsidRPr="00350EF7" w:rsidRDefault="00AF4156" w:rsidP="00AF4156">
      <w:pPr>
        <w:pStyle w:val="FootnoteText0"/>
        <w:rPr>
          <w:sz w:val="18"/>
          <w:szCs w:val="18"/>
        </w:rPr>
      </w:pPr>
      <w:r>
        <w:rPr>
          <w:rStyle w:val="FootnoteReference"/>
        </w:rPr>
        <w:footnoteRef/>
      </w:r>
      <w:r>
        <w:rPr>
          <w:sz w:val="18"/>
        </w:rPr>
        <w:tab/>
        <w:t>COM(2022) 404 final.</w:t>
      </w:r>
    </w:p>
  </w:footnote>
  <w:footnote w:id="6">
    <w:p w:rsidR="008F0CE6" w:rsidRDefault="00F8208E" w:rsidP="007622D9">
      <w:pPr>
        <w:pStyle w:val="FootnoteText0"/>
      </w:pPr>
      <w:r>
        <w:rPr>
          <w:rStyle w:val="FootnoteReference"/>
        </w:rPr>
        <w:footnoteRef/>
      </w:r>
      <w:r>
        <w:tab/>
        <w:t>COM(2022) 142 final</w:t>
      </w:r>
      <w:r w:rsidR="00B73D99">
        <w:t xml:space="preserve"> z 3</w:t>
      </w:r>
      <w:r>
        <w:t>0.3.2022.</w:t>
      </w:r>
    </w:p>
  </w:footnote>
  <w:footnote w:id="7">
    <w:p w:rsidR="008F0CE6" w:rsidRPr="00BB0D27" w:rsidRDefault="00F8208E" w:rsidP="007622D9">
      <w:pPr>
        <w:pStyle w:val="FootnoteText0"/>
      </w:pPr>
      <w:r>
        <w:rPr>
          <w:rStyle w:val="FootnoteReference"/>
        </w:rPr>
        <w:footnoteRef/>
      </w:r>
      <w:r w:rsidRPr="00BB0D27">
        <w:tab/>
        <w:t>COM(2022) 143 final</w:t>
      </w:r>
      <w:r w:rsidR="00B73D99" w:rsidRPr="00BB0D27">
        <w:t xml:space="preserve"> z</w:t>
      </w:r>
      <w:r w:rsidR="00B73D99">
        <w:t> </w:t>
      </w:r>
      <w:r w:rsidR="00B73D99" w:rsidRPr="00BB0D27">
        <w:t>3</w:t>
      </w:r>
      <w:r w:rsidRPr="00BB0D27">
        <w:t>0.3.2022.</w:t>
      </w:r>
    </w:p>
  </w:footnote>
  <w:footnote w:id="8">
    <w:p w:rsidR="00511CD3" w:rsidRPr="00BB0D27" w:rsidRDefault="00F8208E">
      <w:pPr>
        <w:pStyle w:val="FootnoteText0"/>
      </w:pPr>
      <w:r>
        <w:rPr>
          <w:rStyle w:val="FootnoteReference"/>
        </w:rPr>
        <w:footnoteRef/>
      </w:r>
      <w:r w:rsidRPr="00BB0D27">
        <w:tab/>
        <w:t>Rozporządzenie Parlamentu Europejskiego</w:t>
      </w:r>
      <w:r w:rsidR="00B73D99" w:rsidRPr="00BB0D27">
        <w:t xml:space="preserve"> i</w:t>
      </w:r>
      <w:r w:rsidR="00B73D99">
        <w:t> </w:t>
      </w:r>
      <w:r w:rsidR="00B73D99" w:rsidRPr="00BB0D27">
        <w:t>Rad</w:t>
      </w:r>
      <w:r w:rsidRPr="00BB0D27">
        <w:t xml:space="preserve">y (WE) </w:t>
      </w:r>
      <w:r w:rsidRPr="00B73D99">
        <w:t>nr</w:t>
      </w:r>
      <w:r w:rsidR="00B73D99" w:rsidRPr="00B73D99">
        <w:t> </w:t>
      </w:r>
      <w:r w:rsidRPr="00B73D99">
        <w:t>5</w:t>
      </w:r>
      <w:r w:rsidRPr="00BB0D27">
        <w:t>93/2008</w:t>
      </w:r>
      <w:r w:rsidR="00B73D99" w:rsidRPr="00BB0D27">
        <w:t xml:space="preserve"> z</w:t>
      </w:r>
      <w:r w:rsidR="00B73D99">
        <w:t> </w:t>
      </w:r>
      <w:r w:rsidR="00B73D99" w:rsidRPr="00BB0D27">
        <w:t>dni</w:t>
      </w:r>
      <w:r w:rsidRPr="00BB0D27">
        <w:t>a 17 czerwca 20</w:t>
      </w:r>
      <w:r w:rsidRPr="00B73D99">
        <w:t>08</w:t>
      </w:r>
      <w:r w:rsidR="00B73D99" w:rsidRPr="00B73D99">
        <w:t> </w:t>
      </w:r>
      <w:r w:rsidRPr="00B73D99">
        <w:t>r.</w:t>
      </w:r>
      <w:r w:rsidR="00B73D99" w:rsidRPr="00BB0D27">
        <w:t xml:space="preserve"> w</w:t>
      </w:r>
      <w:r w:rsidR="00B73D99">
        <w:t> </w:t>
      </w:r>
      <w:r w:rsidR="00B73D99" w:rsidRPr="00BB0D27">
        <w:t>spr</w:t>
      </w:r>
      <w:r w:rsidRPr="00BB0D27">
        <w:t>awie prawa właściwego dla zobowiązań umownych (Rzym I) (Dz.U. L 177</w:t>
      </w:r>
      <w:r w:rsidR="00B73D99" w:rsidRPr="00BB0D27">
        <w:t xml:space="preserve"> z</w:t>
      </w:r>
      <w:r w:rsidR="00B73D99">
        <w:t> </w:t>
      </w:r>
      <w:r w:rsidR="00B73D99" w:rsidRPr="00BB0D27">
        <w:t>4</w:t>
      </w:r>
      <w:r w:rsidRPr="00BB0D27">
        <w:t>.7.2008, s. 6).</w:t>
      </w:r>
    </w:p>
  </w:footnote>
  <w:footnote w:id="9">
    <w:p w:rsidR="008F0CE6" w:rsidRPr="00BB0D27" w:rsidRDefault="00F8208E" w:rsidP="00C417E9">
      <w:pPr>
        <w:pStyle w:val="FootnoteText0"/>
      </w:pPr>
      <w:r>
        <w:rPr>
          <w:rStyle w:val="FootnoteReference"/>
        </w:rPr>
        <w:footnoteRef/>
      </w:r>
      <w:r w:rsidRPr="00BB0D27">
        <w:tab/>
        <w:t>Wpływ na środowisko pakietu wariantów preferowanych należy rozpatrywać łącznie</w:t>
      </w:r>
      <w:r w:rsidR="00B73D99" w:rsidRPr="00BB0D27">
        <w:t xml:space="preserve"> z</w:t>
      </w:r>
      <w:r w:rsidR="00B73D99">
        <w:t> </w:t>
      </w:r>
      <w:r w:rsidR="00B73D99" w:rsidRPr="00BB0D27">
        <w:t>wpł</w:t>
      </w:r>
      <w:r w:rsidRPr="00BB0D27">
        <w:t>ywem rozporządzenia</w:t>
      </w:r>
      <w:r w:rsidR="00B73D99" w:rsidRPr="00BB0D27">
        <w:t xml:space="preserve"> w</w:t>
      </w:r>
      <w:r w:rsidR="00B73D99">
        <w:t> </w:t>
      </w:r>
      <w:r w:rsidR="00B73D99" w:rsidRPr="00BB0D27">
        <w:t>spr</w:t>
      </w:r>
      <w:r w:rsidRPr="00BB0D27">
        <w:t>awie ekoprojektu dla zrównoważonych produktów (471 mln ton oszczędności CO</w:t>
      </w:r>
      <w:r w:rsidRPr="00BB0D27">
        <w:rPr>
          <w:vertAlign w:val="subscript"/>
        </w:rPr>
        <w:t>2</w:t>
      </w:r>
      <w:r w:rsidRPr="00BB0D27">
        <w:t>)</w:t>
      </w:r>
      <w:r w:rsidR="00B73D99" w:rsidRPr="00BB0D27">
        <w:t xml:space="preserve"> i</w:t>
      </w:r>
      <w:r w:rsidR="00B73D99">
        <w:t> </w:t>
      </w:r>
      <w:r w:rsidR="00B73D99" w:rsidRPr="00BB0D27">
        <w:t>dyr</w:t>
      </w:r>
      <w:r w:rsidRPr="00BB0D27">
        <w:t>ektywy</w:t>
      </w:r>
      <w:r w:rsidR="00B73D99" w:rsidRPr="00BB0D27">
        <w:t xml:space="preserve"> w</w:t>
      </w:r>
      <w:r w:rsidR="00B73D99">
        <w:t> </w:t>
      </w:r>
      <w:r w:rsidR="00B73D99" w:rsidRPr="00BB0D27">
        <w:t>spr</w:t>
      </w:r>
      <w:r w:rsidRPr="00BB0D27">
        <w:t>awie wzmocnienia pozycji konsumentów</w:t>
      </w:r>
      <w:r w:rsidR="00B73D99" w:rsidRPr="00BB0D27">
        <w:t xml:space="preserve"> w</w:t>
      </w:r>
      <w:r w:rsidR="00B73D99">
        <w:t> </w:t>
      </w:r>
      <w:r w:rsidR="00B73D99" w:rsidRPr="00BB0D27">
        <w:t>pro</w:t>
      </w:r>
      <w:r w:rsidRPr="00BB0D27">
        <w:t>cesie transformacji ekologicznej (0,33–0,47 mln ton oszczędności CO</w:t>
      </w:r>
      <w:r w:rsidRPr="00BB0D27">
        <w:rPr>
          <w:vertAlign w:val="subscript"/>
        </w:rPr>
        <w:t>2</w:t>
      </w:r>
      <w:r w:rsidRPr="00BB0D27">
        <w:t>), ponieważ opracowano je</w:t>
      </w:r>
      <w:r w:rsidR="00B73D99" w:rsidRPr="00BB0D27">
        <w:t xml:space="preserve"> w</w:t>
      </w:r>
      <w:r w:rsidR="00B73D99">
        <w:t> </w:t>
      </w:r>
      <w:r w:rsidR="00B73D99" w:rsidRPr="00BB0D27">
        <w:t>tak</w:t>
      </w:r>
      <w:r w:rsidRPr="00BB0D27">
        <w:t>i sposób, aby wzajemnie się uzupełniały. Łączny wpływ na środowisko jest zatem bardzo znaczący. Inicjatywy pomagają również sobie wzajemnie</w:t>
      </w:r>
      <w:r w:rsidR="00B73D99" w:rsidRPr="00BB0D27">
        <w:t xml:space="preserve"> w</w:t>
      </w:r>
      <w:r w:rsidR="00B73D99">
        <w:t> </w:t>
      </w:r>
      <w:r w:rsidR="00B73D99" w:rsidRPr="00BB0D27">
        <w:t>gen</w:t>
      </w:r>
      <w:r w:rsidRPr="00BB0D27">
        <w:t>erowaniu ich wpływu.</w:t>
      </w:r>
    </w:p>
  </w:footnote>
  <w:footnote w:id="10">
    <w:p w:rsidR="008F0CE6" w:rsidRPr="00BB0D27" w:rsidRDefault="00F8208E" w:rsidP="00F8208E">
      <w:pPr>
        <w:pStyle w:val="FootnoteText0"/>
      </w:pPr>
      <w:r>
        <w:rPr>
          <w:rStyle w:val="FootnoteReference"/>
        </w:rPr>
        <w:footnoteRef/>
      </w:r>
      <w:r w:rsidRPr="00BB0D27">
        <w:tab/>
        <w:t>Na przykład</w:t>
      </w:r>
      <w:r w:rsidR="00B73D99" w:rsidRPr="00BB0D27">
        <w:t xml:space="preserve"> w</w:t>
      </w:r>
      <w:r w:rsidR="00B73D99">
        <w:t> </w:t>
      </w:r>
      <w:r w:rsidR="00B73D99" w:rsidRPr="00BB0D27">
        <w:t>roz</w:t>
      </w:r>
      <w:r w:rsidRPr="00BB0D27">
        <w:t>porządzeniu Komisji (UE) 2019/2023 znajduje się wymóg, aby producenci</w:t>
      </w:r>
      <w:r w:rsidR="00B73D99" w:rsidRPr="00BB0D27">
        <w:t xml:space="preserve"> i</w:t>
      </w:r>
      <w:r w:rsidR="00B73D99">
        <w:t> </w:t>
      </w:r>
      <w:r w:rsidR="00B73D99" w:rsidRPr="00BB0D27">
        <w:t>imp</w:t>
      </w:r>
      <w:r w:rsidRPr="00BB0D27">
        <w:t>orterzy pralek dla gospodarstw domowych</w:t>
      </w:r>
      <w:r w:rsidR="00B73D99" w:rsidRPr="00BB0D27">
        <w:t xml:space="preserve"> i</w:t>
      </w:r>
      <w:r w:rsidR="00B73D99">
        <w:t> </w:t>
      </w:r>
      <w:r w:rsidR="00B73D99" w:rsidRPr="00BB0D27">
        <w:t>pra</w:t>
      </w:r>
      <w:r w:rsidRPr="00BB0D27">
        <w:t xml:space="preserve">lko-suszarek dla gospodarstw domowych lub ich upoważnieni przedstawiciele udostępniali profesjonalnym serwisom naprawczym szczegółowy wykaz części zamiennych przez okres co najmniej </w:t>
      </w:r>
      <w:r w:rsidRPr="00BB0D27">
        <w:tab/>
        <w:t>przez okres co najmniej dziesięciu lat od momentu wprowadzenia ostatniego egzemplarza danego modelu do obrotu. Obowiązek naprawy będzie miał zatem zastosowanie do odpowiednich produktów, wad wymagających zastąpienia części takimi częściami zamiennymi</w:t>
      </w:r>
      <w:r w:rsidR="00B73D99" w:rsidRPr="00BB0D27">
        <w:t xml:space="preserve"> i</w:t>
      </w:r>
      <w:r w:rsidR="00B73D99">
        <w:t> </w:t>
      </w:r>
      <w:r w:rsidR="00B73D99" w:rsidRPr="00BB0D27">
        <w:t>okr</w:t>
      </w:r>
      <w:r w:rsidRPr="00BB0D27">
        <w:t>esu dziesięciu lat.</w:t>
      </w:r>
    </w:p>
  </w:footnote>
  <w:footnote w:id="11">
    <w:p w:rsidR="008F0CE6" w:rsidRPr="00BB0D27" w:rsidRDefault="00F8208E" w:rsidP="00F733C8">
      <w:pPr>
        <w:pStyle w:val="FootnoteText0"/>
      </w:pPr>
      <w:r>
        <w:rPr>
          <w:rStyle w:val="FootnoteReference"/>
        </w:rPr>
        <w:footnoteRef/>
      </w:r>
      <w:r w:rsidRPr="00BB0D27">
        <w:tab/>
        <w:t xml:space="preserve">Dz.U C z […]. </w:t>
      </w:r>
    </w:p>
  </w:footnote>
  <w:footnote w:id="12">
    <w:p w:rsidR="008F0CE6" w:rsidRPr="00BB0D27" w:rsidRDefault="00F8208E" w:rsidP="00AA0893">
      <w:pPr>
        <w:pStyle w:val="FootnoteText0"/>
      </w:pPr>
      <w:r>
        <w:rPr>
          <w:rStyle w:val="FootnoteReference"/>
        </w:rPr>
        <w:footnoteRef/>
      </w:r>
      <w:r w:rsidRPr="00BB0D27">
        <w:tab/>
        <w:t>Stanowisko Parlamentu Europejskiego</w:t>
      </w:r>
      <w:r w:rsidR="00B73D99" w:rsidRPr="00BB0D27">
        <w:t xml:space="preserve"> z</w:t>
      </w:r>
      <w:r w:rsidR="00B73D99">
        <w:t> </w:t>
      </w:r>
      <w:r w:rsidR="00B73D99" w:rsidRPr="00BB0D27">
        <w:t>dni</w:t>
      </w:r>
      <w:r w:rsidRPr="00BB0D27">
        <w:t>a […] r. (jeszcze nieopublikowane</w:t>
      </w:r>
      <w:r w:rsidR="00B73D99" w:rsidRPr="00BB0D27">
        <w:t xml:space="preserve"> w</w:t>
      </w:r>
      <w:r w:rsidR="00B73D99">
        <w:t> </w:t>
      </w:r>
      <w:r w:rsidR="00B73D99" w:rsidRPr="00BB0D27">
        <w:rPr>
          <w:i/>
          <w:iCs/>
        </w:rPr>
        <w:t>Dzi</w:t>
      </w:r>
      <w:r w:rsidRPr="00BB0D27">
        <w:rPr>
          <w:i/>
          <w:iCs/>
        </w:rPr>
        <w:t>enniku Urzędowym Unii Europejskiej</w:t>
      </w:r>
      <w:r w:rsidRPr="00BB0D27">
        <w:t>) oraz decyzja Rady</w:t>
      </w:r>
      <w:r w:rsidR="00B73D99" w:rsidRPr="00BB0D27">
        <w:t xml:space="preserve"> z</w:t>
      </w:r>
      <w:r w:rsidR="00B73D99">
        <w:t> </w:t>
      </w:r>
      <w:r w:rsidR="00B73D99" w:rsidRPr="00BB0D27">
        <w:t>dni</w:t>
      </w:r>
      <w:r w:rsidRPr="00BB0D27">
        <w:t>a […] r.</w:t>
      </w:r>
    </w:p>
  </w:footnote>
  <w:footnote w:id="13">
    <w:p w:rsidR="008F0CE6" w:rsidRPr="00FF5079" w:rsidRDefault="008F0CE6" w:rsidP="00242458">
      <w:pPr>
        <w:pStyle w:val="Footnotetext"/>
      </w:pPr>
      <w:r>
        <w:rPr>
          <w:rStyle w:val="FootnoteReference"/>
        </w:rPr>
        <w:footnoteRef/>
      </w:r>
      <w:r>
        <w:tab/>
        <w:t>Dyrektywa Parlamentu Europejskiego</w:t>
      </w:r>
      <w:r w:rsidR="00B73D99">
        <w:t xml:space="preserve"> i Rad</w:t>
      </w:r>
      <w:r>
        <w:t>y (UE) 2019/771</w:t>
      </w:r>
      <w:r w:rsidR="00B73D99">
        <w:t xml:space="preserve"> z dni</w:t>
      </w:r>
      <w:r>
        <w:t>a 20 maja 20</w:t>
      </w:r>
      <w:r w:rsidRPr="00B73D99">
        <w:t>19</w:t>
      </w:r>
      <w:r w:rsidR="00B73D99" w:rsidRPr="00B73D99">
        <w:t> </w:t>
      </w:r>
      <w:r w:rsidRPr="00B73D99">
        <w:t>r.</w:t>
      </w:r>
      <w:r w:rsidR="00B73D99">
        <w:t xml:space="preserve"> w spr</w:t>
      </w:r>
      <w:r>
        <w:t>awie niektórych aspektów umów sprzedaży towarów, zmieniająca rozporządzenie (UE) 2017/2394 oraz dyrektywę 2009/22/WE</w:t>
      </w:r>
      <w:r w:rsidR="00B73D99">
        <w:t xml:space="preserve"> i uch</w:t>
      </w:r>
      <w:r>
        <w:t>ylająca dyrektywę 1999/44/WE (Dz.U. L 136</w:t>
      </w:r>
      <w:r w:rsidR="00B73D99">
        <w:t xml:space="preserve"> z 2</w:t>
      </w:r>
      <w:r>
        <w:t>2.5.2019, s. 28).</w:t>
      </w:r>
    </w:p>
    <w:p w:rsidR="008F0CE6" w:rsidRPr="00BB0D27" w:rsidRDefault="008F0CE6" w:rsidP="00084612">
      <w:pPr>
        <w:pStyle w:val="FootnoteText0"/>
      </w:pPr>
    </w:p>
  </w:footnote>
  <w:footnote w:id="14">
    <w:p w:rsidR="0004115F" w:rsidRPr="00BB0D27" w:rsidRDefault="0004115F">
      <w:pPr>
        <w:pStyle w:val="FootnoteText0"/>
      </w:pPr>
      <w:r>
        <w:rPr>
          <w:rStyle w:val="FootnoteReference"/>
        </w:rPr>
        <w:footnoteRef/>
      </w:r>
      <w:r w:rsidRPr="00BB0D27">
        <w:tab/>
        <w:t>Rozporządzenie Parlamentu Europejskiego</w:t>
      </w:r>
      <w:r w:rsidR="00B73D99" w:rsidRPr="00BB0D27">
        <w:t xml:space="preserve"> i</w:t>
      </w:r>
      <w:r w:rsidR="00B73D99">
        <w:t> </w:t>
      </w:r>
      <w:r w:rsidR="00B73D99" w:rsidRPr="00BB0D27">
        <w:t>Rad</w:t>
      </w:r>
      <w:r w:rsidRPr="00BB0D27">
        <w:t xml:space="preserve">y (WE) </w:t>
      </w:r>
      <w:r w:rsidRPr="00B73D99">
        <w:t>nr</w:t>
      </w:r>
      <w:r w:rsidR="00B73D99" w:rsidRPr="00B73D99">
        <w:t> </w:t>
      </w:r>
      <w:r w:rsidRPr="00B73D99">
        <w:t>5</w:t>
      </w:r>
      <w:r w:rsidRPr="00BB0D27">
        <w:t>93/2008</w:t>
      </w:r>
      <w:r w:rsidR="00B73D99" w:rsidRPr="00BB0D27">
        <w:t xml:space="preserve"> z</w:t>
      </w:r>
      <w:r w:rsidR="00B73D99">
        <w:t> </w:t>
      </w:r>
      <w:r w:rsidR="00B73D99" w:rsidRPr="00BB0D27">
        <w:t>dni</w:t>
      </w:r>
      <w:r w:rsidRPr="00BB0D27">
        <w:t>a 17 czerwca 20</w:t>
      </w:r>
      <w:r w:rsidRPr="00B73D99">
        <w:t>08</w:t>
      </w:r>
      <w:r w:rsidR="00B73D99" w:rsidRPr="00B73D99">
        <w:t> </w:t>
      </w:r>
      <w:r w:rsidRPr="00B73D99">
        <w:t>r.</w:t>
      </w:r>
      <w:r w:rsidR="00B73D99" w:rsidRPr="00BB0D27">
        <w:t xml:space="preserve"> w</w:t>
      </w:r>
      <w:r w:rsidR="00B73D99">
        <w:t> </w:t>
      </w:r>
      <w:r w:rsidR="00B73D99" w:rsidRPr="00BB0D27">
        <w:t>spr</w:t>
      </w:r>
      <w:r w:rsidRPr="00BB0D27">
        <w:t>awie prawa właściwego dla zobowiązań umownych (Rzym I) (Dz.U. L 177</w:t>
      </w:r>
      <w:r w:rsidR="00B73D99" w:rsidRPr="00BB0D27">
        <w:t xml:space="preserve"> z</w:t>
      </w:r>
      <w:r w:rsidR="00B73D99">
        <w:t> </w:t>
      </w:r>
      <w:r w:rsidR="00B73D99" w:rsidRPr="00BB0D27">
        <w:t>4</w:t>
      </w:r>
      <w:r w:rsidRPr="00BB0D27">
        <w:t>.7.2008, s. 6).</w:t>
      </w:r>
    </w:p>
  </w:footnote>
  <w:footnote w:id="15">
    <w:p w:rsidR="008F0CE6" w:rsidRPr="00F10041" w:rsidRDefault="00F8208E" w:rsidP="00F8208E">
      <w:pPr>
        <w:pStyle w:val="Footnotetext"/>
      </w:pPr>
      <w:r>
        <w:rPr>
          <w:rStyle w:val="FootnoteReference"/>
        </w:rPr>
        <w:footnoteRef/>
      </w:r>
      <w:r>
        <w:tab/>
        <w:t>Dyrektywa Parlamentu Europejskiego</w:t>
      </w:r>
      <w:r w:rsidR="00B73D99">
        <w:t xml:space="preserve"> i Rad</w:t>
      </w:r>
      <w:r>
        <w:t>y 2019/882/UE</w:t>
      </w:r>
      <w:r w:rsidR="00B73D99">
        <w:t xml:space="preserve"> z dni</w:t>
      </w:r>
      <w:r>
        <w:t>a 17 kwietnia 20</w:t>
      </w:r>
      <w:r w:rsidRPr="00B73D99">
        <w:t>19</w:t>
      </w:r>
      <w:r w:rsidR="00B73D99" w:rsidRPr="00B73D99">
        <w:t> </w:t>
      </w:r>
      <w:r w:rsidRPr="00B73D99">
        <w:t>r.</w:t>
      </w:r>
      <w:r w:rsidR="00B73D99">
        <w:t xml:space="preserve"> w spr</w:t>
      </w:r>
      <w:r>
        <w:t>awie wymogów dostępności produktów</w:t>
      </w:r>
      <w:r w:rsidR="00B73D99">
        <w:t xml:space="preserve"> i usł</w:t>
      </w:r>
      <w:r>
        <w:t>ug (Dz.U. L 151</w:t>
      </w:r>
      <w:r w:rsidR="00B73D99">
        <w:t xml:space="preserve"> z 7</w:t>
      </w:r>
      <w:r>
        <w:t>.6.2019, s. 70).</w:t>
      </w:r>
    </w:p>
  </w:footnote>
  <w:footnote w:id="16">
    <w:p w:rsidR="008F0CE6" w:rsidRPr="00BB0D27" w:rsidRDefault="008F0CE6" w:rsidP="00B81A82">
      <w:pPr>
        <w:pStyle w:val="FootnoteText0"/>
      </w:pPr>
      <w:r>
        <w:rPr>
          <w:rStyle w:val="FootnoteReference"/>
        </w:rPr>
        <w:footnoteRef/>
      </w:r>
      <w:r w:rsidRPr="00BB0D27">
        <w:tab/>
        <w:t>Dyrektywa Parlamentu Europejskiego</w:t>
      </w:r>
      <w:r w:rsidR="00B73D99" w:rsidRPr="00BB0D27">
        <w:t xml:space="preserve"> i</w:t>
      </w:r>
      <w:r w:rsidR="00B73D99">
        <w:t> </w:t>
      </w:r>
      <w:r w:rsidR="00B73D99" w:rsidRPr="00BB0D27">
        <w:t>Rad</w:t>
      </w:r>
      <w:r w:rsidRPr="00BB0D27">
        <w:t>y 2011/83/UE</w:t>
      </w:r>
      <w:r w:rsidR="00B73D99" w:rsidRPr="00BB0D27">
        <w:t xml:space="preserve"> z</w:t>
      </w:r>
      <w:r w:rsidR="00B73D99">
        <w:t> </w:t>
      </w:r>
      <w:r w:rsidR="00B73D99" w:rsidRPr="00BB0D27">
        <w:t>dni</w:t>
      </w:r>
      <w:r w:rsidRPr="00BB0D27">
        <w:t>a 25 października 20</w:t>
      </w:r>
      <w:r w:rsidRPr="00B73D99">
        <w:t>11</w:t>
      </w:r>
      <w:r w:rsidR="00B73D99" w:rsidRPr="00B73D99">
        <w:t> </w:t>
      </w:r>
      <w:r w:rsidRPr="00B73D99">
        <w:t>r.</w:t>
      </w:r>
      <w:r w:rsidR="00B73D99" w:rsidRPr="00BB0D27">
        <w:t xml:space="preserve"> w</w:t>
      </w:r>
      <w:r w:rsidR="00B73D99">
        <w:t> </w:t>
      </w:r>
      <w:r w:rsidR="00B73D99" w:rsidRPr="00BB0D27">
        <w:t>spr</w:t>
      </w:r>
      <w:r w:rsidRPr="00BB0D27">
        <w:t>awie praw konsumentów, zmieniająca dyrektywę Rady 93/13/EWG</w:t>
      </w:r>
      <w:r w:rsidR="00B73D99" w:rsidRPr="00BB0D27">
        <w:t xml:space="preserve"> i</w:t>
      </w:r>
      <w:r w:rsidR="00B73D99">
        <w:t> </w:t>
      </w:r>
      <w:r w:rsidR="00B73D99" w:rsidRPr="00BB0D27">
        <w:t>dyr</w:t>
      </w:r>
      <w:r w:rsidRPr="00BB0D27">
        <w:t>ektywę 1999/44/WE Parlamentu Europejskiego</w:t>
      </w:r>
      <w:r w:rsidR="00B73D99" w:rsidRPr="00BB0D27">
        <w:t xml:space="preserve"> i</w:t>
      </w:r>
      <w:r w:rsidR="00B73D99">
        <w:t> </w:t>
      </w:r>
      <w:r w:rsidR="00B73D99" w:rsidRPr="00BB0D27">
        <w:t>Rad</w:t>
      </w:r>
      <w:r w:rsidRPr="00BB0D27">
        <w:t>y oraz uchylająca dyrektywę Rady 85/577/EWG</w:t>
      </w:r>
      <w:r w:rsidR="00B73D99" w:rsidRPr="00BB0D27">
        <w:t xml:space="preserve"> i</w:t>
      </w:r>
      <w:r w:rsidR="00B73D99">
        <w:t> </w:t>
      </w:r>
      <w:r w:rsidR="00B73D99" w:rsidRPr="00BB0D27">
        <w:t>dyr</w:t>
      </w:r>
      <w:r w:rsidRPr="00BB0D27">
        <w:t>ektywę 97/7/WE Parlamentu Europejskiego</w:t>
      </w:r>
      <w:r w:rsidR="00B73D99" w:rsidRPr="00BB0D27">
        <w:t xml:space="preserve"> i</w:t>
      </w:r>
      <w:r w:rsidR="00B73D99">
        <w:t> </w:t>
      </w:r>
      <w:r w:rsidR="00B73D99" w:rsidRPr="00BB0D27">
        <w:t>Rad</w:t>
      </w:r>
      <w:r w:rsidRPr="00BB0D27">
        <w:t>y (Tekst mający znaczenie dla EOG) (Dz.U. L 304</w:t>
      </w:r>
      <w:r w:rsidR="00B73D99" w:rsidRPr="00BB0D27">
        <w:t xml:space="preserve"> z</w:t>
      </w:r>
      <w:r w:rsidR="00B73D99">
        <w:t> </w:t>
      </w:r>
      <w:r w:rsidR="00B73D99" w:rsidRPr="00BB0D27">
        <w:t>2</w:t>
      </w:r>
      <w:r w:rsidRPr="00BB0D27">
        <w:t>2.11.2011, s. 64).</w:t>
      </w:r>
    </w:p>
  </w:footnote>
  <w:footnote w:id="17">
    <w:p w:rsidR="008F0CE6" w:rsidRPr="00BB0D27" w:rsidRDefault="008F0CE6" w:rsidP="00C74D12">
      <w:pPr>
        <w:pStyle w:val="FootnoteText0"/>
      </w:pPr>
      <w:r>
        <w:rPr>
          <w:rStyle w:val="FootnoteReference"/>
        </w:rPr>
        <w:footnoteRef/>
      </w:r>
      <w:r w:rsidRPr="00BB0D27">
        <w:tab/>
        <w:t>Dyrektywa Parlamentu Europejskiego</w:t>
      </w:r>
      <w:r w:rsidR="00B73D99" w:rsidRPr="00BB0D27">
        <w:t xml:space="preserve"> i</w:t>
      </w:r>
      <w:r w:rsidR="00B73D99">
        <w:t> </w:t>
      </w:r>
      <w:r w:rsidR="00B73D99" w:rsidRPr="00BB0D27">
        <w:t>Rad</w:t>
      </w:r>
      <w:r w:rsidRPr="00BB0D27">
        <w:t>y 2009/125/WE</w:t>
      </w:r>
      <w:r w:rsidR="00B73D99" w:rsidRPr="00BB0D27">
        <w:t xml:space="preserve"> z</w:t>
      </w:r>
      <w:r w:rsidR="00B73D99">
        <w:t> </w:t>
      </w:r>
      <w:r w:rsidR="00B73D99" w:rsidRPr="00BB0D27">
        <w:t>dni</w:t>
      </w:r>
      <w:r w:rsidRPr="00BB0D27">
        <w:t>a 21 października 20</w:t>
      </w:r>
      <w:r w:rsidRPr="00B73D99">
        <w:t>09</w:t>
      </w:r>
      <w:r w:rsidR="00B73D99" w:rsidRPr="00B73D99">
        <w:t> </w:t>
      </w:r>
      <w:r w:rsidRPr="00B73D99">
        <w:t>r.</w:t>
      </w:r>
      <w:r w:rsidRPr="00BB0D27">
        <w:t xml:space="preserve"> ustanawiająca ogólne zasady ustalania wymogów dotyczących ekoprojektu dla produktów związanych</w:t>
      </w:r>
      <w:r w:rsidR="00B73D99" w:rsidRPr="00BB0D27">
        <w:t xml:space="preserve"> z</w:t>
      </w:r>
      <w:r w:rsidR="00B73D99">
        <w:t> </w:t>
      </w:r>
      <w:r w:rsidR="00B73D99" w:rsidRPr="00BB0D27">
        <w:t>ene</w:t>
      </w:r>
      <w:r w:rsidRPr="00BB0D27">
        <w:t>rgią (wersja przekształcona) (Tekst mający znaczenie dla EOG) (Dz.U. L 285</w:t>
      </w:r>
      <w:r w:rsidR="00B73D99" w:rsidRPr="00BB0D27">
        <w:t xml:space="preserve"> z</w:t>
      </w:r>
      <w:r w:rsidR="00B73D99">
        <w:t> </w:t>
      </w:r>
      <w:r w:rsidR="00B73D99" w:rsidRPr="00BB0D27">
        <w:t>3</w:t>
      </w:r>
      <w:r w:rsidRPr="00BB0D27">
        <w:t>1.10.2009, s. 10).</w:t>
      </w:r>
    </w:p>
  </w:footnote>
  <w:footnote w:id="18">
    <w:p w:rsidR="008F0CE6" w:rsidRPr="00BB0D27" w:rsidRDefault="008F0CE6" w:rsidP="00110991">
      <w:pPr>
        <w:pStyle w:val="FootnoteText0"/>
      </w:pPr>
      <w:r>
        <w:rPr>
          <w:rStyle w:val="FootnoteReference"/>
        </w:rPr>
        <w:footnoteRef/>
      </w:r>
      <w:r w:rsidRPr="00BB0D27">
        <w:tab/>
        <w:t>Dyrektywa Parlamentu Europejskiego</w:t>
      </w:r>
      <w:r w:rsidR="00B73D99" w:rsidRPr="00BB0D27">
        <w:t xml:space="preserve"> i</w:t>
      </w:r>
      <w:r w:rsidR="00B73D99">
        <w:t> </w:t>
      </w:r>
      <w:r w:rsidR="00B73D99" w:rsidRPr="00BB0D27">
        <w:t>Rad</w:t>
      </w:r>
      <w:r w:rsidRPr="00BB0D27">
        <w:t>y 2009/125/WE</w:t>
      </w:r>
      <w:r w:rsidR="00B73D99" w:rsidRPr="00BB0D27">
        <w:t xml:space="preserve"> z</w:t>
      </w:r>
      <w:r w:rsidR="00B73D99">
        <w:t> </w:t>
      </w:r>
      <w:r w:rsidR="00B73D99" w:rsidRPr="00BB0D27">
        <w:t>dni</w:t>
      </w:r>
      <w:r w:rsidRPr="00BB0D27">
        <w:t>a 21 października 20</w:t>
      </w:r>
      <w:r w:rsidRPr="00B73D99">
        <w:t>09</w:t>
      </w:r>
      <w:r w:rsidR="00B73D99" w:rsidRPr="00B73D99">
        <w:t> </w:t>
      </w:r>
      <w:r w:rsidRPr="00B73D99">
        <w:t>r.</w:t>
      </w:r>
      <w:r w:rsidRPr="00BB0D27">
        <w:t xml:space="preserve"> ustanawiająca ogólne zasady ustalania wymogów dotyczących ekoprojektu dla produktów związanych</w:t>
      </w:r>
      <w:r w:rsidR="00B73D99" w:rsidRPr="00BB0D27">
        <w:t xml:space="preserve"> z</w:t>
      </w:r>
      <w:r w:rsidR="00B73D99">
        <w:t> </w:t>
      </w:r>
      <w:r w:rsidR="00B73D99" w:rsidRPr="00BB0D27">
        <w:t>ene</w:t>
      </w:r>
      <w:r w:rsidRPr="00BB0D27">
        <w:t>rgią (wersja przekształcona).</w:t>
      </w:r>
      <w:r w:rsidRPr="00BB0D27">
        <w:tab/>
      </w:r>
    </w:p>
  </w:footnote>
  <w:footnote w:id="19">
    <w:p w:rsidR="008F0CE6" w:rsidRPr="00BB0D27" w:rsidRDefault="008F0CE6">
      <w:pPr>
        <w:pStyle w:val="FootnoteText0"/>
      </w:pPr>
      <w:r>
        <w:rPr>
          <w:rStyle w:val="FootnoteReference"/>
        </w:rPr>
        <w:footnoteRef/>
      </w:r>
      <w:r w:rsidRPr="00BB0D27">
        <w:tab/>
        <w:t>Porozumienie międzyinstytucjonalne pomiędzy Parlamentem Europejskim, Radą Unii Europejskiej</w:t>
      </w:r>
      <w:r w:rsidR="00B73D99" w:rsidRPr="00BB0D27">
        <w:t xml:space="preserve"> a</w:t>
      </w:r>
      <w:r w:rsidR="00B73D99">
        <w:t> </w:t>
      </w:r>
      <w:r w:rsidR="00B73D99" w:rsidRPr="00BB0D27">
        <w:t>Kom</w:t>
      </w:r>
      <w:r w:rsidRPr="00BB0D27">
        <w:t>isją Europejską</w:t>
      </w:r>
      <w:r w:rsidR="00B73D99" w:rsidRPr="00BB0D27">
        <w:t xml:space="preserve"> w</w:t>
      </w:r>
      <w:r w:rsidR="00B73D99">
        <w:t> </w:t>
      </w:r>
      <w:r w:rsidR="00B73D99" w:rsidRPr="00BB0D27">
        <w:t>spr</w:t>
      </w:r>
      <w:r w:rsidRPr="00BB0D27">
        <w:t>awie lepszego stanowienia prawa (Dz.U. L 213</w:t>
      </w:r>
      <w:r w:rsidR="00B73D99" w:rsidRPr="00BB0D27">
        <w:t xml:space="preserve"> z</w:t>
      </w:r>
      <w:r w:rsidR="00B73D99">
        <w:t> </w:t>
      </w:r>
      <w:r w:rsidR="00B73D99" w:rsidRPr="00BB0D27">
        <w:t>1</w:t>
      </w:r>
      <w:r w:rsidRPr="00BB0D27">
        <w:t>2.5.2016, s. 1).</w:t>
      </w:r>
      <w:r w:rsidRPr="00BB0D27">
        <w:tab/>
      </w:r>
    </w:p>
  </w:footnote>
  <w:footnote w:id="20">
    <w:p w:rsidR="008F0CE6" w:rsidRPr="00BB0D27" w:rsidRDefault="008F0CE6">
      <w:pPr>
        <w:pStyle w:val="FootnoteText0"/>
      </w:pPr>
      <w:r>
        <w:rPr>
          <w:rStyle w:val="FootnoteReference"/>
        </w:rPr>
        <w:footnoteRef/>
      </w:r>
      <w:r w:rsidRPr="00BB0D27">
        <w:tab/>
        <w:t>Dyrektywa 1999/44/WE Parlamentu Europejskiego</w:t>
      </w:r>
      <w:r w:rsidR="00B73D99" w:rsidRPr="00BB0D27">
        <w:t xml:space="preserve"> i</w:t>
      </w:r>
      <w:r w:rsidR="00B73D99">
        <w:t> </w:t>
      </w:r>
      <w:r w:rsidR="00B73D99" w:rsidRPr="00BB0D27">
        <w:t>Rad</w:t>
      </w:r>
      <w:r w:rsidRPr="00BB0D27">
        <w:t>y</w:t>
      </w:r>
      <w:r w:rsidR="00B73D99" w:rsidRPr="00BB0D27">
        <w:t xml:space="preserve"> z</w:t>
      </w:r>
      <w:r w:rsidR="00B73D99">
        <w:t> </w:t>
      </w:r>
      <w:r w:rsidR="00B73D99" w:rsidRPr="00BB0D27">
        <w:t>dni</w:t>
      </w:r>
      <w:r w:rsidRPr="00BB0D27">
        <w:t>a 25 maja 19</w:t>
      </w:r>
      <w:r w:rsidRPr="00B73D99">
        <w:t>99</w:t>
      </w:r>
      <w:r w:rsidR="00B73D99" w:rsidRPr="00B73D99">
        <w:t> </w:t>
      </w:r>
      <w:r w:rsidRPr="00B73D99">
        <w:t>r.</w:t>
      </w:r>
      <w:r w:rsidR="00B73D99" w:rsidRPr="00BB0D27">
        <w:t xml:space="preserve"> w</w:t>
      </w:r>
      <w:r w:rsidR="00B73D99">
        <w:t> </w:t>
      </w:r>
      <w:r w:rsidR="00B73D99" w:rsidRPr="00BB0D27">
        <w:t>spr</w:t>
      </w:r>
      <w:r w:rsidRPr="00BB0D27">
        <w:t>awie niektórych aspektów sprzedaży towarów konsumpcyjnych</w:t>
      </w:r>
      <w:r w:rsidR="00B73D99" w:rsidRPr="00BB0D27">
        <w:t xml:space="preserve"> i</w:t>
      </w:r>
      <w:r w:rsidR="00B73D99">
        <w:t> </w:t>
      </w:r>
      <w:r w:rsidR="00B73D99" w:rsidRPr="00BB0D27">
        <w:t>zwi</w:t>
      </w:r>
      <w:r w:rsidRPr="00BB0D27">
        <w:t>ązanych</w:t>
      </w:r>
      <w:r w:rsidR="00B73D99" w:rsidRPr="00BB0D27">
        <w:t xml:space="preserve"> z</w:t>
      </w:r>
      <w:r w:rsidR="00B73D99">
        <w:t> </w:t>
      </w:r>
      <w:r w:rsidR="00B73D99" w:rsidRPr="00BB0D27">
        <w:t>tym</w:t>
      </w:r>
      <w:r w:rsidRPr="00BB0D27">
        <w:t xml:space="preserve"> gwarancji (Dz.U. L 171</w:t>
      </w:r>
      <w:r w:rsidR="00B73D99" w:rsidRPr="00BB0D27">
        <w:t xml:space="preserve"> z</w:t>
      </w:r>
      <w:r w:rsidR="00B73D99">
        <w:t> </w:t>
      </w:r>
      <w:r w:rsidR="00B73D99" w:rsidRPr="00BB0D27">
        <w:t>7</w:t>
      </w:r>
      <w:r w:rsidRPr="00BB0D27">
        <w:t>.7.1999, s. 12).</w:t>
      </w:r>
      <w:r w:rsidRPr="00BB0D27">
        <w:tab/>
      </w:r>
    </w:p>
  </w:footnote>
  <w:footnote w:id="21">
    <w:p w:rsidR="008F0CE6" w:rsidRPr="00BB0D27" w:rsidRDefault="008F0CE6" w:rsidP="00B0218E">
      <w:pPr>
        <w:pStyle w:val="FootnoteText0"/>
      </w:pPr>
      <w:r>
        <w:rPr>
          <w:rStyle w:val="FootnoteReference"/>
        </w:rPr>
        <w:footnoteRef/>
      </w:r>
      <w:r w:rsidRPr="00BB0D27">
        <w:tab/>
        <w:t>Rozporządzenie Parlamentu Europejskiego</w:t>
      </w:r>
      <w:r w:rsidR="00B73D99" w:rsidRPr="00BB0D27">
        <w:t xml:space="preserve"> i</w:t>
      </w:r>
      <w:r w:rsidR="00B73D99">
        <w:t> </w:t>
      </w:r>
      <w:r w:rsidR="00B73D99" w:rsidRPr="00BB0D27">
        <w:t>Rad</w:t>
      </w:r>
      <w:r w:rsidRPr="00BB0D27">
        <w:t>y (UE) 2018/1724</w:t>
      </w:r>
      <w:r w:rsidR="00B73D99" w:rsidRPr="00BB0D27">
        <w:t xml:space="preserve"> z</w:t>
      </w:r>
      <w:r w:rsidR="00B73D99">
        <w:t> </w:t>
      </w:r>
      <w:r w:rsidR="00B73D99" w:rsidRPr="00BB0D27">
        <w:t>dni</w:t>
      </w:r>
      <w:r w:rsidRPr="00BB0D27">
        <w:t>a 2 października 20</w:t>
      </w:r>
      <w:r w:rsidRPr="00B73D99">
        <w:t>18</w:t>
      </w:r>
      <w:r w:rsidR="00B73D99" w:rsidRPr="00B73D99">
        <w:t> </w:t>
      </w:r>
      <w:r w:rsidRPr="00B73D99">
        <w:t>r.</w:t>
      </w:r>
      <w:r w:rsidR="00B73D99" w:rsidRPr="00BB0D27">
        <w:t xml:space="preserve"> w</w:t>
      </w:r>
      <w:r w:rsidR="00B73D99">
        <w:t> </w:t>
      </w:r>
      <w:r w:rsidR="00B73D99" w:rsidRPr="00BB0D27">
        <w:t>spr</w:t>
      </w:r>
      <w:r w:rsidRPr="00BB0D27">
        <w:t>awie utworzenia jednolitego portalu cyfrowego</w:t>
      </w:r>
      <w:r w:rsidR="00B73D99" w:rsidRPr="00BB0D27">
        <w:t xml:space="preserve"> w</w:t>
      </w:r>
      <w:r w:rsidR="00B73D99">
        <w:t> </w:t>
      </w:r>
      <w:r w:rsidR="00B73D99" w:rsidRPr="00BB0D27">
        <w:t>cel</w:t>
      </w:r>
      <w:r w:rsidRPr="00BB0D27">
        <w:t>u zapewnienia dostępu do informacji, procedur oraz usług wsparcia</w:t>
      </w:r>
      <w:r w:rsidR="00B73D99" w:rsidRPr="00BB0D27">
        <w:t xml:space="preserve"> i</w:t>
      </w:r>
      <w:r w:rsidR="00B73D99">
        <w:t> </w:t>
      </w:r>
      <w:r w:rsidR="00B73D99" w:rsidRPr="00BB0D27">
        <w:t>roz</w:t>
      </w:r>
      <w:r w:rsidRPr="00BB0D27">
        <w:t>wiązywania problemów,</w:t>
      </w:r>
      <w:r w:rsidR="00B73D99" w:rsidRPr="00BB0D27">
        <w:t xml:space="preserve"> a</w:t>
      </w:r>
      <w:r w:rsidR="00B73D99">
        <w:t> </w:t>
      </w:r>
      <w:r w:rsidR="00B73D99" w:rsidRPr="00BB0D27">
        <w:t>tak</w:t>
      </w:r>
      <w:r w:rsidRPr="00BB0D27">
        <w:t xml:space="preserve">że zmieniające rozporządzenie (UE) </w:t>
      </w:r>
      <w:r w:rsidRPr="00B73D99">
        <w:t>nr</w:t>
      </w:r>
      <w:r w:rsidR="00B73D99" w:rsidRPr="00B73D99">
        <w:t> </w:t>
      </w:r>
      <w:r w:rsidRPr="00B73D99">
        <w:t>1</w:t>
      </w:r>
      <w:r w:rsidRPr="00BB0D27">
        <w:t>024/2012 (Dz.U. L 295</w:t>
      </w:r>
      <w:r w:rsidR="00B73D99" w:rsidRPr="00BB0D27">
        <w:t xml:space="preserve"> z</w:t>
      </w:r>
      <w:r w:rsidR="00B73D99">
        <w:t> </w:t>
      </w:r>
      <w:r w:rsidR="00B73D99" w:rsidRPr="00BB0D27">
        <w:t>2</w:t>
      </w:r>
      <w:r w:rsidRPr="00BB0D27">
        <w:t>1.11.2018,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182757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0B0EF7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3F2A56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06A0D2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44C0A7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EA2D5C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9BEDF9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5330AC0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15"/>
    <w:lvlOverride w:ilvl="0">
      <w:startOverride w:val="1"/>
    </w:lvlOverride>
  </w:num>
  <w:num w:numId="11">
    <w:abstractNumId w:val="19"/>
    <w:lvlOverride w:ilvl="0">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2"/>
  </w:num>
  <w:num w:numId="25">
    <w:abstractNumId w:val="21"/>
  </w:num>
  <w:num w:numId="26">
    <w:abstractNumId w:val="11"/>
  </w:num>
  <w:num w:numId="27">
    <w:abstractNumId w:val="13"/>
  </w:num>
  <w:num w:numId="28">
    <w:abstractNumId w:val="14"/>
  </w:num>
  <w:num w:numId="29">
    <w:abstractNumId w:val="9"/>
  </w:num>
  <w:num w:numId="30">
    <w:abstractNumId w:val="20"/>
  </w:num>
  <w:num w:numId="31">
    <w:abstractNumId w:val="8"/>
  </w:num>
  <w:num w:numId="32">
    <w:abstractNumId w:val="15"/>
  </w:num>
  <w:num w:numId="33">
    <w:abstractNumId w:val="17"/>
  </w:num>
  <w:num w:numId="34">
    <w:abstractNumId w:val="18"/>
  </w:num>
  <w:num w:numId="35">
    <w:abstractNumId w:val="10"/>
  </w:num>
  <w:num w:numId="36">
    <w:abstractNumId w:val="16"/>
  </w:num>
  <w:num w:numId="37">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3-30 19:33:4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AC0FB1C-9DA2-41C0-82F3-9465072D436D"/>
    <w:docVar w:name="LW_COVERPAGE_TYPE" w:val="1"/>
    <w:docVar w:name="LW_CROSSREFERENCE" w:val="{SEC(2023) 137 final} - {SWD(2023) 59 final} - {SWD(2023) 60 final}"/>
    <w:docVar w:name="LW_DocType" w:val="COM"/>
    <w:docVar w:name="LW_EMISSION" w:val="22.3.2023"/>
    <w:docVar w:name="LW_EMISSION_ISODATE" w:val="2023-03-22"/>
    <w:docVar w:name="LW_EMISSION_LOCATION" w:val="BRX"/>
    <w:docVar w:name="LW_EMISSION_PREFIX" w:val="Bruksela, dnia "/>
    <w:docVar w:name="LW_EMISSION_SUFFIX" w:val=" r."/>
    <w:docVar w:name="LW_ID_DOCMODEL" w:val="SJ-024"/>
    <w:docVar w:name="LW_ID_DOCSIGNATURE" w:val="SJ-024"/>
    <w:docVar w:name="LW_ID_DOCSTRUCTURE" w:val="COM/PL/ORG"/>
    <w:docVar w:name="LW_ID_DOCTYPE" w:val="SJ-024"/>
    <w:docVar w:name="LW_ID_STATUT" w:val="SJ-024"/>
    <w:docVar w:name="LW_INSERT_EXP.MOTIFS.NEW" w:val="1"/>
    <w:docVar w:name="LW_INTERETEEE.CP" w:val="(Tekst mający znaczenie dla EOG)"/>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083"/>
    <w:docVar w:name="LW_REF.II.NEW.CP_YEAR" w:val="2023"/>
    <w:docVar w:name="LW_REF.INST.NEW" w:val="COM"/>
    <w:docVar w:name="LW_REF.INST.NEW_ADOPTED" w:val="final"/>
    <w:docVar w:name="LW_REF.INST.NEW_TEXT" w:val="(2023) 1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w sprawie wspólnych zasad promujących naprawę towarów, zmieniająca rozporządzenie (UE) 2017/2394 oraz dyrektywy (UE) 2019/771 i (UE) 2020/1828"/>
    <w:docVar w:name="LW_TYPE.DOC.CP" w:val="DYREKTYWA PARLAMENTU EUROPEJSKIEGO I RADY"/>
    <w:docVar w:name="LwApiVersions" w:val="LW4CoDe 1.23.2.0; LW 8.0, Build 20211117"/>
  </w:docVars>
  <w:rsids>
    <w:rsidRoot w:val="00FA250B"/>
    <w:rsid w:val="000062E1"/>
    <w:rsid w:val="000067BE"/>
    <w:rsid w:val="00007FCB"/>
    <w:rsid w:val="00010EBE"/>
    <w:rsid w:val="000115E9"/>
    <w:rsid w:val="000138F0"/>
    <w:rsid w:val="00017F68"/>
    <w:rsid w:val="0002120B"/>
    <w:rsid w:val="000256CC"/>
    <w:rsid w:val="0002739E"/>
    <w:rsid w:val="00035ABA"/>
    <w:rsid w:val="0004115F"/>
    <w:rsid w:val="000419D5"/>
    <w:rsid w:val="00047944"/>
    <w:rsid w:val="00047B0D"/>
    <w:rsid w:val="000505DD"/>
    <w:rsid w:val="00050CC6"/>
    <w:rsid w:val="00051477"/>
    <w:rsid w:val="000525EF"/>
    <w:rsid w:val="000531C6"/>
    <w:rsid w:val="00060142"/>
    <w:rsid w:val="00061B86"/>
    <w:rsid w:val="000655DB"/>
    <w:rsid w:val="00071C44"/>
    <w:rsid w:val="000758BB"/>
    <w:rsid w:val="00076131"/>
    <w:rsid w:val="00080AF8"/>
    <w:rsid w:val="00083499"/>
    <w:rsid w:val="00084612"/>
    <w:rsid w:val="00087720"/>
    <w:rsid w:val="000A1AC8"/>
    <w:rsid w:val="000A6D66"/>
    <w:rsid w:val="000B715A"/>
    <w:rsid w:val="000D1060"/>
    <w:rsid w:val="000D4522"/>
    <w:rsid w:val="000D6431"/>
    <w:rsid w:val="000E2552"/>
    <w:rsid w:val="000E4C4B"/>
    <w:rsid w:val="000E5641"/>
    <w:rsid w:val="000F03A6"/>
    <w:rsid w:val="000F3801"/>
    <w:rsid w:val="001065F5"/>
    <w:rsid w:val="001078EE"/>
    <w:rsid w:val="00110991"/>
    <w:rsid w:val="00111A58"/>
    <w:rsid w:val="001176A2"/>
    <w:rsid w:val="001213F0"/>
    <w:rsid w:val="001238EF"/>
    <w:rsid w:val="0013371C"/>
    <w:rsid w:val="0013390F"/>
    <w:rsid w:val="001406A4"/>
    <w:rsid w:val="001454EE"/>
    <w:rsid w:val="00146739"/>
    <w:rsid w:val="001549E3"/>
    <w:rsid w:val="00157EC3"/>
    <w:rsid w:val="00172474"/>
    <w:rsid w:val="001807E1"/>
    <w:rsid w:val="001820A3"/>
    <w:rsid w:val="001839C3"/>
    <w:rsid w:val="00192E50"/>
    <w:rsid w:val="00194E48"/>
    <w:rsid w:val="00197613"/>
    <w:rsid w:val="001A4296"/>
    <w:rsid w:val="001A58AF"/>
    <w:rsid w:val="001A796C"/>
    <w:rsid w:val="001B14F8"/>
    <w:rsid w:val="001C08E5"/>
    <w:rsid w:val="001C3FF3"/>
    <w:rsid w:val="001C4EB9"/>
    <w:rsid w:val="001D0D10"/>
    <w:rsid w:val="001D2A98"/>
    <w:rsid w:val="001E5C8E"/>
    <w:rsid w:val="001E637A"/>
    <w:rsid w:val="001F0999"/>
    <w:rsid w:val="00204CF6"/>
    <w:rsid w:val="00206D3B"/>
    <w:rsid w:val="00213145"/>
    <w:rsid w:val="00213D04"/>
    <w:rsid w:val="002206AB"/>
    <w:rsid w:val="00224817"/>
    <w:rsid w:val="00226959"/>
    <w:rsid w:val="0022706A"/>
    <w:rsid w:val="0023378A"/>
    <w:rsid w:val="00233DC7"/>
    <w:rsid w:val="002363F6"/>
    <w:rsid w:val="00242458"/>
    <w:rsid w:val="00245E6C"/>
    <w:rsid w:val="0024758E"/>
    <w:rsid w:val="00247779"/>
    <w:rsid w:val="0025085C"/>
    <w:rsid w:val="00256B99"/>
    <w:rsid w:val="00260725"/>
    <w:rsid w:val="00262B47"/>
    <w:rsid w:val="00276544"/>
    <w:rsid w:val="00276CAD"/>
    <w:rsid w:val="002803AA"/>
    <w:rsid w:val="00285BEE"/>
    <w:rsid w:val="0028643B"/>
    <w:rsid w:val="00291326"/>
    <w:rsid w:val="002913F2"/>
    <w:rsid w:val="0029533F"/>
    <w:rsid w:val="002A32F7"/>
    <w:rsid w:val="002A7F44"/>
    <w:rsid w:val="002B2036"/>
    <w:rsid w:val="002B30AF"/>
    <w:rsid w:val="002B5F52"/>
    <w:rsid w:val="002C4C39"/>
    <w:rsid w:val="002C7D09"/>
    <w:rsid w:val="002D09C3"/>
    <w:rsid w:val="002D0E72"/>
    <w:rsid w:val="002E1D2B"/>
    <w:rsid w:val="002E50EB"/>
    <w:rsid w:val="002E599A"/>
    <w:rsid w:val="002F130E"/>
    <w:rsid w:val="002F45E9"/>
    <w:rsid w:val="002F73C8"/>
    <w:rsid w:val="00302B30"/>
    <w:rsid w:val="0031008F"/>
    <w:rsid w:val="00313131"/>
    <w:rsid w:val="00316106"/>
    <w:rsid w:val="003174A0"/>
    <w:rsid w:val="003174C1"/>
    <w:rsid w:val="00324B02"/>
    <w:rsid w:val="003276E0"/>
    <w:rsid w:val="00330223"/>
    <w:rsid w:val="00330CBD"/>
    <w:rsid w:val="00331046"/>
    <w:rsid w:val="0033344A"/>
    <w:rsid w:val="0034240D"/>
    <w:rsid w:val="0034517D"/>
    <w:rsid w:val="0034569A"/>
    <w:rsid w:val="00352BF5"/>
    <w:rsid w:val="0035509A"/>
    <w:rsid w:val="00363FFD"/>
    <w:rsid w:val="00367685"/>
    <w:rsid w:val="00367C00"/>
    <w:rsid w:val="00373B9D"/>
    <w:rsid w:val="00375456"/>
    <w:rsid w:val="0037558B"/>
    <w:rsid w:val="00383064"/>
    <w:rsid w:val="003831AC"/>
    <w:rsid w:val="003847AF"/>
    <w:rsid w:val="00391EE6"/>
    <w:rsid w:val="00391F98"/>
    <w:rsid w:val="00393267"/>
    <w:rsid w:val="00395475"/>
    <w:rsid w:val="00395B1E"/>
    <w:rsid w:val="00396360"/>
    <w:rsid w:val="0039680E"/>
    <w:rsid w:val="003A01D1"/>
    <w:rsid w:val="003B004B"/>
    <w:rsid w:val="003B6815"/>
    <w:rsid w:val="003C24F9"/>
    <w:rsid w:val="003C26D2"/>
    <w:rsid w:val="003D246A"/>
    <w:rsid w:val="003E46A0"/>
    <w:rsid w:val="003E4C65"/>
    <w:rsid w:val="003F0546"/>
    <w:rsid w:val="003F12A2"/>
    <w:rsid w:val="004044BA"/>
    <w:rsid w:val="00410560"/>
    <w:rsid w:val="00411638"/>
    <w:rsid w:val="004146B9"/>
    <w:rsid w:val="00420E9C"/>
    <w:rsid w:val="0042648E"/>
    <w:rsid w:val="00426D41"/>
    <w:rsid w:val="00430ACA"/>
    <w:rsid w:val="0043288D"/>
    <w:rsid w:val="004408CD"/>
    <w:rsid w:val="00441373"/>
    <w:rsid w:val="00457634"/>
    <w:rsid w:val="00474DFA"/>
    <w:rsid w:val="0047633D"/>
    <w:rsid w:val="00480FA9"/>
    <w:rsid w:val="0049086F"/>
    <w:rsid w:val="0049312C"/>
    <w:rsid w:val="004936D2"/>
    <w:rsid w:val="00495783"/>
    <w:rsid w:val="004B0417"/>
    <w:rsid w:val="004B064D"/>
    <w:rsid w:val="004B52FD"/>
    <w:rsid w:val="004B7213"/>
    <w:rsid w:val="004C0DA3"/>
    <w:rsid w:val="004C1F24"/>
    <w:rsid w:val="004C4B83"/>
    <w:rsid w:val="004C5927"/>
    <w:rsid w:val="004C62DB"/>
    <w:rsid w:val="004C7ED0"/>
    <w:rsid w:val="004D52ED"/>
    <w:rsid w:val="004D61CE"/>
    <w:rsid w:val="004E3698"/>
    <w:rsid w:val="004E3A78"/>
    <w:rsid w:val="004E3C00"/>
    <w:rsid w:val="004E4519"/>
    <w:rsid w:val="004E6E4C"/>
    <w:rsid w:val="004F7943"/>
    <w:rsid w:val="00500E62"/>
    <w:rsid w:val="0050418D"/>
    <w:rsid w:val="00510D39"/>
    <w:rsid w:val="00511CD3"/>
    <w:rsid w:val="00513305"/>
    <w:rsid w:val="005155EC"/>
    <w:rsid w:val="00516406"/>
    <w:rsid w:val="00516DB7"/>
    <w:rsid w:val="0052225A"/>
    <w:rsid w:val="00527829"/>
    <w:rsid w:val="005455AF"/>
    <w:rsid w:val="00555EDD"/>
    <w:rsid w:val="00556CC4"/>
    <w:rsid w:val="00561C56"/>
    <w:rsid w:val="00567E99"/>
    <w:rsid w:val="005724F0"/>
    <w:rsid w:val="005776D6"/>
    <w:rsid w:val="00582611"/>
    <w:rsid w:val="0058273D"/>
    <w:rsid w:val="00584B16"/>
    <w:rsid w:val="00585BC0"/>
    <w:rsid w:val="005922D0"/>
    <w:rsid w:val="005A1084"/>
    <w:rsid w:val="005A3F0F"/>
    <w:rsid w:val="005A4D9E"/>
    <w:rsid w:val="005A6768"/>
    <w:rsid w:val="005B1CBF"/>
    <w:rsid w:val="005B1EB6"/>
    <w:rsid w:val="005B374C"/>
    <w:rsid w:val="005B47BE"/>
    <w:rsid w:val="005C367C"/>
    <w:rsid w:val="005C6A2F"/>
    <w:rsid w:val="005E1247"/>
    <w:rsid w:val="005E6CDB"/>
    <w:rsid w:val="005F67AA"/>
    <w:rsid w:val="00605825"/>
    <w:rsid w:val="00606A5E"/>
    <w:rsid w:val="006145CD"/>
    <w:rsid w:val="00615CDC"/>
    <w:rsid w:val="00616F93"/>
    <w:rsid w:val="00621D06"/>
    <w:rsid w:val="00621D62"/>
    <w:rsid w:val="00622516"/>
    <w:rsid w:val="00625411"/>
    <w:rsid w:val="00636D2C"/>
    <w:rsid w:val="00647E11"/>
    <w:rsid w:val="00651E50"/>
    <w:rsid w:val="00655EE6"/>
    <w:rsid w:val="0066139C"/>
    <w:rsid w:val="00665697"/>
    <w:rsid w:val="00677BA2"/>
    <w:rsid w:val="00677DAA"/>
    <w:rsid w:val="0068179B"/>
    <w:rsid w:val="0069676D"/>
    <w:rsid w:val="006A7327"/>
    <w:rsid w:val="006B69FB"/>
    <w:rsid w:val="006B7016"/>
    <w:rsid w:val="006C00E4"/>
    <w:rsid w:val="006C2786"/>
    <w:rsid w:val="006C2CC4"/>
    <w:rsid w:val="006D002D"/>
    <w:rsid w:val="006D1802"/>
    <w:rsid w:val="006D6161"/>
    <w:rsid w:val="006E17ED"/>
    <w:rsid w:val="006E331A"/>
    <w:rsid w:val="006E6232"/>
    <w:rsid w:val="006F22BF"/>
    <w:rsid w:val="006F3F52"/>
    <w:rsid w:val="00705065"/>
    <w:rsid w:val="007171C1"/>
    <w:rsid w:val="00721CB9"/>
    <w:rsid w:val="007313C5"/>
    <w:rsid w:val="007402D5"/>
    <w:rsid w:val="00745F2E"/>
    <w:rsid w:val="00762271"/>
    <w:rsid w:val="007622D9"/>
    <w:rsid w:val="00773331"/>
    <w:rsid w:val="00777A2E"/>
    <w:rsid w:val="00781E56"/>
    <w:rsid w:val="00781E6D"/>
    <w:rsid w:val="007871F1"/>
    <w:rsid w:val="007932EF"/>
    <w:rsid w:val="007A02BC"/>
    <w:rsid w:val="007A31C9"/>
    <w:rsid w:val="007A4B0F"/>
    <w:rsid w:val="007B4AFE"/>
    <w:rsid w:val="007B5E1C"/>
    <w:rsid w:val="007E011A"/>
    <w:rsid w:val="007E05B0"/>
    <w:rsid w:val="007E3D7F"/>
    <w:rsid w:val="007E4E11"/>
    <w:rsid w:val="0080224A"/>
    <w:rsid w:val="00803B48"/>
    <w:rsid w:val="00824FE6"/>
    <w:rsid w:val="00826774"/>
    <w:rsid w:val="00827A95"/>
    <w:rsid w:val="00830C7C"/>
    <w:rsid w:val="0083273C"/>
    <w:rsid w:val="0083514E"/>
    <w:rsid w:val="00846D6D"/>
    <w:rsid w:val="00855399"/>
    <w:rsid w:val="00860EE5"/>
    <w:rsid w:val="00863FCB"/>
    <w:rsid w:val="008649C7"/>
    <w:rsid w:val="00864CE9"/>
    <w:rsid w:val="00874D22"/>
    <w:rsid w:val="0087515C"/>
    <w:rsid w:val="0087540B"/>
    <w:rsid w:val="008845F7"/>
    <w:rsid w:val="00884F4F"/>
    <w:rsid w:val="00886100"/>
    <w:rsid w:val="008879EF"/>
    <w:rsid w:val="00890326"/>
    <w:rsid w:val="008964A1"/>
    <w:rsid w:val="00896A59"/>
    <w:rsid w:val="008A01AB"/>
    <w:rsid w:val="008A2914"/>
    <w:rsid w:val="008A496D"/>
    <w:rsid w:val="008A72E7"/>
    <w:rsid w:val="008A7475"/>
    <w:rsid w:val="008B380F"/>
    <w:rsid w:val="008B7453"/>
    <w:rsid w:val="008C776D"/>
    <w:rsid w:val="008D6571"/>
    <w:rsid w:val="008D6A4C"/>
    <w:rsid w:val="008D7701"/>
    <w:rsid w:val="008E4D8E"/>
    <w:rsid w:val="008E7D64"/>
    <w:rsid w:val="008F0CE6"/>
    <w:rsid w:val="008F1D58"/>
    <w:rsid w:val="008F74AA"/>
    <w:rsid w:val="009024F2"/>
    <w:rsid w:val="009143BC"/>
    <w:rsid w:val="00914A99"/>
    <w:rsid w:val="00916CE8"/>
    <w:rsid w:val="00924672"/>
    <w:rsid w:val="00924F28"/>
    <w:rsid w:val="009318AE"/>
    <w:rsid w:val="00942C4F"/>
    <w:rsid w:val="00943029"/>
    <w:rsid w:val="00955FA7"/>
    <w:rsid w:val="00962A31"/>
    <w:rsid w:val="00962DEB"/>
    <w:rsid w:val="0096459D"/>
    <w:rsid w:val="00965D97"/>
    <w:rsid w:val="00966F57"/>
    <w:rsid w:val="00974324"/>
    <w:rsid w:val="009753A5"/>
    <w:rsid w:val="00990644"/>
    <w:rsid w:val="00991C2A"/>
    <w:rsid w:val="00992214"/>
    <w:rsid w:val="009A38B2"/>
    <w:rsid w:val="009A54EA"/>
    <w:rsid w:val="009A5678"/>
    <w:rsid w:val="009A5EB7"/>
    <w:rsid w:val="009A6DC5"/>
    <w:rsid w:val="009A7872"/>
    <w:rsid w:val="009B6A46"/>
    <w:rsid w:val="009C0BF2"/>
    <w:rsid w:val="009D1446"/>
    <w:rsid w:val="009E4BAF"/>
    <w:rsid w:val="009E50BA"/>
    <w:rsid w:val="009E6D48"/>
    <w:rsid w:val="009F01D7"/>
    <w:rsid w:val="009F0738"/>
    <w:rsid w:val="009F0EA0"/>
    <w:rsid w:val="009F2DB9"/>
    <w:rsid w:val="009F7C52"/>
    <w:rsid w:val="00A00968"/>
    <w:rsid w:val="00A06988"/>
    <w:rsid w:val="00A100CA"/>
    <w:rsid w:val="00A16204"/>
    <w:rsid w:val="00A16DC4"/>
    <w:rsid w:val="00A26199"/>
    <w:rsid w:val="00A26ED2"/>
    <w:rsid w:val="00A27EAE"/>
    <w:rsid w:val="00A41227"/>
    <w:rsid w:val="00A436F3"/>
    <w:rsid w:val="00A43FE0"/>
    <w:rsid w:val="00A4423A"/>
    <w:rsid w:val="00A461FD"/>
    <w:rsid w:val="00A51C0D"/>
    <w:rsid w:val="00A5641F"/>
    <w:rsid w:val="00A57B09"/>
    <w:rsid w:val="00A62FC2"/>
    <w:rsid w:val="00A70563"/>
    <w:rsid w:val="00A84246"/>
    <w:rsid w:val="00A85261"/>
    <w:rsid w:val="00A8623B"/>
    <w:rsid w:val="00A90C4D"/>
    <w:rsid w:val="00A92D43"/>
    <w:rsid w:val="00AA05E4"/>
    <w:rsid w:val="00AA0893"/>
    <w:rsid w:val="00AA1915"/>
    <w:rsid w:val="00AB5EA4"/>
    <w:rsid w:val="00AC30C4"/>
    <w:rsid w:val="00AC5545"/>
    <w:rsid w:val="00AD2C76"/>
    <w:rsid w:val="00AD2FF0"/>
    <w:rsid w:val="00AD308C"/>
    <w:rsid w:val="00AE7440"/>
    <w:rsid w:val="00AF1370"/>
    <w:rsid w:val="00AF2E1B"/>
    <w:rsid w:val="00AF4156"/>
    <w:rsid w:val="00AF5F26"/>
    <w:rsid w:val="00B0218E"/>
    <w:rsid w:val="00B10A5C"/>
    <w:rsid w:val="00B119FC"/>
    <w:rsid w:val="00B16EE4"/>
    <w:rsid w:val="00B17D49"/>
    <w:rsid w:val="00B31810"/>
    <w:rsid w:val="00B32D91"/>
    <w:rsid w:val="00B345D0"/>
    <w:rsid w:val="00B351DF"/>
    <w:rsid w:val="00B35EC9"/>
    <w:rsid w:val="00B41B19"/>
    <w:rsid w:val="00B4277B"/>
    <w:rsid w:val="00B43B98"/>
    <w:rsid w:val="00B619AB"/>
    <w:rsid w:val="00B63322"/>
    <w:rsid w:val="00B64925"/>
    <w:rsid w:val="00B73D99"/>
    <w:rsid w:val="00B74EBB"/>
    <w:rsid w:val="00B81A82"/>
    <w:rsid w:val="00B857F9"/>
    <w:rsid w:val="00B87768"/>
    <w:rsid w:val="00B92B10"/>
    <w:rsid w:val="00B92BC4"/>
    <w:rsid w:val="00B94D02"/>
    <w:rsid w:val="00B96895"/>
    <w:rsid w:val="00BA2BA9"/>
    <w:rsid w:val="00BA345A"/>
    <w:rsid w:val="00BA3F0E"/>
    <w:rsid w:val="00BA59D3"/>
    <w:rsid w:val="00BA72CF"/>
    <w:rsid w:val="00BB0D27"/>
    <w:rsid w:val="00BB51E7"/>
    <w:rsid w:val="00BB5686"/>
    <w:rsid w:val="00BC6110"/>
    <w:rsid w:val="00BD3027"/>
    <w:rsid w:val="00BD402F"/>
    <w:rsid w:val="00BD4757"/>
    <w:rsid w:val="00BE2E64"/>
    <w:rsid w:val="00BE43B7"/>
    <w:rsid w:val="00C01A54"/>
    <w:rsid w:val="00C06336"/>
    <w:rsid w:val="00C07A6F"/>
    <w:rsid w:val="00C12301"/>
    <w:rsid w:val="00C13FB7"/>
    <w:rsid w:val="00C17214"/>
    <w:rsid w:val="00C17355"/>
    <w:rsid w:val="00C20083"/>
    <w:rsid w:val="00C21564"/>
    <w:rsid w:val="00C22226"/>
    <w:rsid w:val="00C27219"/>
    <w:rsid w:val="00C4138A"/>
    <w:rsid w:val="00C417E9"/>
    <w:rsid w:val="00C44969"/>
    <w:rsid w:val="00C52888"/>
    <w:rsid w:val="00C6305B"/>
    <w:rsid w:val="00C74D12"/>
    <w:rsid w:val="00C75B9E"/>
    <w:rsid w:val="00C77D9E"/>
    <w:rsid w:val="00C867D5"/>
    <w:rsid w:val="00C86D96"/>
    <w:rsid w:val="00C928C8"/>
    <w:rsid w:val="00C92C45"/>
    <w:rsid w:val="00C966D1"/>
    <w:rsid w:val="00CA048B"/>
    <w:rsid w:val="00CA0493"/>
    <w:rsid w:val="00CA1137"/>
    <w:rsid w:val="00CA5268"/>
    <w:rsid w:val="00CB3160"/>
    <w:rsid w:val="00CB6DB4"/>
    <w:rsid w:val="00CC081D"/>
    <w:rsid w:val="00CC45A4"/>
    <w:rsid w:val="00CD6158"/>
    <w:rsid w:val="00CD666A"/>
    <w:rsid w:val="00CF6C17"/>
    <w:rsid w:val="00D001F9"/>
    <w:rsid w:val="00D01815"/>
    <w:rsid w:val="00D01D9C"/>
    <w:rsid w:val="00D04E13"/>
    <w:rsid w:val="00D11686"/>
    <w:rsid w:val="00D13111"/>
    <w:rsid w:val="00D20381"/>
    <w:rsid w:val="00D301A8"/>
    <w:rsid w:val="00D35B58"/>
    <w:rsid w:val="00D4038D"/>
    <w:rsid w:val="00D41194"/>
    <w:rsid w:val="00D41FDE"/>
    <w:rsid w:val="00D45538"/>
    <w:rsid w:val="00D53C10"/>
    <w:rsid w:val="00D60240"/>
    <w:rsid w:val="00D60965"/>
    <w:rsid w:val="00D65ED1"/>
    <w:rsid w:val="00D6649F"/>
    <w:rsid w:val="00D6668D"/>
    <w:rsid w:val="00D73D11"/>
    <w:rsid w:val="00D76770"/>
    <w:rsid w:val="00D77F0B"/>
    <w:rsid w:val="00D81785"/>
    <w:rsid w:val="00D83277"/>
    <w:rsid w:val="00D83666"/>
    <w:rsid w:val="00D97F73"/>
    <w:rsid w:val="00DA7F6B"/>
    <w:rsid w:val="00DB238F"/>
    <w:rsid w:val="00DB3B86"/>
    <w:rsid w:val="00DB5CE2"/>
    <w:rsid w:val="00DB600B"/>
    <w:rsid w:val="00DD15AC"/>
    <w:rsid w:val="00DD20C6"/>
    <w:rsid w:val="00DE17A9"/>
    <w:rsid w:val="00DE248E"/>
    <w:rsid w:val="00DF0A0C"/>
    <w:rsid w:val="00E02FB1"/>
    <w:rsid w:val="00E03A12"/>
    <w:rsid w:val="00E1427D"/>
    <w:rsid w:val="00E171C0"/>
    <w:rsid w:val="00E20452"/>
    <w:rsid w:val="00E23E5E"/>
    <w:rsid w:val="00E32473"/>
    <w:rsid w:val="00E42EA8"/>
    <w:rsid w:val="00E43B33"/>
    <w:rsid w:val="00E517BB"/>
    <w:rsid w:val="00E552C2"/>
    <w:rsid w:val="00E57D5F"/>
    <w:rsid w:val="00E57E26"/>
    <w:rsid w:val="00E60C84"/>
    <w:rsid w:val="00E6292A"/>
    <w:rsid w:val="00E8128E"/>
    <w:rsid w:val="00EA0862"/>
    <w:rsid w:val="00EA15F9"/>
    <w:rsid w:val="00EA6F6D"/>
    <w:rsid w:val="00EC6A8E"/>
    <w:rsid w:val="00ED28CA"/>
    <w:rsid w:val="00ED3509"/>
    <w:rsid w:val="00ED3B3F"/>
    <w:rsid w:val="00EF11E4"/>
    <w:rsid w:val="00EF13E2"/>
    <w:rsid w:val="00EF7386"/>
    <w:rsid w:val="00F03610"/>
    <w:rsid w:val="00F05C20"/>
    <w:rsid w:val="00F06FD4"/>
    <w:rsid w:val="00F10041"/>
    <w:rsid w:val="00F14DB7"/>
    <w:rsid w:val="00F158D5"/>
    <w:rsid w:val="00F1677B"/>
    <w:rsid w:val="00F2166F"/>
    <w:rsid w:val="00F30C23"/>
    <w:rsid w:val="00F51D5D"/>
    <w:rsid w:val="00F52256"/>
    <w:rsid w:val="00F5352F"/>
    <w:rsid w:val="00F65B46"/>
    <w:rsid w:val="00F66E2E"/>
    <w:rsid w:val="00F7220F"/>
    <w:rsid w:val="00F733C8"/>
    <w:rsid w:val="00F7773D"/>
    <w:rsid w:val="00F819EB"/>
    <w:rsid w:val="00F8208E"/>
    <w:rsid w:val="00F83F1F"/>
    <w:rsid w:val="00F8604A"/>
    <w:rsid w:val="00F905DD"/>
    <w:rsid w:val="00F94503"/>
    <w:rsid w:val="00FA02CE"/>
    <w:rsid w:val="00FA208B"/>
    <w:rsid w:val="00FA250B"/>
    <w:rsid w:val="00FB071D"/>
    <w:rsid w:val="00FB07B5"/>
    <w:rsid w:val="00FB5025"/>
    <w:rsid w:val="00FB68FF"/>
    <w:rsid w:val="00FC07F1"/>
    <w:rsid w:val="00FC2128"/>
    <w:rsid w:val="00FC38F8"/>
    <w:rsid w:val="00FD2364"/>
    <w:rsid w:val="00FD7FC1"/>
    <w:rsid w:val="00FE2576"/>
    <w:rsid w:val="00FE45DC"/>
    <w:rsid w:val="00FE4672"/>
    <w:rsid w:val="00FE49E2"/>
    <w:rsid w:val="00FE4C3D"/>
    <w:rsid w:val="00FE6B6B"/>
    <w:rsid w:val="00FF13A6"/>
    <w:rsid w:val="00FF32EE"/>
    <w:rsid w:val="00FF4185"/>
    <w:rsid w:val="00FF5079"/>
    <w:rsid w:val="02032184"/>
    <w:rsid w:val="07F69C7E"/>
    <w:rsid w:val="11E36A5E"/>
    <w:rsid w:val="14B97BFD"/>
    <w:rsid w:val="20F8F8F6"/>
    <w:rsid w:val="234A5EE3"/>
    <w:rsid w:val="24E45D7C"/>
    <w:rsid w:val="27E5893A"/>
    <w:rsid w:val="2BDA5B18"/>
    <w:rsid w:val="2E721E3D"/>
    <w:rsid w:val="2EC650ED"/>
    <w:rsid w:val="3060A0FC"/>
    <w:rsid w:val="31810677"/>
    <w:rsid w:val="330ADCFF"/>
    <w:rsid w:val="3724FA4A"/>
    <w:rsid w:val="3C8B2FAB"/>
    <w:rsid w:val="3CFB2F64"/>
    <w:rsid w:val="3F737094"/>
    <w:rsid w:val="40B2B433"/>
    <w:rsid w:val="43BDF111"/>
    <w:rsid w:val="4901A583"/>
    <w:rsid w:val="4AB429F0"/>
    <w:rsid w:val="51CB660C"/>
    <w:rsid w:val="52DF1922"/>
    <w:rsid w:val="5351D65E"/>
    <w:rsid w:val="55DD67BF"/>
    <w:rsid w:val="5680DA1D"/>
    <w:rsid w:val="58F14024"/>
    <w:rsid w:val="5D4CC118"/>
    <w:rsid w:val="60785973"/>
    <w:rsid w:val="621429D4"/>
    <w:rsid w:val="64CFF061"/>
    <w:rsid w:val="65BCC2E8"/>
    <w:rsid w:val="65EDF8CB"/>
    <w:rsid w:val="6AC496EB"/>
    <w:rsid w:val="6C46F236"/>
    <w:rsid w:val="70058B7E"/>
    <w:rsid w:val="7721693B"/>
    <w:rsid w:val="793061B9"/>
    <w:rsid w:val="7C972B0C"/>
    <w:rsid w:val="7F2C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A250B"/>
    <w:rPr>
      <w:color w:val="0000FF"/>
      <w:u w:val="single"/>
      <w:shd w:val="clear" w:color="auto" w:fill="auto"/>
    </w:rPr>
  </w:style>
  <w:style w:type="paragraph" w:styleId="NormalWeb">
    <w:name w:val="Normal (Web)"/>
    <w:basedOn w:val="Normal"/>
    <w:uiPriority w:val="99"/>
    <w:unhideWhenUsed/>
    <w:rsid w:val="00D83277"/>
    <w:pPr>
      <w:spacing w:before="100" w:beforeAutospacing="1" w:after="100" w:afterAutospacing="1"/>
      <w:jc w:val="left"/>
    </w:pPr>
    <w:rPr>
      <w:rFonts w:eastAsia="Times New Roman"/>
      <w:szCs w:val="24"/>
      <w:lang w:eastAsia="en-IE"/>
    </w:rPr>
  </w:style>
  <w:style w:type="paragraph" w:styleId="ListParagraph">
    <w:name w:val="List Paragraph"/>
    <w:basedOn w:val="Normal"/>
    <w:uiPriority w:val="34"/>
    <w:qFormat/>
    <w:rsid w:val="00D83277"/>
    <w:pPr>
      <w:spacing w:before="0" w:after="160" w:line="259" w:lineRule="auto"/>
      <w:ind w:left="720"/>
      <w:contextualSpacing/>
      <w:jc w:val="left"/>
    </w:pPr>
    <w:rPr>
      <w:rFonts w:asciiTheme="minorHAnsi" w:hAnsiTheme="minorHAnsi" w:cstheme="minorBidi"/>
      <w:sz w:val="22"/>
    </w:rPr>
  </w:style>
  <w:style w:type="paragraph" w:customStyle="1" w:styleId="title-bold">
    <w:name w:val="title-bold"/>
    <w:basedOn w:val="Normal"/>
    <w:rsid w:val="00D83277"/>
    <w:pPr>
      <w:spacing w:before="100" w:beforeAutospacing="1" w:after="100" w:afterAutospacing="1"/>
      <w:jc w:val="left"/>
    </w:pPr>
    <w:rPr>
      <w:rFonts w:eastAsia="Times New Roman"/>
      <w:szCs w:val="24"/>
      <w:lang w:eastAsia="en-IE"/>
    </w:rPr>
  </w:style>
  <w:style w:type="paragraph" w:styleId="ListBullet">
    <w:name w:val="List Bullet"/>
    <w:basedOn w:val="Normal"/>
    <w:uiPriority w:val="99"/>
    <w:semiHidden/>
    <w:unhideWhenUsed/>
    <w:rsid w:val="00FE4C3D"/>
    <w:pPr>
      <w:numPr>
        <w:numId w:val="1"/>
      </w:numPr>
      <w:contextualSpacing/>
    </w:pPr>
  </w:style>
  <w:style w:type="paragraph" w:styleId="ListBullet2">
    <w:name w:val="List Bullet 2"/>
    <w:basedOn w:val="Normal"/>
    <w:uiPriority w:val="99"/>
    <w:semiHidden/>
    <w:unhideWhenUsed/>
    <w:rsid w:val="00FE4C3D"/>
    <w:pPr>
      <w:numPr>
        <w:numId w:val="2"/>
      </w:numPr>
      <w:contextualSpacing/>
    </w:pPr>
  </w:style>
  <w:style w:type="paragraph" w:styleId="ListBullet3">
    <w:name w:val="List Bullet 3"/>
    <w:basedOn w:val="Normal"/>
    <w:uiPriority w:val="99"/>
    <w:semiHidden/>
    <w:unhideWhenUsed/>
    <w:rsid w:val="00FE4C3D"/>
    <w:pPr>
      <w:numPr>
        <w:numId w:val="3"/>
      </w:numPr>
      <w:contextualSpacing/>
    </w:pPr>
  </w:style>
  <w:style w:type="paragraph" w:styleId="ListBullet4">
    <w:name w:val="List Bullet 4"/>
    <w:basedOn w:val="Normal"/>
    <w:uiPriority w:val="99"/>
    <w:semiHidden/>
    <w:unhideWhenUsed/>
    <w:rsid w:val="00FE4C3D"/>
    <w:pPr>
      <w:numPr>
        <w:numId w:val="4"/>
      </w:numPr>
      <w:contextualSpacing/>
    </w:pPr>
  </w:style>
  <w:style w:type="paragraph" w:customStyle="1" w:styleId="Destinataire">
    <w:name w:val="Destinataire"/>
    <w:basedOn w:val="Normal"/>
    <w:rsid w:val="001176A2"/>
    <w:pPr>
      <w:keepNext/>
      <w:keepLines/>
    </w:pPr>
  </w:style>
  <w:style w:type="paragraph" w:styleId="Caption">
    <w:name w:val="caption"/>
    <w:basedOn w:val="Normal"/>
    <w:next w:val="Normal"/>
    <w:uiPriority w:val="35"/>
    <w:semiHidden/>
    <w:unhideWhenUsed/>
    <w:qFormat/>
    <w:rsid w:val="009F0738"/>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9F0738"/>
    <w:pPr>
      <w:spacing w:after="0"/>
    </w:pPr>
  </w:style>
  <w:style w:type="paragraph" w:styleId="ListNumber">
    <w:name w:val="List Number"/>
    <w:basedOn w:val="Normal"/>
    <w:uiPriority w:val="99"/>
    <w:semiHidden/>
    <w:unhideWhenUsed/>
    <w:rsid w:val="009F0738"/>
    <w:pPr>
      <w:numPr>
        <w:numId w:val="6"/>
      </w:numPr>
      <w:contextualSpacing/>
    </w:pPr>
  </w:style>
  <w:style w:type="paragraph" w:styleId="ListNumber2">
    <w:name w:val="List Number 2"/>
    <w:basedOn w:val="Normal"/>
    <w:uiPriority w:val="99"/>
    <w:semiHidden/>
    <w:unhideWhenUsed/>
    <w:rsid w:val="009F0738"/>
    <w:pPr>
      <w:numPr>
        <w:numId w:val="7"/>
      </w:numPr>
      <w:contextualSpacing/>
    </w:pPr>
  </w:style>
  <w:style w:type="paragraph" w:styleId="ListNumber3">
    <w:name w:val="List Number 3"/>
    <w:basedOn w:val="Normal"/>
    <w:uiPriority w:val="99"/>
    <w:semiHidden/>
    <w:unhideWhenUsed/>
    <w:rsid w:val="009F0738"/>
    <w:pPr>
      <w:numPr>
        <w:numId w:val="8"/>
      </w:numPr>
      <w:contextualSpacing/>
    </w:pPr>
  </w:style>
  <w:style w:type="paragraph" w:styleId="ListNumber4">
    <w:name w:val="List Number 4"/>
    <w:basedOn w:val="Normal"/>
    <w:uiPriority w:val="99"/>
    <w:semiHidden/>
    <w:unhideWhenUsed/>
    <w:rsid w:val="009F0738"/>
    <w:pPr>
      <w:numPr>
        <w:numId w:val="9"/>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26ED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ED2"/>
    <w:rPr>
      <w:rFonts w:ascii="Segoe UI" w:hAnsi="Segoe UI" w:cs="Segoe UI"/>
      <w:sz w:val="18"/>
      <w:szCs w:val="18"/>
      <w:lang w:val="pl-PL"/>
    </w:rPr>
  </w:style>
  <w:style w:type="character" w:styleId="FollowedHyperlink">
    <w:name w:val="FollowedHyperlink"/>
    <w:basedOn w:val="DefaultParagraphFont"/>
    <w:uiPriority w:val="99"/>
    <w:semiHidden/>
    <w:unhideWhenUsed/>
    <w:rsid w:val="00F733C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27A95"/>
    <w:rPr>
      <w:b/>
      <w:bCs/>
    </w:rPr>
  </w:style>
  <w:style w:type="character" w:customStyle="1" w:styleId="CommentSubjectChar">
    <w:name w:val="Comment Subject Char"/>
    <w:basedOn w:val="CommentTextChar"/>
    <w:link w:val="CommentSubject"/>
    <w:uiPriority w:val="99"/>
    <w:semiHidden/>
    <w:rsid w:val="00827A95"/>
    <w:rPr>
      <w:rFonts w:ascii="Times New Roman" w:hAnsi="Times New Roman" w:cs="Times New Roman"/>
      <w:b/>
      <w:bCs/>
      <w:sz w:val="20"/>
      <w:szCs w:val="20"/>
      <w:lang w:val="pl-PL"/>
    </w:rPr>
  </w:style>
  <w:style w:type="paragraph" w:customStyle="1" w:styleId="ManualP">
    <w:name w:val="Manual P"/>
    <w:basedOn w:val="ManualConsidrant"/>
    <w:rsid w:val="00992214"/>
    <w:rPr>
      <w:lang w:eastAsia="en-IE"/>
    </w:rPr>
  </w:style>
  <w:style w:type="paragraph" w:customStyle="1" w:styleId="Nor">
    <w:name w:val="Nor"/>
    <w:basedOn w:val="Normal"/>
    <w:rsid w:val="00992214"/>
    <w:pPr>
      <w:spacing w:before="100" w:beforeAutospacing="1" w:after="160" w:line="259" w:lineRule="auto"/>
      <w:jc w:val="left"/>
    </w:pPr>
    <w:rPr>
      <w:lang w:eastAsia="en-IE"/>
    </w:rPr>
  </w:style>
  <w:style w:type="paragraph" w:customStyle="1" w:styleId="ManualPara">
    <w:name w:val="Manual Para"/>
    <w:basedOn w:val="Nor"/>
    <w:rsid w:val="00992214"/>
  </w:style>
  <w:style w:type="paragraph" w:customStyle="1" w:styleId="ManualPar">
    <w:name w:val="Manual Par"/>
    <w:basedOn w:val="Normal"/>
    <w:rsid w:val="002913F2"/>
    <w:pPr>
      <w:spacing w:before="0" w:after="160" w:line="259" w:lineRule="auto"/>
      <w:jc w:val="left"/>
    </w:pPr>
    <w:rPr>
      <w:rFonts w:eastAsia="Times New Roman"/>
      <w:color w:val="000000"/>
      <w:sz w:val="27"/>
      <w:szCs w:val="27"/>
      <w:lang w:eastAsia="en-IE"/>
    </w:rPr>
  </w:style>
  <w:style w:type="paragraph" w:customStyle="1" w:styleId="paragraph">
    <w:name w:val="paragraph"/>
    <w:basedOn w:val="Normal"/>
    <w:rsid w:val="008D7701"/>
    <w:pPr>
      <w:spacing w:before="100" w:beforeAutospacing="1" w:after="100" w:afterAutospacing="1"/>
      <w:jc w:val="left"/>
    </w:pPr>
    <w:rPr>
      <w:rFonts w:eastAsia="Times New Roman"/>
      <w:szCs w:val="24"/>
      <w:lang w:eastAsia="fr-FR"/>
    </w:rPr>
  </w:style>
  <w:style w:type="character" w:customStyle="1" w:styleId="normaltextrun">
    <w:name w:val="normaltextrun"/>
    <w:basedOn w:val="DefaultParagraphFont"/>
    <w:rsid w:val="008D7701"/>
  </w:style>
  <w:style w:type="character" w:customStyle="1" w:styleId="eop">
    <w:name w:val="eop"/>
    <w:basedOn w:val="DefaultParagraphFont"/>
    <w:rsid w:val="008D7701"/>
  </w:style>
  <w:style w:type="paragraph" w:styleId="Revision">
    <w:name w:val="Revision"/>
    <w:hidden/>
    <w:uiPriority w:val="99"/>
    <w:semiHidden/>
    <w:rsid w:val="00EF7386"/>
    <w:pPr>
      <w:spacing w:after="0" w:line="240" w:lineRule="auto"/>
    </w:pPr>
    <w:rPr>
      <w:rFonts w:ascii="Times New Roman" w:hAnsi="Times New Roman" w:cs="Times New Roman"/>
      <w:sz w:val="24"/>
    </w:rPr>
  </w:style>
  <w:style w:type="character" w:customStyle="1" w:styleId="ui-provider">
    <w:name w:val="ui-provider"/>
    <w:basedOn w:val="DefaultParagraphFont"/>
    <w:rsid w:val="00FA02CE"/>
  </w:style>
  <w:style w:type="paragraph" w:customStyle="1" w:styleId="Normal1">
    <w:name w:val="Normal1"/>
    <w:basedOn w:val="Normal"/>
    <w:rsid w:val="004B7213"/>
    <w:pPr>
      <w:spacing w:before="100" w:beforeAutospacing="1" w:after="100" w:afterAutospacing="1"/>
      <w:jc w:val="left"/>
    </w:pPr>
    <w:rPr>
      <w:rFonts w:eastAsia="Times New Roman"/>
      <w:szCs w:val="24"/>
    </w:rPr>
  </w:style>
  <w:style w:type="paragraph" w:customStyle="1" w:styleId="Footnote">
    <w:name w:val="Footnote"/>
    <w:basedOn w:val="Normal1"/>
    <w:rsid w:val="000A1AC8"/>
    <w:pPr>
      <w:spacing w:before="120" w:beforeAutospacing="0" w:after="0" w:afterAutospacing="0"/>
    </w:pPr>
  </w:style>
  <w:style w:type="paragraph" w:customStyle="1" w:styleId="Footnotetext">
    <w:name w:val="Footnotetext"/>
    <w:basedOn w:val="Footnote"/>
    <w:rsid w:val="000A1AC8"/>
    <w:rPr>
      <w:rFonts w:eastAsiaTheme="minorHAnsi"/>
      <w:sz w:val="20"/>
      <w:szCs w:val="20"/>
    </w:rPr>
  </w:style>
  <w:style w:type="paragraph" w:styleId="FootnoteText0">
    <w:name w:val="footnote text"/>
    <w:basedOn w:val="Normal"/>
    <w:link w:val="FootnoteTextChar"/>
    <w:uiPriority w:val="99"/>
    <w:semiHidden/>
    <w:unhideWhenUsed/>
    <w:pPr>
      <w:spacing w:before="0" w:after="0"/>
      <w:ind w:left="720" w:hanging="720"/>
    </w:pPr>
    <w:rPr>
      <w:sz w:val="20"/>
      <w:szCs w:val="20"/>
    </w:rPr>
  </w:style>
  <w:style w:type="paragraph" w:styleId="Header">
    <w:name w:val="header"/>
    <w:basedOn w:val="Normal"/>
    <w:link w:val="HeaderChar"/>
    <w:uiPriority w:val="99"/>
    <w:unhideWhenUsed/>
    <w:rsid w:val="00B63322"/>
    <w:pPr>
      <w:tabs>
        <w:tab w:val="center" w:pos="4535"/>
        <w:tab w:val="right" w:pos="9071"/>
      </w:tabs>
      <w:spacing w:before="0"/>
    </w:pPr>
  </w:style>
  <w:style w:type="character" w:customStyle="1" w:styleId="HeaderChar">
    <w:name w:val="Header Char"/>
    <w:basedOn w:val="DefaultParagraphFont"/>
    <w:link w:val="Header"/>
    <w:uiPriority w:val="99"/>
    <w:rsid w:val="00B63322"/>
    <w:rPr>
      <w:rFonts w:ascii="Times New Roman" w:hAnsi="Times New Roman" w:cs="Times New Roman"/>
      <w:sz w:val="24"/>
      <w:lang w:val="pl-PL"/>
    </w:rPr>
  </w:style>
  <w:style w:type="paragraph" w:styleId="Footer">
    <w:name w:val="footer"/>
    <w:basedOn w:val="Normal"/>
    <w:link w:val="FooterChar"/>
    <w:uiPriority w:val="99"/>
    <w:unhideWhenUsed/>
    <w:rsid w:val="00B6332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63322"/>
    <w:rPr>
      <w:rFonts w:ascii="Times New Roman" w:hAnsi="Times New Roman" w:cs="Times New Roman"/>
      <w:sz w:val="24"/>
      <w:lang w:val="pl-PL"/>
    </w:rPr>
  </w:style>
  <w:style w:type="character" w:customStyle="1" w:styleId="FootnoteTextChar">
    <w:name w:val="Footnote Text Char"/>
    <w:basedOn w:val="DefaultParagraphFont"/>
    <w:link w:val="FootnoteText0"/>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l-P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l-P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l-P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l-P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l-P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B63322"/>
    <w:pPr>
      <w:tabs>
        <w:tab w:val="center" w:pos="7285"/>
        <w:tab w:val="right" w:pos="14003"/>
      </w:tabs>
      <w:spacing w:before="0"/>
    </w:pPr>
  </w:style>
  <w:style w:type="paragraph" w:customStyle="1" w:styleId="FooterLandscape">
    <w:name w:val="FooterLandscape"/>
    <w:basedOn w:val="Normal"/>
    <w:rsid w:val="00B6332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6332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63322"/>
    <w:pPr>
      <w:spacing w:before="0"/>
      <w:jc w:val="right"/>
    </w:pPr>
    <w:rPr>
      <w:sz w:val="28"/>
    </w:rPr>
  </w:style>
  <w:style w:type="paragraph" w:customStyle="1" w:styleId="FooterSensitivity">
    <w:name w:val="Footer Sensitivity"/>
    <w:basedOn w:val="Normal"/>
    <w:rsid w:val="00B6332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3847AF"/>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3979">
      <w:bodyDiv w:val="1"/>
      <w:marLeft w:val="0"/>
      <w:marRight w:val="0"/>
      <w:marTop w:val="0"/>
      <w:marBottom w:val="0"/>
      <w:divBdr>
        <w:top w:val="none" w:sz="0" w:space="0" w:color="auto"/>
        <w:left w:val="none" w:sz="0" w:space="0" w:color="auto"/>
        <w:bottom w:val="none" w:sz="0" w:space="0" w:color="auto"/>
        <w:right w:val="none" w:sz="0" w:space="0" w:color="auto"/>
      </w:divBdr>
      <w:divsChild>
        <w:div w:id="169368525">
          <w:marLeft w:val="0"/>
          <w:marRight w:val="0"/>
          <w:marTop w:val="0"/>
          <w:marBottom w:val="0"/>
          <w:divBdr>
            <w:top w:val="none" w:sz="0" w:space="0" w:color="auto"/>
            <w:left w:val="none" w:sz="0" w:space="0" w:color="auto"/>
            <w:bottom w:val="none" w:sz="0" w:space="0" w:color="auto"/>
            <w:right w:val="none" w:sz="0" w:space="0" w:color="auto"/>
          </w:divBdr>
        </w:div>
        <w:div w:id="1776242762">
          <w:marLeft w:val="0"/>
          <w:marRight w:val="0"/>
          <w:marTop w:val="0"/>
          <w:marBottom w:val="0"/>
          <w:divBdr>
            <w:top w:val="none" w:sz="0" w:space="0" w:color="auto"/>
            <w:left w:val="none" w:sz="0" w:space="0" w:color="auto"/>
            <w:bottom w:val="none" w:sz="0" w:space="0" w:color="auto"/>
            <w:right w:val="none" w:sz="0" w:space="0" w:color="auto"/>
          </w:divBdr>
        </w:div>
        <w:div w:id="1164589208">
          <w:marLeft w:val="0"/>
          <w:marRight w:val="0"/>
          <w:marTop w:val="0"/>
          <w:marBottom w:val="0"/>
          <w:divBdr>
            <w:top w:val="none" w:sz="0" w:space="0" w:color="auto"/>
            <w:left w:val="none" w:sz="0" w:space="0" w:color="auto"/>
            <w:bottom w:val="none" w:sz="0" w:space="0" w:color="auto"/>
            <w:right w:val="none" w:sz="0" w:space="0" w:color="auto"/>
          </w:divBdr>
        </w:div>
        <w:div w:id="1209143226">
          <w:marLeft w:val="0"/>
          <w:marRight w:val="0"/>
          <w:marTop w:val="0"/>
          <w:marBottom w:val="0"/>
          <w:divBdr>
            <w:top w:val="none" w:sz="0" w:space="0" w:color="auto"/>
            <w:left w:val="none" w:sz="0" w:space="0" w:color="auto"/>
            <w:bottom w:val="none" w:sz="0" w:space="0" w:color="auto"/>
            <w:right w:val="none" w:sz="0" w:space="0" w:color="auto"/>
          </w:divBdr>
        </w:div>
        <w:div w:id="1675302193">
          <w:marLeft w:val="0"/>
          <w:marRight w:val="0"/>
          <w:marTop w:val="0"/>
          <w:marBottom w:val="0"/>
          <w:divBdr>
            <w:top w:val="none" w:sz="0" w:space="0" w:color="auto"/>
            <w:left w:val="none" w:sz="0" w:space="0" w:color="auto"/>
            <w:bottom w:val="none" w:sz="0" w:space="0" w:color="auto"/>
            <w:right w:val="none" w:sz="0" w:space="0" w:color="auto"/>
          </w:divBdr>
        </w:div>
        <w:div w:id="2075348387">
          <w:marLeft w:val="0"/>
          <w:marRight w:val="0"/>
          <w:marTop w:val="0"/>
          <w:marBottom w:val="0"/>
          <w:divBdr>
            <w:top w:val="none" w:sz="0" w:space="0" w:color="auto"/>
            <w:left w:val="none" w:sz="0" w:space="0" w:color="auto"/>
            <w:bottom w:val="none" w:sz="0" w:space="0" w:color="auto"/>
            <w:right w:val="none" w:sz="0" w:space="0" w:color="auto"/>
          </w:divBdr>
        </w:div>
        <w:div w:id="25907569">
          <w:marLeft w:val="0"/>
          <w:marRight w:val="0"/>
          <w:marTop w:val="0"/>
          <w:marBottom w:val="0"/>
          <w:divBdr>
            <w:top w:val="none" w:sz="0" w:space="0" w:color="auto"/>
            <w:left w:val="none" w:sz="0" w:space="0" w:color="auto"/>
            <w:bottom w:val="none" w:sz="0" w:space="0" w:color="auto"/>
            <w:right w:val="none" w:sz="0" w:space="0" w:color="auto"/>
          </w:divBdr>
        </w:div>
      </w:divsChild>
    </w:div>
    <w:div w:id="192771994">
      <w:bodyDiv w:val="1"/>
      <w:marLeft w:val="0"/>
      <w:marRight w:val="0"/>
      <w:marTop w:val="0"/>
      <w:marBottom w:val="0"/>
      <w:divBdr>
        <w:top w:val="none" w:sz="0" w:space="0" w:color="auto"/>
        <w:left w:val="none" w:sz="0" w:space="0" w:color="auto"/>
        <w:bottom w:val="none" w:sz="0" w:space="0" w:color="auto"/>
        <w:right w:val="none" w:sz="0" w:space="0" w:color="auto"/>
      </w:divBdr>
    </w:div>
    <w:div w:id="572201140">
      <w:bodyDiv w:val="1"/>
      <w:marLeft w:val="0"/>
      <w:marRight w:val="0"/>
      <w:marTop w:val="0"/>
      <w:marBottom w:val="0"/>
      <w:divBdr>
        <w:top w:val="none" w:sz="0" w:space="0" w:color="auto"/>
        <w:left w:val="none" w:sz="0" w:space="0" w:color="auto"/>
        <w:bottom w:val="none" w:sz="0" w:space="0" w:color="auto"/>
        <w:right w:val="none" w:sz="0" w:space="0" w:color="auto"/>
      </w:divBdr>
    </w:div>
    <w:div w:id="602154959">
      <w:bodyDiv w:val="1"/>
      <w:marLeft w:val="0"/>
      <w:marRight w:val="0"/>
      <w:marTop w:val="0"/>
      <w:marBottom w:val="0"/>
      <w:divBdr>
        <w:top w:val="none" w:sz="0" w:space="0" w:color="auto"/>
        <w:left w:val="none" w:sz="0" w:space="0" w:color="auto"/>
        <w:bottom w:val="none" w:sz="0" w:space="0" w:color="auto"/>
        <w:right w:val="none" w:sz="0" w:space="0" w:color="auto"/>
      </w:divBdr>
    </w:div>
    <w:div w:id="720130563">
      <w:bodyDiv w:val="1"/>
      <w:marLeft w:val="0"/>
      <w:marRight w:val="0"/>
      <w:marTop w:val="0"/>
      <w:marBottom w:val="0"/>
      <w:divBdr>
        <w:top w:val="none" w:sz="0" w:space="0" w:color="auto"/>
        <w:left w:val="none" w:sz="0" w:space="0" w:color="auto"/>
        <w:bottom w:val="none" w:sz="0" w:space="0" w:color="auto"/>
        <w:right w:val="none" w:sz="0" w:space="0" w:color="auto"/>
      </w:divBdr>
      <w:divsChild>
        <w:div w:id="1849365598">
          <w:marLeft w:val="0"/>
          <w:marRight w:val="0"/>
          <w:marTop w:val="0"/>
          <w:marBottom w:val="0"/>
          <w:divBdr>
            <w:top w:val="none" w:sz="0" w:space="0" w:color="auto"/>
            <w:left w:val="none" w:sz="0" w:space="0" w:color="auto"/>
            <w:bottom w:val="none" w:sz="0" w:space="0" w:color="auto"/>
            <w:right w:val="none" w:sz="0" w:space="0" w:color="auto"/>
          </w:divBdr>
        </w:div>
        <w:div w:id="1474249143">
          <w:marLeft w:val="0"/>
          <w:marRight w:val="0"/>
          <w:marTop w:val="0"/>
          <w:marBottom w:val="0"/>
          <w:divBdr>
            <w:top w:val="none" w:sz="0" w:space="0" w:color="auto"/>
            <w:left w:val="none" w:sz="0" w:space="0" w:color="auto"/>
            <w:bottom w:val="none" w:sz="0" w:space="0" w:color="auto"/>
            <w:right w:val="none" w:sz="0" w:space="0" w:color="auto"/>
          </w:divBdr>
        </w:div>
      </w:divsChild>
    </w:div>
    <w:div w:id="799104836">
      <w:bodyDiv w:val="1"/>
      <w:marLeft w:val="0"/>
      <w:marRight w:val="0"/>
      <w:marTop w:val="0"/>
      <w:marBottom w:val="0"/>
      <w:divBdr>
        <w:top w:val="none" w:sz="0" w:space="0" w:color="auto"/>
        <w:left w:val="none" w:sz="0" w:space="0" w:color="auto"/>
        <w:bottom w:val="none" w:sz="0" w:space="0" w:color="auto"/>
        <w:right w:val="none" w:sz="0" w:space="0" w:color="auto"/>
      </w:divBdr>
    </w:div>
    <w:div w:id="896747766">
      <w:bodyDiv w:val="1"/>
      <w:marLeft w:val="0"/>
      <w:marRight w:val="0"/>
      <w:marTop w:val="0"/>
      <w:marBottom w:val="0"/>
      <w:divBdr>
        <w:top w:val="none" w:sz="0" w:space="0" w:color="auto"/>
        <w:left w:val="none" w:sz="0" w:space="0" w:color="auto"/>
        <w:bottom w:val="none" w:sz="0" w:space="0" w:color="auto"/>
        <w:right w:val="none" w:sz="0" w:space="0" w:color="auto"/>
      </w:divBdr>
      <w:divsChild>
        <w:div w:id="344212449">
          <w:marLeft w:val="0"/>
          <w:marRight w:val="0"/>
          <w:marTop w:val="0"/>
          <w:marBottom w:val="0"/>
          <w:divBdr>
            <w:top w:val="none" w:sz="0" w:space="0" w:color="auto"/>
            <w:left w:val="none" w:sz="0" w:space="0" w:color="auto"/>
            <w:bottom w:val="none" w:sz="0" w:space="0" w:color="auto"/>
            <w:right w:val="none" w:sz="0" w:space="0" w:color="auto"/>
          </w:divBdr>
        </w:div>
      </w:divsChild>
    </w:div>
    <w:div w:id="1003431633">
      <w:bodyDiv w:val="1"/>
      <w:marLeft w:val="0"/>
      <w:marRight w:val="0"/>
      <w:marTop w:val="0"/>
      <w:marBottom w:val="0"/>
      <w:divBdr>
        <w:top w:val="none" w:sz="0" w:space="0" w:color="auto"/>
        <w:left w:val="none" w:sz="0" w:space="0" w:color="auto"/>
        <w:bottom w:val="none" w:sz="0" w:space="0" w:color="auto"/>
        <w:right w:val="none" w:sz="0" w:space="0" w:color="auto"/>
      </w:divBdr>
    </w:div>
    <w:div w:id="1168905212">
      <w:bodyDiv w:val="1"/>
      <w:marLeft w:val="0"/>
      <w:marRight w:val="0"/>
      <w:marTop w:val="0"/>
      <w:marBottom w:val="0"/>
      <w:divBdr>
        <w:top w:val="none" w:sz="0" w:space="0" w:color="auto"/>
        <w:left w:val="none" w:sz="0" w:space="0" w:color="auto"/>
        <w:bottom w:val="none" w:sz="0" w:space="0" w:color="auto"/>
        <w:right w:val="none" w:sz="0" w:space="0" w:color="auto"/>
      </w:divBdr>
    </w:div>
    <w:div w:id="1229219787">
      <w:bodyDiv w:val="1"/>
      <w:marLeft w:val="0"/>
      <w:marRight w:val="0"/>
      <w:marTop w:val="0"/>
      <w:marBottom w:val="0"/>
      <w:divBdr>
        <w:top w:val="none" w:sz="0" w:space="0" w:color="auto"/>
        <w:left w:val="none" w:sz="0" w:space="0" w:color="auto"/>
        <w:bottom w:val="none" w:sz="0" w:space="0" w:color="auto"/>
        <w:right w:val="none" w:sz="0" w:space="0" w:color="auto"/>
      </w:divBdr>
    </w:div>
    <w:div w:id="1330645028">
      <w:bodyDiv w:val="1"/>
      <w:marLeft w:val="0"/>
      <w:marRight w:val="0"/>
      <w:marTop w:val="0"/>
      <w:marBottom w:val="0"/>
      <w:divBdr>
        <w:top w:val="none" w:sz="0" w:space="0" w:color="auto"/>
        <w:left w:val="none" w:sz="0" w:space="0" w:color="auto"/>
        <w:bottom w:val="none" w:sz="0" w:space="0" w:color="auto"/>
        <w:right w:val="none" w:sz="0" w:space="0" w:color="auto"/>
      </w:divBdr>
      <w:divsChild>
        <w:div w:id="69548928">
          <w:marLeft w:val="0"/>
          <w:marRight w:val="0"/>
          <w:marTop w:val="0"/>
          <w:marBottom w:val="0"/>
          <w:divBdr>
            <w:top w:val="none" w:sz="0" w:space="0" w:color="auto"/>
            <w:left w:val="none" w:sz="0" w:space="0" w:color="auto"/>
            <w:bottom w:val="none" w:sz="0" w:space="0" w:color="auto"/>
            <w:right w:val="none" w:sz="0" w:space="0" w:color="auto"/>
          </w:divBdr>
        </w:div>
        <w:div w:id="1576939912">
          <w:marLeft w:val="0"/>
          <w:marRight w:val="0"/>
          <w:marTop w:val="0"/>
          <w:marBottom w:val="0"/>
          <w:divBdr>
            <w:top w:val="none" w:sz="0" w:space="0" w:color="auto"/>
            <w:left w:val="none" w:sz="0" w:space="0" w:color="auto"/>
            <w:bottom w:val="none" w:sz="0" w:space="0" w:color="auto"/>
            <w:right w:val="none" w:sz="0" w:space="0" w:color="auto"/>
          </w:divBdr>
        </w:div>
        <w:div w:id="1294674464">
          <w:marLeft w:val="0"/>
          <w:marRight w:val="0"/>
          <w:marTop w:val="0"/>
          <w:marBottom w:val="0"/>
          <w:divBdr>
            <w:top w:val="none" w:sz="0" w:space="0" w:color="auto"/>
            <w:left w:val="none" w:sz="0" w:space="0" w:color="auto"/>
            <w:bottom w:val="none" w:sz="0" w:space="0" w:color="auto"/>
            <w:right w:val="none" w:sz="0" w:space="0" w:color="auto"/>
          </w:divBdr>
        </w:div>
        <w:div w:id="378239397">
          <w:marLeft w:val="0"/>
          <w:marRight w:val="0"/>
          <w:marTop w:val="0"/>
          <w:marBottom w:val="0"/>
          <w:divBdr>
            <w:top w:val="none" w:sz="0" w:space="0" w:color="auto"/>
            <w:left w:val="none" w:sz="0" w:space="0" w:color="auto"/>
            <w:bottom w:val="none" w:sz="0" w:space="0" w:color="auto"/>
            <w:right w:val="none" w:sz="0" w:space="0" w:color="auto"/>
          </w:divBdr>
        </w:div>
      </w:divsChild>
    </w:div>
    <w:div w:id="1390180754">
      <w:bodyDiv w:val="1"/>
      <w:marLeft w:val="0"/>
      <w:marRight w:val="0"/>
      <w:marTop w:val="0"/>
      <w:marBottom w:val="0"/>
      <w:divBdr>
        <w:top w:val="none" w:sz="0" w:space="0" w:color="auto"/>
        <w:left w:val="none" w:sz="0" w:space="0" w:color="auto"/>
        <w:bottom w:val="none" w:sz="0" w:space="0" w:color="auto"/>
        <w:right w:val="none" w:sz="0" w:space="0" w:color="auto"/>
      </w:divBdr>
      <w:divsChild>
        <w:div w:id="439759392">
          <w:marLeft w:val="0"/>
          <w:marRight w:val="0"/>
          <w:marTop w:val="0"/>
          <w:marBottom w:val="0"/>
          <w:divBdr>
            <w:top w:val="none" w:sz="0" w:space="0" w:color="auto"/>
            <w:left w:val="none" w:sz="0" w:space="0" w:color="auto"/>
            <w:bottom w:val="none" w:sz="0" w:space="0" w:color="auto"/>
            <w:right w:val="none" w:sz="0" w:space="0" w:color="auto"/>
          </w:divBdr>
        </w:div>
        <w:div w:id="454257870">
          <w:marLeft w:val="0"/>
          <w:marRight w:val="0"/>
          <w:marTop w:val="0"/>
          <w:marBottom w:val="0"/>
          <w:divBdr>
            <w:top w:val="none" w:sz="0" w:space="0" w:color="auto"/>
            <w:left w:val="none" w:sz="0" w:space="0" w:color="auto"/>
            <w:bottom w:val="none" w:sz="0" w:space="0" w:color="auto"/>
            <w:right w:val="none" w:sz="0" w:space="0" w:color="auto"/>
          </w:divBdr>
        </w:div>
      </w:divsChild>
    </w:div>
    <w:div w:id="1457287388">
      <w:bodyDiv w:val="1"/>
      <w:marLeft w:val="0"/>
      <w:marRight w:val="0"/>
      <w:marTop w:val="0"/>
      <w:marBottom w:val="0"/>
      <w:divBdr>
        <w:top w:val="none" w:sz="0" w:space="0" w:color="auto"/>
        <w:left w:val="none" w:sz="0" w:space="0" w:color="auto"/>
        <w:bottom w:val="none" w:sz="0" w:space="0" w:color="auto"/>
        <w:right w:val="none" w:sz="0" w:space="0" w:color="auto"/>
      </w:divBdr>
    </w:div>
    <w:div w:id="1486319528">
      <w:bodyDiv w:val="1"/>
      <w:marLeft w:val="0"/>
      <w:marRight w:val="0"/>
      <w:marTop w:val="0"/>
      <w:marBottom w:val="0"/>
      <w:divBdr>
        <w:top w:val="none" w:sz="0" w:space="0" w:color="auto"/>
        <w:left w:val="none" w:sz="0" w:space="0" w:color="auto"/>
        <w:bottom w:val="none" w:sz="0" w:space="0" w:color="auto"/>
        <w:right w:val="none" w:sz="0" w:space="0" w:color="auto"/>
      </w:divBdr>
      <w:divsChild>
        <w:div w:id="479543141">
          <w:marLeft w:val="0"/>
          <w:marRight w:val="0"/>
          <w:marTop w:val="0"/>
          <w:marBottom w:val="0"/>
          <w:divBdr>
            <w:top w:val="none" w:sz="0" w:space="0" w:color="auto"/>
            <w:left w:val="none" w:sz="0" w:space="0" w:color="auto"/>
            <w:bottom w:val="none" w:sz="0" w:space="0" w:color="auto"/>
            <w:right w:val="none" w:sz="0" w:space="0" w:color="auto"/>
          </w:divBdr>
        </w:div>
        <w:div w:id="559633249">
          <w:marLeft w:val="0"/>
          <w:marRight w:val="0"/>
          <w:marTop w:val="0"/>
          <w:marBottom w:val="0"/>
          <w:divBdr>
            <w:top w:val="none" w:sz="0" w:space="0" w:color="auto"/>
            <w:left w:val="none" w:sz="0" w:space="0" w:color="auto"/>
            <w:bottom w:val="none" w:sz="0" w:space="0" w:color="auto"/>
            <w:right w:val="none" w:sz="0" w:space="0" w:color="auto"/>
          </w:divBdr>
        </w:div>
        <w:div w:id="1208251772">
          <w:marLeft w:val="0"/>
          <w:marRight w:val="0"/>
          <w:marTop w:val="0"/>
          <w:marBottom w:val="0"/>
          <w:divBdr>
            <w:top w:val="none" w:sz="0" w:space="0" w:color="auto"/>
            <w:left w:val="none" w:sz="0" w:space="0" w:color="auto"/>
            <w:bottom w:val="none" w:sz="0" w:space="0" w:color="auto"/>
            <w:right w:val="none" w:sz="0" w:space="0" w:color="auto"/>
          </w:divBdr>
        </w:div>
        <w:div w:id="386297122">
          <w:marLeft w:val="0"/>
          <w:marRight w:val="0"/>
          <w:marTop w:val="0"/>
          <w:marBottom w:val="0"/>
          <w:divBdr>
            <w:top w:val="none" w:sz="0" w:space="0" w:color="auto"/>
            <w:left w:val="none" w:sz="0" w:space="0" w:color="auto"/>
            <w:bottom w:val="none" w:sz="0" w:space="0" w:color="auto"/>
            <w:right w:val="none" w:sz="0" w:space="0" w:color="auto"/>
          </w:divBdr>
        </w:div>
      </w:divsChild>
    </w:div>
    <w:div w:id="1509172800">
      <w:bodyDiv w:val="1"/>
      <w:marLeft w:val="0"/>
      <w:marRight w:val="0"/>
      <w:marTop w:val="0"/>
      <w:marBottom w:val="0"/>
      <w:divBdr>
        <w:top w:val="none" w:sz="0" w:space="0" w:color="auto"/>
        <w:left w:val="none" w:sz="0" w:space="0" w:color="auto"/>
        <w:bottom w:val="none" w:sz="0" w:space="0" w:color="auto"/>
        <w:right w:val="none" w:sz="0" w:space="0" w:color="auto"/>
      </w:divBdr>
    </w:div>
    <w:div w:id="1541477495">
      <w:bodyDiv w:val="1"/>
      <w:marLeft w:val="0"/>
      <w:marRight w:val="0"/>
      <w:marTop w:val="0"/>
      <w:marBottom w:val="0"/>
      <w:divBdr>
        <w:top w:val="none" w:sz="0" w:space="0" w:color="auto"/>
        <w:left w:val="none" w:sz="0" w:space="0" w:color="auto"/>
        <w:bottom w:val="none" w:sz="0" w:space="0" w:color="auto"/>
        <w:right w:val="none" w:sz="0" w:space="0" w:color="auto"/>
      </w:divBdr>
      <w:divsChild>
        <w:div w:id="1072855258">
          <w:marLeft w:val="0"/>
          <w:marRight w:val="0"/>
          <w:marTop w:val="0"/>
          <w:marBottom w:val="0"/>
          <w:divBdr>
            <w:top w:val="none" w:sz="0" w:space="0" w:color="auto"/>
            <w:left w:val="none" w:sz="0" w:space="0" w:color="auto"/>
            <w:bottom w:val="none" w:sz="0" w:space="0" w:color="auto"/>
            <w:right w:val="none" w:sz="0" w:space="0" w:color="auto"/>
          </w:divBdr>
        </w:div>
        <w:div w:id="1697802863">
          <w:marLeft w:val="0"/>
          <w:marRight w:val="0"/>
          <w:marTop w:val="0"/>
          <w:marBottom w:val="0"/>
          <w:divBdr>
            <w:top w:val="none" w:sz="0" w:space="0" w:color="auto"/>
            <w:left w:val="none" w:sz="0" w:space="0" w:color="auto"/>
            <w:bottom w:val="none" w:sz="0" w:space="0" w:color="auto"/>
            <w:right w:val="none" w:sz="0" w:space="0" w:color="auto"/>
          </w:divBdr>
        </w:div>
      </w:divsChild>
    </w:div>
    <w:div w:id="1543247335">
      <w:bodyDiv w:val="1"/>
      <w:marLeft w:val="0"/>
      <w:marRight w:val="0"/>
      <w:marTop w:val="0"/>
      <w:marBottom w:val="0"/>
      <w:divBdr>
        <w:top w:val="none" w:sz="0" w:space="0" w:color="auto"/>
        <w:left w:val="none" w:sz="0" w:space="0" w:color="auto"/>
        <w:bottom w:val="none" w:sz="0" w:space="0" w:color="auto"/>
        <w:right w:val="none" w:sz="0" w:space="0" w:color="auto"/>
      </w:divBdr>
    </w:div>
    <w:div w:id="1594632248">
      <w:bodyDiv w:val="1"/>
      <w:marLeft w:val="0"/>
      <w:marRight w:val="0"/>
      <w:marTop w:val="0"/>
      <w:marBottom w:val="0"/>
      <w:divBdr>
        <w:top w:val="none" w:sz="0" w:space="0" w:color="auto"/>
        <w:left w:val="none" w:sz="0" w:space="0" w:color="auto"/>
        <w:bottom w:val="none" w:sz="0" w:space="0" w:color="auto"/>
        <w:right w:val="none" w:sz="0" w:space="0" w:color="auto"/>
      </w:divBdr>
    </w:div>
    <w:div w:id="1709640727">
      <w:bodyDiv w:val="1"/>
      <w:marLeft w:val="0"/>
      <w:marRight w:val="0"/>
      <w:marTop w:val="0"/>
      <w:marBottom w:val="0"/>
      <w:divBdr>
        <w:top w:val="none" w:sz="0" w:space="0" w:color="auto"/>
        <w:left w:val="none" w:sz="0" w:space="0" w:color="auto"/>
        <w:bottom w:val="none" w:sz="0" w:space="0" w:color="auto"/>
        <w:right w:val="none" w:sz="0" w:space="0" w:color="auto"/>
      </w:divBdr>
    </w:div>
    <w:div w:id="1740712106">
      <w:bodyDiv w:val="1"/>
      <w:marLeft w:val="0"/>
      <w:marRight w:val="0"/>
      <w:marTop w:val="0"/>
      <w:marBottom w:val="0"/>
      <w:divBdr>
        <w:top w:val="none" w:sz="0" w:space="0" w:color="auto"/>
        <w:left w:val="none" w:sz="0" w:space="0" w:color="auto"/>
        <w:bottom w:val="none" w:sz="0" w:space="0" w:color="auto"/>
        <w:right w:val="none" w:sz="0" w:space="0" w:color="auto"/>
      </w:divBdr>
    </w:div>
    <w:div w:id="2005695344">
      <w:bodyDiv w:val="1"/>
      <w:marLeft w:val="0"/>
      <w:marRight w:val="0"/>
      <w:marTop w:val="0"/>
      <w:marBottom w:val="0"/>
      <w:divBdr>
        <w:top w:val="none" w:sz="0" w:space="0" w:color="auto"/>
        <w:left w:val="none" w:sz="0" w:space="0" w:color="auto"/>
        <w:bottom w:val="none" w:sz="0" w:space="0" w:color="auto"/>
        <w:right w:val="none" w:sz="0" w:space="0" w:color="auto"/>
      </w:divBdr>
      <w:divsChild>
        <w:div w:id="361126981">
          <w:marLeft w:val="0"/>
          <w:marRight w:val="0"/>
          <w:marTop w:val="0"/>
          <w:marBottom w:val="0"/>
          <w:divBdr>
            <w:top w:val="none" w:sz="0" w:space="0" w:color="auto"/>
            <w:left w:val="none" w:sz="0" w:space="0" w:color="auto"/>
            <w:bottom w:val="none" w:sz="0" w:space="0" w:color="auto"/>
            <w:right w:val="none" w:sz="0" w:space="0" w:color="auto"/>
          </w:divBdr>
        </w:div>
        <w:div w:id="1940870956">
          <w:marLeft w:val="0"/>
          <w:marRight w:val="0"/>
          <w:marTop w:val="0"/>
          <w:marBottom w:val="0"/>
          <w:divBdr>
            <w:top w:val="none" w:sz="0" w:space="0" w:color="auto"/>
            <w:left w:val="none" w:sz="0" w:space="0" w:color="auto"/>
            <w:bottom w:val="none" w:sz="0" w:space="0" w:color="auto"/>
            <w:right w:val="none" w:sz="0" w:space="0" w:color="auto"/>
          </w:divBdr>
        </w:div>
        <w:div w:id="1205366151">
          <w:marLeft w:val="0"/>
          <w:marRight w:val="0"/>
          <w:marTop w:val="0"/>
          <w:marBottom w:val="0"/>
          <w:divBdr>
            <w:top w:val="none" w:sz="0" w:space="0" w:color="auto"/>
            <w:left w:val="none" w:sz="0" w:space="0" w:color="auto"/>
            <w:bottom w:val="none" w:sz="0" w:space="0" w:color="auto"/>
            <w:right w:val="none" w:sz="0" w:space="0" w:color="auto"/>
          </w:divBdr>
        </w:div>
      </w:divsChild>
    </w:div>
    <w:div w:id="20395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rod-cofe-platform.s3.eu-central-1.amazonaws.com/8pl7jfzc6ae3jy2doji28fni27a3?response-content-disposition=inline%3B%20filename%3D%22CoFE_Report_with_annexes_EN.pdf%22%3B%20filename%2A%3DUTF-8%27%27CoFE_Report_with_annexes_EN.pdf&amp;response-content-type=application%2Fpdf&amp;X-Amz-Algorithm=AWS4-HMAC-SHA256&amp;X-Amz-Credential=AKIA3LJJXGZPDFYVOW5V%2F20230203%2Feu-central-1%2Fs3%2Faws4_request&amp;X-Amz-Date=20230203T181933Z&amp;X-Amz-Expires=300&amp;X-Amz-SignedHeaders=host&amp;X-Amz-Signature=d0f1c23ded6ad9a2e1b932a4d038df6bfda7fa4a5950d68b9f010a74370e4ee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57FAF-E67E-4DC2-A8A6-54517D49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34</Pages>
  <Words>11974</Words>
  <Characters>81184</Characters>
  <Application>Microsoft Office Word</Application>
  <DocSecurity>0</DocSecurity>
  <Lines>1330</Lines>
  <Paragraphs>331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2023-03-17T16:45:00Z</dcterms:created>
  <dcterms:modified xsi:type="dcterms:W3CDTF">2023-03-30T17:33:00Z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2023-03-16T19:10:41Z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c5edc21d-fcd1-4d45-b192-793f4a7265db</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8.1, Build 20230124</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SJ-024</vt:lpwstr>
  </property>
  <property fmtid="{D5CDD505-2E9C-101B-9397-08002B2CF9AE}" pid="15" name="DQCStatus">
    <vt:lpwstr>Green (DQC version 03)</vt:lpwstr>
  </property>
</Properties>
</file>