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CEE7" w14:textId="3CB6F8B8" w:rsidR="007024FE" w:rsidRPr="00BC09C3" w:rsidRDefault="00EF0819" w:rsidP="00EF0819">
      <w:pPr>
        <w:pStyle w:val="Pagedecouverture"/>
        <w:rPr>
          <w:noProof/>
        </w:rPr>
      </w:pPr>
      <w:r>
        <w:rPr>
          <w:noProof/>
        </w:rPr>
        <w:pict w14:anchorId="3A72C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5C1F8B5A-90DB-4BC2-9036-BFDCB2936DA7" style="width:455.25pt;height:425.25pt">
            <v:imagedata r:id="rId8" o:title=""/>
          </v:shape>
        </w:pict>
      </w:r>
    </w:p>
    <w:p w14:paraId="0C16CEE8" w14:textId="77777777" w:rsidR="007024FE" w:rsidRPr="00BC09C3" w:rsidRDefault="007024FE" w:rsidP="007024FE">
      <w:pPr>
        <w:rPr>
          <w:noProof/>
        </w:rPr>
        <w:sectPr w:rsidR="007024FE" w:rsidRPr="00BC09C3" w:rsidSect="00EF0819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C16CEE9" w14:textId="77777777" w:rsidR="007024FE" w:rsidRPr="00BC09C3" w:rsidRDefault="007024FE" w:rsidP="007E1523">
      <w:pPr>
        <w:pStyle w:val="Exposdesmotifstitre"/>
        <w:rPr>
          <w:noProof/>
        </w:rPr>
      </w:pPr>
      <w:bookmarkStart w:id="0" w:name="_GoBack"/>
      <w:bookmarkEnd w:id="0"/>
      <w:r w:rsidRPr="00BC09C3">
        <w:rPr>
          <w:noProof/>
        </w:rPr>
        <w:lastRenderedPageBreak/>
        <w:t>INDOKOLÁS</w:t>
      </w:r>
    </w:p>
    <w:p w14:paraId="0C16CEEA" w14:textId="3D2F7733" w:rsidR="007024FE" w:rsidRPr="00BC09C3" w:rsidRDefault="00083A1F" w:rsidP="00083A1F">
      <w:pPr>
        <w:pStyle w:val="ManualHeading1"/>
        <w:rPr>
          <w:rFonts w:eastAsia="Arial Unicode MS"/>
          <w:noProof/>
        </w:rPr>
      </w:pPr>
      <w:r w:rsidRPr="00083A1F">
        <w:t>1.</w:t>
      </w:r>
      <w:r w:rsidRPr="00083A1F">
        <w:tab/>
      </w:r>
      <w:r w:rsidR="007024FE" w:rsidRPr="00BC09C3">
        <w:rPr>
          <w:noProof/>
        </w:rPr>
        <w:t>A javaslat tárgya</w:t>
      </w:r>
    </w:p>
    <w:p w14:paraId="0C16CEEB" w14:textId="77777777" w:rsidR="00DB35A6" w:rsidRPr="00BC09C3" w:rsidRDefault="00DB35A6" w:rsidP="009A0012">
      <w:pPr>
        <w:rPr>
          <w:rFonts w:eastAsia="Arial Unicode MS"/>
          <w:noProof/>
        </w:rPr>
      </w:pPr>
      <w:r w:rsidRPr="00BC09C3">
        <w:rPr>
          <w:noProof/>
        </w:rPr>
        <w:t>A Nemzetközi Vasúti Fuvarozásügyi Államközi Szervezet (OTIF) Műszaki Szakértői Bizottságának (CTE) 15. ülésére 2023. június 13–14-én kerül sor Bernben. Az ülés napirendjén a következők szerepelnek:</w:t>
      </w:r>
    </w:p>
    <w:p w14:paraId="0C16CEEC" w14:textId="77777777" w:rsidR="00B337E3" w:rsidRPr="00BC09C3" w:rsidRDefault="00B337E3" w:rsidP="00834F01">
      <w:pPr>
        <w:pStyle w:val="Tiret0"/>
        <w:numPr>
          <w:ilvl w:val="0"/>
          <w:numId w:val="12"/>
        </w:numPr>
        <w:rPr>
          <w:noProof/>
        </w:rPr>
      </w:pPr>
      <w:r w:rsidRPr="00BC09C3">
        <w:rPr>
          <w:noProof/>
        </w:rPr>
        <w:t xml:space="preserve">az értékelést végző szervezetek képesítésére és függetlenségére vonatkozó egységes műszaki előírások felülvizsgálatára irányuló javaslat; </w:t>
      </w:r>
    </w:p>
    <w:p w14:paraId="0C16CEED" w14:textId="77777777" w:rsidR="00F970A8" w:rsidRPr="00BC09C3" w:rsidRDefault="00F970A8" w:rsidP="00834F01">
      <w:pPr>
        <w:pStyle w:val="Tiret0"/>
        <w:numPr>
          <w:ilvl w:val="0"/>
          <w:numId w:val="12"/>
        </w:numPr>
        <w:rPr>
          <w:noProof/>
        </w:rPr>
      </w:pPr>
      <w:r w:rsidRPr="00BC09C3">
        <w:rPr>
          <w:noProof/>
        </w:rPr>
        <w:t>a kockázatelemzésre és -értékelésre vonatkozó közös biztonsági módszerre irányuló egységes műszaki előírás módosítását célzó javaslat;</w:t>
      </w:r>
    </w:p>
    <w:p w14:paraId="0C16CEEE" w14:textId="77777777" w:rsidR="00F970A8" w:rsidRPr="00BC09C3" w:rsidRDefault="00F970A8" w:rsidP="00834F01">
      <w:pPr>
        <w:pStyle w:val="Tiret0"/>
        <w:numPr>
          <w:ilvl w:val="0"/>
          <w:numId w:val="12"/>
        </w:numPr>
        <w:rPr>
          <w:noProof/>
        </w:rPr>
      </w:pPr>
      <w:r w:rsidRPr="00BC09C3">
        <w:rPr>
          <w:noProof/>
        </w:rPr>
        <w:t>a Műszaki Szakértői Bizottság eljárási szabályzatának módosítására irányuló javaslat;</w:t>
      </w:r>
    </w:p>
    <w:p w14:paraId="0C16CEEF" w14:textId="77777777" w:rsidR="00210CE9" w:rsidRPr="00BC09C3" w:rsidRDefault="00210CE9" w:rsidP="00834F01">
      <w:pPr>
        <w:pStyle w:val="Tiret0"/>
        <w:numPr>
          <w:ilvl w:val="0"/>
          <w:numId w:val="12"/>
        </w:numPr>
        <w:rPr>
          <w:noProof/>
        </w:rPr>
      </w:pPr>
      <w:r w:rsidRPr="00BC09C3">
        <w:rPr>
          <w:noProof/>
        </w:rPr>
        <w:t>a fuvarozási telematikai alkalmazásokra vonatkozó (FTA) egységes műszaki előírás I. függelékében felsorolt FTA ÁME műszaki dokumentációk hivatkozásainak naprakésszé tételére irányuló javaslat.</w:t>
      </w:r>
    </w:p>
    <w:p w14:paraId="0C16CEF0" w14:textId="77777777" w:rsidR="003658FD" w:rsidRPr="00BC09C3" w:rsidRDefault="003658FD" w:rsidP="00396AC5">
      <w:pPr>
        <w:rPr>
          <w:noProof/>
        </w:rPr>
      </w:pPr>
      <w:r w:rsidRPr="00BC09C3">
        <w:rPr>
          <w:noProof/>
        </w:rPr>
        <w:t xml:space="preserve">Az OTIF a nemzetközi vasúti szállítást érintő egységes jogi kereteket dolgoz ki három fő tevékenységi területen: műszaki átjárhatóság, veszélyes áruk és vasúti szerződési jog. </w:t>
      </w:r>
    </w:p>
    <w:p w14:paraId="0C16CEF1" w14:textId="1D73B638" w:rsidR="00173046" w:rsidRPr="00BC09C3" w:rsidRDefault="003658FD" w:rsidP="00396AC5">
      <w:pPr>
        <w:rPr>
          <w:noProof/>
        </w:rPr>
      </w:pPr>
      <w:r w:rsidRPr="00BC09C3">
        <w:rPr>
          <w:noProof/>
        </w:rPr>
        <w:t>A CTE által elfogadandó fent említett határozatok joghatással bíró jogi aktusok, és az Unió által képviselendő álláspontot az EUMSZ 218. cikkének (9) bekezdése alapján tanácsi határozattal kell meghatározni.</w:t>
      </w:r>
    </w:p>
    <w:p w14:paraId="0C16CEF2" w14:textId="39DBB805" w:rsidR="007024FE" w:rsidRPr="00BC09C3" w:rsidRDefault="00083A1F" w:rsidP="00083A1F">
      <w:pPr>
        <w:pStyle w:val="ManualHeading1"/>
        <w:rPr>
          <w:noProof/>
        </w:rPr>
      </w:pPr>
      <w:r w:rsidRPr="00083A1F">
        <w:t>2.</w:t>
      </w:r>
      <w:r w:rsidRPr="00083A1F">
        <w:tab/>
      </w:r>
      <w:r w:rsidR="007024FE" w:rsidRPr="00BC09C3">
        <w:rPr>
          <w:noProof/>
        </w:rPr>
        <w:t>A JAVASLAT HÁTTERE</w:t>
      </w:r>
    </w:p>
    <w:p w14:paraId="0C16CEF3" w14:textId="653192DB" w:rsidR="00873933" w:rsidRPr="00BC09C3" w:rsidRDefault="00083A1F" w:rsidP="00083A1F">
      <w:pPr>
        <w:pStyle w:val="ManualHeading2"/>
        <w:rPr>
          <w:noProof/>
        </w:rPr>
      </w:pPr>
      <w:r w:rsidRPr="00083A1F">
        <w:t>2.1.</w:t>
      </w:r>
      <w:r w:rsidRPr="00083A1F">
        <w:tab/>
      </w:r>
      <w:r w:rsidR="00873933" w:rsidRPr="00BC09C3">
        <w:rPr>
          <w:noProof/>
        </w:rPr>
        <w:t>Nemzetközi Vasúti Fuvarozási Egyezmény (COTIF)</w:t>
      </w:r>
    </w:p>
    <w:p w14:paraId="0C16CEF4" w14:textId="77777777" w:rsidR="007C473D" w:rsidRPr="00BC09C3" w:rsidRDefault="007C473D" w:rsidP="005A5CAF">
      <w:pPr>
        <w:rPr>
          <w:noProof/>
        </w:rPr>
      </w:pPr>
      <w:r w:rsidRPr="00BC09C3">
        <w:rPr>
          <w:noProof/>
        </w:rPr>
        <w:t>Az 1999. június 3-i vilniusi jegyzőkönyvvel módosított, 1980. május 9-i Nemzetközi Vasúti Fuvarozási Egyezmény (a továbbiakban: COTIF) olyan nemzetközi megállapodás, amelynek mind az Unió, mind 25 uniós tagállam</w:t>
      </w:r>
      <w:r w:rsidRPr="00BC09C3">
        <w:rPr>
          <w:rStyle w:val="FootnoteReference"/>
          <w:noProof/>
        </w:rPr>
        <w:footnoteReference w:id="1"/>
      </w:r>
      <w:r w:rsidRPr="00BC09C3">
        <w:rPr>
          <w:noProof/>
        </w:rPr>
        <w:t xml:space="preserve"> a szerződő fele. </w:t>
      </w:r>
    </w:p>
    <w:p w14:paraId="0C16CEF5" w14:textId="2D20CF72" w:rsidR="003658FD" w:rsidRPr="00BC09C3" w:rsidRDefault="003658FD" w:rsidP="005A5CAF">
      <w:pPr>
        <w:rPr>
          <w:noProof/>
        </w:rPr>
      </w:pPr>
      <w:r w:rsidRPr="00BC09C3">
        <w:rPr>
          <w:noProof/>
        </w:rPr>
        <w:t>2011. június 16-án a Tanács elfogadta az Európai Uniónak az 1999. június 3-i vilniusi jegyzőkönyvvel módosított, 1980. május 9-i nemzetközi vasúti fuvarozási egyezményhez (COTIF) való csatlakozásáról szóló, az Európai Unió és az OTIF közötti megállapodás aláírásáról és megkötéséről szóló 2013/103/EU tanácsi határozatot (a továbbiakban: EU–COTIF csatlakozási megállapodás).</w:t>
      </w:r>
    </w:p>
    <w:p w14:paraId="0C16CEF6" w14:textId="77777777" w:rsidR="007C473D" w:rsidRPr="00BC09C3" w:rsidRDefault="003658FD" w:rsidP="005A5CAF">
      <w:pPr>
        <w:rPr>
          <w:noProof/>
        </w:rPr>
      </w:pPr>
      <w:r w:rsidRPr="00BC09C3">
        <w:rPr>
          <w:noProof/>
        </w:rPr>
        <w:t>A megállapodás 2011. július 1-jén lépett hatályba.</w:t>
      </w:r>
    </w:p>
    <w:p w14:paraId="0C16CEF7" w14:textId="77777777" w:rsidR="00873933" w:rsidRPr="00BC09C3" w:rsidRDefault="007C473D" w:rsidP="005A5CAF">
      <w:pPr>
        <w:rPr>
          <w:noProof/>
        </w:rPr>
      </w:pPr>
      <w:r w:rsidRPr="00BC09C3">
        <w:rPr>
          <w:noProof/>
        </w:rPr>
        <w:t xml:space="preserve">A COTIF 2. cikkének (1) bekezdése értelmében az OTIF célja a nemzetközi vasúti fuvarozás előmozdítása, fejlesztése és megkönnyítése minden szempontból, különösen egységes jogrendszer kialakítása révén a nemzetközi vasúti fuvarozással összefüggő egyes jogterületeken. A COTIF emellett szabályozza az OTIF működését, illetve meghatározza célkitűzéseit, hatáskörét, a szerződő államokkal fennálló kapcsolatát, valamint általában véve a tevékenységeit. </w:t>
      </w:r>
    </w:p>
    <w:p w14:paraId="0C16CEF8" w14:textId="6B32628D" w:rsidR="00873933" w:rsidRPr="00BC09C3" w:rsidRDefault="00873933" w:rsidP="00F55884">
      <w:pPr>
        <w:keepNext/>
        <w:rPr>
          <w:noProof/>
        </w:rPr>
      </w:pPr>
      <w:r w:rsidRPr="00BC09C3">
        <w:rPr>
          <w:noProof/>
        </w:rPr>
        <w:t>A COTIF tehát különféle jogi és műszaki jellegű vasúti ügyekkel kapcsolatos vasúti jogszabályokat tartalmaz, amelyek két részre oszthatók: az egyik maga az egyezmény, amely az OTIF működését szabályozza, a másik pedig a nyolc függelék, amely egységes vasúti jogszabályokat határoz meg:</w:t>
      </w:r>
    </w:p>
    <w:p w14:paraId="0C16CEF9" w14:textId="77777777" w:rsidR="00873933" w:rsidRPr="00BC09C3" w:rsidRDefault="00873933" w:rsidP="00834F01">
      <w:pPr>
        <w:pStyle w:val="Tiret0"/>
        <w:numPr>
          <w:ilvl w:val="0"/>
          <w:numId w:val="11"/>
        </w:numPr>
        <w:rPr>
          <w:noProof/>
        </w:rPr>
      </w:pPr>
      <w:r w:rsidRPr="00BC09C3">
        <w:rPr>
          <w:noProof/>
        </w:rPr>
        <w:t xml:space="preserve">A. függelék: Nemzetközi vasúti személyszállítási szerződés </w:t>
      </w:r>
      <w:r w:rsidRPr="00BC09C3">
        <w:rPr>
          <w:b/>
          <w:noProof/>
        </w:rPr>
        <w:t>(CIV)</w:t>
      </w:r>
    </w:p>
    <w:p w14:paraId="0C16CEFA" w14:textId="77777777" w:rsidR="00873933" w:rsidRPr="00BC09C3" w:rsidRDefault="00873933" w:rsidP="000215B1">
      <w:pPr>
        <w:pStyle w:val="Tiret0"/>
        <w:rPr>
          <w:noProof/>
        </w:rPr>
      </w:pPr>
      <w:r w:rsidRPr="00BC09C3">
        <w:rPr>
          <w:noProof/>
        </w:rPr>
        <w:t xml:space="preserve">B. függelék: Nemzetközi vasúti árufuvarozási szerződés </w:t>
      </w:r>
      <w:r w:rsidRPr="00BC09C3">
        <w:rPr>
          <w:b/>
          <w:noProof/>
        </w:rPr>
        <w:t>(CIM)</w:t>
      </w:r>
    </w:p>
    <w:p w14:paraId="0C16CEFB" w14:textId="77777777" w:rsidR="00873933" w:rsidRPr="00BC09C3" w:rsidRDefault="00873933" w:rsidP="000215B1">
      <w:pPr>
        <w:pStyle w:val="Tiret0"/>
        <w:rPr>
          <w:noProof/>
        </w:rPr>
      </w:pPr>
      <w:r w:rsidRPr="00BC09C3">
        <w:rPr>
          <w:noProof/>
        </w:rPr>
        <w:t>C. függelék: Veszélyes áruk nemzetközi vasúti fuvarozása</w:t>
      </w:r>
      <w:r w:rsidRPr="00BC09C3">
        <w:rPr>
          <w:b/>
          <w:noProof/>
        </w:rPr>
        <w:t xml:space="preserve"> (RID)</w:t>
      </w:r>
    </w:p>
    <w:p w14:paraId="0C16CEFC" w14:textId="77777777" w:rsidR="00873933" w:rsidRPr="00BC09C3" w:rsidRDefault="00873933" w:rsidP="000215B1">
      <w:pPr>
        <w:pStyle w:val="Tiret0"/>
        <w:rPr>
          <w:noProof/>
        </w:rPr>
      </w:pPr>
      <w:r w:rsidRPr="00BC09C3">
        <w:rPr>
          <w:noProof/>
        </w:rPr>
        <w:t>D. függelék: Nemzetközi vasúti forgalomban engedélyezett járművekre vonatkozó szerződések</w:t>
      </w:r>
      <w:r w:rsidRPr="00BC09C3">
        <w:rPr>
          <w:b/>
          <w:noProof/>
        </w:rPr>
        <w:t xml:space="preserve"> (CUV)</w:t>
      </w:r>
    </w:p>
    <w:p w14:paraId="0C16CEFD" w14:textId="77777777" w:rsidR="00873933" w:rsidRPr="00BC09C3" w:rsidRDefault="00873933" w:rsidP="000215B1">
      <w:pPr>
        <w:pStyle w:val="Tiret0"/>
        <w:rPr>
          <w:noProof/>
        </w:rPr>
      </w:pPr>
      <w:r w:rsidRPr="00BC09C3">
        <w:rPr>
          <w:noProof/>
        </w:rPr>
        <w:t xml:space="preserve">E. függelék: Nemzetközi vasúti forgalomban használt infrastruktúrára vonatkozó szerződés </w:t>
      </w:r>
      <w:r w:rsidRPr="00BC09C3">
        <w:rPr>
          <w:b/>
          <w:noProof/>
        </w:rPr>
        <w:t>(CUI)</w:t>
      </w:r>
    </w:p>
    <w:p w14:paraId="0C16CEFE" w14:textId="77777777" w:rsidR="00873933" w:rsidRPr="00BC09C3" w:rsidRDefault="00873933" w:rsidP="000215B1">
      <w:pPr>
        <w:pStyle w:val="Tiret0"/>
        <w:rPr>
          <w:noProof/>
        </w:rPr>
      </w:pPr>
      <w:r w:rsidRPr="00BC09C3">
        <w:rPr>
          <w:noProof/>
        </w:rPr>
        <w:t xml:space="preserve">F. függelék: Egységes szabályok a nemzetközi forgalomban használni tervezett vasúti berendezésekre vonatkozó műszaki szabványok érvényesítésére és egységes műszaki előírások elfogadására </w:t>
      </w:r>
      <w:r w:rsidRPr="00BC09C3">
        <w:rPr>
          <w:b/>
          <w:noProof/>
        </w:rPr>
        <w:t>(APTU egységes szabályok)</w:t>
      </w:r>
    </w:p>
    <w:p w14:paraId="0C16CEFF" w14:textId="77777777" w:rsidR="00873933" w:rsidRPr="00BC09C3" w:rsidRDefault="00873933" w:rsidP="000215B1">
      <w:pPr>
        <w:pStyle w:val="Tiret0"/>
        <w:rPr>
          <w:noProof/>
        </w:rPr>
      </w:pPr>
      <w:r w:rsidRPr="00BC09C3">
        <w:rPr>
          <w:noProof/>
        </w:rPr>
        <w:t xml:space="preserve">G. függelék: Egységes szabályok a nemzetközi forgalomban használt vasúti berendezések műszaki engedélyezésére </w:t>
      </w:r>
      <w:r w:rsidRPr="00BC09C3">
        <w:rPr>
          <w:b/>
          <w:noProof/>
        </w:rPr>
        <w:t>(ATMF egységes szabályok)</w:t>
      </w:r>
    </w:p>
    <w:p w14:paraId="0C16CF00" w14:textId="77777777" w:rsidR="00873933" w:rsidRPr="00BC09C3" w:rsidRDefault="00873933" w:rsidP="000215B1">
      <w:pPr>
        <w:pStyle w:val="Tiret0"/>
        <w:rPr>
          <w:noProof/>
        </w:rPr>
      </w:pPr>
      <w:r w:rsidRPr="00BC09C3">
        <w:rPr>
          <w:noProof/>
        </w:rPr>
        <w:t xml:space="preserve">H. függelék: Egységes szabályok a nemzetközi forgalomban használt vonatok biztonságos üzemeltetésére </w:t>
      </w:r>
      <w:r w:rsidRPr="00BC09C3">
        <w:rPr>
          <w:b/>
          <w:noProof/>
        </w:rPr>
        <w:t>(EST egységes szabályok)</w:t>
      </w:r>
    </w:p>
    <w:p w14:paraId="0C16CF01" w14:textId="77777777" w:rsidR="00BE6387" w:rsidRPr="00BC09C3" w:rsidRDefault="00873933" w:rsidP="005A5CAF">
      <w:pPr>
        <w:rPr>
          <w:noProof/>
        </w:rPr>
      </w:pPr>
      <w:r w:rsidRPr="00BC09C3">
        <w:rPr>
          <w:noProof/>
        </w:rPr>
        <w:t>A COTIF F. és G. függeléke alapján 12 egységes műszaki előírás foglalkozik a műszaki átjárhatósággal. A nemzetközi forgalomban való engedélyezés tekintetében a COTIF keretében hozott egységes műszaki előírások ugyanazt a célt szolgálják, mint az uniós átjárhatósági műszaki előírások (ÁME) az (EU) 2016/797 irányelv II. fejezetében meghatározottak szerint.</w:t>
      </w:r>
    </w:p>
    <w:p w14:paraId="0C16CF02" w14:textId="77777777" w:rsidR="00873933" w:rsidRPr="00BC09C3" w:rsidRDefault="003713D0" w:rsidP="005A5CAF">
      <w:pPr>
        <w:rPr>
          <w:noProof/>
        </w:rPr>
      </w:pPr>
      <w:r w:rsidRPr="00BC09C3">
        <w:rPr>
          <w:noProof/>
        </w:rPr>
        <w:t>A COTIF 47 szerződő állama közül 42 – beleértve a már említett 25 uniós tagállamot – alkalmazza az F. és a G. függeléket.</w:t>
      </w:r>
    </w:p>
    <w:p w14:paraId="0C16CF03" w14:textId="58F90B41" w:rsidR="007024FE" w:rsidRPr="00BC09C3" w:rsidRDefault="00083A1F" w:rsidP="00083A1F">
      <w:pPr>
        <w:pStyle w:val="ManualHeading2"/>
        <w:rPr>
          <w:noProof/>
        </w:rPr>
      </w:pPr>
      <w:r w:rsidRPr="00083A1F">
        <w:t>2.2.</w:t>
      </w:r>
      <w:r w:rsidRPr="00083A1F">
        <w:tab/>
      </w:r>
      <w:r w:rsidR="007024FE" w:rsidRPr="00BC09C3">
        <w:rPr>
          <w:noProof/>
        </w:rPr>
        <w:t>Az OTIF Műszaki Szakértői Bizottsága (CTE)</w:t>
      </w:r>
    </w:p>
    <w:p w14:paraId="0C16CF04" w14:textId="77777777" w:rsidR="00806041" w:rsidRPr="00BC09C3" w:rsidRDefault="007024FE" w:rsidP="00806041">
      <w:pPr>
        <w:rPr>
          <w:noProof/>
        </w:rPr>
      </w:pPr>
      <w:r w:rsidRPr="00BC09C3">
        <w:rPr>
          <w:noProof/>
        </w:rPr>
        <w:t xml:space="preserve">A Műszaki Szakértői Bizottság (CTE) a COTIF 13. cikke (1) bekezdésének f) pontja értelmében jött létre. Tagsága a COTIF F. és G. függelékét (APTU és ATMF) alkalmazó OTIF-tagállamokból tevődik össze. </w:t>
      </w:r>
    </w:p>
    <w:p w14:paraId="0C16CF05" w14:textId="77777777" w:rsidR="00806041" w:rsidRPr="00BC09C3" w:rsidRDefault="00806041" w:rsidP="00806041">
      <w:pPr>
        <w:rPr>
          <w:noProof/>
        </w:rPr>
      </w:pPr>
      <w:r w:rsidRPr="00BC09C3">
        <w:rPr>
          <w:noProof/>
        </w:rPr>
        <w:t>A CTE hatáskörébe tartoznak a vasúti vonatkozású átjárhatósági és műszaki harmonizációs ügyek, valamint a műszaki jóváhagyási eljárások. Ez a bizottság dolgozza ki az APTU és az ATMF függeléket és azoknak a nemzetközi vasúti forgalomban történő felhasználásra szánt vasúti berendezésekre vonatkozó egységes szabályait, különösen az alábbiak tekintetében:</w:t>
      </w:r>
    </w:p>
    <w:p w14:paraId="0C16CF06" w14:textId="77777777" w:rsidR="00806041" w:rsidRPr="00BC09C3" w:rsidRDefault="00806041" w:rsidP="00834F01">
      <w:pPr>
        <w:pStyle w:val="Tiret0"/>
        <w:numPr>
          <w:ilvl w:val="0"/>
          <w:numId w:val="14"/>
        </w:numPr>
        <w:rPr>
          <w:noProof/>
        </w:rPr>
      </w:pPr>
      <w:r w:rsidRPr="00BC09C3">
        <w:rPr>
          <w:noProof/>
        </w:rPr>
        <w:t>a járművekre és az infrastruktúrára vonatkozó műszaki előírások elfogadása és szabványok ellenőrzése;</w:t>
      </w:r>
    </w:p>
    <w:p w14:paraId="0C16CF07" w14:textId="77777777" w:rsidR="00806041" w:rsidRPr="00BC09C3" w:rsidRDefault="00806041" w:rsidP="00834F01">
      <w:pPr>
        <w:pStyle w:val="Tiret0"/>
        <w:numPr>
          <w:ilvl w:val="0"/>
          <w:numId w:val="14"/>
        </w:numPr>
        <w:rPr>
          <w:noProof/>
        </w:rPr>
      </w:pPr>
      <w:r w:rsidRPr="00BC09C3">
        <w:rPr>
          <w:noProof/>
        </w:rPr>
        <w:t>a járművek megfelelőségének értékelésével kapcsolatos eljárások;</w:t>
      </w:r>
    </w:p>
    <w:p w14:paraId="0C16CF08" w14:textId="77777777" w:rsidR="00806041" w:rsidRPr="00BC09C3" w:rsidRDefault="00806041" w:rsidP="00834F01">
      <w:pPr>
        <w:pStyle w:val="Tiret0"/>
        <w:numPr>
          <w:ilvl w:val="0"/>
          <w:numId w:val="14"/>
        </w:numPr>
        <w:rPr>
          <w:noProof/>
        </w:rPr>
      </w:pPr>
      <w:r w:rsidRPr="00BC09C3">
        <w:rPr>
          <w:noProof/>
        </w:rPr>
        <w:t>a járművek karbantartásával kapcsolatos rendelkezések;</w:t>
      </w:r>
    </w:p>
    <w:p w14:paraId="0C16CF09" w14:textId="77777777" w:rsidR="00806041" w:rsidRPr="00BC09C3" w:rsidRDefault="00806041" w:rsidP="00834F01">
      <w:pPr>
        <w:pStyle w:val="Tiret0"/>
        <w:numPr>
          <w:ilvl w:val="0"/>
          <w:numId w:val="14"/>
        </w:numPr>
        <w:rPr>
          <w:noProof/>
        </w:rPr>
      </w:pPr>
      <w:r w:rsidRPr="00BC09C3">
        <w:rPr>
          <w:noProof/>
        </w:rPr>
        <w:t>a vonatok összeállításával és a járművek biztonságos használatával kapcsolatos feladatok;</w:t>
      </w:r>
    </w:p>
    <w:p w14:paraId="0C16CF0A" w14:textId="77777777" w:rsidR="00806041" w:rsidRPr="00BC09C3" w:rsidRDefault="00806041" w:rsidP="00834F01">
      <w:pPr>
        <w:pStyle w:val="Tiret0"/>
        <w:numPr>
          <w:ilvl w:val="0"/>
          <w:numId w:val="14"/>
        </w:numPr>
        <w:rPr>
          <w:noProof/>
        </w:rPr>
      </w:pPr>
      <w:r w:rsidRPr="00BC09C3">
        <w:rPr>
          <w:noProof/>
        </w:rPr>
        <w:t>kockázatelemzéssel és -értékeléssel kapcsolatos rendelkezések;</w:t>
      </w:r>
    </w:p>
    <w:p w14:paraId="0C16CF0B" w14:textId="77777777" w:rsidR="00806041" w:rsidRPr="00BC09C3" w:rsidRDefault="00806041" w:rsidP="00834F01">
      <w:pPr>
        <w:pStyle w:val="Tiret0"/>
        <w:numPr>
          <w:ilvl w:val="0"/>
          <w:numId w:val="14"/>
        </w:numPr>
        <w:rPr>
          <w:noProof/>
        </w:rPr>
      </w:pPr>
      <w:r w:rsidRPr="00BC09C3">
        <w:rPr>
          <w:noProof/>
        </w:rPr>
        <w:t>nyilvántartásokra vonatkozó előírások.</w:t>
      </w:r>
    </w:p>
    <w:p w14:paraId="0C16CF0C" w14:textId="77777777" w:rsidR="00806041" w:rsidRPr="00BC09C3" w:rsidRDefault="00806041" w:rsidP="00806041">
      <w:pPr>
        <w:rPr>
          <w:noProof/>
        </w:rPr>
      </w:pPr>
      <w:r w:rsidRPr="00BC09C3">
        <w:rPr>
          <w:noProof/>
        </w:rPr>
        <w:t>A CTE jelenleg egy állandó munkacsoporttal (WG TECH) rendelkezik, amelynek feladata a bizottság határozatainak előkészítése.</w:t>
      </w:r>
    </w:p>
    <w:p w14:paraId="0C16CF0D" w14:textId="77777777" w:rsidR="00D40C00" w:rsidRPr="00BC09C3" w:rsidRDefault="002F08C4" w:rsidP="00806041">
      <w:pPr>
        <w:rPr>
          <w:noProof/>
        </w:rPr>
      </w:pPr>
      <w:r w:rsidRPr="00BC09C3">
        <w:rPr>
          <w:noProof/>
        </w:rPr>
        <w:t>A COTIF 20. cikke (1) bekezdésének b) pontja értelmében, illetve az F. függelék (APTU) 6. cikkének megfelelően a CTE feladata az egységes műszaki előírások elfogadása vagy módosítása. A COTIF 16. cikkének (10) bekezdésével összhangban a CTE hatáskörrel rendelkezik arra, hogy javaslatot tegyen eljárási szabályzatának felülvizsgálatára.</w:t>
      </w:r>
    </w:p>
    <w:p w14:paraId="0C16CF0E" w14:textId="56DC3563" w:rsidR="00806041" w:rsidRPr="00BC09C3" w:rsidRDefault="00083A1F" w:rsidP="00083A1F">
      <w:pPr>
        <w:pStyle w:val="ManualHeading2"/>
        <w:rPr>
          <w:noProof/>
        </w:rPr>
      </w:pPr>
      <w:r w:rsidRPr="00083A1F">
        <w:t>2.3.</w:t>
      </w:r>
      <w:r w:rsidRPr="00083A1F">
        <w:tab/>
      </w:r>
      <w:r w:rsidR="009E3218" w:rsidRPr="00BC09C3">
        <w:rPr>
          <w:noProof/>
        </w:rPr>
        <w:t>Jogi aktusok CTE általi elfogadása</w:t>
      </w:r>
    </w:p>
    <w:p w14:paraId="0C16CF0F" w14:textId="77777777" w:rsidR="00806041" w:rsidRPr="00BC09C3" w:rsidRDefault="002F08C4" w:rsidP="005A5CAF">
      <w:pPr>
        <w:rPr>
          <w:noProof/>
        </w:rPr>
      </w:pPr>
      <w:r w:rsidRPr="00BC09C3">
        <w:rPr>
          <w:noProof/>
        </w:rPr>
        <w:t xml:space="preserve">Az APTU 6. cikkének megfelelően a CTE az egyezmény 16. és 20. cikkében, illetve 33. cikkének (6) bekezdésében meghatározott eljárással összhangban dönt arról, hogy elfogadja-e az adott egységes műszaki előírást vagy az azt módosító rendelkezést. Az egységes műszaki előírások elfogadására vonatkozó szokványos eljárás időtartama megközelítőleg másfél év lehet. </w:t>
      </w:r>
    </w:p>
    <w:p w14:paraId="0C16CF10" w14:textId="0F374845" w:rsidR="007024FE" w:rsidRPr="00BC09C3" w:rsidRDefault="00083A1F" w:rsidP="00083A1F">
      <w:pPr>
        <w:pStyle w:val="ManualHeading2"/>
        <w:rPr>
          <w:noProof/>
        </w:rPr>
      </w:pPr>
      <w:r w:rsidRPr="00083A1F">
        <w:t>2.4.</w:t>
      </w:r>
      <w:r w:rsidRPr="00083A1F">
        <w:tab/>
      </w:r>
      <w:r w:rsidR="007024FE" w:rsidRPr="00BC09C3">
        <w:rPr>
          <w:noProof/>
        </w:rPr>
        <w:t>A CTE által a 2023. június 13–14-i ülésen elfogadandó tervezett jogi aktusok</w:t>
      </w:r>
    </w:p>
    <w:p w14:paraId="0C16CF11" w14:textId="63D2208A" w:rsidR="00B337E3" w:rsidRPr="00BC09C3" w:rsidRDefault="00083A1F" w:rsidP="00083A1F">
      <w:pPr>
        <w:pStyle w:val="ManualHeading3"/>
        <w:rPr>
          <w:noProof/>
        </w:rPr>
      </w:pPr>
      <w:r w:rsidRPr="00083A1F">
        <w:t>2.4.1.</w:t>
      </w:r>
      <w:r w:rsidRPr="00083A1F">
        <w:tab/>
      </w:r>
      <w:r w:rsidR="00B07C00" w:rsidRPr="00BC09C3">
        <w:rPr>
          <w:noProof/>
        </w:rPr>
        <w:t>Az értékelést végző szervezetek képesítésére és függetlenségére vonatkozó egységes műszaki előírás felülvizsgálata (GEN-E egységes műszaki előírás)</w:t>
      </w:r>
    </w:p>
    <w:p w14:paraId="0C16CF12" w14:textId="77777777" w:rsidR="00EB294B" w:rsidRPr="00BC09C3" w:rsidRDefault="00EB294B" w:rsidP="00EB294B">
      <w:pPr>
        <w:rPr>
          <w:bCs/>
          <w:noProof/>
          <w:szCs w:val="24"/>
        </w:rPr>
      </w:pPr>
      <w:r w:rsidRPr="00BC09C3">
        <w:rPr>
          <w:noProof/>
        </w:rPr>
        <w:t>A GEN-E egységes műszaki előírás az értékelést végző szervezetek részéről szükséges képesítéseket és függetlenséget írja le. Jelenlegi változata 2011. december 1-jén lépett hatályba. A dokumentum a vasúti rendszer Közösségen belüli kölcsönös átjárhatóságáról szóló 2008/57/EK európai parlamenti és tanácsi irányelv</w:t>
      </w:r>
      <w:r w:rsidRPr="00BC09C3">
        <w:rPr>
          <w:rStyle w:val="FootnoteReference"/>
          <w:noProof/>
        </w:rPr>
        <w:footnoteReference w:id="2"/>
      </w:r>
      <w:r w:rsidRPr="00BC09C3">
        <w:rPr>
          <w:noProof/>
        </w:rPr>
        <w:t xml:space="preserve"> VIII. mellékletén alapult.</w:t>
      </w:r>
    </w:p>
    <w:p w14:paraId="0C16CF13" w14:textId="77777777" w:rsidR="00EB294B" w:rsidRPr="00BC09C3" w:rsidRDefault="00EB294B" w:rsidP="00EB294B">
      <w:pPr>
        <w:rPr>
          <w:noProof/>
        </w:rPr>
      </w:pPr>
      <w:r w:rsidRPr="00BC09C3">
        <w:rPr>
          <w:noProof/>
        </w:rPr>
        <w:t>A GEN-E egységes műszaki előírásnak a CTE által javasolt teljes felülvizsgálatát az előírás hatálybalépése óta bekövetkezett számos fejlemény indokolja.</w:t>
      </w:r>
    </w:p>
    <w:p w14:paraId="0C16CF14" w14:textId="77777777" w:rsidR="00EB294B" w:rsidRPr="00BC09C3" w:rsidRDefault="00EB294B" w:rsidP="00EB294B">
      <w:pPr>
        <w:rPr>
          <w:noProof/>
        </w:rPr>
      </w:pPr>
      <w:r w:rsidRPr="00BC09C3">
        <w:rPr>
          <w:noProof/>
        </w:rPr>
        <w:t>Először is a 2008/57/EK európai parlamenti és tanácsi irányelvet felváltotta az (EU) 2016/797 európai parlamenti és tanácsi irányelv</w:t>
      </w:r>
      <w:r w:rsidRPr="00BC09C3">
        <w:rPr>
          <w:rStyle w:val="FootnoteReference"/>
          <w:noProof/>
        </w:rPr>
        <w:footnoteReference w:id="3"/>
      </w:r>
      <w:r w:rsidRPr="00BC09C3">
        <w:rPr>
          <w:noProof/>
        </w:rPr>
        <w:t>. Az újabb irányelv részletesebb rendelkezéseket tartalmaz az értékelő szervezetek képesítésére és függetlenségére vonatkozóan, mint a korábbi irányelv.</w:t>
      </w:r>
    </w:p>
    <w:p w14:paraId="0C16CF15" w14:textId="77777777" w:rsidR="0014253C" w:rsidRPr="00BC09C3" w:rsidRDefault="00D72AE7" w:rsidP="0014253C">
      <w:pPr>
        <w:rPr>
          <w:noProof/>
        </w:rPr>
      </w:pPr>
      <w:r w:rsidRPr="00BC09C3">
        <w:rPr>
          <w:noProof/>
        </w:rPr>
        <w:t>A GEN-E egységes műszaki előírás javasolt teljes körű felülvizsgálatának célja a következő:</w:t>
      </w:r>
    </w:p>
    <w:p w14:paraId="0C16CF16" w14:textId="77777777" w:rsidR="0014253C" w:rsidRPr="00BC09C3" w:rsidRDefault="0014253C" w:rsidP="00834F01">
      <w:pPr>
        <w:pStyle w:val="Tiret0"/>
        <w:numPr>
          <w:ilvl w:val="0"/>
          <w:numId w:val="15"/>
        </w:numPr>
        <w:rPr>
          <w:noProof/>
        </w:rPr>
      </w:pPr>
      <w:r w:rsidRPr="00BC09C3">
        <w:rPr>
          <w:noProof/>
        </w:rPr>
        <w:t>a rendelkezések egyértelműbb strukturálása;</w:t>
      </w:r>
    </w:p>
    <w:p w14:paraId="0C16CF17" w14:textId="77777777" w:rsidR="0014253C" w:rsidRPr="00BC09C3" w:rsidRDefault="0014253C" w:rsidP="00834F01">
      <w:pPr>
        <w:pStyle w:val="Tiret0"/>
        <w:numPr>
          <w:ilvl w:val="0"/>
          <w:numId w:val="15"/>
        </w:numPr>
        <w:rPr>
          <w:noProof/>
        </w:rPr>
      </w:pPr>
      <w:r w:rsidRPr="00BC09C3">
        <w:rPr>
          <w:noProof/>
        </w:rPr>
        <w:t>az egységes műszaki előírás hatályának pontosítása, különösen az uniós jog vonatkozásában;</w:t>
      </w:r>
    </w:p>
    <w:p w14:paraId="0C16CF18" w14:textId="77777777" w:rsidR="00112815" w:rsidRPr="00BC09C3" w:rsidRDefault="0014253C" w:rsidP="00834F01">
      <w:pPr>
        <w:pStyle w:val="Tiret0"/>
        <w:numPr>
          <w:ilvl w:val="0"/>
          <w:numId w:val="15"/>
        </w:numPr>
        <w:rPr>
          <w:noProof/>
        </w:rPr>
      </w:pPr>
      <w:r w:rsidRPr="00BC09C3">
        <w:rPr>
          <w:noProof/>
        </w:rPr>
        <w:t>a rendelkezések összehangolása az EU-ban alkalmazandó legújabb rendelkezésekkel.</w:t>
      </w:r>
    </w:p>
    <w:p w14:paraId="0C16CF19" w14:textId="77777777" w:rsidR="00C11BFF" w:rsidRPr="00BC09C3" w:rsidRDefault="00C11BFF" w:rsidP="0041752A">
      <w:pPr>
        <w:rPr>
          <w:noProof/>
        </w:rPr>
      </w:pPr>
      <w:r w:rsidRPr="00BC09C3">
        <w:rPr>
          <w:noProof/>
        </w:rPr>
        <w:t xml:space="preserve">Következtetés: az Európai Unió megszavazhatja a GEN-E egységes műszaki előírás OTIF által javasolt felülvizsgálatát. </w:t>
      </w:r>
    </w:p>
    <w:p w14:paraId="0C16CF1A" w14:textId="4BA06867" w:rsidR="00112815" w:rsidRPr="00BC09C3" w:rsidRDefault="00083A1F" w:rsidP="00083A1F">
      <w:pPr>
        <w:pStyle w:val="ManualHeading3"/>
        <w:rPr>
          <w:noProof/>
        </w:rPr>
      </w:pPr>
      <w:r w:rsidRPr="00083A1F">
        <w:t>2.4.2.</w:t>
      </w:r>
      <w:r w:rsidRPr="00083A1F">
        <w:tab/>
      </w:r>
      <w:r w:rsidR="00112815" w:rsidRPr="00BC09C3">
        <w:rPr>
          <w:noProof/>
        </w:rPr>
        <w:t>A kockázatelemzésre és -értékelésre vonatkozó közös biztonsági módszerre irányuló egységes műszaki előírás módosítása (GEN-G egységes műszaki előírás)</w:t>
      </w:r>
    </w:p>
    <w:p w14:paraId="0C16CF1B" w14:textId="77777777" w:rsidR="00EA4B8F" w:rsidRPr="00BC09C3" w:rsidRDefault="001B2C17" w:rsidP="00EA4B8F">
      <w:pPr>
        <w:rPr>
          <w:noProof/>
        </w:rPr>
      </w:pPr>
      <w:r w:rsidRPr="00BC09C3">
        <w:rPr>
          <w:noProof/>
        </w:rPr>
        <w:t>A GEN-G egységes műszaki előírás harmonizált eljárást állapít meg a vasúti rendszert vagy – amennyiben ezeket az egységes műszaki előírás előírja – a strukturális alrendszereket érintő jelentős változásokkal kapcsolatos kockázatok kezelésére. A GEN-G egységes műszaki előírás a közös biztonsági módszer keretében működő független értékelő testületekre alkalmazandó követelményeket is szabályozza. Ezek jelenleg egyenértékűek az (EU) 2015/1136 bizottsági végrehajtási rendelettel</w:t>
      </w:r>
      <w:r w:rsidRPr="00BC09C3">
        <w:rPr>
          <w:rStyle w:val="FootnoteReference"/>
          <w:noProof/>
        </w:rPr>
        <w:footnoteReference w:id="4"/>
      </w:r>
      <w:r w:rsidRPr="00BC09C3">
        <w:rPr>
          <w:noProof/>
        </w:rPr>
        <w:t xml:space="preserve"> módosított 402/2013/EU bizottsági végrehajtási rendeletben meghatározottakkal.</w:t>
      </w:r>
    </w:p>
    <w:p w14:paraId="0C16CF1C" w14:textId="77777777" w:rsidR="00EA4B8F" w:rsidRPr="00BC09C3" w:rsidRDefault="00EA4B8F" w:rsidP="00EA4B8F">
      <w:pPr>
        <w:rPr>
          <w:noProof/>
        </w:rPr>
      </w:pPr>
      <w:r w:rsidRPr="00BC09C3">
        <w:rPr>
          <w:noProof/>
        </w:rPr>
        <w:t xml:space="preserve">A javasolt felülvizsgálat kiterjeszti a GEN-G egységes műszaki előírás hatályát, így az ki fog terjedni az EST egységes szabályok hatálya alá tartozó biztonságirányítási rendszerrel kapcsolatos kockázatelemzésre és -értékelésekre. </w:t>
      </w:r>
    </w:p>
    <w:p w14:paraId="0C16CF1D" w14:textId="77777777" w:rsidR="00EA4B8F" w:rsidRPr="00BC09C3" w:rsidRDefault="00EA4B8F" w:rsidP="00EA4B8F">
      <w:pPr>
        <w:rPr>
          <w:noProof/>
        </w:rPr>
      </w:pPr>
      <w:r w:rsidRPr="00BC09C3">
        <w:rPr>
          <w:noProof/>
        </w:rPr>
        <w:t>A javaslat nem módosítja az APTU és az ATMF egységes szabályok hatálya alá tartozó kérelmekre vonatkozó kockázatértékelési és -elfogadási rendelkezéseket. Ezek a kérelmek elsősorban olyan új termékek értékelésére vonatkoznak, mint a járművek, a járművek karbantartása, illetve a termékek tervezésének, szerkezetének vagy karbantartásának módosítása, feltéve, hogy ezek a kérelmek az APTU és az ATMF egységes szabályok hatálya alá tartoznak.</w:t>
      </w:r>
    </w:p>
    <w:p w14:paraId="0C16CF1E" w14:textId="77777777" w:rsidR="00EA4B8F" w:rsidRPr="00BC09C3" w:rsidRDefault="00EA4B8F" w:rsidP="00EA4B8F">
      <w:pPr>
        <w:rPr>
          <w:noProof/>
        </w:rPr>
      </w:pPr>
      <w:r w:rsidRPr="00BC09C3">
        <w:rPr>
          <w:noProof/>
        </w:rPr>
        <w:t xml:space="preserve">A módosítások révén a kérelmek az EST egységes szabályok hatálya alá kerülnek. Ezek a kérelmek főként operatív és szervezeti módosításokra – többek között a biztonságirányítási rendszer módosításaira – irányulnak, feltéve, hogy az EST egységes szabályok hatálya alá tartoznak. </w:t>
      </w:r>
    </w:p>
    <w:p w14:paraId="0C16CF1F" w14:textId="77777777" w:rsidR="00852C39" w:rsidRPr="00BC09C3" w:rsidRDefault="00852C39" w:rsidP="00852C39">
      <w:pPr>
        <w:rPr>
          <w:noProof/>
        </w:rPr>
      </w:pPr>
      <w:r w:rsidRPr="00BC09C3">
        <w:rPr>
          <w:noProof/>
        </w:rPr>
        <w:t xml:space="preserve">Következtetés: az Európai Unió megszavazhatja a GEN-G egységes műszaki előírás OTIF által javasolt módosítását. </w:t>
      </w:r>
    </w:p>
    <w:p w14:paraId="0C16CF20" w14:textId="5A215400" w:rsidR="00852C39" w:rsidRPr="00BC09C3" w:rsidRDefault="00083A1F" w:rsidP="00083A1F">
      <w:pPr>
        <w:pStyle w:val="ManualHeading3"/>
        <w:rPr>
          <w:noProof/>
        </w:rPr>
      </w:pPr>
      <w:r w:rsidRPr="00083A1F">
        <w:t>2.4.3.</w:t>
      </w:r>
      <w:r w:rsidRPr="00083A1F">
        <w:tab/>
      </w:r>
      <w:r w:rsidR="00852C39" w:rsidRPr="00BC09C3">
        <w:rPr>
          <w:noProof/>
        </w:rPr>
        <w:t>A Műszaki Szakértői Bizottság (CTE) eljárási szabályzatának módosítása</w:t>
      </w:r>
    </w:p>
    <w:p w14:paraId="0C16CF21" w14:textId="77777777" w:rsidR="00467FFC" w:rsidRPr="00BC09C3" w:rsidRDefault="00467FFC" w:rsidP="00467FFC">
      <w:pPr>
        <w:rPr>
          <w:noProof/>
        </w:rPr>
      </w:pPr>
      <w:r w:rsidRPr="00BC09C3">
        <w:rPr>
          <w:noProof/>
        </w:rPr>
        <w:t>A COTIF 16. cikkének (10) bekezdése előírja, hogy a CTE-nek meg kell állapítania eljárási szabályzatát. Ez utóbbi célja annak biztosítása, hogy a megbeszélésekre rendezett keretek között kerüljön sor, és hogy valamennyi résztvevő jogai és kötelezettségei egyértelműek legyenek.</w:t>
      </w:r>
    </w:p>
    <w:p w14:paraId="0C16CF22" w14:textId="77777777" w:rsidR="00057DB1" w:rsidRPr="00BC09C3" w:rsidRDefault="00467FFC" w:rsidP="00467FFC">
      <w:pPr>
        <w:rPr>
          <w:noProof/>
        </w:rPr>
      </w:pPr>
      <w:r w:rsidRPr="00BC09C3">
        <w:rPr>
          <w:noProof/>
        </w:rPr>
        <w:t xml:space="preserve">Az eljárási szabályzat javasolt módosításának célja a következő: </w:t>
      </w:r>
    </w:p>
    <w:p w14:paraId="0C16CF23" w14:textId="77777777" w:rsidR="00467FFC" w:rsidRPr="00BC09C3" w:rsidRDefault="00467FFC" w:rsidP="00834F01">
      <w:pPr>
        <w:pStyle w:val="Tiret0"/>
        <w:numPr>
          <w:ilvl w:val="0"/>
          <w:numId w:val="16"/>
        </w:numPr>
        <w:rPr>
          <w:noProof/>
        </w:rPr>
      </w:pPr>
      <w:r w:rsidRPr="00BC09C3">
        <w:rPr>
          <w:noProof/>
        </w:rPr>
        <w:t>a Covid19-világjárvány óta kialakult gyakorlatoknak és különösen annak a figyelembevétele, hogy a hibrid ülések általánossá váltak;</w:t>
      </w:r>
    </w:p>
    <w:p w14:paraId="0C16CF24" w14:textId="77777777" w:rsidR="001E0254" w:rsidRPr="00BC09C3" w:rsidRDefault="001E0254" w:rsidP="00834F01">
      <w:pPr>
        <w:pStyle w:val="Tiret0"/>
        <w:numPr>
          <w:ilvl w:val="0"/>
          <w:numId w:val="16"/>
        </w:numPr>
        <w:rPr>
          <w:noProof/>
        </w:rPr>
      </w:pPr>
      <w:r w:rsidRPr="00BC09C3">
        <w:rPr>
          <w:noProof/>
        </w:rPr>
        <w:t>az OTIF jogi ügyekkel és nemzetközi együttműködéssel foglalkozó ad hoc bizottsága által 2022. április 5-én elfogadott, az érdekelt feleknek az OTIF munkájában való részvételére vonatkozó ajánlás figyelembevétele;</w:t>
      </w:r>
    </w:p>
    <w:p w14:paraId="0C16CF25" w14:textId="77777777" w:rsidR="00467FFC" w:rsidRPr="00BC09C3" w:rsidRDefault="001E0254" w:rsidP="00834F01">
      <w:pPr>
        <w:pStyle w:val="Tiret0"/>
        <w:numPr>
          <w:ilvl w:val="0"/>
          <w:numId w:val="16"/>
        </w:numPr>
        <w:rPr>
          <w:noProof/>
        </w:rPr>
      </w:pPr>
      <w:r w:rsidRPr="00BC09C3">
        <w:rPr>
          <w:noProof/>
        </w:rPr>
        <w:t>a CTE azon új gyakorlatának tükrözése, hogy röviddel az ülései után listát ad ki a határozatairól;</w:t>
      </w:r>
    </w:p>
    <w:p w14:paraId="0C16CF26" w14:textId="77777777" w:rsidR="00467FFC" w:rsidRPr="00BC09C3" w:rsidRDefault="001E0254" w:rsidP="00834F01">
      <w:pPr>
        <w:pStyle w:val="Tiret0"/>
        <w:numPr>
          <w:ilvl w:val="0"/>
          <w:numId w:val="16"/>
        </w:numPr>
        <w:rPr>
          <w:noProof/>
        </w:rPr>
      </w:pPr>
      <w:r w:rsidRPr="00BC09C3">
        <w:rPr>
          <w:noProof/>
        </w:rPr>
        <w:t>a CTE 14. ülésén hozott azon döntés tükrözése, amelynek értelmében a szerződő államoknak és a regionális szervezeteknek kapcsolattartási pontokat kell kijelölniük.</w:t>
      </w:r>
    </w:p>
    <w:p w14:paraId="0C16CF27" w14:textId="77777777" w:rsidR="007E7706" w:rsidRPr="00BC09C3" w:rsidRDefault="005E6B3D" w:rsidP="0041752A">
      <w:pPr>
        <w:rPr>
          <w:noProof/>
        </w:rPr>
      </w:pPr>
      <w:r w:rsidRPr="00BC09C3">
        <w:rPr>
          <w:noProof/>
        </w:rPr>
        <w:t>Következtetés: az Európai Unió megszavazhatja a CTE eljárási szabályzatának az OTIF által javasolt formában történő módosítását.</w:t>
      </w:r>
    </w:p>
    <w:p w14:paraId="0C16CF28" w14:textId="0C0C979F" w:rsidR="00210CE9" w:rsidRPr="00BC09C3" w:rsidRDefault="00083A1F" w:rsidP="00083A1F">
      <w:pPr>
        <w:pStyle w:val="ManualHeading3"/>
        <w:rPr>
          <w:noProof/>
        </w:rPr>
      </w:pPr>
      <w:r w:rsidRPr="00083A1F">
        <w:t>2.4.4.</w:t>
      </w:r>
      <w:r w:rsidRPr="00083A1F">
        <w:tab/>
      </w:r>
      <w:r w:rsidR="00210CE9" w:rsidRPr="00BC09C3">
        <w:rPr>
          <w:noProof/>
        </w:rPr>
        <w:t>A fuvarozási szolgáltatások telematikai alkalmazásaira vonatkozó egységes műszaki előírás (FTA egységes műszaki előírás) I. függelékében felsorolt FTA ÁME műszaki dokumentációk hivatkozásainak naprakésszé tétele</w:t>
      </w:r>
    </w:p>
    <w:p w14:paraId="0C16CF29" w14:textId="77777777" w:rsidR="00200969" w:rsidRPr="00BC09C3" w:rsidRDefault="00200969" w:rsidP="0041752A">
      <w:pPr>
        <w:rPr>
          <w:noProof/>
        </w:rPr>
      </w:pPr>
      <w:r w:rsidRPr="00BC09C3">
        <w:rPr>
          <w:noProof/>
        </w:rPr>
        <w:t>A 2017. december 1-je óta hatályos FTA egységes műszaki előírás meghatározza a vasúti társaságok és a pályahálózat-működtetők közötti kommunikációs folyamatra, a vonatok és a kocsik mozgásának nyomon követésére szánt adatbázisokra, illetve a fuvaroztatóknak nyújtandó tájékoztatásra vonatkozó követelményeket. Az egységes műszaki előírás egyenértékű az Európai Unió vasúti rendszerének a fuvarozási szolgáltatások telematikai alkalmazásai elnevezésű alrendszerére vonatkozó átjárhatósági műszaki előírásokról szóló, 2014. december 11-i 1305/2014/EU bizottsági rendelettel</w:t>
      </w:r>
      <w:r w:rsidRPr="00BC09C3">
        <w:rPr>
          <w:rStyle w:val="FootnoteReference"/>
          <w:noProof/>
        </w:rPr>
        <w:footnoteReference w:id="5"/>
      </w:r>
      <w:r w:rsidRPr="00BC09C3">
        <w:rPr>
          <w:noProof/>
        </w:rPr>
        <w:t xml:space="preserve"> (FTA ÁME). A rendeletet 2021. március 26-án módosította az (EU) 2021/541 rendelet</w:t>
      </w:r>
      <w:r w:rsidRPr="00BC09C3">
        <w:rPr>
          <w:rStyle w:val="FootnoteReference"/>
          <w:noProof/>
        </w:rPr>
        <w:footnoteReference w:id="6"/>
      </w:r>
      <w:r w:rsidRPr="00BC09C3">
        <w:rPr>
          <w:noProof/>
        </w:rPr>
        <w:t>.</w:t>
      </w:r>
    </w:p>
    <w:p w14:paraId="0C16CF2A" w14:textId="06FBBBBA" w:rsidR="00210CE9" w:rsidRPr="00BC09C3" w:rsidRDefault="00210CE9" w:rsidP="0041752A">
      <w:pPr>
        <w:rPr>
          <w:noProof/>
        </w:rPr>
      </w:pPr>
      <w:r w:rsidRPr="00BC09C3">
        <w:rPr>
          <w:noProof/>
        </w:rPr>
        <w:t>Az FTA egységes műszaki előírás hivatkozik az FTA ÁME műszaki dokumentumaira</w:t>
      </w:r>
      <w:r w:rsidRPr="00BC09C3">
        <w:rPr>
          <w:rStyle w:val="FootnoteReference"/>
          <w:noProof/>
        </w:rPr>
        <w:footnoteReference w:id="7"/>
      </w:r>
      <w:r w:rsidRPr="00BC09C3">
        <w:rPr>
          <w:noProof/>
        </w:rPr>
        <w:t>, amelyek az Európai Unió Vasúti Ügynökségének (ERA) honlapján kerülnek közzétételre és rendszeres aktualizálásra. E hivatkozást úgy foglalták bele az egységes műszaki előírásba, hogy az informatikai rendelkezéseket a COTIF rögzíti ugyan, de az ERA gondozza. Az ilyen hivatkozások módosítása formálisan az FTA egységes műszaki előírás módosításának minősül, ezért arról a COTIF 20. cikke 1. bekezdésének b) pontjával és az APTU 6. és 8a. cikkével összhangban a Műszaki Szakértői Bizottságnak kell határozatot hoznia.</w:t>
      </w:r>
    </w:p>
    <w:p w14:paraId="0C16CF2B" w14:textId="77777777" w:rsidR="00210CE9" w:rsidRPr="00BC09C3" w:rsidRDefault="00210CE9" w:rsidP="0041752A">
      <w:pPr>
        <w:rPr>
          <w:noProof/>
        </w:rPr>
      </w:pPr>
      <w:r w:rsidRPr="00BC09C3">
        <w:rPr>
          <w:noProof/>
        </w:rPr>
        <w:t>Következésképpen az FTA egységes műszaki előírás I. függelékében említett műszaki dokumentációt módosítani kell a hibák kijavítása, a visszajelzések figyelembevétele, a technikai fejlődés követése és az EU-ban alkalmazott előírásokkal való egyenértékűség fenntartása érdekében.</w:t>
      </w:r>
    </w:p>
    <w:p w14:paraId="0C16CF2C" w14:textId="77777777" w:rsidR="00210CE9" w:rsidRPr="00BC09C3" w:rsidRDefault="00210CE9" w:rsidP="0041752A">
      <w:pPr>
        <w:rPr>
          <w:noProof/>
        </w:rPr>
      </w:pPr>
      <w:r w:rsidRPr="00BC09C3">
        <w:rPr>
          <w:noProof/>
        </w:rPr>
        <w:t>Következtetés: az Európai Unió megszavazhatja az FTA ÁME műszaki dokumentumaira tett hivatkozások OTIF által javasolt naprakésszé tételét.</w:t>
      </w:r>
    </w:p>
    <w:p w14:paraId="0C16CF2D" w14:textId="1C372ED6" w:rsidR="00B87A6F" w:rsidRPr="00BC09C3" w:rsidRDefault="00083A1F" w:rsidP="00083A1F">
      <w:pPr>
        <w:pStyle w:val="ManualHeading2"/>
        <w:rPr>
          <w:noProof/>
        </w:rPr>
      </w:pPr>
      <w:r w:rsidRPr="00083A1F">
        <w:t>2.5.</w:t>
      </w:r>
      <w:r w:rsidRPr="00083A1F">
        <w:tab/>
      </w:r>
      <w:r w:rsidR="00B87A6F" w:rsidRPr="00BC09C3">
        <w:rPr>
          <w:noProof/>
        </w:rPr>
        <w:t xml:space="preserve">Uniós hatáskör és szavazati jog </w:t>
      </w:r>
    </w:p>
    <w:p w14:paraId="0C16CF2E" w14:textId="77777777" w:rsidR="00B87A6F" w:rsidRPr="00BC09C3" w:rsidRDefault="00B87A6F" w:rsidP="00EA14F5">
      <w:pPr>
        <w:rPr>
          <w:noProof/>
        </w:rPr>
      </w:pPr>
      <w:r w:rsidRPr="00BC09C3">
        <w:rPr>
          <w:noProof/>
        </w:rPr>
        <w:t>Az Európai Unió és a Nemzetközi Vasúti Fuvarozásügyi Államközi Szervezet között létrejött, az Európai Unió COTIF-egyezményhez való csatlakozásáról szóló, a 2011. június 16-i tanácsi határozattal jóváhagyott megállapodás 6. cikke az alábbiakat mondja ki:</w:t>
      </w:r>
    </w:p>
    <w:p w14:paraId="0C16CF2F" w14:textId="77777777" w:rsidR="00B87A6F" w:rsidRPr="00BC09C3" w:rsidRDefault="00B87A6F" w:rsidP="00EA14F5">
      <w:pPr>
        <w:rPr>
          <w:noProof/>
        </w:rPr>
      </w:pPr>
      <w:r w:rsidRPr="00BC09C3">
        <w:rPr>
          <w:noProof/>
        </w:rPr>
        <w:t xml:space="preserve">„(1) Az Unió kizárólagos hatáskörébe tartozó ügyekre vonatkozó döntések során az Unió tagállamainak az Egyezmény szerinti szavazati jogát az Unió gyakorolja. </w:t>
      </w:r>
    </w:p>
    <w:p w14:paraId="0C16CF30" w14:textId="77777777" w:rsidR="00B87A6F" w:rsidRPr="00BC09C3" w:rsidRDefault="00B87A6F" w:rsidP="00EA14F5">
      <w:pPr>
        <w:rPr>
          <w:noProof/>
        </w:rPr>
      </w:pPr>
      <w:r w:rsidRPr="00BC09C3">
        <w:rPr>
          <w:noProof/>
        </w:rPr>
        <w:t xml:space="preserve">(2) Az Unió és tagállamai megosztott hatáskörébe tartozó ügyekre vonatkozó döntések esetén vagy az Unió, vagy annak tagállamai szavaznak. </w:t>
      </w:r>
    </w:p>
    <w:p w14:paraId="0C16CF31" w14:textId="77777777" w:rsidR="00B87A6F" w:rsidRPr="00BC09C3" w:rsidRDefault="00B87A6F" w:rsidP="00EA14F5">
      <w:pPr>
        <w:rPr>
          <w:noProof/>
        </w:rPr>
      </w:pPr>
      <w:r w:rsidRPr="00BC09C3">
        <w:rPr>
          <w:noProof/>
        </w:rPr>
        <w:t>(3) Az Egyezmény 26. cikkének (7) bekezdésére is figyelemmel, az Unió az Egyezmény feleinek is minősülő tagállamaival egyenlő számú szavazattal rendelkezik. Amennyiben az Unió él szavazati jogával, tagállamai nem szavazhatnak.”</w:t>
      </w:r>
    </w:p>
    <w:p w14:paraId="0C16CF32" w14:textId="77777777" w:rsidR="00A16012" w:rsidRPr="00BC09C3" w:rsidRDefault="00B87A6F" w:rsidP="00E12235">
      <w:pPr>
        <w:rPr>
          <w:noProof/>
        </w:rPr>
      </w:pPr>
      <w:r w:rsidRPr="00BC09C3">
        <w:rPr>
          <w:noProof/>
        </w:rPr>
        <w:t xml:space="preserve">Az uniós jog alapján az Unió kizárólagos hatáskörrel rendelkezik a vasúti közlekedéssel kapcsolatos ügyekben, amennyiben a COTIF, illetve az ez alapján elfogadott jogi aktusok ezen meglévő uniós szabályok hatályát érinthetik vagy megváltoztathatják. </w:t>
      </w:r>
    </w:p>
    <w:p w14:paraId="0C16CF33" w14:textId="77777777" w:rsidR="00311FEA" w:rsidRPr="00BC09C3" w:rsidRDefault="00CD224A" w:rsidP="00EA14F5">
      <w:pPr>
        <w:keepNext/>
        <w:rPr>
          <w:noProof/>
        </w:rPr>
      </w:pPr>
      <w:r w:rsidRPr="00BC09C3">
        <w:rPr>
          <w:noProof/>
        </w:rPr>
        <w:t>A javasolt határozatok célja:</w:t>
      </w:r>
    </w:p>
    <w:p w14:paraId="0C16CF34" w14:textId="77777777" w:rsidR="00311FEA" w:rsidRPr="00BC09C3" w:rsidRDefault="00311FEA" w:rsidP="00834F01">
      <w:pPr>
        <w:pStyle w:val="Tiret0"/>
        <w:numPr>
          <w:ilvl w:val="0"/>
          <w:numId w:val="17"/>
        </w:numPr>
        <w:rPr>
          <w:noProof/>
        </w:rPr>
      </w:pPr>
      <w:r w:rsidRPr="00BC09C3">
        <w:rPr>
          <w:noProof/>
        </w:rPr>
        <w:t>az értékelést végző szervezetek képesítésére és függetlenségére vonatkozó egységes műszaki előírás összehangolása az (EU) 2016/797 európai parlamenti és tanácsi irányelvvel</w:t>
      </w:r>
      <w:r w:rsidRPr="00BC09C3">
        <w:rPr>
          <w:rStyle w:val="FootnoteReference"/>
          <w:noProof/>
        </w:rPr>
        <w:footnoteReference w:id="8"/>
      </w:r>
      <w:r w:rsidRPr="00BC09C3">
        <w:rPr>
          <w:noProof/>
        </w:rPr>
        <w:t xml:space="preserve">, </w:t>
      </w:r>
    </w:p>
    <w:p w14:paraId="0C16CF35" w14:textId="77777777" w:rsidR="00311FEA" w:rsidRPr="00BC09C3" w:rsidRDefault="00311FEA" w:rsidP="00834F01">
      <w:pPr>
        <w:pStyle w:val="Tiret0"/>
        <w:numPr>
          <w:ilvl w:val="0"/>
          <w:numId w:val="17"/>
        </w:numPr>
        <w:rPr>
          <w:noProof/>
        </w:rPr>
      </w:pPr>
      <w:r w:rsidRPr="00BC09C3">
        <w:rPr>
          <w:noProof/>
        </w:rPr>
        <w:t xml:space="preserve">a kockázatelemzésre és -értékelésre vonatkozó közös biztonsági módszerre irányuló egységes műszaki előírásnak a biztonságirányítási rendszerek tekintetében történő összehangolása a kockázatelemzésre és -értékelésre vonatkozó közös biztonsági módszerről és a 352/2009/EK rendelet hatályon kívül helyezéséről szóló, 2013. április 30-i 402/2013/EU bizottsági végrehajtási rendelettel, </w:t>
      </w:r>
    </w:p>
    <w:p w14:paraId="0C16CF36" w14:textId="77777777" w:rsidR="00532AA2" w:rsidRPr="00BC09C3" w:rsidRDefault="00532AA2" w:rsidP="00834F01">
      <w:pPr>
        <w:pStyle w:val="Tiret0"/>
        <w:numPr>
          <w:ilvl w:val="0"/>
          <w:numId w:val="17"/>
        </w:numPr>
        <w:rPr>
          <w:noProof/>
        </w:rPr>
      </w:pPr>
      <w:r w:rsidRPr="00BC09C3">
        <w:rPr>
          <w:noProof/>
        </w:rPr>
        <w:t>a CTE eljárási szabályzatának aktualizálása,</w:t>
      </w:r>
    </w:p>
    <w:p w14:paraId="0C16CF37" w14:textId="77777777" w:rsidR="00CD224A" w:rsidRPr="00BC09C3" w:rsidRDefault="00281C8E" w:rsidP="00834F01">
      <w:pPr>
        <w:pStyle w:val="Tiret0"/>
        <w:numPr>
          <w:ilvl w:val="0"/>
          <w:numId w:val="17"/>
        </w:numPr>
        <w:rPr>
          <w:noProof/>
        </w:rPr>
      </w:pPr>
      <w:r w:rsidRPr="00BC09C3">
        <w:rPr>
          <w:noProof/>
        </w:rPr>
        <w:t>az FTA egységes műszaki előírás I. függelékében felsorolt FTA ÁME műszaki dokumentációk hivatkozásainak összehangolása.</w:t>
      </w:r>
      <w:r w:rsidRPr="00BC09C3">
        <w:rPr>
          <w:rStyle w:val="FootnoteReference"/>
          <w:noProof/>
        </w:rPr>
        <w:footnoteReference w:id="9"/>
      </w:r>
    </w:p>
    <w:p w14:paraId="0C16CF38" w14:textId="77777777" w:rsidR="00676590" w:rsidRPr="00BC09C3" w:rsidRDefault="00676590" w:rsidP="00FB6427">
      <w:pPr>
        <w:rPr>
          <w:noProof/>
        </w:rPr>
      </w:pPr>
      <w:r w:rsidRPr="00BC09C3">
        <w:rPr>
          <w:noProof/>
        </w:rPr>
        <w:t xml:space="preserve">A határozatok elfogadása egyértelműen hatással lesz az uniós szabályokra. </w:t>
      </w:r>
    </w:p>
    <w:p w14:paraId="0C16CF39" w14:textId="77777777" w:rsidR="00676590" w:rsidRPr="00BC09C3" w:rsidRDefault="00676590" w:rsidP="00FB6427">
      <w:pPr>
        <w:rPr>
          <w:noProof/>
        </w:rPr>
      </w:pPr>
      <w:r w:rsidRPr="00BC09C3">
        <w:rPr>
          <w:noProof/>
        </w:rPr>
        <w:t xml:space="preserve">Az említett határozatok elfogadása tekintetében az Unió képviseletében a Bizottság fogja gyakorolni a szavazati jogot. </w:t>
      </w:r>
    </w:p>
    <w:p w14:paraId="0C16CF3A" w14:textId="3E13E4A4" w:rsidR="007024FE" w:rsidRPr="00BC09C3" w:rsidRDefault="00083A1F" w:rsidP="00083A1F">
      <w:pPr>
        <w:pStyle w:val="ManualHeading1"/>
        <w:rPr>
          <w:rFonts w:eastAsia="Arial Unicode MS"/>
          <w:noProof/>
        </w:rPr>
      </w:pPr>
      <w:r w:rsidRPr="00083A1F">
        <w:t>3.</w:t>
      </w:r>
      <w:r w:rsidRPr="00083A1F">
        <w:tab/>
      </w:r>
      <w:r w:rsidR="007024FE" w:rsidRPr="00BC09C3">
        <w:rPr>
          <w:noProof/>
        </w:rPr>
        <w:t>Az Unió által képviselendő álláspont</w:t>
      </w:r>
    </w:p>
    <w:p w14:paraId="0C16CF3B" w14:textId="77777777" w:rsidR="004230BF" w:rsidRPr="00BC09C3" w:rsidRDefault="00671A6A" w:rsidP="007E1523">
      <w:pPr>
        <w:rPr>
          <w:rFonts w:eastAsia="Arial Unicode MS"/>
          <w:noProof/>
        </w:rPr>
      </w:pPr>
      <w:r w:rsidRPr="00BC09C3">
        <w:rPr>
          <w:noProof/>
        </w:rPr>
        <w:t xml:space="preserve">A fentiekben ismertetett okokból az Uniónak meg kell szavaznia a javaslatot. </w:t>
      </w:r>
    </w:p>
    <w:p w14:paraId="0C16CF3C" w14:textId="77777D6E" w:rsidR="007024FE" w:rsidRPr="00BC09C3" w:rsidRDefault="00083A1F" w:rsidP="00083A1F">
      <w:pPr>
        <w:pStyle w:val="ManualHeading1"/>
        <w:rPr>
          <w:noProof/>
        </w:rPr>
      </w:pPr>
      <w:r w:rsidRPr="00083A1F">
        <w:t>4.</w:t>
      </w:r>
      <w:r w:rsidRPr="00083A1F">
        <w:tab/>
      </w:r>
      <w:r w:rsidR="007024FE" w:rsidRPr="00BC09C3">
        <w:rPr>
          <w:noProof/>
        </w:rPr>
        <w:t>Jogalap</w:t>
      </w:r>
    </w:p>
    <w:p w14:paraId="0C16CF3D" w14:textId="1496C7B1" w:rsidR="007024FE" w:rsidRPr="00BC09C3" w:rsidRDefault="00083A1F" w:rsidP="00083A1F">
      <w:pPr>
        <w:pStyle w:val="ManualHeading2"/>
        <w:rPr>
          <w:noProof/>
        </w:rPr>
      </w:pPr>
      <w:r w:rsidRPr="00083A1F">
        <w:t>4.1.</w:t>
      </w:r>
      <w:r w:rsidRPr="00083A1F">
        <w:tab/>
      </w:r>
      <w:r w:rsidR="007024FE" w:rsidRPr="00BC09C3">
        <w:rPr>
          <w:noProof/>
        </w:rPr>
        <w:t>Eljárási jogalap</w:t>
      </w:r>
    </w:p>
    <w:p w14:paraId="0C16CF3E" w14:textId="4CDB4FF2" w:rsidR="007024FE" w:rsidRPr="00BC09C3" w:rsidRDefault="00083A1F" w:rsidP="00083A1F">
      <w:pPr>
        <w:pStyle w:val="ManualHeading3"/>
        <w:rPr>
          <w:noProof/>
        </w:rPr>
      </w:pPr>
      <w:r w:rsidRPr="00083A1F">
        <w:t>4.1.1.</w:t>
      </w:r>
      <w:r w:rsidRPr="00083A1F">
        <w:tab/>
      </w:r>
      <w:r w:rsidR="007024FE" w:rsidRPr="00BC09C3">
        <w:rPr>
          <w:noProof/>
        </w:rPr>
        <w:t>Általános elvek</w:t>
      </w:r>
    </w:p>
    <w:p w14:paraId="0C16CF3F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 xml:space="preserve">Az Európai Unió működéséről szóló szerződés (a továbbiakban: EUMSZ) 218. cikkének (9) bekezdése határozatok elfogadásáról rendelkezik </w:t>
      </w:r>
      <w:r w:rsidRPr="00BC09C3">
        <w:rPr>
          <w:i/>
          <w:noProof/>
        </w:rPr>
        <w:t>„a megállapodásokkal létrehozott szervekben az Unió által képviselendő álláspontok kialakítására vonatkozóan, amennyiben az ilyen szervnek joghatással bíró jogi aktust kell elfogadnia, kivéve a megállapodás intézményi kereteit kiegészítő vagy módosító jogi aktusokat”.</w:t>
      </w:r>
    </w:p>
    <w:p w14:paraId="0C16CF40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>Az EUMSZ 218. cikkének (9) bekezdése attól függetlenül alkalmazandó, hogy az Unió tagja-e a szervnek vagy részes fele-e a megállapodásnak.</w:t>
      </w:r>
      <w:r w:rsidRPr="00BC09C3">
        <w:rPr>
          <w:rStyle w:val="FootnoteReference"/>
          <w:noProof/>
        </w:rPr>
        <w:footnoteReference w:id="10"/>
      </w:r>
    </w:p>
    <w:p w14:paraId="0C16CF41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 xml:space="preserve">A </w:t>
      </w:r>
      <w:r w:rsidRPr="00BC09C3">
        <w:rPr>
          <w:i/>
          <w:noProof/>
        </w:rPr>
        <w:t>„joghatással bíró jogi aktus”</w:t>
      </w:r>
      <w:r w:rsidRPr="00BC09C3">
        <w:rPr>
          <w:noProof/>
        </w:rPr>
        <w:t xml:space="preserve"> fogalmába beletartoznak a nemzetközi jognak a kérdéses szervet szabályozó szabályai szerint joghatással bíró jogi aktusok. Ezenfelül a fogalom magában foglalja azokat az eszközöket is, amelyek a nemzetközi jog szerint nem bírnak kötelező erővel, de </w:t>
      </w:r>
      <w:r w:rsidRPr="00BC09C3">
        <w:rPr>
          <w:i/>
          <w:noProof/>
        </w:rPr>
        <w:t>„meghatározó módon befolyásolják az uniós jogalkotó által [...] elfogadott szabályozás tartalmát”</w:t>
      </w:r>
      <w:r w:rsidRPr="00BC09C3">
        <w:rPr>
          <w:noProof/>
        </w:rPr>
        <w:t>.</w:t>
      </w:r>
      <w:r w:rsidRPr="00BC09C3">
        <w:rPr>
          <w:rStyle w:val="FootnoteReference"/>
          <w:noProof/>
        </w:rPr>
        <w:footnoteReference w:id="11"/>
      </w:r>
    </w:p>
    <w:p w14:paraId="0C16CF42" w14:textId="4F500BA3" w:rsidR="007024FE" w:rsidRPr="00BC09C3" w:rsidRDefault="00083A1F" w:rsidP="00083A1F">
      <w:pPr>
        <w:pStyle w:val="ManualHeading3"/>
        <w:rPr>
          <w:noProof/>
        </w:rPr>
      </w:pPr>
      <w:r w:rsidRPr="00083A1F">
        <w:t>4.1.2.</w:t>
      </w:r>
      <w:r w:rsidRPr="00083A1F">
        <w:tab/>
      </w:r>
      <w:r w:rsidR="007024FE" w:rsidRPr="00BC09C3">
        <w:rPr>
          <w:noProof/>
        </w:rPr>
        <w:t>A jelen esetre történő alkalmazás</w:t>
      </w:r>
    </w:p>
    <w:p w14:paraId="0C16CF43" w14:textId="77777777" w:rsidR="00CE0A79" w:rsidRPr="00BC09C3" w:rsidRDefault="00CE0A79" w:rsidP="00CE0A79">
      <w:pPr>
        <w:rPr>
          <w:noProof/>
        </w:rPr>
      </w:pPr>
      <w:r w:rsidRPr="00BC09C3">
        <w:rPr>
          <w:noProof/>
        </w:rPr>
        <w:t xml:space="preserve">A CTE egy megállapodás által, nevezetesen a COTIF-egyezmény és különösen annak 13. cikke (1) bekezdésének c) és f) pontja által létrehozott testület. </w:t>
      </w:r>
    </w:p>
    <w:p w14:paraId="0C16CF44" w14:textId="77777777" w:rsidR="00CE0A79" w:rsidRPr="00BC09C3" w:rsidRDefault="00CE0A79" w:rsidP="00CE0A79">
      <w:pPr>
        <w:rPr>
          <w:noProof/>
        </w:rPr>
      </w:pPr>
      <w:r w:rsidRPr="00BC09C3">
        <w:rPr>
          <w:noProof/>
        </w:rPr>
        <w:t xml:space="preserve">A CTE által a 15. ülésén elfogadandó jogi aktusok joghatással bíró jogi aktusok. </w:t>
      </w:r>
    </w:p>
    <w:p w14:paraId="0C16CF45" w14:textId="77777777" w:rsidR="00CE0A79" w:rsidRPr="00BC09C3" w:rsidRDefault="00CE0A79" w:rsidP="00CE0A79">
      <w:pPr>
        <w:rPr>
          <w:noProof/>
        </w:rPr>
      </w:pPr>
      <w:r w:rsidRPr="00BC09C3">
        <w:rPr>
          <w:noProof/>
        </w:rPr>
        <w:t xml:space="preserve">A tervezett jogi aktusok módosítják az OTIF jogi keretét. Mivel az Unió a COTIF teljes jogú szerződő fele, a tervezett jogi aktusok az EU-COTIF csatlakozási megállapodással összhangban a nemzetközi jog alapján kötelező érvényűek lesznek az Unióra nézve. </w:t>
      </w:r>
    </w:p>
    <w:p w14:paraId="0C16CF46" w14:textId="77777777" w:rsidR="00CE0A79" w:rsidRPr="00BC09C3" w:rsidRDefault="00CE0A79" w:rsidP="007E1523">
      <w:pPr>
        <w:rPr>
          <w:noProof/>
        </w:rPr>
      </w:pPr>
      <w:r w:rsidRPr="00BC09C3">
        <w:rPr>
          <w:noProof/>
        </w:rPr>
        <w:t>Ezért a javasolt határozat eljárási jogalapja az EUMSZ 218. cikkének (9) bekezdése.</w:t>
      </w:r>
    </w:p>
    <w:p w14:paraId="0C16CF47" w14:textId="09139537" w:rsidR="003321A5" w:rsidRPr="00BC09C3" w:rsidRDefault="00083A1F" w:rsidP="00083A1F">
      <w:pPr>
        <w:pStyle w:val="ManualHeading2"/>
        <w:rPr>
          <w:noProof/>
        </w:rPr>
      </w:pPr>
      <w:r w:rsidRPr="00083A1F">
        <w:t>4.2.</w:t>
      </w:r>
      <w:r w:rsidRPr="00083A1F">
        <w:tab/>
      </w:r>
      <w:r w:rsidR="003321A5" w:rsidRPr="00BC09C3">
        <w:rPr>
          <w:noProof/>
        </w:rPr>
        <w:t>Anyagi jogalap</w:t>
      </w:r>
    </w:p>
    <w:p w14:paraId="0C16CF48" w14:textId="10A445B9" w:rsidR="003321A5" w:rsidRPr="00BC09C3" w:rsidRDefault="00083A1F" w:rsidP="00083A1F">
      <w:pPr>
        <w:pStyle w:val="ManualHeading3"/>
        <w:rPr>
          <w:noProof/>
        </w:rPr>
      </w:pPr>
      <w:r w:rsidRPr="00083A1F">
        <w:t>4.2.1.</w:t>
      </w:r>
      <w:r w:rsidRPr="00083A1F">
        <w:tab/>
      </w:r>
      <w:r w:rsidR="003321A5" w:rsidRPr="00BC09C3">
        <w:rPr>
          <w:noProof/>
        </w:rPr>
        <w:t>Általános elvek</w:t>
      </w:r>
    </w:p>
    <w:p w14:paraId="0C16CF49" w14:textId="77777777" w:rsidR="003321A5" w:rsidRPr="00BC09C3" w:rsidRDefault="003321A5" w:rsidP="003321A5">
      <w:pPr>
        <w:rPr>
          <w:noProof/>
        </w:rPr>
      </w:pPr>
      <w:r w:rsidRPr="00BC09C3">
        <w:rPr>
          <w:noProof/>
        </w:rPr>
        <w:t>Az EUMSZ 218. cikkének (9) bekezdése szerinti határozat anyagi jogalapja elsősorban azon tervezett jogi aktus célkitűzésétől és tartalmától függ, amellyel kapcsolatban az Unió által képviselendő álláspont meghatározásra kerül.</w:t>
      </w:r>
    </w:p>
    <w:p w14:paraId="0C16CF4A" w14:textId="7CEFA545" w:rsidR="003321A5" w:rsidRPr="00BC09C3" w:rsidRDefault="00083A1F" w:rsidP="00083A1F">
      <w:pPr>
        <w:pStyle w:val="ManualHeading3"/>
        <w:rPr>
          <w:noProof/>
        </w:rPr>
      </w:pPr>
      <w:r w:rsidRPr="00083A1F">
        <w:t>4.2.2.</w:t>
      </w:r>
      <w:r w:rsidRPr="00083A1F">
        <w:tab/>
      </w:r>
      <w:r w:rsidR="003321A5" w:rsidRPr="00BC09C3">
        <w:rPr>
          <w:noProof/>
        </w:rPr>
        <w:t>A jelen esetre történő alkalmazás</w:t>
      </w:r>
    </w:p>
    <w:p w14:paraId="0C16CF4B" w14:textId="77777777" w:rsidR="00BD1430" w:rsidRPr="00BC09C3" w:rsidRDefault="003321A5" w:rsidP="003321A5">
      <w:pPr>
        <w:rPr>
          <w:noProof/>
        </w:rPr>
      </w:pPr>
      <w:r w:rsidRPr="00BC09C3">
        <w:rPr>
          <w:noProof/>
        </w:rPr>
        <w:t>A tervezett jogi aktus elsődleges célkitűzése és tartalma a nemzetközi vasúti fuvarozással kapcsolatos.</w:t>
      </w:r>
    </w:p>
    <w:p w14:paraId="0C16CF4C" w14:textId="77777777" w:rsidR="003321A5" w:rsidRPr="00BC09C3" w:rsidRDefault="003321A5" w:rsidP="003321A5">
      <w:pPr>
        <w:rPr>
          <w:i/>
          <w:noProof/>
        </w:rPr>
      </w:pPr>
      <w:r w:rsidRPr="00BC09C3">
        <w:rPr>
          <w:noProof/>
        </w:rPr>
        <w:t>A javasolt határozat anyagi jogalapja ezért az EUMSZ 91. cikke.</w:t>
      </w:r>
    </w:p>
    <w:p w14:paraId="0C16CF4D" w14:textId="6B5A294F" w:rsidR="007024FE" w:rsidRPr="00BC09C3" w:rsidRDefault="00083A1F" w:rsidP="00083A1F">
      <w:pPr>
        <w:pStyle w:val="ManualHeading2"/>
        <w:rPr>
          <w:noProof/>
        </w:rPr>
      </w:pPr>
      <w:r w:rsidRPr="00083A1F">
        <w:t>4.3.</w:t>
      </w:r>
      <w:r w:rsidRPr="00083A1F">
        <w:tab/>
      </w:r>
      <w:r w:rsidR="007024FE" w:rsidRPr="00BC09C3">
        <w:rPr>
          <w:noProof/>
        </w:rPr>
        <w:t>Következtetés</w:t>
      </w:r>
    </w:p>
    <w:p w14:paraId="0C16CF4E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>A javasolt határozat jogalapja az EUMSZ 91. cikke, összefüggésben az EUMSZ 218. cikkének (9) bekezdésével.</w:t>
      </w:r>
    </w:p>
    <w:p w14:paraId="0C16CF4F" w14:textId="77777777" w:rsidR="007024FE" w:rsidRPr="00BC09C3" w:rsidRDefault="007024FE" w:rsidP="007E1523">
      <w:pPr>
        <w:rPr>
          <w:noProof/>
        </w:rPr>
        <w:sectPr w:rsidR="007024FE" w:rsidRPr="00BC09C3" w:rsidSect="00EF0819"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14:paraId="30204E5E" w14:textId="6BA756D2" w:rsidR="008145A2" w:rsidRDefault="008145A2" w:rsidP="008145A2">
      <w:pPr>
        <w:pStyle w:val="Rfrenceinterinstitutionnelle"/>
        <w:rPr>
          <w:noProof/>
        </w:rPr>
      </w:pPr>
      <w:r w:rsidRPr="008145A2">
        <w:t>2023/0091 (NLE)</w:t>
      </w:r>
    </w:p>
    <w:p w14:paraId="0C16CF50" w14:textId="32598A6D" w:rsidR="007024FE" w:rsidRPr="00BC09C3" w:rsidRDefault="00BC09C3" w:rsidP="00BC09C3">
      <w:pPr>
        <w:pStyle w:val="Statut"/>
        <w:rPr>
          <w:noProof/>
        </w:rPr>
      </w:pPr>
      <w:r w:rsidRPr="00BC09C3">
        <w:rPr>
          <w:noProof/>
        </w:rPr>
        <w:t>Javaslat</w:t>
      </w:r>
    </w:p>
    <w:p w14:paraId="0C16CF51" w14:textId="45C66FBD" w:rsidR="007024FE" w:rsidRPr="00BC09C3" w:rsidRDefault="00BC09C3" w:rsidP="00BC09C3">
      <w:pPr>
        <w:pStyle w:val="Typedudocument"/>
        <w:rPr>
          <w:noProof/>
        </w:rPr>
      </w:pPr>
      <w:r w:rsidRPr="00BC09C3">
        <w:rPr>
          <w:noProof/>
        </w:rPr>
        <w:t>A TANÁCS HATÁROZATA</w:t>
      </w:r>
    </w:p>
    <w:p w14:paraId="0C16CF52" w14:textId="2AF8279A" w:rsidR="007E1089" w:rsidRPr="00BC09C3" w:rsidRDefault="00BC09C3" w:rsidP="00BC09C3">
      <w:pPr>
        <w:pStyle w:val="Titreobjet"/>
        <w:rPr>
          <w:noProof/>
        </w:rPr>
      </w:pPr>
      <w:r w:rsidRPr="00BC09C3">
        <w:rPr>
          <w:noProof/>
        </w:rPr>
        <w:t>az Európai Unió által a Nemzetközi Vasúti Fuvarozásügyi Államközi Szervezet (OTIF) Műszaki Szakértői Bizottságának 15. ülésén az értékelést végző szervezetek képesítésére és függetlenségére, valamint a kockázatelemzésre és -értékelésre vonatkozó közös biztonsági módszerre irányuló egységes műszaki előírások módosítása, a Műszaki Szakértői Bizottság eljárási szabályzatának módosítása, továbbá az FTA egységes műszaki előírás I. függelékében felsorolt FTA ÁME műszaki dokumentációk hivatkozásainak naprakésszé tétele tekintetében képviselendő álláspontról</w:t>
      </w:r>
    </w:p>
    <w:p w14:paraId="0C16CF53" w14:textId="77777777" w:rsidR="007024FE" w:rsidRPr="00BC09C3" w:rsidRDefault="007024FE" w:rsidP="007E1523">
      <w:pPr>
        <w:pStyle w:val="Institutionquiagit"/>
        <w:rPr>
          <w:b/>
          <w:noProof/>
        </w:rPr>
      </w:pPr>
      <w:r w:rsidRPr="00BC09C3">
        <w:rPr>
          <w:b/>
          <w:noProof/>
        </w:rPr>
        <w:t>AZ EURÓPAI UNIÓ TANÁCSA,</w:t>
      </w:r>
    </w:p>
    <w:p w14:paraId="0C16CF54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>tekintettel az Európai Unió működéséről szóló szerződésre és különösen annak 91. cikkére, összefüggésben 218. cikke (9) bekezdésével,</w:t>
      </w:r>
    </w:p>
    <w:p w14:paraId="0C16CF55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>tekintettel az Európai Bizottság javaslatára,</w:t>
      </w:r>
    </w:p>
    <w:p w14:paraId="0C16CF56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>mivel:</w:t>
      </w:r>
    </w:p>
    <w:p w14:paraId="0C16CF57" w14:textId="2952DFA3" w:rsidR="00C4366E" w:rsidRPr="00BC09C3" w:rsidRDefault="00083A1F" w:rsidP="00083A1F">
      <w:pPr>
        <w:pStyle w:val="ManualConsidrant"/>
        <w:rPr>
          <w:noProof/>
        </w:rPr>
      </w:pPr>
      <w:r w:rsidRPr="00083A1F">
        <w:t>(1)</w:t>
      </w:r>
      <w:r w:rsidRPr="00083A1F">
        <w:tab/>
      </w:r>
      <w:r w:rsidR="00C4366E" w:rsidRPr="00BC09C3">
        <w:rPr>
          <w:noProof/>
        </w:rPr>
        <w:t>Az Unió a 2013/103/EU tanácsi határozattal, valamint az Európai Uniónak a COTIF-egyezményhez való csatlakozásáról szóló, az Európai Unió és a Nemzetközi Vasúti Fuvarozásügyi Államközi Szervezet (OTIF) között létrejött megállapodással (a továbbiakban: megállapodás) összhangban csatlakozott az 1999. június 3-i vilniusi jegyzőkönyvvel módosított, 1980. május 9-i Nemzetközi Vasúti Fuvarozási Egyezményhez (a továbbiakban: COTIF).</w:t>
      </w:r>
      <w:r w:rsidR="00C4366E" w:rsidRPr="00BC09C3">
        <w:rPr>
          <w:rStyle w:val="FootnoteReference"/>
          <w:noProof/>
        </w:rPr>
        <w:footnoteReference w:id="12"/>
      </w:r>
      <w:r w:rsidR="00C4366E" w:rsidRPr="00BC09C3">
        <w:rPr>
          <w:noProof/>
        </w:rPr>
        <w:t xml:space="preserve"> </w:t>
      </w:r>
    </w:p>
    <w:p w14:paraId="0C16CF58" w14:textId="4A93F60B" w:rsidR="00502857" w:rsidRPr="00BC09C3" w:rsidRDefault="00083A1F" w:rsidP="00083A1F">
      <w:pPr>
        <w:pStyle w:val="ManualConsidrant"/>
        <w:rPr>
          <w:noProof/>
        </w:rPr>
      </w:pPr>
      <w:r w:rsidRPr="00083A1F">
        <w:t>(2)</w:t>
      </w:r>
      <w:r w:rsidRPr="00083A1F">
        <w:tab/>
      </w:r>
      <w:r w:rsidR="00C4366E" w:rsidRPr="00BC09C3">
        <w:rPr>
          <w:noProof/>
        </w:rPr>
        <w:t xml:space="preserve">A COTIF 13. cikke (1) bekezdésének f) pontja értelmében létrejött az OTIF Műszaki Szakértői Bizottsága (CTE). </w:t>
      </w:r>
    </w:p>
    <w:p w14:paraId="0C16CF59" w14:textId="0A250DED" w:rsidR="00210CE9" w:rsidRPr="00BC09C3" w:rsidRDefault="00083A1F" w:rsidP="00083A1F">
      <w:pPr>
        <w:pStyle w:val="ManualConsidrant"/>
        <w:rPr>
          <w:noProof/>
        </w:rPr>
      </w:pPr>
      <w:r w:rsidRPr="00083A1F">
        <w:t>(3)</w:t>
      </w:r>
      <w:r w:rsidRPr="00083A1F">
        <w:tab/>
      </w:r>
      <w:r w:rsidR="002D6581" w:rsidRPr="00BC09C3">
        <w:rPr>
          <w:noProof/>
        </w:rPr>
        <w:t>A COTIF 20. cikke (1) bekezdésének b) pontja és a – COTIF F. függelékét képező – nemzetközi forgalomban használni tervezett vasúti berendezésekre vonatkozó műszaki szabványok érvényesítésére és egységes műszaki előírások elfogadására vonatkozó egységes szabályok (APTU) 6. cikke értelmében a CTE feladata többek között az értékelést végző szervezetek képesítésére és függetlenségére (GEN-E), a kockázatelemzésre és -értékelésre vonatkozó közös biztonsági módszerre (GEN-G), valamint a fuvarozási telematikai alkalmazásokra (FTA) vonatkozó egységes műszaki előírások elfogadása vagy módosítása.</w:t>
      </w:r>
    </w:p>
    <w:p w14:paraId="0C16CF5A" w14:textId="4C6642FF" w:rsidR="007C01E5" w:rsidRPr="00BC09C3" w:rsidRDefault="00083A1F" w:rsidP="00083A1F">
      <w:pPr>
        <w:pStyle w:val="ManualConsidrant"/>
        <w:rPr>
          <w:noProof/>
        </w:rPr>
      </w:pPr>
      <w:r w:rsidRPr="00083A1F">
        <w:t>(4)</w:t>
      </w:r>
      <w:r w:rsidRPr="00083A1F">
        <w:tab/>
      </w:r>
      <w:r w:rsidR="008F3917" w:rsidRPr="00BC09C3">
        <w:rPr>
          <w:noProof/>
        </w:rPr>
        <w:t xml:space="preserve">A COTIF 16. cikkének (10) bekezdésével összhangban a CTE hatáskörrel rendelkezik arra, hogy javaslatot tegyen eljárási szabályzatának felülvizsgálatára. </w:t>
      </w:r>
    </w:p>
    <w:p w14:paraId="0C16CF5B" w14:textId="75BC1B0A" w:rsidR="00C4366E" w:rsidRPr="00BC09C3" w:rsidRDefault="00083A1F" w:rsidP="00083A1F">
      <w:pPr>
        <w:pStyle w:val="ManualConsidrant"/>
        <w:rPr>
          <w:noProof/>
        </w:rPr>
      </w:pPr>
      <w:r w:rsidRPr="00083A1F">
        <w:t>(5)</w:t>
      </w:r>
      <w:r w:rsidRPr="00083A1F">
        <w:tab/>
      </w:r>
      <w:r w:rsidR="006F5FF0" w:rsidRPr="00BC09C3">
        <w:rPr>
          <w:noProof/>
        </w:rPr>
        <w:t>A CTE 2023. június 13–14-én tartandó 15. ülésének napirendjére felvette az értékelést végző szervezetek képesítésére és függetlenségére vonatkozó GEN-E egységes műszaki előírás teljes körű felülvizsgálatára, a kockázatelemzésre és -értékelésre vonatkozó közös biztonsági módszerre irányuló GEN-G egységes műszaki előírás módosítására, a Műszaki Szakértői Bizottság eljárási szabályzatának módosítására, továbbá az FTA egységes műszaki előírás I. függelékében felsorolt FTA ÁME műszaki dokumentációk hivatkozásainak naprakésszé tételére vonatkozó határozatokra irányuló javaslatot.</w:t>
      </w:r>
    </w:p>
    <w:p w14:paraId="0C16CF5C" w14:textId="04B02D07" w:rsidR="00A128AA" w:rsidRPr="00BC09C3" w:rsidRDefault="00083A1F" w:rsidP="00083A1F">
      <w:pPr>
        <w:pStyle w:val="ManualConsidrant"/>
        <w:rPr>
          <w:noProof/>
        </w:rPr>
      </w:pPr>
      <w:r w:rsidRPr="00083A1F">
        <w:t>(6)</w:t>
      </w:r>
      <w:r w:rsidRPr="00083A1F">
        <w:tab/>
      </w:r>
      <w:r w:rsidR="007024FE" w:rsidRPr="00BC09C3">
        <w:rPr>
          <w:noProof/>
        </w:rPr>
        <w:t xml:space="preserve">Helyénvaló meghatározni az Unió által a Műszaki Szakértői Bizottságban képviselendő álláspontot, mivel a javasolt határozatok kötelező érvényűek lesznek az Unióra nézve. </w:t>
      </w:r>
    </w:p>
    <w:p w14:paraId="0C16CF5D" w14:textId="1FB52DF1" w:rsidR="004A3934" w:rsidRPr="00BC09C3" w:rsidRDefault="00083A1F" w:rsidP="00083A1F">
      <w:pPr>
        <w:pStyle w:val="ManualConsidrant"/>
        <w:rPr>
          <w:noProof/>
        </w:rPr>
      </w:pPr>
      <w:r w:rsidRPr="00083A1F">
        <w:t>(7)</w:t>
      </w:r>
      <w:r w:rsidRPr="00083A1F">
        <w:tab/>
      </w:r>
      <w:r w:rsidR="0033009E" w:rsidRPr="00BC09C3">
        <w:rPr>
          <w:noProof/>
        </w:rPr>
        <w:t>Az említett határozatok célja az értékelést végző szervezetek képesítésére és függetlenségére vonatkozó GEN-E egységes műszaki előírás összehangolása az (EU) 2016/797 európai parlamenti és tanácsi irányelvvel</w:t>
      </w:r>
      <w:r w:rsidR="0033009E" w:rsidRPr="00BC09C3">
        <w:rPr>
          <w:rStyle w:val="FootnoteReference"/>
          <w:noProof/>
        </w:rPr>
        <w:footnoteReference w:id="13"/>
      </w:r>
      <w:r w:rsidR="0033009E" w:rsidRPr="00BC09C3">
        <w:rPr>
          <w:noProof/>
        </w:rPr>
        <w:t>, a kockázatelemzésre és -értékelésre vonatkozó közös biztonsági módszerre irányuló GEN-G egységes műszaki előírás felülvizsgálata, a Műszaki Szakértői Bizottság eljárási szabályzatának módosítása, valamint az FTA egységes műszaki előírás összehangolása az uniós szabályokkal, nevezetesen az (EU) 2021/5419 bizottsági végrehajtási rendelettel</w:t>
      </w:r>
      <w:r w:rsidR="0033009E" w:rsidRPr="00BC09C3">
        <w:rPr>
          <w:rStyle w:val="FootnoteReference"/>
          <w:noProof/>
        </w:rPr>
        <w:footnoteReference w:id="14"/>
      </w:r>
      <w:r w:rsidR="0033009E" w:rsidRPr="00BC09C3">
        <w:rPr>
          <w:noProof/>
        </w:rPr>
        <w:t>.</w:t>
      </w:r>
    </w:p>
    <w:p w14:paraId="0C16CF5E" w14:textId="42144C05" w:rsidR="007024FE" w:rsidRPr="00BC09C3" w:rsidRDefault="00083A1F" w:rsidP="00083A1F">
      <w:pPr>
        <w:pStyle w:val="ManualConsidrant"/>
        <w:rPr>
          <w:noProof/>
        </w:rPr>
      </w:pPr>
      <w:r w:rsidRPr="00083A1F">
        <w:t>(8)</w:t>
      </w:r>
      <w:r w:rsidRPr="00083A1F">
        <w:tab/>
      </w:r>
      <w:r w:rsidR="007024FE" w:rsidRPr="00BC09C3">
        <w:rPr>
          <w:noProof/>
        </w:rPr>
        <w:t>A tervezett OTIF-határozatok összhangban állnak az uniós joggal és az Unió stratégiai célkitűzéseivel, mivel hozzájárulnak az OTIF jogszabályainak az uniós jog azzal egyenértékű rendelkezéseivel való összehangolásához, ezért azokat az Uniónak támogatnia kell,</w:t>
      </w:r>
    </w:p>
    <w:p w14:paraId="0C16CF5F" w14:textId="77777777" w:rsidR="007024FE" w:rsidRPr="00BC09C3" w:rsidRDefault="007024FE" w:rsidP="007E1523">
      <w:pPr>
        <w:pStyle w:val="Formuledadoption"/>
        <w:rPr>
          <w:noProof/>
        </w:rPr>
      </w:pPr>
      <w:r w:rsidRPr="00BC09C3">
        <w:rPr>
          <w:noProof/>
        </w:rPr>
        <w:t>ELFOGADTA EZT A HATÁROZATOT:</w:t>
      </w:r>
    </w:p>
    <w:p w14:paraId="0C16CF60" w14:textId="77777777" w:rsidR="007024FE" w:rsidRPr="00BC09C3" w:rsidRDefault="007024FE" w:rsidP="007E1523">
      <w:pPr>
        <w:pStyle w:val="Titrearticle"/>
        <w:rPr>
          <w:noProof/>
        </w:rPr>
      </w:pPr>
      <w:r w:rsidRPr="00BC09C3">
        <w:rPr>
          <w:noProof/>
        </w:rPr>
        <w:t>1. cikk</w:t>
      </w:r>
    </w:p>
    <w:p w14:paraId="0C16CF61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 xml:space="preserve">Az 1980. május 9-i Nemzetközi Vasúti Fuvarozási Egyezmény alapján létrehozott Műszaki Szakértői Bizottság 15. ülésén az értékelést végző szervezetek képesítésére és függetlenségére vonatkozó GEN-E egységes műszaki előírás, valamint a kockázatelemzésre és -értékelésre vonatkozó közös biztonsági módszerre irányuló GEN-G egységes műszaki előírás módosításával, a Műszaki Szakértői Bizottság eljárási szabályzatának módosításával, továbbá a fuvarozási telematikai alkalmazásokra vonatkozó (FTA) egységes műszaki előírás I. függelékében felsorolt FTA ÁME műszaki dokumentációk hivatkozásainak naprakésszé tételével kapcsolatban az Unió által képviselendő álláspont a következő: </w:t>
      </w:r>
    </w:p>
    <w:p w14:paraId="0C16CF62" w14:textId="5F1BA19F" w:rsidR="00D16ED0" w:rsidRPr="00BC09C3" w:rsidRDefault="00083A1F" w:rsidP="00083A1F">
      <w:pPr>
        <w:pStyle w:val="ManualNumPar1"/>
        <w:rPr>
          <w:noProof/>
        </w:rPr>
      </w:pPr>
      <w:r w:rsidRPr="00083A1F">
        <w:t>1.</w:t>
      </w:r>
      <w:r w:rsidRPr="00083A1F">
        <w:tab/>
      </w:r>
      <w:r w:rsidR="00D16ED0" w:rsidRPr="00BC09C3">
        <w:rPr>
          <w:noProof/>
        </w:rPr>
        <w:t>Meg kell szavazni az értékelést végző szervezetek képesítésére és függetlenségére vonatkozó GEN-E egységes műszaki előírásnak a CTE által javasolt – a GEN-E egységes műszaki előírásról szóló TECH-23005 sz. CTE-munkadokumentum szerinti – felülvizsgálatát.</w:t>
      </w:r>
    </w:p>
    <w:p w14:paraId="0C16CF63" w14:textId="0F523082" w:rsidR="00D16ED0" w:rsidRPr="00BC09C3" w:rsidRDefault="00083A1F" w:rsidP="00083A1F">
      <w:pPr>
        <w:pStyle w:val="ManualNumPar1"/>
        <w:rPr>
          <w:noProof/>
        </w:rPr>
      </w:pPr>
      <w:r w:rsidRPr="00083A1F">
        <w:t>2.</w:t>
      </w:r>
      <w:r w:rsidRPr="00083A1F">
        <w:tab/>
      </w:r>
      <w:r w:rsidR="00D16ED0" w:rsidRPr="00BC09C3">
        <w:rPr>
          <w:noProof/>
        </w:rPr>
        <w:t>Meg kell szavazni a kockázatelemzésre és -értékelésre vonatkozó közös biztonsági módszerre irányuló GEN-G egységes műszaki előírásnak a CTE által javasolt – a GEN-G egységes műszaki előírásról szóló TECH-23006 sz. CTE-munkadokumentum szerinti – módosításait.</w:t>
      </w:r>
    </w:p>
    <w:p w14:paraId="0C16CF64" w14:textId="3FD5FCDB" w:rsidR="00D16ED0" w:rsidRPr="00BC09C3" w:rsidRDefault="00083A1F" w:rsidP="00083A1F">
      <w:pPr>
        <w:pStyle w:val="ManualNumPar1"/>
        <w:rPr>
          <w:noProof/>
        </w:rPr>
      </w:pPr>
      <w:r w:rsidRPr="00083A1F">
        <w:t>3.</w:t>
      </w:r>
      <w:r w:rsidRPr="00083A1F">
        <w:tab/>
      </w:r>
      <w:r w:rsidR="000E76A2" w:rsidRPr="00BC09C3">
        <w:rPr>
          <w:noProof/>
        </w:rPr>
        <w:t>Meg kell szavazni a Műszaki Szakértői Bizottság eljárási szabályzatának a CTE által javasolt – a TECH-23002 CTE sz. CTE-munkadokumentum szerinti – módosítását.</w:t>
      </w:r>
    </w:p>
    <w:p w14:paraId="0C16CF65" w14:textId="79B214D4" w:rsidR="009434FE" w:rsidRPr="00BC09C3" w:rsidRDefault="00083A1F" w:rsidP="00083A1F">
      <w:pPr>
        <w:pStyle w:val="ManualNumPar1"/>
        <w:rPr>
          <w:noProof/>
        </w:rPr>
      </w:pPr>
      <w:r w:rsidRPr="00083A1F">
        <w:t>4.</w:t>
      </w:r>
      <w:r w:rsidRPr="00083A1F">
        <w:tab/>
      </w:r>
      <w:r w:rsidR="009434FE" w:rsidRPr="00BC09C3">
        <w:rPr>
          <w:noProof/>
        </w:rPr>
        <w:t>Meg kell szavazni az FTA egységes műszaki előírás I. függelékében felsorolt FTA ÁME műszaki dokumentációk hivatkozásainak CTE által javasolt – a Műszaki Szakértői Bizottságnak a TECH-21009-CTE UTP TAF határozatról szóló munkadokumentuma szerinti – naprakésszé tételét.</w:t>
      </w:r>
    </w:p>
    <w:p w14:paraId="0C16CF66" w14:textId="77777777" w:rsidR="00835175" w:rsidRPr="00BC09C3" w:rsidRDefault="00835175" w:rsidP="00835175">
      <w:pPr>
        <w:pStyle w:val="Titrearticle"/>
        <w:rPr>
          <w:noProof/>
        </w:rPr>
      </w:pPr>
      <w:r w:rsidRPr="00BC09C3">
        <w:rPr>
          <w:noProof/>
        </w:rPr>
        <w:t>2. cikk</w:t>
      </w:r>
    </w:p>
    <w:p w14:paraId="0C16CF67" w14:textId="77777777" w:rsidR="002D5523" w:rsidRPr="00BC09C3" w:rsidRDefault="008402BE" w:rsidP="002D5523">
      <w:pPr>
        <w:rPr>
          <w:noProof/>
          <w:szCs w:val="24"/>
        </w:rPr>
      </w:pPr>
      <w:r w:rsidRPr="00BC09C3">
        <w:rPr>
          <w:noProof/>
        </w:rPr>
        <w:t xml:space="preserve">A Műszaki Szakértői Bizottság határozatait az elfogadásukat követően – hatálybalépésük napját megjelölve – ki kell hirdetni az </w:t>
      </w:r>
      <w:r w:rsidRPr="00BC09C3">
        <w:rPr>
          <w:i/>
          <w:noProof/>
        </w:rPr>
        <w:t>Európai Unió Hivatalos Lapjában.</w:t>
      </w:r>
    </w:p>
    <w:p w14:paraId="0C16CF68" w14:textId="77777777" w:rsidR="007024FE" w:rsidRPr="00BC09C3" w:rsidRDefault="007024FE" w:rsidP="007E1523">
      <w:pPr>
        <w:rPr>
          <w:noProof/>
        </w:rPr>
      </w:pPr>
      <w:r w:rsidRPr="00BC09C3">
        <w:rPr>
          <w:noProof/>
        </w:rPr>
        <w:t>Ennek a határozatnak a Bizottság a címzettje.</w:t>
      </w:r>
    </w:p>
    <w:p w14:paraId="0C16CF69" w14:textId="5E5BA7CD" w:rsidR="007024FE" w:rsidRPr="00BC09C3" w:rsidRDefault="00FA5F38" w:rsidP="0093013C">
      <w:pPr>
        <w:pStyle w:val="Fait"/>
        <w:rPr>
          <w:noProof/>
        </w:rPr>
      </w:pPr>
      <w:r w:rsidRPr="00FA5F38">
        <w:t>Kelt Brüsszelben, -án/-én.</w:t>
      </w:r>
    </w:p>
    <w:p w14:paraId="0C16CF6A" w14:textId="77777777" w:rsidR="007024FE" w:rsidRPr="00BC09C3" w:rsidRDefault="007024FE" w:rsidP="0093013C">
      <w:pPr>
        <w:pStyle w:val="Institutionquisigne"/>
        <w:rPr>
          <w:noProof/>
        </w:rPr>
      </w:pPr>
      <w:r w:rsidRPr="00BC09C3">
        <w:rPr>
          <w:noProof/>
        </w:rPr>
        <w:tab/>
        <w:t>a Tanács részéről</w:t>
      </w:r>
    </w:p>
    <w:p w14:paraId="0C16CF6B" w14:textId="77777777" w:rsidR="007024FE" w:rsidRPr="00BC09C3" w:rsidRDefault="007024FE" w:rsidP="007024FE">
      <w:pPr>
        <w:pStyle w:val="Personnequisigne"/>
        <w:rPr>
          <w:noProof/>
        </w:rPr>
      </w:pPr>
      <w:r w:rsidRPr="00BC09C3">
        <w:rPr>
          <w:noProof/>
        </w:rPr>
        <w:tab/>
        <w:t>az elnök</w:t>
      </w:r>
    </w:p>
    <w:sectPr w:rsidR="007024FE" w:rsidRPr="00BC09C3" w:rsidSect="00EF0819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6CF6F" w14:textId="77777777" w:rsidR="003A64C8" w:rsidRDefault="003A64C8" w:rsidP="007024FE">
      <w:pPr>
        <w:spacing w:before="0" w:after="0"/>
      </w:pPr>
      <w:r>
        <w:separator/>
      </w:r>
    </w:p>
  </w:endnote>
  <w:endnote w:type="continuationSeparator" w:id="0">
    <w:p w14:paraId="0C16CF70" w14:textId="77777777" w:rsidR="003A64C8" w:rsidRDefault="003A64C8" w:rsidP="007024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BC978" w14:textId="7F49703D" w:rsidR="00BC09C3" w:rsidRPr="00EF0819" w:rsidRDefault="00EF0819" w:rsidP="00EF0819">
    <w:pPr>
      <w:pStyle w:val="Footer"/>
      <w:rPr>
        <w:rFonts w:ascii="Arial" w:hAnsi="Arial" w:cs="Arial"/>
        <w:b/>
        <w:sz w:val="48"/>
      </w:rPr>
    </w:pPr>
    <w:r w:rsidRPr="00EF0819">
      <w:rPr>
        <w:rFonts w:ascii="Arial" w:hAnsi="Arial" w:cs="Arial"/>
        <w:b/>
        <w:sz w:val="48"/>
      </w:rPr>
      <w:t>HU</w:t>
    </w:r>
    <w:r w:rsidRPr="00EF0819">
      <w:rPr>
        <w:rFonts w:ascii="Arial" w:hAnsi="Arial" w:cs="Arial"/>
        <w:b/>
        <w:sz w:val="48"/>
      </w:rPr>
      <w:tab/>
    </w:r>
    <w:r w:rsidRPr="00EF0819">
      <w:rPr>
        <w:rFonts w:ascii="Arial" w:hAnsi="Arial" w:cs="Arial"/>
        <w:b/>
        <w:sz w:val="48"/>
      </w:rPr>
      <w:tab/>
    </w:r>
    <w:r w:rsidRPr="00EF0819">
      <w:tab/>
    </w:r>
    <w:r w:rsidRPr="00EF0819">
      <w:rPr>
        <w:rFonts w:ascii="Arial" w:hAnsi="Arial" w:cs="Arial"/>
        <w:b/>
        <w:sz w:val="48"/>
      </w:rPr>
      <w:t>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8D1E" w14:textId="01F4E1F3" w:rsidR="00EF0819" w:rsidRPr="00EF0819" w:rsidRDefault="00EF0819" w:rsidP="00EF0819">
    <w:pPr>
      <w:pStyle w:val="Footer"/>
      <w:rPr>
        <w:rFonts w:ascii="Arial" w:hAnsi="Arial" w:cs="Arial"/>
        <w:b/>
        <w:sz w:val="48"/>
      </w:rPr>
    </w:pPr>
    <w:r w:rsidRPr="00EF0819">
      <w:rPr>
        <w:rFonts w:ascii="Arial" w:hAnsi="Arial" w:cs="Arial"/>
        <w:b/>
        <w:sz w:val="48"/>
      </w:rPr>
      <w:t>HU</w:t>
    </w:r>
    <w:r w:rsidRPr="00EF081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3013C">
      <w:rPr>
        <w:noProof/>
      </w:rPr>
      <w:t>10</w:t>
    </w:r>
    <w:r>
      <w:fldChar w:fldCharType="end"/>
    </w:r>
    <w:r>
      <w:tab/>
    </w:r>
    <w:r w:rsidRPr="00EF0819">
      <w:tab/>
    </w:r>
    <w:r w:rsidRPr="00EF0819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FF09" w14:textId="77777777" w:rsidR="00EF0819" w:rsidRPr="00EF0819" w:rsidRDefault="00EF0819" w:rsidP="00EF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CF6D" w14:textId="77777777" w:rsidR="003A64C8" w:rsidRDefault="003A64C8" w:rsidP="007024FE">
      <w:pPr>
        <w:spacing w:before="0" w:after="0"/>
      </w:pPr>
      <w:r>
        <w:separator/>
      </w:r>
    </w:p>
  </w:footnote>
  <w:footnote w:type="continuationSeparator" w:id="0">
    <w:p w14:paraId="0C16CF6E" w14:textId="77777777" w:rsidR="003A64C8" w:rsidRDefault="003A64C8" w:rsidP="007024FE">
      <w:pPr>
        <w:spacing w:before="0" w:after="0"/>
      </w:pPr>
      <w:r>
        <w:continuationSeparator/>
      </w:r>
    </w:p>
  </w:footnote>
  <w:footnote w:id="1">
    <w:p w14:paraId="0C16CF79" w14:textId="77777777" w:rsidR="003658FD" w:rsidRPr="003658FD" w:rsidRDefault="003658FD">
      <w:pPr>
        <w:pStyle w:val="FootnoteText"/>
      </w:pPr>
      <w:r>
        <w:rPr>
          <w:rStyle w:val="FootnoteReference"/>
        </w:rPr>
        <w:footnoteRef/>
      </w:r>
      <w:r>
        <w:tab/>
        <w:t>Csak Ciprus és Málta nem szerződő fél.</w:t>
      </w:r>
    </w:p>
  </w:footnote>
  <w:footnote w:id="2">
    <w:p w14:paraId="0C16CF7A" w14:textId="774006C6" w:rsidR="00D72AE7" w:rsidRPr="003E574F" w:rsidRDefault="00D72AE7" w:rsidP="00D72AE7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2008/57/EK irányelve (2008. június 17.) a vasúti rendszer Közösségen belüli kölcsönös átjárhatóságáról (EGT-vonatkozású szöveg) (HL L 191., 2008.7.18., 1. o.).</w:t>
      </w:r>
    </w:p>
  </w:footnote>
  <w:footnote w:id="3">
    <w:p w14:paraId="0C16CF7B" w14:textId="242C0E33" w:rsidR="003E574F" w:rsidRPr="009D1DC8" w:rsidRDefault="003E574F" w:rsidP="003E574F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(EU) 2016/797 irányelve (2016. május 11.) a vasúti rendszer Európai Unión belüli kölcsönös átjárhatóságáról (HL L 138., 2016.5.26., 44. o.).</w:t>
      </w:r>
    </w:p>
  </w:footnote>
  <w:footnote w:id="4">
    <w:p w14:paraId="0C16CF7C" w14:textId="77777777" w:rsidR="002B18B1" w:rsidRPr="002B18B1" w:rsidRDefault="002B18B1">
      <w:pPr>
        <w:pStyle w:val="FootnoteText"/>
      </w:pPr>
      <w:r>
        <w:rPr>
          <w:rStyle w:val="FootnoteReference"/>
        </w:rPr>
        <w:footnoteRef/>
      </w:r>
      <w:r>
        <w:tab/>
        <w:t>A Bizottság (EU) 2015/1136 végrehajtási rendelete (2015. július 13.) a kockázatelemzésre és -értékelésre vonatkozó közös biztonsági módszerről szóló 402/2013/EU végrehajtási rendelet módosításáról (HL L 185., 2015.7.14., 6. o.).</w:t>
      </w:r>
    </w:p>
  </w:footnote>
  <w:footnote w:id="5">
    <w:p w14:paraId="0C16CF7D" w14:textId="2095E7DA" w:rsidR="00200969" w:rsidRPr="008855AE" w:rsidRDefault="00200969" w:rsidP="0020096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Az EU Hivatalos Lapja: HL L 356., 2014.12.12., 438. o.</w:t>
      </w:r>
    </w:p>
  </w:footnote>
  <w:footnote w:id="6">
    <w:p w14:paraId="0C16CF7E" w14:textId="2364D7C8" w:rsidR="00200969" w:rsidRPr="00E5291F" w:rsidRDefault="00200969" w:rsidP="00200969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8"/>
        </w:rPr>
        <w:t>Az EU Hivatalos Lapja: HL L 108., 2021.3.29., 19. o.</w:t>
      </w:r>
    </w:p>
  </w:footnote>
  <w:footnote w:id="7">
    <w:p w14:paraId="0C16CF7F" w14:textId="77777777" w:rsidR="00281C8E" w:rsidRDefault="00281C8E">
      <w:pPr>
        <w:pStyle w:val="FootnoteText"/>
      </w:pPr>
      <w:r>
        <w:rPr>
          <w:rStyle w:val="FootnoteReference"/>
        </w:rPr>
        <w:footnoteRef/>
      </w:r>
      <w:r>
        <w:tab/>
        <w:t>A Bizottság (EU) 2019/778 végrehajtási rendelete (2019. május 16.) az 1305/2014/EU rendeletnek a változáskezelés tekintetében történő módosításáról (HL L 139I., 2019.5.27., 356. o.).</w:t>
      </w:r>
    </w:p>
  </w:footnote>
  <w:footnote w:id="8">
    <w:p w14:paraId="0C16CF80" w14:textId="77777777" w:rsidR="00BA6641" w:rsidRPr="009D1DC8" w:rsidRDefault="00BA6641" w:rsidP="00BA6641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(EU) 2016/797 irányelve (2016. május 11.) a vasúti rendszer Európai Unión belüli kölcsönös átjárhatóságáról (HL L 138., 2016.5.26., 44. o.).</w:t>
      </w:r>
    </w:p>
  </w:footnote>
  <w:footnote w:id="9">
    <w:p w14:paraId="0C16CF81" w14:textId="77777777" w:rsidR="00281C8E" w:rsidRDefault="00281C8E" w:rsidP="0041752A">
      <w:pPr>
        <w:pStyle w:val="FootnoteText"/>
      </w:pPr>
      <w:r>
        <w:rPr>
          <w:rStyle w:val="FootnoteReference"/>
        </w:rPr>
        <w:footnoteRef/>
      </w:r>
      <w:r>
        <w:tab/>
        <w:t>A Bizottság (EU) 2019/778 végrehajtási rendelete (2019. május 16.) az 1305/2014/EU rendeletnek a változáskezelés tekintetében történő módosításáról (HL L 139I. , 2019.5.27., 356. o.).</w:t>
      </w:r>
    </w:p>
  </w:footnote>
  <w:footnote w:id="10">
    <w:p w14:paraId="0C16CF82" w14:textId="77777777" w:rsidR="007E1523" w:rsidRPr="00B035F8" w:rsidRDefault="007E1523" w:rsidP="00A05EE4">
      <w:pPr>
        <w:pStyle w:val="FootnoteText"/>
      </w:pPr>
      <w:r>
        <w:rPr>
          <w:rStyle w:val="FootnoteReference"/>
        </w:rPr>
        <w:footnoteRef/>
      </w:r>
      <w:r>
        <w:tab/>
        <w:t>A Bíróság 2014. október 7-i ítélete, Németország kontra Tanács, C-399/12, ECLI:EU:C:2014:2258, 64. pont.</w:t>
      </w:r>
    </w:p>
  </w:footnote>
  <w:footnote w:id="11">
    <w:p w14:paraId="0C16CF83" w14:textId="77777777" w:rsidR="007E1523" w:rsidRPr="00B035F8" w:rsidRDefault="007E1523" w:rsidP="00A05EE4">
      <w:pPr>
        <w:pStyle w:val="FootnoteText"/>
      </w:pPr>
      <w:r>
        <w:rPr>
          <w:rStyle w:val="FootnoteReference"/>
        </w:rPr>
        <w:footnoteRef/>
      </w:r>
      <w:r>
        <w:tab/>
        <w:t>A Bíróság 2014. október 7-i ítélete, Németország kontra Tanács, C-399/12, ECLI:EU:C:2014:2258, 61–64. pont.</w:t>
      </w:r>
    </w:p>
  </w:footnote>
  <w:footnote w:id="12">
    <w:p w14:paraId="0C16CF84" w14:textId="77777777" w:rsidR="007E1523" w:rsidRDefault="007E1523">
      <w:pPr>
        <w:pStyle w:val="FootnoteText"/>
      </w:pPr>
      <w:r>
        <w:rPr>
          <w:rStyle w:val="FootnoteReference"/>
        </w:rPr>
        <w:footnoteRef/>
      </w:r>
      <w:r>
        <w:tab/>
        <w:t>A Tanács 2013/103/EU határozata (2011. június 16.) az Európai Uniónak az 1999. június 3-i vilniusi jegyzőkönyvvel módosított, 1980. május 9-i nemzetközi vasúti fuvarozási egyezményhez (COTIF) való csatlakozásáról szóló, az Európai Unió és a Nemzetközi Vasúti Fuvarozásügyi Államközi Szervezet közötti megállapodás aláírásáról és megkötéséről (HL L 51., 2013.2.23., 1. o.).</w:t>
      </w:r>
    </w:p>
  </w:footnote>
  <w:footnote w:id="13">
    <w:p w14:paraId="0C16CF85" w14:textId="77777777" w:rsidR="005F44F6" w:rsidRPr="009D1DC8" w:rsidRDefault="005F44F6" w:rsidP="005F44F6"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(EU) 2016/797 irányelve (2016. május 11.) a vasúti rendszer Európai Unión belüli kölcsönös átjárhatóságáról (HL L 138., 2016.5.26., 44. o.).</w:t>
      </w:r>
    </w:p>
  </w:footnote>
  <w:footnote w:id="14">
    <w:p w14:paraId="0C16CF86" w14:textId="77777777" w:rsidR="00E90A46" w:rsidRPr="00E90A46" w:rsidRDefault="00E90A46">
      <w:pPr>
        <w:pStyle w:val="FootnoteText"/>
      </w:pPr>
      <w:r>
        <w:rPr>
          <w:rStyle w:val="FootnoteReference"/>
        </w:rPr>
        <w:footnoteRef/>
      </w:r>
      <w:r>
        <w:tab/>
        <w:t>A Bizottság (EU) 2021/541 végrehajtási rendelete (2021. március 26.) az 1305/2014/EU rendeletnek az adatszámítás és az adatcsere egyszerűsítése és javítása, valamint a változáskezelési eljárás aktualizálása tekintetében történő módosításáról (HL L 108., 2021.3.29., 19. o.).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07A1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1E6B4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C40ED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72C64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EBCAD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826B7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AEAEC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4AAB8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9"/>
  </w:num>
  <w:num w:numId="19">
    <w:abstractNumId w:val="12"/>
  </w:num>
  <w:num w:numId="20">
    <w:abstractNumId w:val="21"/>
  </w:num>
  <w:num w:numId="21">
    <w:abstractNumId w:val="11"/>
  </w:num>
  <w:num w:numId="22">
    <w:abstractNumId w:val="13"/>
  </w:num>
  <w:num w:numId="23">
    <w:abstractNumId w:val="14"/>
  </w:num>
  <w:num w:numId="24">
    <w:abstractNumId w:val="9"/>
  </w:num>
  <w:num w:numId="25">
    <w:abstractNumId w:val="20"/>
  </w:num>
  <w:num w:numId="26">
    <w:abstractNumId w:val="8"/>
  </w:num>
  <w:num w:numId="27">
    <w:abstractNumId w:val="15"/>
  </w:num>
  <w:num w:numId="28">
    <w:abstractNumId w:val="17"/>
  </w:num>
  <w:num w:numId="29">
    <w:abstractNumId w:val="18"/>
  </w:num>
  <w:num w:numId="30">
    <w:abstractNumId w:val="10"/>
  </w:num>
  <w:num w:numId="31">
    <w:abstractNumId w:val="16"/>
  </w:num>
  <w:num w:numId="32">
    <w:abstractNumId w:val="22"/>
  </w:num>
  <w:num w:numId="33">
    <w:abstractNumId w:val="19"/>
  </w:num>
  <w:num w:numId="34">
    <w:abstractNumId w:val="12"/>
  </w:num>
  <w:num w:numId="35">
    <w:abstractNumId w:val="21"/>
  </w:num>
  <w:num w:numId="36">
    <w:abstractNumId w:val="11"/>
  </w:num>
  <w:num w:numId="37">
    <w:abstractNumId w:val="13"/>
  </w:num>
  <w:num w:numId="38">
    <w:abstractNumId w:val="14"/>
  </w:num>
  <w:num w:numId="39">
    <w:abstractNumId w:val="9"/>
  </w:num>
  <w:num w:numId="40">
    <w:abstractNumId w:val="20"/>
  </w:num>
  <w:num w:numId="41">
    <w:abstractNumId w:val="8"/>
  </w:num>
  <w:num w:numId="42">
    <w:abstractNumId w:val="15"/>
  </w:num>
  <w:num w:numId="43">
    <w:abstractNumId w:val="17"/>
  </w:num>
  <w:num w:numId="44">
    <w:abstractNumId w:val="18"/>
  </w:num>
  <w:num w:numId="45">
    <w:abstractNumId w:val="10"/>
  </w:num>
  <w:num w:numId="46">
    <w:abstractNumId w:val="16"/>
  </w:num>
  <w:num w:numId="47">
    <w:abstractNumId w:val="22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3-03-29 11:30:54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C1F8B5A-90DB-4BC2-9036-BFDCB2936DA7"/>
    <w:docVar w:name="LW_COVERPAGE_TYPE" w:val="1"/>
    <w:docVar w:name="LW_CROSSREFERENCE" w:val="&lt;UNUSED&gt;"/>
    <w:docVar w:name="LW_DocType" w:val="COM"/>
    <w:docVar w:name="LW_EMISSION" w:val="2023.3.31."/>
    <w:docVar w:name="LW_EMISSION_ISODATE" w:val="2023-03-31"/>
    <w:docVar w:name="LW_EMISSION_LOCATION" w:val="BRX"/>
    <w:docVar w:name="LW_EMISSION_PREFIX" w:val="Brüsszel, "/>
    <w:docVar w:name="LW_EMISSION_SUFFIX" w:val=" 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91"/>
    <w:docVar w:name="LW_REF.II.NEW.CP_YEAR" w:val="2023"/>
    <w:docVar w:name="LW_REF.INST.NEW" w:val="COM"/>
    <w:docVar w:name="LW_REF.INST.NEW_ADOPTED" w:val="final"/>
    <w:docVar w:name="LW_REF.INST.NEW_TEXT" w:val="(2023) 1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Javaslat"/>
    <w:docVar w:name="LW_SUPERTITRE" w:val="&lt;UNUSED&gt;"/>
    <w:docVar w:name="LW_TITRE.OBJ.CP" w:val="az Európai Unió által a Nemzetközi Vasúti Fuvarozásügyi Államközi Szervezet (OTIF) Műszaki Szakértői Bizottságának 15. ülésén az értékelést végző szervezetek képesítésére és függetlenségére, valamint a kockázatelemzésre és -értékelésre vonatkozó közös biztonsági módszerre irányuló egységes műszaki előírások módosítása, a Műszaki Szakértői Bizottság eljárási szabályzatának módosítása, továbbá az FTA egységes műszaki előírás I. függelékében felsorolt FTA ÁME műszaki dokumentációk hivatkozásainak naprakésszé tétele tekintetében képviselendő álláspontról"/>
    <w:docVar w:name="LW_TYPE.DOC.CP" w:val="A TANÁCS HATÁROZATA"/>
    <w:docVar w:name="LwApiVersions" w:val="LW4CoDe 1.23.2.0; LW 8.0, Build 20211117"/>
  </w:docVars>
  <w:rsids>
    <w:rsidRoot w:val="007024FE"/>
    <w:rsid w:val="0000119E"/>
    <w:rsid w:val="00003C18"/>
    <w:rsid w:val="000112E0"/>
    <w:rsid w:val="00013842"/>
    <w:rsid w:val="00013A28"/>
    <w:rsid w:val="000209E2"/>
    <w:rsid w:val="00020CB2"/>
    <w:rsid w:val="000215B1"/>
    <w:rsid w:val="000273AF"/>
    <w:rsid w:val="00027C39"/>
    <w:rsid w:val="000301F8"/>
    <w:rsid w:val="00033606"/>
    <w:rsid w:val="0003598D"/>
    <w:rsid w:val="0003604A"/>
    <w:rsid w:val="00036113"/>
    <w:rsid w:val="000521AF"/>
    <w:rsid w:val="000564D1"/>
    <w:rsid w:val="00057DB1"/>
    <w:rsid w:val="00063B89"/>
    <w:rsid w:val="00065108"/>
    <w:rsid w:val="00070035"/>
    <w:rsid w:val="000735F3"/>
    <w:rsid w:val="0007468B"/>
    <w:rsid w:val="00075F3A"/>
    <w:rsid w:val="00077750"/>
    <w:rsid w:val="00083A1F"/>
    <w:rsid w:val="00083C83"/>
    <w:rsid w:val="00092FCA"/>
    <w:rsid w:val="000934D0"/>
    <w:rsid w:val="00094FC5"/>
    <w:rsid w:val="000A2790"/>
    <w:rsid w:val="000A64C0"/>
    <w:rsid w:val="000C0ED3"/>
    <w:rsid w:val="000C1958"/>
    <w:rsid w:val="000C53A5"/>
    <w:rsid w:val="000C5B8D"/>
    <w:rsid w:val="000D3020"/>
    <w:rsid w:val="000E291D"/>
    <w:rsid w:val="000E44EC"/>
    <w:rsid w:val="000E5C6E"/>
    <w:rsid w:val="000E6902"/>
    <w:rsid w:val="000E76A2"/>
    <w:rsid w:val="000F139D"/>
    <w:rsid w:val="001059CF"/>
    <w:rsid w:val="00105E57"/>
    <w:rsid w:val="00105E5C"/>
    <w:rsid w:val="00112815"/>
    <w:rsid w:val="001353EF"/>
    <w:rsid w:val="00141ED5"/>
    <w:rsid w:val="0014253C"/>
    <w:rsid w:val="00144D40"/>
    <w:rsid w:val="0015184D"/>
    <w:rsid w:val="00160A5D"/>
    <w:rsid w:val="00164EBD"/>
    <w:rsid w:val="001676C2"/>
    <w:rsid w:val="0017016B"/>
    <w:rsid w:val="00173046"/>
    <w:rsid w:val="00180F68"/>
    <w:rsid w:val="001B2C17"/>
    <w:rsid w:val="001B47FA"/>
    <w:rsid w:val="001C4AFA"/>
    <w:rsid w:val="001E0254"/>
    <w:rsid w:val="001E1E38"/>
    <w:rsid w:val="001F7720"/>
    <w:rsid w:val="00200969"/>
    <w:rsid w:val="00210734"/>
    <w:rsid w:val="00210CE9"/>
    <w:rsid w:val="00215937"/>
    <w:rsid w:val="00217A2B"/>
    <w:rsid w:val="0022051E"/>
    <w:rsid w:val="0022244A"/>
    <w:rsid w:val="00226853"/>
    <w:rsid w:val="00227FA4"/>
    <w:rsid w:val="00236683"/>
    <w:rsid w:val="00237381"/>
    <w:rsid w:val="00241AC9"/>
    <w:rsid w:val="002478CB"/>
    <w:rsid w:val="00251D09"/>
    <w:rsid w:val="00257ED1"/>
    <w:rsid w:val="0026467F"/>
    <w:rsid w:val="00270D4A"/>
    <w:rsid w:val="00276913"/>
    <w:rsid w:val="00281C8E"/>
    <w:rsid w:val="00282DF4"/>
    <w:rsid w:val="0028563B"/>
    <w:rsid w:val="002927D6"/>
    <w:rsid w:val="002959E2"/>
    <w:rsid w:val="00296F9F"/>
    <w:rsid w:val="002A2B3F"/>
    <w:rsid w:val="002A697B"/>
    <w:rsid w:val="002B18B1"/>
    <w:rsid w:val="002B2DFC"/>
    <w:rsid w:val="002B3766"/>
    <w:rsid w:val="002C0C3E"/>
    <w:rsid w:val="002C6A9C"/>
    <w:rsid w:val="002C6D66"/>
    <w:rsid w:val="002D1E3B"/>
    <w:rsid w:val="002D5523"/>
    <w:rsid w:val="002D6581"/>
    <w:rsid w:val="002D71BB"/>
    <w:rsid w:val="002E2D8A"/>
    <w:rsid w:val="002E476B"/>
    <w:rsid w:val="002E7E89"/>
    <w:rsid w:val="002F08C4"/>
    <w:rsid w:val="002F2337"/>
    <w:rsid w:val="002F27F2"/>
    <w:rsid w:val="002F4FE7"/>
    <w:rsid w:val="00311FEA"/>
    <w:rsid w:val="00322AA5"/>
    <w:rsid w:val="00325DDA"/>
    <w:rsid w:val="0033009E"/>
    <w:rsid w:val="00330A06"/>
    <w:rsid w:val="003321A5"/>
    <w:rsid w:val="0034140C"/>
    <w:rsid w:val="0034677B"/>
    <w:rsid w:val="0035063A"/>
    <w:rsid w:val="003513EA"/>
    <w:rsid w:val="00352527"/>
    <w:rsid w:val="00355CBA"/>
    <w:rsid w:val="00362256"/>
    <w:rsid w:val="0036280C"/>
    <w:rsid w:val="003638B0"/>
    <w:rsid w:val="003658FD"/>
    <w:rsid w:val="00366A5D"/>
    <w:rsid w:val="00366C53"/>
    <w:rsid w:val="00366E42"/>
    <w:rsid w:val="00367926"/>
    <w:rsid w:val="003713D0"/>
    <w:rsid w:val="00375A6A"/>
    <w:rsid w:val="003767F6"/>
    <w:rsid w:val="003945CF"/>
    <w:rsid w:val="00395082"/>
    <w:rsid w:val="00396AC5"/>
    <w:rsid w:val="00397DA8"/>
    <w:rsid w:val="003A46D7"/>
    <w:rsid w:val="003A64C8"/>
    <w:rsid w:val="003B35AA"/>
    <w:rsid w:val="003B446A"/>
    <w:rsid w:val="003B498D"/>
    <w:rsid w:val="003B7B95"/>
    <w:rsid w:val="003C57A2"/>
    <w:rsid w:val="003C62C2"/>
    <w:rsid w:val="003D56AC"/>
    <w:rsid w:val="003D777A"/>
    <w:rsid w:val="003E2E02"/>
    <w:rsid w:val="003E54B2"/>
    <w:rsid w:val="003E574F"/>
    <w:rsid w:val="003F1A3B"/>
    <w:rsid w:val="00400A86"/>
    <w:rsid w:val="00401319"/>
    <w:rsid w:val="00403686"/>
    <w:rsid w:val="00404DE0"/>
    <w:rsid w:val="00410225"/>
    <w:rsid w:val="004159DF"/>
    <w:rsid w:val="00416057"/>
    <w:rsid w:val="0041752A"/>
    <w:rsid w:val="00421FEB"/>
    <w:rsid w:val="004230BF"/>
    <w:rsid w:val="00423688"/>
    <w:rsid w:val="00424BED"/>
    <w:rsid w:val="00432FEC"/>
    <w:rsid w:val="004369A6"/>
    <w:rsid w:val="0043700D"/>
    <w:rsid w:val="0044142C"/>
    <w:rsid w:val="00441C47"/>
    <w:rsid w:val="00446EA1"/>
    <w:rsid w:val="004538F4"/>
    <w:rsid w:val="00456EEC"/>
    <w:rsid w:val="00456F2C"/>
    <w:rsid w:val="00463FF9"/>
    <w:rsid w:val="00464824"/>
    <w:rsid w:val="00467FFC"/>
    <w:rsid w:val="00471089"/>
    <w:rsid w:val="004777A2"/>
    <w:rsid w:val="0048436C"/>
    <w:rsid w:val="00496155"/>
    <w:rsid w:val="004A3934"/>
    <w:rsid w:val="004A5461"/>
    <w:rsid w:val="004A650B"/>
    <w:rsid w:val="004B653A"/>
    <w:rsid w:val="004C05CD"/>
    <w:rsid w:val="004C09A4"/>
    <w:rsid w:val="004C0FDC"/>
    <w:rsid w:val="004C123E"/>
    <w:rsid w:val="004C4FBA"/>
    <w:rsid w:val="004C6221"/>
    <w:rsid w:val="004D25AE"/>
    <w:rsid w:val="004D4279"/>
    <w:rsid w:val="004D6BE0"/>
    <w:rsid w:val="004D781F"/>
    <w:rsid w:val="004E0851"/>
    <w:rsid w:val="004F122D"/>
    <w:rsid w:val="004F6CF3"/>
    <w:rsid w:val="00502857"/>
    <w:rsid w:val="00504A02"/>
    <w:rsid w:val="005104E4"/>
    <w:rsid w:val="00513EF5"/>
    <w:rsid w:val="00515AB8"/>
    <w:rsid w:val="005224C0"/>
    <w:rsid w:val="00522D3C"/>
    <w:rsid w:val="00525676"/>
    <w:rsid w:val="005317FA"/>
    <w:rsid w:val="00531B5E"/>
    <w:rsid w:val="00532AA2"/>
    <w:rsid w:val="0053417A"/>
    <w:rsid w:val="00535156"/>
    <w:rsid w:val="00535694"/>
    <w:rsid w:val="00545455"/>
    <w:rsid w:val="00551344"/>
    <w:rsid w:val="00552C7D"/>
    <w:rsid w:val="00554A52"/>
    <w:rsid w:val="00561645"/>
    <w:rsid w:val="00563A9C"/>
    <w:rsid w:val="005733B9"/>
    <w:rsid w:val="00575D08"/>
    <w:rsid w:val="005A5CAF"/>
    <w:rsid w:val="005B2831"/>
    <w:rsid w:val="005C2398"/>
    <w:rsid w:val="005C4016"/>
    <w:rsid w:val="005C50E5"/>
    <w:rsid w:val="005C6155"/>
    <w:rsid w:val="005C6E8A"/>
    <w:rsid w:val="005C7F1A"/>
    <w:rsid w:val="005E4D93"/>
    <w:rsid w:val="005E6B3D"/>
    <w:rsid w:val="005F10E7"/>
    <w:rsid w:val="005F13AB"/>
    <w:rsid w:val="005F42C0"/>
    <w:rsid w:val="005F44F6"/>
    <w:rsid w:val="005F76BA"/>
    <w:rsid w:val="005F7F71"/>
    <w:rsid w:val="00601FCA"/>
    <w:rsid w:val="00603E47"/>
    <w:rsid w:val="006054E0"/>
    <w:rsid w:val="00605D58"/>
    <w:rsid w:val="0061025A"/>
    <w:rsid w:val="00620B5F"/>
    <w:rsid w:val="0063421E"/>
    <w:rsid w:val="00635B95"/>
    <w:rsid w:val="0063695C"/>
    <w:rsid w:val="00641CFF"/>
    <w:rsid w:val="0064722B"/>
    <w:rsid w:val="0065459A"/>
    <w:rsid w:val="00655F7A"/>
    <w:rsid w:val="006607AE"/>
    <w:rsid w:val="00665F92"/>
    <w:rsid w:val="00671A6A"/>
    <w:rsid w:val="00675032"/>
    <w:rsid w:val="00676590"/>
    <w:rsid w:val="00693A0C"/>
    <w:rsid w:val="0069567B"/>
    <w:rsid w:val="006960FD"/>
    <w:rsid w:val="0069777D"/>
    <w:rsid w:val="006A403A"/>
    <w:rsid w:val="006B0501"/>
    <w:rsid w:val="006B08A6"/>
    <w:rsid w:val="006B2B01"/>
    <w:rsid w:val="006B4A66"/>
    <w:rsid w:val="006C0AAA"/>
    <w:rsid w:val="006C0F00"/>
    <w:rsid w:val="006D2B0B"/>
    <w:rsid w:val="006D2F5F"/>
    <w:rsid w:val="006D349C"/>
    <w:rsid w:val="006E62E7"/>
    <w:rsid w:val="006F4A32"/>
    <w:rsid w:val="006F55CB"/>
    <w:rsid w:val="006F5FF0"/>
    <w:rsid w:val="006F72A5"/>
    <w:rsid w:val="006F7E57"/>
    <w:rsid w:val="007024FE"/>
    <w:rsid w:val="00707939"/>
    <w:rsid w:val="00710C5A"/>
    <w:rsid w:val="007138A4"/>
    <w:rsid w:val="00722A89"/>
    <w:rsid w:val="00722B7C"/>
    <w:rsid w:val="00723641"/>
    <w:rsid w:val="007238CB"/>
    <w:rsid w:val="0073328C"/>
    <w:rsid w:val="00734488"/>
    <w:rsid w:val="007404A9"/>
    <w:rsid w:val="00740FC6"/>
    <w:rsid w:val="00756E56"/>
    <w:rsid w:val="007647EA"/>
    <w:rsid w:val="00766A48"/>
    <w:rsid w:val="007735B0"/>
    <w:rsid w:val="00781C98"/>
    <w:rsid w:val="0078432C"/>
    <w:rsid w:val="007933A4"/>
    <w:rsid w:val="00794C02"/>
    <w:rsid w:val="007A0BB8"/>
    <w:rsid w:val="007A0E7D"/>
    <w:rsid w:val="007A5BDC"/>
    <w:rsid w:val="007A7F88"/>
    <w:rsid w:val="007B082C"/>
    <w:rsid w:val="007B156E"/>
    <w:rsid w:val="007B3782"/>
    <w:rsid w:val="007B58C2"/>
    <w:rsid w:val="007C01E5"/>
    <w:rsid w:val="007C08C3"/>
    <w:rsid w:val="007C44A7"/>
    <w:rsid w:val="007C473D"/>
    <w:rsid w:val="007D178B"/>
    <w:rsid w:val="007E1089"/>
    <w:rsid w:val="007E1523"/>
    <w:rsid w:val="007E71B5"/>
    <w:rsid w:val="007E7706"/>
    <w:rsid w:val="007F2E88"/>
    <w:rsid w:val="00806041"/>
    <w:rsid w:val="008145A2"/>
    <w:rsid w:val="00815141"/>
    <w:rsid w:val="008153E4"/>
    <w:rsid w:val="008163C4"/>
    <w:rsid w:val="00817E9A"/>
    <w:rsid w:val="00820291"/>
    <w:rsid w:val="00821B3F"/>
    <w:rsid w:val="008245C3"/>
    <w:rsid w:val="008265CD"/>
    <w:rsid w:val="00831799"/>
    <w:rsid w:val="00834F01"/>
    <w:rsid w:val="00835175"/>
    <w:rsid w:val="00835B9F"/>
    <w:rsid w:val="00836774"/>
    <w:rsid w:val="008402BE"/>
    <w:rsid w:val="008521AD"/>
    <w:rsid w:val="00852C39"/>
    <w:rsid w:val="00856A5A"/>
    <w:rsid w:val="008714B0"/>
    <w:rsid w:val="00871AF1"/>
    <w:rsid w:val="00873933"/>
    <w:rsid w:val="00877878"/>
    <w:rsid w:val="00881734"/>
    <w:rsid w:val="00886F23"/>
    <w:rsid w:val="0089272C"/>
    <w:rsid w:val="00894DD6"/>
    <w:rsid w:val="008960B5"/>
    <w:rsid w:val="008A0426"/>
    <w:rsid w:val="008A0C26"/>
    <w:rsid w:val="008A29EA"/>
    <w:rsid w:val="008A2A96"/>
    <w:rsid w:val="008A7B03"/>
    <w:rsid w:val="008B0656"/>
    <w:rsid w:val="008B703A"/>
    <w:rsid w:val="008B713F"/>
    <w:rsid w:val="008C1327"/>
    <w:rsid w:val="008C1C47"/>
    <w:rsid w:val="008C3ECF"/>
    <w:rsid w:val="008C3FAA"/>
    <w:rsid w:val="008C51EB"/>
    <w:rsid w:val="008D25EF"/>
    <w:rsid w:val="008D3C01"/>
    <w:rsid w:val="008E7162"/>
    <w:rsid w:val="008F3917"/>
    <w:rsid w:val="008F4DC4"/>
    <w:rsid w:val="008F5939"/>
    <w:rsid w:val="008F708D"/>
    <w:rsid w:val="008F7CBB"/>
    <w:rsid w:val="009016C2"/>
    <w:rsid w:val="00903211"/>
    <w:rsid w:val="009073B1"/>
    <w:rsid w:val="00910821"/>
    <w:rsid w:val="0091646F"/>
    <w:rsid w:val="00922665"/>
    <w:rsid w:val="0093013C"/>
    <w:rsid w:val="00935F14"/>
    <w:rsid w:val="009419EB"/>
    <w:rsid w:val="009434FE"/>
    <w:rsid w:val="00944713"/>
    <w:rsid w:val="00951BF6"/>
    <w:rsid w:val="00965ABE"/>
    <w:rsid w:val="00971B9F"/>
    <w:rsid w:val="00983395"/>
    <w:rsid w:val="00983A6C"/>
    <w:rsid w:val="00983AE9"/>
    <w:rsid w:val="00983B22"/>
    <w:rsid w:val="0099666E"/>
    <w:rsid w:val="0099687E"/>
    <w:rsid w:val="009A0012"/>
    <w:rsid w:val="009A0710"/>
    <w:rsid w:val="009A6BD9"/>
    <w:rsid w:val="009B698A"/>
    <w:rsid w:val="009B73E7"/>
    <w:rsid w:val="009C3EC2"/>
    <w:rsid w:val="009C6130"/>
    <w:rsid w:val="009D1DC8"/>
    <w:rsid w:val="009D46B0"/>
    <w:rsid w:val="009D4E29"/>
    <w:rsid w:val="009D5654"/>
    <w:rsid w:val="009E3218"/>
    <w:rsid w:val="009E3274"/>
    <w:rsid w:val="009E6DB2"/>
    <w:rsid w:val="009F5832"/>
    <w:rsid w:val="00A0011C"/>
    <w:rsid w:val="00A00195"/>
    <w:rsid w:val="00A0423C"/>
    <w:rsid w:val="00A05EE4"/>
    <w:rsid w:val="00A060A5"/>
    <w:rsid w:val="00A06EE6"/>
    <w:rsid w:val="00A07E42"/>
    <w:rsid w:val="00A127E6"/>
    <w:rsid w:val="00A128AA"/>
    <w:rsid w:val="00A1346E"/>
    <w:rsid w:val="00A16012"/>
    <w:rsid w:val="00A22514"/>
    <w:rsid w:val="00A312B6"/>
    <w:rsid w:val="00A359B6"/>
    <w:rsid w:val="00A3709E"/>
    <w:rsid w:val="00A40B98"/>
    <w:rsid w:val="00A45D7C"/>
    <w:rsid w:val="00A465A2"/>
    <w:rsid w:val="00A46627"/>
    <w:rsid w:val="00A47E62"/>
    <w:rsid w:val="00A51328"/>
    <w:rsid w:val="00A53FE0"/>
    <w:rsid w:val="00A54D0A"/>
    <w:rsid w:val="00A62E38"/>
    <w:rsid w:val="00A668CE"/>
    <w:rsid w:val="00A66DCD"/>
    <w:rsid w:val="00A71008"/>
    <w:rsid w:val="00A714EE"/>
    <w:rsid w:val="00A7666B"/>
    <w:rsid w:val="00A776F0"/>
    <w:rsid w:val="00A80933"/>
    <w:rsid w:val="00A82D3E"/>
    <w:rsid w:val="00A926E1"/>
    <w:rsid w:val="00AA223D"/>
    <w:rsid w:val="00AB0342"/>
    <w:rsid w:val="00AC43AB"/>
    <w:rsid w:val="00AC74EB"/>
    <w:rsid w:val="00AC7E31"/>
    <w:rsid w:val="00AD0195"/>
    <w:rsid w:val="00AD3DD2"/>
    <w:rsid w:val="00AD6796"/>
    <w:rsid w:val="00AE03B7"/>
    <w:rsid w:val="00AE40EE"/>
    <w:rsid w:val="00B00931"/>
    <w:rsid w:val="00B02C4D"/>
    <w:rsid w:val="00B040AA"/>
    <w:rsid w:val="00B06009"/>
    <w:rsid w:val="00B07C00"/>
    <w:rsid w:val="00B12BFC"/>
    <w:rsid w:val="00B16397"/>
    <w:rsid w:val="00B21404"/>
    <w:rsid w:val="00B24398"/>
    <w:rsid w:val="00B337E3"/>
    <w:rsid w:val="00B46EC2"/>
    <w:rsid w:val="00B50D1E"/>
    <w:rsid w:val="00B50F8E"/>
    <w:rsid w:val="00B613B4"/>
    <w:rsid w:val="00B64825"/>
    <w:rsid w:val="00B75301"/>
    <w:rsid w:val="00B87A6F"/>
    <w:rsid w:val="00B91FF1"/>
    <w:rsid w:val="00B92461"/>
    <w:rsid w:val="00B9669F"/>
    <w:rsid w:val="00BA6641"/>
    <w:rsid w:val="00BB6D9F"/>
    <w:rsid w:val="00BC09C3"/>
    <w:rsid w:val="00BD1430"/>
    <w:rsid w:val="00BD342E"/>
    <w:rsid w:val="00BD5D2A"/>
    <w:rsid w:val="00BD7925"/>
    <w:rsid w:val="00BE4F89"/>
    <w:rsid w:val="00BE5E23"/>
    <w:rsid w:val="00BE6387"/>
    <w:rsid w:val="00BE7215"/>
    <w:rsid w:val="00BF66EF"/>
    <w:rsid w:val="00C0224E"/>
    <w:rsid w:val="00C039EA"/>
    <w:rsid w:val="00C04916"/>
    <w:rsid w:val="00C11BFF"/>
    <w:rsid w:val="00C153F3"/>
    <w:rsid w:val="00C21A38"/>
    <w:rsid w:val="00C223B3"/>
    <w:rsid w:val="00C23AEC"/>
    <w:rsid w:val="00C24D31"/>
    <w:rsid w:val="00C27886"/>
    <w:rsid w:val="00C315D4"/>
    <w:rsid w:val="00C33A1E"/>
    <w:rsid w:val="00C368C9"/>
    <w:rsid w:val="00C36E0D"/>
    <w:rsid w:val="00C417E7"/>
    <w:rsid w:val="00C4180A"/>
    <w:rsid w:val="00C42CFB"/>
    <w:rsid w:val="00C431EA"/>
    <w:rsid w:val="00C4366E"/>
    <w:rsid w:val="00C47857"/>
    <w:rsid w:val="00C47B9A"/>
    <w:rsid w:val="00C53940"/>
    <w:rsid w:val="00C54D17"/>
    <w:rsid w:val="00C7000F"/>
    <w:rsid w:val="00C81FEE"/>
    <w:rsid w:val="00C82BE1"/>
    <w:rsid w:val="00C846F1"/>
    <w:rsid w:val="00C84707"/>
    <w:rsid w:val="00C91352"/>
    <w:rsid w:val="00C93B5F"/>
    <w:rsid w:val="00C945D9"/>
    <w:rsid w:val="00CA579E"/>
    <w:rsid w:val="00CA7082"/>
    <w:rsid w:val="00CA72AA"/>
    <w:rsid w:val="00CA7516"/>
    <w:rsid w:val="00CA7713"/>
    <w:rsid w:val="00CB0F68"/>
    <w:rsid w:val="00CB14D1"/>
    <w:rsid w:val="00CB27EE"/>
    <w:rsid w:val="00CD0479"/>
    <w:rsid w:val="00CD224A"/>
    <w:rsid w:val="00CE0442"/>
    <w:rsid w:val="00CE0A79"/>
    <w:rsid w:val="00CF3DFB"/>
    <w:rsid w:val="00CF4962"/>
    <w:rsid w:val="00CF6BE2"/>
    <w:rsid w:val="00CF7CD7"/>
    <w:rsid w:val="00D03924"/>
    <w:rsid w:val="00D05632"/>
    <w:rsid w:val="00D1222F"/>
    <w:rsid w:val="00D16ED0"/>
    <w:rsid w:val="00D20A7C"/>
    <w:rsid w:val="00D30D11"/>
    <w:rsid w:val="00D379EE"/>
    <w:rsid w:val="00D40C00"/>
    <w:rsid w:val="00D44F0F"/>
    <w:rsid w:val="00D50987"/>
    <w:rsid w:val="00D52B98"/>
    <w:rsid w:val="00D52FB3"/>
    <w:rsid w:val="00D5478A"/>
    <w:rsid w:val="00D6776A"/>
    <w:rsid w:val="00D677E0"/>
    <w:rsid w:val="00D70B09"/>
    <w:rsid w:val="00D70FFB"/>
    <w:rsid w:val="00D72AE7"/>
    <w:rsid w:val="00D821C8"/>
    <w:rsid w:val="00D931AC"/>
    <w:rsid w:val="00D936A0"/>
    <w:rsid w:val="00DA2141"/>
    <w:rsid w:val="00DA59DA"/>
    <w:rsid w:val="00DA5BB7"/>
    <w:rsid w:val="00DA6C7F"/>
    <w:rsid w:val="00DB0ACF"/>
    <w:rsid w:val="00DB35A6"/>
    <w:rsid w:val="00DC3B18"/>
    <w:rsid w:val="00DC75C6"/>
    <w:rsid w:val="00DD22D4"/>
    <w:rsid w:val="00DD3694"/>
    <w:rsid w:val="00DE2240"/>
    <w:rsid w:val="00DE43EE"/>
    <w:rsid w:val="00DE6875"/>
    <w:rsid w:val="00DE7B9E"/>
    <w:rsid w:val="00E02586"/>
    <w:rsid w:val="00E1119E"/>
    <w:rsid w:val="00E12235"/>
    <w:rsid w:val="00E175BE"/>
    <w:rsid w:val="00E20821"/>
    <w:rsid w:val="00E21038"/>
    <w:rsid w:val="00E26349"/>
    <w:rsid w:val="00E312BF"/>
    <w:rsid w:val="00E34A5E"/>
    <w:rsid w:val="00E35834"/>
    <w:rsid w:val="00E37A97"/>
    <w:rsid w:val="00E40D04"/>
    <w:rsid w:val="00E43A27"/>
    <w:rsid w:val="00E60643"/>
    <w:rsid w:val="00E77E40"/>
    <w:rsid w:val="00E85C7D"/>
    <w:rsid w:val="00E87CE2"/>
    <w:rsid w:val="00E90A46"/>
    <w:rsid w:val="00EA14F5"/>
    <w:rsid w:val="00EA32C3"/>
    <w:rsid w:val="00EA3964"/>
    <w:rsid w:val="00EA4B8F"/>
    <w:rsid w:val="00EA5189"/>
    <w:rsid w:val="00EA54C0"/>
    <w:rsid w:val="00EB294B"/>
    <w:rsid w:val="00EB4DE8"/>
    <w:rsid w:val="00EB722C"/>
    <w:rsid w:val="00EC1FF5"/>
    <w:rsid w:val="00EC5769"/>
    <w:rsid w:val="00ED070D"/>
    <w:rsid w:val="00ED7B2D"/>
    <w:rsid w:val="00EE54D8"/>
    <w:rsid w:val="00EE6BC8"/>
    <w:rsid w:val="00EF0819"/>
    <w:rsid w:val="00EF448C"/>
    <w:rsid w:val="00EF4951"/>
    <w:rsid w:val="00EF50BF"/>
    <w:rsid w:val="00EF757F"/>
    <w:rsid w:val="00F0162A"/>
    <w:rsid w:val="00F04DCF"/>
    <w:rsid w:val="00F1083D"/>
    <w:rsid w:val="00F1554B"/>
    <w:rsid w:val="00F160AB"/>
    <w:rsid w:val="00F205F1"/>
    <w:rsid w:val="00F25ED7"/>
    <w:rsid w:val="00F30680"/>
    <w:rsid w:val="00F31E19"/>
    <w:rsid w:val="00F379CD"/>
    <w:rsid w:val="00F42308"/>
    <w:rsid w:val="00F42883"/>
    <w:rsid w:val="00F42F3C"/>
    <w:rsid w:val="00F47E55"/>
    <w:rsid w:val="00F55884"/>
    <w:rsid w:val="00F73A15"/>
    <w:rsid w:val="00F75046"/>
    <w:rsid w:val="00F77DB2"/>
    <w:rsid w:val="00F80575"/>
    <w:rsid w:val="00F8442A"/>
    <w:rsid w:val="00F878FC"/>
    <w:rsid w:val="00F9534B"/>
    <w:rsid w:val="00F970A8"/>
    <w:rsid w:val="00F97ECA"/>
    <w:rsid w:val="00FA372C"/>
    <w:rsid w:val="00FA3E78"/>
    <w:rsid w:val="00FA5E37"/>
    <w:rsid w:val="00FA5F38"/>
    <w:rsid w:val="00FB108F"/>
    <w:rsid w:val="00FB6427"/>
    <w:rsid w:val="00FC4DE8"/>
    <w:rsid w:val="00FC644A"/>
    <w:rsid w:val="00FD58CD"/>
    <w:rsid w:val="00FD650C"/>
    <w:rsid w:val="00FE0D99"/>
    <w:rsid w:val="00FE334C"/>
    <w:rsid w:val="00FE5F0D"/>
    <w:rsid w:val="00FF22E3"/>
    <w:rsid w:val="00FF2FA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0C16CEE7"/>
  <w15:docId w15:val="{1694834B-5E29-4512-B6B9-228B062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4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40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40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15184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184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184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184D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11"/>
    <w:rPr>
      <w:rFonts w:ascii="Tahoma" w:hAnsi="Tahoma" w:cs="Tahoma"/>
      <w:sz w:val="16"/>
      <w:szCs w:val="16"/>
      <w:lang w:val="hu-HU"/>
    </w:rPr>
  </w:style>
  <w:style w:type="character" w:styleId="Strong">
    <w:name w:val="Strong"/>
    <w:basedOn w:val="DefaultParagraphFont"/>
    <w:uiPriority w:val="22"/>
    <w:qFormat/>
    <w:rsid w:val="00296F9F"/>
    <w:rPr>
      <w:b/>
      <w:bCs/>
    </w:rPr>
  </w:style>
  <w:style w:type="paragraph" w:styleId="ListParagraph">
    <w:name w:val="List Paragraph"/>
    <w:basedOn w:val="Normal"/>
    <w:uiPriority w:val="34"/>
    <w:qFormat/>
    <w:rsid w:val="00806041"/>
    <w:pPr>
      <w:ind w:left="720"/>
      <w:contextualSpacing/>
    </w:pPr>
  </w:style>
  <w:style w:type="paragraph" w:styleId="NoSpacing">
    <w:name w:val="No Spacing"/>
    <w:uiPriority w:val="1"/>
    <w:qFormat/>
    <w:rsid w:val="002E2D8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933"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933"/>
    <w:rPr>
      <w:rFonts w:ascii="Times New Roman" w:hAnsi="Times New Roman" w:cs="Times New Roman"/>
      <w:b/>
      <w:bCs/>
      <w:sz w:val="20"/>
      <w:szCs w:val="20"/>
      <w:lang w:val="hu-HU"/>
    </w:rPr>
  </w:style>
  <w:style w:type="paragraph" w:customStyle="1" w:styleId="CM1">
    <w:name w:val="CM1"/>
    <w:basedOn w:val="Normal"/>
    <w:next w:val="Normal"/>
    <w:uiPriority w:val="99"/>
    <w:rsid w:val="00B87A6F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en-GB"/>
    </w:rPr>
  </w:style>
  <w:style w:type="paragraph" w:customStyle="1" w:styleId="CM4">
    <w:name w:val="CM4"/>
    <w:basedOn w:val="Normal"/>
    <w:next w:val="Normal"/>
    <w:uiPriority w:val="99"/>
    <w:rsid w:val="00B87A6F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46D7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A46D7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3A46D7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46D7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46D7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46D7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C62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B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1025A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1025A"/>
    <w:rPr>
      <w:i/>
      <w:iCs/>
    </w:rPr>
  </w:style>
  <w:style w:type="character" w:customStyle="1" w:styleId="Point1letterChar">
    <w:name w:val="Point 1 (letter) Char"/>
    <w:rsid w:val="00821B3F"/>
    <w:rPr>
      <w:rFonts w:ascii="Times New Roman" w:hAnsi="Times New Roman" w:cs="Times New Roman"/>
      <w:sz w:val="24"/>
      <w:lang w:val="hu-HU"/>
    </w:rPr>
  </w:style>
  <w:style w:type="paragraph" w:customStyle="1" w:styleId="titlepage">
    <w:name w:val="title page"/>
    <w:basedOn w:val="Normal"/>
    <w:link w:val="titlepageChar"/>
    <w:qFormat/>
    <w:rsid w:val="00F73A15"/>
    <w:pPr>
      <w:jc w:val="left"/>
    </w:pPr>
    <w:rPr>
      <w:rFonts w:ascii="Arial" w:hAnsi="Arial" w:cstheme="minorBidi"/>
      <w:sz w:val="52"/>
    </w:rPr>
  </w:style>
  <w:style w:type="character" w:customStyle="1" w:styleId="titlepageChar">
    <w:name w:val="title page Char"/>
    <w:basedOn w:val="DefaultParagraphFont"/>
    <w:link w:val="titlepage"/>
    <w:rsid w:val="00F73A15"/>
    <w:rPr>
      <w:rFonts w:ascii="Arial" w:hAnsi="Arial"/>
      <w:sz w:val="52"/>
      <w:lang w:val="hu-HU"/>
    </w:rPr>
  </w:style>
  <w:style w:type="paragraph" w:customStyle="1" w:styleId="CoretextOTIF">
    <w:name w:val="Core text OTIF"/>
    <w:basedOn w:val="Normal"/>
    <w:link w:val="CoretextOTIFCar"/>
    <w:autoRedefine/>
    <w:qFormat/>
    <w:rsid w:val="00180F6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4536"/>
      </w:tabs>
      <w:spacing w:before="0" w:after="240"/>
    </w:pPr>
    <w:rPr>
      <w:rFonts w:eastAsia="Times New Roman"/>
      <w:bCs/>
      <w:color w:val="00B050"/>
      <w:szCs w:val="24"/>
      <w:lang w:eastAsia="fr-FR"/>
    </w:rPr>
  </w:style>
  <w:style w:type="character" w:customStyle="1" w:styleId="CoretextOTIFCar">
    <w:name w:val="Core text OTIF Car"/>
    <w:basedOn w:val="DefaultParagraphFont"/>
    <w:link w:val="CoretextOTIF"/>
    <w:rsid w:val="00180F68"/>
    <w:rPr>
      <w:rFonts w:ascii="Times New Roman" w:eastAsia="Times New Roman" w:hAnsi="Times New Roman" w:cs="Times New Roman"/>
      <w:bCs/>
      <w:color w:val="00B050"/>
      <w:sz w:val="24"/>
      <w:szCs w:val="24"/>
      <w:lang w:val="hu-HU" w:eastAsia="fr-FR"/>
    </w:rPr>
  </w:style>
  <w:style w:type="paragraph" w:styleId="Revision">
    <w:name w:val="Revision"/>
    <w:hidden/>
    <w:uiPriority w:val="99"/>
    <w:semiHidden/>
    <w:rsid w:val="0054545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081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F0819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EF081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EF0819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EF081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EF081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EF08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EF0819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EF08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33"/>
      </w:numPr>
    </w:pPr>
  </w:style>
  <w:style w:type="paragraph" w:customStyle="1" w:styleId="Tiret1">
    <w:name w:val="Tiret 1"/>
    <w:basedOn w:val="Point1"/>
    <w:pPr>
      <w:numPr>
        <w:numId w:val="34"/>
      </w:numPr>
    </w:pPr>
  </w:style>
  <w:style w:type="paragraph" w:customStyle="1" w:styleId="Tiret2">
    <w:name w:val="Tiret 2"/>
    <w:basedOn w:val="Point2"/>
    <w:pPr>
      <w:numPr>
        <w:numId w:val="35"/>
      </w:numPr>
    </w:pPr>
  </w:style>
  <w:style w:type="paragraph" w:customStyle="1" w:styleId="Tiret3">
    <w:name w:val="Tiret 3"/>
    <w:basedOn w:val="Point3"/>
    <w:pPr>
      <w:numPr>
        <w:numId w:val="36"/>
      </w:numPr>
    </w:pPr>
  </w:style>
  <w:style w:type="paragraph" w:customStyle="1" w:styleId="Tiret4">
    <w:name w:val="Tiret 4"/>
    <w:basedOn w:val="Point4"/>
    <w:pPr>
      <w:numPr>
        <w:numId w:val="37"/>
      </w:numPr>
    </w:pPr>
  </w:style>
  <w:style w:type="paragraph" w:customStyle="1" w:styleId="Tiret5">
    <w:name w:val="Tiret 5"/>
    <w:basedOn w:val="Point5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9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9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BD82-EAC2-428F-91E9-8D17C0DA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15</TotalTime>
  <Pages>11</Pages>
  <Words>2755</Words>
  <Characters>19345</Characters>
  <Application>Microsoft Office Word</Application>
  <DocSecurity>0</DocSecurity>
  <Lines>333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EC CoDe</cp:lastModifiedBy>
  <cp:revision>46</cp:revision>
  <cp:lastPrinted>2019-04-30T13:59:00Z</cp:lastPrinted>
  <dcterms:created xsi:type="dcterms:W3CDTF">2023-03-23T09:03:00Z</dcterms:created>
  <dcterms:modified xsi:type="dcterms:W3CDTF">2023-03-29T09:30:00Z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8.1, Build 20230124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MSIP_Label_6bd9ddd1-4d20-43f6-abfa-fc3c07406f94_Enabled">
    <vt:lpwstr>true</vt:lpwstr>
  </property>
  <property fmtid="{D5CDD505-2E9C-101B-9397-08002B2CF9AE}" pid="11" name="MSIP_Label_6bd9ddd1-4d20-43f6-abfa-fc3c07406f94_SetDate">
    <vt:lpwstr>2023-01-13T09:09:12Z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iteId">
    <vt:lpwstr>b24c8b06-522c-46fe-9080-70926f8dddb1</vt:lpwstr>
  </property>
  <property fmtid="{D5CDD505-2E9C-101B-9397-08002B2CF9AE}" pid="15" name="MSIP_Label_6bd9ddd1-4d20-43f6-abfa-fc3c07406f94_ActionId">
    <vt:lpwstr>6826d3fd-e1e8-49ff-9a6b-4249b76157c1</vt:lpwstr>
  </property>
  <property fmtid="{D5CDD505-2E9C-101B-9397-08002B2CF9AE}" pid="16" name="MSIP_Label_6bd9ddd1-4d20-43f6-abfa-fc3c07406f94_ContentBits">
    <vt:lpwstr>0</vt:lpwstr>
  </property>
  <property fmtid="{D5CDD505-2E9C-101B-9397-08002B2CF9AE}" pid="17" name="DQCStatus">
    <vt:lpwstr>Green (DQC version 03)</vt:lpwstr>
  </property>
</Properties>
</file>