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74F6B" w14:textId="1755BB40" w:rsidR="004D1915" w:rsidRDefault="00C357D2" w:rsidP="00C357D2">
      <w:pPr>
        <w:pStyle w:val="Pagedecouverture"/>
        <w:rPr>
          <w:noProof/>
        </w:rPr>
      </w:pPr>
      <w:bookmarkStart w:id="0" w:name="LW_BM_COVERPAGE"/>
      <w:r>
        <w:rPr>
          <w:noProof/>
        </w:rPr>
        <w:pict w14:anchorId="72F81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2E60464-7501-4F49-9344-E8C2CCD56859" style="width:455.25pt;height:351.75pt">
            <v:imagedata r:id="rId11" o:title=""/>
          </v:shape>
        </w:pict>
      </w:r>
    </w:p>
    <w:bookmarkEnd w:id="0"/>
    <w:p w14:paraId="12E72347" w14:textId="77777777" w:rsidR="004D1915" w:rsidRDefault="004D1915" w:rsidP="004D1915">
      <w:pPr>
        <w:rPr>
          <w:noProof/>
        </w:rPr>
        <w:sectPr w:rsidR="004D1915" w:rsidSect="00C357D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W w:w="0" w:type="auto"/>
        <w:tblInd w:w="-34" w:type="dxa"/>
        <w:tblLayout w:type="fixed"/>
        <w:tblLook w:val="0000" w:firstRow="0" w:lastRow="0" w:firstColumn="0" w:lastColumn="0" w:noHBand="0" w:noVBand="0"/>
      </w:tblPr>
      <w:tblGrid>
        <w:gridCol w:w="8931"/>
      </w:tblGrid>
      <w:tr w:rsidR="00047B41" w:rsidRPr="002E2B54" w14:paraId="2CE2EBC6" w14:textId="77777777" w:rsidTr="3CFA04E0">
        <w:tc>
          <w:tcPr>
            <w:tcW w:w="8931" w:type="dxa"/>
            <w:tcBorders>
              <w:top w:val="single" w:sz="6" w:space="0" w:color="auto"/>
              <w:left w:val="single" w:sz="6" w:space="0" w:color="auto"/>
              <w:bottom w:val="single" w:sz="6" w:space="0" w:color="auto"/>
              <w:right w:val="single" w:sz="6" w:space="0" w:color="auto"/>
            </w:tcBorders>
          </w:tcPr>
          <w:p w14:paraId="2B34E476" w14:textId="77777777" w:rsidR="00047B41" w:rsidRPr="00BE0C0C" w:rsidRDefault="00047B41" w:rsidP="006D1B39">
            <w:pPr>
              <w:widowControl w:val="0"/>
              <w:tabs>
                <w:tab w:val="left" w:pos="10206"/>
              </w:tabs>
              <w:autoSpaceDE w:val="0"/>
              <w:autoSpaceDN w:val="0"/>
              <w:adjustRightInd w:val="0"/>
              <w:spacing w:before="80"/>
              <w:ind w:left="34" w:right="45"/>
              <w:jc w:val="center"/>
              <w:rPr>
                <w:rFonts w:ascii="Arial Narrow" w:hAnsi="Arial Narrow"/>
                <w:b/>
                <w:i/>
                <w:smallCaps/>
                <w:noProof/>
                <w:sz w:val="23"/>
                <w:szCs w:val="23"/>
              </w:rPr>
            </w:pPr>
            <w:bookmarkStart w:id="1" w:name="_GoBack"/>
            <w:bookmarkEnd w:id="1"/>
            <w:r>
              <w:rPr>
                <w:rFonts w:ascii="Arial Narrow" w:hAnsi="Arial Narrow"/>
                <w:b/>
                <w:i/>
                <w:smallCaps/>
                <w:noProof/>
                <w:sz w:val="23"/>
              </w:rPr>
              <w:lastRenderedPageBreak/>
              <w:t>Összefoglaló</w:t>
            </w:r>
          </w:p>
          <w:p w14:paraId="272D4C4C" w14:textId="2F11A8A4" w:rsidR="00047B41" w:rsidRPr="00B7693D" w:rsidRDefault="4E8EE609" w:rsidP="005550B3">
            <w:pPr>
              <w:spacing w:after="120" w:line="240" w:lineRule="auto"/>
              <w:jc w:val="both"/>
              <w:rPr>
                <w:rFonts w:ascii="Times New Roman" w:hAnsi="Times New Roman" w:cs="Times New Roman"/>
                <w:i/>
                <w:iCs/>
                <w:noProof/>
                <w:sz w:val="24"/>
                <w:szCs w:val="24"/>
              </w:rPr>
            </w:pPr>
            <w:r>
              <w:rPr>
                <w:rFonts w:ascii="Times New Roman" w:hAnsi="Times New Roman"/>
                <w:i/>
                <w:noProof/>
                <w:sz w:val="24"/>
              </w:rPr>
              <w:t xml:space="preserve">A Bizottság háromévente jelentést tesz az Európai Parlamentnek és a Tanácsnak a tradicionális saját forrásokra (TOR) vonatkozó ellenőrzési intézkedések működéséről. Ez a jelentés részletesen ismerteti a 2019–2021-es időszakban végzett ellenőrzési tevékenységeket. </w:t>
            </w:r>
          </w:p>
          <w:p w14:paraId="0FD4D9C0" w14:textId="1B08BB0D" w:rsidR="00047B41" w:rsidRPr="00B50E9A" w:rsidRDefault="0767A357" w:rsidP="005550B3">
            <w:pPr>
              <w:spacing w:after="120" w:line="240" w:lineRule="auto"/>
              <w:jc w:val="both"/>
              <w:rPr>
                <w:rFonts w:ascii="Times New Roman" w:hAnsi="Times New Roman" w:cs="Times New Roman"/>
                <w:i/>
                <w:iCs/>
                <w:noProof/>
                <w:sz w:val="24"/>
                <w:szCs w:val="24"/>
              </w:rPr>
            </w:pPr>
            <w:r>
              <w:rPr>
                <w:rFonts w:ascii="Times New Roman" w:hAnsi="Times New Roman"/>
                <w:i/>
                <w:noProof/>
                <w:sz w:val="24"/>
              </w:rPr>
              <w:t xml:space="preserve">Az ebben az időszakban a Covid19-világjárvány miatt a tagállamok és a Bizottság előtt álló példátlan kihívások ellenére a Bizottság figyelemreméltó intézkedéseket hozott a TOR területén, amelyek további </w:t>
            </w:r>
            <w:r>
              <w:rPr>
                <w:rFonts w:ascii="Times New Roman" w:hAnsi="Times New Roman"/>
                <w:b/>
                <w:i/>
                <w:noProof/>
                <w:sz w:val="24"/>
              </w:rPr>
              <w:t>2,54 milliárd EUR</w:t>
            </w:r>
            <w:r>
              <w:rPr>
                <w:rFonts w:ascii="Times New Roman" w:hAnsi="Times New Roman"/>
                <w:i/>
                <w:noProof/>
                <w:sz w:val="24"/>
              </w:rPr>
              <w:t xml:space="preserve">-val növelték az uniós költségvetést. </w:t>
            </w:r>
          </w:p>
          <w:p w14:paraId="73B261EE" w14:textId="29FE2067" w:rsidR="00047B41" w:rsidRDefault="00A325CD" w:rsidP="005550B3">
            <w:pPr>
              <w:spacing w:after="120" w:line="240" w:lineRule="auto"/>
              <w:jc w:val="both"/>
              <w:rPr>
                <w:rFonts w:ascii="Times New Roman" w:hAnsi="Times New Roman" w:cs="Times New Roman"/>
                <w:i/>
                <w:iCs/>
                <w:noProof/>
                <w:sz w:val="24"/>
                <w:szCs w:val="24"/>
              </w:rPr>
            </w:pPr>
            <w:r>
              <w:rPr>
                <w:rFonts w:ascii="Times New Roman" w:hAnsi="Times New Roman"/>
                <w:i/>
                <w:noProof/>
                <w:sz w:val="24"/>
              </w:rPr>
              <w:t xml:space="preserve">A Bizottság az intézkedéseit </w:t>
            </w:r>
            <w:r>
              <w:rPr>
                <w:rFonts w:ascii="Times New Roman" w:hAnsi="Times New Roman"/>
                <w:b/>
                <w:i/>
                <w:noProof/>
                <w:sz w:val="24"/>
              </w:rPr>
              <w:t xml:space="preserve">a Kínai Népköztársaságból származó, csalárd módon alulértékelt textiltermékekre és lábbelikre </w:t>
            </w:r>
            <w:r>
              <w:rPr>
                <w:rFonts w:ascii="Times New Roman" w:hAnsi="Times New Roman"/>
                <w:i/>
                <w:noProof/>
                <w:sz w:val="24"/>
              </w:rPr>
              <w:t xml:space="preserve">összpontosította, amelyeket az Egyesült Királyságba és valamennyi tagállamba importáltak. A Bizottság kötelezettségszegési eljárást indított az Egyesült Királyság ellen, amelyben az Európai Unió Bírósága (EUB) végül a Bizottság javára döntött (C-213/19). </w:t>
            </w:r>
            <w:bookmarkStart w:id="2" w:name="_Int_vVQmMFzq"/>
            <w:r>
              <w:rPr>
                <w:rFonts w:ascii="Times New Roman" w:hAnsi="Times New Roman"/>
                <w:i/>
                <w:noProof/>
                <w:sz w:val="24"/>
              </w:rPr>
              <w:t>Ez</w:t>
            </w:r>
            <w:bookmarkEnd w:id="2"/>
            <w:r>
              <w:rPr>
                <w:rFonts w:ascii="Times New Roman" w:hAnsi="Times New Roman"/>
                <w:i/>
                <w:noProof/>
                <w:sz w:val="24"/>
              </w:rPr>
              <w:t xml:space="preserve"> a mérföldkőnek számító ügy nemcsak jelentős összeggel növeli az uniós költségvetést a tradicionális saját forrásokból, hanem a jövőre nézve általánosságban biztosítja az egyértelműséget </w:t>
            </w:r>
            <w:bookmarkStart w:id="3" w:name="_Int_RJjq0rR2"/>
            <w:r>
              <w:rPr>
                <w:rFonts w:ascii="Times New Roman" w:hAnsi="Times New Roman"/>
                <w:i/>
                <w:noProof/>
                <w:sz w:val="24"/>
              </w:rPr>
              <w:t>a tradicionális saját források beszedésével kapcsolatban.</w:t>
            </w:r>
            <w:bookmarkEnd w:id="3"/>
            <w:r>
              <w:rPr>
                <w:rFonts w:ascii="Times New Roman" w:hAnsi="Times New Roman"/>
                <w:i/>
                <w:noProof/>
                <w:sz w:val="24"/>
              </w:rPr>
              <w:t xml:space="preserve"> Ezen túlmenően a tagállamok jelentősen javították ellenőrzési stratégiáikat ezen a területen. A tradicionális saját forrásokat érintő, ilyen kötelezettségszegésből adódó esetleges veszteségek ellentételezésére 2021. december 31-ig 21 tagállam további </w:t>
            </w:r>
            <w:r>
              <w:rPr>
                <w:rFonts w:ascii="Times New Roman" w:hAnsi="Times New Roman"/>
                <w:b/>
                <w:i/>
                <w:noProof/>
                <w:sz w:val="24"/>
              </w:rPr>
              <w:t>1,473 milliárd EUR</w:t>
            </w:r>
            <w:r>
              <w:rPr>
                <w:rFonts w:ascii="Times New Roman" w:hAnsi="Times New Roman"/>
                <w:i/>
                <w:noProof/>
                <w:sz w:val="24"/>
              </w:rPr>
              <w:t xml:space="preserve">-t bocsátott rendelkezésre fenntartással az EUB ítéletét megelőzően. </w:t>
            </w:r>
          </w:p>
          <w:p w14:paraId="1D63D6BB" w14:textId="4E5D0A24" w:rsidR="0097577F" w:rsidRDefault="00444146" w:rsidP="005550B3">
            <w:pPr>
              <w:spacing w:after="120" w:line="240" w:lineRule="auto"/>
              <w:jc w:val="both"/>
              <w:rPr>
                <w:rFonts w:ascii="Times New Roman" w:hAnsi="Times New Roman" w:cs="Times New Roman"/>
                <w:i/>
                <w:iCs/>
                <w:noProof/>
                <w:sz w:val="24"/>
                <w:szCs w:val="24"/>
              </w:rPr>
            </w:pPr>
            <w:r>
              <w:rPr>
                <w:rFonts w:ascii="Times New Roman" w:hAnsi="Times New Roman"/>
                <w:i/>
                <w:noProof/>
                <w:sz w:val="24"/>
              </w:rPr>
              <w:t>Az Egyesült Királyságnak az EU-ból való 2021. január 1-jei kilépésével összefüggésben sikerült biztosítani az Egyesült Királyság által még fizetendő tradicionális saját források kifizetését a kilépésről rendelkező megállapodással összhangban.</w:t>
            </w:r>
          </w:p>
          <w:p w14:paraId="1A3193BC" w14:textId="77777777" w:rsidR="00E2196B" w:rsidRPr="00E2196B" w:rsidRDefault="2DA53D58" w:rsidP="005550B3">
            <w:pPr>
              <w:spacing w:after="120" w:line="240" w:lineRule="auto"/>
              <w:jc w:val="both"/>
              <w:rPr>
                <w:rFonts w:ascii="Times New Roman" w:hAnsi="Times New Roman" w:cs="Times New Roman"/>
                <w:i/>
                <w:iCs/>
                <w:noProof/>
                <w:sz w:val="24"/>
                <w:szCs w:val="24"/>
              </w:rPr>
            </w:pPr>
            <w:r>
              <w:rPr>
                <w:rFonts w:ascii="Times New Roman" w:hAnsi="Times New Roman"/>
                <w:i/>
                <w:noProof/>
                <w:sz w:val="24"/>
              </w:rPr>
              <w:t xml:space="preserve">A Bizottság az uniós költségvetés védelme érdekében fokozta célzott ad hoc intézkedéseit, például a nyilatkozat alapján Malajziából és Tajvanról származó </w:t>
            </w:r>
            <w:r>
              <w:rPr>
                <w:rFonts w:ascii="Times New Roman" w:hAnsi="Times New Roman"/>
                <w:b/>
                <w:i/>
                <w:noProof/>
                <w:sz w:val="24"/>
              </w:rPr>
              <w:t>szolárpanelek és napelemek</w:t>
            </w:r>
            <w:r>
              <w:rPr>
                <w:rFonts w:ascii="Times New Roman" w:hAnsi="Times New Roman"/>
                <w:i/>
                <w:noProof/>
                <w:sz w:val="24"/>
              </w:rPr>
              <w:t xml:space="preserve"> behozatalának dokumentumalapú ellenőrzése révén. A tagállamok 2021. december 31-ig további </w:t>
            </w:r>
            <w:r>
              <w:rPr>
                <w:rFonts w:ascii="Times New Roman" w:hAnsi="Times New Roman"/>
                <w:b/>
                <w:i/>
                <w:noProof/>
                <w:sz w:val="24"/>
              </w:rPr>
              <w:t>647 millió EUR</w:t>
            </w:r>
            <w:r>
              <w:rPr>
                <w:rFonts w:ascii="Times New Roman" w:hAnsi="Times New Roman"/>
                <w:i/>
                <w:noProof/>
                <w:sz w:val="24"/>
              </w:rPr>
              <w:t xml:space="preserve"> összegű tradicionális saját forrást bocsátottak rendelkezésre e tekintetben. </w:t>
            </w:r>
          </w:p>
          <w:p w14:paraId="7AFD57EE" w14:textId="77777777" w:rsidR="0097577F" w:rsidRDefault="718BC83C" w:rsidP="005550B3">
            <w:pPr>
              <w:spacing w:after="120" w:line="240" w:lineRule="auto"/>
              <w:jc w:val="both"/>
              <w:rPr>
                <w:rFonts w:ascii="Times New Roman" w:hAnsi="Times New Roman" w:cs="Times New Roman"/>
                <w:i/>
                <w:iCs/>
                <w:noProof/>
                <w:sz w:val="24"/>
                <w:szCs w:val="24"/>
              </w:rPr>
            </w:pPr>
            <w:r>
              <w:rPr>
                <w:rFonts w:ascii="Times New Roman" w:hAnsi="Times New Roman"/>
                <w:i/>
                <w:noProof/>
                <w:sz w:val="24"/>
              </w:rPr>
              <w:t>Ezen túlmenően a tervezett éves ellenőrzési tevékenységek között szerepeltek a következő témakörök is:</w:t>
            </w:r>
            <w:r>
              <w:rPr>
                <w:rFonts w:ascii="Times New Roman" w:hAnsi="Times New Roman"/>
                <w:b/>
                <w:i/>
                <w:noProof/>
                <w:sz w:val="24"/>
              </w:rPr>
              <w:t xml:space="preserve"> az A-számla és a B-számla vezetése, a kötelező érvényű tarifális felvilágosítás, a nagyvállalatok, </w:t>
            </w:r>
            <w:r>
              <w:rPr>
                <w:rFonts w:ascii="Times New Roman" w:hAnsi="Times New Roman"/>
                <w:i/>
                <w:noProof/>
                <w:sz w:val="24"/>
              </w:rPr>
              <w:t>valamint</w:t>
            </w:r>
            <w:r>
              <w:rPr>
                <w:rFonts w:ascii="Times New Roman" w:hAnsi="Times New Roman"/>
                <w:b/>
                <w:i/>
                <w:noProof/>
                <w:sz w:val="24"/>
              </w:rPr>
              <w:t xml:space="preserve"> a dömpingellenes és kiegyenlítő vámok.</w:t>
            </w:r>
            <w:r>
              <w:rPr>
                <w:rFonts w:ascii="Times New Roman" w:hAnsi="Times New Roman"/>
                <w:b/>
                <w:noProof/>
                <w:sz w:val="24"/>
              </w:rPr>
              <w:t xml:space="preserve"> </w:t>
            </w:r>
          </w:p>
          <w:p w14:paraId="64232DFC" w14:textId="0DBAE94F" w:rsidR="00047B41" w:rsidRPr="00D111E4" w:rsidRDefault="136576B3" w:rsidP="005550B3">
            <w:pPr>
              <w:spacing w:after="120" w:line="240" w:lineRule="auto"/>
              <w:jc w:val="both"/>
              <w:rPr>
                <w:rFonts w:ascii="Times New Roman" w:hAnsi="Times New Roman" w:cs="Times New Roman"/>
                <w:i/>
                <w:iCs/>
                <w:noProof/>
                <w:sz w:val="24"/>
                <w:szCs w:val="24"/>
              </w:rPr>
            </w:pPr>
            <w:r>
              <w:rPr>
                <w:rFonts w:ascii="Times New Roman" w:hAnsi="Times New Roman"/>
                <w:i/>
                <w:noProof/>
                <w:sz w:val="24"/>
              </w:rPr>
              <w:t xml:space="preserve">Emellett a </w:t>
            </w:r>
            <w:r>
              <w:rPr>
                <w:rFonts w:ascii="Times New Roman" w:hAnsi="Times New Roman"/>
                <w:b/>
                <w:i/>
                <w:noProof/>
                <w:sz w:val="24"/>
              </w:rPr>
              <w:t>Covid19-világjárvány</w:t>
            </w:r>
            <w:r>
              <w:rPr>
                <w:rFonts w:ascii="Times New Roman" w:hAnsi="Times New Roman"/>
                <w:i/>
                <w:noProof/>
                <w:sz w:val="24"/>
              </w:rPr>
              <w:t xml:space="preserve"> miatt a tagállamok sajátos helyzetétől függően számos helyszíni ellenőrzést kellett távolról elvégezni. Így mind a Bizottságnak, mind a tagállamoknak komoly erőfeszítéseket kellett tenniük annak érdekében, hogy hatékonyak és eredményesek maradjanak. E célból a Bizottság kiigazította az ellenőrzések tervezésére és végrehajtására vonatkozó átfogó stratégiáját, például további dokumentumalapú ellenőrzések és ad hoc vizsgálatok bevezetésével, valamint a tradicionális saját forrásokat érintő új tendenciák és kockázatok rugalmasabb kezelésével.  </w:t>
            </w:r>
          </w:p>
          <w:p w14:paraId="34A8055F" w14:textId="2A229024" w:rsidR="0097577F" w:rsidRPr="00D111E4" w:rsidRDefault="136576B3" w:rsidP="005550B3">
            <w:pPr>
              <w:spacing w:after="120" w:line="240" w:lineRule="auto"/>
              <w:jc w:val="both"/>
              <w:rPr>
                <w:rFonts w:ascii="Times New Roman" w:hAnsi="Times New Roman" w:cs="Times New Roman"/>
                <w:noProof/>
                <w:sz w:val="24"/>
                <w:szCs w:val="24"/>
              </w:rPr>
            </w:pPr>
            <w:r>
              <w:rPr>
                <w:rFonts w:ascii="Times New Roman" w:hAnsi="Times New Roman"/>
                <w:i/>
                <w:noProof/>
                <w:sz w:val="24"/>
              </w:rPr>
              <w:t>Végezetül a jelentés az EU pénzügyi érdekeinek védelme érdekében végzett egyéb rendszeres tevékenységeket is tartalmaz: az Európai Számvevőszék előzetes megállapításairól szóló levelek nyomon követése, a behajthatatlan és tagállamok által leírt jogosultságok vizsgálata, a tagállami hibák kezelése, a csalásokkal és szabálytalanságokkal kapcsolatos adatbázis kezelése, valamint a tagjelölt országoknak nyújtott segítség.</w:t>
            </w:r>
          </w:p>
        </w:tc>
      </w:tr>
    </w:tbl>
    <w:p w14:paraId="612A0C16" w14:textId="77777777" w:rsidR="00AB7C4D" w:rsidRPr="00AB7C4D" w:rsidRDefault="00047B41" w:rsidP="00D111E4">
      <w:pPr>
        <w:rPr>
          <w:rFonts w:ascii="Times New Roman" w:hAnsi="Times New Roman" w:cs="Times New Roman"/>
          <w:b/>
          <w:noProof/>
          <w:sz w:val="24"/>
          <w:szCs w:val="24"/>
        </w:rPr>
      </w:pPr>
      <w:r>
        <w:rPr>
          <w:noProof/>
        </w:rPr>
        <w:br w:type="page"/>
      </w:r>
      <w:r>
        <w:rPr>
          <w:rFonts w:ascii="Times New Roman" w:hAnsi="Times New Roman"/>
          <w:b/>
          <w:noProof/>
          <w:sz w:val="24"/>
        </w:rPr>
        <w:t>1.</w:t>
      </w:r>
      <w:r>
        <w:rPr>
          <w:rFonts w:ascii="Times New Roman" w:hAnsi="Times New Roman"/>
          <w:b/>
          <w:noProof/>
          <w:sz w:val="24"/>
        </w:rPr>
        <w:tab/>
        <w:t>BEVEZETÉS</w:t>
      </w:r>
    </w:p>
    <w:p w14:paraId="1FFA07F3" w14:textId="69375AA0" w:rsidR="006C32C8" w:rsidRDefault="62A07469" w:rsidP="00F9560F">
      <w:pPr>
        <w:spacing w:after="120"/>
        <w:jc w:val="both"/>
        <w:rPr>
          <w:rFonts w:ascii="Times New Roman" w:hAnsi="Times New Roman" w:cs="Times New Roman"/>
          <w:noProof/>
          <w:sz w:val="24"/>
          <w:szCs w:val="24"/>
        </w:rPr>
      </w:pPr>
      <w:r>
        <w:rPr>
          <w:rFonts w:ascii="Times New Roman" w:hAnsi="Times New Roman"/>
          <w:noProof/>
          <w:sz w:val="24"/>
        </w:rPr>
        <w:t xml:space="preserve">A tagállamok 2019 és 2021 között összesen több mint </w:t>
      </w:r>
      <w:r>
        <w:rPr>
          <w:rFonts w:ascii="Times New Roman" w:hAnsi="Times New Roman"/>
          <w:b/>
          <w:noProof/>
          <w:sz w:val="24"/>
        </w:rPr>
        <w:t>60 milliárd EUR</w:t>
      </w:r>
      <w:r>
        <w:rPr>
          <w:rFonts w:ascii="Times New Roman" w:hAnsi="Times New Roman"/>
          <w:noProof/>
          <w:sz w:val="24"/>
        </w:rPr>
        <w:t xml:space="preserve"> összegű tradicionális saját forrást (TOR)</w:t>
      </w:r>
      <w:r w:rsidR="00A76CE8">
        <w:rPr>
          <w:rStyle w:val="FootnoteReference"/>
          <w:rFonts w:ascii="Times New Roman" w:hAnsi="Times New Roman" w:cs="Times New Roman"/>
          <w:noProof/>
          <w:sz w:val="24"/>
          <w:szCs w:val="24"/>
        </w:rPr>
        <w:footnoteReference w:id="2"/>
      </w:r>
      <w:r>
        <w:rPr>
          <w:rFonts w:ascii="Times New Roman" w:hAnsi="Times New Roman"/>
          <w:noProof/>
          <w:sz w:val="24"/>
        </w:rPr>
        <w:t xml:space="preserve"> bocsátottak rendelkezésre (nettó), vagyis évente átlagosan kb. 20 milliárd EUR-t. </w:t>
      </w:r>
    </w:p>
    <w:p w14:paraId="560FA6CE" w14:textId="274BC049" w:rsidR="00F9560F" w:rsidRDefault="00F9560F" w:rsidP="00F9560F">
      <w:pPr>
        <w:spacing w:after="120"/>
        <w:jc w:val="both"/>
        <w:rPr>
          <w:rFonts w:ascii="Times New Roman" w:hAnsi="Times New Roman" w:cs="Times New Roman"/>
          <w:noProof/>
          <w:sz w:val="24"/>
          <w:szCs w:val="24"/>
        </w:rPr>
      </w:pPr>
      <w:r>
        <w:rPr>
          <w:rFonts w:ascii="Times New Roman" w:hAnsi="Times New Roman"/>
          <w:noProof/>
          <w:sz w:val="24"/>
        </w:rPr>
        <w:t>A tradicionális saját forrásokra vonatkozó ellenőrzések (TOR-ellenőrzések) jogalapja a 2014. május 26-i 608/2014/EU, Euratom tanácsi rendelet</w:t>
      </w:r>
      <w:r w:rsidR="003D3F59" w:rsidRPr="00D63630">
        <w:rPr>
          <w:rFonts w:ascii="Times New Roman" w:hAnsi="Times New Roman" w:cs="Times New Roman"/>
          <w:noProof/>
          <w:sz w:val="24"/>
          <w:szCs w:val="24"/>
          <w:vertAlign w:val="superscript"/>
        </w:rPr>
        <w:footnoteReference w:id="3"/>
      </w:r>
      <w:r>
        <w:rPr>
          <w:rFonts w:ascii="Times New Roman" w:hAnsi="Times New Roman"/>
          <w:noProof/>
          <w:sz w:val="24"/>
        </w:rPr>
        <w:t>, amelyet a 2021. április 3-i (EU, Euratom) 2021/768 tanácsi rendelet</w:t>
      </w:r>
      <w:r w:rsidR="003F01B9">
        <w:rPr>
          <w:rStyle w:val="FootnoteReference"/>
          <w:rFonts w:ascii="Times New Roman" w:hAnsi="Times New Roman" w:cs="Times New Roman"/>
          <w:bCs/>
          <w:noProof/>
          <w:color w:val="000000"/>
          <w:sz w:val="24"/>
          <w:szCs w:val="24"/>
          <w:lang w:val="en-US"/>
        </w:rPr>
        <w:footnoteReference w:id="4"/>
      </w:r>
      <w:r>
        <w:rPr>
          <w:rFonts w:ascii="Times New Roman" w:hAnsi="Times New Roman"/>
          <w:noProof/>
          <w:sz w:val="24"/>
        </w:rPr>
        <w:t xml:space="preserve"> hatályon kívül helyezett.</w:t>
      </w:r>
    </w:p>
    <w:p w14:paraId="665A996B" w14:textId="449657FA" w:rsidR="00A76CE8" w:rsidRDefault="00A76CE8" w:rsidP="00A76CE8">
      <w:pPr>
        <w:spacing w:after="120"/>
        <w:jc w:val="both"/>
        <w:rPr>
          <w:rFonts w:ascii="Times New Roman" w:hAnsi="Times New Roman" w:cs="Times New Roman"/>
          <w:noProof/>
          <w:sz w:val="24"/>
          <w:szCs w:val="24"/>
        </w:rPr>
      </w:pPr>
      <w:r>
        <w:rPr>
          <w:rFonts w:ascii="Times New Roman" w:hAnsi="Times New Roman"/>
          <w:noProof/>
          <w:sz w:val="24"/>
        </w:rPr>
        <w:t>A Bizottság háromévente jelentést tesz</w:t>
      </w:r>
      <w:r w:rsidRPr="00ED1765">
        <w:rPr>
          <w:rFonts w:ascii="Times New Roman" w:hAnsi="Times New Roman" w:cs="Times New Roman"/>
          <w:noProof/>
          <w:sz w:val="24"/>
          <w:szCs w:val="24"/>
          <w:vertAlign w:val="superscript"/>
        </w:rPr>
        <w:footnoteReference w:id="5"/>
      </w:r>
      <w:r>
        <w:rPr>
          <w:rFonts w:ascii="Times New Roman" w:hAnsi="Times New Roman"/>
          <w:noProof/>
          <w:sz w:val="24"/>
        </w:rPr>
        <w:t xml:space="preserve"> az Európai Parlamentnek és a Tanácsnak a TOR-ra vonatkozó ellenőrzési intézkedések működéséről. </w:t>
      </w:r>
    </w:p>
    <w:p w14:paraId="317F0926" w14:textId="258217D1" w:rsidR="00ED1765" w:rsidRPr="00ED1765" w:rsidRDefault="484480EF" w:rsidP="0056122A">
      <w:pPr>
        <w:spacing w:after="120"/>
        <w:jc w:val="both"/>
        <w:rPr>
          <w:rFonts w:ascii="Times New Roman" w:hAnsi="Times New Roman" w:cs="Times New Roman"/>
          <w:noProof/>
          <w:sz w:val="24"/>
          <w:szCs w:val="24"/>
        </w:rPr>
      </w:pPr>
      <w:r>
        <w:rPr>
          <w:rFonts w:ascii="Times New Roman" w:hAnsi="Times New Roman"/>
          <w:noProof/>
          <w:sz w:val="24"/>
        </w:rPr>
        <w:t>Ez a jelentés a tradicionális saját forrásokra vonatkozó ellenőrzési rendszer 2019 és 2021 közötti működését ismerteti és elemzi</w:t>
      </w:r>
      <w:r w:rsidR="00ED1765" w:rsidRPr="00ED1765">
        <w:rPr>
          <w:rFonts w:ascii="Times New Roman" w:hAnsi="Times New Roman" w:cs="Times New Roman"/>
          <w:noProof/>
          <w:sz w:val="24"/>
          <w:szCs w:val="24"/>
          <w:vertAlign w:val="superscript"/>
        </w:rPr>
        <w:footnoteReference w:id="6"/>
      </w:r>
      <w:r>
        <w:rPr>
          <w:rFonts w:ascii="Times New Roman" w:hAnsi="Times New Roman"/>
          <w:noProof/>
          <w:sz w:val="24"/>
        </w:rPr>
        <w:t>. Ismerteti továbbá az Európai Bizottság által ebben az időszakban a TOR tekintetében végzett ellenőrzéseket, és foglalkozik az EU pénzügyi érdekeinek védelme érdekében végzett következő egyéb tevékenységekkel is:</w:t>
      </w:r>
    </w:p>
    <w:p w14:paraId="718EC840" w14:textId="4880E437" w:rsidR="00ED1765" w:rsidRPr="00ED1765" w:rsidRDefault="17ED9813" w:rsidP="0056122A">
      <w:pPr>
        <w:numPr>
          <w:ilvl w:val="0"/>
          <w:numId w:val="2"/>
        </w:numPr>
        <w:spacing w:after="120"/>
        <w:jc w:val="both"/>
        <w:rPr>
          <w:rFonts w:ascii="Times New Roman" w:hAnsi="Times New Roman" w:cs="Times New Roman"/>
          <w:noProof/>
          <w:sz w:val="24"/>
          <w:szCs w:val="24"/>
        </w:rPr>
      </w:pPr>
      <w:r>
        <w:rPr>
          <w:rFonts w:ascii="Times New Roman" w:hAnsi="Times New Roman"/>
          <w:noProof/>
          <w:sz w:val="24"/>
        </w:rPr>
        <w:t>a Bizottság által a tagállamokban végzett helyszíni ellenőrzések és célzott dokumentumalapú ellenőrzések, és ezek nyomon követése,</w:t>
      </w:r>
    </w:p>
    <w:p w14:paraId="0DA52A1A" w14:textId="2B8BE635" w:rsidR="00ED1765" w:rsidRPr="00ED1765" w:rsidRDefault="00ED1765" w:rsidP="0056122A">
      <w:pPr>
        <w:numPr>
          <w:ilvl w:val="0"/>
          <w:numId w:val="2"/>
        </w:numPr>
        <w:spacing w:after="120"/>
        <w:jc w:val="both"/>
        <w:rPr>
          <w:rFonts w:ascii="Times New Roman" w:hAnsi="Times New Roman" w:cs="Times New Roman"/>
          <w:noProof/>
          <w:sz w:val="24"/>
          <w:szCs w:val="24"/>
        </w:rPr>
      </w:pPr>
      <w:r>
        <w:rPr>
          <w:rFonts w:ascii="Times New Roman" w:hAnsi="Times New Roman"/>
          <w:noProof/>
          <w:sz w:val="24"/>
        </w:rPr>
        <w:t>az Európai Számvevőszék előzetes megállapításairól szóló levelek nyomon követése,</w:t>
      </w:r>
    </w:p>
    <w:p w14:paraId="144CDBD3" w14:textId="4B0027B7" w:rsidR="00ED1765" w:rsidRPr="00ED1765" w:rsidRDefault="00ED1765" w:rsidP="0056122A">
      <w:pPr>
        <w:numPr>
          <w:ilvl w:val="0"/>
          <w:numId w:val="2"/>
        </w:numPr>
        <w:spacing w:after="120"/>
        <w:jc w:val="both"/>
        <w:rPr>
          <w:rFonts w:ascii="Times New Roman" w:hAnsi="Times New Roman" w:cs="Times New Roman"/>
          <w:noProof/>
          <w:sz w:val="24"/>
          <w:szCs w:val="24"/>
        </w:rPr>
      </w:pPr>
      <w:r>
        <w:rPr>
          <w:rFonts w:ascii="Times New Roman" w:hAnsi="Times New Roman"/>
          <w:noProof/>
          <w:sz w:val="24"/>
        </w:rPr>
        <w:t>a behajthatatlan és leírt jogosultságok vizsgálata,</w:t>
      </w:r>
    </w:p>
    <w:p w14:paraId="6399DFDA" w14:textId="26C7F14C" w:rsidR="00ED1765" w:rsidRPr="00ED1765" w:rsidRDefault="736C88D2" w:rsidP="0056122A">
      <w:pPr>
        <w:numPr>
          <w:ilvl w:val="0"/>
          <w:numId w:val="2"/>
        </w:numPr>
        <w:spacing w:after="120"/>
        <w:jc w:val="both"/>
        <w:rPr>
          <w:rFonts w:ascii="Times New Roman" w:hAnsi="Times New Roman" w:cs="Times New Roman"/>
          <w:noProof/>
          <w:sz w:val="24"/>
          <w:szCs w:val="24"/>
        </w:rPr>
      </w:pPr>
      <w:r>
        <w:rPr>
          <w:rFonts w:ascii="Times New Roman" w:hAnsi="Times New Roman"/>
          <w:noProof/>
          <w:sz w:val="24"/>
        </w:rPr>
        <w:t>a TOR-ban bekövetkezett veszteséggel járó tagállami hibák kezelése,</w:t>
      </w:r>
    </w:p>
    <w:p w14:paraId="212DA2DC" w14:textId="1E68E74F" w:rsidR="00ED1765" w:rsidRPr="00ED1765" w:rsidRDefault="00ED1765" w:rsidP="0056122A">
      <w:pPr>
        <w:numPr>
          <w:ilvl w:val="0"/>
          <w:numId w:val="2"/>
        </w:numPr>
        <w:spacing w:after="120"/>
        <w:jc w:val="both"/>
        <w:rPr>
          <w:rFonts w:ascii="Times New Roman" w:hAnsi="Times New Roman" w:cs="Times New Roman"/>
          <w:noProof/>
          <w:sz w:val="24"/>
          <w:szCs w:val="24"/>
        </w:rPr>
      </w:pPr>
      <w:r>
        <w:rPr>
          <w:rFonts w:ascii="Times New Roman" w:hAnsi="Times New Roman"/>
          <w:noProof/>
          <w:sz w:val="24"/>
        </w:rPr>
        <w:t>a csalásokkal és szabálytalanságokkal kapcsolatos adatbázis (OWNRES) kezelése,</w:t>
      </w:r>
    </w:p>
    <w:p w14:paraId="6ECDA4A4" w14:textId="4DF2F5DE" w:rsidR="00D540A2" w:rsidRDefault="00ED1765" w:rsidP="0056122A">
      <w:pPr>
        <w:numPr>
          <w:ilvl w:val="0"/>
          <w:numId w:val="2"/>
        </w:numPr>
        <w:spacing w:after="120"/>
        <w:jc w:val="both"/>
        <w:rPr>
          <w:rFonts w:ascii="Times New Roman" w:hAnsi="Times New Roman" w:cs="Times New Roman"/>
          <w:noProof/>
          <w:sz w:val="24"/>
          <w:szCs w:val="24"/>
        </w:rPr>
      </w:pPr>
      <w:r>
        <w:rPr>
          <w:rFonts w:ascii="Times New Roman" w:hAnsi="Times New Roman"/>
          <w:noProof/>
          <w:sz w:val="24"/>
        </w:rPr>
        <w:t>segítségnyújtás a tagjelölt országoknak,</w:t>
      </w:r>
    </w:p>
    <w:p w14:paraId="623215CC" w14:textId="62756F9A" w:rsidR="00ED1765" w:rsidRDefault="00CE0F4A" w:rsidP="0056122A">
      <w:pPr>
        <w:numPr>
          <w:ilvl w:val="0"/>
          <w:numId w:val="2"/>
        </w:numPr>
        <w:spacing w:after="120"/>
        <w:jc w:val="both"/>
        <w:rPr>
          <w:rFonts w:ascii="Times New Roman" w:hAnsi="Times New Roman" w:cs="Times New Roman"/>
          <w:noProof/>
          <w:sz w:val="24"/>
          <w:szCs w:val="24"/>
        </w:rPr>
      </w:pPr>
      <w:r>
        <w:rPr>
          <w:rFonts w:ascii="Times New Roman" w:hAnsi="Times New Roman"/>
          <w:noProof/>
          <w:sz w:val="24"/>
        </w:rPr>
        <w:t>hozzájárulás a rendelkezésre bocsátásról szóló rendelet</w:t>
      </w:r>
      <w:r w:rsidR="00656671">
        <w:rPr>
          <w:rStyle w:val="FootnoteReference"/>
          <w:rFonts w:ascii="Times New Roman" w:hAnsi="Times New Roman" w:cs="Times New Roman"/>
          <w:noProof/>
          <w:sz w:val="24"/>
          <w:szCs w:val="24"/>
        </w:rPr>
        <w:footnoteReference w:id="7"/>
      </w:r>
      <w:r>
        <w:rPr>
          <w:rFonts w:ascii="Times New Roman" w:hAnsi="Times New Roman"/>
          <w:noProof/>
          <w:sz w:val="24"/>
        </w:rPr>
        <w:t xml:space="preserve"> módosításához.</w:t>
      </w:r>
    </w:p>
    <w:p w14:paraId="367B1471" w14:textId="57F3445D" w:rsidR="00C12550" w:rsidRDefault="0011114D" w:rsidP="00D540A2">
      <w:pPr>
        <w:spacing w:after="120"/>
        <w:jc w:val="both"/>
        <w:rPr>
          <w:rFonts w:ascii="Times New Roman" w:hAnsi="Times New Roman" w:cs="Times New Roman"/>
          <w:noProof/>
          <w:sz w:val="24"/>
          <w:szCs w:val="24"/>
        </w:rPr>
      </w:pPr>
      <w:r>
        <w:rPr>
          <w:rFonts w:ascii="Times New Roman" w:hAnsi="Times New Roman"/>
          <w:noProof/>
          <w:sz w:val="24"/>
        </w:rPr>
        <w:t xml:space="preserve">A fent említett tevékenységeket egy 15 főből álló kis csapat látja el. A helyszíni ellenőrzések és a tagállamok feletti földrajzi felelősség azonban hét vezető ellenőr között oszlik meg. A csapat biztosítja, hogy a tradicionális saját forrásokat időben és a jogszabályi rendelkezéseket helyesen és minden tagállamban következetesen alkalmazva szedjék be. A csapat emellett tanácsot ad az ellenőrző látogatások során, és évente legalább kétszer lehetőséget biztosít a saját forrásokkal foglalkozó tanácsadó bizottság ülésein bármely fontos kérdés megvitatására. </w:t>
      </w:r>
    </w:p>
    <w:p w14:paraId="70CF7BBB" w14:textId="77777777" w:rsidR="00ED1765" w:rsidRPr="00ED1765" w:rsidRDefault="00ED1765" w:rsidP="007B5523">
      <w:pPr>
        <w:spacing w:before="240"/>
        <w:jc w:val="both"/>
        <w:rPr>
          <w:rFonts w:ascii="Times New Roman" w:hAnsi="Times New Roman" w:cs="Times New Roman"/>
          <w:b/>
          <w:noProof/>
          <w:sz w:val="24"/>
          <w:szCs w:val="24"/>
        </w:rPr>
      </w:pPr>
      <w:r>
        <w:rPr>
          <w:rFonts w:ascii="Times New Roman" w:hAnsi="Times New Roman"/>
          <w:b/>
          <w:noProof/>
          <w:sz w:val="24"/>
        </w:rPr>
        <w:t>2.</w:t>
      </w:r>
      <w:r>
        <w:rPr>
          <w:rFonts w:ascii="Times New Roman" w:hAnsi="Times New Roman"/>
          <w:b/>
          <w:noProof/>
          <w:sz w:val="24"/>
        </w:rPr>
        <w:tab/>
        <w:t>A TOR-ELLENŐRZÉSEK KERETE ÉS MÓDSZERTANA</w:t>
      </w:r>
    </w:p>
    <w:p w14:paraId="62CAA89F" w14:textId="77777777" w:rsidR="00ED1765" w:rsidRPr="00ED1765" w:rsidRDefault="00ED1765" w:rsidP="0056122A">
      <w:pPr>
        <w:jc w:val="both"/>
        <w:rPr>
          <w:rFonts w:ascii="Times New Roman" w:hAnsi="Times New Roman" w:cs="Times New Roman"/>
          <w:b/>
          <w:noProof/>
          <w:sz w:val="24"/>
          <w:szCs w:val="24"/>
        </w:rPr>
      </w:pPr>
      <w:r>
        <w:rPr>
          <w:rFonts w:ascii="Times New Roman" w:hAnsi="Times New Roman"/>
          <w:b/>
          <w:noProof/>
          <w:sz w:val="24"/>
        </w:rPr>
        <w:t>2.1.</w:t>
      </w:r>
      <w:r>
        <w:rPr>
          <w:rFonts w:ascii="Times New Roman" w:hAnsi="Times New Roman"/>
          <w:b/>
          <w:noProof/>
          <w:sz w:val="24"/>
        </w:rPr>
        <w:tab/>
        <w:t xml:space="preserve">A tradicionális saját források szabályozási és működési kerete </w:t>
      </w:r>
    </w:p>
    <w:p w14:paraId="13B3C6FD" w14:textId="4CBB2F74" w:rsidR="00DE37CC" w:rsidRPr="00DE37CC" w:rsidRDefault="7E3F83B8" w:rsidP="00DE37CC">
      <w:pPr>
        <w:jc w:val="both"/>
        <w:rPr>
          <w:rFonts w:ascii="Times New Roman" w:hAnsi="Times New Roman" w:cs="Times New Roman"/>
          <w:noProof/>
          <w:sz w:val="24"/>
          <w:szCs w:val="24"/>
        </w:rPr>
      </w:pPr>
      <w:r>
        <w:rPr>
          <w:rFonts w:ascii="Times New Roman" w:hAnsi="Times New Roman"/>
          <w:noProof/>
          <w:sz w:val="24"/>
        </w:rPr>
        <w:t>A tradicionális saját források beszedésére az uniós jog kötelezi a tagállamokat. A tagállamoknak az önállóan beszedett vámokat az uniós költségvetés rendelkezésére kell bocsátaniuk</w:t>
      </w:r>
      <w:r w:rsidR="009E23B1">
        <w:rPr>
          <w:rStyle w:val="FootnoteReference"/>
          <w:rFonts w:ascii="Times New Roman" w:hAnsi="Times New Roman" w:cs="Times New Roman"/>
          <w:noProof/>
          <w:sz w:val="24"/>
          <w:szCs w:val="24"/>
        </w:rPr>
        <w:footnoteReference w:id="8"/>
      </w:r>
      <w:r>
        <w:rPr>
          <w:rFonts w:ascii="Times New Roman" w:hAnsi="Times New Roman"/>
          <w:noProof/>
          <w:sz w:val="24"/>
        </w:rPr>
        <w:t>, de a rendelkezésre bocsátott összeg 25 %-át a beszedési költségek ellentételezése céljából – a ténylegesen felmerült költségek nagyságától függetlenül – megtarthatják</w:t>
      </w:r>
      <w:r w:rsidR="00DE37CC" w:rsidRPr="00DE37CC">
        <w:rPr>
          <w:rFonts w:ascii="Times New Roman" w:hAnsi="Times New Roman" w:cs="Times New Roman"/>
          <w:noProof/>
          <w:sz w:val="24"/>
          <w:szCs w:val="24"/>
          <w:vertAlign w:val="superscript"/>
        </w:rPr>
        <w:footnoteReference w:id="9"/>
      </w:r>
      <w:r>
        <w:rPr>
          <w:rFonts w:ascii="Times New Roman" w:hAnsi="Times New Roman"/>
          <w:noProof/>
          <w:sz w:val="24"/>
        </w:rPr>
        <w:t>. A tagállamoknak vámellenőrzéseket kell végezniük, és jelentést kell tenniük a Bizottságnak.</w:t>
      </w:r>
    </w:p>
    <w:p w14:paraId="72E5889C" w14:textId="77777777" w:rsidR="00512FE5" w:rsidRDefault="7043BC10" w:rsidP="00DE37CC">
      <w:pPr>
        <w:jc w:val="both"/>
        <w:rPr>
          <w:rFonts w:ascii="Times New Roman" w:hAnsi="Times New Roman" w:cs="Times New Roman"/>
          <w:noProof/>
          <w:sz w:val="24"/>
          <w:szCs w:val="24"/>
        </w:rPr>
      </w:pPr>
      <w:r>
        <w:rPr>
          <w:rFonts w:ascii="Times New Roman" w:hAnsi="Times New Roman"/>
          <w:noProof/>
          <w:sz w:val="24"/>
        </w:rPr>
        <w:t>A Bizottság azonban fontos ellenőrzési hatásköröket tart meg ezen a területen. A tradicionális saját források beszedési rendszerének felügyeletével összefüggésben a Bizottság fő eszközként helyszíni és távoli ellenőrzéseket végez, többféle módon vizsgálva a tagállamok szabályozásait és dokumentumait</w:t>
      </w:r>
      <w:r w:rsidR="00854072">
        <w:rPr>
          <w:rStyle w:val="FootnoteReference"/>
          <w:rFonts w:ascii="Times New Roman" w:hAnsi="Times New Roman" w:cs="Times New Roman"/>
          <w:noProof/>
          <w:sz w:val="24"/>
          <w:szCs w:val="24"/>
        </w:rPr>
        <w:footnoteReference w:id="10"/>
      </w:r>
      <w:r>
        <w:rPr>
          <w:rFonts w:ascii="Times New Roman" w:hAnsi="Times New Roman"/>
          <w:noProof/>
          <w:sz w:val="24"/>
        </w:rPr>
        <w:t xml:space="preserve">. </w:t>
      </w:r>
    </w:p>
    <w:p w14:paraId="6AB6CB6B" w14:textId="1E7A637B" w:rsidR="00DE37CC" w:rsidRPr="00DE37CC" w:rsidRDefault="7E3F83B8" w:rsidP="00DE37CC">
      <w:pPr>
        <w:jc w:val="both"/>
        <w:rPr>
          <w:rFonts w:ascii="Times New Roman" w:hAnsi="Times New Roman" w:cs="Times New Roman"/>
          <w:noProof/>
          <w:sz w:val="24"/>
          <w:szCs w:val="24"/>
        </w:rPr>
      </w:pPr>
      <w:r>
        <w:rPr>
          <w:rFonts w:ascii="Times New Roman" w:hAnsi="Times New Roman"/>
          <w:noProof/>
          <w:sz w:val="24"/>
        </w:rPr>
        <w:t>A Bizottság ezenkívül köteles válaszolni a Számvevőszék által az éves jelentéseiben, különjelentéseiben vagy előzetes megállapításairól szóló leveleiben tett észrevételekre, valamint a mentesítési eljárás során az Európai Parlament által a költségvetés végrehajtásával kapcsolatosan megfogalmazott észrevételekre és ajánlásokra. A Bizottság biztosítja, hogy a tagállamok megfelelően alkalmazzák az uniós szabályokat, és jelentést tesz a költségvetési hatóságnak.</w:t>
      </w:r>
    </w:p>
    <w:p w14:paraId="01A6C6BB" w14:textId="77777777" w:rsidR="00D30327" w:rsidRPr="00D30327" w:rsidRDefault="00DE37CC" w:rsidP="00963655">
      <w:pPr>
        <w:jc w:val="both"/>
        <w:rPr>
          <w:rFonts w:ascii="Times New Roman" w:hAnsi="Times New Roman" w:cs="Times New Roman"/>
          <w:noProof/>
          <w:sz w:val="24"/>
          <w:szCs w:val="24"/>
        </w:rPr>
      </w:pPr>
      <w:r>
        <w:rPr>
          <w:rFonts w:ascii="Times New Roman" w:hAnsi="Times New Roman"/>
          <w:noProof/>
          <w:sz w:val="24"/>
        </w:rPr>
        <w:t>A Bizottság ellenőrzési tevékenységének három fő célkitűzése van:</w:t>
      </w:r>
    </w:p>
    <w:p w14:paraId="762294E6" w14:textId="77777777" w:rsidR="00726218" w:rsidRDefault="00ED1765" w:rsidP="0056122A">
      <w:pPr>
        <w:numPr>
          <w:ilvl w:val="0"/>
          <w:numId w:val="4"/>
        </w:numPr>
        <w:jc w:val="both"/>
        <w:rPr>
          <w:rFonts w:ascii="Times New Roman" w:hAnsi="Times New Roman" w:cs="Times New Roman"/>
          <w:noProof/>
          <w:sz w:val="24"/>
          <w:szCs w:val="24"/>
        </w:rPr>
      </w:pPr>
      <w:r>
        <w:rPr>
          <w:rFonts w:ascii="Times New Roman" w:hAnsi="Times New Roman"/>
          <w:noProof/>
          <w:sz w:val="24"/>
        </w:rPr>
        <w:t>a versenytorzulás megelőzése érdekében az egyenlő versenyfeltételek fenntartása a tagállamok és a gazdasági szereplők között, tekintet nélkül arra, hogy egy adott árut az EU mely pontján vámkezelnek,</w:t>
      </w:r>
    </w:p>
    <w:p w14:paraId="27B738C3" w14:textId="34F06EF2" w:rsidR="00ED1765" w:rsidRPr="00ED1765" w:rsidRDefault="000A4E32" w:rsidP="0056122A">
      <w:pPr>
        <w:numPr>
          <w:ilvl w:val="0"/>
          <w:numId w:val="4"/>
        </w:numPr>
        <w:jc w:val="both"/>
        <w:rPr>
          <w:rFonts w:ascii="Times New Roman" w:hAnsi="Times New Roman" w:cs="Times New Roman"/>
          <w:noProof/>
          <w:sz w:val="24"/>
          <w:szCs w:val="24"/>
        </w:rPr>
      </w:pPr>
      <w:r>
        <w:rPr>
          <w:rFonts w:ascii="Times New Roman" w:hAnsi="Times New Roman"/>
          <w:noProof/>
          <w:sz w:val="24"/>
        </w:rPr>
        <w:t>a tradicionális saját források megállapítása időszerűségének biztosítása és behajtásának javítása. A Bizottságnak meg kell győződnie arról, hogy a tagállamok teljesítik-e a tradicionális saját források beszedésére és rendelkezésre bocsátására vonatkozó kötelezettségeiket. A Bizottság ellenőrzi a tradicionális saját források behajtásával kapcsolatos tagállami intézkedéseket, beleértve a vámtartozás időben történő bejelentését és a szükségesnek ítélt végrehajtási eljárásokat,</w:t>
      </w:r>
    </w:p>
    <w:p w14:paraId="3B0963F0" w14:textId="567C4049" w:rsidR="00F15A00" w:rsidRDefault="736C88D2" w:rsidP="00F15A00">
      <w:pPr>
        <w:numPr>
          <w:ilvl w:val="0"/>
          <w:numId w:val="4"/>
        </w:numPr>
        <w:jc w:val="both"/>
        <w:rPr>
          <w:rFonts w:ascii="Times New Roman" w:hAnsi="Times New Roman" w:cs="Times New Roman"/>
          <w:noProof/>
          <w:sz w:val="24"/>
          <w:szCs w:val="24"/>
        </w:rPr>
      </w:pPr>
      <w:r>
        <w:rPr>
          <w:rFonts w:ascii="Times New Roman" w:hAnsi="Times New Roman"/>
          <w:noProof/>
          <w:sz w:val="24"/>
        </w:rPr>
        <w:t>a költségvetési hatóság tájékoztatása, és ennek eredményeként pozitív mentesítésben részesülés. A vizsgálat eredményei alapján a Bizottság értékeli a tagállamok hatékonyságát és gondosságát a tradicionális saját források megállapítása, beszedése és rendelkezésre bocsátása terén, előírja az esetleges hiányosságok orvoslása érdekében meghozandó intézkedéseket, végül jelentést készíthet a költségvetési hatóságnak.</w:t>
      </w:r>
    </w:p>
    <w:p w14:paraId="724BB285" w14:textId="77777777" w:rsidR="00420A7F" w:rsidRDefault="2D99D6F2" w:rsidP="00A87EE4">
      <w:pPr>
        <w:jc w:val="both"/>
        <w:rPr>
          <w:rFonts w:ascii="Times New Roman" w:hAnsi="Times New Roman" w:cs="Times New Roman"/>
          <w:noProof/>
          <w:sz w:val="24"/>
          <w:szCs w:val="24"/>
        </w:rPr>
      </w:pPr>
      <w:r>
        <w:rPr>
          <w:rFonts w:ascii="Times New Roman" w:hAnsi="Times New Roman"/>
          <w:noProof/>
          <w:sz w:val="24"/>
        </w:rPr>
        <w:t xml:space="preserve">Az ellenőrzések továbbá hozzájárulnak a vámunió hatékony működésének, az uniós termelők védelmének és az uniós szabályok egységes alkalmazásának biztosításához azon joghézagok elkerülése érdekében, amelyek révén a csalók előnyökhöz juthatnak vagy kijátszhatják a fizetendő vámokat. </w:t>
      </w:r>
    </w:p>
    <w:p w14:paraId="5D0C8B54" w14:textId="7DEE510B" w:rsidR="006521FF" w:rsidRDefault="006521FF" w:rsidP="00A87EE4">
      <w:pPr>
        <w:jc w:val="both"/>
        <w:rPr>
          <w:rFonts w:ascii="Times New Roman" w:hAnsi="Times New Roman" w:cs="Times New Roman"/>
          <w:noProof/>
          <w:sz w:val="24"/>
          <w:szCs w:val="24"/>
        </w:rPr>
      </w:pPr>
      <w:r>
        <w:rPr>
          <w:rFonts w:ascii="Times New Roman" w:hAnsi="Times New Roman"/>
          <w:noProof/>
          <w:sz w:val="24"/>
        </w:rPr>
        <w:t xml:space="preserve">Az ellenőrzések megállapításai fontos információkkal szolgálnak a Költségvetési Főigazgatóság bevételi politikájához a jelenlegi és a lehetséges jövőbeli saját források szabályozási kerete tekintetében. A megállapításokat a Bizottság más szolgálataival (az Adóügyi és Vámuniós Főigazgatósággal és az OLAF-fal) is megosztják annak érdekében, hogy szakpolitikai szinten orvosolhassák a feltárt hiányosságokat. </w:t>
      </w:r>
    </w:p>
    <w:p w14:paraId="454A0ED3" w14:textId="41B74D63" w:rsidR="00F15A00" w:rsidRPr="00B54E93" w:rsidRDefault="00CB31B5" w:rsidP="00FE50B9">
      <w:pPr>
        <w:jc w:val="both"/>
        <w:rPr>
          <w:rFonts w:ascii="Times New Roman" w:hAnsi="Times New Roman" w:cs="Times New Roman"/>
          <w:noProof/>
          <w:sz w:val="24"/>
          <w:szCs w:val="24"/>
        </w:rPr>
      </w:pPr>
      <w:r>
        <w:rPr>
          <w:rFonts w:ascii="Times New Roman" w:hAnsi="Times New Roman"/>
          <w:noProof/>
          <w:sz w:val="24"/>
        </w:rPr>
        <w:t>2021. január 1-jétől új sajátforrás-határozat</w:t>
      </w:r>
      <w:r w:rsidR="00564D96">
        <w:rPr>
          <w:rStyle w:val="FootnoteReference"/>
          <w:rFonts w:ascii="Times New Roman" w:hAnsi="Times New Roman" w:cs="Times New Roman"/>
          <w:noProof/>
          <w:sz w:val="24"/>
          <w:szCs w:val="24"/>
        </w:rPr>
        <w:footnoteReference w:id="11"/>
      </w:r>
      <w:r>
        <w:rPr>
          <w:rFonts w:ascii="Times New Roman" w:hAnsi="Times New Roman"/>
          <w:noProof/>
          <w:sz w:val="24"/>
        </w:rPr>
        <w:t xml:space="preserve"> és </w:t>
      </w:r>
      <w:r>
        <w:rPr>
          <w:rFonts w:ascii="Times New Roman" w:hAnsi="Times New Roman"/>
          <w:noProof/>
          <w:color w:val="333333"/>
          <w:sz w:val="24"/>
          <w:shd w:val="clear" w:color="auto" w:fill="FFFFFF"/>
        </w:rPr>
        <w:t xml:space="preserve">a végrehajtási intézkedéseket megállapító </w:t>
      </w:r>
      <w:r>
        <w:rPr>
          <w:rFonts w:ascii="Times New Roman" w:hAnsi="Times New Roman"/>
          <w:noProof/>
          <w:sz w:val="24"/>
        </w:rPr>
        <w:t>(EU, Euratom) 2021/768 tanácsi rendelet alkalmazandó. Ezzel összefüggésben a kereskedelmi és a vámügyi egyszerűsítés folyamatos fejlődése a Bizottság és a tagállamok által végzett TOR-ellenőrzések rendszeres kiigazítását igényli.</w:t>
      </w:r>
    </w:p>
    <w:p w14:paraId="4527916A" w14:textId="77777777" w:rsidR="00ED1765" w:rsidRPr="00ED1765" w:rsidRDefault="00ED1765" w:rsidP="00E27696">
      <w:pPr>
        <w:spacing w:before="240"/>
        <w:jc w:val="both"/>
        <w:rPr>
          <w:rFonts w:ascii="Times New Roman" w:hAnsi="Times New Roman" w:cs="Times New Roman"/>
          <w:b/>
          <w:noProof/>
          <w:sz w:val="24"/>
          <w:szCs w:val="24"/>
        </w:rPr>
      </w:pPr>
      <w:r>
        <w:rPr>
          <w:rFonts w:ascii="Times New Roman" w:hAnsi="Times New Roman"/>
          <w:b/>
          <w:noProof/>
          <w:sz w:val="24"/>
        </w:rPr>
        <w:t>2.2.</w:t>
      </w:r>
      <w:r>
        <w:rPr>
          <w:rFonts w:ascii="Times New Roman" w:hAnsi="Times New Roman"/>
          <w:b/>
          <w:noProof/>
          <w:sz w:val="24"/>
        </w:rPr>
        <w:tab/>
        <w:t>A tradicionális saját forrásokra vonatkozó helyszíni és távoli ellenőrzések célkitűzései és módszertana</w:t>
      </w:r>
    </w:p>
    <w:p w14:paraId="1A026467" w14:textId="147638E6" w:rsidR="00ED1765" w:rsidRPr="00ED1765" w:rsidRDefault="736C88D2" w:rsidP="0056122A">
      <w:pPr>
        <w:jc w:val="both"/>
        <w:rPr>
          <w:rFonts w:ascii="Times New Roman" w:hAnsi="Times New Roman" w:cs="Times New Roman"/>
          <w:noProof/>
          <w:sz w:val="24"/>
          <w:szCs w:val="24"/>
        </w:rPr>
      </w:pPr>
      <w:r>
        <w:rPr>
          <w:rFonts w:ascii="Times New Roman" w:hAnsi="Times New Roman"/>
          <w:noProof/>
          <w:sz w:val="24"/>
        </w:rPr>
        <w:t>A TOR-ellenőrzések fő célja annak biztosítása, hogy a tagállamokban alkalmazott eljárások megfeleljenek a vonatkozó uniós jogszabályoknak, és az Európai Unió pénzügyi érdekei a vámkezelés helyétől függetlenül megfelelő védelemben részesüljenek. Az ellenőrzések minden évben konkrét vámügyi és számviteli témákra összpontosítanak. Ez segíti a tagállami eljárások harmonizációját és tökéletesítését, és ezáltal az EU pénzügyi érdekeinek következetes védelmét.</w:t>
      </w:r>
    </w:p>
    <w:p w14:paraId="68D2958A" w14:textId="72A8ED66" w:rsidR="00ED1765" w:rsidRDefault="736C88D2" w:rsidP="130CC94B">
      <w:pPr>
        <w:jc w:val="both"/>
        <w:rPr>
          <w:rFonts w:ascii="Times New Roman" w:hAnsi="Times New Roman" w:cs="Times New Roman"/>
          <w:noProof/>
          <w:sz w:val="24"/>
          <w:szCs w:val="24"/>
        </w:rPr>
      </w:pPr>
      <w:r>
        <w:rPr>
          <w:rFonts w:ascii="Times New Roman" w:hAnsi="Times New Roman"/>
          <w:noProof/>
          <w:sz w:val="24"/>
        </w:rPr>
        <w:t>A Bizottság helyszíni ellenőrzései az éves ellenőrzési program részét képezik. Az egy vagy több tagállamban ellenőrizendő témaköröket a kockázatelemzésen alapuló éves ellenőrzési program tartalmazza. Az ellenőrzéseket egységes eljárásokkal és testre szabott ellenőrzési eszközökkel végzik, ezzel biztosítva az ellenőrzések következetes elvégzését. 2020-ban és 2021-ben a Covid19-világjárvány miatt számos tervezett helyszíni ellenőrzést távolról kellett elvégezni.</w:t>
      </w:r>
    </w:p>
    <w:p w14:paraId="71BFABF7" w14:textId="758982EB" w:rsidR="00045E7D" w:rsidRDefault="00045E7D" w:rsidP="130CC94B">
      <w:pPr>
        <w:jc w:val="both"/>
        <w:rPr>
          <w:rFonts w:ascii="Times New Roman" w:hAnsi="Times New Roman" w:cs="Times New Roman"/>
          <w:noProof/>
          <w:sz w:val="24"/>
          <w:szCs w:val="24"/>
        </w:rPr>
      </w:pPr>
      <w:r>
        <w:rPr>
          <w:rFonts w:ascii="Times New Roman" w:hAnsi="Times New Roman"/>
          <w:noProof/>
          <w:sz w:val="24"/>
        </w:rPr>
        <w:t>Az ellenőrzési témaköröket nemcsak belsőleg, hanem a tagállamok vagy a Bizottság más szolgálatai (pl. az Adóügyi és Vámuniós Főigazgatóság, az OLAF) is javasolhatják. Az ellenőrzési eszközök kidolgozása során és az Adóügyi és Vámuniós Főigazgatóságnak az ellenőrző látogatásokon való aktív részvétele révén folytatódik az együttműködés más szolgálatokkal. Emellett a Bizottság kikéri az Adóügyi és Vámuniós Főigazgatóság, az OLAF és a Jogi Szolgálat véleményét, amelyek észrevételeket tesznek, mielőtt a Bizottság bemutatná az ellenőrzési jelentéseket a TOR-ral foglalkozó tanácsadó bizottságnak. Ez a megközelítés biztosítja a Bizottság szolgálatai közötti következetességet és a tagállamokkal szembeni egyenlő bánásmódot.</w:t>
      </w:r>
    </w:p>
    <w:p w14:paraId="613524F4" w14:textId="078B277E" w:rsidR="4F52CD09" w:rsidRDefault="051B9DF1" w:rsidP="002A7EEF">
      <w:pPr>
        <w:tabs>
          <w:tab w:val="left" w:pos="10205"/>
        </w:tabs>
        <w:jc w:val="both"/>
        <w:rPr>
          <w:rFonts w:ascii="Times New Roman" w:eastAsia="Times New Roman" w:hAnsi="Times New Roman" w:cs="Times New Roman"/>
          <w:noProof/>
          <w:sz w:val="24"/>
          <w:szCs w:val="24"/>
        </w:rPr>
      </w:pPr>
      <w:r>
        <w:rPr>
          <w:rFonts w:ascii="Times New Roman" w:hAnsi="Times New Roman"/>
          <w:noProof/>
          <w:sz w:val="24"/>
        </w:rPr>
        <w:t>2020 óta a Bizottság konkrét kockázatok azonosítása esetén indokolt esetben további ad hoc ellenőrzéseket és dokumentumalapú ellenőrzéseket végez. Ezeket a célzott dokumentumalapú ellenőrzéseket többnyire távolról hajtják végre (pl. a szolárpanelekre vonatkozó, 2021-ben megkezdett dokumentumalapú ellenőrzést).</w:t>
      </w:r>
    </w:p>
    <w:p w14:paraId="4ED79927" w14:textId="7741A183" w:rsidR="00ED1765" w:rsidRPr="00ED1765" w:rsidRDefault="00ED1765" w:rsidP="007B5523">
      <w:pPr>
        <w:spacing w:before="240"/>
        <w:ind w:left="720" w:hanging="720"/>
        <w:jc w:val="both"/>
        <w:rPr>
          <w:rFonts w:ascii="Times New Roman" w:hAnsi="Times New Roman" w:cs="Times New Roman"/>
          <w:b/>
          <w:noProof/>
          <w:sz w:val="24"/>
          <w:szCs w:val="24"/>
        </w:rPr>
      </w:pPr>
      <w:r>
        <w:rPr>
          <w:rFonts w:ascii="Times New Roman" w:hAnsi="Times New Roman"/>
          <w:b/>
          <w:noProof/>
          <w:sz w:val="24"/>
        </w:rPr>
        <w:t>3.</w:t>
      </w:r>
      <w:r>
        <w:rPr>
          <w:rFonts w:ascii="Times New Roman" w:hAnsi="Times New Roman"/>
          <w:b/>
          <w:noProof/>
          <w:sz w:val="24"/>
        </w:rPr>
        <w:tab/>
        <w:t>A BIZOTTSÁG ÁLTAL 2019 ÉS 2021 KÖZÖTT VÉGREHAJTOTT TOR-ELLENŐRZÉSEK</w:t>
      </w:r>
    </w:p>
    <w:p w14:paraId="401B5851" w14:textId="67E69953" w:rsidR="00DE4C80" w:rsidRDefault="38359D91" w:rsidP="00DE4C80">
      <w:pPr>
        <w:jc w:val="both"/>
        <w:rPr>
          <w:rFonts w:ascii="Times New Roman" w:hAnsi="Times New Roman" w:cs="Times New Roman"/>
          <w:noProof/>
          <w:sz w:val="24"/>
          <w:szCs w:val="24"/>
        </w:rPr>
      </w:pPr>
      <w:r>
        <w:rPr>
          <w:rFonts w:ascii="Times New Roman" w:hAnsi="Times New Roman"/>
          <w:noProof/>
          <w:sz w:val="24"/>
        </w:rPr>
        <w:t xml:space="preserve">A Bizottság 2019 és 2021 között </w:t>
      </w:r>
      <w:r>
        <w:rPr>
          <w:rFonts w:ascii="Times New Roman" w:hAnsi="Times New Roman"/>
          <w:b/>
          <w:noProof/>
          <w:sz w:val="24"/>
        </w:rPr>
        <w:t>56</w:t>
      </w:r>
      <w:r>
        <w:rPr>
          <w:rFonts w:ascii="Times New Roman" w:hAnsi="Times New Roman"/>
          <w:noProof/>
          <w:sz w:val="24"/>
        </w:rPr>
        <w:t xml:space="preserve"> </w:t>
      </w:r>
      <w:r>
        <w:rPr>
          <w:rFonts w:ascii="Times New Roman" w:hAnsi="Times New Roman"/>
          <w:b/>
          <w:noProof/>
          <w:sz w:val="24"/>
        </w:rPr>
        <w:t>ellenőrzést</w:t>
      </w:r>
      <w:r>
        <w:rPr>
          <w:rFonts w:ascii="Times New Roman" w:hAnsi="Times New Roman"/>
          <w:noProof/>
          <w:sz w:val="24"/>
        </w:rPr>
        <w:t xml:space="preserve"> hajtott végre az (EU, Euratom) 2021/768 tanácsi rendelet 2. cikke alapján, ami 168 megállapításhoz vezetett. Az 1. táblázat tagállamonként áttekintést nyújt a jelentés tárgyát képező időszakban végzett ellenőrzési tevékenységekről. </w:t>
      </w:r>
    </w:p>
    <w:p w14:paraId="7417EB85" w14:textId="25196EB5" w:rsidR="00DE4C80" w:rsidRPr="002A7EEF" w:rsidRDefault="38359D91" w:rsidP="29C3EAD6">
      <w:pPr>
        <w:jc w:val="both"/>
        <w:rPr>
          <w:rFonts w:ascii="Times New Roman" w:hAnsi="Times New Roman" w:cs="Times New Roman"/>
          <w:noProof/>
          <w:sz w:val="24"/>
          <w:szCs w:val="24"/>
        </w:rPr>
      </w:pPr>
      <w:r>
        <w:rPr>
          <w:rFonts w:ascii="Times New Roman" w:hAnsi="Times New Roman"/>
          <w:noProof/>
          <w:sz w:val="24"/>
        </w:rPr>
        <w:t>A Bizottság 168 megállapítást tett, ezek közül legalább 118-nak volt közvetlen pénzügyi vonzata (70,2 %) és 43-nak szabályozási vonzata (25,6 %).</w:t>
      </w:r>
    </w:p>
    <w:p w14:paraId="54B35430" w14:textId="62DCD0A0" w:rsidR="0049267E" w:rsidRDefault="2D1DE49B" w:rsidP="00DE4C80">
      <w:pPr>
        <w:jc w:val="both"/>
        <w:rPr>
          <w:rFonts w:ascii="Times New Roman" w:hAnsi="Times New Roman" w:cs="Times New Roman"/>
          <w:noProof/>
          <w:sz w:val="24"/>
          <w:szCs w:val="24"/>
        </w:rPr>
      </w:pPr>
      <w:r>
        <w:rPr>
          <w:rFonts w:ascii="Times New Roman" w:hAnsi="Times New Roman"/>
          <w:noProof/>
          <w:sz w:val="24"/>
        </w:rPr>
        <w:t>Az ellenőrzések során a számviteli és vámügyi kérdéseket értékelik.</w:t>
      </w:r>
    </w:p>
    <w:p w14:paraId="7EB18D7A" w14:textId="31A22FB6" w:rsidR="00182C85" w:rsidRDefault="00182C85">
      <w:pPr>
        <w:rPr>
          <w:rFonts w:ascii="Times New Roman" w:hAnsi="Times New Roman" w:cs="Times New Roman"/>
          <w:noProof/>
          <w:sz w:val="24"/>
          <w:szCs w:val="24"/>
        </w:rPr>
      </w:pPr>
    </w:p>
    <w:p w14:paraId="7C8D6B91" w14:textId="3F4A1DA8" w:rsidR="007C68C3" w:rsidRPr="00624441" w:rsidRDefault="007C68C3" w:rsidP="00182C85">
      <w:pPr>
        <w:keepLines/>
        <w:rPr>
          <w:rFonts w:ascii="Times New Roman" w:hAnsi="Times New Roman" w:cs="Times New Roman"/>
          <w:b/>
          <w:noProof/>
          <w:sz w:val="24"/>
          <w:szCs w:val="24"/>
        </w:rPr>
      </w:pPr>
      <w:r>
        <w:rPr>
          <w:rFonts w:ascii="Times New Roman" w:hAnsi="Times New Roman"/>
          <w:b/>
          <w:noProof/>
          <w:sz w:val="24"/>
        </w:rPr>
        <w:t>1. táblázat: A 2019–2021-es időszak ellenőrzési tevékenységeinek áttekintése</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709"/>
        <w:gridCol w:w="851"/>
        <w:gridCol w:w="1559"/>
        <w:gridCol w:w="1276"/>
        <w:gridCol w:w="1134"/>
        <w:gridCol w:w="1134"/>
        <w:gridCol w:w="992"/>
        <w:gridCol w:w="850"/>
      </w:tblGrid>
      <w:tr w:rsidR="007C68C3" w:rsidRPr="00624441" w14:paraId="07396BB4" w14:textId="77777777" w:rsidTr="00182C85">
        <w:trPr>
          <w:cantSplit/>
          <w:trHeight w:val="580"/>
        </w:trPr>
        <w:tc>
          <w:tcPr>
            <w:tcW w:w="1124" w:type="dxa"/>
            <w:vMerge w:val="restart"/>
            <w:shd w:val="clear" w:color="auto" w:fill="auto"/>
            <w:noWrap/>
            <w:vAlign w:val="bottom"/>
            <w:hideMark/>
          </w:tcPr>
          <w:p w14:paraId="58648965"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Tagállam</w:t>
            </w:r>
          </w:p>
        </w:tc>
        <w:tc>
          <w:tcPr>
            <w:tcW w:w="1560" w:type="dxa"/>
            <w:gridSpan w:val="2"/>
            <w:shd w:val="clear" w:color="auto" w:fill="auto"/>
            <w:noWrap/>
            <w:vAlign w:val="bottom"/>
            <w:hideMark/>
          </w:tcPr>
          <w:p w14:paraId="23F7BAF0" w14:textId="06F913C3"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Az A- és a B-számla vezetése</w:t>
            </w:r>
          </w:p>
        </w:tc>
        <w:tc>
          <w:tcPr>
            <w:tcW w:w="1559" w:type="dxa"/>
          </w:tcPr>
          <w:p w14:paraId="71CB5B75" w14:textId="7E04B748" w:rsidR="007C68C3" w:rsidRPr="005550B3" w:rsidRDefault="49BC6E60"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themeColor="text1"/>
                <w:sz w:val="20"/>
              </w:rPr>
              <w:t>Visszafizetések és külön B-számlával kapcsolatos ügyek</w:t>
            </w:r>
          </w:p>
        </w:tc>
        <w:tc>
          <w:tcPr>
            <w:tcW w:w="1276" w:type="dxa"/>
            <w:shd w:val="clear" w:color="auto" w:fill="auto"/>
          </w:tcPr>
          <w:p w14:paraId="21808247"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Kötelező érvényű tarifális felvilágosítás</w:t>
            </w:r>
          </w:p>
        </w:tc>
        <w:tc>
          <w:tcPr>
            <w:tcW w:w="1134" w:type="dxa"/>
            <w:shd w:val="clear" w:color="auto" w:fill="auto"/>
          </w:tcPr>
          <w:p w14:paraId="5A12B17D"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Nagyvállalatok</w:t>
            </w:r>
          </w:p>
        </w:tc>
        <w:tc>
          <w:tcPr>
            <w:tcW w:w="1134" w:type="dxa"/>
            <w:shd w:val="clear" w:color="auto" w:fill="auto"/>
            <w:vAlign w:val="bottom"/>
            <w:hideMark/>
          </w:tcPr>
          <w:p w14:paraId="1A2FDE21"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Vámérték</w:t>
            </w:r>
          </w:p>
        </w:tc>
        <w:tc>
          <w:tcPr>
            <w:tcW w:w="992" w:type="dxa"/>
            <w:shd w:val="clear" w:color="auto" w:fill="auto"/>
            <w:vAlign w:val="bottom"/>
            <w:hideMark/>
          </w:tcPr>
          <w:p w14:paraId="39696A09" w14:textId="280453D6" w:rsidR="007C68C3" w:rsidRPr="00624441" w:rsidRDefault="007C68C3" w:rsidP="00182C85">
            <w:pPr>
              <w:keepLines/>
              <w:spacing w:beforeLines="20" w:before="48" w:afterLines="20" w:after="48" w:line="240" w:lineRule="auto"/>
              <w:jc w:val="center"/>
              <w:rPr>
                <w:rFonts w:ascii="Times New Roman" w:hAnsi="Times New Roman" w:cs="Times New Roman"/>
                <w:b/>
                <w:bCs/>
                <w:noProof/>
                <w:color w:val="000000"/>
              </w:rPr>
            </w:pPr>
            <w:r>
              <w:rPr>
                <w:rFonts w:ascii="Times New Roman" w:hAnsi="Times New Roman"/>
                <w:b/>
                <w:noProof/>
                <w:color w:val="000000"/>
              </w:rPr>
              <w:t>Szolárpanelek</w:t>
            </w:r>
          </w:p>
        </w:tc>
        <w:tc>
          <w:tcPr>
            <w:tcW w:w="850" w:type="dxa"/>
            <w:shd w:val="clear" w:color="auto" w:fill="auto"/>
            <w:noWrap/>
            <w:vAlign w:val="bottom"/>
            <w:hideMark/>
          </w:tcPr>
          <w:p w14:paraId="1C15B124" w14:textId="77777777" w:rsidR="007C68C3" w:rsidRPr="00624441" w:rsidRDefault="007C68C3" w:rsidP="00182C85">
            <w:pPr>
              <w:keepLines/>
              <w:spacing w:beforeLines="20" w:before="48" w:afterLines="20" w:after="48" w:line="240" w:lineRule="auto"/>
              <w:jc w:val="center"/>
              <w:rPr>
                <w:rFonts w:ascii="Times New Roman" w:hAnsi="Times New Roman" w:cs="Times New Roman"/>
                <w:b/>
                <w:bCs/>
                <w:noProof/>
                <w:color w:val="000000"/>
              </w:rPr>
            </w:pPr>
            <w:r>
              <w:rPr>
                <w:rFonts w:ascii="Times New Roman" w:hAnsi="Times New Roman"/>
                <w:b/>
                <w:noProof/>
                <w:color w:val="000000"/>
              </w:rPr>
              <w:t>Dömpingellenes és kiegyenlítő vámok</w:t>
            </w:r>
          </w:p>
        </w:tc>
      </w:tr>
      <w:tr w:rsidR="007C68C3" w:rsidRPr="00624441" w14:paraId="2EA28EC9" w14:textId="77777777" w:rsidTr="00182C85">
        <w:trPr>
          <w:cantSplit/>
          <w:trHeight w:val="300"/>
        </w:trPr>
        <w:tc>
          <w:tcPr>
            <w:tcW w:w="1124" w:type="dxa"/>
            <w:vMerge/>
            <w:vAlign w:val="center"/>
            <w:hideMark/>
          </w:tcPr>
          <w:p w14:paraId="40E57FA7"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p>
        </w:tc>
        <w:tc>
          <w:tcPr>
            <w:tcW w:w="709" w:type="dxa"/>
            <w:shd w:val="clear" w:color="auto" w:fill="auto"/>
            <w:noWrap/>
            <w:vAlign w:val="center"/>
            <w:hideMark/>
          </w:tcPr>
          <w:p w14:paraId="3F5F0A67"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2020</w:t>
            </w:r>
          </w:p>
        </w:tc>
        <w:tc>
          <w:tcPr>
            <w:tcW w:w="851" w:type="dxa"/>
            <w:shd w:val="clear" w:color="auto" w:fill="auto"/>
            <w:noWrap/>
            <w:vAlign w:val="center"/>
            <w:hideMark/>
          </w:tcPr>
          <w:p w14:paraId="3C1ED800"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2021</w:t>
            </w:r>
          </w:p>
        </w:tc>
        <w:tc>
          <w:tcPr>
            <w:tcW w:w="1559" w:type="dxa"/>
            <w:vAlign w:val="center"/>
          </w:tcPr>
          <w:p w14:paraId="065155E4"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2019–2021</w:t>
            </w:r>
          </w:p>
        </w:tc>
        <w:tc>
          <w:tcPr>
            <w:tcW w:w="1276" w:type="dxa"/>
            <w:shd w:val="clear" w:color="auto" w:fill="auto"/>
            <w:vAlign w:val="center"/>
          </w:tcPr>
          <w:p w14:paraId="7958AFCA"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2019</w:t>
            </w:r>
          </w:p>
        </w:tc>
        <w:tc>
          <w:tcPr>
            <w:tcW w:w="1134" w:type="dxa"/>
            <w:shd w:val="clear" w:color="auto" w:fill="auto"/>
            <w:vAlign w:val="center"/>
          </w:tcPr>
          <w:p w14:paraId="5A5CDFC7"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2019</w:t>
            </w:r>
          </w:p>
        </w:tc>
        <w:tc>
          <w:tcPr>
            <w:tcW w:w="1134" w:type="dxa"/>
            <w:shd w:val="clear" w:color="auto" w:fill="auto"/>
            <w:noWrap/>
            <w:vAlign w:val="center"/>
            <w:hideMark/>
          </w:tcPr>
          <w:p w14:paraId="3801B7D3" w14:textId="77777777" w:rsidR="007C68C3" w:rsidRPr="005550B3" w:rsidRDefault="007C68C3" w:rsidP="00182C85">
            <w:pPr>
              <w:keepLines/>
              <w:spacing w:beforeLines="20" w:before="48" w:afterLines="20" w:after="48" w:line="240" w:lineRule="auto"/>
              <w:jc w:val="center"/>
              <w:rPr>
                <w:rFonts w:ascii="Times New Roman" w:hAnsi="Times New Roman" w:cs="Times New Roman"/>
                <w:b/>
                <w:bCs/>
                <w:noProof/>
                <w:color w:val="000000"/>
                <w:sz w:val="20"/>
                <w:szCs w:val="20"/>
              </w:rPr>
            </w:pPr>
            <w:r>
              <w:rPr>
                <w:rFonts w:ascii="Times New Roman" w:hAnsi="Times New Roman"/>
                <w:b/>
                <w:noProof/>
                <w:color w:val="000000"/>
                <w:sz w:val="20"/>
              </w:rPr>
              <w:t>2019–2021</w:t>
            </w:r>
          </w:p>
        </w:tc>
        <w:tc>
          <w:tcPr>
            <w:tcW w:w="992" w:type="dxa"/>
            <w:shd w:val="clear" w:color="auto" w:fill="auto"/>
            <w:noWrap/>
            <w:vAlign w:val="center"/>
            <w:hideMark/>
          </w:tcPr>
          <w:p w14:paraId="34F5EE06" w14:textId="77777777" w:rsidR="007C68C3" w:rsidRPr="00624441" w:rsidRDefault="007C68C3" w:rsidP="00182C85">
            <w:pPr>
              <w:keepLines/>
              <w:spacing w:beforeLines="20" w:before="48" w:afterLines="20" w:after="48" w:line="240" w:lineRule="auto"/>
              <w:jc w:val="center"/>
              <w:rPr>
                <w:rFonts w:ascii="Times New Roman" w:hAnsi="Times New Roman" w:cs="Times New Roman"/>
                <w:b/>
                <w:bCs/>
                <w:noProof/>
                <w:color w:val="000000"/>
              </w:rPr>
            </w:pPr>
            <w:r>
              <w:rPr>
                <w:rFonts w:ascii="Times New Roman" w:hAnsi="Times New Roman"/>
                <w:b/>
                <w:noProof/>
                <w:color w:val="000000"/>
              </w:rPr>
              <w:t>2021</w:t>
            </w:r>
          </w:p>
        </w:tc>
        <w:tc>
          <w:tcPr>
            <w:tcW w:w="850" w:type="dxa"/>
            <w:shd w:val="clear" w:color="auto" w:fill="auto"/>
            <w:noWrap/>
            <w:vAlign w:val="center"/>
            <w:hideMark/>
          </w:tcPr>
          <w:p w14:paraId="59B923E3" w14:textId="77777777" w:rsidR="007C68C3" w:rsidRPr="00624441" w:rsidRDefault="007C68C3" w:rsidP="00182C85">
            <w:pPr>
              <w:keepLines/>
              <w:spacing w:beforeLines="20" w:before="48" w:afterLines="20" w:after="48" w:line="240" w:lineRule="auto"/>
              <w:jc w:val="center"/>
              <w:rPr>
                <w:rFonts w:ascii="Times New Roman" w:hAnsi="Times New Roman" w:cs="Times New Roman"/>
                <w:b/>
                <w:bCs/>
                <w:noProof/>
                <w:color w:val="000000"/>
              </w:rPr>
            </w:pPr>
            <w:r>
              <w:rPr>
                <w:rFonts w:ascii="Times New Roman" w:hAnsi="Times New Roman"/>
                <w:b/>
                <w:noProof/>
                <w:color w:val="000000"/>
              </w:rPr>
              <w:t>2021</w:t>
            </w:r>
          </w:p>
        </w:tc>
      </w:tr>
      <w:tr w:rsidR="007C68C3" w:rsidRPr="00624441" w14:paraId="61FFF251" w14:textId="77777777" w:rsidTr="00182C85">
        <w:trPr>
          <w:cantSplit/>
          <w:trHeight w:val="290"/>
        </w:trPr>
        <w:tc>
          <w:tcPr>
            <w:tcW w:w="1124" w:type="dxa"/>
            <w:shd w:val="clear" w:color="auto" w:fill="auto"/>
            <w:noWrap/>
            <w:vAlign w:val="bottom"/>
            <w:hideMark/>
          </w:tcPr>
          <w:p w14:paraId="2D4C8E43"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AT</w:t>
            </w:r>
          </w:p>
        </w:tc>
        <w:tc>
          <w:tcPr>
            <w:tcW w:w="709" w:type="dxa"/>
            <w:shd w:val="clear" w:color="auto" w:fill="auto"/>
            <w:noWrap/>
            <w:vAlign w:val="bottom"/>
            <w:hideMark/>
          </w:tcPr>
          <w:p w14:paraId="6CFA60A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5C59D47B"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7D396459"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1DCB993A"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26C21951"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7F520AB2"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09713971"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57B55162"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339C82D9" w14:textId="77777777" w:rsidTr="00182C85">
        <w:trPr>
          <w:cantSplit/>
          <w:trHeight w:val="290"/>
        </w:trPr>
        <w:tc>
          <w:tcPr>
            <w:tcW w:w="1124" w:type="dxa"/>
            <w:shd w:val="clear" w:color="auto" w:fill="auto"/>
            <w:noWrap/>
            <w:vAlign w:val="bottom"/>
            <w:hideMark/>
          </w:tcPr>
          <w:p w14:paraId="330005D6"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BE</w:t>
            </w:r>
          </w:p>
        </w:tc>
        <w:tc>
          <w:tcPr>
            <w:tcW w:w="709" w:type="dxa"/>
            <w:shd w:val="clear" w:color="auto" w:fill="FFFF00"/>
            <w:noWrap/>
            <w:vAlign w:val="bottom"/>
            <w:hideMark/>
          </w:tcPr>
          <w:p w14:paraId="22ECB89D"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6E7318A7"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5085B2A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3423B7C4"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00B0F0"/>
          </w:tcPr>
          <w:p w14:paraId="594DA0C9" w14:textId="4805BA9D" w:rsidR="007C68C3" w:rsidRPr="005550B3" w:rsidRDefault="001005DE"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134" w:type="dxa"/>
            <w:shd w:val="clear" w:color="auto" w:fill="D9E1F2"/>
            <w:noWrap/>
            <w:vAlign w:val="bottom"/>
            <w:hideMark/>
          </w:tcPr>
          <w:p w14:paraId="121E1CE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2847BA9D"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62CED3B4"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6BF069D1" w14:textId="77777777" w:rsidTr="00182C85">
        <w:trPr>
          <w:cantSplit/>
          <w:trHeight w:val="290"/>
        </w:trPr>
        <w:tc>
          <w:tcPr>
            <w:tcW w:w="1124" w:type="dxa"/>
            <w:shd w:val="clear" w:color="auto" w:fill="auto"/>
            <w:noWrap/>
            <w:vAlign w:val="bottom"/>
            <w:hideMark/>
          </w:tcPr>
          <w:p w14:paraId="16548C3C"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BG</w:t>
            </w:r>
          </w:p>
        </w:tc>
        <w:tc>
          <w:tcPr>
            <w:tcW w:w="709" w:type="dxa"/>
            <w:shd w:val="clear" w:color="auto" w:fill="FFFF00"/>
            <w:noWrap/>
            <w:vAlign w:val="bottom"/>
            <w:hideMark/>
          </w:tcPr>
          <w:p w14:paraId="4494A5A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15A2BE13"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1F62954D"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24067FDE"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286439C6"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2809176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7FD3A647"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759EE627"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79129C87" w14:textId="77777777" w:rsidTr="00182C85">
        <w:trPr>
          <w:cantSplit/>
          <w:trHeight w:val="290"/>
        </w:trPr>
        <w:tc>
          <w:tcPr>
            <w:tcW w:w="1124" w:type="dxa"/>
            <w:shd w:val="clear" w:color="auto" w:fill="auto"/>
            <w:noWrap/>
            <w:vAlign w:val="bottom"/>
            <w:hideMark/>
          </w:tcPr>
          <w:p w14:paraId="01185650"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HR</w:t>
            </w:r>
          </w:p>
        </w:tc>
        <w:tc>
          <w:tcPr>
            <w:tcW w:w="709" w:type="dxa"/>
            <w:shd w:val="clear" w:color="auto" w:fill="auto"/>
            <w:noWrap/>
            <w:vAlign w:val="bottom"/>
            <w:hideMark/>
          </w:tcPr>
          <w:p w14:paraId="1DB3F762"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1C26268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7EA193D2"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17B0E86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78CF572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454F80C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auto"/>
            <w:noWrap/>
            <w:vAlign w:val="bottom"/>
            <w:hideMark/>
          </w:tcPr>
          <w:p w14:paraId="160C5E30"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c>
          <w:tcPr>
            <w:tcW w:w="850" w:type="dxa"/>
            <w:shd w:val="clear" w:color="auto" w:fill="auto"/>
            <w:noWrap/>
            <w:vAlign w:val="bottom"/>
            <w:hideMark/>
          </w:tcPr>
          <w:p w14:paraId="73860FA2"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2D6E9A6F" w14:textId="77777777" w:rsidTr="00182C85">
        <w:trPr>
          <w:cantSplit/>
          <w:trHeight w:val="290"/>
        </w:trPr>
        <w:tc>
          <w:tcPr>
            <w:tcW w:w="1124" w:type="dxa"/>
            <w:shd w:val="clear" w:color="auto" w:fill="auto"/>
            <w:noWrap/>
            <w:vAlign w:val="bottom"/>
            <w:hideMark/>
          </w:tcPr>
          <w:p w14:paraId="5A0BEFC9"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CY</w:t>
            </w:r>
          </w:p>
        </w:tc>
        <w:tc>
          <w:tcPr>
            <w:tcW w:w="709" w:type="dxa"/>
            <w:shd w:val="clear" w:color="auto" w:fill="auto"/>
            <w:noWrap/>
            <w:vAlign w:val="bottom"/>
            <w:hideMark/>
          </w:tcPr>
          <w:p w14:paraId="16FADEE5"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3145A7BF"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584118D6"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5462AA66"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682FF10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123EA1EA"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auto"/>
            <w:noWrap/>
            <w:vAlign w:val="bottom"/>
            <w:hideMark/>
          </w:tcPr>
          <w:p w14:paraId="07D657F7"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c>
          <w:tcPr>
            <w:tcW w:w="850" w:type="dxa"/>
            <w:shd w:val="clear" w:color="auto" w:fill="auto"/>
            <w:noWrap/>
            <w:vAlign w:val="bottom"/>
            <w:hideMark/>
          </w:tcPr>
          <w:p w14:paraId="44F95CEC"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66A55429" w14:textId="77777777" w:rsidTr="00182C85">
        <w:trPr>
          <w:cantSplit/>
          <w:trHeight w:val="290"/>
        </w:trPr>
        <w:tc>
          <w:tcPr>
            <w:tcW w:w="1124" w:type="dxa"/>
            <w:shd w:val="clear" w:color="auto" w:fill="auto"/>
            <w:noWrap/>
            <w:vAlign w:val="bottom"/>
            <w:hideMark/>
          </w:tcPr>
          <w:p w14:paraId="07275FDB"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CZ</w:t>
            </w:r>
          </w:p>
        </w:tc>
        <w:tc>
          <w:tcPr>
            <w:tcW w:w="709" w:type="dxa"/>
            <w:shd w:val="clear" w:color="auto" w:fill="FFFF00"/>
            <w:noWrap/>
            <w:vAlign w:val="bottom"/>
            <w:hideMark/>
          </w:tcPr>
          <w:p w14:paraId="0C950BA2"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4CEC0CB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16B15BB2"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2D177583"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7803DEC1"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47858CD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697928B0"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681AC931"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05017357" w14:textId="77777777" w:rsidTr="00182C85">
        <w:trPr>
          <w:cantSplit/>
          <w:trHeight w:val="290"/>
        </w:trPr>
        <w:tc>
          <w:tcPr>
            <w:tcW w:w="1124" w:type="dxa"/>
            <w:shd w:val="clear" w:color="auto" w:fill="auto"/>
            <w:noWrap/>
            <w:vAlign w:val="bottom"/>
            <w:hideMark/>
          </w:tcPr>
          <w:p w14:paraId="6F9A904B"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DK</w:t>
            </w:r>
          </w:p>
        </w:tc>
        <w:tc>
          <w:tcPr>
            <w:tcW w:w="709" w:type="dxa"/>
            <w:shd w:val="clear" w:color="auto" w:fill="auto"/>
            <w:noWrap/>
            <w:vAlign w:val="bottom"/>
            <w:hideMark/>
          </w:tcPr>
          <w:p w14:paraId="179E809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36B6DCC5"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20403DD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5B915DD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72CAAB51"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641B3FEE"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047070E5"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68A7B617"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6C169949" w14:textId="77777777" w:rsidTr="00182C85">
        <w:trPr>
          <w:cantSplit/>
          <w:trHeight w:val="290"/>
        </w:trPr>
        <w:tc>
          <w:tcPr>
            <w:tcW w:w="1124" w:type="dxa"/>
            <w:shd w:val="clear" w:color="auto" w:fill="auto"/>
            <w:noWrap/>
            <w:vAlign w:val="bottom"/>
            <w:hideMark/>
          </w:tcPr>
          <w:p w14:paraId="23B2820F"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EE</w:t>
            </w:r>
          </w:p>
        </w:tc>
        <w:tc>
          <w:tcPr>
            <w:tcW w:w="709" w:type="dxa"/>
            <w:shd w:val="clear" w:color="auto" w:fill="auto"/>
            <w:noWrap/>
            <w:vAlign w:val="bottom"/>
            <w:hideMark/>
          </w:tcPr>
          <w:p w14:paraId="12344EC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7BBF975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001CC28A"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6A5FDFF4"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7B1F79D7"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0192326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60A478A6"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20B57357"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6ED7B0FC" w14:textId="77777777" w:rsidTr="00182C85">
        <w:trPr>
          <w:cantSplit/>
          <w:trHeight w:val="290"/>
        </w:trPr>
        <w:tc>
          <w:tcPr>
            <w:tcW w:w="1124" w:type="dxa"/>
            <w:shd w:val="clear" w:color="auto" w:fill="auto"/>
            <w:noWrap/>
            <w:vAlign w:val="bottom"/>
            <w:hideMark/>
          </w:tcPr>
          <w:p w14:paraId="3A0366B4"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FI</w:t>
            </w:r>
          </w:p>
        </w:tc>
        <w:tc>
          <w:tcPr>
            <w:tcW w:w="709" w:type="dxa"/>
            <w:shd w:val="clear" w:color="auto" w:fill="auto"/>
            <w:noWrap/>
            <w:vAlign w:val="bottom"/>
            <w:hideMark/>
          </w:tcPr>
          <w:p w14:paraId="2F87D17F"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087CC145"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350F1629"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1ED1EF2D"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76D1416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54C5EA46"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47B95692"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2C3B0265"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59488629" w14:textId="77777777" w:rsidTr="00182C85">
        <w:trPr>
          <w:cantSplit/>
          <w:trHeight w:val="290"/>
        </w:trPr>
        <w:tc>
          <w:tcPr>
            <w:tcW w:w="1124" w:type="dxa"/>
            <w:shd w:val="clear" w:color="auto" w:fill="auto"/>
            <w:noWrap/>
            <w:vAlign w:val="bottom"/>
            <w:hideMark/>
          </w:tcPr>
          <w:p w14:paraId="63AD9AA5"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FR</w:t>
            </w:r>
          </w:p>
        </w:tc>
        <w:tc>
          <w:tcPr>
            <w:tcW w:w="709" w:type="dxa"/>
            <w:shd w:val="clear" w:color="auto" w:fill="FFFF00"/>
            <w:noWrap/>
            <w:vAlign w:val="bottom"/>
            <w:hideMark/>
          </w:tcPr>
          <w:p w14:paraId="1612A9C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6506DD4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5362CA6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FF3399"/>
          </w:tcPr>
          <w:p w14:paraId="0FFC79D6"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134" w:type="dxa"/>
            <w:shd w:val="clear" w:color="auto" w:fill="auto"/>
          </w:tcPr>
          <w:p w14:paraId="63DAD01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5C6E224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0824E2EC"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92D050"/>
            <w:noWrap/>
            <w:vAlign w:val="bottom"/>
            <w:hideMark/>
          </w:tcPr>
          <w:p w14:paraId="0A2219E8"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r>
      <w:tr w:rsidR="007C68C3" w:rsidRPr="00624441" w14:paraId="208A93DE" w14:textId="77777777" w:rsidTr="00182C85">
        <w:trPr>
          <w:cantSplit/>
          <w:trHeight w:val="290"/>
        </w:trPr>
        <w:tc>
          <w:tcPr>
            <w:tcW w:w="1124" w:type="dxa"/>
            <w:shd w:val="clear" w:color="auto" w:fill="auto"/>
            <w:noWrap/>
            <w:vAlign w:val="bottom"/>
            <w:hideMark/>
          </w:tcPr>
          <w:p w14:paraId="4E4FCB87"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DE</w:t>
            </w:r>
          </w:p>
        </w:tc>
        <w:tc>
          <w:tcPr>
            <w:tcW w:w="709" w:type="dxa"/>
            <w:shd w:val="clear" w:color="auto" w:fill="FFFF00"/>
            <w:noWrap/>
            <w:vAlign w:val="bottom"/>
            <w:hideMark/>
          </w:tcPr>
          <w:p w14:paraId="663FE4D0"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3C39F98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17273E9D"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FF3399"/>
          </w:tcPr>
          <w:p w14:paraId="5799BCD7"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134" w:type="dxa"/>
            <w:shd w:val="clear" w:color="auto" w:fill="auto"/>
          </w:tcPr>
          <w:p w14:paraId="3FEE5999"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35F02616"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auto"/>
            <w:noWrap/>
            <w:vAlign w:val="bottom"/>
            <w:hideMark/>
          </w:tcPr>
          <w:p w14:paraId="58F1FC39" w14:textId="54452BDC" w:rsidR="007C68C3" w:rsidRPr="00955D4C" w:rsidRDefault="00934E34" w:rsidP="00182C85">
            <w:pPr>
              <w:keepLines/>
              <w:spacing w:beforeLines="20" w:before="48" w:afterLines="20" w:after="48" w:line="240" w:lineRule="auto"/>
              <w:rPr>
                <w:rFonts w:ascii="Times New Roman" w:hAnsi="Times New Roman" w:cs="Times New Roman"/>
                <w:noProof/>
                <w:color w:val="000000"/>
                <w:sz w:val="16"/>
                <w:szCs w:val="16"/>
              </w:rPr>
            </w:pPr>
            <w:r>
              <w:rPr>
                <w:rFonts w:ascii="Times New Roman" w:hAnsi="Times New Roman"/>
                <w:noProof/>
                <w:color w:val="000000"/>
                <w:sz w:val="16"/>
              </w:rPr>
              <w:t>2018-as ellenőrzés</w:t>
            </w:r>
          </w:p>
        </w:tc>
        <w:tc>
          <w:tcPr>
            <w:tcW w:w="850" w:type="dxa"/>
            <w:shd w:val="clear" w:color="auto" w:fill="92D050"/>
            <w:noWrap/>
            <w:vAlign w:val="bottom"/>
            <w:hideMark/>
          </w:tcPr>
          <w:p w14:paraId="5665F591"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r>
      <w:tr w:rsidR="007C68C3" w:rsidRPr="00624441" w14:paraId="506CF0D7" w14:textId="77777777" w:rsidTr="00182C85">
        <w:trPr>
          <w:cantSplit/>
          <w:trHeight w:val="290"/>
        </w:trPr>
        <w:tc>
          <w:tcPr>
            <w:tcW w:w="1124" w:type="dxa"/>
            <w:shd w:val="clear" w:color="auto" w:fill="auto"/>
            <w:noWrap/>
            <w:vAlign w:val="bottom"/>
            <w:hideMark/>
          </w:tcPr>
          <w:p w14:paraId="7F577D77"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EL</w:t>
            </w:r>
          </w:p>
        </w:tc>
        <w:tc>
          <w:tcPr>
            <w:tcW w:w="709" w:type="dxa"/>
            <w:shd w:val="clear" w:color="auto" w:fill="FFFF00"/>
            <w:noWrap/>
            <w:vAlign w:val="bottom"/>
            <w:hideMark/>
          </w:tcPr>
          <w:p w14:paraId="5A754BEB"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60EE62CA"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3450D93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1CA9FA29"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3FEEAEF1"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42BA284B"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7AA8AFCA"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92D050"/>
            <w:noWrap/>
            <w:vAlign w:val="bottom"/>
            <w:hideMark/>
          </w:tcPr>
          <w:p w14:paraId="346CE3D3"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r>
      <w:tr w:rsidR="007C68C3" w:rsidRPr="00624441" w14:paraId="12220EA1" w14:textId="77777777" w:rsidTr="00182C85">
        <w:trPr>
          <w:cantSplit/>
          <w:trHeight w:val="290"/>
        </w:trPr>
        <w:tc>
          <w:tcPr>
            <w:tcW w:w="1124" w:type="dxa"/>
            <w:shd w:val="clear" w:color="auto" w:fill="auto"/>
            <w:noWrap/>
            <w:vAlign w:val="bottom"/>
            <w:hideMark/>
          </w:tcPr>
          <w:p w14:paraId="7E60441D"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HU</w:t>
            </w:r>
          </w:p>
        </w:tc>
        <w:tc>
          <w:tcPr>
            <w:tcW w:w="709" w:type="dxa"/>
            <w:shd w:val="clear" w:color="auto" w:fill="FFFF00"/>
            <w:noWrap/>
            <w:vAlign w:val="bottom"/>
            <w:hideMark/>
          </w:tcPr>
          <w:p w14:paraId="4E220ED6"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0B9FFCCA"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13B18B15"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FF3399"/>
          </w:tcPr>
          <w:p w14:paraId="1D3152DD"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134" w:type="dxa"/>
            <w:shd w:val="clear" w:color="auto" w:fill="auto"/>
          </w:tcPr>
          <w:p w14:paraId="08449E89"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4B82B4BA"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705C1DEE"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18F535EA"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2BE4A972" w14:textId="77777777" w:rsidTr="00182C85">
        <w:trPr>
          <w:cantSplit/>
          <w:trHeight w:val="290"/>
        </w:trPr>
        <w:tc>
          <w:tcPr>
            <w:tcW w:w="1124" w:type="dxa"/>
            <w:shd w:val="clear" w:color="auto" w:fill="auto"/>
            <w:noWrap/>
            <w:vAlign w:val="bottom"/>
            <w:hideMark/>
          </w:tcPr>
          <w:p w14:paraId="3F97E7F1"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IE</w:t>
            </w:r>
          </w:p>
        </w:tc>
        <w:tc>
          <w:tcPr>
            <w:tcW w:w="709" w:type="dxa"/>
            <w:shd w:val="clear" w:color="auto" w:fill="auto"/>
            <w:noWrap/>
            <w:vAlign w:val="bottom"/>
            <w:hideMark/>
          </w:tcPr>
          <w:p w14:paraId="41A9DDE5"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2CB26FC3"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54764FF3"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59E5FB63"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66E9E432"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35E44D32"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12725ABF"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48101439"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32012955" w14:textId="77777777" w:rsidTr="00182C85">
        <w:trPr>
          <w:cantSplit/>
          <w:trHeight w:val="290"/>
        </w:trPr>
        <w:tc>
          <w:tcPr>
            <w:tcW w:w="1124" w:type="dxa"/>
            <w:shd w:val="clear" w:color="auto" w:fill="auto"/>
            <w:noWrap/>
            <w:vAlign w:val="bottom"/>
            <w:hideMark/>
          </w:tcPr>
          <w:p w14:paraId="7E4552FA"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IT</w:t>
            </w:r>
          </w:p>
        </w:tc>
        <w:tc>
          <w:tcPr>
            <w:tcW w:w="709" w:type="dxa"/>
            <w:shd w:val="clear" w:color="auto" w:fill="FFFF00"/>
            <w:noWrap/>
            <w:vAlign w:val="bottom"/>
            <w:hideMark/>
          </w:tcPr>
          <w:p w14:paraId="448D357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7849A8D7"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3CDF354B"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FF3399"/>
          </w:tcPr>
          <w:p w14:paraId="5A0C5B61"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134" w:type="dxa"/>
            <w:shd w:val="clear" w:color="auto" w:fill="auto"/>
          </w:tcPr>
          <w:p w14:paraId="271A8FFA"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41122756"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707BECF3"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92D050"/>
            <w:noWrap/>
            <w:vAlign w:val="bottom"/>
            <w:hideMark/>
          </w:tcPr>
          <w:p w14:paraId="5D3E16E5"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r>
      <w:tr w:rsidR="007C68C3" w:rsidRPr="00624441" w14:paraId="3927CB21" w14:textId="77777777" w:rsidTr="00182C85">
        <w:trPr>
          <w:cantSplit/>
          <w:trHeight w:val="290"/>
        </w:trPr>
        <w:tc>
          <w:tcPr>
            <w:tcW w:w="1124" w:type="dxa"/>
            <w:shd w:val="clear" w:color="auto" w:fill="auto"/>
            <w:noWrap/>
            <w:vAlign w:val="bottom"/>
            <w:hideMark/>
          </w:tcPr>
          <w:p w14:paraId="719B690F"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LV</w:t>
            </w:r>
          </w:p>
        </w:tc>
        <w:tc>
          <w:tcPr>
            <w:tcW w:w="709" w:type="dxa"/>
            <w:shd w:val="clear" w:color="auto" w:fill="auto"/>
            <w:noWrap/>
            <w:vAlign w:val="bottom"/>
            <w:hideMark/>
          </w:tcPr>
          <w:p w14:paraId="721A53B7"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770A89A4"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6A4F43A6"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7DE326DF"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0E57249D"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4024483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4AF35420"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73EF29E9"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011875D4" w14:textId="77777777" w:rsidTr="00182C85">
        <w:trPr>
          <w:cantSplit/>
          <w:trHeight w:val="290"/>
        </w:trPr>
        <w:tc>
          <w:tcPr>
            <w:tcW w:w="1124" w:type="dxa"/>
            <w:shd w:val="clear" w:color="auto" w:fill="auto"/>
            <w:noWrap/>
            <w:vAlign w:val="bottom"/>
            <w:hideMark/>
          </w:tcPr>
          <w:p w14:paraId="46A871A7"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LT</w:t>
            </w:r>
          </w:p>
        </w:tc>
        <w:tc>
          <w:tcPr>
            <w:tcW w:w="709" w:type="dxa"/>
            <w:shd w:val="clear" w:color="auto" w:fill="auto"/>
            <w:noWrap/>
            <w:vAlign w:val="bottom"/>
            <w:hideMark/>
          </w:tcPr>
          <w:p w14:paraId="471CE424"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3A691611"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6C804D9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112E45C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37385AC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07FF82ED"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704E7086"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0C3FA7E3"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0CAEC750" w14:textId="77777777" w:rsidTr="00182C85">
        <w:trPr>
          <w:cantSplit/>
          <w:trHeight w:val="290"/>
        </w:trPr>
        <w:tc>
          <w:tcPr>
            <w:tcW w:w="1124" w:type="dxa"/>
            <w:shd w:val="clear" w:color="auto" w:fill="auto"/>
            <w:noWrap/>
            <w:vAlign w:val="bottom"/>
            <w:hideMark/>
          </w:tcPr>
          <w:p w14:paraId="226CE8A2"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LU</w:t>
            </w:r>
          </w:p>
        </w:tc>
        <w:tc>
          <w:tcPr>
            <w:tcW w:w="709" w:type="dxa"/>
            <w:shd w:val="clear" w:color="auto" w:fill="auto"/>
            <w:noWrap/>
            <w:vAlign w:val="bottom"/>
            <w:hideMark/>
          </w:tcPr>
          <w:p w14:paraId="4725658B"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00B570E9"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4BB9498D"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1E4774D3"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36599659"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25E9AA0D"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102D86C6"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3D98096F"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7C68C3" w:rsidRPr="00624441" w14:paraId="370DE591" w14:textId="77777777" w:rsidTr="00182C85">
        <w:trPr>
          <w:cantSplit/>
          <w:trHeight w:val="290"/>
        </w:trPr>
        <w:tc>
          <w:tcPr>
            <w:tcW w:w="1124" w:type="dxa"/>
            <w:shd w:val="clear" w:color="auto" w:fill="auto"/>
            <w:noWrap/>
            <w:vAlign w:val="bottom"/>
            <w:hideMark/>
          </w:tcPr>
          <w:p w14:paraId="2820EF54" w14:textId="77777777" w:rsidR="007C68C3" w:rsidRPr="005550B3" w:rsidRDefault="007C68C3"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MT</w:t>
            </w:r>
          </w:p>
        </w:tc>
        <w:tc>
          <w:tcPr>
            <w:tcW w:w="709" w:type="dxa"/>
            <w:shd w:val="clear" w:color="auto" w:fill="FFFF00"/>
            <w:noWrap/>
            <w:vAlign w:val="bottom"/>
            <w:hideMark/>
          </w:tcPr>
          <w:p w14:paraId="128A23E3"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588F820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147CE43F"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164D0F38"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254D9204"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2BE75F8C" w14:textId="77777777" w:rsidR="007C68C3" w:rsidRPr="005550B3" w:rsidRDefault="007C68C3"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66494B42"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24D9152B" w14:textId="77777777" w:rsidR="007C68C3" w:rsidRPr="00624441" w:rsidRDefault="007C68C3"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255C6A" w:rsidRPr="00624441" w14:paraId="55DBC4F7" w14:textId="77777777" w:rsidTr="00182C85">
        <w:trPr>
          <w:cantSplit/>
          <w:trHeight w:val="290"/>
        </w:trPr>
        <w:tc>
          <w:tcPr>
            <w:tcW w:w="1124" w:type="dxa"/>
            <w:shd w:val="clear" w:color="auto" w:fill="auto"/>
            <w:noWrap/>
            <w:vAlign w:val="bottom"/>
            <w:hideMark/>
          </w:tcPr>
          <w:p w14:paraId="2B2CC870" w14:textId="77777777" w:rsidR="00255C6A" w:rsidRPr="005550B3" w:rsidRDefault="00255C6A"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NL</w:t>
            </w:r>
          </w:p>
        </w:tc>
        <w:tc>
          <w:tcPr>
            <w:tcW w:w="709" w:type="dxa"/>
            <w:shd w:val="clear" w:color="auto" w:fill="FFFF00"/>
            <w:noWrap/>
            <w:vAlign w:val="bottom"/>
            <w:hideMark/>
          </w:tcPr>
          <w:p w14:paraId="70124594"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08043741"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24C86F17"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385A7ADB"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6699FF"/>
          </w:tcPr>
          <w:p w14:paraId="0227F190"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134" w:type="dxa"/>
            <w:shd w:val="clear" w:color="auto" w:fill="D9E1F2"/>
            <w:noWrap/>
            <w:vAlign w:val="bottom"/>
            <w:hideMark/>
          </w:tcPr>
          <w:p w14:paraId="516AD829"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auto"/>
            <w:noWrap/>
            <w:vAlign w:val="bottom"/>
            <w:hideMark/>
          </w:tcPr>
          <w:p w14:paraId="0AF3753E" w14:textId="7B1079D8" w:rsidR="00255C6A" w:rsidRPr="00624441" w:rsidRDefault="00934E34"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sz w:val="16"/>
              </w:rPr>
              <w:t>2018-as ellenőrzés</w:t>
            </w:r>
          </w:p>
        </w:tc>
        <w:tc>
          <w:tcPr>
            <w:tcW w:w="850" w:type="dxa"/>
            <w:shd w:val="clear" w:color="auto" w:fill="92D050"/>
            <w:noWrap/>
            <w:vAlign w:val="bottom"/>
            <w:hideMark/>
          </w:tcPr>
          <w:p w14:paraId="38E5758F"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r>
      <w:tr w:rsidR="00255C6A" w:rsidRPr="00624441" w14:paraId="067B6C1E" w14:textId="77777777" w:rsidTr="00182C85">
        <w:trPr>
          <w:cantSplit/>
          <w:trHeight w:val="290"/>
        </w:trPr>
        <w:tc>
          <w:tcPr>
            <w:tcW w:w="1124" w:type="dxa"/>
            <w:shd w:val="clear" w:color="auto" w:fill="auto"/>
            <w:noWrap/>
            <w:vAlign w:val="bottom"/>
            <w:hideMark/>
          </w:tcPr>
          <w:p w14:paraId="6B2025A6" w14:textId="77777777" w:rsidR="00255C6A" w:rsidRPr="005550B3" w:rsidRDefault="00255C6A"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PL</w:t>
            </w:r>
          </w:p>
        </w:tc>
        <w:tc>
          <w:tcPr>
            <w:tcW w:w="709" w:type="dxa"/>
            <w:shd w:val="clear" w:color="auto" w:fill="FFFF00"/>
            <w:noWrap/>
            <w:vAlign w:val="bottom"/>
            <w:hideMark/>
          </w:tcPr>
          <w:p w14:paraId="4B513D0D"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069FFD5C"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42C75989"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74C2AF90"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6BD61C7F"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101037A4"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593339A9"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92D050"/>
            <w:noWrap/>
            <w:vAlign w:val="bottom"/>
            <w:hideMark/>
          </w:tcPr>
          <w:p w14:paraId="1D37F33F"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r>
      <w:tr w:rsidR="00255C6A" w:rsidRPr="00624441" w14:paraId="6E67F4E9" w14:textId="77777777" w:rsidTr="00182C85">
        <w:trPr>
          <w:cantSplit/>
          <w:trHeight w:val="290"/>
        </w:trPr>
        <w:tc>
          <w:tcPr>
            <w:tcW w:w="1124" w:type="dxa"/>
            <w:shd w:val="clear" w:color="auto" w:fill="auto"/>
            <w:noWrap/>
            <w:vAlign w:val="bottom"/>
            <w:hideMark/>
          </w:tcPr>
          <w:p w14:paraId="47EF5F2A" w14:textId="77777777" w:rsidR="00255C6A" w:rsidRPr="005550B3" w:rsidRDefault="00255C6A"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PT</w:t>
            </w:r>
          </w:p>
        </w:tc>
        <w:tc>
          <w:tcPr>
            <w:tcW w:w="709" w:type="dxa"/>
            <w:shd w:val="clear" w:color="auto" w:fill="FFFF00"/>
            <w:noWrap/>
            <w:vAlign w:val="bottom"/>
            <w:hideMark/>
          </w:tcPr>
          <w:p w14:paraId="4522A4CD"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5D191E71"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27B1CA51"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FF3399"/>
          </w:tcPr>
          <w:p w14:paraId="6AAB432A"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134" w:type="dxa"/>
            <w:shd w:val="clear" w:color="auto" w:fill="auto"/>
          </w:tcPr>
          <w:p w14:paraId="473C95DF"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7A4E7043"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2E35BBE4"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5E75F5EA"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255C6A" w:rsidRPr="00624441" w14:paraId="119BF962" w14:textId="77777777" w:rsidTr="00182C85">
        <w:trPr>
          <w:cantSplit/>
          <w:trHeight w:val="290"/>
        </w:trPr>
        <w:tc>
          <w:tcPr>
            <w:tcW w:w="1124" w:type="dxa"/>
            <w:shd w:val="clear" w:color="auto" w:fill="auto"/>
            <w:noWrap/>
            <w:vAlign w:val="bottom"/>
            <w:hideMark/>
          </w:tcPr>
          <w:p w14:paraId="252B85DB" w14:textId="77777777" w:rsidR="00255C6A" w:rsidRPr="005550B3" w:rsidRDefault="00255C6A"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RO</w:t>
            </w:r>
          </w:p>
        </w:tc>
        <w:tc>
          <w:tcPr>
            <w:tcW w:w="709" w:type="dxa"/>
            <w:shd w:val="clear" w:color="auto" w:fill="FFFF00"/>
            <w:noWrap/>
            <w:vAlign w:val="bottom"/>
            <w:hideMark/>
          </w:tcPr>
          <w:p w14:paraId="11BAFC1A"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4D66273E"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62FC5F65"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06E498C9"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0AC60A80"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6A8D7BCE"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auto"/>
            <w:noWrap/>
            <w:vAlign w:val="bottom"/>
            <w:hideMark/>
          </w:tcPr>
          <w:p w14:paraId="50D38D97"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c>
          <w:tcPr>
            <w:tcW w:w="850" w:type="dxa"/>
            <w:shd w:val="clear" w:color="auto" w:fill="auto"/>
            <w:noWrap/>
            <w:vAlign w:val="bottom"/>
            <w:hideMark/>
          </w:tcPr>
          <w:p w14:paraId="5EEBA814"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255C6A" w:rsidRPr="00624441" w14:paraId="66AA28CE" w14:textId="77777777" w:rsidTr="00182C85">
        <w:trPr>
          <w:cantSplit/>
          <w:trHeight w:val="290"/>
        </w:trPr>
        <w:tc>
          <w:tcPr>
            <w:tcW w:w="1124" w:type="dxa"/>
            <w:shd w:val="clear" w:color="auto" w:fill="auto"/>
            <w:noWrap/>
            <w:vAlign w:val="bottom"/>
            <w:hideMark/>
          </w:tcPr>
          <w:p w14:paraId="27BAF095" w14:textId="77777777" w:rsidR="00255C6A" w:rsidRPr="005550B3" w:rsidRDefault="00255C6A"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SK</w:t>
            </w:r>
          </w:p>
        </w:tc>
        <w:tc>
          <w:tcPr>
            <w:tcW w:w="709" w:type="dxa"/>
            <w:shd w:val="clear" w:color="auto" w:fill="FFFF00"/>
            <w:noWrap/>
            <w:vAlign w:val="bottom"/>
            <w:hideMark/>
          </w:tcPr>
          <w:p w14:paraId="49AC3EA6"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6FEC3AD2"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5499864B"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20C1DCC4"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483F05CC"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34CE3E99"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auto"/>
            <w:noWrap/>
            <w:vAlign w:val="bottom"/>
            <w:hideMark/>
          </w:tcPr>
          <w:p w14:paraId="6744451A"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c>
          <w:tcPr>
            <w:tcW w:w="850" w:type="dxa"/>
            <w:shd w:val="clear" w:color="auto" w:fill="auto"/>
            <w:noWrap/>
            <w:vAlign w:val="bottom"/>
            <w:hideMark/>
          </w:tcPr>
          <w:p w14:paraId="411BE843"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255C6A" w:rsidRPr="00624441" w14:paraId="27EED852" w14:textId="77777777" w:rsidTr="00182C85">
        <w:trPr>
          <w:cantSplit/>
          <w:trHeight w:val="290"/>
        </w:trPr>
        <w:tc>
          <w:tcPr>
            <w:tcW w:w="1124" w:type="dxa"/>
            <w:shd w:val="clear" w:color="auto" w:fill="auto"/>
            <w:noWrap/>
            <w:vAlign w:val="bottom"/>
            <w:hideMark/>
          </w:tcPr>
          <w:p w14:paraId="28EC5834" w14:textId="77777777" w:rsidR="00255C6A" w:rsidRPr="005550B3" w:rsidRDefault="00255C6A"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SI</w:t>
            </w:r>
          </w:p>
        </w:tc>
        <w:tc>
          <w:tcPr>
            <w:tcW w:w="709" w:type="dxa"/>
            <w:shd w:val="clear" w:color="auto" w:fill="auto"/>
            <w:noWrap/>
            <w:vAlign w:val="bottom"/>
            <w:hideMark/>
          </w:tcPr>
          <w:p w14:paraId="0E0095EA"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851" w:type="dxa"/>
            <w:shd w:val="clear" w:color="auto" w:fill="FFFF00"/>
            <w:noWrap/>
            <w:vAlign w:val="bottom"/>
            <w:hideMark/>
          </w:tcPr>
          <w:p w14:paraId="4783EF60"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559" w:type="dxa"/>
            <w:shd w:val="clear" w:color="auto" w:fill="548DD4" w:themeFill="text2" w:themeFillTint="99"/>
            <w:vAlign w:val="bottom"/>
          </w:tcPr>
          <w:p w14:paraId="2B8306A6"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5CA2E0CD"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6F96F1C9"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0CC699A5"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3A00F887"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524B259D"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255C6A" w:rsidRPr="00624441" w14:paraId="2D239AD1" w14:textId="77777777" w:rsidTr="00182C85">
        <w:trPr>
          <w:cantSplit/>
          <w:trHeight w:val="290"/>
        </w:trPr>
        <w:tc>
          <w:tcPr>
            <w:tcW w:w="1124" w:type="dxa"/>
            <w:shd w:val="clear" w:color="auto" w:fill="auto"/>
            <w:noWrap/>
            <w:vAlign w:val="bottom"/>
            <w:hideMark/>
          </w:tcPr>
          <w:p w14:paraId="10ED84EE" w14:textId="77777777" w:rsidR="00255C6A" w:rsidRPr="005550B3" w:rsidRDefault="00255C6A"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ES</w:t>
            </w:r>
          </w:p>
        </w:tc>
        <w:tc>
          <w:tcPr>
            <w:tcW w:w="709" w:type="dxa"/>
            <w:shd w:val="clear" w:color="auto" w:fill="FFFF00"/>
            <w:noWrap/>
            <w:vAlign w:val="bottom"/>
            <w:hideMark/>
          </w:tcPr>
          <w:p w14:paraId="0311485A"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4911466A"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36C7204F"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102F5257"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02768CB4"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1900989B"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46EB232A"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92D050"/>
            <w:noWrap/>
            <w:vAlign w:val="bottom"/>
            <w:hideMark/>
          </w:tcPr>
          <w:p w14:paraId="45B0DD39"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r>
      <w:tr w:rsidR="00255C6A" w:rsidRPr="00624441" w14:paraId="64038BFF" w14:textId="77777777" w:rsidTr="00182C85">
        <w:trPr>
          <w:cantSplit/>
          <w:trHeight w:val="290"/>
        </w:trPr>
        <w:tc>
          <w:tcPr>
            <w:tcW w:w="1124" w:type="dxa"/>
            <w:shd w:val="clear" w:color="auto" w:fill="auto"/>
            <w:noWrap/>
            <w:vAlign w:val="bottom"/>
            <w:hideMark/>
          </w:tcPr>
          <w:p w14:paraId="49F705DD" w14:textId="77777777" w:rsidR="00255C6A" w:rsidRPr="005550B3" w:rsidRDefault="00255C6A"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SE</w:t>
            </w:r>
          </w:p>
        </w:tc>
        <w:tc>
          <w:tcPr>
            <w:tcW w:w="709" w:type="dxa"/>
            <w:shd w:val="clear" w:color="auto" w:fill="FFFF00"/>
            <w:noWrap/>
            <w:vAlign w:val="bottom"/>
            <w:hideMark/>
          </w:tcPr>
          <w:p w14:paraId="24A8C322"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7952ACA4"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73B5FFBE"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auto"/>
          </w:tcPr>
          <w:p w14:paraId="28211915"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auto"/>
          </w:tcPr>
          <w:p w14:paraId="18CBF440"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636608E0"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FFC000"/>
            <w:noWrap/>
            <w:vAlign w:val="bottom"/>
            <w:hideMark/>
          </w:tcPr>
          <w:p w14:paraId="5C6F5A1B"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x</w:t>
            </w:r>
          </w:p>
        </w:tc>
        <w:tc>
          <w:tcPr>
            <w:tcW w:w="850" w:type="dxa"/>
            <w:shd w:val="clear" w:color="auto" w:fill="auto"/>
            <w:noWrap/>
            <w:vAlign w:val="bottom"/>
            <w:hideMark/>
          </w:tcPr>
          <w:p w14:paraId="36E0AAC1"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255C6A" w:rsidRPr="00624441" w14:paraId="793D8C0F" w14:textId="77777777" w:rsidTr="00182C85">
        <w:trPr>
          <w:cantSplit/>
          <w:trHeight w:val="300"/>
        </w:trPr>
        <w:tc>
          <w:tcPr>
            <w:tcW w:w="1124" w:type="dxa"/>
            <w:shd w:val="clear" w:color="auto" w:fill="auto"/>
            <w:noWrap/>
            <w:vAlign w:val="bottom"/>
            <w:hideMark/>
          </w:tcPr>
          <w:p w14:paraId="771EA653" w14:textId="77777777" w:rsidR="00255C6A" w:rsidRPr="005550B3" w:rsidRDefault="00255C6A" w:rsidP="00182C85">
            <w:pPr>
              <w:keepLines/>
              <w:spacing w:beforeLines="20" w:before="48" w:afterLines="20" w:after="48" w:line="240" w:lineRule="auto"/>
              <w:rPr>
                <w:rFonts w:ascii="Times New Roman" w:hAnsi="Times New Roman" w:cs="Times New Roman"/>
                <w:b/>
                <w:bCs/>
                <w:noProof/>
                <w:color w:val="000000"/>
                <w:sz w:val="20"/>
                <w:szCs w:val="20"/>
              </w:rPr>
            </w:pPr>
            <w:r>
              <w:rPr>
                <w:rFonts w:ascii="Times New Roman" w:hAnsi="Times New Roman"/>
                <w:b/>
                <w:noProof/>
                <w:color w:val="000000"/>
                <w:sz w:val="20"/>
              </w:rPr>
              <w:t>UK</w:t>
            </w:r>
          </w:p>
        </w:tc>
        <w:tc>
          <w:tcPr>
            <w:tcW w:w="709" w:type="dxa"/>
            <w:shd w:val="clear" w:color="auto" w:fill="FFFF00"/>
            <w:noWrap/>
            <w:vAlign w:val="bottom"/>
            <w:hideMark/>
          </w:tcPr>
          <w:p w14:paraId="6DDFC58C"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851" w:type="dxa"/>
            <w:shd w:val="clear" w:color="auto" w:fill="auto"/>
            <w:noWrap/>
            <w:vAlign w:val="bottom"/>
            <w:hideMark/>
          </w:tcPr>
          <w:p w14:paraId="3CAA6E64"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 </w:t>
            </w:r>
          </w:p>
        </w:tc>
        <w:tc>
          <w:tcPr>
            <w:tcW w:w="1559" w:type="dxa"/>
            <w:shd w:val="clear" w:color="auto" w:fill="548DD4" w:themeFill="text2" w:themeFillTint="99"/>
            <w:vAlign w:val="bottom"/>
          </w:tcPr>
          <w:p w14:paraId="7159C6C5"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276" w:type="dxa"/>
            <w:shd w:val="clear" w:color="auto" w:fill="FF3399"/>
          </w:tcPr>
          <w:p w14:paraId="1C2B689B"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1134" w:type="dxa"/>
            <w:shd w:val="clear" w:color="auto" w:fill="auto"/>
          </w:tcPr>
          <w:p w14:paraId="4858D1A8"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p>
        </w:tc>
        <w:tc>
          <w:tcPr>
            <w:tcW w:w="1134" w:type="dxa"/>
            <w:shd w:val="clear" w:color="auto" w:fill="D9E1F2"/>
            <w:noWrap/>
            <w:vAlign w:val="bottom"/>
            <w:hideMark/>
          </w:tcPr>
          <w:p w14:paraId="12700196" w14:textId="77777777" w:rsidR="00255C6A" w:rsidRPr="005550B3" w:rsidRDefault="00255C6A" w:rsidP="00182C85">
            <w:pPr>
              <w:keepLines/>
              <w:spacing w:beforeLines="20" w:before="48" w:afterLines="20" w:after="48" w:line="240" w:lineRule="auto"/>
              <w:rPr>
                <w:rFonts w:ascii="Times New Roman" w:hAnsi="Times New Roman" w:cs="Times New Roman"/>
                <w:noProof/>
                <w:color w:val="000000"/>
                <w:sz w:val="20"/>
                <w:szCs w:val="20"/>
              </w:rPr>
            </w:pPr>
            <w:r>
              <w:rPr>
                <w:rFonts w:ascii="Times New Roman" w:hAnsi="Times New Roman"/>
                <w:noProof/>
                <w:color w:val="000000"/>
                <w:sz w:val="20"/>
              </w:rPr>
              <w:t>x</w:t>
            </w:r>
          </w:p>
        </w:tc>
        <w:tc>
          <w:tcPr>
            <w:tcW w:w="992" w:type="dxa"/>
            <w:shd w:val="clear" w:color="auto" w:fill="auto"/>
            <w:noWrap/>
            <w:vAlign w:val="bottom"/>
            <w:hideMark/>
          </w:tcPr>
          <w:p w14:paraId="6DF98C04" w14:textId="7798B81A" w:rsidR="00255C6A" w:rsidRPr="00624441" w:rsidRDefault="00934E34"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sz w:val="16"/>
              </w:rPr>
              <w:t>2018-as ellenőrzés</w:t>
            </w:r>
          </w:p>
        </w:tc>
        <w:tc>
          <w:tcPr>
            <w:tcW w:w="850" w:type="dxa"/>
            <w:shd w:val="clear" w:color="auto" w:fill="auto"/>
            <w:noWrap/>
            <w:vAlign w:val="bottom"/>
            <w:hideMark/>
          </w:tcPr>
          <w:p w14:paraId="197D5BF5" w14:textId="77777777" w:rsidR="00255C6A" w:rsidRPr="00624441" w:rsidRDefault="00255C6A" w:rsidP="00182C85">
            <w:pPr>
              <w:keepLines/>
              <w:spacing w:beforeLines="20" w:before="48" w:afterLines="20" w:after="48" w:line="240" w:lineRule="auto"/>
              <w:rPr>
                <w:rFonts w:ascii="Times New Roman" w:hAnsi="Times New Roman" w:cs="Times New Roman"/>
                <w:noProof/>
                <w:color w:val="000000"/>
              </w:rPr>
            </w:pPr>
            <w:r>
              <w:rPr>
                <w:rFonts w:ascii="Times New Roman" w:hAnsi="Times New Roman"/>
                <w:noProof/>
                <w:color w:val="000000"/>
              </w:rPr>
              <w:t> </w:t>
            </w:r>
          </w:p>
        </w:tc>
      </w:tr>
      <w:tr w:rsidR="00255C6A" w:rsidRPr="00255C6A" w14:paraId="6BDA1D8E" w14:textId="77777777" w:rsidTr="00182C85">
        <w:trPr>
          <w:cantSplit/>
          <w:trHeight w:val="300"/>
        </w:trPr>
        <w:tc>
          <w:tcPr>
            <w:tcW w:w="1124" w:type="dxa"/>
            <w:shd w:val="clear" w:color="auto" w:fill="BFBFBF" w:themeFill="background1" w:themeFillShade="BF"/>
            <w:noWrap/>
            <w:vAlign w:val="bottom"/>
          </w:tcPr>
          <w:p w14:paraId="49331548" w14:textId="77777777" w:rsidR="00255C6A" w:rsidRPr="00255C6A" w:rsidRDefault="00255C6A" w:rsidP="00182C85">
            <w:pPr>
              <w:keepLines/>
              <w:spacing w:beforeLines="20" w:before="48" w:afterLines="20" w:after="48" w:line="240" w:lineRule="auto"/>
              <w:rPr>
                <w:rFonts w:ascii="Times New Roman" w:hAnsi="Times New Roman" w:cs="Times New Roman"/>
                <w:b/>
                <w:bCs/>
                <w:noProof/>
                <w:color w:val="000000"/>
              </w:rPr>
            </w:pPr>
            <w:r>
              <w:rPr>
                <w:rFonts w:ascii="Times New Roman" w:hAnsi="Times New Roman"/>
                <w:b/>
                <w:noProof/>
                <w:color w:val="000000"/>
              </w:rPr>
              <w:t xml:space="preserve">Összesen </w:t>
            </w:r>
          </w:p>
        </w:tc>
        <w:tc>
          <w:tcPr>
            <w:tcW w:w="1560" w:type="dxa"/>
            <w:gridSpan w:val="2"/>
            <w:shd w:val="clear" w:color="auto" w:fill="BFBFBF" w:themeFill="background1" w:themeFillShade="BF"/>
            <w:noWrap/>
            <w:vAlign w:val="bottom"/>
          </w:tcPr>
          <w:p w14:paraId="47C4527B" w14:textId="77777777" w:rsidR="00255C6A" w:rsidRPr="005550B3" w:rsidRDefault="00255C6A" w:rsidP="00182C85">
            <w:pPr>
              <w:keepLines/>
              <w:spacing w:beforeLines="20" w:before="48" w:afterLines="20" w:after="48" w:line="240" w:lineRule="auto"/>
              <w:rPr>
                <w:rFonts w:ascii="Times New Roman" w:hAnsi="Times New Roman" w:cs="Times New Roman"/>
                <w:b/>
                <w:noProof/>
                <w:color w:val="000000"/>
              </w:rPr>
            </w:pPr>
            <w:r>
              <w:rPr>
                <w:rFonts w:ascii="Times New Roman" w:hAnsi="Times New Roman"/>
                <w:b/>
                <w:noProof/>
                <w:color w:val="000000"/>
              </w:rPr>
              <w:t>28</w:t>
            </w:r>
          </w:p>
        </w:tc>
        <w:tc>
          <w:tcPr>
            <w:tcW w:w="1559" w:type="dxa"/>
            <w:shd w:val="clear" w:color="auto" w:fill="BFBFBF" w:themeFill="background1" w:themeFillShade="BF"/>
          </w:tcPr>
          <w:p w14:paraId="519D2507" w14:textId="77777777" w:rsidR="00255C6A" w:rsidRPr="005550B3" w:rsidRDefault="00255C6A" w:rsidP="00182C85">
            <w:pPr>
              <w:keepLines/>
              <w:spacing w:beforeLines="20" w:before="48" w:afterLines="20" w:after="48" w:line="240" w:lineRule="auto"/>
              <w:rPr>
                <w:rFonts w:ascii="Times New Roman" w:hAnsi="Times New Roman" w:cs="Times New Roman"/>
                <w:b/>
                <w:noProof/>
                <w:color w:val="000000"/>
              </w:rPr>
            </w:pPr>
            <w:r>
              <w:rPr>
                <w:rFonts w:ascii="Times New Roman" w:hAnsi="Times New Roman"/>
                <w:b/>
                <w:noProof/>
                <w:color w:val="000000"/>
              </w:rPr>
              <w:t>28</w:t>
            </w:r>
          </w:p>
        </w:tc>
        <w:tc>
          <w:tcPr>
            <w:tcW w:w="1276" w:type="dxa"/>
            <w:shd w:val="clear" w:color="auto" w:fill="BFBFBF" w:themeFill="background1" w:themeFillShade="BF"/>
          </w:tcPr>
          <w:p w14:paraId="14A27069" w14:textId="77777777" w:rsidR="00255C6A" w:rsidRPr="005550B3" w:rsidRDefault="00255C6A" w:rsidP="00182C85">
            <w:pPr>
              <w:keepLines/>
              <w:spacing w:beforeLines="20" w:before="48" w:afterLines="20" w:after="48" w:line="240" w:lineRule="auto"/>
              <w:rPr>
                <w:rFonts w:ascii="Times New Roman" w:hAnsi="Times New Roman" w:cs="Times New Roman"/>
                <w:b/>
                <w:noProof/>
                <w:color w:val="000000"/>
              </w:rPr>
            </w:pPr>
            <w:r>
              <w:rPr>
                <w:rFonts w:ascii="Times New Roman" w:hAnsi="Times New Roman"/>
                <w:b/>
                <w:noProof/>
                <w:color w:val="000000"/>
              </w:rPr>
              <w:t>6</w:t>
            </w:r>
          </w:p>
        </w:tc>
        <w:tc>
          <w:tcPr>
            <w:tcW w:w="1134" w:type="dxa"/>
            <w:shd w:val="clear" w:color="auto" w:fill="BFBFBF" w:themeFill="background1" w:themeFillShade="BF"/>
          </w:tcPr>
          <w:p w14:paraId="36BF3114" w14:textId="77777777" w:rsidR="00255C6A" w:rsidRPr="005550B3" w:rsidRDefault="00255C6A" w:rsidP="00182C85">
            <w:pPr>
              <w:keepLines/>
              <w:spacing w:beforeLines="20" w:before="48" w:afterLines="20" w:after="48" w:line="240" w:lineRule="auto"/>
              <w:rPr>
                <w:rFonts w:ascii="Times New Roman" w:hAnsi="Times New Roman" w:cs="Times New Roman"/>
                <w:b/>
                <w:noProof/>
                <w:color w:val="000000"/>
              </w:rPr>
            </w:pPr>
            <w:r>
              <w:rPr>
                <w:rFonts w:ascii="Times New Roman" w:hAnsi="Times New Roman"/>
                <w:b/>
                <w:noProof/>
                <w:color w:val="000000"/>
              </w:rPr>
              <w:t>2</w:t>
            </w:r>
          </w:p>
        </w:tc>
        <w:tc>
          <w:tcPr>
            <w:tcW w:w="1134" w:type="dxa"/>
            <w:shd w:val="clear" w:color="auto" w:fill="BFBFBF" w:themeFill="background1" w:themeFillShade="BF"/>
            <w:noWrap/>
            <w:vAlign w:val="bottom"/>
          </w:tcPr>
          <w:p w14:paraId="5FCAAA4D" w14:textId="77777777" w:rsidR="00255C6A" w:rsidRPr="005550B3" w:rsidRDefault="00255C6A" w:rsidP="00182C85">
            <w:pPr>
              <w:keepLines/>
              <w:spacing w:beforeLines="20" w:before="48" w:afterLines="20" w:after="48" w:line="240" w:lineRule="auto"/>
              <w:rPr>
                <w:rFonts w:ascii="Times New Roman" w:hAnsi="Times New Roman" w:cs="Times New Roman"/>
                <w:b/>
                <w:noProof/>
                <w:color w:val="000000"/>
              </w:rPr>
            </w:pPr>
            <w:r>
              <w:rPr>
                <w:rFonts w:ascii="Times New Roman" w:hAnsi="Times New Roman"/>
                <w:b/>
                <w:noProof/>
                <w:color w:val="000000"/>
              </w:rPr>
              <w:t>28</w:t>
            </w:r>
          </w:p>
        </w:tc>
        <w:tc>
          <w:tcPr>
            <w:tcW w:w="992" w:type="dxa"/>
            <w:shd w:val="clear" w:color="auto" w:fill="BFBFBF" w:themeFill="background1" w:themeFillShade="BF"/>
            <w:noWrap/>
            <w:vAlign w:val="bottom"/>
          </w:tcPr>
          <w:p w14:paraId="7CF4243C" w14:textId="77777777" w:rsidR="00255C6A" w:rsidRPr="005550B3" w:rsidRDefault="00255C6A" w:rsidP="00182C85">
            <w:pPr>
              <w:keepLines/>
              <w:spacing w:beforeLines="20" w:before="48" w:afterLines="20" w:after="48" w:line="240" w:lineRule="auto"/>
              <w:rPr>
                <w:rFonts w:ascii="Times New Roman" w:hAnsi="Times New Roman" w:cs="Times New Roman"/>
                <w:b/>
                <w:noProof/>
                <w:color w:val="000000"/>
              </w:rPr>
            </w:pPr>
            <w:r>
              <w:rPr>
                <w:rFonts w:ascii="Times New Roman" w:hAnsi="Times New Roman"/>
                <w:b/>
                <w:noProof/>
                <w:color w:val="000000"/>
              </w:rPr>
              <w:t>21</w:t>
            </w:r>
          </w:p>
        </w:tc>
        <w:tc>
          <w:tcPr>
            <w:tcW w:w="850" w:type="dxa"/>
            <w:shd w:val="clear" w:color="auto" w:fill="BFBFBF" w:themeFill="background1" w:themeFillShade="BF"/>
            <w:noWrap/>
            <w:vAlign w:val="bottom"/>
          </w:tcPr>
          <w:p w14:paraId="3D1F10F3" w14:textId="77777777" w:rsidR="00255C6A" w:rsidRPr="005550B3" w:rsidRDefault="00EE293A" w:rsidP="00182C85">
            <w:pPr>
              <w:keepLines/>
              <w:spacing w:beforeLines="20" w:before="48" w:afterLines="20" w:after="48" w:line="240" w:lineRule="auto"/>
              <w:rPr>
                <w:rFonts w:ascii="Times New Roman" w:hAnsi="Times New Roman" w:cs="Times New Roman"/>
                <w:b/>
                <w:noProof/>
                <w:color w:val="000000"/>
              </w:rPr>
            </w:pPr>
            <w:r>
              <w:rPr>
                <w:rFonts w:ascii="Times New Roman" w:hAnsi="Times New Roman"/>
                <w:b/>
                <w:noProof/>
                <w:color w:val="000000"/>
              </w:rPr>
              <w:t>7</w:t>
            </w:r>
          </w:p>
        </w:tc>
      </w:tr>
    </w:tbl>
    <w:p w14:paraId="12CDB16D" w14:textId="77777777" w:rsidR="00AE4FD8" w:rsidRDefault="00AE4FD8" w:rsidP="00F8118D">
      <w:pPr>
        <w:rPr>
          <w:rFonts w:ascii="Times New Roman" w:hAnsi="Times New Roman"/>
          <w:b/>
          <w:noProof/>
          <w:sz w:val="24"/>
        </w:rPr>
      </w:pPr>
    </w:p>
    <w:p w14:paraId="63F29CA6" w14:textId="48056A59" w:rsidR="00B80839" w:rsidRDefault="00ED1765" w:rsidP="00F8118D">
      <w:pPr>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Számviteli kérdések</w:t>
      </w:r>
    </w:p>
    <w:p w14:paraId="6D7089BB" w14:textId="53490D9A" w:rsidR="00B80839" w:rsidRDefault="08E49044" w:rsidP="130CC94B">
      <w:pPr>
        <w:ind w:right="-46"/>
        <w:jc w:val="both"/>
        <w:rPr>
          <w:rFonts w:ascii="Times New Roman" w:hAnsi="Times New Roman" w:cs="Times New Roman"/>
          <w:noProof/>
          <w:sz w:val="24"/>
          <w:szCs w:val="24"/>
        </w:rPr>
      </w:pPr>
      <w:r>
        <w:rPr>
          <w:rFonts w:ascii="Times New Roman" w:hAnsi="Times New Roman"/>
          <w:noProof/>
          <w:sz w:val="24"/>
        </w:rPr>
        <w:t xml:space="preserve">A 2020–2021-es időszakban valamennyi tagállamban és az Egyesült Királyságban is végeztek ellenőrzéseket </w:t>
      </w:r>
      <w:r>
        <w:rPr>
          <w:rFonts w:ascii="Times New Roman" w:hAnsi="Times New Roman"/>
          <w:b/>
          <w:noProof/>
          <w:sz w:val="24"/>
        </w:rPr>
        <w:t>az A- és a B-számla</w:t>
      </w:r>
      <w:r w:rsidR="00177700" w:rsidRPr="0049267E">
        <w:rPr>
          <w:rFonts w:ascii="Times New Roman" w:hAnsi="Times New Roman" w:cs="Times New Roman"/>
          <w:noProof/>
          <w:sz w:val="24"/>
          <w:szCs w:val="24"/>
          <w:vertAlign w:val="superscript"/>
        </w:rPr>
        <w:footnoteReference w:id="12"/>
      </w:r>
      <w:r>
        <w:rPr>
          <w:rFonts w:ascii="Times New Roman" w:hAnsi="Times New Roman"/>
          <w:b/>
          <w:noProof/>
          <w:sz w:val="24"/>
        </w:rPr>
        <w:t>, valamint a kapcsolódó kimutatások megbízhatóságára</w:t>
      </w:r>
      <w:r>
        <w:rPr>
          <w:rFonts w:ascii="Times New Roman" w:hAnsi="Times New Roman"/>
          <w:noProof/>
          <w:sz w:val="24"/>
        </w:rPr>
        <w:t xml:space="preserve"> vonatkozóan. Ezen ellenőrzések következtetése az volt, hogy a kimutatások összeállítására alkalmazott eljárások megfelelnek az uniós jogszabályoknak, és biztosítják az EU pénzügyi érdekeinek védelmét. Az ezen ellenőrzéseket követően közölt megállapítások többek között a két számla közötti következetlenségekre, a vámtartozások késedelmes megállapítására és közlésére, a két számlára történő hibás könyvelésre, a kimutatások és mellékleteik helytelen kitöltésére, valamint a B-számláról való késedelmes törlésekre vonatkoznak.</w:t>
      </w:r>
    </w:p>
    <w:p w14:paraId="1160CDB0" w14:textId="7F0D8279" w:rsidR="00B80839" w:rsidRDefault="003F46DE" w:rsidP="00B80839">
      <w:pPr>
        <w:ind w:right="-46"/>
        <w:jc w:val="both"/>
        <w:rPr>
          <w:rFonts w:ascii="Times New Roman" w:hAnsi="Times New Roman" w:cs="Times New Roman"/>
          <w:noProof/>
          <w:sz w:val="24"/>
          <w:szCs w:val="24"/>
        </w:rPr>
      </w:pPr>
      <w:r>
        <w:rPr>
          <w:rFonts w:ascii="Times New Roman" w:hAnsi="Times New Roman"/>
          <w:b/>
          <w:noProof/>
          <w:sz w:val="24"/>
        </w:rPr>
        <w:t>Az A-számla és a B-számla vezetését</w:t>
      </w:r>
      <w:r>
        <w:rPr>
          <w:rFonts w:ascii="Times New Roman" w:hAnsi="Times New Roman"/>
          <w:noProof/>
          <w:sz w:val="24"/>
        </w:rPr>
        <w:t xml:space="preserve"> minden felkeresett tagállamban a fő vámügyi téma mellett második ellenőrzési témaként ellenőrizték. A 2019 és 2021 között folytatott ellenőrzések megerősítették, hogy a legtöbb hiba egyedi, a rendszeres hibák nem jellemzők. A megállapításokból eredő pénzügyi következményeket a tagállamok viselték.</w:t>
      </w:r>
    </w:p>
    <w:p w14:paraId="49BF8B10" w14:textId="77777777" w:rsidR="00B80839" w:rsidRDefault="0F19FAB3" w:rsidP="00B80839">
      <w:pPr>
        <w:ind w:right="-46"/>
        <w:jc w:val="both"/>
        <w:rPr>
          <w:rFonts w:ascii="Times New Roman" w:hAnsi="Times New Roman" w:cs="Times New Roman"/>
          <w:noProof/>
          <w:sz w:val="24"/>
          <w:szCs w:val="24"/>
        </w:rPr>
      </w:pPr>
      <w:r>
        <w:rPr>
          <w:rFonts w:ascii="Times New Roman" w:hAnsi="Times New Roman"/>
          <w:noProof/>
          <w:sz w:val="24"/>
        </w:rPr>
        <w:t>A helyzet összességében javult a Bizottság e témakörök terén végzett ellenőrzéseinek, valamint annak köszönhetően, hogy a tagállamokban továbbfejlesztették az elektronikus számviteli rendszereket, amelyek csökkentik a manuális beavatkozással kapcsolatos hibák kockázatát. A tagállamoknak azonban fokozniuk kell az A- és a B-számla gondos vezetésére irányuló erőfeszítéseiket, és a törvényben előírt összes információt rendelkezésre kell bocsátaniuk a kimutatások teljességének, egyértelműségének és átláthatóságának biztosításához.</w:t>
      </w:r>
    </w:p>
    <w:p w14:paraId="3C069C12" w14:textId="77777777" w:rsidR="00155864" w:rsidRPr="00155864" w:rsidRDefault="507C45DF" w:rsidP="00155864">
      <w:pPr>
        <w:ind w:right="-46"/>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Vámügyi kérdések (2019–2021)</w:t>
      </w:r>
    </w:p>
    <w:p w14:paraId="649E2605" w14:textId="77777777" w:rsidR="00B80839" w:rsidRPr="00B80839" w:rsidRDefault="157F7A37" w:rsidP="3CFA04E0">
      <w:pPr>
        <w:jc w:val="both"/>
        <w:rPr>
          <w:rFonts w:ascii="Times New Roman" w:hAnsi="Times New Roman" w:cs="Times New Roman"/>
          <w:noProof/>
          <w:sz w:val="24"/>
          <w:szCs w:val="24"/>
        </w:rPr>
      </w:pPr>
      <w:r>
        <w:rPr>
          <w:rFonts w:ascii="Times New Roman" w:hAnsi="Times New Roman"/>
          <w:noProof/>
          <w:sz w:val="24"/>
        </w:rPr>
        <w:t xml:space="preserve">Az ellenőrzések céljára az Unió pénzügyi érdekei szempontjából a legnagyobb kockázattal járó vámügyeket választották ki. </w:t>
      </w:r>
    </w:p>
    <w:p w14:paraId="22257299" w14:textId="77777777" w:rsidR="00B80839" w:rsidRPr="00B80839" w:rsidRDefault="11D760AE" w:rsidP="00B80839">
      <w:pPr>
        <w:jc w:val="both"/>
        <w:rPr>
          <w:rFonts w:ascii="Times New Roman" w:hAnsi="Times New Roman" w:cs="Times New Roman"/>
          <w:noProof/>
          <w:sz w:val="24"/>
          <w:szCs w:val="24"/>
        </w:rPr>
      </w:pPr>
      <w:r>
        <w:rPr>
          <w:rFonts w:ascii="Times New Roman" w:hAnsi="Times New Roman"/>
          <w:noProof/>
          <w:sz w:val="24"/>
        </w:rPr>
        <w:t>A hároméves időszak alatt az ellenőrzések a következőkre összpontosítottak:</w:t>
      </w:r>
    </w:p>
    <w:p w14:paraId="11AA16D3" w14:textId="77777777" w:rsidR="0075598B" w:rsidRPr="006C32C8" w:rsidRDefault="0FA24C31" w:rsidP="00910D16">
      <w:pPr>
        <w:pStyle w:val="ListParagraph"/>
        <w:numPr>
          <w:ilvl w:val="0"/>
          <w:numId w:val="12"/>
        </w:numPr>
        <w:spacing w:after="120"/>
        <w:ind w:left="641" w:hanging="357"/>
        <w:contextualSpacing w:val="0"/>
        <w:jc w:val="both"/>
        <w:rPr>
          <w:rFonts w:ascii="Times New Roman" w:hAnsi="Times New Roman" w:cs="Times New Roman"/>
          <w:noProof/>
          <w:sz w:val="24"/>
          <w:szCs w:val="24"/>
        </w:rPr>
      </w:pPr>
      <w:r>
        <w:rPr>
          <w:rFonts w:ascii="Times New Roman" w:hAnsi="Times New Roman"/>
          <w:noProof/>
          <w:sz w:val="24"/>
        </w:rPr>
        <w:t xml:space="preserve">a vámérték-ellenőrzési stratégia (2019, 2020, 2021), </w:t>
      </w:r>
    </w:p>
    <w:p w14:paraId="453A5BD1" w14:textId="77777777" w:rsidR="0075598B" w:rsidRPr="006C32C8" w:rsidRDefault="0FA24C31" w:rsidP="00910D16">
      <w:pPr>
        <w:pStyle w:val="ListParagraph"/>
        <w:numPr>
          <w:ilvl w:val="0"/>
          <w:numId w:val="12"/>
        </w:numPr>
        <w:spacing w:after="120"/>
        <w:ind w:left="641" w:hanging="357"/>
        <w:contextualSpacing w:val="0"/>
        <w:jc w:val="both"/>
        <w:rPr>
          <w:rFonts w:ascii="Times New Roman" w:hAnsi="Times New Roman" w:cs="Times New Roman"/>
          <w:noProof/>
          <w:sz w:val="24"/>
          <w:szCs w:val="24"/>
        </w:rPr>
      </w:pPr>
      <w:r>
        <w:rPr>
          <w:rFonts w:ascii="Times New Roman" w:hAnsi="Times New Roman"/>
          <w:noProof/>
          <w:sz w:val="24"/>
        </w:rPr>
        <w:t>a kötelező érvényű tarifális felvilágosítás (2019),</w:t>
      </w:r>
    </w:p>
    <w:p w14:paraId="6AE13F7C" w14:textId="77777777" w:rsidR="006C32C8" w:rsidRPr="006C32C8" w:rsidRDefault="11D760AE" w:rsidP="00910D16">
      <w:pPr>
        <w:pStyle w:val="ListParagraph"/>
        <w:numPr>
          <w:ilvl w:val="0"/>
          <w:numId w:val="12"/>
        </w:numPr>
        <w:spacing w:after="120"/>
        <w:ind w:left="641" w:hanging="357"/>
        <w:contextualSpacing w:val="0"/>
        <w:jc w:val="both"/>
        <w:rPr>
          <w:rFonts w:ascii="Times New Roman" w:hAnsi="Times New Roman" w:cs="Times New Roman"/>
          <w:noProof/>
          <w:sz w:val="24"/>
          <w:szCs w:val="24"/>
        </w:rPr>
      </w:pPr>
      <w:r>
        <w:rPr>
          <w:rFonts w:ascii="Times New Roman" w:hAnsi="Times New Roman"/>
          <w:noProof/>
          <w:sz w:val="24"/>
        </w:rPr>
        <w:t>a nagyvállalatokra vonatkozó ellenőrzési stratégia (2019, 2021),</w:t>
      </w:r>
    </w:p>
    <w:p w14:paraId="5E4D5ABA" w14:textId="77777777" w:rsidR="00B80839" w:rsidRPr="006C32C8" w:rsidRDefault="36E76C5D" w:rsidP="00910D16">
      <w:pPr>
        <w:pStyle w:val="ListParagraph"/>
        <w:numPr>
          <w:ilvl w:val="0"/>
          <w:numId w:val="12"/>
        </w:numPr>
        <w:spacing w:after="120"/>
        <w:ind w:left="641" w:hanging="357"/>
        <w:contextualSpacing w:val="0"/>
        <w:jc w:val="both"/>
        <w:rPr>
          <w:rFonts w:ascii="Times New Roman" w:hAnsi="Times New Roman" w:cs="Times New Roman"/>
          <w:noProof/>
          <w:sz w:val="24"/>
          <w:szCs w:val="24"/>
        </w:rPr>
      </w:pPr>
      <w:r>
        <w:rPr>
          <w:rFonts w:ascii="Times New Roman" w:hAnsi="Times New Roman"/>
          <w:noProof/>
          <w:sz w:val="24"/>
        </w:rPr>
        <w:t>a dömpingellenes és kiegyenlítő vámokra vonatkozó ellenőrzési stratégia (2021).</w:t>
      </w:r>
    </w:p>
    <w:p w14:paraId="589E73F3" w14:textId="77777777" w:rsidR="00B80839" w:rsidRPr="00B80839" w:rsidRDefault="00B80839" w:rsidP="3CFA04E0">
      <w:pPr>
        <w:ind w:left="567" w:hanging="283"/>
        <w:jc w:val="both"/>
        <w:rPr>
          <w:rFonts w:ascii="Times New Roman" w:hAnsi="Times New Roman" w:cs="Times New Roman"/>
          <w:noProof/>
          <w:sz w:val="24"/>
          <w:szCs w:val="24"/>
        </w:rPr>
      </w:pPr>
    </w:p>
    <w:p w14:paraId="51D31E13" w14:textId="77777777" w:rsidR="006521FF" w:rsidRDefault="211E1831" w:rsidP="00177700">
      <w:pPr>
        <w:jc w:val="both"/>
        <w:rPr>
          <w:rFonts w:ascii="Times New Roman" w:hAnsi="Times New Roman" w:cs="Times New Roman"/>
          <w:noProof/>
          <w:sz w:val="24"/>
          <w:szCs w:val="24"/>
        </w:rPr>
      </w:pPr>
      <w:r>
        <w:rPr>
          <w:rFonts w:ascii="Times New Roman" w:hAnsi="Times New Roman"/>
          <w:noProof/>
          <w:sz w:val="24"/>
        </w:rPr>
        <w:t xml:space="preserve">2019-ben, 2020-ban és 2021-ben </w:t>
      </w:r>
      <w:r>
        <w:rPr>
          <w:rFonts w:ascii="Times New Roman" w:hAnsi="Times New Roman"/>
          <w:b/>
          <w:noProof/>
          <w:sz w:val="24"/>
        </w:rPr>
        <w:t xml:space="preserve">a vámérték-ellenőrzési stratégia </w:t>
      </w:r>
      <w:r>
        <w:rPr>
          <w:rFonts w:ascii="Times New Roman" w:hAnsi="Times New Roman"/>
          <w:noProof/>
          <w:sz w:val="24"/>
        </w:rPr>
        <w:t>továbbra is jelentős kockázatot jelentett a tagállamok pénzügyeire és az uniós költségvetésre nézve, amint azt a korábbi TOR-ellenőrzések és az OLAF vizsgálatai is mutatják</w:t>
      </w:r>
      <w:r w:rsidR="3D4B1B9A" w:rsidRPr="130CC94B">
        <w:rPr>
          <w:rFonts w:ascii="Times New Roman" w:hAnsi="Times New Roman" w:cs="Times New Roman"/>
          <w:noProof/>
          <w:sz w:val="24"/>
          <w:szCs w:val="24"/>
          <w:vertAlign w:val="superscript"/>
        </w:rPr>
        <w:footnoteReference w:id="13"/>
      </w:r>
      <w:r>
        <w:rPr>
          <w:rFonts w:ascii="Times New Roman" w:hAnsi="Times New Roman"/>
          <w:noProof/>
          <w:sz w:val="24"/>
        </w:rPr>
        <w:t>. Ezt a témát az összes tagállamban és az Egyesült Királyságban 44 ellenőrzés során teljeskörűen értékelték vagy nyomon követték. A tagállamok ellenőrzési stratégiái általában véve jelentősen javultak: kialakították a vámértékre vonatkozó megfelelő kockázati profilokat, kétség esetén biztosítékokat kérnek az áru átengedése előtt, és megerősítették az átadás előtti és utáni ellenőrzéseket. Ennek eredményeként a Kínai Népköztársaságból származó alulértékelt textiltermékek és lábbelik behozatalának negatív hatása az egész EU-ban jelentősen csökkent.</w:t>
      </w:r>
    </w:p>
    <w:p w14:paraId="2B358EDA" w14:textId="77777777" w:rsidR="00BC1F48" w:rsidRDefault="00DC5781" w:rsidP="001C3E30">
      <w:pPr>
        <w:jc w:val="both"/>
        <w:rPr>
          <w:rFonts w:ascii="Times New Roman" w:hAnsi="Times New Roman" w:cs="Times New Roman"/>
          <w:noProof/>
          <w:sz w:val="24"/>
          <w:szCs w:val="24"/>
        </w:rPr>
      </w:pPr>
      <w:r>
        <w:rPr>
          <w:rFonts w:ascii="Times New Roman" w:hAnsi="Times New Roman"/>
          <w:noProof/>
          <w:sz w:val="24"/>
        </w:rPr>
        <w:t>Ezt a nagyon pozitív tendenciát a legutóbbi behozatali adatok elemzése is megerősíti:</w:t>
      </w:r>
    </w:p>
    <w:p w14:paraId="40B613C4" w14:textId="76E77107" w:rsidR="005C29E6" w:rsidRDefault="00DC5781" w:rsidP="001C3E30">
      <w:pPr>
        <w:jc w:val="both"/>
        <w:rPr>
          <w:rFonts w:ascii="Times New Roman" w:hAnsi="Times New Roman" w:cs="Times New Roman"/>
          <w:noProof/>
          <w:sz w:val="24"/>
          <w:szCs w:val="24"/>
        </w:rPr>
      </w:pPr>
      <w:r>
        <w:rPr>
          <w:rFonts w:ascii="Times New Roman" w:hAnsi="Times New Roman"/>
          <w:noProof/>
          <w:sz w:val="24"/>
        </w:rPr>
        <w:t xml:space="preserve">2014 márciusában, miután az OLAF végrehajtotta az alulértékelt textiltermékek és lábbelik behozatalára irányuló, </w:t>
      </w:r>
      <w:r>
        <w:rPr>
          <w:rFonts w:ascii="Times New Roman" w:hAnsi="Times New Roman"/>
          <w:i/>
          <w:noProof/>
          <w:sz w:val="24"/>
        </w:rPr>
        <w:t>Snake</w:t>
      </w:r>
      <w:r>
        <w:rPr>
          <w:rFonts w:ascii="Times New Roman" w:hAnsi="Times New Roman"/>
          <w:noProof/>
          <w:sz w:val="24"/>
        </w:rPr>
        <w:t xml:space="preserve"> elnevezésű közös vámügyi műveletet, a behozatal volumene csökkent a tagállamokban, de az Egyesült Királyságban továbbra is nőtt. Ezen alulértékelt behozatalok többsége 2017 októberéig az Egyesült Királyságban koncentrálódott, amikor az Egyesült Királyság végre megkezdte a kért intézkedések végrehajtását (</w:t>
      </w:r>
      <w:r>
        <w:rPr>
          <w:rFonts w:ascii="Times New Roman" w:hAnsi="Times New Roman"/>
          <w:i/>
          <w:noProof/>
          <w:sz w:val="24"/>
        </w:rPr>
        <w:t>Swift Arrow</w:t>
      </w:r>
      <w:r>
        <w:rPr>
          <w:rFonts w:ascii="Times New Roman" w:hAnsi="Times New Roman"/>
          <w:noProof/>
          <w:sz w:val="24"/>
        </w:rPr>
        <w:t xml:space="preserve"> művelet). Míg ezt követően a szokásos importvolumen stabil maradt, az alulértékelt behozatal gyakorlatilag eltűnt az Egyesült Királyságban (1. ábra). </w:t>
      </w:r>
    </w:p>
    <w:p w14:paraId="2421267D" w14:textId="77777777" w:rsidR="00BC1F48" w:rsidRDefault="00BC1F48" w:rsidP="00B50513">
      <w:pPr>
        <w:jc w:val="both"/>
        <w:rPr>
          <w:rFonts w:ascii="Times New Roman" w:hAnsi="Times New Roman" w:cs="Times New Roman"/>
          <w:noProof/>
          <w:sz w:val="24"/>
          <w:szCs w:val="24"/>
        </w:rPr>
      </w:pPr>
      <w:r>
        <w:rPr>
          <w:rFonts w:ascii="Times New Roman" w:hAnsi="Times New Roman"/>
          <w:noProof/>
          <w:sz w:val="24"/>
        </w:rPr>
        <w:t>Ez azonban továbbgyűrűző hatást eredményezett, mivel 2018-ban potenciálisan alulértékelt importáruk kerültek át más tagállamokba (2. ábra). Ezért a 2018–2021-es időszakban végzett ellenőrzések nemcsak az EU pénzügyi érdekeinek védelmére összpontosítottak, hanem megerősítették a tagállamoknak az alulértékelés hatékony kezeléséhez és a további lehetséges továbbgyűrűző hatások elkerüléséhez nyújtott tanácsokat és iránymutatásokat is.</w:t>
      </w:r>
    </w:p>
    <w:p w14:paraId="748F6540" w14:textId="7BDA4E79" w:rsidR="002C7AA7" w:rsidRPr="005C29E6" w:rsidRDefault="00BC1F48">
      <w:pPr>
        <w:jc w:val="both"/>
        <w:rPr>
          <w:rFonts w:ascii="Times New Roman" w:hAnsi="Times New Roman" w:cs="Times New Roman"/>
          <w:noProof/>
          <w:sz w:val="24"/>
          <w:szCs w:val="24"/>
        </w:rPr>
      </w:pPr>
      <w:r>
        <w:rPr>
          <w:rFonts w:ascii="Times New Roman" w:hAnsi="Times New Roman"/>
          <w:noProof/>
          <w:sz w:val="24"/>
        </w:rPr>
        <w:t>Amint azt a 2. ábra szemlélteti, az alulértékeléssel kapcsolatos TOR-ellenőrzések rendkívül pozitív hatást gyakoroltak az alulértékelt behozatal volumenének csökkentésére az EU-ban, és ezáltal hatékonyan csökkentették a tradicionális saját források uniós költségvetést érintő veszteségeit.</w:t>
      </w:r>
    </w:p>
    <w:p w14:paraId="570E98FB" w14:textId="77777777" w:rsidR="006117F5" w:rsidRDefault="006117F5">
      <w:pPr>
        <w:spacing w:after="0"/>
        <w:rPr>
          <w:rFonts w:ascii="Times New Roman" w:hAnsi="Times New Roman" w:cs="Times New Roman"/>
          <w:b/>
          <w:noProof/>
          <w:sz w:val="24"/>
          <w:szCs w:val="24"/>
        </w:rPr>
      </w:pPr>
    </w:p>
    <w:p w14:paraId="3C2C3E6A" w14:textId="35082758" w:rsidR="00267390" w:rsidRPr="00B3511C" w:rsidRDefault="00267390" w:rsidP="00AB4BC2">
      <w:pPr>
        <w:keepNext/>
        <w:spacing w:after="0"/>
        <w:rPr>
          <w:rFonts w:ascii="Times New Roman" w:hAnsi="Times New Roman" w:cs="Times New Roman"/>
          <w:noProof/>
          <w:sz w:val="24"/>
          <w:szCs w:val="24"/>
        </w:rPr>
      </w:pPr>
      <w:r>
        <w:rPr>
          <w:rFonts w:ascii="Times New Roman" w:hAnsi="Times New Roman"/>
          <w:b/>
          <w:noProof/>
          <w:sz w:val="24"/>
        </w:rPr>
        <w:t>1. ábra:</w:t>
      </w:r>
      <w:r>
        <w:rPr>
          <w:rFonts w:ascii="Times New Roman" w:hAnsi="Times New Roman"/>
          <w:noProof/>
          <w:sz w:val="24"/>
        </w:rPr>
        <w:t xml:space="preserve"> Alulértékelt textiltermékek és lábbelik behozatalának volumene az Egyesült Királyságban</w:t>
      </w:r>
    </w:p>
    <w:p w14:paraId="08632D39" w14:textId="5CFBCD81" w:rsidR="00822891" w:rsidRDefault="00AB4BC2" w:rsidP="005D1B5F">
      <w:pPr>
        <w:jc w:val="center"/>
        <w:rPr>
          <w:rFonts w:ascii="Times New Roman" w:hAnsi="Times New Roman" w:cs="Times New Roman"/>
          <w:noProof/>
          <w:sz w:val="24"/>
          <w:szCs w:val="24"/>
        </w:rPr>
      </w:pPr>
      <w:r w:rsidRPr="00AB4BC2">
        <w:rPr>
          <w:noProof/>
          <w:lang w:val="en-GB" w:eastAsia="en-GB"/>
        </w:rPr>
        <w:drawing>
          <wp:inline distT="0" distB="0" distL="0" distR="0" wp14:anchorId="00D80769" wp14:editId="066C4BA5">
            <wp:extent cx="4572000" cy="33768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4267" cy="3385911"/>
                    </a:xfrm>
                    <a:prstGeom prst="rect">
                      <a:avLst/>
                    </a:prstGeom>
                    <a:noFill/>
                    <a:ln>
                      <a:noFill/>
                    </a:ln>
                  </pic:spPr>
                </pic:pic>
              </a:graphicData>
            </a:graphic>
          </wp:inline>
        </w:drawing>
      </w:r>
    </w:p>
    <w:p w14:paraId="5FCA8679" w14:textId="77777777" w:rsidR="00822891" w:rsidRPr="00B3511C" w:rsidRDefault="00DC5781" w:rsidP="00AB4BC2">
      <w:pPr>
        <w:keepNext/>
        <w:jc w:val="both"/>
        <w:rPr>
          <w:rFonts w:ascii="Times New Roman" w:hAnsi="Times New Roman" w:cs="Times New Roman"/>
          <w:b/>
          <w:noProof/>
          <w:sz w:val="24"/>
          <w:szCs w:val="24"/>
        </w:rPr>
      </w:pPr>
      <w:r>
        <w:rPr>
          <w:rFonts w:ascii="Times New Roman" w:hAnsi="Times New Roman"/>
          <w:b/>
          <w:noProof/>
          <w:sz w:val="24"/>
        </w:rPr>
        <w:t>2. ábra: A potenciálisan alulértékelt behozatal volumenei (millió kg)</w:t>
      </w:r>
    </w:p>
    <w:p w14:paraId="453DB629" w14:textId="792670B8" w:rsidR="00267390" w:rsidRDefault="00EC5EDD" w:rsidP="130CC94B">
      <w:pPr>
        <w:jc w:val="both"/>
        <w:rPr>
          <w:rFonts w:ascii="Times New Roman" w:hAnsi="Times New Roman" w:cs="Times New Roman"/>
          <w:noProof/>
          <w:sz w:val="24"/>
          <w:szCs w:val="24"/>
        </w:rPr>
      </w:pPr>
      <w:r w:rsidRPr="00EC5EDD">
        <w:rPr>
          <w:noProof/>
          <w:lang w:val="en-GB" w:eastAsia="en-GB"/>
        </w:rPr>
        <w:drawing>
          <wp:inline distT="0" distB="0" distL="0" distR="0" wp14:anchorId="0DE00E10" wp14:editId="2B1EE6EF">
            <wp:extent cx="5731510" cy="2620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620896"/>
                    </a:xfrm>
                    <a:prstGeom prst="rect">
                      <a:avLst/>
                    </a:prstGeom>
                    <a:noFill/>
                    <a:ln>
                      <a:noFill/>
                    </a:ln>
                  </pic:spPr>
                </pic:pic>
              </a:graphicData>
            </a:graphic>
          </wp:inline>
        </w:drawing>
      </w:r>
    </w:p>
    <w:p w14:paraId="6B820A73" w14:textId="5607DF27" w:rsidR="53A54F5F" w:rsidRDefault="30CA151C" w:rsidP="130CC94B">
      <w:pPr>
        <w:jc w:val="both"/>
        <w:rPr>
          <w:rFonts w:ascii="Times New Roman" w:eastAsia="Times New Roman" w:hAnsi="Times New Roman" w:cs="Times New Roman"/>
          <w:noProof/>
          <w:sz w:val="24"/>
          <w:szCs w:val="24"/>
        </w:rPr>
      </w:pPr>
      <w:r>
        <w:rPr>
          <w:rFonts w:ascii="Times New Roman" w:hAnsi="Times New Roman"/>
          <w:noProof/>
          <w:sz w:val="24"/>
        </w:rPr>
        <w:t xml:space="preserve">2019-ben hat tagállamban ellenőrizték </w:t>
      </w:r>
      <w:r>
        <w:rPr>
          <w:rFonts w:ascii="Times New Roman" w:hAnsi="Times New Roman"/>
          <w:b/>
          <w:noProof/>
          <w:sz w:val="24"/>
        </w:rPr>
        <w:t>a kötelező érvényű tarifális felvilágosítást (KTF)</w:t>
      </w:r>
      <w:r>
        <w:rPr>
          <w:rFonts w:ascii="Times New Roman" w:hAnsi="Times New Roman"/>
          <w:noProof/>
          <w:sz w:val="24"/>
        </w:rPr>
        <w:t>. Az ellenőrzések célja a KTF-határozatok kiadására és felhasználására vonatkozó uniós szabályoknak való megfelelés biztosítása volt. A feltárt hiányosságok nem jártak jelentős pénzügyi következményekkel az uniós költségvetésre nézve. A hiányosságok főként az előírt határidők be nem tartásához, a helytelen állapotkód használatához, az érvénytelenített KTF-ekkel kapcsolatos vámellenőrzések hiányához, az áruk átengedése előtti és utáni, KTF-ekkel kapcsolatos ellenőrzések alacsony szintjéhez, a szolgálatok közötti elégtelen kommunikációhoz és az ellenőrzés minőségének regionális különbségeihez kapcsolódtak.</w:t>
      </w:r>
    </w:p>
    <w:p w14:paraId="76D7C985" w14:textId="6F61909C" w:rsidR="107EE197" w:rsidRDefault="57233325" w:rsidP="002A7EEF">
      <w:pPr>
        <w:jc w:val="both"/>
        <w:rPr>
          <w:rFonts w:ascii="Times New Roman" w:eastAsia="Times New Roman" w:hAnsi="Times New Roman" w:cs="Times New Roman"/>
          <w:noProof/>
          <w:sz w:val="24"/>
          <w:szCs w:val="24"/>
        </w:rPr>
      </w:pPr>
      <w:r>
        <w:rPr>
          <w:rFonts w:ascii="Times New Roman" w:hAnsi="Times New Roman"/>
          <w:noProof/>
          <w:sz w:val="24"/>
        </w:rPr>
        <w:t xml:space="preserve">2019-ben és 2021-ben </w:t>
      </w:r>
      <w:r>
        <w:rPr>
          <w:rFonts w:ascii="Times New Roman" w:hAnsi="Times New Roman"/>
          <w:b/>
          <w:noProof/>
          <w:sz w:val="24"/>
        </w:rPr>
        <w:t>a nagyvállalatokra vonatkozó ellenőrzési stratégiát</w:t>
      </w:r>
      <w:r>
        <w:rPr>
          <w:rFonts w:ascii="Times New Roman" w:hAnsi="Times New Roman"/>
          <w:noProof/>
          <w:sz w:val="24"/>
        </w:rPr>
        <w:t xml:space="preserve"> két tagállamban ellenőrizték, és az eredmények részben kielégítőek vagy nem kielégítőek voltak. Bár az ilyen típusú vállalkozások fontosak a tagállamok gazdasága számára, és megbízhatóbbnak tekinthetők, a vámhatóságoknak felettük is bizonyos szintű ellenőrzést vagy felügyeletet kell gyakorolniuk valamennyi tagállamban. A hiányosságok a kockázatelemzéssel, az áruátengedést megelőző és az áruátengedést követő alacsony szintű vagy nem létező ellenőrzésekkel, valamint a nemzeti vámszervezeten belüli belső felügyelet hiányával voltak kapcsolatosak. </w:t>
      </w:r>
    </w:p>
    <w:p w14:paraId="4F5AFB50" w14:textId="77777777" w:rsidR="2949CEF2" w:rsidRDefault="2C65DEF1" w:rsidP="130CC94B">
      <w:pPr>
        <w:jc w:val="both"/>
        <w:rPr>
          <w:rFonts w:ascii="Times New Roman" w:eastAsia="Times New Roman" w:hAnsi="Times New Roman" w:cs="Times New Roman"/>
          <w:noProof/>
          <w:sz w:val="24"/>
          <w:szCs w:val="24"/>
        </w:rPr>
      </w:pPr>
      <w:r>
        <w:rPr>
          <w:rFonts w:ascii="Times New Roman" w:hAnsi="Times New Roman"/>
          <w:noProof/>
          <w:sz w:val="24"/>
        </w:rPr>
        <w:t xml:space="preserve">2021-ben nyolc tagállamban ellenőrizték </w:t>
      </w:r>
      <w:r>
        <w:rPr>
          <w:rFonts w:ascii="Times New Roman" w:hAnsi="Times New Roman"/>
          <w:b/>
          <w:noProof/>
          <w:sz w:val="24"/>
        </w:rPr>
        <w:t>a dömpingellenes és kiegyenlítő vámokra vonatkozó ellenőrzési stratégiát</w:t>
      </w:r>
      <w:r>
        <w:rPr>
          <w:rFonts w:ascii="Times New Roman" w:hAnsi="Times New Roman"/>
          <w:noProof/>
          <w:sz w:val="24"/>
        </w:rPr>
        <w:t xml:space="preserve">. Az ellenőrzési rendszerek részben vagy általában véve kielégítőnek tekinthetők. A fő hiányosságok a kockázati profilok végre nem hajtásához vagy késedelmes végrehajtásához, a nem következetes ellenőrzésekhez, a végleges dömpingellenes vámok késedelmes megállapításához és rendelkezésre bocsátásához (beleértve a véglegessé váló ideiglenes vámokat is), az OLAF-tól kapott információk alapján a dömpingellenes/kiegyenlítő vámok késedelmes megállapításához vagy annak elmaradásához, valamint a dömpingellenes/kiegyenlítő vámok helytelen mértékének alkalmazásához kapcsolódtak. A tagállamok jelenleg az ellenőrzési jelentésekben az ellenőrzési rendszereik tekintetében előírt javításokat hajtják végre, ami hozzá fog járulni az uniós székhelyű vállalkozások további védelméhez. </w:t>
      </w:r>
    </w:p>
    <w:p w14:paraId="7067F99C" w14:textId="77777777" w:rsidR="00D528D4" w:rsidRDefault="00D528D4" w:rsidP="00D528D4">
      <w:pPr>
        <w:ind w:right="-46"/>
        <w:jc w:val="both"/>
        <w:rPr>
          <w:rFonts w:ascii="Times New Roman" w:hAnsi="Times New Roman" w:cs="Times New Roman"/>
          <w:b/>
          <w:noProof/>
          <w:sz w:val="24"/>
          <w:szCs w:val="24"/>
        </w:rPr>
      </w:pPr>
      <w:r>
        <w:rPr>
          <w:rFonts w:ascii="Times New Roman" w:hAnsi="Times New Roman"/>
          <w:b/>
          <w:noProof/>
          <w:sz w:val="24"/>
        </w:rPr>
        <w:t>3.3.</w:t>
      </w:r>
      <w:r>
        <w:rPr>
          <w:rFonts w:ascii="Times New Roman" w:hAnsi="Times New Roman"/>
          <w:b/>
          <w:noProof/>
          <w:sz w:val="24"/>
        </w:rPr>
        <w:tab/>
        <w:t>Az alulértékelt behozatalra vonatkozó végrehajtási stratégia</w:t>
      </w:r>
    </w:p>
    <w:p w14:paraId="5FDFD5CC" w14:textId="0E1F4DD2" w:rsidR="00D528D4" w:rsidRPr="002A7EEF" w:rsidRDefault="0D2B4939" w:rsidP="00D528D4">
      <w:pPr>
        <w:jc w:val="both"/>
        <w:rPr>
          <w:rFonts w:ascii="Times New Roman" w:hAnsi="Times New Roman" w:cs="Times New Roman"/>
          <w:noProof/>
          <w:sz w:val="24"/>
          <w:szCs w:val="24"/>
        </w:rPr>
      </w:pPr>
      <w:r>
        <w:rPr>
          <w:rFonts w:ascii="Times New Roman" w:hAnsi="Times New Roman"/>
          <w:noProof/>
          <w:sz w:val="24"/>
        </w:rPr>
        <w:t>2018. december 21-i levelében a Bizottság valamennyi tagállamot értesítette azon álláspontjáról, hogy a Kínai Népköztársaságból származó textiltermékekre és lábbelikre vonatkozóan megállapított és az uniós költségvetés rendelkezésére bocsátott vámok összege alulértékelés miatt valószínűleg nem volt helyes. Következésképpen a Bizottság nem számszerűsíthető fenntartást vezetett be a tradicionális saját forrásokat érintő, 2018. évi becsült veszteségekre vonatkozóan.</w:t>
      </w:r>
    </w:p>
    <w:p w14:paraId="2919E454" w14:textId="325D58F5" w:rsidR="00D528D4" w:rsidRPr="002A7EEF" w:rsidRDefault="7D36230A" w:rsidP="00D528D4">
      <w:pPr>
        <w:jc w:val="both"/>
        <w:rPr>
          <w:rFonts w:ascii="Times New Roman" w:hAnsi="Times New Roman" w:cs="Times New Roman"/>
          <w:noProof/>
          <w:sz w:val="24"/>
          <w:szCs w:val="24"/>
        </w:rPr>
      </w:pPr>
      <w:r>
        <w:rPr>
          <w:rFonts w:ascii="Times New Roman" w:hAnsi="Times New Roman"/>
          <w:noProof/>
          <w:sz w:val="24"/>
        </w:rPr>
        <w:t>Miután a Bizottság valamennyi tagállamban ellenőrizte a vámérték-ellenőrzési stratégiát, 2021. május 7-én minden tagállamnak levelet küldött, amelyben tájékoztatta az egyes tagállamokat a tradicionális saját források e tekintetben bekövetkező veszteségére vonatkozó előzetes becslésekről.</w:t>
      </w:r>
    </w:p>
    <w:p w14:paraId="61592F99" w14:textId="55739E89" w:rsidR="00A325CD" w:rsidRPr="00D528D4" w:rsidRDefault="00A325CD" w:rsidP="00A325CD">
      <w:pPr>
        <w:jc w:val="both"/>
        <w:rPr>
          <w:rFonts w:ascii="Times New Roman" w:hAnsi="Times New Roman" w:cs="Times New Roman"/>
          <w:noProof/>
          <w:sz w:val="24"/>
          <w:szCs w:val="24"/>
        </w:rPr>
      </w:pPr>
      <w:r>
        <w:rPr>
          <w:rFonts w:ascii="Times New Roman" w:hAnsi="Times New Roman"/>
          <w:noProof/>
          <w:sz w:val="24"/>
        </w:rPr>
        <w:t xml:space="preserve">A Bizottság tájékoztató levelét követően, de a Bíróság C-213/19. sz. ügyben hozott ítéletét megelőzően 21 tagállam 2021. december 31-ig fenntartással további, összesen több mint </w:t>
      </w:r>
      <w:r>
        <w:rPr>
          <w:rFonts w:ascii="Times New Roman" w:hAnsi="Times New Roman"/>
          <w:b/>
          <w:noProof/>
          <w:sz w:val="24"/>
        </w:rPr>
        <w:t>1,473 milliárd EUR</w:t>
      </w:r>
      <w:r>
        <w:rPr>
          <w:rFonts w:ascii="Times New Roman" w:hAnsi="Times New Roman"/>
          <w:noProof/>
          <w:sz w:val="24"/>
        </w:rPr>
        <w:t xml:space="preserve"> összegű TOR-t bocsátott rendelkezésre. </w:t>
      </w:r>
    </w:p>
    <w:p w14:paraId="3583EC8E" w14:textId="556F6D6F" w:rsidR="00D528D4" w:rsidRPr="00A135FA" w:rsidRDefault="45CCAD8C" w:rsidP="00D528D4">
      <w:pPr>
        <w:jc w:val="both"/>
        <w:rPr>
          <w:rFonts w:ascii="Times New Roman" w:hAnsi="Times New Roman" w:cs="Times New Roman"/>
          <w:noProof/>
          <w:sz w:val="24"/>
          <w:szCs w:val="24"/>
        </w:rPr>
      </w:pPr>
      <w:r>
        <w:rPr>
          <w:rFonts w:ascii="Times New Roman" w:hAnsi="Times New Roman"/>
          <w:noProof/>
          <w:sz w:val="24"/>
        </w:rPr>
        <w:t xml:space="preserve">A Bizottság által a tradicionális saját forrásokat érintő veszteségek becslésére alkalmazni kívánt statisztikai módszer az Egyesült Királysággal szemben indított kötelezettségszegési eljárás eredményétől függött, amely a 2022. március 8-i ítélethez vezetett (C-213/19. sz. ügy, Bizottság kontra Egyesült Királyság). A Bíróság jóváhagyta a Bizottság statisztikai módszerét. </w:t>
      </w:r>
    </w:p>
    <w:p w14:paraId="03C0E137" w14:textId="1289A443" w:rsidR="0046280F" w:rsidRPr="002A7EEF" w:rsidRDefault="45CCAD8C" w:rsidP="00D528D4">
      <w:pPr>
        <w:jc w:val="both"/>
        <w:rPr>
          <w:rFonts w:ascii="Times New Roman" w:hAnsi="Times New Roman" w:cs="Times New Roman"/>
          <w:noProof/>
          <w:sz w:val="24"/>
          <w:szCs w:val="24"/>
        </w:rPr>
      </w:pPr>
      <w:r>
        <w:rPr>
          <w:rFonts w:ascii="Times New Roman" w:hAnsi="Times New Roman"/>
          <w:noProof/>
          <w:sz w:val="24"/>
        </w:rPr>
        <w:t xml:space="preserve">A Bizottság a Bíróság C-213/19. sz. ügyben hozott ítéletével összhangban 2022-ben és 2023-ban is folytatta és folytatja a tradicionális saját forrásokat érintő veszteségek becslését. </w:t>
      </w:r>
    </w:p>
    <w:p w14:paraId="198CB0C8" w14:textId="77777777" w:rsidR="00D528D4" w:rsidRDefault="00D528D4" w:rsidP="00D528D4">
      <w:pPr>
        <w:ind w:right="-46"/>
        <w:jc w:val="both"/>
        <w:rPr>
          <w:rFonts w:ascii="Times New Roman" w:hAnsi="Times New Roman" w:cs="Times New Roman"/>
          <w:b/>
          <w:noProof/>
          <w:sz w:val="24"/>
          <w:szCs w:val="24"/>
        </w:rPr>
      </w:pPr>
      <w:r>
        <w:rPr>
          <w:rFonts w:ascii="Times New Roman" w:hAnsi="Times New Roman"/>
          <w:b/>
          <w:noProof/>
          <w:sz w:val="24"/>
        </w:rPr>
        <w:t>3.4.</w:t>
      </w:r>
      <w:r>
        <w:rPr>
          <w:rFonts w:ascii="Times New Roman" w:hAnsi="Times New Roman"/>
          <w:b/>
          <w:noProof/>
          <w:sz w:val="24"/>
        </w:rPr>
        <w:tab/>
        <w:t xml:space="preserve">Szolárpanelek </w:t>
      </w:r>
    </w:p>
    <w:p w14:paraId="4566AC2B" w14:textId="77777777" w:rsidR="00327C7B" w:rsidRPr="002A7EEF" w:rsidRDefault="255D6A5F" w:rsidP="71032FBC">
      <w:pPr>
        <w:jc w:val="both"/>
        <w:rPr>
          <w:rFonts w:ascii="Times New Roman" w:hAnsi="Times New Roman" w:cs="Times New Roman"/>
          <w:noProof/>
          <w:sz w:val="24"/>
          <w:szCs w:val="24"/>
        </w:rPr>
      </w:pPr>
      <w:r>
        <w:rPr>
          <w:rFonts w:ascii="Times New Roman" w:hAnsi="Times New Roman"/>
          <w:noProof/>
          <w:sz w:val="24"/>
        </w:rPr>
        <w:t xml:space="preserve">2018-ban és 2019-ben a Bizottság szolgálatai 10 tagállamban végeztek TOR-ellenőrzést, hogy értékeljék a Kínából, Malajziából és Tajvanról származóként bejelentett és piacvédelmi intézkedések (dömpingellenes és kiegyenlítő vámok) hatálya alá tartozó napelemmodulok és alapvető alkotóelemek behozatalára vonatkozó ellenőrzési stratégiájukat. </w:t>
      </w:r>
    </w:p>
    <w:p w14:paraId="4817EF05" w14:textId="05F44125" w:rsidR="00DF4D58" w:rsidRDefault="00330A4F" w:rsidP="00327C7B">
      <w:pPr>
        <w:jc w:val="both"/>
        <w:rPr>
          <w:rFonts w:ascii="Times New Roman" w:hAnsi="Times New Roman" w:cs="Times New Roman"/>
          <w:noProof/>
          <w:sz w:val="24"/>
          <w:szCs w:val="24"/>
        </w:rPr>
      </w:pPr>
      <w:r>
        <w:rPr>
          <w:rFonts w:ascii="Times New Roman" w:hAnsi="Times New Roman"/>
          <w:noProof/>
          <w:sz w:val="24"/>
        </w:rPr>
        <w:t xml:space="preserve">Az említett célzott ellenőrzések közül háromban feltárt, </w:t>
      </w:r>
      <w:r>
        <w:rPr>
          <w:rFonts w:ascii="Times New Roman" w:hAnsi="Times New Roman"/>
          <w:noProof/>
          <w:color w:val="333333"/>
          <w:sz w:val="24"/>
          <w:shd w:val="clear" w:color="auto" w:fill="FFFFFF"/>
        </w:rPr>
        <w:t>a 2016. február 11-i (EU) 2016/184 és (EU) 2016/185 bizottsági végrehajtási rendelet</w:t>
      </w:r>
      <w:r w:rsidR="000C381A" w:rsidRPr="002A7EEF">
        <w:rPr>
          <w:rStyle w:val="FootnoteReference"/>
          <w:rFonts w:ascii="Times New Roman" w:hAnsi="Times New Roman" w:cs="Times New Roman"/>
          <w:noProof/>
          <w:sz w:val="24"/>
          <w:szCs w:val="24"/>
        </w:rPr>
        <w:footnoteReference w:id="14"/>
      </w:r>
      <w:r>
        <w:rPr>
          <w:rFonts w:ascii="Times New Roman" w:hAnsi="Times New Roman"/>
          <w:noProof/>
          <w:sz w:val="24"/>
        </w:rPr>
        <w:t xml:space="preserve"> szerinti </w:t>
      </w:r>
      <w:r>
        <w:rPr>
          <w:rFonts w:ascii="Times New Roman" w:hAnsi="Times New Roman"/>
          <w:i/>
          <w:noProof/>
          <w:sz w:val="24"/>
        </w:rPr>
        <w:t>[helyen] feladott</w:t>
      </w:r>
      <w:r>
        <w:rPr>
          <w:rFonts w:ascii="Times New Roman" w:hAnsi="Times New Roman"/>
          <w:noProof/>
          <w:sz w:val="24"/>
        </w:rPr>
        <w:t xml:space="preserve"> kifejezés félreértelmezéséhez kapcsolódó visszatérő hiányosságok miatt a Költségvetési Főigazgatóság az ellenőrzéseit kiterjesztette az ugyanezen árukat a 2015. május 30-tól 2018. szeptember 3-ig tartó időszakban</w:t>
      </w:r>
      <w:r w:rsidR="004D193F">
        <w:rPr>
          <w:rStyle w:val="FootnoteReference"/>
          <w:rFonts w:ascii="Times New Roman" w:hAnsi="Times New Roman" w:cs="Times New Roman"/>
          <w:noProof/>
          <w:sz w:val="24"/>
          <w:szCs w:val="24"/>
        </w:rPr>
        <w:footnoteReference w:id="15"/>
      </w:r>
      <w:r>
        <w:rPr>
          <w:rFonts w:ascii="Times New Roman" w:hAnsi="Times New Roman"/>
          <w:noProof/>
          <w:sz w:val="24"/>
        </w:rPr>
        <w:t xml:space="preserve"> importáló valamennyi tagállamra. E tekintetben a Költségvetési Főigazgatóság 2021. június 1-jei levelében 21 tagállamot</w:t>
      </w:r>
      <w:r w:rsidR="004D193F" w:rsidRPr="005851B2">
        <w:rPr>
          <w:rStyle w:val="FootnoteReference"/>
          <w:rFonts w:ascii="Times New Roman" w:hAnsi="Times New Roman" w:cs="Times New Roman"/>
          <w:noProof/>
          <w:sz w:val="24"/>
          <w:szCs w:val="24"/>
        </w:rPr>
        <w:footnoteReference w:id="16"/>
      </w:r>
      <w:r>
        <w:rPr>
          <w:rFonts w:ascii="Times New Roman" w:hAnsi="Times New Roman"/>
          <w:noProof/>
          <w:sz w:val="24"/>
        </w:rPr>
        <w:t xml:space="preserve"> tájékoztatott a tradicionális saját forrásokat érintő azon lehetséges veszteségekről, amelyek a Malajziából és Tajvanról származóként bejelentett szolárpanelek és napelemek behozatalára vonatkozó, említett téves értelmezésből erednek. 2021. december 31-ig kilenc tagállam több mint </w:t>
      </w:r>
      <w:r>
        <w:rPr>
          <w:rFonts w:ascii="Times New Roman" w:hAnsi="Times New Roman"/>
          <w:b/>
          <w:noProof/>
          <w:sz w:val="24"/>
        </w:rPr>
        <w:t>647 millió</w:t>
      </w:r>
      <w:r>
        <w:rPr>
          <w:rFonts w:ascii="Times New Roman" w:hAnsi="Times New Roman"/>
          <w:noProof/>
          <w:sz w:val="24"/>
        </w:rPr>
        <w:t> </w:t>
      </w:r>
      <w:r>
        <w:rPr>
          <w:rFonts w:ascii="Times New Roman" w:hAnsi="Times New Roman"/>
          <w:b/>
          <w:noProof/>
          <w:sz w:val="24"/>
        </w:rPr>
        <w:t>EUR</w:t>
      </w:r>
      <w:r>
        <w:rPr>
          <w:rFonts w:ascii="Times New Roman" w:hAnsi="Times New Roman"/>
          <w:noProof/>
          <w:sz w:val="24"/>
        </w:rPr>
        <w:t>-t bocsátott rendelkezésre.</w:t>
      </w:r>
    </w:p>
    <w:p w14:paraId="6AE4C22B" w14:textId="290536E6" w:rsidR="00327C7B" w:rsidRDefault="058CC672" w:rsidP="00327C7B">
      <w:pPr>
        <w:jc w:val="both"/>
        <w:rPr>
          <w:rFonts w:ascii="Times New Roman" w:hAnsi="Times New Roman" w:cs="Times New Roman"/>
          <w:noProof/>
          <w:sz w:val="24"/>
          <w:szCs w:val="24"/>
        </w:rPr>
      </w:pPr>
      <w:r>
        <w:rPr>
          <w:rFonts w:ascii="Times New Roman" w:hAnsi="Times New Roman"/>
          <w:noProof/>
          <w:sz w:val="24"/>
        </w:rPr>
        <w:t>E hiányosság nyomon követése folyamatban van.</w:t>
      </w:r>
    </w:p>
    <w:p w14:paraId="64F9E3A8" w14:textId="719CA674" w:rsidR="002C7AA7" w:rsidRDefault="00CB5120" w:rsidP="00327C7B">
      <w:pPr>
        <w:jc w:val="both"/>
        <w:rPr>
          <w:rFonts w:ascii="Times New Roman" w:hAnsi="Times New Roman" w:cs="Times New Roman"/>
          <w:noProof/>
          <w:sz w:val="24"/>
          <w:szCs w:val="24"/>
        </w:rPr>
      </w:pPr>
      <w:r>
        <w:rPr>
          <w:rFonts w:ascii="Times New Roman" w:hAnsi="Times New Roman"/>
          <w:noProof/>
          <w:sz w:val="24"/>
        </w:rPr>
        <w:t xml:space="preserve">Végezetül ezen ellenőrzési tevékenységeken, a tagállamokkal való kapcsolattartáson és számos előadáson keresztül a Bizottság a Bíróság értelmezésének megfelelően tovább pontosította a vonatkozó uniós jogszabályokban szereplő </w:t>
      </w:r>
      <w:r>
        <w:rPr>
          <w:rFonts w:ascii="Times New Roman" w:hAnsi="Times New Roman"/>
          <w:i/>
          <w:noProof/>
          <w:sz w:val="24"/>
        </w:rPr>
        <w:t>feladott</w:t>
      </w:r>
      <w:r>
        <w:rPr>
          <w:rFonts w:ascii="Times New Roman" w:hAnsi="Times New Roman"/>
          <w:noProof/>
          <w:sz w:val="24"/>
        </w:rPr>
        <w:t xml:space="preserve"> kifejezés jelentését. Ez hozzájárult a tagállamok közötti egyenlő versenyfeltételekhez, valamint az uniós székhelyű vállalatok további védelméhez az ilyen behozatalokkal szemben. </w:t>
      </w:r>
    </w:p>
    <w:p w14:paraId="619F7D92" w14:textId="77777777" w:rsidR="00ED1765" w:rsidRPr="00ED1765" w:rsidRDefault="00ED1765" w:rsidP="00182C85">
      <w:pPr>
        <w:keepNext/>
        <w:spacing w:before="240"/>
        <w:jc w:val="both"/>
        <w:rPr>
          <w:rFonts w:ascii="Times New Roman" w:hAnsi="Times New Roman" w:cs="Times New Roman"/>
          <w:b/>
          <w:noProof/>
          <w:sz w:val="24"/>
          <w:szCs w:val="24"/>
        </w:rPr>
      </w:pPr>
      <w:r>
        <w:rPr>
          <w:rFonts w:ascii="Times New Roman" w:hAnsi="Times New Roman"/>
          <w:b/>
          <w:noProof/>
          <w:sz w:val="24"/>
        </w:rPr>
        <w:t>4.</w:t>
      </w:r>
      <w:r>
        <w:rPr>
          <w:rFonts w:ascii="Times New Roman" w:hAnsi="Times New Roman"/>
          <w:b/>
          <w:noProof/>
          <w:sz w:val="24"/>
        </w:rPr>
        <w:tab/>
        <w:t>A BIZOTTSÁG ELLENŐRZÉSEINEK NYOMON KÖVETÉSE</w:t>
      </w:r>
    </w:p>
    <w:p w14:paraId="3EA12634" w14:textId="77777777" w:rsidR="00ED1765" w:rsidRPr="002A7EEF" w:rsidRDefault="00ED1765" w:rsidP="59F611CA">
      <w:pPr>
        <w:jc w:val="both"/>
        <w:rPr>
          <w:rFonts w:ascii="Times New Roman" w:hAnsi="Times New Roman" w:cs="Times New Roman"/>
          <w:b/>
          <w:bCs/>
          <w:noProof/>
          <w:sz w:val="24"/>
          <w:szCs w:val="24"/>
        </w:rPr>
      </w:pPr>
      <w:r>
        <w:rPr>
          <w:rFonts w:ascii="Times New Roman" w:hAnsi="Times New Roman"/>
          <w:b/>
          <w:noProof/>
          <w:sz w:val="24"/>
        </w:rPr>
        <w:t>4.1.</w:t>
      </w:r>
      <w:r>
        <w:rPr>
          <w:noProof/>
        </w:rPr>
        <w:tab/>
      </w:r>
      <w:r>
        <w:rPr>
          <w:rFonts w:ascii="Times New Roman" w:hAnsi="Times New Roman"/>
          <w:b/>
          <w:noProof/>
          <w:sz w:val="24"/>
        </w:rPr>
        <w:t>Szabályozási következmények</w:t>
      </w:r>
    </w:p>
    <w:p w14:paraId="7E3CA824" w14:textId="1989C4C1" w:rsidR="0046280F" w:rsidRDefault="530DCD63" w:rsidP="59F611CA">
      <w:pPr>
        <w:jc w:val="both"/>
        <w:rPr>
          <w:rFonts w:ascii="Times New Roman" w:hAnsi="Times New Roman" w:cs="Times New Roman"/>
          <w:noProof/>
          <w:sz w:val="24"/>
          <w:szCs w:val="24"/>
        </w:rPr>
      </w:pPr>
      <w:r>
        <w:rPr>
          <w:rFonts w:ascii="Times New Roman" w:hAnsi="Times New Roman"/>
          <w:noProof/>
          <w:sz w:val="24"/>
        </w:rPr>
        <w:t>A Bizottság minden olyan esetben intézkedésre kérte a tagállamokat, amikor az ellenőrzések során hiányosságokat vagy joghézagokat tártak fel a nemzeti jogszabályokban vagy közigazgatási rendelkezésekben, hogy ezáltal összhangba hozzák azokat az uniós követelményekkel, és harmonizálják a tradicionális saját források megállapítását és beszedését a 27 tagállam között. Ez a szabályozási összehangolás a Bizottság által végzett ellenőrzések jelentős eredménye. A megállapítások a tagállamok által a vám- és sajátforrás-rendeletek alkalmazása során tapasztalt problémákra is rámutatnak, és információkkal szolgálnak a Bizottság szabályozási keret javítására irányuló folyamatos erőfeszítéseihez.</w:t>
      </w:r>
    </w:p>
    <w:p w14:paraId="780B6D47" w14:textId="77777777" w:rsidR="00ED1765" w:rsidRPr="002A7EEF" w:rsidRDefault="00ED1765" w:rsidP="130CC94B">
      <w:pPr>
        <w:jc w:val="both"/>
        <w:rPr>
          <w:rFonts w:ascii="Times New Roman" w:hAnsi="Times New Roman" w:cs="Times New Roman"/>
          <w:b/>
          <w:bCs/>
          <w:noProof/>
          <w:sz w:val="24"/>
          <w:szCs w:val="24"/>
        </w:rPr>
      </w:pPr>
      <w:r>
        <w:rPr>
          <w:rFonts w:ascii="Times New Roman" w:hAnsi="Times New Roman"/>
          <w:b/>
          <w:noProof/>
          <w:sz w:val="24"/>
        </w:rPr>
        <w:t>4.2.</w:t>
      </w:r>
      <w:r>
        <w:rPr>
          <w:noProof/>
        </w:rPr>
        <w:tab/>
      </w:r>
      <w:r>
        <w:rPr>
          <w:rFonts w:ascii="Times New Roman" w:hAnsi="Times New Roman"/>
          <w:b/>
          <w:noProof/>
          <w:sz w:val="24"/>
        </w:rPr>
        <w:t>Jogi következmények</w:t>
      </w:r>
    </w:p>
    <w:p w14:paraId="696C34E7" w14:textId="7DBC5BE3" w:rsidR="00E17392" w:rsidRPr="002A7EEF" w:rsidRDefault="7CA903A0" w:rsidP="130CC94B">
      <w:pPr>
        <w:jc w:val="both"/>
        <w:rPr>
          <w:rFonts w:ascii="Times New Roman" w:hAnsi="Times New Roman" w:cs="Times New Roman"/>
          <w:noProof/>
          <w:sz w:val="24"/>
          <w:szCs w:val="24"/>
        </w:rPr>
      </w:pPr>
      <w:r>
        <w:rPr>
          <w:rFonts w:ascii="Times New Roman" w:hAnsi="Times New Roman"/>
          <w:noProof/>
          <w:sz w:val="24"/>
        </w:rPr>
        <w:t>Néhány tagállamban a jogi rendelkezések értelmezése és az eljárások nem mindig felelnek meg a Bizottság követelményeinek. Amennyiben a vita nem oldható meg, a Bizottság kötelezettségszegési eljárást indít</w:t>
      </w:r>
      <w:r w:rsidR="008D130F">
        <w:rPr>
          <w:rStyle w:val="FootnoteReference"/>
          <w:rFonts w:ascii="Times New Roman" w:hAnsi="Times New Roman" w:cs="Times New Roman"/>
          <w:noProof/>
          <w:sz w:val="24"/>
          <w:szCs w:val="24"/>
        </w:rPr>
        <w:footnoteReference w:id="17"/>
      </w:r>
      <w:r>
        <w:rPr>
          <w:rFonts w:ascii="Times New Roman" w:hAnsi="Times New Roman"/>
          <w:noProof/>
          <w:sz w:val="24"/>
        </w:rPr>
        <w:t xml:space="preserve">. </w:t>
      </w:r>
    </w:p>
    <w:p w14:paraId="77366259" w14:textId="43D06B22" w:rsidR="008034DB" w:rsidRPr="002A7EEF" w:rsidRDefault="62D394F0" w:rsidP="29C3EAD6">
      <w:pPr>
        <w:jc w:val="both"/>
        <w:rPr>
          <w:rFonts w:ascii="Times New Roman" w:hAnsi="Times New Roman" w:cs="Times New Roman"/>
          <w:noProof/>
          <w:sz w:val="24"/>
          <w:szCs w:val="24"/>
        </w:rPr>
      </w:pPr>
      <w:r>
        <w:rPr>
          <w:rFonts w:ascii="Times New Roman" w:hAnsi="Times New Roman"/>
          <w:noProof/>
          <w:sz w:val="24"/>
        </w:rPr>
        <w:t>A 2019–2021-es időszakban tíz kötelezettségszegési eljárást indítottak meg, folytattak vagy zártak le (a részleteket lásd a mellékletben). Ezek közül a legfontosabb a textiltermékek és lábbelik alulértékelésével kapcsolatban az Egyesült Királyság ellen indított ügy (C-213/19), amelyben az Egyesült Királyság nem bocsátotta rendelkezésre az elvesztett saját források igen jelentős összegét.</w:t>
      </w:r>
    </w:p>
    <w:p w14:paraId="7C67E7C4" w14:textId="77777777" w:rsidR="00ED1765" w:rsidRPr="002A7EEF" w:rsidRDefault="48D31CBA" w:rsidP="29C3EAD6">
      <w:pPr>
        <w:jc w:val="both"/>
        <w:rPr>
          <w:rFonts w:ascii="Times New Roman" w:hAnsi="Times New Roman" w:cs="Times New Roman"/>
          <w:b/>
          <w:bCs/>
          <w:noProof/>
          <w:sz w:val="24"/>
          <w:szCs w:val="24"/>
        </w:rPr>
      </w:pPr>
      <w:r>
        <w:rPr>
          <w:rFonts w:ascii="Times New Roman" w:hAnsi="Times New Roman"/>
          <w:b/>
          <w:noProof/>
          <w:sz w:val="24"/>
        </w:rPr>
        <w:t>4.3.</w:t>
      </w:r>
      <w:r>
        <w:rPr>
          <w:noProof/>
        </w:rPr>
        <w:tab/>
      </w:r>
      <w:r>
        <w:rPr>
          <w:rFonts w:ascii="Times New Roman" w:hAnsi="Times New Roman"/>
          <w:b/>
          <w:noProof/>
          <w:sz w:val="24"/>
        </w:rPr>
        <w:t>Pénzügyi következmények</w:t>
      </w:r>
    </w:p>
    <w:p w14:paraId="393338B9" w14:textId="4760D45D" w:rsidR="00ED1765" w:rsidRPr="002A7EEF" w:rsidRDefault="498C5D4F" w:rsidP="29C3EAD6">
      <w:pPr>
        <w:jc w:val="both"/>
        <w:rPr>
          <w:rFonts w:ascii="Times New Roman" w:hAnsi="Times New Roman" w:cs="Times New Roman"/>
          <w:noProof/>
          <w:sz w:val="24"/>
          <w:szCs w:val="24"/>
        </w:rPr>
      </w:pPr>
      <w:r>
        <w:rPr>
          <w:rFonts w:ascii="Times New Roman" w:hAnsi="Times New Roman"/>
          <w:noProof/>
          <w:sz w:val="24"/>
        </w:rPr>
        <w:t xml:space="preserve">A 2019–2021-es időszak tekintetében összesen több mint </w:t>
      </w:r>
      <w:r>
        <w:rPr>
          <w:rFonts w:ascii="Times New Roman" w:hAnsi="Times New Roman"/>
          <w:b/>
          <w:noProof/>
          <w:sz w:val="24"/>
        </w:rPr>
        <w:t>2,54 milliárd EUR</w:t>
      </w:r>
      <w:r w:rsidR="003B62C0" w:rsidRPr="71032FBC">
        <w:rPr>
          <w:rStyle w:val="FootnoteReference"/>
          <w:rFonts w:ascii="Times New Roman" w:hAnsi="Times New Roman" w:cs="Times New Roman"/>
          <w:b/>
          <w:bCs/>
          <w:noProof/>
          <w:sz w:val="24"/>
          <w:szCs w:val="24"/>
        </w:rPr>
        <w:footnoteReference w:id="18"/>
      </w:r>
      <w:r>
        <w:rPr>
          <w:rFonts w:ascii="Times New Roman" w:hAnsi="Times New Roman"/>
          <w:b/>
          <w:noProof/>
          <w:sz w:val="24"/>
        </w:rPr>
        <w:t xml:space="preserve"> </w:t>
      </w:r>
      <w:r>
        <w:rPr>
          <w:rFonts w:ascii="Times New Roman" w:hAnsi="Times New Roman"/>
          <w:noProof/>
          <w:sz w:val="24"/>
        </w:rPr>
        <w:t>összegű további jogosultságot fizettek be a Bizottságnak, főként a textiltermékek és lábbelik alulértékelésével kapcsolatos végrehajtási stratégia, valamint a szolárpanelek miatt. A befizetések továbbá az ellenőrzési jelentésekben tett észrevételekkel és az egyéb ellenőrzési tevékenységekkel kapcsolatosan, valamint a Számvevőszék megállapításai és a tradicionális saját forrásokra vonatkozó kötelezettségszegési eljárásokkal kapcsolatos bírósági határozatok nyomon követésének eredményeként történtek.</w:t>
      </w:r>
    </w:p>
    <w:p w14:paraId="7D13E80C" w14:textId="77777777" w:rsidR="00ED1765" w:rsidRDefault="3751767B" w:rsidP="29C3EAD6">
      <w:pPr>
        <w:jc w:val="both"/>
        <w:rPr>
          <w:rFonts w:ascii="Times New Roman" w:hAnsi="Times New Roman" w:cs="Times New Roman"/>
          <w:noProof/>
          <w:sz w:val="24"/>
          <w:szCs w:val="24"/>
        </w:rPr>
      </w:pPr>
      <w:r>
        <w:rPr>
          <w:rFonts w:ascii="Times New Roman" w:hAnsi="Times New Roman"/>
          <w:noProof/>
          <w:sz w:val="24"/>
        </w:rPr>
        <w:t xml:space="preserve">A tagállamok által ezen időszak alatt fizetett késedelmi kamat összesen </w:t>
      </w:r>
      <w:r>
        <w:rPr>
          <w:rFonts w:ascii="Times New Roman" w:hAnsi="Times New Roman"/>
          <w:b/>
          <w:noProof/>
          <w:sz w:val="24"/>
        </w:rPr>
        <w:t>137 millió EUR</w:t>
      </w:r>
      <w:r>
        <w:rPr>
          <w:rFonts w:ascii="Times New Roman" w:hAnsi="Times New Roman"/>
          <w:noProof/>
          <w:sz w:val="24"/>
        </w:rPr>
        <w:t xml:space="preserve"> volt.</w:t>
      </w:r>
    </w:p>
    <w:p w14:paraId="7FBA0233" w14:textId="77777777" w:rsidR="00ED1765" w:rsidRPr="00ED1765" w:rsidRDefault="00ED1765" w:rsidP="007B5523">
      <w:pPr>
        <w:spacing w:before="240"/>
        <w:ind w:left="720" w:hanging="720"/>
        <w:jc w:val="both"/>
        <w:rPr>
          <w:rFonts w:ascii="Times New Roman" w:hAnsi="Times New Roman" w:cs="Times New Roman"/>
          <w:b/>
          <w:noProof/>
          <w:sz w:val="24"/>
          <w:szCs w:val="24"/>
        </w:rPr>
      </w:pPr>
      <w:r>
        <w:rPr>
          <w:rFonts w:ascii="Times New Roman" w:hAnsi="Times New Roman"/>
          <w:b/>
          <w:noProof/>
          <w:sz w:val="24"/>
        </w:rPr>
        <w:t>5.</w:t>
      </w:r>
      <w:r>
        <w:rPr>
          <w:rFonts w:ascii="Times New Roman" w:hAnsi="Times New Roman"/>
          <w:b/>
          <w:noProof/>
          <w:sz w:val="24"/>
        </w:rPr>
        <w:tab/>
        <w:t>A TRADICIONÁLIS SAJÁT FORRÁSOK BESZEDÉSÉNEK JAVÍTÁSÁRA IRÁNYULÓ INTÉZKEDÉSEK</w:t>
      </w:r>
    </w:p>
    <w:p w14:paraId="1DF369D2" w14:textId="77777777" w:rsidR="00ED1765" w:rsidRDefault="736C88D2" w:rsidP="0056122A">
      <w:pPr>
        <w:jc w:val="both"/>
        <w:rPr>
          <w:rFonts w:ascii="Times New Roman" w:hAnsi="Times New Roman" w:cs="Times New Roman"/>
          <w:noProof/>
          <w:sz w:val="24"/>
          <w:szCs w:val="24"/>
        </w:rPr>
      </w:pPr>
      <w:r>
        <w:rPr>
          <w:rFonts w:ascii="Times New Roman" w:hAnsi="Times New Roman"/>
          <w:noProof/>
          <w:sz w:val="24"/>
        </w:rPr>
        <w:t xml:space="preserve">A tagállamokban végzett helyszíni ellenőrzések mellett a Bizottság egyéb eszközöket is alkalmaz a tradicionális saját források beszedésének monitoringjára. </w:t>
      </w:r>
    </w:p>
    <w:p w14:paraId="1E2F6A8B" w14:textId="77777777" w:rsidR="00ED1765" w:rsidRPr="00ED1765" w:rsidRDefault="00ED1765" w:rsidP="0056122A">
      <w:pPr>
        <w:jc w:val="both"/>
        <w:rPr>
          <w:rFonts w:ascii="Times New Roman" w:hAnsi="Times New Roman" w:cs="Times New Roman"/>
          <w:b/>
          <w:noProof/>
          <w:sz w:val="24"/>
          <w:szCs w:val="24"/>
        </w:rPr>
      </w:pPr>
      <w:r>
        <w:rPr>
          <w:rFonts w:ascii="Times New Roman" w:hAnsi="Times New Roman"/>
          <w:b/>
          <w:noProof/>
          <w:sz w:val="24"/>
        </w:rPr>
        <w:t>5.1.</w:t>
      </w:r>
      <w:r>
        <w:rPr>
          <w:rFonts w:ascii="Times New Roman" w:hAnsi="Times New Roman"/>
          <w:b/>
          <w:noProof/>
          <w:sz w:val="24"/>
        </w:rPr>
        <w:tab/>
        <w:t>A behajthatatlanság miatt leírt jogosultságok vizsgálata</w:t>
      </w:r>
    </w:p>
    <w:p w14:paraId="1C171464" w14:textId="6C7EEA49" w:rsidR="00272FF5" w:rsidRPr="002A7EEF" w:rsidRDefault="5F8FF2C1" w:rsidP="71032FBC">
      <w:pPr>
        <w:jc w:val="both"/>
        <w:rPr>
          <w:rFonts w:ascii="Times New Roman" w:hAnsi="Times New Roman" w:cs="Times New Roman"/>
          <w:noProof/>
          <w:sz w:val="24"/>
          <w:szCs w:val="24"/>
        </w:rPr>
      </w:pPr>
      <w:r>
        <w:rPr>
          <w:rFonts w:ascii="Times New Roman" w:hAnsi="Times New Roman"/>
          <w:noProof/>
          <w:sz w:val="24"/>
        </w:rPr>
        <w:t>A tagállamoknak az összes szükséges intézkedést meg kell tenniük a tradicionális saját források rendelkezésre bocsátása érdekében, kivéve, ha azok beszedése a 609/2014/EU, Euratom tanácsi rendelet 13. cikkének (2) bekezdése értelmében nem lehetséges:</w:t>
      </w:r>
    </w:p>
    <w:p w14:paraId="3C75F527" w14:textId="77777777" w:rsidR="00272FF5" w:rsidRPr="002A7EEF" w:rsidRDefault="5F8FF2C1" w:rsidP="71032FBC">
      <w:pPr>
        <w:numPr>
          <w:ilvl w:val="0"/>
          <w:numId w:val="5"/>
        </w:numPr>
        <w:jc w:val="both"/>
        <w:rPr>
          <w:rFonts w:ascii="Times New Roman" w:hAnsi="Times New Roman" w:cs="Times New Roman"/>
          <w:noProof/>
          <w:sz w:val="24"/>
          <w:szCs w:val="24"/>
        </w:rPr>
      </w:pPr>
      <w:r>
        <w:rPr>
          <w:rFonts w:ascii="Times New Roman" w:hAnsi="Times New Roman"/>
          <w:i/>
          <w:noProof/>
          <w:sz w:val="24"/>
        </w:rPr>
        <w:t>vis maior</w:t>
      </w:r>
      <w:r>
        <w:rPr>
          <w:rFonts w:ascii="Times New Roman" w:hAnsi="Times New Roman"/>
          <w:noProof/>
          <w:sz w:val="24"/>
        </w:rPr>
        <w:t xml:space="preserve"> okán,</w:t>
      </w:r>
    </w:p>
    <w:p w14:paraId="144AB52F" w14:textId="77777777" w:rsidR="00272FF5" w:rsidRPr="002A7EEF" w:rsidRDefault="5F8FF2C1" w:rsidP="71032FBC">
      <w:pPr>
        <w:numPr>
          <w:ilvl w:val="0"/>
          <w:numId w:val="5"/>
        </w:numPr>
        <w:jc w:val="both"/>
        <w:rPr>
          <w:rFonts w:ascii="Times New Roman" w:hAnsi="Times New Roman" w:cs="Times New Roman"/>
          <w:noProof/>
          <w:sz w:val="24"/>
          <w:szCs w:val="24"/>
        </w:rPr>
      </w:pPr>
      <w:r>
        <w:rPr>
          <w:rFonts w:ascii="Times New Roman" w:hAnsi="Times New Roman"/>
          <w:noProof/>
          <w:sz w:val="24"/>
        </w:rPr>
        <w:t>más, a tagállamoknak fel nem róható okokból, vagy</w:t>
      </w:r>
    </w:p>
    <w:p w14:paraId="111581A7" w14:textId="1921A1B7" w:rsidR="00ED1765" w:rsidRDefault="5F8FF2C1" w:rsidP="71032FBC">
      <w:pPr>
        <w:numPr>
          <w:ilvl w:val="0"/>
          <w:numId w:val="5"/>
        </w:numPr>
        <w:jc w:val="both"/>
        <w:rPr>
          <w:rFonts w:ascii="Times New Roman" w:hAnsi="Times New Roman" w:cs="Times New Roman"/>
          <w:noProof/>
          <w:sz w:val="24"/>
          <w:szCs w:val="24"/>
        </w:rPr>
      </w:pPr>
      <w:r>
        <w:rPr>
          <w:rFonts w:ascii="Times New Roman" w:hAnsi="Times New Roman"/>
          <w:noProof/>
          <w:sz w:val="24"/>
        </w:rPr>
        <w:t>mert a vámtartozások könyvelésbe vételét vagy közlését annak érdekében halasztották el, hogy az ne veszélyeztesse az Unió pénzügyi érdekeit érintő bűnügyi nyomozást.</w:t>
      </w:r>
    </w:p>
    <w:p w14:paraId="5F533678" w14:textId="1881110A" w:rsidR="00FA1B99" w:rsidRPr="005D1B5F" w:rsidRDefault="3A23CDC5" w:rsidP="71032FBC">
      <w:pPr>
        <w:jc w:val="both"/>
        <w:rPr>
          <w:rFonts w:ascii="Times New Roman" w:hAnsi="Times New Roman" w:cs="Times New Roman"/>
          <w:noProof/>
          <w:sz w:val="36"/>
          <w:szCs w:val="24"/>
        </w:rPr>
      </w:pPr>
      <w:r>
        <w:rPr>
          <w:rFonts w:ascii="Times New Roman" w:hAnsi="Times New Roman"/>
          <w:noProof/>
          <w:sz w:val="24"/>
        </w:rPr>
        <w:t>Az uniós jogszabályi rendelkezésekkel összhangban minden tagállamnak be kell jelentenie a Bizottságnak azokat az eseteket, amikor a tradicionális saját források 100 000 EUR-t meghaladó összegben válnak behajthatatlanná, a tagállamnak fel nem róható okokból (leírási jelentés). A Bizottság minden ilyen jelentést észrevételez. A Bizottság azért vizsgálja meg a leírási jelentéseket, hogy értékelje, a tagállamok megfelelő gondossággal jártak-e el a tradicionális saját forrásokat jelentő vámok összegének megállapítása és gazdasági szereplőktől való behajtása érdekében.</w:t>
      </w:r>
    </w:p>
    <w:p w14:paraId="011B9247" w14:textId="686755CB" w:rsidR="00272FF5" w:rsidRPr="002A7EEF" w:rsidRDefault="2C190524" w:rsidP="71032FBC">
      <w:pPr>
        <w:jc w:val="both"/>
        <w:rPr>
          <w:rFonts w:ascii="Times New Roman" w:hAnsi="Times New Roman" w:cs="Times New Roman"/>
          <w:noProof/>
          <w:sz w:val="24"/>
          <w:szCs w:val="24"/>
        </w:rPr>
      </w:pPr>
      <w:r>
        <w:rPr>
          <w:rFonts w:ascii="Times New Roman" w:hAnsi="Times New Roman"/>
          <w:noProof/>
          <w:sz w:val="24"/>
        </w:rPr>
        <w:t>A jelentéstételi küszöbérték alatti összegeket – mivel azokra nem vonatkozik külön jelentéstételi követelmény – a Bizottság a helyszíni ellenőrzések során szúrópróbaszerűen vizsgálja.</w:t>
      </w:r>
    </w:p>
    <w:p w14:paraId="19C76086" w14:textId="4D45FDCC" w:rsidR="00272FF5" w:rsidRPr="002A7EEF" w:rsidRDefault="249071E8" w:rsidP="71032FBC">
      <w:pPr>
        <w:jc w:val="both"/>
        <w:rPr>
          <w:rFonts w:ascii="Times New Roman" w:hAnsi="Times New Roman" w:cs="Times New Roman"/>
          <w:noProof/>
          <w:sz w:val="24"/>
          <w:szCs w:val="24"/>
        </w:rPr>
      </w:pPr>
      <w:r>
        <w:rPr>
          <w:rFonts w:ascii="Times New Roman" w:hAnsi="Times New Roman"/>
          <w:noProof/>
          <w:sz w:val="24"/>
        </w:rPr>
        <w:t>A Bizottság a leírási jelentések értékeléséhez használt kritériumokat a „</w:t>
      </w:r>
      <w:r>
        <w:rPr>
          <w:rFonts w:ascii="Times New Roman" w:hAnsi="Times New Roman"/>
          <w:i/>
          <w:noProof/>
          <w:sz w:val="24"/>
        </w:rPr>
        <w:t>Compendium</w:t>
      </w:r>
      <w:r>
        <w:rPr>
          <w:rFonts w:ascii="Times New Roman" w:hAnsi="Times New Roman"/>
          <w:noProof/>
          <w:sz w:val="24"/>
        </w:rPr>
        <w:t xml:space="preserve">” című munkadokumentumban foglalta össze, ezzel támogatva a tagállamokat a behajthatatlan TOR-összegekkel kapcsolatban viselt potenciális pénzügyi felelősségük értékelésében. Ezt először a saját forrásokkal foglalkozó tanácsadó bizottság (ACOR) 2012. december 6-i ülésén osztották meg a tagállamokkal. 2018. március 8-án kiadott aktuális, felülvizsgált változatát, amely figyelembe veszi az uniós jogszabályok változásait és a TOR-ral kapcsolatos ítélkezési gyakorlatot is, 2018. június 1-jén juttatták el a tagállamokhoz, immár azok hivatalos nyelvén. </w:t>
      </w:r>
    </w:p>
    <w:p w14:paraId="10CEA709" w14:textId="3AC9C42D" w:rsidR="00724774" w:rsidRPr="002A7EEF" w:rsidRDefault="00016D1C" w:rsidP="71032FBC">
      <w:pPr>
        <w:jc w:val="both"/>
        <w:rPr>
          <w:rFonts w:ascii="Times New Roman" w:hAnsi="Times New Roman" w:cs="Times New Roman"/>
          <w:noProof/>
          <w:sz w:val="24"/>
          <w:szCs w:val="24"/>
        </w:rPr>
      </w:pPr>
      <w:r>
        <w:rPr>
          <w:rFonts w:ascii="Times New Roman" w:hAnsi="Times New Roman"/>
          <w:noProof/>
          <w:sz w:val="24"/>
        </w:rPr>
        <w:t>A tagállamoknak minden egyes releváns ügyre vonatkozóan strukturált jelentést kell készíteniük, és azt a WOMIS elnevezésű többnyelvű adatbázis (a behajthatatlan követelések leírásával kapcsolatos ügykezelési és információs rendszer) útján továbbítaniuk kell a Bizottságnak. A WOMIS rendszer, amelyet rendszeresen aktualizálnak, lehetővé teszi a tagállamok jelentéseinek hatékony és biztonságos feldolgozását.</w:t>
      </w:r>
    </w:p>
    <w:p w14:paraId="62EAC5A5" w14:textId="24DBD52A" w:rsidR="00724774" w:rsidRPr="002A7EEF" w:rsidRDefault="5CD08AAB" w:rsidP="71032FBC">
      <w:pPr>
        <w:jc w:val="both"/>
        <w:rPr>
          <w:rFonts w:ascii="Times New Roman" w:hAnsi="Times New Roman" w:cs="Times New Roman"/>
          <w:noProof/>
          <w:sz w:val="24"/>
          <w:szCs w:val="24"/>
        </w:rPr>
      </w:pPr>
      <w:r>
        <w:rPr>
          <w:rFonts w:ascii="Times New Roman" w:hAnsi="Times New Roman"/>
          <w:noProof/>
          <w:sz w:val="24"/>
        </w:rPr>
        <w:t>Az illetékes bizottsági szolgálatok (Költségvetési Főigazgatóság, Adóügyi és Vámuniós Főigazgatóság, OLAF és Jogi Szolgálat) értékelik a jelentést, és észrevételeket tesznek a tagállamnak. Ezen észrevételek azon indoklással kapcsolatosak, amelyet a tagállam annak magyarázatára hoz fel, hogy miért nem bocsátotta a Bizottság rendelkezésére a behajthatatlan vámok összegének megfelelő tradicionális saját forrásokat.</w:t>
      </w:r>
    </w:p>
    <w:p w14:paraId="63AD2411" w14:textId="1DAA490E" w:rsidR="003311E9" w:rsidRPr="002A7EEF" w:rsidRDefault="29C58648" w:rsidP="71032FBC">
      <w:pPr>
        <w:jc w:val="both"/>
        <w:rPr>
          <w:rFonts w:ascii="Times New Roman" w:hAnsi="Times New Roman" w:cs="Times New Roman"/>
          <w:noProof/>
          <w:sz w:val="24"/>
          <w:szCs w:val="24"/>
        </w:rPr>
      </w:pPr>
      <w:r>
        <w:rPr>
          <w:rFonts w:ascii="Times New Roman" w:hAnsi="Times New Roman"/>
          <w:noProof/>
          <w:sz w:val="24"/>
        </w:rPr>
        <w:t>A 2019 és 2021 közötti időszakban 106 leírási jelentés érkezett be a Bizottsághoz, összesen 87,4 millió EUR értéket érintve. A Bizottság ebben az időszakban</w:t>
      </w:r>
      <w:r w:rsidR="0023022D" w:rsidRPr="002A7EEF">
        <w:rPr>
          <w:rFonts w:ascii="Times New Roman" w:hAnsi="Times New Roman" w:cs="Times New Roman"/>
          <w:noProof/>
          <w:sz w:val="24"/>
          <w:szCs w:val="24"/>
          <w:vertAlign w:val="superscript"/>
        </w:rPr>
        <w:footnoteReference w:id="19"/>
      </w:r>
      <w:r>
        <w:rPr>
          <w:rFonts w:ascii="Times New Roman" w:hAnsi="Times New Roman"/>
          <w:noProof/>
          <w:sz w:val="24"/>
        </w:rPr>
        <w:t xml:space="preserve"> 76 jelentésről állapította meg – összesen 40,7 millió EUR értéket érintve –, hogy a TOR-ban bekövetkezett veszteség a tagállamoknak fel nem róható okokra vezethető vissza. 181 esetben – összesen </w:t>
      </w:r>
      <w:r>
        <w:rPr>
          <w:rFonts w:ascii="Times New Roman" w:hAnsi="Times New Roman"/>
          <w:b/>
          <w:noProof/>
          <w:sz w:val="24"/>
        </w:rPr>
        <w:t xml:space="preserve">101,1 millió EUR </w:t>
      </w:r>
      <w:r>
        <w:rPr>
          <w:rFonts w:ascii="Times New Roman" w:hAnsi="Times New Roman"/>
          <w:noProof/>
          <w:sz w:val="24"/>
        </w:rPr>
        <w:t>értéket érintve – a Bizottság azon az állásponton volt, hogy az összegek legalább részben az érintett tagállamnak felróható okokból váltak behajthatatlanná. A Bizottság 9 esetben (1,3 millió EUR</w:t>
      </w:r>
      <w:r>
        <w:rPr>
          <w:noProof/>
        </w:rPr>
        <w:t xml:space="preserve"> </w:t>
      </w:r>
      <w:r>
        <w:rPr>
          <w:rFonts w:ascii="Times New Roman" w:hAnsi="Times New Roman"/>
          <w:noProof/>
          <w:sz w:val="24"/>
        </w:rPr>
        <w:t>értékben) szabálytalannak vagy idő előttinek minősítette a jelentést.</w:t>
      </w:r>
    </w:p>
    <w:p w14:paraId="044D8F86" w14:textId="6E813A0E" w:rsidR="003311E9" w:rsidRPr="002A7EEF" w:rsidRDefault="0C585AA1" w:rsidP="71032FBC">
      <w:pPr>
        <w:jc w:val="both"/>
        <w:rPr>
          <w:rFonts w:ascii="Times New Roman" w:eastAsia="Times New Roman" w:hAnsi="Times New Roman" w:cs="Times New Roman"/>
          <w:noProof/>
          <w:sz w:val="24"/>
          <w:szCs w:val="24"/>
        </w:rPr>
      </w:pPr>
      <w:r>
        <w:rPr>
          <w:rFonts w:ascii="Times New Roman" w:hAnsi="Times New Roman"/>
          <w:noProof/>
          <w:sz w:val="24"/>
        </w:rPr>
        <w:t>Annak megállapításához, hogy a tradicionális saját forrásokban bekövetkező veszteség felróható-e a tagállamnak, a jelentések elemeinek alapos elemzésére van szükség. 2022. szeptember 15-én a 2009 és 2021 közötti évek vonatkozásában 154 leírási jelentés értékelése még nem zárult le (163,7 millió EUR értékben), részben az adott tagállamtól kért, még függőben lévő kiegészítő információk miatt.</w:t>
      </w:r>
    </w:p>
    <w:p w14:paraId="2E87B803" w14:textId="77777777" w:rsidR="00ED1765" w:rsidRPr="00ED1765" w:rsidRDefault="00ED1765" w:rsidP="00395D50">
      <w:pPr>
        <w:ind w:left="720" w:hanging="720"/>
        <w:jc w:val="both"/>
        <w:rPr>
          <w:rFonts w:ascii="Times New Roman" w:hAnsi="Times New Roman" w:cs="Times New Roman"/>
          <w:b/>
          <w:noProof/>
          <w:sz w:val="24"/>
          <w:szCs w:val="24"/>
        </w:rPr>
      </w:pPr>
      <w:r>
        <w:rPr>
          <w:rFonts w:ascii="Times New Roman" w:hAnsi="Times New Roman"/>
          <w:b/>
          <w:noProof/>
          <w:sz w:val="24"/>
        </w:rPr>
        <w:t>5.2.</w:t>
      </w:r>
      <w:r>
        <w:rPr>
          <w:rFonts w:ascii="Times New Roman" w:hAnsi="Times New Roman"/>
          <w:b/>
          <w:noProof/>
          <w:sz w:val="24"/>
        </w:rPr>
        <w:tab/>
        <w:t>A tradicionális saját forrásokban bekövetkező veszteséggel járó megállapítási hibák kezelése</w:t>
      </w:r>
    </w:p>
    <w:p w14:paraId="27AB04A3" w14:textId="6E8FE2D0" w:rsidR="00441FD6" w:rsidRDefault="51D8067B" w:rsidP="00F47108">
      <w:pPr>
        <w:ind w:right="-46"/>
        <w:jc w:val="both"/>
        <w:rPr>
          <w:rFonts w:ascii="Times New Roman" w:hAnsi="Times New Roman" w:cs="Times New Roman"/>
          <w:noProof/>
          <w:sz w:val="24"/>
          <w:szCs w:val="24"/>
        </w:rPr>
      </w:pPr>
      <w:r>
        <w:rPr>
          <w:rFonts w:ascii="Times New Roman" w:hAnsi="Times New Roman"/>
          <w:noProof/>
          <w:sz w:val="24"/>
        </w:rPr>
        <w:t xml:space="preserve">A Bizottság nyomon követte a tagállamok által az EU pénzügyi érdekeinek sérelmére elkövetett, a 2019–2021-es időszakra vonatkozó adminisztratív hibákat (a helyszíni ellenőrzések során feltárt eseteket, az adminisztratív hibák miatti nemzeti visszafizetési vagy elengedési határozatokat, a tagállamok által saját adminisztratív hibáikkal összefüggésben, pénzügyi felelősségük elismerése mellett önkéntesen rendelkezésre bocsátott TOR-összegeket, a 100 000 EUR alatti behajthatatlan összegek leírásának elutasítását stb.). Ennek eredményeként a tagállamok a 2019–2021-es időszakban </w:t>
      </w:r>
      <w:r>
        <w:rPr>
          <w:rFonts w:ascii="Times New Roman" w:hAnsi="Times New Roman"/>
          <w:b/>
          <w:noProof/>
          <w:sz w:val="24"/>
        </w:rPr>
        <w:t>423 millió</w:t>
      </w:r>
      <w:r>
        <w:rPr>
          <w:rFonts w:ascii="Times New Roman" w:hAnsi="Times New Roman"/>
          <w:noProof/>
          <w:sz w:val="24"/>
        </w:rPr>
        <w:t> </w:t>
      </w:r>
      <w:r>
        <w:rPr>
          <w:rFonts w:ascii="Times New Roman" w:hAnsi="Times New Roman"/>
          <w:b/>
          <w:noProof/>
          <w:sz w:val="24"/>
        </w:rPr>
        <w:t>EUR</w:t>
      </w:r>
      <w:r>
        <w:rPr>
          <w:rFonts w:ascii="Times New Roman" w:hAnsi="Times New Roman"/>
          <w:noProof/>
          <w:sz w:val="24"/>
        </w:rPr>
        <w:t xml:space="preserve">-t bocsátottak rendelkezésre az alulértékelt behozatalra vonatkozó végrehajtási stratégia (3.3. pont) és a szolárpanelek (3.4. pont) tekintetében beszedett összegeken felül.    </w:t>
      </w:r>
    </w:p>
    <w:p w14:paraId="66DDA7DF" w14:textId="77777777" w:rsidR="00ED1765" w:rsidRPr="002A7EEF" w:rsidRDefault="484480EF" w:rsidP="71032FBC">
      <w:pPr>
        <w:jc w:val="both"/>
        <w:rPr>
          <w:rFonts w:ascii="Times New Roman" w:hAnsi="Times New Roman" w:cs="Times New Roman"/>
          <w:b/>
          <w:bCs/>
          <w:noProof/>
          <w:sz w:val="24"/>
          <w:szCs w:val="24"/>
        </w:rPr>
      </w:pPr>
      <w:r>
        <w:rPr>
          <w:rFonts w:ascii="Times New Roman" w:hAnsi="Times New Roman"/>
          <w:b/>
          <w:noProof/>
          <w:sz w:val="24"/>
        </w:rPr>
        <w:t>5.3.</w:t>
      </w:r>
      <w:r>
        <w:rPr>
          <w:noProof/>
        </w:rPr>
        <w:tab/>
      </w:r>
      <w:r>
        <w:rPr>
          <w:rFonts w:ascii="Times New Roman" w:hAnsi="Times New Roman"/>
          <w:b/>
          <w:noProof/>
          <w:sz w:val="24"/>
        </w:rPr>
        <w:t>OWNRES adatbázis</w:t>
      </w:r>
    </w:p>
    <w:p w14:paraId="607DFADD" w14:textId="10E5BE51" w:rsidR="00ED1765" w:rsidRPr="002A7EEF" w:rsidRDefault="4BD52EC2" w:rsidP="71032FBC">
      <w:pPr>
        <w:jc w:val="both"/>
        <w:rPr>
          <w:rFonts w:ascii="Times New Roman" w:hAnsi="Times New Roman" w:cs="Times New Roman"/>
          <w:noProof/>
          <w:sz w:val="24"/>
          <w:szCs w:val="24"/>
        </w:rPr>
      </w:pPr>
      <w:r>
        <w:rPr>
          <w:rFonts w:ascii="Times New Roman" w:hAnsi="Times New Roman"/>
          <w:noProof/>
          <w:sz w:val="24"/>
        </w:rPr>
        <w:t>A 608/2014/EU, Euratom</w:t>
      </w:r>
      <w:r w:rsidR="00213ADA">
        <w:rPr>
          <w:rStyle w:val="FootnoteReference"/>
          <w:rFonts w:ascii="Times New Roman" w:hAnsi="Times New Roman" w:cs="Times New Roman"/>
          <w:noProof/>
          <w:sz w:val="24"/>
          <w:szCs w:val="24"/>
        </w:rPr>
        <w:footnoteReference w:id="20"/>
      </w:r>
      <w:r>
        <w:rPr>
          <w:rFonts w:ascii="Times New Roman" w:hAnsi="Times New Roman"/>
          <w:noProof/>
          <w:sz w:val="24"/>
        </w:rPr>
        <w:t xml:space="preserve"> és az (EU, Euratom) 2021/768 tanácsi rendelet 5. cikkének (1) bekezdése alapján a tagállamoknak tájékoztatniuk kell a Bizottságot a 10 000 EUR-nál nagyobb összegű jogosultságokat érintő csalásokról és szabálytalanságokról. Ezeket az információkat a Bizottság által kezelt és fenntartott OWNRES adatbázis útján közlik.</w:t>
      </w:r>
    </w:p>
    <w:p w14:paraId="5C0DDCDB" w14:textId="0F9536C2" w:rsidR="00ED1765" w:rsidRPr="002A7EEF" w:rsidRDefault="765C89E5" w:rsidP="71032FBC">
      <w:pPr>
        <w:jc w:val="both"/>
        <w:rPr>
          <w:rFonts w:ascii="Times New Roman" w:hAnsi="Times New Roman" w:cs="Times New Roman"/>
          <w:noProof/>
          <w:sz w:val="24"/>
          <w:szCs w:val="24"/>
        </w:rPr>
      </w:pPr>
      <w:r>
        <w:rPr>
          <w:rFonts w:ascii="Times New Roman" w:hAnsi="Times New Roman"/>
          <w:noProof/>
          <w:sz w:val="24"/>
        </w:rPr>
        <w:t xml:space="preserve">A Bizottság az OWNRES adatbázisból jut hozzá a beszedések nyomon követéséhez és a helyszíni ellenőrzések és dokumentumalapú ellenőrzések előkészítéséhez szükséges alapvető információkhoz. Az adatbázist különböző elemzésekhez és az OLAF vizsgálataiból eredő pénzügyi ajánlásai nyomon követésének monitoringjához az OLAF is felhasználja. A bejelentett adatok részletes elemzése a Bizottság által az Európai Parlament és a Tanács számára készített éves jelentésekben (Az Európai Unió pénzügyi érdekeinek védelme – Csalás elleni küzdelem) és a Vámunió teljesítményéről szóló éves jelentésben található. </w:t>
      </w:r>
    </w:p>
    <w:p w14:paraId="1ADE9EF8" w14:textId="0388B561" w:rsidR="28031075" w:rsidRPr="002A7EEF" w:rsidRDefault="7F6B1CCC" w:rsidP="3CFA04E0">
      <w:pPr>
        <w:jc w:val="both"/>
        <w:rPr>
          <w:rFonts w:ascii="Times New Roman" w:eastAsia="Times New Roman" w:hAnsi="Times New Roman" w:cs="Times New Roman"/>
          <w:noProof/>
          <w:sz w:val="24"/>
          <w:szCs w:val="24"/>
        </w:rPr>
      </w:pPr>
      <w:r>
        <w:rPr>
          <w:rFonts w:ascii="Times New Roman" w:hAnsi="Times New Roman"/>
          <w:noProof/>
          <w:sz w:val="24"/>
        </w:rPr>
        <w:t>2018-ban az (EU, Euratom) 2018/195 bizottsági végrehajtási határozat</w:t>
      </w:r>
      <w:r w:rsidR="4A1C4760" w:rsidRPr="3CFA04E0">
        <w:rPr>
          <w:rStyle w:val="FootnoteReference"/>
          <w:rFonts w:ascii="Times New Roman" w:eastAsia="Times New Roman" w:hAnsi="Times New Roman" w:cs="Times New Roman"/>
          <w:noProof/>
          <w:sz w:val="24"/>
          <w:szCs w:val="24"/>
        </w:rPr>
        <w:footnoteReference w:id="21"/>
      </w:r>
      <w:r>
        <w:rPr>
          <w:rFonts w:ascii="Times New Roman" w:hAnsi="Times New Roman"/>
          <w:noProof/>
          <w:sz w:val="24"/>
        </w:rPr>
        <w:t xml:space="preserve"> módosította a csalások és szabálytalanságok bejelentésére szolgáló formanyomtatványt. Az OWNRES adatbázist frissítették, hogy tükrözze ezeket a változásokat. </w:t>
      </w:r>
    </w:p>
    <w:p w14:paraId="698548AA" w14:textId="1C59A760" w:rsidR="28031075" w:rsidRPr="002A7EEF" w:rsidRDefault="2251DE0D" w:rsidP="002A7EEF">
      <w:pPr>
        <w:jc w:val="both"/>
        <w:rPr>
          <w:rFonts w:ascii="Times New Roman" w:eastAsia="Times New Roman" w:hAnsi="Times New Roman" w:cs="Times New Roman"/>
          <w:noProof/>
          <w:sz w:val="24"/>
          <w:szCs w:val="24"/>
        </w:rPr>
      </w:pPr>
      <w:r>
        <w:rPr>
          <w:rFonts w:ascii="Times New Roman" w:hAnsi="Times New Roman"/>
          <w:noProof/>
          <w:sz w:val="24"/>
        </w:rPr>
        <w:t xml:space="preserve">2021 végén az OWNRES adatbázis </w:t>
      </w:r>
      <w:r>
        <w:rPr>
          <w:rFonts w:ascii="Times New Roman" w:hAnsi="Times New Roman"/>
          <w:b/>
          <w:noProof/>
          <w:sz w:val="24"/>
        </w:rPr>
        <w:t>121 199</w:t>
      </w:r>
      <w:r w:rsidR="002A7EEF">
        <w:rPr>
          <w:rStyle w:val="FootnoteReference"/>
          <w:rFonts w:ascii="Times New Roman" w:eastAsia="Times New Roman" w:hAnsi="Times New Roman" w:cs="Times New Roman"/>
          <w:b/>
          <w:bCs/>
          <w:noProof/>
          <w:sz w:val="24"/>
          <w:szCs w:val="24"/>
        </w:rPr>
        <w:footnoteReference w:id="22"/>
      </w:r>
      <w:r>
        <w:rPr>
          <w:rFonts w:ascii="Times New Roman" w:hAnsi="Times New Roman"/>
          <w:noProof/>
          <w:sz w:val="24"/>
        </w:rPr>
        <w:t xml:space="preserve"> („nyílt” vagy „lezárt”) csalást vagy szabálytalanságot tartalmazott, szemben a 2019 eleji </w:t>
      </w:r>
      <w:r>
        <w:rPr>
          <w:rFonts w:ascii="Times New Roman" w:hAnsi="Times New Roman"/>
          <w:b/>
          <w:noProof/>
          <w:sz w:val="24"/>
        </w:rPr>
        <w:t>106 361</w:t>
      </w:r>
      <w:r>
        <w:rPr>
          <w:rFonts w:ascii="Times New Roman" w:hAnsi="Times New Roman"/>
          <w:noProof/>
          <w:sz w:val="24"/>
        </w:rPr>
        <w:t xml:space="preserve"> esettel. Ez mintegy </w:t>
      </w:r>
      <w:r>
        <w:rPr>
          <w:rFonts w:ascii="Times New Roman" w:hAnsi="Times New Roman"/>
          <w:b/>
          <w:noProof/>
          <w:sz w:val="24"/>
        </w:rPr>
        <w:t>13,95 </w:t>
      </w:r>
      <w:r>
        <w:rPr>
          <w:rFonts w:ascii="Times New Roman" w:hAnsi="Times New Roman"/>
          <w:noProof/>
          <w:sz w:val="24"/>
        </w:rPr>
        <w:t xml:space="preserve">%-os emelkedést jelent. Másképpen fogalmazva: a 2019–2021-es hároméves időszakban </w:t>
      </w:r>
      <w:r>
        <w:rPr>
          <w:rFonts w:ascii="Times New Roman" w:hAnsi="Times New Roman"/>
          <w:b/>
          <w:noProof/>
          <w:sz w:val="24"/>
        </w:rPr>
        <w:t>14 838</w:t>
      </w:r>
      <w:r>
        <w:rPr>
          <w:rFonts w:ascii="Times New Roman" w:hAnsi="Times New Roman"/>
          <w:noProof/>
          <w:sz w:val="24"/>
        </w:rPr>
        <w:t xml:space="preserve"> új esetet jelentettek be.</w:t>
      </w:r>
    </w:p>
    <w:p w14:paraId="394180EB" w14:textId="315D8BAA" w:rsidR="28031075" w:rsidRPr="002A7EEF" w:rsidRDefault="4A1C4760" w:rsidP="002A7EEF">
      <w:pPr>
        <w:jc w:val="both"/>
        <w:rPr>
          <w:rFonts w:ascii="Times New Roman" w:eastAsia="Times New Roman" w:hAnsi="Times New Roman" w:cs="Times New Roman"/>
          <w:noProof/>
          <w:sz w:val="24"/>
          <w:szCs w:val="24"/>
        </w:rPr>
      </w:pPr>
      <w:r>
        <w:rPr>
          <w:rFonts w:ascii="Times New Roman" w:hAnsi="Times New Roman"/>
          <w:noProof/>
          <w:sz w:val="24"/>
        </w:rPr>
        <w:t>A saját forrásokkal foglalkozó tanácsadó bizottság 2019–2021-es időszakban tartott féléves ülései keretében a Bizottság</w:t>
      </w:r>
      <w:r>
        <w:rPr>
          <w:noProof/>
        </w:rPr>
        <w:t xml:space="preserve"> </w:t>
      </w:r>
      <w:r>
        <w:rPr>
          <w:rFonts w:ascii="Times New Roman" w:hAnsi="Times New Roman"/>
          <w:noProof/>
          <w:sz w:val="24"/>
        </w:rPr>
        <w:t xml:space="preserve">2019 júliusában előterjesztett néhány aktualizált, a jelentéstételt egyszerűsítő jelentéstételi szabályt a csempészetre vonatkozóan. 2020 novemberében egy figyelmeztető jelzésekkel kapcsolatos gyakorlat keretében felkérték a tagállamokat, hogy vizsgáljanak felül és aktualizáljanak kiválasztott eseteket (főként nem aktualizált vagy helytelenül bejelentett OWNRES-eseteket). A gyakorlat eredményét a saját forrásokkal foglalkozó tanácsadó bizottság 2021. júliusi ülésén ismertették. Ezenkívül a 2020 júniusában tartott ülésen bemutatták az OWNRES felhasználói kézikönyvének 2020 áprilisában kiadott aktualizált változatát. </w:t>
      </w:r>
    </w:p>
    <w:p w14:paraId="20FB8513" w14:textId="65BE600D" w:rsidR="00ED1765" w:rsidRPr="002A7EEF" w:rsidRDefault="64BD614D" w:rsidP="71032FBC">
      <w:pPr>
        <w:jc w:val="both"/>
        <w:rPr>
          <w:rFonts w:ascii="Times New Roman" w:hAnsi="Times New Roman" w:cs="Times New Roman"/>
          <w:b/>
          <w:bCs/>
          <w:noProof/>
          <w:sz w:val="24"/>
          <w:szCs w:val="24"/>
        </w:rPr>
      </w:pPr>
      <w:r>
        <w:rPr>
          <w:rFonts w:ascii="Times New Roman" w:hAnsi="Times New Roman"/>
          <w:b/>
          <w:noProof/>
          <w:sz w:val="24"/>
        </w:rPr>
        <w:t>5.4.</w:t>
      </w:r>
      <w:r>
        <w:rPr>
          <w:noProof/>
        </w:rPr>
        <w:tab/>
      </w:r>
      <w:r>
        <w:rPr>
          <w:rFonts w:ascii="Times New Roman" w:hAnsi="Times New Roman"/>
          <w:b/>
          <w:noProof/>
          <w:sz w:val="24"/>
        </w:rPr>
        <w:t>A tagjelölt és potenciális tagjelölt országokat érintő monitoringintézkedések</w:t>
      </w:r>
    </w:p>
    <w:p w14:paraId="6C2CEB3D" w14:textId="0514F213" w:rsidR="00ED1765" w:rsidRPr="002A7EEF" w:rsidRDefault="484480EF" w:rsidP="71032FBC">
      <w:pPr>
        <w:jc w:val="both"/>
        <w:rPr>
          <w:rFonts w:ascii="Times New Roman" w:hAnsi="Times New Roman" w:cs="Times New Roman"/>
          <w:noProof/>
          <w:sz w:val="24"/>
          <w:szCs w:val="24"/>
        </w:rPr>
      </w:pPr>
      <w:r>
        <w:rPr>
          <w:rFonts w:ascii="Times New Roman" w:hAnsi="Times New Roman"/>
          <w:noProof/>
          <w:sz w:val="24"/>
        </w:rPr>
        <w:t xml:space="preserve">A Bizottság technikai segítséget nyújt a tagjelölt és potenciális tagjelölt országoknak ahhoz, hogy a csatlakozás idejére kialakíthassák a tradicionális saját forrásokra vonatkozó </w:t>
      </w:r>
      <w:r>
        <w:rPr>
          <w:rFonts w:ascii="Times New Roman" w:hAnsi="Times New Roman"/>
          <w:i/>
          <w:noProof/>
          <w:sz w:val="24"/>
        </w:rPr>
        <w:t>jogszabályok</w:t>
      </w:r>
      <w:r>
        <w:rPr>
          <w:rFonts w:ascii="Times New Roman" w:hAnsi="Times New Roman"/>
          <w:noProof/>
          <w:sz w:val="24"/>
        </w:rPr>
        <w:t xml:space="preserve"> végrehajtásához szükséges adminisztratív kapacitást és rendszereket. A Bizottság értékeli továbbá a tagjelölt és potenciális tagjelölt országok e szempontból vett felkészültségét is.</w:t>
      </w:r>
    </w:p>
    <w:p w14:paraId="12496BFD" w14:textId="6AB42682" w:rsidR="106B1EB1" w:rsidRDefault="0EBFD1CD" w:rsidP="3CFA04E0">
      <w:pPr>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E területen a helyszíni technikai munkát és segítségnyújtást felfüggesztették a Covid19-világjárvány, valamint a Bizottság által 2018 májusában javasolt</w:t>
      </w:r>
      <w:r>
        <w:rPr>
          <w:rFonts w:ascii="Arial" w:hAnsi="Arial"/>
          <w:noProof/>
          <w:color w:val="333333"/>
          <w:sz w:val="21"/>
        </w:rPr>
        <w:t xml:space="preserve">, </w:t>
      </w:r>
      <w:r>
        <w:rPr>
          <w:rFonts w:ascii="Times New Roman" w:hAnsi="Times New Roman"/>
          <w:noProof/>
          <w:sz w:val="24"/>
        </w:rPr>
        <w:t>végül a 2021. január 1-jétől visszamenőleges hatállyal alkalmazandó (EU, Euratom) 2020/2053 tanácsi határozathoz vezető sajátforrás-csomagról folytatott tárgyalások bizonytalan kimenetele miatt.</w:t>
      </w:r>
    </w:p>
    <w:p w14:paraId="25C080E2" w14:textId="48D02FDA" w:rsidR="106B1EB1" w:rsidRDefault="0EBFD1CD" w:rsidP="002A7EEF">
      <w:pPr>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A Bizottság 2021 decemberében egy további sajátforrás-csomagra</w:t>
      </w:r>
      <w:r w:rsidR="00C52E56">
        <w:rPr>
          <w:rStyle w:val="FootnoteReference"/>
          <w:rFonts w:ascii="Times New Roman" w:eastAsia="Times New Roman" w:hAnsi="Times New Roman" w:cs="Times New Roman"/>
          <w:noProof/>
          <w:sz w:val="24"/>
          <w:szCs w:val="24"/>
        </w:rPr>
        <w:footnoteReference w:id="23"/>
      </w:r>
      <w:r>
        <w:rPr>
          <w:rFonts w:ascii="Times New Roman" w:hAnsi="Times New Roman"/>
          <w:noProof/>
          <w:sz w:val="24"/>
        </w:rPr>
        <w:t xml:space="preserve"> tett javaslatot három új saját forrás létrehozása érdekében, amelyeknek az uniós költségvetés számára a NextGenerationEU helyreállítási eszköz finanszírozási igényeivel egyenértékű bevételeket kell generálniuk. Tekintettel a saját források rendszerének folyamatos fejlődésére, a Bizottság úgy döntött, hogy nem nyújt képzést a tagjelölt országoknak a saját források rendszeréről, amely a csomag elfogadását követően lényegesen megváltozna. Egyes országok azonban az uniós saját források irányítási rendszerének létrehozását támogató ikerintézményi programok vagy más</w:t>
      </w:r>
      <w:r>
        <w:rPr>
          <w:rFonts w:ascii="Times New Roman" w:hAnsi="Times New Roman"/>
          <w:noProof/>
          <w:color w:val="000000" w:themeColor="text1"/>
          <w:sz w:val="24"/>
        </w:rPr>
        <w:t xml:space="preserve"> uniós finanszírozású projektek révén élvezhették a tagállamok saját források területén meglévő szakértelmének előnyeit.  </w:t>
      </w:r>
    </w:p>
    <w:p w14:paraId="1BC6D58C" w14:textId="50AFE566" w:rsidR="00097CA7" w:rsidRDefault="00097CA7" w:rsidP="00097CA7">
      <w:pPr>
        <w:jc w:val="both"/>
        <w:rPr>
          <w:rFonts w:ascii="Times New Roman" w:eastAsia="Times New Roman" w:hAnsi="Times New Roman" w:cs="Times New Roman"/>
          <w:noProof/>
          <w:sz w:val="24"/>
          <w:szCs w:val="24"/>
        </w:rPr>
      </w:pPr>
      <w:r>
        <w:rPr>
          <w:rFonts w:ascii="Times New Roman" w:hAnsi="Times New Roman"/>
          <w:noProof/>
          <w:sz w:val="24"/>
        </w:rPr>
        <w:t xml:space="preserve">Észak-Macedóniát és Albániát illetően 2019 szeptemberében sor került a saját forrásokra vonatkozó </w:t>
      </w:r>
      <w:r w:rsidRPr="00EC5EDD">
        <w:rPr>
          <w:rFonts w:ascii="Times New Roman" w:hAnsi="Times New Roman"/>
          <w:noProof/>
          <w:color w:val="1F497D"/>
          <w:sz w:val="24"/>
        </w:rPr>
        <w:t>releváns uniós</w:t>
      </w:r>
      <w:r>
        <w:rPr>
          <w:rFonts w:ascii="Times New Roman" w:hAnsi="Times New Roman"/>
          <w:noProof/>
          <w:sz w:val="24"/>
        </w:rPr>
        <w:t xml:space="preserve"> vívmányokkal kapcsolatos első </w:t>
      </w:r>
      <w:r>
        <w:rPr>
          <w:rFonts w:ascii="Times New Roman" w:hAnsi="Times New Roman"/>
          <w:noProof/>
          <w:color w:val="1F497D"/>
          <w:sz w:val="24"/>
        </w:rPr>
        <w:t>technikai eszmecserére</w:t>
      </w:r>
      <w:r>
        <w:rPr>
          <w:rFonts w:ascii="Times New Roman" w:hAnsi="Times New Roman"/>
          <w:noProof/>
          <w:sz w:val="24"/>
        </w:rPr>
        <w:t xml:space="preserve">. </w:t>
      </w:r>
    </w:p>
    <w:p w14:paraId="2B291F0C" w14:textId="0F91DA1F" w:rsidR="106B1EB1" w:rsidRDefault="778ABBF7" w:rsidP="002A7EEF">
      <w:pPr>
        <w:jc w:val="both"/>
        <w:rPr>
          <w:rFonts w:ascii="Times New Roman" w:eastAsia="Times New Roman" w:hAnsi="Times New Roman" w:cs="Times New Roman"/>
          <w:noProof/>
          <w:sz w:val="24"/>
          <w:szCs w:val="24"/>
        </w:rPr>
      </w:pPr>
      <w:r>
        <w:rPr>
          <w:rFonts w:ascii="Times New Roman" w:hAnsi="Times New Roman"/>
          <w:noProof/>
          <w:sz w:val="24"/>
        </w:rPr>
        <w:t>Bosznia-Hercegovina, amely 2022 decembere óta tagjelölt ország, válaszolt az uniós vívmányokkal kapcsolatos kérdőívre. A Költségvetési Főigazgatóság 2019 áprilisában nyújtotta be észrevételeit az uniós tagságról szóló bizottsági véleményhez.</w:t>
      </w:r>
    </w:p>
    <w:p w14:paraId="718A87DC" w14:textId="12E60D41" w:rsidR="00444146" w:rsidRPr="00CE0F4A" w:rsidRDefault="00444146" w:rsidP="00444146">
      <w:pPr>
        <w:jc w:val="both"/>
        <w:rPr>
          <w:rFonts w:ascii="Times New Roman" w:hAnsi="Times New Roman" w:cs="Times New Roman"/>
          <w:b/>
          <w:bCs/>
          <w:noProof/>
          <w:sz w:val="24"/>
          <w:szCs w:val="24"/>
        </w:rPr>
      </w:pPr>
      <w:r>
        <w:rPr>
          <w:rFonts w:ascii="Times New Roman" w:hAnsi="Times New Roman"/>
          <w:b/>
          <w:noProof/>
          <w:sz w:val="24"/>
        </w:rPr>
        <w:t>5.5.</w:t>
      </w:r>
      <w:r>
        <w:rPr>
          <w:rFonts w:ascii="Times New Roman" w:hAnsi="Times New Roman"/>
          <w:b/>
          <w:noProof/>
          <w:sz w:val="24"/>
        </w:rPr>
        <w:tab/>
        <w:t>A rendelkezésre bocsátásról szóló rendelet módosítása</w:t>
      </w:r>
    </w:p>
    <w:p w14:paraId="676ABDA6" w14:textId="77777777" w:rsidR="00720FD2" w:rsidRDefault="00CE0F4A" w:rsidP="002A7EEF">
      <w:pPr>
        <w:jc w:val="both"/>
        <w:rPr>
          <w:rFonts w:ascii="Times New Roman" w:eastAsia="Times New Roman" w:hAnsi="Times New Roman" w:cs="Times New Roman"/>
          <w:noProof/>
          <w:sz w:val="24"/>
          <w:szCs w:val="24"/>
        </w:rPr>
      </w:pPr>
      <w:r>
        <w:rPr>
          <w:rFonts w:ascii="Times New Roman" w:hAnsi="Times New Roman"/>
          <w:noProof/>
          <w:sz w:val="24"/>
        </w:rPr>
        <w:t>A 609/2014/EU, Euratom tanácsi rendelet (a rendelkezésre bocsátásról szóló rendelet) képezi a saját források keretének gerincét, amely biztosítja, hogy a tagállamok időben befizessék az uniós költségvetést megillető összegeket.</w:t>
      </w:r>
    </w:p>
    <w:p w14:paraId="7247C46D" w14:textId="4363D18C" w:rsidR="00720FD2" w:rsidRDefault="00377FB8" w:rsidP="002A7EEF">
      <w:pPr>
        <w:jc w:val="both"/>
        <w:rPr>
          <w:rFonts w:ascii="Times New Roman" w:eastAsia="Times New Roman" w:hAnsi="Times New Roman" w:cs="Times New Roman"/>
          <w:noProof/>
          <w:sz w:val="24"/>
          <w:szCs w:val="24"/>
        </w:rPr>
      </w:pPr>
      <w:r>
        <w:rPr>
          <w:rFonts w:ascii="Times New Roman" w:hAnsi="Times New Roman"/>
          <w:noProof/>
          <w:sz w:val="24"/>
        </w:rPr>
        <w:t>E keret további javítása érdekében a Bizottság 2021-ben javaslatot tett e rendelet átfogó módosítására. E javaslat megoldást nyújtott a tagállamok eljárási aggályaira, ugyanakkor biztosította az Unió pénzügyi érdekeinek védelmét, valamint a méltányos és kiegyensúlyozott bevételi keretet.</w:t>
      </w:r>
    </w:p>
    <w:p w14:paraId="69698BDC" w14:textId="027C369D" w:rsidR="00444146" w:rsidRDefault="00720FD2" w:rsidP="002A7EEF">
      <w:pPr>
        <w:jc w:val="both"/>
        <w:rPr>
          <w:rFonts w:ascii="Times New Roman" w:eastAsia="Times New Roman" w:hAnsi="Times New Roman" w:cs="Times New Roman"/>
          <w:noProof/>
          <w:sz w:val="24"/>
          <w:szCs w:val="24"/>
        </w:rPr>
      </w:pPr>
      <w:r>
        <w:rPr>
          <w:rFonts w:ascii="Times New Roman" w:hAnsi="Times New Roman"/>
          <w:noProof/>
          <w:sz w:val="24"/>
        </w:rPr>
        <w:t>A tagállamokkal folytatott széles körű eszmecserét követően a rendelkezésre bocsátásról szóló rendelet módosításáról szóló (EU, Euratom) 2022/615 tanácsi rendelet 2022 márciusában lépett hatályba.</w:t>
      </w:r>
    </w:p>
    <w:p w14:paraId="6398CDB3" w14:textId="77777777" w:rsidR="00ED1765" w:rsidRPr="00ED1765" w:rsidRDefault="00631599" w:rsidP="007B5523">
      <w:pPr>
        <w:spacing w:before="240"/>
        <w:jc w:val="both"/>
        <w:rPr>
          <w:rFonts w:ascii="Times New Roman" w:hAnsi="Times New Roman" w:cs="Times New Roman"/>
          <w:b/>
          <w:noProof/>
          <w:sz w:val="24"/>
          <w:szCs w:val="24"/>
        </w:rPr>
      </w:pPr>
      <w:r>
        <w:rPr>
          <w:rFonts w:ascii="Times New Roman" w:hAnsi="Times New Roman"/>
          <w:b/>
          <w:noProof/>
          <w:sz w:val="24"/>
        </w:rPr>
        <w:t>6.</w:t>
      </w:r>
      <w:r>
        <w:rPr>
          <w:rFonts w:ascii="Times New Roman" w:hAnsi="Times New Roman"/>
          <w:b/>
          <w:noProof/>
          <w:sz w:val="24"/>
        </w:rPr>
        <w:tab/>
        <w:t>KÖVETKEZTETÉS</w:t>
      </w:r>
    </w:p>
    <w:p w14:paraId="78182AA9" w14:textId="0BC283E8" w:rsidR="00ED1765" w:rsidRPr="00ED1765" w:rsidRDefault="00C12550" w:rsidP="0056122A">
      <w:pPr>
        <w:jc w:val="both"/>
        <w:rPr>
          <w:rFonts w:ascii="Times New Roman" w:hAnsi="Times New Roman" w:cs="Times New Roman"/>
          <w:noProof/>
          <w:sz w:val="24"/>
          <w:szCs w:val="24"/>
        </w:rPr>
      </w:pPr>
      <w:r>
        <w:rPr>
          <w:rFonts w:ascii="Times New Roman" w:hAnsi="Times New Roman"/>
          <w:noProof/>
          <w:sz w:val="24"/>
        </w:rPr>
        <w:t>A Covid19-világjárványhoz kapcsolódó kihívások ellenére a 2019 és 2021 közötti időszakban rögzített eredmények megerősítik, hogy a tradicionális saját forrásokra vonatkozó ellenőrzések és a megállapított hiányosságokra vonatkozó szisztematikus nyomon követés továbbra is nélkülözhetetlen és hatékony eszköznek bizonyulnak a Bizottság számára a tradicionális saját források beszedésének javításához és az EU pénzügyi érdekeinek megfelelő védelméhez (ezt a mentesítési eljárás pozitív alakulása is megerősíti, mivel a Bizottság számára nincsenek új ajánlások a tradicionális saját forrásokkal kapcsolatos kérdésekre vonatkozóan).</w:t>
      </w:r>
    </w:p>
    <w:p w14:paraId="52297F0B" w14:textId="271400F6" w:rsidR="007C0216" w:rsidRDefault="00C12550" w:rsidP="00B84107">
      <w:pPr>
        <w:jc w:val="both"/>
        <w:rPr>
          <w:rFonts w:ascii="Times New Roman" w:hAnsi="Times New Roman" w:cs="Times New Roman"/>
          <w:noProof/>
          <w:sz w:val="24"/>
          <w:szCs w:val="24"/>
        </w:rPr>
      </w:pPr>
      <w:r>
        <w:rPr>
          <w:rFonts w:ascii="Times New Roman" w:hAnsi="Times New Roman"/>
          <w:noProof/>
          <w:sz w:val="24"/>
        </w:rPr>
        <w:t xml:space="preserve">Az ellenőrzések továbbra is kulcsfontosságú szerepet játszanak az uniós szabályoknak való megfelelés összehangolásában és fokozásában. Pénzügyi hatásuk jelentős, amint azt a 2019–2021-es időszakban az uniós költségvetés rendelkezésére bocsátott pótlólagos </w:t>
      </w:r>
      <w:r>
        <w:rPr>
          <w:rFonts w:ascii="Times New Roman" w:hAnsi="Times New Roman"/>
          <w:b/>
          <w:noProof/>
          <w:sz w:val="24"/>
        </w:rPr>
        <w:t>mintegy 2,54 milliárd EUR</w:t>
      </w:r>
      <w:r>
        <w:rPr>
          <w:rFonts w:ascii="Times New Roman" w:hAnsi="Times New Roman"/>
          <w:noProof/>
          <w:sz w:val="24"/>
        </w:rPr>
        <w:t xml:space="preserve"> nettó összeg is mutatja. Mindez komoly ösztönzőként szolgál a tagállamok számára a tradicionális saját forrásoknak az uniós költségvetés számára időben és teljeskörűen történő rendelkezésre bocsátásához. Az ellenőrzések hozzájárulnak a vámügyi és számviteli szabályok helyes alkalmazásának biztosításához is, vagyis továbbra is védik az EU pénzügyi érdekeit, hiszen hatékony mechanizmusokat kínálnak az egységes piac káros torzulásainak megelőzéséhez és az azok elleni küzdelemhez.</w:t>
      </w:r>
    </w:p>
    <w:p w14:paraId="1CFBA755" w14:textId="77777777" w:rsidR="007C0216" w:rsidRDefault="3D0FFE4D" w:rsidP="00B84107">
      <w:pPr>
        <w:jc w:val="both"/>
        <w:rPr>
          <w:rFonts w:ascii="Times New Roman" w:hAnsi="Times New Roman" w:cs="Times New Roman"/>
          <w:noProof/>
          <w:sz w:val="24"/>
          <w:szCs w:val="24"/>
        </w:rPr>
      </w:pPr>
      <w:r>
        <w:rPr>
          <w:rFonts w:ascii="Times New Roman" w:hAnsi="Times New Roman"/>
          <w:noProof/>
          <w:sz w:val="24"/>
        </w:rPr>
        <w:t>Ami a jövőt illeti, a nemzetközi kereskedelem és különösen az e-kereskedelem fejlődése új kihívásokat hoz. Ehhez új, megfelelő eszközökre, valamint a Bizottság és a tagállamok közötti még szorosabb együttműködésre lesz szükség, például a kockázatalapú vámellenőrzések összehangolása és a vámok eredményes beszedésének biztosítása érdekében.</w:t>
      </w:r>
    </w:p>
    <w:p w14:paraId="7D4F35A7" w14:textId="7C560D1F" w:rsidR="00E408BC" w:rsidRPr="00B070C4" w:rsidRDefault="104D3C03" w:rsidP="00A5537B">
      <w:pPr>
        <w:jc w:val="both"/>
        <w:rPr>
          <w:rFonts w:ascii="Times New Roman" w:hAnsi="Times New Roman" w:cs="Times New Roman"/>
          <w:noProof/>
          <w:sz w:val="24"/>
          <w:szCs w:val="24"/>
        </w:rPr>
      </w:pPr>
      <w:r>
        <w:rPr>
          <w:rFonts w:ascii="Times New Roman" w:hAnsi="Times New Roman"/>
          <w:noProof/>
          <w:sz w:val="24"/>
        </w:rPr>
        <w:t>E célból a Bizottság az elmúlt években tovább egyszerűsítette az előttünk álló kihívások hatékonyabb kezelését szolgáló intézkedéseit, és a vámunió működésének javítása érdekében továbbra is ezen az úton halad majd.</w:t>
      </w:r>
    </w:p>
    <w:sectPr w:rsidR="00E408BC" w:rsidRPr="00B070C4" w:rsidSect="000D46BC">
      <w:headerReference w:type="even" r:id="rId20"/>
      <w:headerReference w:type="default" r:id="rId21"/>
      <w:footerReference w:type="even" r:id="rId22"/>
      <w:footerReference w:type="default" r:id="rId23"/>
      <w:headerReference w:type="first" r:id="rId24"/>
      <w:footerReference w:type="first" r:id="rId25"/>
      <w:pgSz w:w="11906" w:h="16838"/>
      <w:pgMar w:top="1588" w:right="1440" w:bottom="1701"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AE1DB" w14:textId="77777777" w:rsidR="00CE0F4A" w:rsidRDefault="00CE0F4A" w:rsidP="00ED1765">
      <w:pPr>
        <w:spacing w:after="0" w:line="240" w:lineRule="auto"/>
      </w:pPr>
      <w:r>
        <w:separator/>
      </w:r>
    </w:p>
  </w:endnote>
  <w:endnote w:type="continuationSeparator" w:id="0">
    <w:p w14:paraId="14A408F4" w14:textId="77777777" w:rsidR="00CE0F4A" w:rsidRDefault="00CE0F4A" w:rsidP="00ED1765">
      <w:pPr>
        <w:spacing w:after="0" w:line="240" w:lineRule="auto"/>
      </w:pPr>
      <w:r>
        <w:continuationSeparator/>
      </w:r>
    </w:p>
  </w:endnote>
  <w:endnote w:type="continuationNotice" w:id="1">
    <w:p w14:paraId="1495D77E" w14:textId="77777777" w:rsidR="00CE0F4A" w:rsidRDefault="00CE0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0CE9" w14:textId="77777777" w:rsidR="00C357D2" w:rsidRPr="00C357D2" w:rsidRDefault="00C357D2" w:rsidP="00C35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3D2B" w14:textId="41990DF1" w:rsidR="00182C85" w:rsidRPr="00C357D2" w:rsidRDefault="00C357D2" w:rsidP="00C357D2">
    <w:pPr>
      <w:pStyle w:val="FooterCoverPage"/>
      <w:rPr>
        <w:rFonts w:ascii="Arial" w:hAnsi="Arial" w:cs="Arial"/>
        <w:b/>
        <w:sz w:val="48"/>
      </w:rPr>
    </w:pPr>
    <w:r w:rsidRPr="00C357D2">
      <w:rPr>
        <w:rFonts w:ascii="Arial" w:hAnsi="Arial" w:cs="Arial"/>
        <w:b/>
        <w:sz w:val="48"/>
      </w:rPr>
      <w:t>HU</w:t>
    </w:r>
    <w:r w:rsidRPr="00C357D2">
      <w:rPr>
        <w:rFonts w:ascii="Arial" w:hAnsi="Arial" w:cs="Arial"/>
        <w:b/>
        <w:sz w:val="48"/>
      </w:rPr>
      <w:tab/>
    </w:r>
    <w:r w:rsidRPr="00C357D2">
      <w:rPr>
        <w:rFonts w:ascii="Arial" w:hAnsi="Arial" w:cs="Arial"/>
        <w:b/>
        <w:sz w:val="48"/>
      </w:rPr>
      <w:tab/>
    </w:r>
    <w:r w:rsidRPr="00C357D2">
      <w:tab/>
    </w:r>
    <w:r w:rsidRPr="00C357D2">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A2B4" w14:textId="77777777" w:rsidR="00C357D2" w:rsidRPr="00C357D2" w:rsidRDefault="00C357D2" w:rsidP="00C357D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9017" w14:textId="77777777" w:rsidR="00CE0F4A" w:rsidRDefault="00CE0F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873156"/>
      <w:docPartObj>
        <w:docPartGallery w:val="Page Numbers (Bottom of Page)"/>
        <w:docPartUnique/>
      </w:docPartObj>
    </w:sdtPr>
    <w:sdtEndPr>
      <w:rPr>
        <w:rFonts w:ascii="Times New Roman" w:hAnsi="Times New Roman" w:cs="Times New Roman"/>
        <w:noProof/>
      </w:rPr>
    </w:sdtEndPr>
    <w:sdtContent>
      <w:p w14:paraId="555A0D9C" w14:textId="25C548C0" w:rsidR="00CE0F4A" w:rsidRPr="00D73D95" w:rsidRDefault="00CE0F4A">
        <w:pPr>
          <w:pStyle w:val="Footer"/>
          <w:jc w:val="center"/>
          <w:rPr>
            <w:rFonts w:ascii="Times New Roman" w:hAnsi="Times New Roman" w:cs="Times New Roman"/>
          </w:rPr>
        </w:pPr>
        <w:r w:rsidRPr="00D73D95">
          <w:rPr>
            <w:rFonts w:ascii="Times New Roman" w:hAnsi="Times New Roman" w:cs="Times New Roman"/>
          </w:rPr>
          <w:fldChar w:fldCharType="begin"/>
        </w:r>
        <w:r w:rsidRPr="00D73D95">
          <w:rPr>
            <w:rFonts w:ascii="Times New Roman" w:hAnsi="Times New Roman" w:cs="Times New Roman"/>
          </w:rPr>
          <w:instrText xml:space="preserve"> PAGE   \* MERGEFORMAT </w:instrText>
        </w:r>
        <w:r w:rsidRPr="00D73D95">
          <w:rPr>
            <w:rFonts w:ascii="Times New Roman" w:hAnsi="Times New Roman" w:cs="Times New Roman"/>
          </w:rPr>
          <w:fldChar w:fldCharType="separate"/>
        </w:r>
        <w:r w:rsidR="00C357D2">
          <w:rPr>
            <w:rFonts w:ascii="Times New Roman" w:hAnsi="Times New Roman" w:cs="Times New Roman"/>
            <w:noProof/>
          </w:rPr>
          <w:t>1</w:t>
        </w:r>
        <w:r w:rsidRPr="00D73D95">
          <w:rPr>
            <w:rFonts w:ascii="Times New Roman" w:hAnsi="Times New Roman" w:cs="Times New Roman"/>
          </w:rPr>
          <w:fldChar w:fldCharType="end"/>
        </w:r>
      </w:p>
    </w:sdtContent>
  </w:sdt>
  <w:p w14:paraId="7AC90EEE" w14:textId="77777777" w:rsidR="00CE0F4A" w:rsidRDefault="00CE0F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BADA" w14:textId="77777777" w:rsidR="00CE0F4A" w:rsidRDefault="00CE0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278C7" w14:textId="77777777" w:rsidR="00CE0F4A" w:rsidRDefault="00CE0F4A" w:rsidP="00ED1765">
      <w:pPr>
        <w:spacing w:after="0" w:line="240" w:lineRule="auto"/>
      </w:pPr>
      <w:r>
        <w:separator/>
      </w:r>
    </w:p>
  </w:footnote>
  <w:footnote w:type="continuationSeparator" w:id="0">
    <w:p w14:paraId="0D4480E3" w14:textId="77777777" w:rsidR="00CE0F4A" w:rsidRDefault="00CE0F4A" w:rsidP="00ED1765">
      <w:pPr>
        <w:spacing w:after="0" w:line="240" w:lineRule="auto"/>
      </w:pPr>
      <w:r>
        <w:continuationSeparator/>
      </w:r>
    </w:p>
  </w:footnote>
  <w:footnote w:type="continuationNotice" w:id="1">
    <w:p w14:paraId="6AA1276F" w14:textId="77777777" w:rsidR="00CE0F4A" w:rsidRDefault="00CE0F4A">
      <w:pPr>
        <w:spacing w:after="0" w:line="240" w:lineRule="auto"/>
      </w:pPr>
    </w:p>
  </w:footnote>
  <w:footnote w:id="2">
    <w:p w14:paraId="5E23EFFD" w14:textId="77777777" w:rsidR="00CE0F4A" w:rsidRPr="004E6625" w:rsidRDefault="00CE0F4A" w:rsidP="00A76CE8">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A harmadik országokból behozott termékekre kivetett vámok, valamint a cukorilletékek.</w:t>
      </w:r>
      <w:r>
        <w:rPr>
          <w:rFonts w:ascii="Times New Roman" w:hAnsi="Times New Roman"/>
          <w:sz w:val="18"/>
        </w:rPr>
        <w:t xml:space="preserve"> </w:t>
      </w:r>
    </w:p>
  </w:footnote>
  <w:footnote w:id="3">
    <w:p w14:paraId="348F5C21" w14:textId="271C8751" w:rsidR="00CE0F4A" w:rsidRPr="00D00FEA" w:rsidRDefault="00CE0F4A" w:rsidP="00D00FEA">
      <w:pPr>
        <w:pStyle w:val="title-bold"/>
        <w:shd w:val="clear" w:color="auto" w:fill="FFFFFF"/>
        <w:spacing w:before="0" w:beforeAutospacing="0" w:after="75" w:afterAutospacing="0"/>
        <w:jc w:val="both"/>
        <w:rPr>
          <w:bCs/>
          <w:color w:val="333333"/>
          <w:sz w:val="20"/>
          <w:szCs w:val="20"/>
        </w:rPr>
      </w:pPr>
      <w:r>
        <w:rPr>
          <w:rStyle w:val="FootnoteReference"/>
          <w:sz w:val="20"/>
          <w:szCs w:val="20"/>
        </w:rPr>
        <w:footnoteRef/>
      </w:r>
      <w:r>
        <w:rPr>
          <w:sz w:val="20"/>
        </w:rPr>
        <w:t xml:space="preserve"> </w:t>
      </w:r>
      <w:r>
        <w:rPr>
          <w:color w:val="333333"/>
          <w:sz w:val="20"/>
        </w:rPr>
        <w:t xml:space="preserve">A Tanács 608/2014/EU, Euratom rendelete (2014. május 26.) az Európai Unió saját forrásainak rendszerére vonatkozó végrehajtási intézkedésekről </w:t>
      </w:r>
      <w:r>
        <w:rPr>
          <w:sz w:val="20"/>
        </w:rPr>
        <w:t>(HL L 168., 2014.6.7., 29. o.).</w:t>
      </w:r>
    </w:p>
  </w:footnote>
  <w:footnote w:id="4">
    <w:p w14:paraId="7ACE228B" w14:textId="7A2F31C0" w:rsidR="00CE0F4A" w:rsidRPr="00A76CE8" w:rsidRDefault="00CE0F4A" w:rsidP="00A76C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333333"/>
          <w:shd w:val="clear" w:color="auto" w:fill="FFFFFF"/>
        </w:rPr>
        <w:t xml:space="preserve">A Tanács (EU, Euratom) 2021/768 rendelete (2021. április 30.) az Európai Unió saját forrásainak rendszerére vonatkozó végrehajtási intézkedések megállapításáról és a 608/2014/EU, Euratom rendelet hatályon kívül helyezéséről </w:t>
      </w:r>
      <w:r>
        <w:rPr>
          <w:rFonts w:ascii="Times New Roman" w:hAnsi="Times New Roman"/>
        </w:rPr>
        <w:t xml:space="preserve">(HL L 165., 2021.5.11., 1. o.). </w:t>
      </w:r>
    </w:p>
  </w:footnote>
  <w:footnote w:id="5">
    <w:p w14:paraId="3CBC8606" w14:textId="77777777" w:rsidR="00CE0F4A" w:rsidRPr="004E0AA2" w:rsidRDefault="00CE0F4A" w:rsidP="00A76CE8">
      <w:pPr>
        <w:pStyle w:val="FootnoteText"/>
        <w:ind w:right="-4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rPr>
        <w:t>A 608/2014/EU, Euratom tanácsi rendelet és az (EU, Euratom) 2021/768 tanácsi rendelet 6. cikkének (3) bekezdése szerint.</w:t>
      </w:r>
      <w:r>
        <w:rPr>
          <w:rFonts w:ascii="Times New Roman" w:hAnsi="Times New Roman"/>
          <w:sz w:val="18"/>
        </w:rPr>
        <w:t xml:space="preserve"> </w:t>
      </w:r>
    </w:p>
  </w:footnote>
  <w:footnote w:id="6">
    <w:p w14:paraId="76046D87" w14:textId="77777777" w:rsidR="00CE0F4A" w:rsidRPr="004E6625" w:rsidRDefault="00CE0F4A" w:rsidP="00A76CE8">
      <w:pPr>
        <w:pStyle w:val="FootnoteText"/>
        <w:ind w:left="142" w:right="-46" w:hanging="142"/>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A jelentés az uniós intézmények (a Bizottság és a Számvevőszék) által végzett ellenőrzésekre összpontosít. Nem foglalkozik a tagállamok által végzett ellenőrzésekkel, amelyek eredményeit az Európai Unió működéséről szóló szerződés 325. cikke alapján összeállított éves jelentés részletezi.</w:t>
      </w:r>
    </w:p>
  </w:footnote>
  <w:footnote w:id="7">
    <w:p w14:paraId="6BB4D276" w14:textId="25154B66" w:rsidR="00CE0F4A" w:rsidRPr="00656671" w:rsidRDefault="00CE0F4A">
      <w:pPr>
        <w:pStyle w:val="FootnoteText"/>
      </w:pPr>
      <w:r>
        <w:rPr>
          <w:rStyle w:val="FootnoteReference"/>
        </w:rPr>
        <w:footnoteRef/>
      </w:r>
      <w:r>
        <w:t xml:space="preserve"> </w:t>
      </w:r>
      <w:r>
        <w:rPr>
          <w:rFonts w:ascii="Times New Roman" w:hAnsi="Times New Roman"/>
          <w:color w:val="333333"/>
          <w:shd w:val="clear" w:color="auto" w:fill="FFFFFF"/>
        </w:rPr>
        <w:t xml:space="preserve">A Tanács 609/2014/EU, Euratom rendelete (2014. május 26.) a tradicionális, a héa- és a GNI-alapú saját források rendelkezésre bocsátásának módszereiről és eljárásáról, valamint a készpénzigények teljesítését célzó intézkedésekről (átdolgozás) </w:t>
      </w:r>
      <w:r>
        <w:rPr>
          <w:rFonts w:ascii="Times New Roman" w:hAnsi="Times New Roman"/>
        </w:rPr>
        <w:t>(HL L 168., 2014.6.7., 39. o.). Ez a rendelet a „rendelkezésre bocsátásról szóló rendelet” néven ismert.</w:t>
      </w:r>
    </w:p>
  </w:footnote>
  <w:footnote w:id="8">
    <w:p w14:paraId="22EAB8E6" w14:textId="0882C3FF" w:rsidR="00CE0F4A" w:rsidRPr="009E23B1" w:rsidRDefault="00CE0F4A">
      <w:pPr>
        <w:pStyle w:val="FootnoteText"/>
      </w:pPr>
      <w:r>
        <w:rPr>
          <w:rStyle w:val="FootnoteReference"/>
          <w:rFonts w:ascii="Times New Roman" w:hAnsi="Times New Roman" w:cs="Times New Roman"/>
          <w:sz w:val="18"/>
          <w:szCs w:val="18"/>
        </w:rPr>
        <w:footnoteRef/>
      </w:r>
      <w:r>
        <w:t xml:space="preserve"> </w:t>
      </w:r>
      <w:r>
        <w:rPr>
          <w:rFonts w:ascii="Times New Roman" w:hAnsi="Times New Roman"/>
          <w:sz w:val="18"/>
        </w:rPr>
        <w:t>A „rendelkezésre bocsátás” kifejezés a források tagállamok általi, uniós költségvetésbe való befizetésére utal.</w:t>
      </w:r>
    </w:p>
  </w:footnote>
  <w:footnote w:id="9">
    <w:p w14:paraId="21C415EA" w14:textId="77777777" w:rsidR="00CE0F4A" w:rsidRPr="004E0AA2" w:rsidRDefault="00CE0F4A" w:rsidP="00017798">
      <w:pPr>
        <w:pStyle w:val="FootnoteText"/>
        <w:ind w:left="142" w:right="-46"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Ez az arány 2001. február 28-ig 10 %, 2001. március 1. és 2014. február 28. között 25 %, 2014. március 1. és 2021. február 28. között pedig 20 % volt. 2021. március 1. óta az alkalmazandó arány 25 %.</w:t>
      </w:r>
    </w:p>
  </w:footnote>
  <w:footnote w:id="10">
    <w:p w14:paraId="7A897AFC" w14:textId="77777777" w:rsidR="00CE0F4A" w:rsidRPr="00DE37CC" w:rsidRDefault="00CE0F4A" w:rsidP="00B54E93">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b/>
          <w:sz w:val="18"/>
        </w:rPr>
        <w:t>A szabályozások esetében</w:t>
      </w:r>
      <w:r>
        <w:rPr>
          <w:rFonts w:ascii="Times New Roman" w:hAnsi="Times New Roman"/>
          <w:sz w:val="18"/>
        </w:rPr>
        <w:t xml:space="preserve">: a tradicionális saját források beszedési rendszerére vonatkozó tagállami rendelkezések ellenőrzése. </w:t>
      </w:r>
      <w:r>
        <w:rPr>
          <w:rFonts w:ascii="Times New Roman" w:hAnsi="Times New Roman"/>
          <w:b/>
          <w:sz w:val="18"/>
        </w:rPr>
        <w:t>A dokumentumok esetében</w:t>
      </w:r>
      <w:r>
        <w:rPr>
          <w:rFonts w:ascii="Times New Roman" w:hAnsi="Times New Roman"/>
          <w:sz w:val="18"/>
        </w:rPr>
        <w:t xml:space="preserve">: a tagállamokból származó számviteli kimutatások és egyéb számviteli dokumentumok és iratok vizsgálata, beleértve a tagállamoknak a behajthatatlan jogosultságokra vonatkozó jelentéseit is. </w:t>
      </w:r>
      <w:r>
        <w:rPr>
          <w:rFonts w:ascii="Times New Roman" w:hAnsi="Times New Roman"/>
          <w:b/>
          <w:sz w:val="18"/>
        </w:rPr>
        <w:t>Helyszíni és távoli ellenőrzések, dokumentumalapú ellenőrzések</w:t>
      </w:r>
      <w:r>
        <w:rPr>
          <w:rFonts w:ascii="Times New Roman" w:hAnsi="Times New Roman"/>
          <w:sz w:val="18"/>
        </w:rPr>
        <w:t>: a nemzeti rendszerek és a kapcsolódó dokumentumok uniós jogszabályok szerinti megfelelésének ellenőrzése számviteli és vámügyi szempontból. A Bizottság ezeket az ellenőrzéseket az érintett tagállamokkal közösen végzi.</w:t>
      </w:r>
    </w:p>
  </w:footnote>
  <w:footnote w:id="11">
    <w:p w14:paraId="30209600" w14:textId="48289891" w:rsidR="00CE0F4A" w:rsidRPr="00564D96" w:rsidRDefault="00CE0F4A">
      <w:pPr>
        <w:pStyle w:val="FootnoteText"/>
      </w:pPr>
      <w:r>
        <w:rPr>
          <w:rStyle w:val="FootnoteReference"/>
        </w:rPr>
        <w:footnoteRef/>
      </w:r>
      <w:r>
        <w:t xml:space="preserve"> </w:t>
      </w:r>
      <w:r>
        <w:rPr>
          <w:rFonts w:ascii="Times New Roman" w:hAnsi="Times New Roman"/>
          <w:sz w:val="18"/>
        </w:rPr>
        <w:t>A Tanács (EU, Euratom) 2020/2053 határozata (2020. december 14.) az Európai Unió saját forrásainak rendszeréről és a 2014/335/EU, Euratom határozat hatályon kívül helyezéséről (HL L 424., 2020.12.15., 1. o.).</w:t>
      </w:r>
    </w:p>
  </w:footnote>
  <w:footnote w:id="12">
    <w:p w14:paraId="40167DEE" w14:textId="77777777" w:rsidR="00CE0F4A" w:rsidRDefault="00CE0F4A" w:rsidP="00177700">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 tagállamok a TOR-összegeket a következő két számla egyikére könyvelik: </w:t>
      </w:r>
    </w:p>
    <w:p w14:paraId="39E9E116" w14:textId="77777777" w:rsidR="00CE0F4A" w:rsidRDefault="00CE0F4A" w:rsidP="00177700">
      <w:pPr>
        <w:pStyle w:val="FootnoteText"/>
        <w:ind w:left="284" w:hanging="142"/>
        <w:jc w:val="both"/>
        <w:rPr>
          <w:rFonts w:ascii="Times New Roman" w:hAnsi="Times New Roman" w:cs="Times New Roman"/>
          <w:sz w:val="18"/>
          <w:szCs w:val="18"/>
        </w:rPr>
      </w:pPr>
      <w:r>
        <w:rPr>
          <w:rFonts w:ascii="Times New Roman" w:hAnsi="Times New Roman"/>
          <w:sz w:val="18"/>
        </w:rPr>
        <w:t xml:space="preserve">– a </w:t>
      </w:r>
      <w:r>
        <w:rPr>
          <w:rFonts w:ascii="Times New Roman" w:hAnsi="Times New Roman"/>
          <w:b/>
          <w:sz w:val="18"/>
        </w:rPr>
        <w:t>rendes (A-) számlára</w:t>
      </w:r>
      <w:r>
        <w:rPr>
          <w:rFonts w:ascii="Times New Roman" w:hAnsi="Times New Roman"/>
          <w:sz w:val="18"/>
        </w:rPr>
        <w:t xml:space="preserve"> a beszedett vagy biztosítékkal fedezett összegek esetében (ezeket befizetik az uniós költségvetésbe), </w:t>
      </w:r>
    </w:p>
    <w:p w14:paraId="5C6CE9B9" w14:textId="77777777" w:rsidR="00CE0F4A" w:rsidRPr="00155864" w:rsidRDefault="00CE0F4A" w:rsidP="00177700">
      <w:pPr>
        <w:pStyle w:val="FootnoteText"/>
        <w:ind w:left="142"/>
        <w:jc w:val="both"/>
        <w:rPr>
          <w:rFonts w:ascii="Times New Roman" w:hAnsi="Times New Roman" w:cs="Times New Roman"/>
          <w:sz w:val="18"/>
          <w:szCs w:val="18"/>
        </w:rPr>
      </w:pPr>
      <w:r>
        <w:rPr>
          <w:rFonts w:ascii="Times New Roman" w:hAnsi="Times New Roman"/>
          <w:sz w:val="18"/>
        </w:rPr>
        <w:t xml:space="preserve">– az </w:t>
      </w:r>
      <w:r>
        <w:rPr>
          <w:rFonts w:ascii="Times New Roman" w:hAnsi="Times New Roman"/>
          <w:b/>
          <w:sz w:val="18"/>
        </w:rPr>
        <w:t>elkülönített (B-) számlára</w:t>
      </w:r>
      <w:r>
        <w:rPr>
          <w:rFonts w:ascii="Times New Roman" w:hAnsi="Times New Roman"/>
          <w:sz w:val="18"/>
        </w:rPr>
        <w:t xml:space="preserve"> a beszedetlen vagy biztosítékkal fedezett, de kifogásolt összegek esetében. A </w:t>
      </w:r>
      <w:r>
        <w:rPr>
          <w:rFonts w:ascii="Times New Roman" w:hAnsi="Times New Roman"/>
          <w:b/>
          <w:sz w:val="18"/>
        </w:rPr>
        <w:t>behajthatatlan</w:t>
      </w:r>
      <w:r>
        <w:rPr>
          <w:rFonts w:ascii="Times New Roman" w:hAnsi="Times New Roman"/>
          <w:sz w:val="18"/>
        </w:rPr>
        <w:t xml:space="preserve"> vámoknak megfelelő TOR-összegeket meghatározott idő elteltével törölni kell az elkülönített számláról. Ezeket a TOR-összegeket a törléssel egyidejűleg a Bizottság rendelkezésére kell bocsátani (be kell fizetni), kivéve, ha a beszedés elmaradására elháríthatatlan külső okból, a tagállamnak fel nem róható más okból, vagy olyan esetben kerül sor, amikor a könyvelésbe vételt vagy a vámtartozás közlését annak érdekében halasztják el, hogy az ne veszélyeztesse az Unió pénzügyi érdekeit érintő bűnügyi nyomozást.</w:t>
      </w:r>
    </w:p>
  </w:footnote>
  <w:footnote w:id="13">
    <w:p w14:paraId="594F4B27" w14:textId="610A2046" w:rsidR="00CE0F4A" w:rsidRDefault="00CE0F4A" w:rsidP="130CC94B">
      <w:pPr>
        <w:pStyle w:val="FootnoteText"/>
        <w:rPr>
          <w:rFonts w:ascii="Times New Roman" w:hAnsi="Times New Roman" w:cs="Times New Roman"/>
        </w:rPr>
      </w:pPr>
      <w:r>
        <w:rPr>
          <w:rStyle w:val="FootnoteReference"/>
          <w:rFonts w:ascii="Times New Roman" w:hAnsi="Times New Roman" w:cs="Times New Roman"/>
          <w:sz w:val="18"/>
          <w:szCs w:val="18"/>
        </w:rPr>
        <w:footnoteRef/>
      </w:r>
      <w:r>
        <w:t xml:space="preserve"> </w:t>
      </w:r>
      <w:r>
        <w:rPr>
          <w:rFonts w:ascii="Times New Roman" w:hAnsi="Times New Roman"/>
        </w:rPr>
        <w:t>Lásd az Európai Csalás Elleni Hivatal 2017. évi tizennyolcadik és 2018. évi tizenkilencedik éves jelentését.</w:t>
      </w:r>
    </w:p>
  </w:footnote>
  <w:footnote w:id="14">
    <w:p w14:paraId="567FE46A" w14:textId="7067AE71" w:rsidR="00CE0F4A" w:rsidRPr="002A7EEF" w:rsidRDefault="00CE0F4A" w:rsidP="000C381A">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Roboto" w:hAnsi="Roboto"/>
          <w:color w:val="333333"/>
          <w:shd w:val="clear" w:color="auto" w:fill="FFFFFF"/>
        </w:rPr>
        <w:t xml:space="preserve">A Bizottság (EU) 2016/184 végrehajtási rendelete (2016. február 11.) a Kínai Népköztársaságból származó vagy ott feladott kristályos szilícium fotovillamos modulok és alapvető részeik (azaz elemek) behozatalára az 1239/2013/EU tanácsi végrehajtási rendelettel kivetett végleges kiegyenlítő vámnak a Malajziában és Tajvanon feladott – függetlenül attól, hogy az árut Malajziából és Tajvanról származóként jelentették-e be vagy sem – kristályos szilícium fotovillamos modulok és alapvető részeik (azaz elemek) behozatalára történő kiterjesztéséről </w:t>
      </w:r>
      <w:r>
        <w:rPr>
          <w:rFonts w:ascii="Times New Roman" w:hAnsi="Times New Roman"/>
        </w:rPr>
        <w:t xml:space="preserve">(HL L 37., 2016.2.12., 56. o.) és </w:t>
      </w:r>
      <w:r>
        <w:rPr>
          <w:rFonts w:ascii="Roboto" w:hAnsi="Roboto"/>
          <w:color w:val="333333"/>
          <w:shd w:val="clear" w:color="auto" w:fill="FFFFFF"/>
        </w:rPr>
        <w:t xml:space="preserve">A Bizottság (EU) 2016/185 végrehajtási rendelete (2016. február 11.) a Kínai Népköztársaságból származó vagy ott feladott kristályos szilícium fotovillamos modulok és alapvető részeik (azaz elemek) behozatalára az 1238/2013/EU tanácsi rendelettel kivetett végleges dömpingellenes vámnak a Malajziában és Tajvanon feladott – függetlenül attól, hogy az árut Malajziából és Tajvanról származóként jelentették-e be vagy sem – kristályos szilícium fotovillamos modulok és alapvető részeik (azaz elemek) behozatalára történő kiterjesztéséről </w:t>
      </w:r>
      <w:r>
        <w:rPr>
          <w:rFonts w:ascii="Times New Roman" w:hAnsi="Times New Roman"/>
        </w:rPr>
        <w:t xml:space="preserve">(76. o.). </w:t>
      </w:r>
    </w:p>
  </w:footnote>
  <w:footnote w:id="15">
    <w:p w14:paraId="036A978B" w14:textId="77777777" w:rsidR="00CE0F4A" w:rsidRPr="002A7EEF" w:rsidRDefault="00CE0F4A">
      <w:pPr>
        <w:pStyle w:val="FootnoteText"/>
        <w:rPr>
          <w:rFonts w:ascii="Times New Roman" w:hAnsi="Times New Roman" w:cs="Times New Roman"/>
          <w:iCs/>
        </w:rPr>
      </w:pPr>
      <w:r>
        <w:rPr>
          <w:rStyle w:val="FootnoteReference"/>
          <w:rFonts w:ascii="Times New Roman" w:hAnsi="Times New Roman" w:cs="Times New Roman"/>
        </w:rPr>
        <w:footnoteRef/>
      </w:r>
      <w:r>
        <w:rPr>
          <w:rFonts w:ascii="Times New Roman" w:hAnsi="Times New Roman"/>
        </w:rPr>
        <w:t xml:space="preserve"> A piacvédelmi intézkedések érvényességi időszaka.</w:t>
      </w:r>
    </w:p>
  </w:footnote>
  <w:footnote w:id="16">
    <w:p w14:paraId="2B446B97" w14:textId="77777777" w:rsidR="00CE0F4A" w:rsidRPr="002A7EEF" w:rsidRDefault="00CE0F4A" w:rsidP="002A7EEF">
      <w:pPr>
        <w:pStyle w:val="FootnoteText"/>
        <w:ind w:left="142" w:hanging="142"/>
        <w:jc w:val="both"/>
        <w:rPr>
          <w:rFonts w:ascii="Times New Roman" w:hAnsi="Times New Roman" w:cs="Times New Roman"/>
          <w:iCs/>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Ebből hét tagállamban korábban célzott ellenőrzés zajlott. Négy tagállam nem számolt be napelemmodulok és napelemek behozataláról a vizsgált időszakban.</w:t>
      </w:r>
    </w:p>
  </w:footnote>
  <w:footnote w:id="17">
    <w:p w14:paraId="78D9BAF6" w14:textId="6FF091FB" w:rsidR="00CE0F4A" w:rsidRPr="005D1B5F" w:rsidRDefault="00CE0F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Unió működéséről szóló szerződés 258. cikke. </w:t>
      </w:r>
    </w:p>
  </w:footnote>
  <w:footnote w:id="18">
    <w:p w14:paraId="7AE04D41" w14:textId="77777777" w:rsidR="00CE0F4A" w:rsidRPr="00441FD6" w:rsidRDefault="00CE0F4A" w:rsidP="002A7EE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Ez a szám tartalmazza az e jelentés 3.3., 3.4. és 5.2. pontjában feltüntetett összegeket. </w:t>
      </w:r>
    </w:p>
  </w:footnote>
  <w:footnote w:id="19">
    <w:p w14:paraId="5658B9C8" w14:textId="77777777" w:rsidR="00CE0F4A" w:rsidRPr="00B54E93" w:rsidRDefault="00CE0F4A" w:rsidP="00B54E93">
      <w:pPr>
        <w:pStyle w:val="FootnoteText"/>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sz w:val="18"/>
          <w:vertAlign w:val="superscript"/>
        </w:rPr>
        <w:t xml:space="preserve"> </w:t>
      </w:r>
      <w:r>
        <w:rPr>
          <w:rFonts w:ascii="Times New Roman" w:hAnsi="Times New Roman"/>
          <w:sz w:val="18"/>
        </w:rPr>
        <w:t>A következő adatok olyan véglegesen értékelt jelentéseket is tartalmaznak, amelyek benyújtására 2016 előtt került sor.</w:t>
      </w:r>
    </w:p>
  </w:footnote>
  <w:footnote w:id="20">
    <w:p w14:paraId="2FD795C4" w14:textId="4552CC0F" w:rsidR="00CE0F4A" w:rsidRPr="00213ADA" w:rsidRDefault="00CE0F4A">
      <w:pPr>
        <w:pStyle w:val="FootnoteText"/>
      </w:pPr>
      <w:r>
        <w:rPr>
          <w:rStyle w:val="FootnoteReference"/>
        </w:rPr>
        <w:footnoteRef/>
      </w:r>
      <w:r>
        <w:t xml:space="preserve"> </w:t>
      </w:r>
      <w:r>
        <w:rPr>
          <w:rFonts w:ascii="Times New Roman" w:hAnsi="Times New Roman"/>
          <w:sz w:val="18"/>
        </w:rPr>
        <w:t>Az (EU, Euratom) 2021/768 tanácsi rendelet 2020. december 31-én hatályon kívül helyezte a 608/2014/EU, Euratom tanácsi rendeletet.</w:t>
      </w:r>
      <w:r>
        <w:t xml:space="preserve"> </w:t>
      </w:r>
    </w:p>
  </w:footnote>
  <w:footnote w:id="21">
    <w:p w14:paraId="24DC0A6B" w14:textId="2D3FFA79" w:rsidR="00CE0F4A" w:rsidRPr="00115B5F" w:rsidRDefault="00CE0F4A" w:rsidP="00115B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333333"/>
          <w:shd w:val="clear" w:color="auto" w:fill="FFFFFF"/>
        </w:rPr>
        <w:t xml:space="preserve">A Bizottság (EU, Euratom) 2018/195 végrehajtási határozata (2018. február 8.) a 608/2014/EU, Euratom tanácsi rendelet szerint a tradicionális saját forrásokra való jogosultságokat érintő csalásokról és szabálytalanságokról, valamint a tradicionális forrásokra vonatkozó ellenőrzésekről szóló jelentések elkészítéséhez használandó formanyomtatványok megállapításáról </w:t>
      </w:r>
      <w:r>
        <w:rPr>
          <w:rFonts w:ascii="Times New Roman" w:hAnsi="Times New Roman"/>
        </w:rPr>
        <w:t xml:space="preserve">(HL L 36., 2018.2.9., 33. o.). </w:t>
      </w:r>
    </w:p>
  </w:footnote>
  <w:footnote w:id="22">
    <w:p w14:paraId="179A5454" w14:textId="0E9FDF67" w:rsidR="00CE0F4A" w:rsidRPr="00441FD6" w:rsidRDefault="00CE0F4A" w:rsidP="00441FD6">
      <w:pPr>
        <w:jc w:val="both"/>
        <w:rPr>
          <w:rFonts w:ascii="Times New Roman" w:eastAsia="Times New Roman" w:hAnsi="Times New Roman" w:cs="Times New Roman"/>
          <w:sz w:val="18"/>
          <w:szCs w:val="18"/>
        </w:rPr>
      </w:pPr>
      <w:r>
        <w:rPr>
          <w:rStyle w:val="FootnoteReference"/>
        </w:rPr>
        <w:footnoteRef/>
      </w:r>
      <w:r>
        <w:t xml:space="preserve"> </w:t>
      </w:r>
      <w:r>
        <w:rPr>
          <w:rFonts w:ascii="Times New Roman" w:hAnsi="Times New Roman"/>
          <w:sz w:val="18"/>
        </w:rPr>
        <w:t xml:space="preserve">Tartalmazza az Egyesült Királyság által bejelentett eseteket is. Az Egyesült Királyság 2020. január 31-én kilépett az EU-ból, és már nem tagja az EU-nak. Az Egyesült Királyságnak azonban az Egyesült Királyság Európai Unióból történő kilépéséről szóló megállapodás 136. cikke (2) bekezdésének c) és f) pontjában foglaltaknak megfelelően jelentenie kell a csalásokat és szabálytalanságokat. Ez a jelentéstételi kötelezettség a kilépésről rendelkező megállapodás 50. cikkében és 136. cikke (3) bekezdésének f) pontjában meghatározottak szerint 2026. február 20-ig tart.   </w:t>
      </w:r>
    </w:p>
  </w:footnote>
  <w:footnote w:id="23">
    <w:p w14:paraId="5E11F034" w14:textId="61902F68" w:rsidR="00CE0F4A" w:rsidRPr="006B1269" w:rsidRDefault="00CE0F4A" w:rsidP="006B1269">
      <w:pPr>
        <w:pStyle w:val="title-bold"/>
        <w:shd w:val="clear" w:color="auto" w:fill="FFFFFF"/>
        <w:spacing w:before="0" w:beforeAutospacing="0" w:after="75" w:afterAutospacing="0"/>
        <w:rPr>
          <w:rFonts w:eastAsiaTheme="minorHAnsi"/>
          <w:sz w:val="20"/>
          <w:szCs w:val="20"/>
        </w:rPr>
      </w:pPr>
      <w:r>
        <w:rPr>
          <w:rFonts w:eastAsiaTheme="minorHAnsi"/>
          <w:sz w:val="20"/>
          <w:szCs w:val="20"/>
          <w:lang w:val="en-GB" w:eastAsia="en-US"/>
        </w:rPr>
        <w:footnoteRef/>
      </w:r>
      <w:r>
        <w:rPr>
          <w:sz w:val="20"/>
        </w:rPr>
        <w:t>. A Bizottság közleménye az Európai Parlamentnek, a Tanácsnak, az Európai Gazdasági és Szociális Bizottságnak és a Régiók Bizottságának  – Az uniós költségvetés saját forrásainak következő generációja, COM(2021) 566 final, 2021. december 22.</w:t>
      </w:r>
    </w:p>
    <w:p w14:paraId="1C9BDB43" w14:textId="42C94EB6" w:rsidR="00CE0F4A" w:rsidRPr="006B1269" w:rsidRDefault="00CE0F4A">
      <w:pPr>
        <w:pStyle w:val="FootnoteText"/>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0E21" w14:textId="77777777" w:rsidR="00C357D2" w:rsidRPr="00C357D2" w:rsidRDefault="00C357D2" w:rsidP="00C35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8FDD" w14:textId="77777777" w:rsidR="00C357D2" w:rsidRPr="00C357D2" w:rsidRDefault="00C357D2" w:rsidP="00C357D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FB3A" w14:textId="77777777" w:rsidR="00C357D2" w:rsidRPr="00C357D2" w:rsidRDefault="00C357D2" w:rsidP="00C357D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FCBF" w14:textId="77777777" w:rsidR="00CE0F4A" w:rsidRDefault="00CE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3488" w14:textId="77777777" w:rsidR="00CE0F4A" w:rsidRDefault="00CE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BD9B5" w14:textId="77777777" w:rsidR="00CE0F4A" w:rsidRDefault="00CE0F4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VQmMFzq" int2:invalidationBookmarkName="" int2:hashCode="eXHmoFEQQHT9rg" int2:id="QJ7rRpsp">
      <int2:state int2:value="Rejected" int2:type="LegacyProofing"/>
    </int2:bookmark>
    <int2:bookmark int2:bookmarkName="_Int_RJjq0rR2" int2:invalidationBookmarkName="" int2:hashCode="MGusyDVshu5EJS" int2:id="fdpcxYU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178"/>
    <w:multiLevelType w:val="hybridMultilevel"/>
    <w:tmpl w:val="C060B964"/>
    <w:lvl w:ilvl="0" w:tplc="3990DC7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D6669"/>
    <w:multiLevelType w:val="hybridMultilevel"/>
    <w:tmpl w:val="FBEACFF6"/>
    <w:lvl w:ilvl="0" w:tplc="5DF6325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6047D"/>
    <w:multiLevelType w:val="hybridMultilevel"/>
    <w:tmpl w:val="A5BE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16D05"/>
    <w:multiLevelType w:val="hybridMultilevel"/>
    <w:tmpl w:val="B1F6B686"/>
    <w:lvl w:ilvl="0" w:tplc="2326F5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72F10"/>
    <w:multiLevelType w:val="hybridMultilevel"/>
    <w:tmpl w:val="7DE4FC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9F7587"/>
    <w:multiLevelType w:val="hybridMultilevel"/>
    <w:tmpl w:val="2390A00A"/>
    <w:lvl w:ilvl="0" w:tplc="1E40DFD6">
      <w:start w:val="1"/>
      <w:numFmt w:val="bullet"/>
      <w:lvlText w:val="•"/>
      <w:lvlJc w:val="left"/>
      <w:pPr>
        <w:tabs>
          <w:tab w:val="num" w:pos="720"/>
        </w:tabs>
        <w:ind w:left="720" w:hanging="360"/>
      </w:pPr>
      <w:rPr>
        <w:rFonts w:ascii="Arial" w:hAnsi="Arial" w:hint="default"/>
      </w:rPr>
    </w:lvl>
    <w:lvl w:ilvl="1" w:tplc="9B48AE12">
      <w:start w:val="238"/>
      <w:numFmt w:val="bullet"/>
      <w:lvlText w:val="•"/>
      <w:lvlJc w:val="left"/>
      <w:pPr>
        <w:tabs>
          <w:tab w:val="num" w:pos="1440"/>
        </w:tabs>
        <w:ind w:left="1440" w:hanging="360"/>
      </w:pPr>
      <w:rPr>
        <w:rFonts w:ascii="Times New Roman" w:hAnsi="Times New Roman" w:hint="default"/>
      </w:rPr>
    </w:lvl>
    <w:lvl w:ilvl="2" w:tplc="92428A52" w:tentative="1">
      <w:start w:val="1"/>
      <w:numFmt w:val="bullet"/>
      <w:lvlText w:val="•"/>
      <w:lvlJc w:val="left"/>
      <w:pPr>
        <w:tabs>
          <w:tab w:val="num" w:pos="2160"/>
        </w:tabs>
        <w:ind w:left="2160" w:hanging="360"/>
      </w:pPr>
      <w:rPr>
        <w:rFonts w:ascii="Arial" w:hAnsi="Arial" w:hint="default"/>
      </w:rPr>
    </w:lvl>
    <w:lvl w:ilvl="3" w:tplc="E978556C" w:tentative="1">
      <w:start w:val="1"/>
      <w:numFmt w:val="bullet"/>
      <w:lvlText w:val="•"/>
      <w:lvlJc w:val="left"/>
      <w:pPr>
        <w:tabs>
          <w:tab w:val="num" w:pos="2880"/>
        </w:tabs>
        <w:ind w:left="2880" w:hanging="360"/>
      </w:pPr>
      <w:rPr>
        <w:rFonts w:ascii="Arial" w:hAnsi="Arial" w:hint="default"/>
      </w:rPr>
    </w:lvl>
    <w:lvl w:ilvl="4" w:tplc="71E841EA" w:tentative="1">
      <w:start w:val="1"/>
      <w:numFmt w:val="bullet"/>
      <w:lvlText w:val="•"/>
      <w:lvlJc w:val="left"/>
      <w:pPr>
        <w:tabs>
          <w:tab w:val="num" w:pos="3600"/>
        </w:tabs>
        <w:ind w:left="3600" w:hanging="360"/>
      </w:pPr>
      <w:rPr>
        <w:rFonts w:ascii="Arial" w:hAnsi="Arial" w:hint="default"/>
      </w:rPr>
    </w:lvl>
    <w:lvl w:ilvl="5" w:tplc="045A4214" w:tentative="1">
      <w:start w:val="1"/>
      <w:numFmt w:val="bullet"/>
      <w:lvlText w:val="•"/>
      <w:lvlJc w:val="left"/>
      <w:pPr>
        <w:tabs>
          <w:tab w:val="num" w:pos="4320"/>
        </w:tabs>
        <w:ind w:left="4320" w:hanging="360"/>
      </w:pPr>
      <w:rPr>
        <w:rFonts w:ascii="Arial" w:hAnsi="Arial" w:hint="default"/>
      </w:rPr>
    </w:lvl>
    <w:lvl w:ilvl="6" w:tplc="5AD2A06C" w:tentative="1">
      <w:start w:val="1"/>
      <w:numFmt w:val="bullet"/>
      <w:lvlText w:val="•"/>
      <w:lvlJc w:val="left"/>
      <w:pPr>
        <w:tabs>
          <w:tab w:val="num" w:pos="5040"/>
        </w:tabs>
        <w:ind w:left="5040" w:hanging="360"/>
      </w:pPr>
      <w:rPr>
        <w:rFonts w:ascii="Arial" w:hAnsi="Arial" w:hint="default"/>
      </w:rPr>
    </w:lvl>
    <w:lvl w:ilvl="7" w:tplc="C0E45BA8" w:tentative="1">
      <w:start w:val="1"/>
      <w:numFmt w:val="bullet"/>
      <w:lvlText w:val="•"/>
      <w:lvlJc w:val="left"/>
      <w:pPr>
        <w:tabs>
          <w:tab w:val="num" w:pos="5760"/>
        </w:tabs>
        <w:ind w:left="5760" w:hanging="360"/>
      </w:pPr>
      <w:rPr>
        <w:rFonts w:ascii="Arial" w:hAnsi="Arial" w:hint="default"/>
      </w:rPr>
    </w:lvl>
    <w:lvl w:ilvl="8" w:tplc="912836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094648"/>
    <w:multiLevelType w:val="hybridMultilevel"/>
    <w:tmpl w:val="D374B906"/>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D0393"/>
    <w:multiLevelType w:val="hybridMultilevel"/>
    <w:tmpl w:val="96C8E932"/>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5D576"/>
    <w:multiLevelType w:val="hybridMultilevel"/>
    <w:tmpl w:val="52BA168C"/>
    <w:lvl w:ilvl="0" w:tplc="4404BCF0">
      <w:start w:val="1"/>
      <w:numFmt w:val="bullet"/>
      <w:lvlText w:val="-"/>
      <w:lvlJc w:val="left"/>
      <w:pPr>
        <w:ind w:left="720" w:hanging="360"/>
      </w:pPr>
      <w:rPr>
        <w:rFonts w:ascii="Calibri" w:hAnsi="Calibri" w:hint="default"/>
      </w:rPr>
    </w:lvl>
    <w:lvl w:ilvl="1" w:tplc="E3E20086">
      <w:start w:val="1"/>
      <w:numFmt w:val="bullet"/>
      <w:lvlText w:val="o"/>
      <w:lvlJc w:val="left"/>
      <w:pPr>
        <w:ind w:left="1440" w:hanging="360"/>
      </w:pPr>
      <w:rPr>
        <w:rFonts w:ascii="Courier New" w:hAnsi="Courier New" w:hint="default"/>
      </w:rPr>
    </w:lvl>
    <w:lvl w:ilvl="2" w:tplc="8D686BE2">
      <w:start w:val="1"/>
      <w:numFmt w:val="bullet"/>
      <w:lvlText w:val=""/>
      <w:lvlJc w:val="left"/>
      <w:pPr>
        <w:ind w:left="2160" w:hanging="360"/>
      </w:pPr>
      <w:rPr>
        <w:rFonts w:ascii="Wingdings" w:hAnsi="Wingdings" w:hint="default"/>
      </w:rPr>
    </w:lvl>
    <w:lvl w:ilvl="3" w:tplc="4082408E">
      <w:start w:val="1"/>
      <w:numFmt w:val="bullet"/>
      <w:lvlText w:val=""/>
      <w:lvlJc w:val="left"/>
      <w:pPr>
        <w:ind w:left="2880" w:hanging="360"/>
      </w:pPr>
      <w:rPr>
        <w:rFonts w:ascii="Symbol" w:hAnsi="Symbol" w:hint="default"/>
      </w:rPr>
    </w:lvl>
    <w:lvl w:ilvl="4" w:tplc="FF6C63AC">
      <w:start w:val="1"/>
      <w:numFmt w:val="bullet"/>
      <w:lvlText w:val="o"/>
      <w:lvlJc w:val="left"/>
      <w:pPr>
        <w:ind w:left="3600" w:hanging="360"/>
      </w:pPr>
      <w:rPr>
        <w:rFonts w:ascii="Courier New" w:hAnsi="Courier New" w:hint="default"/>
      </w:rPr>
    </w:lvl>
    <w:lvl w:ilvl="5" w:tplc="1C86869A">
      <w:start w:val="1"/>
      <w:numFmt w:val="bullet"/>
      <w:lvlText w:val=""/>
      <w:lvlJc w:val="left"/>
      <w:pPr>
        <w:ind w:left="4320" w:hanging="360"/>
      </w:pPr>
      <w:rPr>
        <w:rFonts w:ascii="Wingdings" w:hAnsi="Wingdings" w:hint="default"/>
      </w:rPr>
    </w:lvl>
    <w:lvl w:ilvl="6" w:tplc="47F25C06">
      <w:start w:val="1"/>
      <w:numFmt w:val="bullet"/>
      <w:lvlText w:val=""/>
      <w:lvlJc w:val="left"/>
      <w:pPr>
        <w:ind w:left="5040" w:hanging="360"/>
      </w:pPr>
      <w:rPr>
        <w:rFonts w:ascii="Symbol" w:hAnsi="Symbol" w:hint="default"/>
      </w:rPr>
    </w:lvl>
    <w:lvl w:ilvl="7" w:tplc="DBFCD918">
      <w:start w:val="1"/>
      <w:numFmt w:val="bullet"/>
      <w:lvlText w:val="o"/>
      <w:lvlJc w:val="left"/>
      <w:pPr>
        <w:ind w:left="5760" w:hanging="360"/>
      </w:pPr>
      <w:rPr>
        <w:rFonts w:ascii="Courier New" w:hAnsi="Courier New" w:hint="default"/>
      </w:rPr>
    </w:lvl>
    <w:lvl w:ilvl="8" w:tplc="EFB6BF06">
      <w:start w:val="1"/>
      <w:numFmt w:val="bullet"/>
      <w:lvlText w:val=""/>
      <w:lvlJc w:val="left"/>
      <w:pPr>
        <w:ind w:left="6480" w:hanging="360"/>
      </w:pPr>
      <w:rPr>
        <w:rFonts w:ascii="Wingdings" w:hAnsi="Wingdings" w:hint="default"/>
      </w:rPr>
    </w:lvl>
  </w:abstractNum>
  <w:abstractNum w:abstractNumId="9" w15:restartNumberingAfterBreak="0">
    <w:nsid w:val="513813EF"/>
    <w:multiLevelType w:val="hybridMultilevel"/>
    <w:tmpl w:val="014E702E"/>
    <w:lvl w:ilvl="0" w:tplc="6B88BB74">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7AC3356"/>
    <w:multiLevelType w:val="hybridMultilevel"/>
    <w:tmpl w:val="62FA9E14"/>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36625"/>
    <w:multiLevelType w:val="hybridMultilevel"/>
    <w:tmpl w:val="B2A2737C"/>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7"/>
  </w:num>
  <w:num w:numId="5">
    <w:abstractNumId w:val="1"/>
  </w:num>
  <w:num w:numId="6">
    <w:abstractNumId w:val="0"/>
  </w:num>
  <w:num w:numId="7">
    <w:abstractNumId w:val="2"/>
  </w:num>
  <w:num w:numId="8">
    <w:abstractNumId w:val="5"/>
  </w:num>
  <w:num w:numId="9">
    <w:abstractNumId w:val="3"/>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MX" w:vendorID="64" w:dllVersion="6" w:nlCheck="1" w:checkStyle="0"/>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C2E60464-7501-4F49-9344-E8C2CCD56859"/>
    <w:docVar w:name="LW_COVERPAGE_TYPE" w:val="1"/>
    <w:docVar w:name="LW_CROSSREFERENCE" w:val="&lt;UNUSED&gt;"/>
    <w:docVar w:name="LW_DATE.ADOPT.CP_ISODATE" w:val="&lt;EMPTY&gt;"/>
    <w:docVar w:name="LW_DocType" w:val="NORMAL"/>
    <w:docVar w:name="LW_EMISSION" w:val="2023.4.4."/>
    <w:docVar w:name="LW_EMISSION_ISODATE" w:val="2023-04-04"/>
    <w:docVar w:name="LW_EMISSION_LOCATION" w:val="BRX"/>
    <w:docVar w:name="LW_EMISSION_PREFIX" w:val="Brüsszel, "/>
    <w:docVar w:name="LW_EMISSION_SUFFIX" w:val=" "/>
    <w:docVar w:name="LW_ID_DOCTYPE_NONLW" w:val="CP-006"/>
    <w:docVar w:name="LW_INTERETEEE.CP" w:val="&lt;UNUSED&gt;"/>
    <w:docVar w:name="LW_LANGUE" w:val="HU"/>
    <w:docVar w:name="LW_LANGUESFAISANTFOI.CP" w:val="&lt;UNUSED&gt;"/>
    <w:docVar w:name="LW_LEVEL_OF_SENSITIVITY" w:val="Standard treatment"/>
    <w:docVar w:name="LW_NOM.INST" w:val="EURÓPAI BIZOTTSÁG"/>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3"/>
    <w:docVar w:name="LW_REF.INST.NEW" w:val="COM"/>
    <w:docVar w:name="LW_REF.INST.NEW_ADOPTED" w:val="final"/>
    <w:docVar w:name="LW_REF.INST.NEW_TEXT" w:val="(2023) 1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 tradicionális saját forrásokra vonatkozó ellenőrzési intézkedések működéséről (2019–2021) az Európai Unió saját forrásainak rendszerére vonatkozó végrehajtási intézkedések megállapításáról szóló, 2021. április 30-i (EU, Euratom) 2021/768 tanácsi rendelet 6. cikkének (3) bekezdése szerint&lt;/FMT&gt;_x000b_"/>
    <w:docVar w:name="LW_TYPE.DOC.CP" w:val="A BIZOTTSÁG JELENTÉSE AZ EURÓPAI PARLAMENTNEK ÉS A TANÁCSNAK"/>
    <w:docVar w:name="LW_TYPEACTEPRINCIPAL.CP" w:val="&lt;UNUSED&gt;"/>
    <w:docVar w:name="LwApiVersions" w:val="LW4CoDe 1.23.2.0; LW 8.0, Build 20211117"/>
  </w:docVars>
  <w:rsids>
    <w:rsidRoot w:val="00ED1765"/>
    <w:rsid w:val="00014708"/>
    <w:rsid w:val="000163BE"/>
    <w:rsid w:val="00016D1C"/>
    <w:rsid w:val="00017798"/>
    <w:rsid w:val="00020955"/>
    <w:rsid w:val="000213DA"/>
    <w:rsid w:val="0002444E"/>
    <w:rsid w:val="0003550B"/>
    <w:rsid w:val="000355FF"/>
    <w:rsid w:val="000417D3"/>
    <w:rsid w:val="00044CAF"/>
    <w:rsid w:val="00045468"/>
    <w:rsid w:val="00045E7D"/>
    <w:rsid w:val="00047B41"/>
    <w:rsid w:val="00051358"/>
    <w:rsid w:val="000531DF"/>
    <w:rsid w:val="0006432F"/>
    <w:rsid w:val="00066010"/>
    <w:rsid w:val="0006646A"/>
    <w:rsid w:val="00067E6F"/>
    <w:rsid w:val="00071758"/>
    <w:rsid w:val="0007473B"/>
    <w:rsid w:val="00074A63"/>
    <w:rsid w:val="000772EB"/>
    <w:rsid w:val="00095FC5"/>
    <w:rsid w:val="00097CA7"/>
    <w:rsid w:val="000A13DA"/>
    <w:rsid w:val="000A4E32"/>
    <w:rsid w:val="000A741D"/>
    <w:rsid w:val="000C24B9"/>
    <w:rsid w:val="000C381A"/>
    <w:rsid w:val="000D46BC"/>
    <w:rsid w:val="000D6E75"/>
    <w:rsid w:val="000E235A"/>
    <w:rsid w:val="000E441D"/>
    <w:rsid w:val="001005DE"/>
    <w:rsid w:val="00100E4A"/>
    <w:rsid w:val="001030C6"/>
    <w:rsid w:val="00103325"/>
    <w:rsid w:val="00107AC7"/>
    <w:rsid w:val="0011114D"/>
    <w:rsid w:val="00114654"/>
    <w:rsid w:val="00115B5F"/>
    <w:rsid w:val="00117781"/>
    <w:rsid w:val="00117967"/>
    <w:rsid w:val="00122DA4"/>
    <w:rsid w:val="00124CFE"/>
    <w:rsid w:val="001275FB"/>
    <w:rsid w:val="0013713F"/>
    <w:rsid w:val="00137F24"/>
    <w:rsid w:val="00145DE7"/>
    <w:rsid w:val="00146382"/>
    <w:rsid w:val="00154DBD"/>
    <w:rsid w:val="00155864"/>
    <w:rsid w:val="00160027"/>
    <w:rsid w:val="00177700"/>
    <w:rsid w:val="001810A2"/>
    <w:rsid w:val="00182C85"/>
    <w:rsid w:val="001869F0"/>
    <w:rsid w:val="00192C53"/>
    <w:rsid w:val="001A1C15"/>
    <w:rsid w:val="001A24B0"/>
    <w:rsid w:val="001A4609"/>
    <w:rsid w:val="001A7923"/>
    <w:rsid w:val="001B06A7"/>
    <w:rsid w:val="001B39D9"/>
    <w:rsid w:val="001C00F2"/>
    <w:rsid w:val="001C2800"/>
    <w:rsid w:val="001C3E30"/>
    <w:rsid w:val="001C538F"/>
    <w:rsid w:val="001C5730"/>
    <w:rsid w:val="001D2709"/>
    <w:rsid w:val="001D3099"/>
    <w:rsid w:val="001E108B"/>
    <w:rsid w:val="001E1C71"/>
    <w:rsid w:val="001E30CA"/>
    <w:rsid w:val="001E3CD0"/>
    <w:rsid w:val="001F463B"/>
    <w:rsid w:val="001F72AB"/>
    <w:rsid w:val="001F7999"/>
    <w:rsid w:val="00203E74"/>
    <w:rsid w:val="00213ADA"/>
    <w:rsid w:val="00214598"/>
    <w:rsid w:val="00215959"/>
    <w:rsid w:val="00217F58"/>
    <w:rsid w:val="0022165C"/>
    <w:rsid w:val="0023022D"/>
    <w:rsid w:val="00237A05"/>
    <w:rsid w:val="002405C3"/>
    <w:rsid w:val="00245E8C"/>
    <w:rsid w:val="002479B1"/>
    <w:rsid w:val="00253B42"/>
    <w:rsid w:val="00254B5F"/>
    <w:rsid w:val="00255C6A"/>
    <w:rsid w:val="00260817"/>
    <w:rsid w:val="00267390"/>
    <w:rsid w:val="00267CE5"/>
    <w:rsid w:val="00270372"/>
    <w:rsid w:val="00270C19"/>
    <w:rsid w:val="00270C55"/>
    <w:rsid w:val="00272FF5"/>
    <w:rsid w:val="00276129"/>
    <w:rsid w:val="0027724E"/>
    <w:rsid w:val="00280081"/>
    <w:rsid w:val="00291C26"/>
    <w:rsid w:val="002954B7"/>
    <w:rsid w:val="002956FD"/>
    <w:rsid w:val="00297BA6"/>
    <w:rsid w:val="002A1A04"/>
    <w:rsid w:val="002A3D3B"/>
    <w:rsid w:val="002A7EEF"/>
    <w:rsid w:val="002B10D5"/>
    <w:rsid w:val="002B5E3B"/>
    <w:rsid w:val="002C18BC"/>
    <w:rsid w:val="002C1FDB"/>
    <w:rsid w:val="002C7AA7"/>
    <w:rsid w:val="002D1B49"/>
    <w:rsid w:val="002F0013"/>
    <w:rsid w:val="002F0DFA"/>
    <w:rsid w:val="002F2141"/>
    <w:rsid w:val="002F5C40"/>
    <w:rsid w:val="0030409E"/>
    <w:rsid w:val="003056BB"/>
    <w:rsid w:val="00306583"/>
    <w:rsid w:val="0030AF73"/>
    <w:rsid w:val="00311A8E"/>
    <w:rsid w:val="00324F55"/>
    <w:rsid w:val="00327C7B"/>
    <w:rsid w:val="00330826"/>
    <w:rsid w:val="00330A4F"/>
    <w:rsid w:val="003311E9"/>
    <w:rsid w:val="00331224"/>
    <w:rsid w:val="00331A9D"/>
    <w:rsid w:val="00332E02"/>
    <w:rsid w:val="00333FBE"/>
    <w:rsid w:val="00346A89"/>
    <w:rsid w:val="00351C8A"/>
    <w:rsid w:val="00352DC5"/>
    <w:rsid w:val="00354186"/>
    <w:rsid w:val="00355F0A"/>
    <w:rsid w:val="003572A9"/>
    <w:rsid w:val="00357C01"/>
    <w:rsid w:val="003632DC"/>
    <w:rsid w:val="00367B35"/>
    <w:rsid w:val="00373E8A"/>
    <w:rsid w:val="00377FB8"/>
    <w:rsid w:val="003848F1"/>
    <w:rsid w:val="00391DED"/>
    <w:rsid w:val="00395D50"/>
    <w:rsid w:val="003A0497"/>
    <w:rsid w:val="003A209E"/>
    <w:rsid w:val="003A2246"/>
    <w:rsid w:val="003A501E"/>
    <w:rsid w:val="003B2DFE"/>
    <w:rsid w:val="003B3026"/>
    <w:rsid w:val="003B62C0"/>
    <w:rsid w:val="003B7D25"/>
    <w:rsid w:val="003C7E47"/>
    <w:rsid w:val="003D0D1B"/>
    <w:rsid w:val="003D307D"/>
    <w:rsid w:val="003D3F59"/>
    <w:rsid w:val="003D53A3"/>
    <w:rsid w:val="003DD521"/>
    <w:rsid w:val="003E06A6"/>
    <w:rsid w:val="003E1156"/>
    <w:rsid w:val="003E3F20"/>
    <w:rsid w:val="003F01B9"/>
    <w:rsid w:val="003F18F7"/>
    <w:rsid w:val="003F46DE"/>
    <w:rsid w:val="003F500F"/>
    <w:rsid w:val="003F7877"/>
    <w:rsid w:val="00413E8A"/>
    <w:rsid w:val="0042086F"/>
    <w:rsid w:val="00420A7F"/>
    <w:rsid w:val="004246C6"/>
    <w:rsid w:val="0042730A"/>
    <w:rsid w:val="00435761"/>
    <w:rsid w:val="00441FD6"/>
    <w:rsid w:val="0044394C"/>
    <w:rsid w:val="00443F67"/>
    <w:rsid w:val="00444146"/>
    <w:rsid w:val="0044428E"/>
    <w:rsid w:val="004504C9"/>
    <w:rsid w:val="00450725"/>
    <w:rsid w:val="00451451"/>
    <w:rsid w:val="0045788E"/>
    <w:rsid w:val="0046280F"/>
    <w:rsid w:val="00462974"/>
    <w:rsid w:val="0046389D"/>
    <w:rsid w:val="0046697F"/>
    <w:rsid w:val="004675BC"/>
    <w:rsid w:val="00467FD5"/>
    <w:rsid w:val="004831CB"/>
    <w:rsid w:val="00484319"/>
    <w:rsid w:val="00484411"/>
    <w:rsid w:val="004870DF"/>
    <w:rsid w:val="0049267E"/>
    <w:rsid w:val="004A006E"/>
    <w:rsid w:val="004A0915"/>
    <w:rsid w:val="004A7150"/>
    <w:rsid w:val="004B01F2"/>
    <w:rsid w:val="004B1884"/>
    <w:rsid w:val="004B4288"/>
    <w:rsid w:val="004C04E9"/>
    <w:rsid w:val="004C216C"/>
    <w:rsid w:val="004C4156"/>
    <w:rsid w:val="004D0C43"/>
    <w:rsid w:val="004D0DEB"/>
    <w:rsid w:val="004D1915"/>
    <w:rsid w:val="004D193F"/>
    <w:rsid w:val="004D2D1B"/>
    <w:rsid w:val="004D340D"/>
    <w:rsid w:val="004D34F3"/>
    <w:rsid w:val="004E0AA2"/>
    <w:rsid w:val="004E1A0F"/>
    <w:rsid w:val="004E6625"/>
    <w:rsid w:val="004E695A"/>
    <w:rsid w:val="004F35F2"/>
    <w:rsid w:val="004F3755"/>
    <w:rsid w:val="004F3B04"/>
    <w:rsid w:val="004F741A"/>
    <w:rsid w:val="0050204B"/>
    <w:rsid w:val="00502A6E"/>
    <w:rsid w:val="0050594B"/>
    <w:rsid w:val="00506B66"/>
    <w:rsid w:val="0051159B"/>
    <w:rsid w:val="00512FE5"/>
    <w:rsid w:val="0051369F"/>
    <w:rsid w:val="00513886"/>
    <w:rsid w:val="00517A4B"/>
    <w:rsid w:val="005235A7"/>
    <w:rsid w:val="0052603C"/>
    <w:rsid w:val="005438EA"/>
    <w:rsid w:val="005441A8"/>
    <w:rsid w:val="0055029B"/>
    <w:rsid w:val="005503B3"/>
    <w:rsid w:val="005550B3"/>
    <w:rsid w:val="0056122A"/>
    <w:rsid w:val="00562F20"/>
    <w:rsid w:val="00563181"/>
    <w:rsid w:val="00564D96"/>
    <w:rsid w:val="00565682"/>
    <w:rsid w:val="00570E69"/>
    <w:rsid w:val="005732D1"/>
    <w:rsid w:val="00574102"/>
    <w:rsid w:val="0057494E"/>
    <w:rsid w:val="00581474"/>
    <w:rsid w:val="00583068"/>
    <w:rsid w:val="005851B2"/>
    <w:rsid w:val="005931FE"/>
    <w:rsid w:val="00594831"/>
    <w:rsid w:val="005953DB"/>
    <w:rsid w:val="005960A2"/>
    <w:rsid w:val="00596986"/>
    <w:rsid w:val="005A0671"/>
    <w:rsid w:val="005A4009"/>
    <w:rsid w:val="005B31CC"/>
    <w:rsid w:val="005B67EC"/>
    <w:rsid w:val="005C29E6"/>
    <w:rsid w:val="005C3F0F"/>
    <w:rsid w:val="005C4B67"/>
    <w:rsid w:val="005D1B5F"/>
    <w:rsid w:val="005E0D06"/>
    <w:rsid w:val="005E4582"/>
    <w:rsid w:val="005E6B52"/>
    <w:rsid w:val="005EA981"/>
    <w:rsid w:val="005F44BB"/>
    <w:rsid w:val="005F57DB"/>
    <w:rsid w:val="005F6A6C"/>
    <w:rsid w:val="005F6B96"/>
    <w:rsid w:val="00603608"/>
    <w:rsid w:val="0061174D"/>
    <w:rsid w:val="006117F5"/>
    <w:rsid w:val="00611C4C"/>
    <w:rsid w:val="00612925"/>
    <w:rsid w:val="00613931"/>
    <w:rsid w:val="00621431"/>
    <w:rsid w:val="00623516"/>
    <w:rsid w:val="00624441"/>
    <w:rsid w:val="00624C9D"/>
    <w:rsid w:val="00631599"/>
    <w:rsid w:val="006319B8"/>
    <w:rsid w:val="00632C1C"/>
    <w:rsid w:val="00632D9E"/>
    <w:rsid w:val="00633D1D"/>
    <w:rsid w:val="0064285B"/>
    <w:rsid w:val="00643D53"/>
    <w:rsid w:val="006470CA"/>
    <w:rsid w:val="00650EB7"/>
    <w:rsid w:val="006521FF"/>
    <w:rsid w:val="00652B40"/>
    <w:rsid w:val="006530CD"/>
    <w:rsid w:val="0065562B"/>
    <w:rsid w:val="00656671"/>
    <w:rsid w:val="006579D9"/>
    <w:rsid w:val="00657B0E"/>
    <w:rsid w:val="0067405A"/>
    <w:rsid w:val="00674A63"/>
    <w:rsid w:val="00681A1C"/>
    <w:rsid w:val="006862A0"/>
    <w:rsid w:val="00687797"/>
    <w:rsid w:val="00697434"/>
    <w:rsid w:val="006A3C8D"/>
    <w:rsid w:val="006A3CEA"/>
    <w:rsid w:val="006A4C1D"/>
    <w:rsid w:val="006B05A1"/>
    <w:rsid w:val="006B1269"/>
    <w:rsid w:val="006C32C8"/>
    <w:rsid w:val="006D09D3"/>
    <w:rsid w:val="006D1B39"/>
    <w:rsid w:val="006E0DCA"/>
    <w:rsid w:val="006E4984"/>
    <w:rsid w:val="006F35AC"/>
    <w:rsid w:val="006F6B77"/>
    <w:rsid w:val="0070405A"/>
    <w:rsid w:val="00704104"/>
    <w:rsid w:val="0070748A"/>
    <w:rsid w:val="007109D5"/>
    <w:rsid w:val="00720FD2"/>
    <w:rsid w:val="00724774"/>
    <w:rsid w:val="00726218"/>
    <w:rsid w:val="0073672C"/>
    <w:rsid w:val="00736ECC"/>
    <w:rsid w:val="007411E9"/>
    <w:rsid w:val="007415FA"/>
    <w:rsid w:val="00742335"/>
    <w:rsid w:val="007439F0"/>
    <w:rsid w:val="0074425A"/>
    <w:rsid w:val="00746B15"/>
    <w:rsid w:val="007515AF"/>
    <w:rsid w:val="0075598B"/>
    <w:rsid w:val="00756ED1"/>
    <w:rsid w:val="0077319C"/>
    <w:rsid w:val="007815EC"/>
    <w:rsid w:val="0078509C"/>
    <w:rsid w:val="00791BEB"/>
    <w:rsid w:val="0079544E"/>
    <w:rsid w:val="007A01FE"/>
    <w:rsid w:val="007A24C2"/>
    <w:rsid w:val="007A5CBD"/>
    <w:rsid w:val="007B0C2E"/>
    <w:rsid w:val="007B5523"/>
    <w:rsid w:val="007B5DE0"/>
    <w:rsid w:val="007B6D1C"/>
    <w:rsid w:val="007B6D4E"/>
    <w:rsid w:val="007B706E"/>
    <w:rsid w:val="007C0216"/>
    <w:rsid w:val="007C4656"/>
    <w:rsid w:val="007C4AE9"/>
    <w:rsid w:val="007C4CA0"/>
    <w:rsid w:val="007C68C3"/>
    <w:rsid w:val="007E012E"/>
    <w:rsid w:val="007E0364"/>
    <w:rsid w:val="007E05D6"/>
    <w:rsid w:val="007E3CC4"/>
    <w:rsid w:val="007E74E8"/>
    <w:rsid w:val="007E7559"/>
    <w:rsid w:val="007F0ED3"/>
    <w:rsid w:val="007F2B4F"/>
    <w:rsid w:val="007F364B"/>
    <w:rsid w:val="00800E6F"/>
    <w:rsid w:val="008034DB"/>
    <w:rsid w:val="00804752"/>
    <w:rsid w:val="008112F6"/>
    <w:rsid w:val="00812F5E"/>
    <w:rsid w:val="008131B7"/>
    <w:rsid w:val="00814017"/>
    <w:rsid w:val="00814D50"/>
    <w:rsid w:val="00817E44"/>
    <w:rsid w:val="008203FA"/>
    <w:rsid w:val="00822891"/>
    <w:rsid w:val="00822DD1"/>
    <w:rsid w:val="00822DFF"/>
    <w:rsid w:val="00823207"/>
    <w:rsid w:val="00826359"/>
    <w:rsid w:val="00830182"/>
    <w:rsid w:val="008358A7"/>
    <w:rsid w:val="008467C3"/>
    <w:rsid w:val="00846C20"/>
    <w:rsid w:val="00851892"/>
    <w:rsid w:val="00854072"/>
    <w:rsid w:val="0085495E"/>
    <w:rsid w:val="008611CB"/>
    <w:rsid w:val="0086131E"/>
    <w:rsid w:val="00861358"/>
    <w:rsid w:val="0086295D"/>
    <w:rsid w:val="00862F98"/>
    <w:rsid w:val="00864670"/>
    <w:rsid w:val="00867616"/>
    <w:rsid w:val="00875C7E"/>
    <w:rsid w:val="0088271E"/>
    <w:rsid w:val="00884C44"/>
    <w:rsid w:val="0088724C"/>
    <w:rsid w:val="00896E5C"/>
    <w:rsid w:val="008A0956"/>
    <w:rsid w:val="008C12A8"/>
    <w:rsid w:val="008C2B40"/>
    <w:rsid w:val="008C5626"/>
    <w:rsid w:val="008C58E8"/>
    <w:rsid w:val="008C7017"/>
    <w:rsid w:val="008D130F"/>
    <w:rsid w:val="008D14FF"/>
    <w:rsid w:val="008D1B71"/>
    <w:rsid w:val="008D4DB9"/>
    <w:rsid w:val="008F25E3"/>
    <w:rsid w:val="00910D16"/>
    <w:rsid w:val="00912BFB"/>
    <w:rsid w:val="00921E2C"/>
    <w:rsid w:val="00922ECC"/>
    <w:rsid w:val="00924538"/>
    <w:rsid w:val="00926F1B"/>
    <w:rsid w:val="009326D8"/>
    <w:rsid w:val="00933B69"/>
    <w:rsid w:val="00933DFA"/>
    <w:rsid w:val="00934E34"/>
    <w:rsid w:val="00936753"/>
    <w:rsid w:val="0093713C"/>
    <w:rsid w:val="0094418F"/>
    <w:rsid w:val="0095087B"/>
    <w:rsid w:val="00951A32"/>
    <w:rsid w:val="0095305E"/>
    <w:rsid w:val="00953989"/>
    <w:rsid w:val="00953C1E"/>
    <w:rsid w:val="00955D4C"/>
    <w:rsid w:val="00963655"/>
    <w:rsid w:val="009646A2"/>
    <w:rsid w:val="00970073"/>
    <w:rsid w:val="00970C73"/>
    <w:rsid w:val="00974AA3"/>
    <w:rsid w:val="0097577F"/>
    <w:rsid w:val="00983395"/>
    <w:rsid w:val="00992BF1"/>
    <w:rsid w:val="009A3E14"/>
    <w:rsid w:val="009A47BD"/>
    <w:rsid w:val="009B0B05"/>
    <w:rsid w:val="009B0D7A"/>
    <w:rsid w:val="009C27C7"/>
    <w:rsid w:val="009C58F2"/>
    <w:rsid w:val="009C5BCA"/>
    <w:rsid w:val="009C5CCE"/>
    <w:rsid w:val="009C6087"/>
    <w:rsid w:val="009D3F06"/>
    <w:rsid w:val="009D3FDF"/>
    <w:rsid w:val="009D449B"/>
    <w:rsid w:val="009D63FB"/>
    <w:rsid w:val="009D6CF1"/>
    <w:rsid w:val="009E0215"/>
    <w:rsid w:val="009E23B1"/>
    <w:rsid w:val="009E586D"/>
    <w:rsid w:val="009E7F1C"/>
    <w:rsid w:val="009F4AE4"/>
    <w:rsid w:val="00A01A00"/>
    <w:rsid w:val="00A100D7"/>
    <w:rsid w:val="00A135FA"/>
    <w:rsid w:val="00A148A0"/>
    <w:rsid w:val="00A17C96"/>
    <w:rsid w:val="00A23AF2"/>
    <w:rsid w:val="00A26913"/>
    <w:rsid w:val="00A27BC6"/>
    <w:rsid w:val="00A3124E"/>
    <w:rsid w:val="00A325CD"/>
    <w:rsid w:val="00A36B86"/>
    <w:rsid w:val="00A42FCA"/>
    <w:rsid w:val="00A52E70"/>
    <w:rsid w:val="00A5537B"/>
    <w:rsid w:val="00A6328B"/>
    <w:rsid w:val="00A71DEC"/>
    <w:rsid w:val="00A75D99"/>
    <w:rsid w:val="00A7623C"/>
    <w:rsid w:val="00A76CE8"/>
    <w:rsid w:val="00A77B8F"/>
    <w:rsid w:val="00A8393D"/>
    <w:rsid w:val="00A83F15"/>
    <w:rsid w:val="00A87EE4"/>
    <w:rsid w:val="00A95B99"/>
    <w:rsid w:val="00A96B01"/>
    <w:rsid w:val="00AA057F"/>
    <w:rsid w:val="00AA4F81"/>
    <w:rsid w:val="00AB063D"/>
    <w:rsid w:val="00AB4BC2"/>
    <w:rsid w:val="00AB59CF"/>
    <w:rsid w:val="00AB5A15"/>
    <w:rsid w:val="00AB7BF8"/>
    <w:rsid w:val="00AB7C4D"/>
    <w:rsid w:val="00AC1812"/>
    <w:rsid w:val="00AC352C"/>
    <w:rsid w:val="00AC4C67"/>
    <w:rsid w:val="00AD7596"/>
    <w:rsid w:val="00AE020A"/>
    <w:rsid w:val="00AE18F5"/>
    <w:rsid w:val="00AE48D5"/>
    <w:rsid w:val="00AE4FD8"/>
    <w:rsid w:val="00AE7E26"/>
    <w:rsid w:val="00AF246D"/>
    <w:rsid w:val="00B01DFC"/>
    <w:rsid w:val="00B048E2"/>
    <w:rsid w:val="00B070C4"/>
    <w:rsid w:val="00B10739"/>
    <w:rsid w:val="00B17A1D"/>
    <w:rsid w:val="00B221ED"/>
    <w:rsid w:val="00B31568"/>
    <w:rsid w:val="00B3511C"/>
    <w:rsid w:val="00B35604"/>
    <w:rsid w:val="00B36382"/>
    <w:rsid w:val="00B36E44"/>
    <w:rsid w:val="00B44FFD"/>
    <w:rsid w:val="00B50513"/>
    <w:rsid w:val="00B50E9A"/>
    <w:rsid w:val="00B54E93"/>
    <w:rsid w:val="00B70992"/>
    <w:rsid w:val="00B7693D"/>
    <w:rsid w:val="00B8072C"/>
    <w:rsid w:val="00B80839"/>
    <w:rsid w:val="00B84107"/>
    <w:rsid w:val="00B85892"/>
    <w:rsid w:val="00B8705D"/>
    <w:rsid w:val="00B87FD2"/>
    <w:rsid w:val="00B91A55"/>
    <w:rsid w:val="00B9556E"/>
    <w:rsid w:val="00BA1CEA"/>
    <w:rsid w:val="00BA1CF5"/>
    <w:rsid w:val="00BA1D0D"/>
    <w:rsid w:val="00BA6373"/>
    <w:rsid w:val="00BB1C7D"/>
    <w:rsid w:val="00BB27D2"/>
    <w:rsid w:val="00BB3CE4"/>
    <w:rsid w:val="00BB7B96"/>
    <w:rsid w:val="00BC11EF"/>
    <w:rsid w:val="00BC1293"/>
    <w:rsid w:val="00BC1F48"/>
    <w:rsid w:val="00BC635E"/>
    <w:rsid w:val="00BD53BF"/>
    <w:rsid w:val="00BD78B4"/>
    <w:rsid w:val="00BE4B07"/>
    <w:rsid w:val="00BE74C7"/>
    <w:rsid w:val="00BF02C3"/>
    <w:rsid w:val="00BF5C39"/>
    <w:rsid w:val="00BF7408"/>
    <w:rsid w:val="00BF74F8"/>
    <w:rsid w:val="00C05F3A"/>
    <w:rsid w:val="00C0782E"/>
    <w:rsid w:val="00C11139"/>
    <w:rsid w:val="00C12550"/>
    <w:rsid w:val="00C22A4F"/>
    <w:rsid w:val="00C243BF"/>
    <w:rsid w:val="00C30585"/>
    <w:rsid w:val="00C31859"/>
    <w:rsid w:val="00C357D2"/>
    <w:rsid w:val="00C3585D"/>
    <w:rsid w:val="00C36CB5"/>
    <w:rsid w:val="00C37BAB"/>
    <w:rsid w:val="00C4258D"/>
    <w:rsid w:val="00C44784"/>
    <w:rsid w:val="00C471E1"/>
    <w:rsid w:val="00C52E56"/>
    <w:rsid w:val="00C55FDC"/>
    <w:rsid w:val="00C5716D"/>
    <w:rsid w:val="00C63075"/>
    <w:rsid w:val="00C64BA3"/>
    <w:rsid w:val="00C733F5"/>
    <w:rsid w:val="00C7666F"/>
    <w:rsid w:val="00C81635"/>
    <w:rsid w:val="00C837F7"/>
    <w:rsid w:val="00C84217"/>
    <w:rsid w:val="00C87293"/>
    <w:rsid w:val="00C879C2"/>
    <w:rsid w:val="00C917E6"/>
    <w:rsid w:val="00C95774"/>
    <w:rsid w:val="00C95D74"/>
    <w:rsid w:val="00C9636E"/>
    <w:rsid w:val="00C98711"/>
    <w:rsid w:val="00CA3EAE"/>
    <w:rsid w:val="00CA638E"/>
    <w:rsid w:val="00CB11EB"/>
    <w:rsid w:val="00CB31B5"/>
    <w:rsid w:val="00CB4896"/>
    <w:rsid w:val="00CB5120"/>
    <w:rsid w:val="00CB69D0"/>
    <w:rsid w:val="00CC03DA"/>
    <w:rsid w:val="00CC085D"/>
    <w:rsid w:val="00CC415C"/>
    <w:rsid w:val="00CC528E"/>
    <w:rsid w:val="00CD4E1E"/>
    <w:rsid w:val="00CE04E4"/>
    <w:rsid w:val="00CE0F4A"/>
    <w:rsid w:val="00CE161C"/>
    <w:rsid w:val="00CE316A"/>
    <w:rsid w:val="00CE3D3F"/>
    <w:rsid w:val="00CE4AE5"/>
    <w:rsid w:val="00CE518C"/>
    <w:rsid w:val="00CE63DE"/>
    <w:rsid w:val="00CE7E6D"/>
    <w:rsid w:val="00D00FEA"/>
    <w:rsid w:val="00D0192B"/>
    <w:rsid w:val="00D0195F"/>
    <w:rsid w:val="00D02D9E"/>
    <w:rsid w:val="00D111E4"/>
    <w:rsid w:val="00D11459"/>
    <w:rsid w:val="00D12489"/>
    <w:rsid w:val="00D14DD3"/>
    <w:rsid w:val="00D225A0"/>
    <w:rsid w:val="00D268BF"/>
    <w:rsid w:val="00D27B03"/>
    <w:rsid w:val="00D30327"/>
    <w:rsid w:val="00D312E9"/>
    <w:rsid w:val="00D321B2"/>
    <w:rsid w:val="00D448D4"/>
    <w:rsid w:val="00D508E5"/>
    <w:rsid w:val="00D528D4"/>
    <w:rsid w:val="00D540A2"/>
    <w:rsid w:val="00D54E10"/>
    <w:rsid w:val="00D572AB"/>
    <w:rsid w:val="00D57FC8"/>
    <w:rsid w:val="00D6162B"/>
    <w:rsid w:val="00D63630"/>
    <w:rsid w:val="00D67E63"/>
    <w:rsid w:val="00D71137"/>
    <w:rsid w:val="00D73D95"/>
    <w:rsid w:val="00D73E08"/>
    <w:rsid w:val="00D812B8"/>
    <w:rsid w:val="00D81C5D"/>
    <w:rsid w:val="00D82735"/>
    <w:rsid w:val="00D9020D"/>
    <w:rsid w:val="00DA0759"/>
    <w:rsid w:val="00DA1631"/>
    <w:rsid w:val="00DA7CBC"/>
    <w:rsid w:val="00DB3DEA"/>
    <w:rsid w:val="00DB55EF"/>
    <w:rsid w:val="00DB5AF4"/>
    <w:rsid w:val="00DC00A1"/>
    <w:rsid w:val="00DC5781"/>
    <w:rsid w:val="00DD522F"/>
    <w:rsid w:val="00DE25FF"/>
    <w:rsid w:val="00DE320C"/>
    <w:rsid w:val="00DE37CC"/>
    <w:rsid w:val="00DE4C80"/>
    <w:rsid w:val="00DE5719"/>
    <w:rsid w:val="00DF2288"/>
    <w:rsid w:val="00DF2978"/>
    <w:rsid w:val="00DF301C"/>
    <w:rsid w:val="00DF4A45"/>
    <w:rsid w:val="00DF4D58"/>
    <w:rsid w:val="00DF52A7"/>
    <w:rsid w:val="00E0342A"/>
    <w:rsid w:val="00E151C0"/>
    <w:rsid w:val="00E17392"/>
    <w:rsid w:val="00E218E2"/>
    <w:rsid w:val="00E2196B"/>
    <w:rsid w:val="00E22B2E"/>
    <w:rsid w:val="00E2599B"/>
    <w:rsid w:val="00E27696"/>
    <w:rsid w:val="00E408BC"/>
    <w:rsid w:val="00E41FBE"/>
    <w:rsid w:val="00E51239"/>
    <w:rsid w:val="00E55B9D"/>
    <w:rsid w:val="00E62199"/>
    <w:rsid w:val="00E64316"/>
    <w:rsid w:val="00E65B63"/>
    <w:rsid w:val="00E70F77"/>
    <w:rsid w:val="00E721FA"/>
    <w:rsid w:val="00E72648"/>
    <w:rsid w:val="00E7292A"/>
    <w:rsid w:val="00E815D3"/>
    <w:rsid w:val="00E835B0"/>
    <w:rsid w:val="00E84E1F"/>
    <w:rsid w:val="00E85B63"/>
    <w:rsid w:val="00E86250"/>
    <w:rsid w:val="00E86761"/>
    <w:rsid w:val="00E8749E"/>
    <w:rsid w:val="00E943B3"/>
    <w:rsid w:val="00E95124"/>
    <w:rsid w:val="00E95891"/>
    <w:rsid w:val="00E97769"/>
    <w:rsid w:val="00EA008C"/>
    <w:rsid w:val="00EA04B4"/>
    <w:rsid w:val="00EA2824"/>
    <w:rsid w:val="00EA2980"/>
    <w:rsid w:val="00EB0369"/>
    <w:rsid w:val="00EB252C"/>
    <w:rsid w:val="00EC5EDD"/>
    <w:rsid w:val="00EC69C1"/>
    <w:rsid w:val="00ED082E"/>
    <w:rsid w:val="00ED1765"/>
    <w:rsid w:val="00EE293A"/>
    <w:rsid w:val="00EE547B"/>
    <w:rsid w:val="00EE680F"/>
    <w:rsid w:val="00EF628A"/>
    <w:rsid w:val="00EF7FC5"/>
    <w:rsid w:val="00F00EF1"/>
    <w:rsid w:val="00F0277B"/>
    <w:rsid w:val="00F03733"/>
    <w:rsid w:val="00F06A0D"/>
    <w:rsid w:val="00F0775D"/>
    <w:rsid w:val="00F14A4E"/>
    <w:rsid w:val="00F15A00"/>
    <w:rsid w:val="00F160AD"/>
    <w:rsid w:val="00F2159C"/>
    <w:rsid w:val="00F21D76"/>
    <w:rsid w:val="00F234B8"/>
    <w:rsid w:val="00F36DDC"/>
    <w:rsid w:val="00F42B3A"/>
    <w:rsid w:val="00F4467F"/>
    <w:rsid w:val="00F47108"/>
    <w:rsid w:val="00F5338A"/>
    <w:rsid w:val="00F541D0"/>
    <w:rsid w:val="00F56558"/>
    <w:rsid w:val="00F57077"/>
    <w:rsid w:val="00F62F7C"/>
    <w:rsid w:val="00F64D99"/>
    <w:rsid w:val="00F66272"/>
    <w:rsid w:val="00F66E83"/>
    <w:rsid w:val="00F7083D"/>
    <w:rsid w:val="00F715D7"/>
    <w:rsid w:val="00F733F9"/>
    <w:rsid w:val="00F747E9"/>
    <w:rsid w:val="00F8118D"/>
    <w:rsid w:val="00F813C9"/>
    <w:rsid w:val="00F86262"/>
    <w:rsid w:val="00F867AE"/>
    <w:rsid w:val="00F87DC2"/>
    <w:rsid w:val="00F87DD0"/>
    <w:rsid w:val="00F93F09"/>
    <w:rsid w:val="00F9560F"/>
    <w:rsid w:val="00F957AC"/>
    <w:rsid w:val="00F96B9D"/>
    <w:rsid w:val="00F97302"/>
    <w:rsid w:val="00F9736E"/>
    <w:rsid w:val="00FA1B99"/>
    <w:rsid w:val="00FA3DC9"/>
    <w:rsid w:val="00FA7DB0"/>
    <w:rsid w:val="00FB0D98"/>
    <w:rsid w:val="00FB1C41"/>
    <w:rsid w:val="00FB6103"/>
    <w:rsid w:val="00FB679B"/>
    <w:rsid w:val="00FB7EFB"/>
    <w:rsid w:val="00FC25B0"/>
    <w:rsid w:val="00FD310B"/>
    <w:rsid w:val="00FD4D43"/>
    <w:rsid w:val="00FD4E82"/>
    <w:rsid w:val="00FD6A3C"/>
    <w:rsid w:val="00FD7E8D"/>
    <w:rsid w:val="00FE1AAC"/>
    <w:rsid w:val="00FE50B9"/>
    <w:rsid w:val="00FF3261"/>
    <w:rsid w:val="00FF433B"/>
    <w:rsid w:val="00FF4D76"/>
    <w:rsid w:val="010A9271"/>
    <w:rsid w:val="015B9033"/>
    <w:rsid w:val="015CBD5E"/>
    <w:rsid w:val="016C1339"/>
    <w:rsid w:val="01706AB9"/>
    <w:rsid w:val="0173EBA4"/>
    <w:rsid w:val="01903C6C"/>
    <w:rsid w:val="01D7C3CD"/>
    <w:rsid w:val="01D893B0"/>
    <w:rsid w:val="01F7F61A"/>
    <w:rsid w:val="0226362B"/>
    <w:rsid w:val="023276BC"/>
    <w:rsid w:val="025893BA"/>
    <w:rsid w:val="027E4380"/>
    <w:rsid w:val="028324E3"/>
    <w:rsid w:val="02A735CB"/>
    <w:rsid w:val="0328DF9C"/>
    <w:rsid w:val="032E3518"/>
    <w:rsid w:val="032F7B0E"/>
    <w:rsid w:val="0340ED5F"/>
    <w:rsid w:val="034D8592"/>
    <w:rsid w:val="0368CA3B"/>
    <w:rsid w:val="037A8B60"/>
    <w:rsid w:val="03947BFE"/>
    <w:rsid w:val="03B784C2"/>
    <w:rsid w:val="03E10192"/>
    <w:rsid w:val="03F6DC7E"/>
    <w:rsid w:val="0429CB6C"/>
    <w:rsid w:val="043333D5"/>
    <w:rsid w:val="0439AB70"/>
    <w:rsid w:val="04516FE4"/>
    <w:rsid w:val="04697603"/>
    <w:rsid w:val="046DCCE5"/>
    <w:rsid w:val="048FEEEA"/>
    <w:rsid w:val="04912B5D"/>
    <w:rsid w:val="04A39CD1"/>
    <w:rsid w:val="04AA3EA8"/>
    <w:rsid w:val="04E6AF32"/>
    <w:rsid w:val="04E9E2D4"/>
    <w:rsid w:val="04F30D47"/>
    <w:rsid w:val="04FD76AF"/>
    <w:rsid w:val="051B9DF1"/>
    <w:rsid w:val="052B8EDF"/>
    <w:rsid w:val="0576F222"/>
    <w:rsid w:val="058CC672"/>
    <w:rsid w:val="05C1FFCE"/>
    <w:rsid w:val="05EF62BA"/>
    <w:rsid w:val="05FBFC5D"/>
    <w:rsid w:val="06227F58"/>
    <w:rsid w:val="0644F909"/>
    <w:rsid w:val="0655401A"/>
    <w:rsid w:val="06BE254B"/>
    <w:rsid w:val="06C78181"/>
    <w:rsid w:val="06DA8ED4"/>
    <w:rsid w:val="06DDA204"/>
    <w:rsid w:val="06E16D52"/>
    <w:rsid w:val="06EDEC6D"/>
    <w:rsid w:val="06F65D80"/>
    <w:rsid w:val="06FFBAC6"/>
    <w:rsid w:val="070159B2"/>
    <w:rsid w:val="0704255F"/>
    <w:rsid w:val="070C9BE4"/>
    <w:rsid w:val="07154BE5"/>
    <w:rsid w:val="072E8C4C"/>
    <w:rsid w:val="073EEC84"/>
    <w:rsid w:val="0767A357"/>
    <w:rsid w:val="077AE62E"/>
    <w:rsid w:val="07B30BFC"/>
    <w:rsid w:val="07BDADDC"/>
    <w:rsid w:val="0801A63B"/>
    <w:rsid w:val="080A701D"/>
    <w:rsid w:val="081CBB38"/>
    <w:rsid w:val="084B0637"/>
    <w:rsid w:val="088942CE"/>
    <w:rsid w:val="0895CFCA"/>
    <w:rsid w:val="089A7FC6"/>
    <w:rsid w:val="08A123A4"/>
    <w:rsid w:val="08AD86E5"/>
    <w:rsid w:val="08E10337"/>
    <w:rsid w:val="08E49044"/>
    <w:rsid w:val="09087B83"/>
    <w:rsid w:val="0912E8B0"/>
    <w:rsid w:val="0921766B"/>
    <w:rsid w:val="0925B71E"/>
    <w:rsid w:val="0950F547"/>
    <w:rsid w:val="099B307F"/>
    <w:rsid w:val="099B4ECE"/>
    <w:rsid w:val="099CA982"/>
    <w:rsid w:val="09BCFA75"/>
    <w:rsid w:val="09BD1D48"/>
    <w:rsid w:val="09BF20E3"/>
    <w:rsid w:val="09D25349"/>
    <w:rsid w:val="09F433DD"/>
    <w:rsid w:val="0A179403"/>
    <w:rsid w:val="0A2F81D2"/>
    <w:rsid w:val="0A5C2BE4"/>
    <w:rsid w:val="0A796954"/>
    <w:rsid w:val="0A7B3A7C"/>
    <w:rsid w:val="0A883E14"/>
    <w:rsid w:val="0AAF832E"/>
    <w:rsid w:val="0AB6C0CE"/>
    <w:rsid w:val="0AC3D21B"/>
    <w:rsid w:val="0AD447FC"/>
    <w:rsid w:val="0ADAE363"/>
    <w:rsid w:val="0B197F19"/>
    <w:rsid w:val="0B1A9295"/>
    <w:rsid w:val="0B1D9568"/>
    <w:rsid w:val="0B3700E0"/>
    <w:rsid w:val="0B393488"/>
    <w:rsid w:val="0B9CAEF5"/>
    <w:rsid w:val="0BAD5607"/>
    <w:rsid w:val="0BF1F4A3"/>
    <w:rsid w:val="0C1A3C96"/>
    <w:rsid w:val="0C366E38"/>
    <w:rsid w:val="0C4B5269"/>
    <w:rsid w:val="0C4BB330"/>
    <w:rsid w:val="0C585AA1"/>
    <w:rsid w:val="0C6639A5"/>
    <w:rsid w:val="0C77673E"/>
    <w:rsid w:val="0C96F16A"/>
    <w:rsid w:val="0C989328"/>
    <w:rsid w:val="0CD2D141"/>
    <w:rsid w:val="0CDDBAA2"/>
    <w:rsid w:val="0CFC639D"/>
    <w:rsid w:val="0CFFD3BC"/>
    <w:rsid w:val="0D150D89"/>
    <w:rsid w:val="0D1992F8"/>
    <w:rsid w:val="0D2B4939"/>
    <w:rsid w:val="0D2E0E60"/>
    <w:rsid w:val="0D318D28"/>
    <w:rsid w:val="0D848D69"/>
    <w:rsid w:val="0DD38C7D"/>
    <w:rsid w:val="0DD87D70"/>
    <w:rsid w:val="0DDF5F64"/>
    <w:rsid w:val="0E04139E"/>
    <w:rsid w:val="0E1B8D70"/>
    <w:rsid w:val="0E3573EF"/>
    <w:rsid w:val="0E3CE95B"/>
    <w:rsid w:val="0E43C01E"/>
    <w:rsid w:val="0E4A3135"/>
    <w:rsid w:val="0E61BF96"/>
    <w:rsid w:val="0E62B062"/>
    <w:rsid w:val="0EA0422A"/>
    <w:rsid w:val="0EBFD1CD"/>
    <w:rsid w:val="0EC3E1D8"/>
    <w:rsid w:val="0EF8A3C0"/>
    <w:rsid w:val="0F07BA08"/>
    <w:rsid w:val="0F19FAB3"/>
    <w:rsid w:val="0F38A7BC"/>
    <w:rsid w:val="0F3BDE21"/>
    <w:rsid w:val="0F3E2DDC"/>
    <w:rsid w:val="0F3E95CD"/>
    <w:rsid w:val="0F949B7B"/>
    <w:rsid w:val="0F97E1B8"/>
    <w:rsid w:val="0F9C0131"/>
    <w:rsid w:val="0FA24C31"/>
    <w:rsid w:val="0FB515EC"/>
    <w:rsid w:val="0FC90F61"/>
    <w:rsid w:val="0FCD3596"/>
    <w:rsid w:val="0FDDF2F0"/>
    <w:rsid w:val="0FEFDCBB"/>
    <w:rsid w:val="0FF1068B"/>
    <w:rsid w:val="0FF38FC3"/>
    <w:rsid w:val="100E85F9"/>
    <w:rsid w:val="10168D47"/>
    <w:rsid w:val="104D3C03"/>
    <w:rsid w:val="106B1EB1"/>
    <w:rsid w:val="106FEACC"/>
    <w:rsid w:val="1070A3F5"/>
    <w:rsid w:val="107EE197"/>
    <w:rsid w:val="1083028A"/>
    <w:rsid w:val="10CB1537"/>
    <w:rsid w:val="10DCFE59"/>
    <w:rsid w:val="10E0357F"/>
    <w:rsid w:val="10ECF7C8"/>
    <w:rsid w:val="10F1AC32"/>
    <w:rsid w:val="1139AAC8"/>
    <w:rsid w:val="11556579"/>
    <w:rsid w:val="115677C7"/>
    <w:rsid w:val="11754E82"/>
    <w:rsid w:val="118F6024"/>
    <w:rsid w:val="119DEDAF"/>
    <w:rsid w:val="11CC0DCF"/>
    <w:rsid w:val="11D02098"/>
    <w:rsid w:val="11D760AE"/>
    <w:rsid w:val="11DA7B0A"/>
    <w:rsid w:val="11F3C566"/>
    <w:rsid w:val="12015C45"/>
    <w:rsid w:val="1209DB95"/>
    <w:rsid w:val="12123680"/>
    <w:rsid w:val="121D34C2"/>
    <w:rsid w:val="121F8B1C"/>
    <w:rsid w:val="122073CE"/>
    <w:rsid w:val="12436EC2"/>
    <w:rsid w:val="127645E0"/>
    <w:rsid w:val="127F5704"/>
    <w:rsid w:val="1292C58D"/>
    <w:rsid w:val="12C16A19"/>
    <w:rsid w:val="130CC94B"/>
    <w:rsid w:val="13176CB8"/>
    <w:rsid w:val="13269AB3"/>
    <w:rsid w:val="13473685"/>
    <w:rsid w:val="134A8D83"/>
    <w:rsid w:val="13616BDD"/>
    <w:rsid w:val="136576B3"/>
    <w:rsid w:val="1380BA80"/>
    <w:rsid w:val="13AC3323"/>
    <w:rsid w:val="13E95038"/>
    <w:rsid w:val="14180710"/>
    <w:rsid w:val="14281200"/>
    <w:rsid w:val="1498E071"/>
    <w:rsid w:val="14A80E20"/>
    <w:rsid w:val="14AB2DC5"/>
    <w:rsid w:val="14B37B8F"/>
    <w:rsid w:val="152D4132"/>
    <w:rsid w:val="1539D3E0"/>
    <w:rsid w:val="153C2B16"/>
    <w:rsid w:val="15495E4A"/>
    <w:rsid w:val="157F7A37"/>
    <w:rsid w:val="158786A6"/>
    <w:rsid w:val="158F417E"/>
    <w:rsid w:val="15978CD4"/>
    <w:rsid w:val="15A1CE4D"/>
    <w:rsid w:val="15A27485"/>
    <w:rsid w:val="15A8B8C9"/>
    <w:rsid w:val="15E78CD9"/>
    <w:rsid w:val="15F3D0F4"/>
    <w:rsid w:val="15F7C925"/>
    <w:rsid w:val="1628F47B"/>
    <w:rsid w:val="1668B4E7"/>
    <w:rsid w:val="166C5F93"/>
    <w:rsid w:val="16A29F03"/>
    <w:rsid w:val="16AFB5FA"/>
    <w:rsid w:val="17275DEA"/>
    <w:rsid w:val="17335D35"/>
    <w:rsid w:val="1744443C"/>
    <w:rsid w:val="174C90CB"/>
    <w:rsid w:val="175F055D"/>
    <w:rsid w:val="17800C5A"/>
    <w:rsid w:val="17A16D85"/>
    <w:rsid w:val="17AB32B5"/>
    <w:rsid w:val="17BEA965"/>
    <w:rsid w:val="17D057A0"/>
    <w:rsid w:val="17E271C0"/>
    <w:rsid w:val="17EB1C51"/>
    <w:rsid w:val="17ED9813"/>
    <w:rsid w:val="180E2D1F"/>
    <w:rsid w:val="182C98D3"/>
    <w:rsid w:val="183DF712"/>
    <w:rsid w:val="18566D5F"/>
    <w:rsid w:val="18AAFEB9"/>
    <w:rsid w:val="18C642FC"/>
    <w:rsid w:val="18CD6421"/>
    <w:rsid w:val="18E006F6"/>
    <w:rsid w:val="18F57DD9"/>
    <w:rsid w:val="1918DF38"/>
    <w:rsid w:val="19350BA6"/>
    <w:rsid w:val="193B6EBD"/>
    <w:rsid w:val="19481B5D"/>
    <w:rsid w:val="196AE82D"/>
    <w:rsid w:val="19956612"/>
    <w:rsid w:val="19B47A73"/>
    <w:rsid w:val="19B93D12"/>
    <w:rsid w:val="19C3FA55"/>
    <w:rsid w:val="1A0B6757"/>
    <w:rsid w:val="1A0D7E58"/>
    <w:rsid w:val="1A442BEA"/>
    <w:rsid w:val="1A4F80C8"/>
    <w:rsid w:val="1A510D02"/>
    <w:rsid w:val="1AB25D02"/>
    <w:rsid w:val="1AD954FA"/>
    <w:rsid w:val="1B0915EE"/>
    <w:rsid w:val="1B2BA798"/>
    <w:rsid w:val="1B4B40EA"/>
    <w:rsid w:val="1B6E1CA3"/>
    <w:rsid w:val="1B7C7899"/>
    <w:rsid w:val="1B7E2B27"/>
    <w:rsid w:val="1B834713"/>
    <w:rsid w:val="1B9F4B00"/>
    <w:rsid w:val="1BBC6B41"/>
    <w:rsid w:val="1BC9CFCB"/>
    <w:rsid w:val="1BE28629"/>
    <w:rsid w:val="1BFDB231"/>
    <w:rsid w:val="1C007A98"/>
    <w:rsid w:val="1C0BC3A5"/>
    <w:rsid w:val="1C1FA52B"/>
    <w:rsid w:val="1C552589"/>
    <w:rsid w:val="1C60983C"/>
    <w:rsid w:val="1C6A63E7"/>
    <w:rsid w:val="1C99E31C"/>
    <w:rsid w:val="1CB6578A"/>
    <w:rsid w:val="1CC67F20"/>
    <w:rsid w:val="1CD3E0A4"/>
    <w:rsid w:val="1CE32A25"/>
    <w:rsid w:val="1CE7ED51"/>
    <w:rsid w:val="1D05B665"/>
    <w:rsid w:val="1D06961F"/>
    <w:rsid w:val="1D388D83"/>
    <w:rsid w:val="1D55D0F5"/>
    <w:rsid w:val="1D5FFCEF"/>
    <w:rsid w:val="1D617B62"/>
    <w:rsid w:val="1D767964"/>
    <w:rsid w:val="1D9503E5"/>
    <w:rsid w:val="1DA533DF"/>
    <w:rsid w:val="1DCECCB7"/>
    <w:rsid w:val="1E19E0F4"/>
    <w:rsid w:val="1E525AC3"/>
    <w:rsid w:val="1E87693A"/>
    <w:rsid w:val="1EB16B9B"/>
    <w:rsid w:val="1EBED9D1"/>
    <w:rsid w:val="1EE7B57B"/>
    <w:rsid w:val="1EF3E329"/>
    <w:rsid w:val="1EF6D3FB"/>
    <w:rsid w:val="1F3819F0"/>
    <w:rsid w:val="1F5610EA"/>
    <w:rsid w:val="1F632CFD"/>
    <w:rsid w:val="1F64997D"/>
    <w:rsid w:val="1F83AEC0"/>
    <w:rsid w:val="1F881DBD"/>
    <w:rsid w:val="1F9FEABB"/>
    <w:rsid w:val="1FBC8855"/>
    <w:rsid w:val="1FEE2B24"/>
    <w:rsid w:val="2046CC0D"/>
    <w:rsid w:val="204E268E"/>
    <w:rsid w:val="2060BD73"/>
    <w:rsid w:val="20688A0F"/>
    <w:rsid w:val="20713A8B"/>
    <w:rsid w:val="2071C5F5"/>
    <w:rsid w:val="208EA786"/>
    <w:rsid w:val="209DFF3F"/>
    <w:rsid w:val="20A7C124"/>
    <w:rsid w:val="20BC28DC"/>
    <w:rsid w:val="20E6D957"/>
    <w:rsid w:val="20F8BEF7"/>
    <w:rsid w:val="211DB06E"/>
    <w:rsid w:val="211E1831"/>
    <w:rsid w:val="211EBB12"/>
    <w:rsid w:val="2189FB85"/>
    <w:rsid w:val="21D61042"/>
    <w:rsid w:val="21E7D3A7"/>
    <w:rsid w:val="21EEE4EE"/>
    <w:rsid w:val="220E5BCD"/>
    <w:rsid w:val="224D3047"/>
    <w:rsid w:val="224FC2E3"/>
    <w:rsid w:val="2251DE0D"/>
    <w:rsid w:val="22778FE0"/>
    <w:rsid w:val="22B18590"/>
    <w:rsid w:val="22BECB90"/>
    <w:rsid w:val="22C61E51"/>
    <w:rsid w:val="230F3A00"/>
    <w:rsid w:val="2314CCAF"/>
    <w:rsid w:val="23259F4D"/>
    <w:rsid w:val="232971D9"/>
    <w:rsid w:val="2373CADC"/>
    <w:rsid w:val="23966E1C"/>
    <w:rsid w:val="23BD57C4"/>
    <w:rsid w:val="23C63989"/>
    <w:rsid w:val="23CEA48A"/>
    <w:rsid w:val="23FBCAC4"/>
    <w:rsid w:val="2407FF40"/>
    <w:rsid w:val="241E849B"/>
    <w:rsid w:val="24298191"/>
    <w:rsid w:val="242EAA55"/>
    <w:rsid w:val="243EFC6E"/>
    <w:rsid w:val="2448108E"/>
    <w:rsid w:val="244ABD5D"/>
    <w:rsid w:val="246709CB"/>
    <w:rsid w:val="249071E8"/>
    <w:rsid w:val="24B68B8E"/>
    <w:rsid w:val="24BDEF98"/>
    <w:rsid w:val="2501F39B"/>
    <w:rsid w:val="251B5A4C"/>
    <w:rsid w:val="251E82E4"/>
    <w:rsid w:val="252722DE"/>
    <w:rsid w:val="255D6A5F"/>
    <w:rsid w:val="255FB772"/>
    <w:rsid w:val="257C92FB"/>
    <w:rsid w:val="257E95DF"/>
    <w:rsid w:val="25911179"/>
    <w:rsid w:val="25C28069"/>
    <w:rsid w:val="25D857C0"/>
    <w:rsid w:val="25F5ADF5"/>
    <w:rsid w:val="25FE9A9B"/>
    <w:rsid w:val="26092319"/>
    <w:rsid w:val="26475518"/>
    <w:rsid w:val="2669BDF0"/>
    <w:rsid w:val="267337E2"/>
    <w:rsid w:val="2680A47F"/>
    <w:rsid w:val="2687CAA9"/>
    <w:rsid w:val="26ACC385"/>
    <w:rsid w:val="26C2F33F"/>
    <w:rsid w:val="26E22A18"/>
    <w:rsid w:val="270BC699"/>
    <w:rsid w:val="2727A51E"/>
    <w:rsid w:val="274818A9"/>
    <w:rsid w:val="2750881C"/>
    <w:rsid w:val="2755874B"/>
    <w:rsid w:val="276A57F8"/>
    <w:rsid w:val="27788FD4"/>
    <w:rsid w:val="2787F50E"/>
    <w:rsid w:val="27AA2EFC"/>
    <w:rsid w:val="27AC2DD1"/>
    <w:rsid w:val="27E0C70E"/>
    <w:rsid w:val="27E8D8BA"/>
    <w:rsid w:val="28031075"/>
    <w:rsid w:val="282DEBD7"/>
    <w:rsid w:val="283077C9"/>
    <w:rsid w:val="285E101F"/>
    <w:rsid w:val="287DFA79"/>
    <w:rsid w:val="2899AAAC"/>
    <w:rsid w:val="28E7392D"/>
    <w:rsid w:val="290E7CB2"/>
    <w:rsid w:val="2949CEF2"/>
    <w:rsid w:val="29B88359"/>
    <w:rsid w:val="29C26FCA"/>
    <w:rsid w:val="29C3EAD6"/>
    <w:rsid w:val="29C58648"/>
    <w:rsid w:val="29CFEA4B"/>
    <w:rsid w:val="29D10A48"/>
    <w:rsid w:val="29EC386C"/>
    <w:rsid w:val="29F7779A"/>
    <w:rsid w:val="29FC0CEF"/>
    <w:rsid w:val="2A1730F0"/>
    <w:rsid w:val="2A24E9F3"/>
    <w:rsid w:val="2A293776"/>
    <w:rsid w:val="2A34D7E0"/>
    <w:rsid w:val="2A67F964"/>
    <w:rsid w:val="2A6CEEB1"/>
    <w:rsid w:val="2A76A30C"/>
    <w:rsid w:val="2A7E9DA6"/>
    <w:rsid w:val="2A8828DE"/>
    <w:rsid w:val="2A8E19C1"/>
    <w:rsid w:val="2AA503C8"/>
    <w:rsid w:val="2AAB8222"/>
    <w:rsid w:val="2AAC2D4B"/>
    <w:rsid w:val="2AC284E1"/>
    <w:rsid w:val="2AF02447"/>
    <w:rsid w:val="2AF4AFE7"/>
    <w:rsid w:val="2AF4B67B"/>
    <w:rsid w:val="2B049FA8"/>
    <w:rsid w:val="2B2D311A"/>
    <w:rsid w:val="2B32CA1E"/>
    <w:rsid w:val="2B9205B1"/>
    <w:rsid w:val="2BC86176"/>
    <w:rsid w:val="2BCCA1BA"/>
    <w:rsid w:val="2C190524"/>
    <w:rsid w:val="2C3C00F9"/>
    <w:rsid w:val="2C40D429"/>
    <w:rsid w:val="2C4B7F34"/>
    <w:rsid w:val="2C56EBA7"/>
    <w:rsid w:val="2C622662"/>
    <w:rsid w:val="2C65DEF1"/>
    <w:rsid w:val="2C69A704"/>
    <w:rsid w:val="2C8336AD"/>
    <w:rsid w:val="2CA100FD"/>
    <w:rsid w:val="2CA2820A"/>
    <w:rsid w:val="2CA373E7"/>
    <w:rsid w:val="2CB24732"/>
    <w:rsid w:val="2CB65B46"/>
    <w:rsid w:val="2CD38894"/>
    <w:rsid w:val="2CF1650D"/>
    <w:rsid w:val="2CFF11D2"/>
    <w:rsid w:val="2D1DE49B"/>
    <w:rsid w:val="2D231904"/>
    <w:rsid w:val="2D3335EB"/>
    <w:rsid w:val="2D3CCDC3"/>
    <w:rsid w:val="2D75BECD"/>
    <w:rsid w:val="2D90CDED"/>
    <w:rsid w:val="2D99D6F2"/>
    <w:rsid w:val="2DA53D58"/>
    <w:rsid w:val="2DA8EBDF"/>
    <w:rsid w:val="2DAC6DB6"/>
    <w:rsid w:val="2DD367CE"/>
    <w:rsid w:val="2DEE770B"/>
    <w:rsid w:val="2E32D707"/>
    <w:rsid w:val="2E453A17"/>
    <w:rsid w:val="2EC9A673"/>
    <w:rsid w:val="2EDE9972"/>
    <w:rsid w:val="2EF2328B"/>
    <w:rsid w:val="2F02F268"/>
    <w:rsid w:val="2F03B60E"/>
    <w:rsid w:val="2F10B3A4"/>
    <w:rsid w:val="2F133151"/>
    <w:rsid w:val="2F2A45B4"/>
    <w:rsid w:val="2F8265E5"/>
    <w:rsid w:val="2F939542"/>
    <w:rsid w:val="2F97FB36"/>
    <w:rsid w:val="2FB55ECD"/>
    <w:rsid w:val="301A9AD1"/>
    <w:rsid w:val="3026E224"/>
    <w:rsid w:val="304DCACE"/>
    <w:rsid w:val="30709AE9"/>
    <w:rsid w:val="309D7F65"/>
    <w:rsid w:val="30B7EAA4"/>
    <w:rsid w:val="30BAD33D"/>
    <w:rsid w:val="30CA151C"/>
    <w:rsid w:val="30D7DC39"/>
    <w:rsid w:val="30DFA517"/>
    <w:rsid w:val="310C6AF6"/>
    <w:rsid w:val="311B482E"/>
    <w:rsid w:val="31A80CD5"/>
    <w:rsid w:val="31AD1498"/>
    <w:rsid w:val="31ADB5C6"/>
    <w:rsid w:val="31BEFE90"/>
    <w:rsid w:val="31CAFDDB"/>
    <w:rsid w:val="31F4FA19"/>
    <w:rsid w:val="3226281B"/>
    <w:rsid w:val="324BF304"/>
    <w:rsid w:val="324E2FE2"/>
    <w:rsid w:val="3281466E"/>
    <w:rsid w:val="32C94DBB"/>
    <w:rsid w:val="32CAE462"/>
    <w:rsid w:val="32D4D7B3"/>
    <w:rsid w:val="32DE1B75"/>
    <w:rsid w:val="32F1F5BC"/>
    <w:rsid w:val="332A6A21"/>
    <w:rsid w:val="33513D1D"/>
    <w:rsid w:val="336E3220"/>
    <w:rsid w:val="33773D4A"/>
    <w:rsid w:val="3379EDE5"/>
    <w:rsid w:val="33806528"/>
    <w:rsid w:val="3380F01F"/>
    <w:rsid w:val="3388DBCC"/>
    <w:rsid w:val="33990D01"/>
    <w:rsid w:val="33B9EB74"/>
    <w:rsid w:val="33CFC78B"/>
    <w:rsid w:val="33F969F7"/>
    <w:rsid w:val="3403F7DC"/>
    <w:rsid w:val="3423EA2D"/>
    <w:rsid w:val="343212AF"/>
    <w:rsid w:val="347C10DD"/>
    <w:rsid w:val="349045CD"/>
    <w:rsid w:val="34ABE6E7"/>
    <w:rsid w:val="34AF29AC"/>
    <w:rsid w:val="34B361E2"/>
    <w:rsid w:val="34C2198A"/>
    <w:rsid w:val="34EF7906"/>
    <w:rsid w:val="34F317E6"/>
    <w:rsid w:val="34FB5877"/>
    <w:rsid w:val="351294CE"/>
    <w:rsid w:val="351338D0"/>
    <w:rsid w:val="35217F37"/>
    <w:rsid w:val="352FC2D7"/>
    <w:rsid w:val="354DD1BC"/>
    <w:rsid w:val="3567C8C0"/>
    <w:rsid w:val="35763576"/>
    <w:rsid w:val="35765C2E"/>
    <w:rsid w:val="3599E4AC"/>
    <w:rsid w:val="35BFBA8E"/>
    <w:rsid w:val="35DD0CE3"/>
    <w:rsid w:val="35F91A39"/>
    <w:rsid w:val="35FA2BA6"/>
    <w:rsid w:val="36285B45"/>
    <w:rsid w:val="3638D980"/>
    <w:rsid w:val="3644B38E"/>
    <w:rsid w:val="36455E50"/>
    <w:rsid w:val="366D5A44"/>
    <w:rsid w:val="36A3644B"/>
    <w:rsid w:val="36B2A8EB"/>
    <w:rsid w:val="36CEFEDC"/>
    <w:rsid w:val="36D00BB4"/>
    <w:rsid w:val="36E3AEA4"/>
    <w:rsid w:val="36E5CE09"/>
    <w:rsid w:val="36E76C5D"/>
    <w:rsid w:val="371491A0"/>
    <w:rsid w:val="371BEB9B"/>
    <w:rsid w:val="3735B50D"/>
    <w:rsid w:val="3751767B"/>
    <w:rsid w:val="3755D7F5"/>
    <w:rsid w:val="37750D15"/>
    <w:rsid w:val="37CE1A26"/>
    <w:rsid w:val="37E0DEE7"/>
    <w:rsid w:val="37EE98AB"/>
    <w:rsid w:val="37FBF0DF"/>
    <w:rsid w:val="38219E0A"/>
    <w:rsid w:val="38244290"/>
    <w:rsid w:val="3830B39E"/>
    <w:rsid w:val="38359D91"/>
    <w:rsid w:val="383B617F"/>
    <w:rsid w:val="3844AB7E"/>
    <w:rsid w:val="389C0BC9"/>
    <w:rsid w:val="38AF98D7"/>
    <w:rsid w:val="38B8FBEA"/>
    <w:rsid w:val="38C46225"/>
    <w:rsid w:val="38DFAE4E"/>
    <w:rsid w:val="38EA3E88"/>
    <w:rsid w:val="38F08D55"/>
    <w:rsid w:val="38FE7ED5"/>
    <w:rsid w:val="390367D2"/>
    <w:rsid w:val="3904BC19"/>
    <w:rsid w:val="390E7AF5"/>
    <w:rsid w:val="391EA3D1"/>
    <w:rsid w:val="392F01AF"/>
    <w:rsid w:val="394BCB98"/>
    <w:rsid w:val="394F8200"/>
    <w:rsid w:val="399CB30F"/>
    <w:rsid w:val="39B972C4"/>
    <w:rsid w:val="3A23CDC5"/>
    <w:rsid w:val="3A4E9A6F"/>
    <w:rsid w:val="3A6F30FA"/>
    <w:rsid w:val="3A73F9F4"/>
    <w:rsid w:val="3A8E65F3"/>
    <w:rsid w:val="3A91C087"/>
    <w:rsid w:val="3A9E292D"/>
    <w:rsid w:val="3AABE1AC"/>
    <w:rsid w:val="3AB8B301"/>
    <w:rsid w:val="3ADD539C"/>
    <w:rsid w:val="3AE47282"/>
    <w:rsid w:val="3AE5A14D"/>
    <w:rsid w:val="3B16F8EE"/>
    <w:rsid w:val="3B1CB017"/>
    <w:rsid w:val="3B3EC986"/>
    <w:rsid w:val="3B8B0A67"/>
    <w:rsid w:val="3BB8D625"/>
    <w:rsid w:val="3BEF5CBE"/>
    <w:rsid w:val="3C04291A"/>
    <w:rsid w:val="3C3717D7"/>
    <w:rsid w:val="3C434A47"/>
    <w:rsid w:val="3C5D1C88"/>
    <w:rsid w:val="3C7EC8EC"/>
    <w:rsid w:val="3C84397A"/>
    <w:rsid w:val="3C8722C2"/>
    <w:rsid w:val="3C901390"/>
    <w:rsid w:val="3C902D00"/>
    <w:rsid w:val="3CAB9DF9"/>
    <w:rsid w:val="3CC3680C"/>
    <w:rsid w:val="3CD5DBF0"/>
    <w:rsid w:val="3CEC9A4E"/>
    <w:rsid w:val="3CFA04E0"/>
    <w:rsid w:val="3D00C2F6"/>
    <w:rsid w:val="3D0FFE4D"/>
    <w:rsid w:val="3D20DED1"/>
    <w:rsid w:val="3D22804D"/>
    <w:rsid w:val="3D29CED1"/>
    <w:rsid w:val="3D4B1B9A"/>
    <w:rsid w:val="3D600A04"/>
    <w:rsid w:val="3D7979FB"/>
    <w:rsid w:val="3DED363A"/>
    <w:rsid w:val="3E02DA6C"/>
    <w:rsid w:val="3E04E8D4"/>
    <w:rsid w:val="3E168CC5"/>
    <w:rsid w:val="3E1E8C59"/>
    <w:rsid w:val="3E21ED17"/>
    <w:rsid w:val="3E65849A"/>
    <w:rsid w:val="3EA95CA5"/>
    <w:rsid w:val="3EAD6EF6"/>
    <w:rsid w:val="3EB87854"/>
    <w:rsid w:val="3EC4919B"/>
    <w:rsid w:val="3ECCC146"/>
    <w:rsid w:val="3ED4D4A1"/>
    <w:rsid w:val="3EEC1674"/>
    <w:rsid w:val="3EF3E659"/>
    <w:rsid w:val="3F02DE7D"/>
    <w:rsid w:val="3F062663"/>
    <w:rsid w:val="3F18DA61"/>
    <w:rsid w:val="3F46492D"/>
    <w:rsid w:val="3F6E9579"/>
    <w:rsid w:val="3F7A29A4"/>
    <w:rsid w:val="3FA2724F"/>
    <w:rsid w:val="3FA46162"/>
    <w:rsid w:val="3FBE4DD8"/>
    <w:rsid w:val="3FCC406D"/>
    <w:rsid w:val="403D38C9"/>
    <w:rsid w:val="40418736"/>
    <w:rsid w:val="40466485"/>
    <w:rsid w:val="40548F4F"/>
    <w:rsid w:val="408FB6BA"/>
    <w:rsid w:val="4097992C"/>
    <w:rsid w:val="40D0D29F"/>
    <w:rsid w:val="40F54C38"/>
    <w:rsid w:val="410A2046"/>
    <w:rsid w:val="4123EABA"/>
    <w:rsid w:val="412E5D50"/>
    <w:rsid w:val="415A93E5"/>
    <w:rsid w:val="415C1569"/>
    <w:rsid w:val="41734A2C"/>
    <w:rsid w:val="41A32590"/>
    <w:rsid w:val="41BA83EE"/>
    <w:rsid w:val="41BDAF95"/>
    <w:rsid w:val="420A706E"/>
    <w:rsid w:val="421430D2"/>
    <w:rsid w:val="42169FAC"/>
    <w:rsid w:val="424EC130"/>
    <w:rsid w:val="4273DC03"/>
    <w:rsid w:val="4281FAE4"/>
    <w:rsid w:val="429DC01F"/>
    <w:rsid w:val="42A0B9B1"/>
    <w:rsid w:val="42B3F57E"/>
    <w:rsid w:val="42B850A4"/>
    <w:rsid w:val="42C3B308"/>
    <w:rsid w:val="42D1C346"/>
    <w:rsid w:val="42F18A51"/>
    <w:rsid w:val="42FDB617"/>
    <w:rsid w:val="43241DA4"/>
    <w:rsid w:val="436E59A8"/>
    <w:rsid w:val="438FBE9C"/>
    <w:rsid w:val="43900DED"/>
    <w:rsid w:val="4390C5F5"/>
    <w:rsid w:val="43C0BA05"/>
    <w:rsid w:val="43C78360"/>
    <w:rsid w:val="43DAAF2B"/>
    <w:rsid w:val="43EFDFEE"/>
    <w:rsid w:val="4401D5A6"/>
    <w:rsid w:val="4417B7BF"/>
    <w:rsid w:val="4433A9CE"/>
    <w:rsid w:val="443C9EA8"/>
    <w:rsid w:val="445023FF"/>
    <w:rsid w:val="445A1574"/>
    <w:rsid w:val="4463E589"/>
    <w:rsid w:val="448B347F"/>
    <w:rsid w:val="448EA00D"/>
    <w:rsid w:val="44E8D664"/>
    <w:rsid w:val="44F7DFCE"/>
    <w:rsid w:val="44FD6A76"/>
    <w:rsid w:val="45302B0A"/>
    <w:rsid w:val="453FC967"/>
    <w:rsid w:val="455C1999"/>
    <w:rsid w:val="45616674"/>
    <w:rsid w:val="4565BE94"/>
    <w:rsid w:val="457D5B9D"/>
    <w:rsid w:val="459D0C9A"/>
    <w:rsid w:val="45C8E7B3"/>
    <w:rsid w:val="45CC1EED"/>
    <w:rsid w:val="45CCAD8C"/>
    <w:rsid w:val="45D2CC03"/>
    <w:rsid w:val="45DDAB3E"/>
    <w:rsid w:val="45DFD0A3"/>
    <w:rsid w:val="45EBF460"/>
    <w:rsid w:val="4600BC5B"/>
    <w:rsid w:val="46084CD1"/>
    <w:rsid w:val="462379D2"/>
    <w:rsid w:val="462A67EC"/>
    <w:rsid w:val="462AFE73"/>
    <w:rsid w:val="4635F28E"/>
    <w:rsid w:val="46423EC3"/>
    <w:rsid w:val="4662243C"/>
    <w:rsid w:val="46801C33"/>
    <w:rsid w:val="469A4D9F"/>
    <w:rsid w:val="46A92E71"/>
    <w:rsid w:val="46B8AB20"/>
    <w:rsid w:val="46BE65F6"/>
    <w:rsid w:val="46C236C3"/>
    <w:rsid w:val="46DBC172"/>
    <w:rsid w:val="46FBD3B8"/>
    <w:rsid w:val="470068C9"/>
    <w:rsid w:val="470BE01B"/>
    <w:rsid w:val="4710F594"/>
    <w:rsid w:val="47169020"/>
    <w:rsid w:val="4735D5D8"/>
    <w:rsid w:val="47562922"/>
    <w:rsid w:val="47743F6A"/>
    <w:rsid w:val="478A5AF8"/>
    <w:rsid w:val="47986ADA"/>
    <w:rsid w:val="479B65F0"/>
    <w:rsid w:val="47AD5D0B"/>
    <w:rsid w:val="47F1116F"/>
    <w:rsid w:val="48255A68"/>
    <w:rsid w:val="484480EF"/>
    <w:rsid w:val="486CB8D3"/>
    <w:rsid w:val="4881FEA9"/>
    <w:rsid w:val="48A09CE3"/>
    <w:rsid w:val="48D31CBA"/>
    <w:rsid w:val="48DC3509"/>
    <w:rsid w:val="49005E1D"/>
    <w:rsid w:val="49100FCB"/>
    <w:rsid w:val="491BDC6F"/>
    <w:rsid w:val="49244024"/>
    <w:rsid w:val="49576250"/>
    <w:rsid w:val="495AFE33"/>
    <w:rsid w:val="498C5D4F"/>
    <w:rsid w:val="49BC6E60"/>
    <w:rsid w:val="49E32A2F"/>
    <w:rsid w:val="49EECB76"/>
    <w:rsid w:val="4A1C4760"/>
    <w:rsid w:val="4A28025D"/>
    <w:rsid w:val="4A3FF6E3"/>
    <w:rsid w:val="4A46C34D"/>
    <w:rsid w:val="4A473EC7"/>
    <w:rsid w:val="4A61E92C"/>
    <w:rsid w:val="4A73694F"/>
    <w:rsid w:val="4A7CA19A"/>
    <w:rsid w:val="4A8D7A3A"/>
    <w:rsid w:val="4A8EDDA3"/>
    <w:rsid w:val="4AAB7551"/>
    <w:rsid w:val="4AAE5929"/>
    <w:rsid w:val="4ACFFF41"/>
    <w:rsid w:val="4B0963B1"/>
    <w:rsid w:val="4B2ADF45"/>
    <w:rsid w:val="4B3E1108"/>
    <w:rsid w:val="4B4E0698"/>
    <w:rsid w:val="4B6EDB8E"/>
    <w:rsid w:val="4B76C914"/>
    <w:rsid w:val="4BC5968A"/>
    <w:rsid w:val="4BD52EC2"/>
    <w:rsid w:val="4BDDED9C"/>
    <w:rsid w:val="4BE4847F"/>
    <w:rsid w:val="4BF16835"/>
    <w:rsid w:val="4BFF073B"/>
    <w:rsid w:val="4C16A69C"/>
    <w:rsid w:val="4C2E8830"/>
    <w:rsid w:val="4C317E68"/>
    <w:rsid w:val="4C4100E0"/>
    <w:rsid w:val="4C43536E"/>
    <w:rsid w:val="4C5B35E4"/>
    <w:rsid w:val="4CA53412"/>
    <w:rsid w:val="4CD0F06C"/>
    <w:rsid w:val="4CF234AF"/>
    <w:rsid w:val="4D0484F6"/>
    <w:rsid w:val="4D4619DF"/>
    <w:rsid w:val="4D699547"/>
    <w:rsid w:val="4D6C7859"/>
    <w:rsid w:val="4D8AED0C"/>
    <w:rsid w:val="4DA3E33D"/>
    <w:rsid w:val="4DB6B090"/>
    <w:rsid w:val="4DC0F7CA"/>
    <w:rsid w:val="4E0B4E16"/>
    <w:rsid w:val="4E262820"/>
    <w:rsid w:val="4E3BCEF2"/>
    <w:rsid w:val="4E4CB6A7"/>
    <w:rsid w:val="4E64F574"/>
    <w:rsid w:val="4E6862AC"/>
    <w:rsid w:val="4E76E4E3"/>
    <w:rsid w:val="4E84DBF0"/>
    <w:rsid w:val="4E8EE609"/>
    <w:rsid w:val="4EF4E040"/>
    <w:rsid w:val="4EFA3A80"/>
    <w:rsid w:val="4EFB6EC0"/>
    <w:rsid w:val="4F1C966A"/>
    <w:rsid w:val="4F52CD09"/>
    <w:rsid w:val="4F56B9B4"/>
    <w:rsid w:val="4F5ED842"/>
    <w:rsid w:val="4F874B5C"/>
    <w:rsid w:val="4F8B2F02"/>
    <w:rsid w:val="4F9DD12A"/>
    <w:rsid w:val="4FA071F0"/>
    <w:rsid w:val="4FA8BB11"/>
    <w:rsid w:val="4FDCD4D4"/>
    <w:rsid w:val="501ACFB0"/>
    <w:rsid w:val="502678D7"/>
    <w:rsid w:val="502A82E6"/>
    <w:rsid w:val="503539B5"/>
    <w:rsid w:val="503744CA"/>
    <w:rsid w:val="50415B00"/>
    <w:rsid w:val="5051FF9D"/>
    <w:rsid w:val="507C45DF"/>
    <w:rsid w:val="508A1A6D"/>
    <w:rsid w:val="50A29065"/>
    <w:rsid w:val="50AE498D"/>
    <w:rsid w:val="50B13BD7"/>
    <w:rsid w:val="50B18439"/>
    <w:rsid w:val="50BC48E2"/>
    <w:rsid w:val="50C9BABF"/>
    <w:rsid w:val="50D4C243"/>
    <w:rsid w:val="50DB1D11"/>
    <w:rsid w:val="50EBAA19"/>
    <w:rsid w:val="5120771D"/>
    <w:rsid w:val="5129522B"/>
    <w:rsid w:val="519B57B5"/>
    <w:rsid w:val="51A58792"/>
    <w:rsid w:val="51B5190B"/>
    <w:rsid w:val="51B7DE4C"/>
    <w:rsid w:val="51C17B9A"/>
    <w:rsid w:val="51D8067B"/>
    <w:rsid w:val="51E55F70"/>
    <w:rsid w:val="5204A88E"/>
    <w:rsid w:val="5209FD83"/>
    <w:rsid w:val="521D0A50"/>
    <w:rsid w:val="522C088A"/>
    <w:rsid w:val="5264134A"/>
    <w:rsid w:val="528AF65D"/>
    <w:rsid w:val="52A7523C"/>
    <w:rsid w:val="52B14F0B"/>
    <w:rsid w:val="52BA642E"/>
    <w:rsid w:val="52C4BA39"/>
    <w:rsid w:val="52EB2BFA"/>
    <w:rsid w:val="52F81D7B"/>
    <w:rsid w:val="530DCD63"/>
    <w:rsid w:val="531185EB"/>
    <w:rsid w:val="5336B491"/>
    <w:rsid w:val="5340ADE7"/>
    <w:rsid w:val="535D3EBA"/>
    <w:rsid w:val="53A54F5F"/>
    <w:rsid w:val="53B38EF3"/>
    <w:rsid w:val="53D57F7B"/>
    <w:rsid w:val="53EDA88F"/>
    <w:rsid w:val="54069B64"/>
    <w:rsid w:val="54121E66"/>
    <w:rsid w:val="541A97C0"/>
    <w:rsid w:val="54324965"/>
    <w:rsid w:val="544CA01E"/>
    <w:rsid w:val="546B3AAF"/>
    <w:rsid w:val="547970BF"/>
    <w:rsid w:val="54C03320"/>
    <w:rsid w:val="54CF5112"/>
    <w:rsid w:val="54FE4D11"/>
    <w:rsid w:val="551386B4"/>
    <w:rsid w:val="55153E49"/>
    <w:rsid w:val="554CFB52"/>
    <w:rsid w:val="55A0D1B0"/>
    <w:rsid w:val="55A26BC5"/>
    <w:rsid w:val="55D56A76"/>
    <w:rsid w:val="55DA972D"/>
    <w:rsid w:val="55E2915B"/>
    <w:rsid w:val="55EA627C"/>
    <w:rsid w:val="5623D2DE"/>
    <w:rsid w:val="562F141A"/>
    <w:rsid w:val="563B001B"/>
    <w:rsid w:val="5646749E"/>
    <w:rsid w:val="565731F7"/>
    <w:rsid w:val="5685BF65"/>
    <w:rsid w:val="569632E4"/>
    <w:rsid w:val="56C83684"/>
    <w:rsid w:val="56D07557"/>
    <w:rsid w:val="56E570AE"/>
    <w:rsid w:val="56F103D4"/>
    <w:rsid w:val="56F9F3CF"/>
    <w:rsid w:val="5705518E"/>
    <w:rsid w:val="570A660C"/>
    <w:rsid w:val="571E85D8"/>
    <w:rsid w:val="57233325"/>
    <w:rsid w:val="575A7B5A"/>
    <w:rsid w:val="57830625"/>
    <w:rsid w:val="578CC21C"/>
    <w:rsid w:val="57BBCBB9"/>
    <w:rsid w:val="57BD6117"/>
    <w:rsid w:val="57C3C806"/>
    <w:rsid w:val="57C6A96E"/>
    <w:rsid w:val="57E200FD"/>
    <w:rsid w:val="58071D92"/>
    <w:rsid w:val="580EED35"/>
    <w:rsid w:val="5831FDC2"/>
    <w:rsid w:val="583B403E"/>
    <w:rsid w:val="58469A45"/>
    <w:rsid w:val="585D6EB6"/>
    <w:rsid w:val="587B4E75"/>
    <w:rsid w:val="587F92FE"/>
    <w:rsid w:val="58946EC9"/>
    <w:rsid w:val="58BB295B"/>
    <w:rsid w:val="58BE94FD"/>
    <w:rsid w:val="58BF12B6"/>
    <w:rsid w:val="5961A7E4"/>
    <w:rsid w:val="5962D209"/>
    <w:rsid w:val="5963D122"/>
    <w:rsid w:val="5982C72B"/>
    <w:rsid w:val="598D39F6"/>
    <w:rsid w:val="598EB9C4"/>
    <w:rsid w:val="59E418EA"/>
    <w:rsid w:val="59F611CA"/>
    <w:rsid w:val="5A146CA8"/>
    <w:rsid w:val="5A25045A"/>
    <w:rsid w:val="5A34E47C"/>
    <w:rsid w:val="5A3D22ED"/>
    <w:rsid w:val="5A3DF79A"/>
    <w:rsid w:val="5A4D4290"/>
    <w:rsid w:val="5A4E0E0E"/>
    <w:rsid w:val="5A75DCE8"/>
    <w:rsid w:val="5A880C93"/>
    <w:rsid w:val="5A8B6AAF"/>
    <w:rsid w:val="5AA2F5C3"/>
    <w:rsid w:val="5AB42CBB"/>
    <w:rsid w:val="5AE4DF70"/>
    <w:rsid w:val="5B17940D"/>
    <w:rsid w:val="5B3F07DF"/>
    <w:rsid w:val="5B45F60E"/>
    <w:rsid w:val="5B4B85FD"/>
    <w:rsid w:val="5B58C197"/>
    <w:rsid w:val="5B6C52E5"/>
    <w:rsid w:val="5B88DF95"/>
    <w:rsid w:val="5BF9829F"/>
    <w:rsid w:val="5C2E5F65"/>
    <w:rsid w:val="5C32BE55"/>
    <w:rsid w:val="5C3A803C"/>
    <w:rsid w:val="5C74B086"/>
    <w:rsid w:val="5C76FA6A"/>
    <w:rsid w:val="5CABA3A1"/>
    <w:rsid w:val="5CD08AAB"/>
    <w:rsid w:val="5CDBEF7B"/>
    <w:rsid w:val="5CDDCC6F"/>
    <w:rsid w:val="5D082C45"/>
    <w:rsid w:val="5D298537"/>
    <w:rsid w:val="5D33C005"/>
    <w:rsid w:val="5D4CEEC7"/>
    <w:rsid w:val="5D7178F3"/>
    <w:rsid w:val="5D71BC28"/>
    <w:rsid w:val="5D8F30A1"/>
    <w:rsid w:val="5DAF49F0"/>
    <w:rsid w:val="5DCE5E8B"/>
    <w:rsid w:val="5DE38603"/>
    <w:rsid w:val="5DE445B5"/>
    <w:rsid w:val="5E7FB76C"/>
    <w:rsid w:val="5E90A224"/>
    <w:rsid w:val="5E992627"/>
    <w:rsid w:val="5EBBA1CF"/>
    <w:rsid w:val="5EE4681F"/>
    <w:rsid w:val="5F24A6CC"/>
    <w:rsid w:val="5F27E527"/>
    <w:rsid w:val="5F6C6535"/>
    <w:rsid w:val="5F77EF9D"/>
    <w:rsid w:val="5F8FF2C1"/>
    <w:rsid w:val="5FBEE0C3"/>
    <w:rsid w:val="5FD1E009"/>
    <w:rsid w:val="5FD92896"/>
    <w:rsid w:val="5FF7AEEA"/>
    <w:rsid w:val="602C7285"/>
    <w:rsid w:val="6041C568"/>
    <w:rsid w:val="606CAFEB"/>
    <w:rsid w:val="6078FA34"/>
    <w:rsid w:val="607D9CCF"/>
    <w:rsid w:val="60A3F88E"/>
    <w:rsid w:val="60AB4F74"/>
    <w:rsid w:val="60BBD07C"/>
    <w:rsid w:val="60CD9334"/>
    <w:rsid w:val="60E654F3"/>
    <w:rsid w:val="60F4A814"/>
    <w:rsid w:val="60F50A7A"/>
    <w:rsid w:val="60F5D756"/>
    <w:rsid w:val="6107066F"/>
    <w:rsid w:val="6115B356"/>
    <w:rsid w:val="615415E4"/>
    <w:rsid w:val="615A615E"/>
    <w:rsid w:val="616AF5B6"/>
    <w:rsid w:val="616DB06A"/>
    <w:rsid w:val="61737F58"/>
    <w:rsid w:val="61743626"/>
    <w:rsid w:val="61A1C821"/>
    <w:rsid w:val="61FFE3FC"/>
    <w:rsid w:val="6244FF3F"/>
    <w:rsid w:val="625157F0"/>
    <w:rsid w:val="625B3869"/>
    <w:rsid w:val="62644AE5"/>
    <w:rsid w:val="626FC4F6"/>
    <w:rsid w:val="62954452"/>
    <w:rsid w:val="629FC656"/>
    <w:rsid w:val="62A07469"/>
    <w:rsid w:val="62CE95BE"/>
    <w:rsid w:val="62D394F0"/>
    <w:rsid w:val="62DC59AA"/>
    <w:rsid w:val="62EE82D2"/>
    <w:rsid w:val="62F44F97"/>
    <w:rsid w:val="62FDC428"/>
    <w:rsid w:val="6305FC70"/>
    <w:rsid w:val="63089820"/>
    <w:rsid w:val="6310B461"/>
    <w:rsid w:val="6312E9A4"/>
    <w:rsid w:val="6315EFA4"/>
    <w:rsid w:val="633F760A"/>
    <w:rsid w:val="6350FAFA"/>
    <w:rsid w:val="63908C8F"/>
    <w:rsid w:val="6397FEC3"/>
    <w:rsid w:val="63CC2B0E"/>
    <w:rsid w:val="63E0ADF7"/>
    <w:rsid w:val="63FDB467"/>
    <w:rsid w:val="640708A6"/>
    <w:rsid w:val="640FB96B"/>
    <w:rsid w:val="6436353E"/>
    <w:rsid w:val="645D8B92"/>
    <w:rsid w:val="64988FD6"/>
    <w:rsid w:val="649951C1"/>
    <w:rsid w:val="64BD614D"/>
    <w:rsid w:val="64EFD2DB"/>
    <w:rsid w:val="64FB5BB4"/>
    <w:rsid w:val="64FF588F"/>
    <w:rsid w:val="6515CE98"/>
    <w:rsid w:val="653B5494"/>
    <w:rsid w:val="654380D2"/>
    <w:rsid w:val="6550F96C"/>
    <w:rsid w:val="659A1773"/>
    <w:rsid w:val="65AEBD47"/>
    <w:rsid w:val="65C27FEB"/>
    <w:rsid w:val="65E83BDE"/>
    <w:rsid w:val="65F4E2BC"/>
    <w:rsid w:val="660216F8"/>
    <w:rsid w:val="66315A7C"/>
    <w:rsid w:val="664A188B"/>
    <w:rsid w:val="664F3B10"/>
    <w:rsid w:val="665D61E2"/>
    <w:rsid w:val="6669112C"/>
    <w:rsid w:val="66838497"/>
    <w:rsid w:val="6683F8D1"/>
    <w:rsid w:val="66AC5282"/>
    <w:rsid w:val="66B1DB47"/>
    <w:rsid w:val="66B655DF"/>
    <w:rsid w:val="6706B843"/>
    <w:rsid w:val="67273CED"/>
    <w:rsid w:val="6728A26A"/>
    <w:rsid w:val="67455846"/>
    <w:rsid w:val="67D5406A"/>
    <w:rsid w:val="681B405F"/>
    <w:rsid w:val="6822177B"/>
    <w:rsid w:val="6825CF78"/>
    <w:rsid w:val="682C6B9F"/>
    <w:rsid w:val="68807E69"/>
    <w:rsid w:val="68823205"/>
    <w:rsid w:val="68907CAC"/>
    <w:rsid w:val="68960F88"/>
    <w:rsid w:val="68A38C49"/>
    <w:rsid w:val="68E88D16"/>
    <w:rsid w:val="68F14E56"/>
    <w:rsid w:val="68F1D529"/>
    <w:rsid w:val="6907AC97"/>
    <w:rsid w:val="6919D25F"/>
    <w:rsid w:val="699AD84A"/>
    <w:rsid w:val="69B486B9"/>
    <w:rsid w:val="69DE849E"/>
    <w:rsid w:val="69E46BD6"/>
    <w:rsid w:val="69E87D26"/>
    <w:rsid w:val="69EE17EA"/>
    <w:rsid w:val="6A0AC919"/>
    <w:rsid w:val="6A11C4F8"/>
    <w:rsid w:val="6A152B2F"/>
    <w:rsid w:val="6A32161A"/>
    <w:rsid w:val="6A331DEC"/>
    <w:rsid w:val="6A371B04"/>
    <w:rsid w:val="6A527954"/>
    <w:rsid w:val="6A735076"/>
    <w:rsid w:val="6A9AC832"/>
    <w:rsid w:val="6AD3FFE2"/>
    <w:rsid w:val="6AD58FC4"/>
    <w:rsid w:val="6AE16883"/>
    <w:rsid w:val="6AFF5F3F"/>
    <w:rsid w:val="6B119F68"/>
    <w:rsid w:val="6B2B1D4B"/>
    <w:rsid w:val="6B447703"/>
    <w:rsid w:val="6B677353"/>
    <w:rsid w:val="6B6AACA4"/>
    <w:rsid w:val="6B6E9A13"/>
    <w:rsid w:val="6B84C795"/>
    <w:rsid w:val="6B854F10"/>
    <w:rsid w:val="6B86BB07"/>
    <w:rsid w:val="6BA3F703"/>
    <w:rsid w:val="6BC62D32"/>
    <w:rsid w:val="6BC88A90"/>
    <w:rsid w:val="6BDAE74A"/>
    <w:rsid w:val="6BDDDCE0"/>
    <w:rsid w:val="6BF21B0A"/>
    <w:rsid w:val="6C0EE55E"/>
    <w:rsid w:val="6C2E2484"/>
    <w:rsid w:val="6C4CBCB2"/>
    <w:rsid w:val="6C4D505C"/>
    <w:rsid w:val="6C5FBA76"/>
    <w:rsid w:val="6C872CA4"/>
    <w:rsid w:val="6C8CB950"/>
    <w:rsid w:val="6CB4957A"/>
    <w:rsid w:val="6CDACD21"/>
    <w:rsid w:val="6CE1A2B7"/>
    <w:rsid w:val="6D0A6A74"/>
    <w:rsid w:val="6D14F14D"/>
    <w:rsid w:val="6D1871AB"/>
    <w:rsid w:val="6D2327BE"/>
    <w:rsid w:val="6D4F7612"/>
    <w:rsid w:val="6D7550A6"/>
    <w:rsid w:val="6DACCDCA"/>
    <w:rsid w:val="6DC03BA7"/>
    <w:rsid w:val="6E36006D"/>
    <w:rsid w:val="6E4D4B9C"/>
    <w:rsid w:val="6E5BCF4E"/>
    <w:rsid w:val="6E60DAAA"/>
    <w:rsid w:val="6E813ED5"/>
    <w:rsid w:val="6E8C0196"/>
    <w:rsid w:val="6E95D12C"/>
    <w:rsid w:val="6EA83CB4"/>
    <w:rsid w:val="6EAD8C17"/>
    <w:rsid w:val="6ED41D48"/>
    <w:rsid w:val="6EE72C34"/>
    <w:rsid w:val="6EEA2460"/>
    <w:rsid w:val="6EF9B525"/>
    <w:rsid w:val="6EFCC1E8"/>
    <w:rsid w:val="6F3826AD"/>
    <w:rsid w:val="6F4490AF"/>
    <w:rsid w:val="6F4C4710"/>
    <w:rsid w:val="6F72D065"/>
    <w:rsid w:val="6F7A8EEF"/>
    <w:rsid w:val="6F9600ED"/>
    <w:rsid w:val="6FA94CB5"/>
    <w:rsid w:val="6FAB69A7"/>
    <w:rsid w:val="6FE11CFE"/>
    <w:rsid w:val="6FE3B7CA"/>
    <w:rsid w:val="6FE64F6F"/>
    <w:rsid w:val="6FEC54FB"/>
    <w:rsid w:val="701B73F7"/>
    <w:rsid w:val="703426DB"/>
    <w:rsid w:val="7043BC10"/>
    <w:rsid w:val="704CE81F"/>
    <w:rsid w:val="705DB276"/>
    <w:rsid w:val="70B7F406"/>
    <w:rsid w:val="70C89090"/>
    <w:rsid w:val="70E81771"/>
    <w:rsid w:val="71032FBC"/>
    <w:rsid w:val="71033A60"/>
    <w:rsid w:val="71351D6C"/>
    <w:rsid w:val="717D5D42"/>
    <w:rsid w:val="7186CAB4"/>
    <w:rsid w:val="7189C835"/>
    <w:rsid w:val="718BC83C"/>
    <w:rsid w:val="71AB08A5"/>
    <w:rsid w:val="71E86270"/>
    <w:rsid w:val="71F39C1E"/>
    <w:rsid w:val="7215F715"/>
    <w:rsid w:val="7222FBF4"/>
    <w:rsid w:val="72421EB8"/>
    <w:rsid w:val="7296CBEF"/>
    <w:rsid w:val="729CE8B1"/>
    <w:rsid w:val="72A09183"/>
    <w:rsid w:val="72B57BC6"/>
    <w:rsid w:val="72B9D627"/>
    <w:rsid w:val="72F6E75B"/>
    <w:rsid w:val="72F82D00"/>
    <w:rsid w:val="72FCE2F3"/>
    <w:rsid w:val="7307449B"/>
    <w:rsid w:val="7314BB80"/>
    <w:rsid w:val="7324B576"/>
    <w:rsid w:val="73300D45"/>
    <w:rsid w:val="7352A87F"/>
    <w:rsid w:val="7366D8BD"/>
    <w:rsid w:val="736ABF5B"/>
    <w:rsid w:val="736C88D2"/>
    <w:rsid w:val="737028EE"/>
    <w:rsid w:val="73BD9583"/>
    <w:rsid w:val="73E05FE9"/>
    <w:rsid w:val="73F6B9DC"/>
    <w:rsid w:val="742BEC0E"/>
    <w:rsid w:val="74567BA1"/>
    <w:rsid w:val="746B29EB"/>
    <w:rsid w:val="74B12FCF"/>
    <w:rsid w:val="74BE3B2A"/>
    <w:rsid w:val="74C8E33B"/>
    <w:rsid w:val="74E4E336"/>
    <w:rsid w:val="74EBEA53"/>
    <w:rsid w:val="750C2B34"/>
    <w:rsid w:val="75190187"/>
    <w:rsid w:val="75200332"/>
    <w:rsid w:val="752678FB"/>
    <w:rsid w:val="75319AB6"/>
    <w:rsid w:val="754A01BF"/>
    <w:rsid w:val="7551F0E7"/>
    <w:rsid w:val="755965E4"/>
    <w:rsid w:val="756DC087"/>
    <w:rsid w:val="75B88087"/>
    <w:rsid w:val="75BC19AD"/>
    <w:rsid w:val="75D819A4"/>
    <w:rsid w:val="75ED0173"/>
    <w:rsid w:val="75F1F2A9"/>
    <w:rsid w:val="7638E5EA"/>
    <w:rsid w:val="763C2009"/>
    <w:rsid w:val="764A8D1C"/>
    <w:rsid w:val="765C89E5"/>
    <w:rsid w:val="7670CC1E"/>
    <w:rsid w:val="7685DBA6"/>
    <w:rsid w:val="76AA4164"/>
    <w:rsid w:val="76D2A1E4"/>
    <w:rsid w:val="76DCAAA4"/>
    <w:rsid w:val="77356439"/>
    <w:rsid w:val="773E2A98"/>
    <w:rsid w:val="7773A51B"/>
    <w:rsid w:val="778ABBF7"/>
    <w:rsid w:val="77AAE5EC"/>
    <w:rsid w:val="77D80CB4"/>
    <w:rsid w:val="77E478DF"/>
    <w:rsid w:val="77EF66EF"/>
    <w:rsid w:val="780D5D7F"/>
    <w:rsid w:val="780E8701"/>
    <w:rsid w:val="782115C2"/>
    <w:rsid w:val="78604A7E"/>
    <w:rsid w:val="78657243"/>
    <w:rsid w:val="78714A33"/>
    <w:rsid w:val="7883E956"/>
    <w:rsid w:val="789C44DA"/>
    <w:rsid w:val="789EF75B"/>
    <w:rsid w:val="78BC059E"/>
    <w:rsid w:val="78BC7A9C"/>
    <w:rsid w:val="78E0BC25"/>
    <w:rsid w:val="792E2909"/>
    <w:rsid w:val="79765469"/>
    <w:rsid w:val="797FB123"/>
    <w:rsid w:val="7991AC4D"/>
    <w:rsid w:val="799871CE"/>
    <w:rsid w:val="79A06AF8"/>
    <w:rsid w:val="79B77D46"/>
    <w:rsid w:val="7A17E79F"/>
    <w:rsid w:val="7A41D00A"/>
    <w:rsid w:val="7A450A85"/>
    <w:rsid w:val="7A4A8628"/>
    <w:rsid w:val="7A72F3B6"/>
    <w:rsid w:val="7A859652"/>
    <w:rsid w:val="7A9E1661"/>
    <w:rsid w:val="7AA3E370"/>
    <w:rsid w:val="7AE7B22C"/>
    <w:rsid w:val="7AEB1C60"/>
    <w:rsid w:val="7AF310CE"/>
    <w:rsid w:val="7AFF05C4"/>
    <w:rsid w:val="7B15C7E7"/>
    <w:rsid w:val="7B450844"/>
    <w:rsid w:val="7B5B2BD7"/>
    <w:rsid w:val="7B5E5DE3"/>
    <w:rsid w:val="7BDFC24F"/>
    <w:rsid w:val="7C4FD2BF"/>
    <w:rsid w:val="7C5E2F86"/>
    <w:rsid w:val="7C81C5D1"/>
    <w:rsid w:val="7CA89C1E"/>
    <w:rsid w:val="7CA903A0"/>
    <w:rsid w:val="7D36230A"/>
    <w:rsid w:val="7D3BEB47"/>
    <w:rsid w:val="7D4935A2"/>
    <w:rsid w:val="7D742EB3"/>
    <w:rsid w:val="7DBCCA19"/>
    <w:rsid w:val="7DBE79E2"/>
    <w:rsid w:val="7DC241EC"/>
    <w:rsid w:val="7DCB649B"/>
    <w:rsid w:val="7E065A66"/>
    <w:rsid w:val="7E0B1D1E"/>
    <w:rsid w:val="7E0BB7AE"/>
    <w:rsid w:val="7E2520B4"/>
    <w:rsid w:val="7E3E8561"/>
    <w:rsid w:val="7E3F83B8"/>
    <w:rsid w:val="7E583ABC"/>
    <w:rsid w:val="7E5F784D"/>
    <w:rsid w:val="7E8A8C88"/>
    <w:rsid w:val="7E98F281"/>
    <w:rsid w:val="7EC64857"/>
    <w:rsid w:val="7EC6FB8D"/>
    <w:rsid w:val="7EF02D58"/>
    <w:rsid w:val="7F007156"/>
    <w:rsid w:val="7F0E4D24"/>
    <w:rsid w:val="7F24FC12"/>
    <w:rsid w:val="7F598EA3"/>
    <w:rsid w:val="7F5D648C"/>
    <w:rsid w:val="7F6345E9"/>
    <w:rsid w:val="7F6A77B4"/>
    <w:rsid w:val="7F6B1CCC"/>
    <w:rsid w:val="7F6D676B"/>
    <w:rsid w:val="7F6DAA87"/>
    <w:rsid w:val="7FC23D9E"/>
    <w:rsid w:val="7FE32718"/>
    <w:rsid w:val="7FEF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4BB2F8"/>
  <w15:docId w15:val="{B9C5C8F2-5E06-4E1E-8207-6DB78895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146"/>
  </w:style>
  <w:style w:type="paragraph" w:styleId="Heading1">
    <w:name w:val="heading 1"/>
    <w:basedOn w:val="Normal"/>
    <w:next w:val="Normal"/>
    <w:link w:val="Heading1Char"/>
    <w:uiPriority w:val="9"/>
    <w:qFormat/>
    <w:rsid w:val="00253B42"/>
    <w:pPr>
      <w:keepNext/>
      <w:keepLines/>
      <w:spacing w:before="480" w:after="0" w:line="240" w:lineRule="auto"/>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7559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B42"/>
    <w:rPr>
      <w:rFonts w:eastAsiaTheme="majorEastAsia" w:cstheme="majorBidi"/>
      <w:b/>
      <w:bCs/>
      <w:sz w:val="24"/>
      <w:szCs w:val="28"/>
    </w:rPr>
  </w:style>
  <w:style w:type="paragraph" w:styleId="FootnoteText">
    <w:name w:val="footnote text"/>
    <w:basedOn w:val="Normal"/>
    <w:link w:val="FootnoteTextChar"/>
    <w:uiPriority w:val="99"/>
    <w:semiHidden/>
    <w:unhideWhenUsed/>
    <w:rsid w:val="00ED17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765"/>
    <w:rPr>
      <w:sz w:val="20"/>
      <w:szCs w:val="20"/>
    </w:rPr>
  </w:style>
  <w:style w:type="character" w:styleId="FootnoteReference">
    <w:name w:val="footnote reference"/>
    <w:uiPriority w:val="99"/>
    <w:unhideWhenUsed/>
    <w:rsid w:val="00ED1765"/>
    <w:rPr>
      <w:shd w:val="clear" w:color="auto" w:fill="auto"/>
      <w:vertAlign w:val="superscript"/>
    </w:rPr>
  </w:style>
  <w:style w:type="paragraph" w:styleId="BalloonText">
    <w:name w:val="Balloon Text"/>
    <w:basedOn w:val="Normal"/>
    <w:link w:val="BalloonTextChar"/>
    <w:uiPriority w:val="99"/>
    <w:semiHidden/>
    <w:unhideWhenUsed/>
    <w:rsid w:val="00F21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D76"/>
    <w:rPr>
      <w:rFonts w:ascii="Tahoma" w:hAnsi="Tahoma" w:cs="Tahoma"/>
      <w:sz w:val="16"/>
      <w:szCs w:val="16"/>
    </w:rPr>
  </w:style>
  <w:style w:type="paragraph" w:styleId="Header">
    <w:name w:val="header"/>
    <w:basedOn w:val="Normal"/>
    <w:link w:val="HeaderChar"/>
    <w:uiPriority w:val="99"/>
    <w:unhideWhenUsed/>
    <w:rsid w:val="00D73D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3D95"/>
  </w:style>
  <w:style w:type="paragraph" w:styleId="Footer">
    <w:name w:val="footer"/>
    <w:basedOn w:val="Normal"/>
    <w:link w:val="FooterChar"/>
    <w:uiPriority w:val="99"/>
    <w:unhideWhenUsed/>
    <w:rsid w:val="00D73D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3D95"/>
  </w:style>
  <w:style w:type="character" w:styleId="CommentReference">
    <w:name w:val="annotation reference"/>
    <w:basedOn w:val="DefaultParagraphFont"/>
    <w:uiPriority w:val="99"/>
    <w:semiHidden/>
    <w:unhideWhenUsed/>
    <w:rsid w:val="00114654"/>
    <w:rPr>
      <w:sz w:val="16"/>
      <w:szCs w:val="16"/>
    </w:rPr>
  </w:style>
  <w:style w:type="paragraph" w:styleId="CommentText">
    <w:name w:val="annotation text"/>
    <w:basedOn w:val="Normal"/>
    <w:link w:val="CommentTextChar"/>
    <w:uiPriority w:val="99"/>
    <w:unhideWhenUsed/>
    <w:rsid w:val="00114654"/>
    <w:pPr>
      <w:spacing w:line="240" w:lineRule="auto"/>
    </w:pPr>
    <w:rPr>
      <w:sz w:val="20"/>
      <w:szCs w:val="20"/>
    </w:rPr>
  </w:style>
  <w:style w:type="character" w:customStyle="1" w:styleId="CommentTextChar">
    <w:name w:val="Comment Text Char"/>
    <w:basedOn w:val="DefaultParagraphFont"/>
    <w:link w:val="CommentText"/>
    <w:uiPriority w:val="99"/>
    <w:rsid w:val="00114654"/>
    <w:rPr>
      <w:sz w:val="20"/>
      <w:szCs w:val="20"/>
    </w:rPr>
  </w:style>
  <w:style w:type="paragraph" w:styleId="CommentSubject">
    <w:name w:val="annotation subject"/>
    <w:basedOn w:val="CommentText"/>
    <w:next w:val="CommentText"/>
    <w:link w:val="CommentSubjectChar"/>
    <w:uiPriority w:val="99"/>
    <w:semiHidden/>
    <w:unhideWhenUsed/>
    <w:rsid w:val="00114654"/>
    <w:rPr>
      <w:b/>
      <w:bCs/>
    </w:rPr>
  </w:style>
  <w:style w:type="character" w:customStyle="1" w:styleId="CommentSubjectChar">
    <w:name w:val="Comment Subject Char"/>
    <w:basedOn w:val="CommentTextChar"/>
    <w:link w:val="CommentSubject"/>
    <w:uiPriority w:val="99"/>
    <w:semiHidden/>
    <w:rsid w:val="00114654"/>
    <w:rPr>
      <w:b/>
      <w:bCs/>
      <w:sz w:val="20"/>
      <w:szCs w:val="20"/>
    </w:rPr>
  </w:style>
  <w:style w:type="paragraph" w:styleId="Revision">
    <w:name w:val="Revision"/>
    <w:hidden/>
    <w:uiPriority w:val="99"/>
    <w:semiHidden/>
    <w:rsid w:val="00BC1293"/>
    <w:pPr>
      <w:spacing w:after="0" w:line="240" w:lineRule="auto"/>
    </w:pPr>
  </w:style>
  <w:style w:type="paragraph" w:styleId="ListParagraph">
    <w:name w:val="List Paragraph"/>
    <w:basedOn w:val="Normal"/>
    <w:uiPriority w:val="34"/>
    <w:qFormat/>
    <w:rsid w:val="00272FF5"/>
    <w:pPr>
      <w:ind w:left="720"/>
      <w:contextualSpacing/>
    </w:pPr>
  </w:style>
  <w:style w:type="character" w:customStyle="1" w:styleId="Marker">
    <w:name w:val="Marker"/>
    <w:basedOn w:val="DefaultParagraphFont"/>
    <w:rsid w:val="000D46BC"/>
    <w:rPr>
      <w:color w:val="0000FF"/>
      <w:shd w:val="clear" w:color="auto" w:fill="auto"/>
    </w:rPr>
  </w:style>
  <w:style w:type="paragraph" w:customStyle="1" w:styleId="Pagedecouverture">
    <w:name w:val="Page de couverture"/>
    <w:basedOn w:val="Normal"/>
    <w:next w:val="Normal"/>
    <w:rsid w:val="000D46B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0D46B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D46BC"/>
    <w:rPr>
      <w:rFonts w:ascii="Times New Roman" w:hAnsi="Times New Roman" w:cs="Times New Roman"/>
      <w:sz w:val="24"/>
    </w:rPr>
  </w:style>
  <w:style w:type="paragraph" w:customStyle="1" w:styleId="FooterSensitivity">
    <w:name w:val="Footer Sensitivity"/>
    <w:basedOn w:val="Normal"/>
    <w:link w:val="FooterSensitivityChar"/>
    <w:rsid w:val="000D46B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0D46BC"/>
    <w:rPr>
      <w:rFonts w:ascii="Times New Roman" w:hAnsi="Times New Roman" w:cs="Times New Roman"/>
      <w:b/>
      <w:sz w:val="32"/>
    </w:rPr>
  </w:style>
  <w:style w:type="paragraph" w:customStyle="1" w:styleId="HeaderCoverPage">
    <w:name w:val="Header Cover Page"/>
    <w:basedOn w:val="Normal"/>
    <w:link w:val="HeaderCoverPageChar"/>
    <w:rsid w:val="000D46B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D46BC"/>
    <w:rPr>
      <w:rFonts w:ascii="Times New Roman" w:hAnsi="Times New Roman" w:cs="Times New Roman"/>
      <w:sz w:val="24"/>
    </w:rPr>
  </w:style>
  <w:style w:type="paragraph" w:customStyle="1" w:styleId="HeaderSensitivity">
    <w:name w:val="Header Sensitivity"/>
    <w:basedOn w:val="Normal"/>
    <w:link w:val="HeaderSensitivityChar"/>
    <w:rsid w:val="000D46B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0D46BC"/>
    <w:rPr>
      <w:rFonts w:ascii="Times New Roman" w:hAnsi="Times New Roman" w:cs="Times New Roman"/>
      <w:b/>
      <w:sz w:val="32"/>
    </w:rPr>
  </w:style>
  <w:style w:type="character" w:styleId="Hyperlink">
    <w:name w:val="Hyperlink"/>
    <w:basedOn w:val="DefaultParagraphFont"/>
    <w:uiPriority w:val="99"/>
    <w:semiHidden/>
    <w:unhideWhenUsed/>
    <w:rsid w:val="00C837F7"/>
    <w:rPr>
      <w:color w:val="0000FF"/>
      <w:u w:val="single"/>
    </w:rPr>
  </w:style>
  <w:style w:type="paragraph" w:customStyle="1" w:styleId="SecurityMarking">
    <w:name w:val="SecurityMarking"/>
    <w:basedOn w:val="Normal"/>
    <w:rsid w:val="006319B8"/>
    <w:pPr>
      <w:spacing w:after="0"/>
      <w:ind w:left="5103"/>
    </w:pPr>
    <w:rPr>
      <w:rFonts w:ascii="Times New Roman" w:hAnsi="Times New Roman" w:cs="Times New Roman"/>
      <w:sz w:val="28"/>
    </w:rPr>
  </w:style>
  <w:style w:type="paragraph" w:customStyle="1" w:styleId="DateMarking">
    <w:name w:val="DateMarking"/>
    <w:basedOn w:val="Normal"/>
    <w:rsid w:val="006319B8"/>
    <w:pPr>
      <w:spacing w:after="0"/>
      <w:ind w:left="5103"/>
    </w:pPr>
    <w:rPr>
      <w:rFonts w:ascii="Times New Roman" w:hAnsi="Times New Roman" w:cs="Times New Roman"/>
      <w:i/>
      <w:sz w:val="28"/>
    </w:rPr>
  </w:style>
  <w:style w:type="paragraph" w:customStyle="1" w:styleId="ReleasableTo">
    <w:name w:val="ReleasableTo"/>
    <w:basedOn w:val="Normal"/>
    <w:rsid w:val="006319B8"/>
    <w:pPr>
      <w:spacing w:after="0"/>
      <w:ind w:left="5103"/>
    </w:pPr>
    <w:rPr>
      <w:rFonts w:ascii="Times New Roman" w:hAnsi="Times New Roman" w:cs="Times New Roman"/>
      <w:i/>
      <w:sz w:val="28"/>
    </w:rPr>
  </w:style>
  <w:style w:type="paragraph" w:customStyle="1" w:styleId="HeaderSensitivityRight">
    <w:name w:val="Header Sensitivity Right"/>
    <w:basedOn w:val="Normal"/>
    <w:rsid w:val="006319B8"/>
    <w:pPr>
      <w:spacing w:after="120" w:line="240" w:lineRule="auto"/>
      <w:jc w:val="right"/>
    </w:pPr>
    <w:rPr>
      <w:rFonts w:ascii="Times New Roman" w:hAnsi="Times New Roman" w:cs="Times New Roman"/>
      <w:sz w:val="28"/>
    </w:rPr>
  </w:style>
  <w:style w:type="paragraph" w:customStyle="1" w:styleId="title-fam-member-star">
    <w:name w:val="title-fam-member-star"/>
    <w:basedOn w:val="Normal"/>
    <w:rsid w:val="00346A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4A45"/>
    <w:rPr>
      <w:i/>
      <w:iCs/>
    </w:rPr>
  </w:style>
  <w:style w:type="character" w:customStyle="1" w:styleId="Heading3Char">
    <w:name w:val="Heading 3 Char"/>
    <w:basedOn w:val="DefaultParagraphFont"/>
    <w:link w:val="Heading3"/>
    <w:uiPriority w:val="9"/>
    <w:semiHidden/>
    <w:rsid w:val="0075598B"/>
    <w:rPr>
      <w:rFonts w:asciiTheme="majorHAnsi" w:eastAsiaTheme="majorEastAsia" w:hAnsiTheme="majorHAnsi" w:cstheme="majorBidi"/>
      <w:color w:val="243F60" w:themeColor="accent1" w:themeShade="7F"/>
      <w:sz w:val="24"/>
      <w:szCs w:val="24"/>
    </w:rPr>
  </w:style>
  <w:style w:type="character" w:customStyle="1" w:styleId="Bodytext2">
    <w:name w:val="Body text|2"/>
    <w:basedOn w:val="DefaultParagraphFont"/>
    <w:semiHidden/>
    <w:unhideWhenUsed/>
    <w:rsid w:val="00327C7B"/>
    <w:rPr>
      <w:rFonts w:ascii="Times New Roman" w:eastAsia="Times New Roman" w:hAnsi="Times New Roman" w:cs="Times New Roman"/>
      <w:b w:val="0"/>
      <w:bCs w:val="0"/>
      <w:i w:val="0"/>
      <w:iCs w:val="0"/>
      <w:smallCaps w:val="0"/>
      <w:strike w:val="0"/>
      <w:color w:val="1D1D1D"/>
      <w:spacing w:val="0"/>
      <w:w w:val="100"/>
      <w:position w:val="0"/>
      <w:sz w:val="24"/>
      <w:szCs w:val="24"/>
      <w:u w:val="none"/>
      <w:lang w:val="hu-HU" w:eastAsia="en-US" w:bidi="en-US"/>
    </w:rPr>
  </w:style>
  <w:style w:type="paragraph" w:customStyle="1" w:styleId="doc-ti">
    <w:name w:val="doc-ti"/>
    <w:basedOn w:val="Normal"/>
    <w:rsid w:val="00441F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bold">
    <w:name w:val="title-bold"/>
    <w:basedOn w:val="Normal"/>
    <w:rsid w:val="00A76CE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A76CE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F9736E"/>
    <w:rPr>
      <w:b/>
      <w:bCs/>
    </w:rPr>
  </w:style>
  <w:style w:type="character" w:customStyle="1" w:styleId="affairetitle">
    <w:name w:val="affaire_title"/>
    <w:basedOn w:val="DefaultParagraphFont"/>
    <w:rsid w:val="009B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453767">
      <w:bodyDiv w:val="1"/>
      <w:marLeft w:val="0"/>
      <w:marRight w:val="0"/>
      <w:marTop w:val="0"/>
      <w:marBottom w:val="0"/>
      <w:divBdr>
        <w:top w:val="none" w:sz="0" w:space="0" w:color="auto"/>
        <w:left w:val="none" w:sz="0" w:space="0" w:color="auto"/>
        <w:bottom w:val="none" w:sz="0" w:space="0" w:color="auto"/>
        <w:right w:val="none" w:sz="0" w:space="0" w:color="auto"/>
      </w:divBdr>
    </w:div>
    <w:div w:id="376973384">
      <w:bodyDiv w:val="1"/>
      <w:marLeft w:val="0"/>
      <w:marRight w:val="0"/>
      <w:marTop w:val="0"/>
      <w:marBottom w:val="0"/>
      <w:divBdr>
        <w:top w:val="none" w:sz="0" w:space="0" w:color="auto"/>
        <w:left w:val="none" w:sz="0" w:space="0" w:color="auto"/>
        <w:bottom w:val="none" w:sz="0" w:space="0" w:color="auto"/>
        <w:right w:val="none" w:sz="0" w:space="0" w:color="auto"/>
      </w:divBdr>
    </w:div>
    <w:div w:id="531109225">
      <w:bodyDiv w:val="1"/>
      <w:marLeft w:val="0"/>
      <w:marRight w:val="0"/>
      <w:marTop w:val="0"/>
      <w:marBottom w:val="0"/>
      <w:divBdr>
        <w:top w:val="none" w:sz="0" w:space="0" w:color="auto"/>
        <w:left w:val="none" w:sz="0" w:space="0" w:color="auto"/>
        <w:bottom w:val="none" w:sz="0" w:space="0" w:color="auto"/>
        <w:right w:val="none" w:sz="0" w:space="0" w:color="auto"/>
      </w:divBdr>
    </w:div>
    <w:div w:id="540047950">
      <w:bodyDiv w:val="1"/>
      <w:marLeft w:val="0"/>
      <w:marRight w:val="0"/>
      <w:marTop w:val="0"/>
      <w:marBottom w:val="0"/>
      <w:divBdr>
        <w:top w:val="none" w:sz="0" w:space="0" w:color="auto"/>
        <w:left w:val="none" w:sz="0" w:space="0" w:color="auto"/>
        <w:bottom w:val="none" w:sz="0" w:space="0" w:color="auto"/>
        <w:right w:val="none" w:sz="0" w:space="0" w:color="auto"/>
      </w:divBdr>
    </w:div>
    <w:div w:id="729576659">
      <w:bodyDiv w:val="1"/>
      <w:marLeft w:val="0"/>
      <w:marRight w:val="0"/>
      <w:marTop w:val="0"/>
      <w:marBottom w:val="0"/>
      <w:divBdr>
        <w:top w:val="none" w:sz="0" w:space="0" w:color="auto"/>
        <w:left w:val="none" w:sz="0" w:space="0" w:color="auto"/>
        <w:bottom w:val="none" w:sz="0" w:space="0" w:color="auto"/>
        <w:right w:val="none" w:sz="0" w:space="0" w:color="auto"/>
      </w:divBdr>
    </w:div>
    <w:div w:id="950363155">
      <w:bodyDiv w:val="1"/>
      <w:marLeft w:val="0"/>
      <w:marRight w:val="0"/>
      <w:marTop w:val="0"/>
      <w:marBottom w:val="0"/>
      <w:divBdr>
        <w:top w:val="none" w:sz="0" w:space="0" w:color="auto"/>
        <w:left w:val="none" w:sz="0" w:space="0" w:color="auto"/>
        <w:bottom w:val="none" w:sz="0" w:space="0" w:color="auto"/>
        <w:right w:val="none" w:sz="0" w:space="0" w:color="auto"/>
      </w:divBdr>
    </w:div>
    <w:div w:id="964042751">
      <w:bodyDiv w:val="1"/>
      <w:marLeft w:val="0"/>
      <w:marRight w:val="0"/>
      <w:marTop w:val="0"/>
      <w:marBottom w:val="0"/>
      <w:divBdr>
        <w:top w:val="none" w:sz="0" w:space="0" w:color="auto"/>
        <w:left w:val="none" w:sz="0" w:space="0" w:color="auto"/>
        <w:bottom w:val="none" w:sz="0" w:space="0" w:color="auto"/>
        <w:right w:val="none" w:sz="0" w:space="0" w:color="auto"/>
      </w:divBdr>
    </w:div>
    <w:div w:id="1076903353">
      <w:bodyDiv w:val="1"/>
      <w:marLeft w:val="0"/>
      <w:marRight w:val="0"/>
      <w:marTop w:val="0"/>
      <w:marBottom w:val="0"/>
      <w:divBdr>
        <w:top w:val="none" w:sz="0" w:space="0" w:color="auto"/>
        <w:left w:val="none" w:sz="0" w:space="0" w:color="auto"/>
        <w:bottom w:val="none" w:sz="0" w:space="0" w:color="auto"/>
        <w:right w:val="none" w:sz="0" w:space="0" w:color="auto"/>
      </w:divBdr>
    </w:div>
    <w:div w:id="1185555099">
      <w:bodyDiv w:val="1"/>
      <w:marLeft w:val="0"/>
      <w:marRight w:val="0"/>
      <w:marTop w:val="0"/>
      <w:marBottom w:val="0"/>
      <w:divBdr>
        <w:top w:val="none" w:sz="0" w:space="0" w:color="auto"/>
        <w:left w:val="none" w:sz="0" w:space="0" w:color="auto"/>
        <w:bottom w:val="none" w:sz="0" w:space="0" w:color="auto"/>
        <w:right w:val="none" w:sz="0" w:space="0" w:color="auto"/>
      </w:divBdr>
    </w:div>
    <w:div w:id="1597716109">
      <w:bodyDiv w:val="1"/>
      <w:marLeft w:val="0"/>
      <w:marRight w:val="0"/>
      <w:marTop w:val="0"/>
      <w:marBottom w:val="0"/>
      <w:divBdr>
        <w:top w:val="none" w:sz="0" w:space="0" w:color="auto"/>
        <w:left w:val="none" w:sz="0" w:space="0" w:color="auto"/>
        <w:bottom w:val="none" w:sz="0" w:space="0" w:color="auto"/>
        <w:right w:val="none" w:sz="0" w:space="0" w:color="auto"/>
      </w:divBdr>
    </w:div>
    <w:div w:id="1659992273">
      <w:bodyDiv w:val="1"/>
      <w:marLeft w:val="0"/>
      <w:marRight w:val="0"/>
      <w:marTop w:val="0"/>
      <w:marBottom w:val="0"/>
      <w:divBdr>
        <w:top w:val="none" w:sz="0" w:space="0" w:color="auto"/>
        <w:left w:val="none" w:sz="0" w:space="0" w:color="auto"/>
        <w:bottom w:val="none" w:sz="0" w:space="0" w:color="auto"/>
        <w:right w:val="none" w:sz="0" w:space="0" w:color="auto"/>
      </w:divBdr>
    </w:div>
    <w:div w:id="1715155052">
      <w:bodyDiv w:val="1"/>
      <w:marLeft w:val="0"/>
      <w:marRight w:val="0"/>
      <w:marTop w:val="0"/>
      <w:marBottom w:val="0"/>
      <w:divBdr>
        <w:top w:val="none" w:sz="0" w:space="0" w:color="auto"/>
        <w:left w:val="none" w:sz="0" w:space="0" w:color="auto"/>
        <w:bottom w:val="none" w:sz="0" w:space="0" w:color="auto"/>
        <w:right w:val="none" w:sz="0" w:space="0" w:color="auto"/>
      </w:divBdr>
    </w:div>
    <w:div w:id="1752190496">
      <w:bodyDiv w:val="1"/>
      <w:marLeft w:val="0"/>
      <w:marRight w:val="0"/>
      <w:marTop w:val="0"/>
      <w:marBottom w:val="0"/>
      <w:divBdr>
        <w:top w:val="none" w:sz="0" w:space="0" w:color="auto"/>
        <w:left w:val="none" w:sz="0" w:space="0" w:color="auto"/>
        <w:bottom w:val="none" w:sz="0" w:space="0" w:color="auto"/>
        <w:right w:val="none" w:sz="0" w:space="0" w:color="auto"/>
      </w:divBdr>
    </w:div>
    <w:div w:id="1792703246">
      <w:bodyDiv w:val="1"/>
      <w:marLeft w:val="0"/>
      <w:marRight w:val="0"/>
      <w:marTop w:val="0"/>
      <w:marBottom w:val="0"/>
      <w:divBdr>
        <w:top w:val="none" w:sz="0" w:space="0" w:color="auto"/>
        <w:left w:val="none" w:sz="0" w:space="0" w:color="auto"/>
        <w:bottom w:val="none" w:sz="0" w:space="0" w:color="auto"/>
        <w:right w:val="none" w:sz="0" w:space="0" w:color="auto"/>
      </w:divBdr>
      <w:divsChild>
        <w:div w:id="1624506410">
          <w:marLeft w:val="547"/>
          <w:marRight w:val="0"/>
          <w:marTop w:val="240"/>
          <w:marBottom w:val="120"/>
          <w:divBdr>
            <w:top w:val="none" w:sz="0" w:space="0" w:color="auto"/>
            <w:left w:val="none" w:sz="0" w:space="0" w:color="auto"/>
            <w:bottom w:val="none" w:sz="0" w:space="0" w:color="auto"/>
            <w:right w:val="none" w:sz="0" w:space="0" w:color="auto"/>
          </w:divBdr>
        </w:div>
        <w:div w:id="1866863044">
          <w:marLeft w:val="1166"/>
          <w:marRight w:val="0"/>
          <w:marTop w:val="240"/>
          <w:marBottom w:val="120"/>
          <w:divBdr>
            <w:top w:val="none" w:sz="0" w:space="0" w:color="auto"/>
            <w:left w:val="none" w:sz="0" w:space="0" w:color="auto"/>
            <w:bottom w:val="none" w:sz="0" w:space="0" w:color="auto"/>
            <w:right w:val="none" w:sz="0" w:space="0" w:color="auto"/>
          </w:divBdr>
        </w:div>
        <w:div w:id="2088526634">
          <w:marLeft w:val="1166"/>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38D3-9D7B-4344-8275-1AF51D455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D1C74-21A8-4A88-964C-BB3437448A5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2332242-72eb-4c56-ab66-572cc47fcb14"/>
    <ds:schemaRef ds:uri="http://www.w3.org/XML/1998/namespace"/>
    <ds:schemaRef ds:uri="http://purl.org/dc/elements/1.1/"/>
  </ds:schemaRefs>
</ds:datastoreItem>
</file>

<file path=customXml/itemProps3.xml><?xml version="1.0" encoding="utf-8"?>
<ds:datastoreItem xmlns:ds="http://schemas.openxmlformats.org/officeDocument/2006/customXml" ds:itemID="{C70A74E5-8FBD-43F4-B435-785BF7F67175}">
  <ds:schemaRefs>
    <ds:schemaRef ds:uri="http://schemas.microsoft.com/sharepoint/v3/contenttype/forms"/>
  </ds:schemaRefs>
</ds:datastoreItem>
</file>

<file path=customXml/itemProps4.xml><?xml version="1.0" encoding="utf-8"?>
<ds:datastoreItem xmlns:ds="http://schemas.openxmlformats.org/officeDocument/2006/customXml" ds:itemID="{8014911C-9901-4ED8-B68B-21CF1425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4490</Words>
  <Characters>31794</Characters>
  <Application>Microsoft Office Word</Application>
  <DocSecurity>0</DocSecurity>
  <Lines>775</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2022-12-21T08:30:00Z</cp:lastPrinted>
  <dcterms:created xsi:type="dcterms:W3CDTF">2023-02-16T15:18:00Z</dcterms:created>
  <dcterms:modified xsi:type="dcterms:W3CDTF">2023-03-24T16:58:00Z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8.1, Build 20230124</vt:lpwstr>
  </property>
  <property fmtid="{D5CDD505-2E9C-101B-9397-08002B2CF9AE}" pid="8" name="ContentTypeId">
    <vt:lpwstr>0x010100FF1B87D5ABF651429579392F313233BD</vt:lpwstr>
  </property>
  <property fmtid="{D5CDD505-2E9C-101B-9397-08002B2CF9AE}" pid="9" name="MSIP_Label_6bd9ddd1-4d20-43f6-abfa-fc3c07406f94_Enabled">
    <vt:lpwstr>true</vt:lpwstr>
  </property>
  <property fmtid="{D5CDD505-2E9C-101B-9397-08002B2CF9AE}" pid="10" name="MSIP_Label_6bd9ddd1-4d20-43f6-abfa-fc3c07406f94_SetDate">
    <vt:lpwstr>2023-01-05T07:35:34Z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1bee8c3c-7c01-4bb9-9926-1e69743dccfd</vt:lpwstr>
  </property>
  <property fmtid="{D5CDD505-2E9C-101B-9397-08002B2CF9AE}" pid="15" name="MSIP_Label_6bd9ddd1-4d20-43f6-abfa-fc3c07406f94_ContentBits">
    <vt:lpwstr>0</vt:lpwstr>
  </property>
  <property fmtid="{D5CDD505-2E9C-101B-9397-08002B2CF9AE}" pid="16" name="CPTemplateID">
    <vt:lpwstr>CP-006</vt:lpwstr>
  </property>
</Properties>
</file>