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329D6" w14:textId="3313F925" w:rsidR="008D4B25" w:rsidRDefault="0089748A" w:rsidP="0089748A">
      <w:pPr>
        <w:pStyle w:val="Pagedecouverture"/>
        <w:rPr>
          <w:noProof/>
        </w:rPr>
      </w:pPr>
      <w:bookmarkStart w:id="0" w:name="LW_BM_COVERPAGE"/>
      <w:r>
        <w:rPr>
          <w:noProof/>
        </w:rPr>
        <w:pict w14:anchorId="11C21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F5A7AF9-6455-4467-8868-716F7214BFF2" style="width:455.25pt;height:310.5pt">
            <v:imagedata r:id="rId11" o:title=""/>
          </v:shape>
        </w:pict>
      </w:r>
    </w:p>
    <w:bookmarkEnd w:id="0"/>
    <w:p w14:paraId="1E58BBFA" w14:textId="77777777" w:rsidR="008D4B25" w:rsidRDefault="008D4B25" w:rsidP="008D4B25">
      <w:pPr>
        <w:rPr>
          <w:noProof/>
        </w:rPr>
        <w:sectPr w:rsidR="008D4B25" w:rsidSect="0089748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bookmarkStart w:id="1" w:name="_GoBack"/>
    <w:bookmarkEnd w:id="1"/>
    <w:p w14:paraId="53BD2C00" w14:textId="1A9809ED" w:rsidR="003049E0" w:rsidRDefault="002A46E3">
      <w:pPr>
        <w:pStyle w:val="TOC1"/>
        <w:rPr>
          <w:rFonts w:asciiTheme="minorHAnsi" w:eastAsiaTheme="minorEastAsia" w:hAnsiTheme="minorHAnsi"/>
          <w:noProof/>
          <w:sz w:val="22"/>
          <w:lang w:val="en-IE" w:eastAsia="en-IE"/>
        </w:rPr>
      </w:pPr>
      <w:r>
        <w:rPr>
          <w:noProof/>
          <w:sz w:val="28"/>
          <w:szCs w:val="28"/>
        </w:rPr>
        <w:lastRenderedPageBreak/>
        <w:fldChar w:fldCharType="begin"/>
      </w:r>
      <w:r>
        <w:rPr>
          <w:noProof/>
          <w:sz w:val="28"/>
          <w:szCs w:val="28"/>
        </w:rPr>
        <w:instrText xml:space="preserve"> TOC \o "1-2" \h \z \u </w:instrText>
      </w:r>
      <w:r>
        <w:rPr>
          <w:noProof/>
          <w:sz w:val="28"/>
          <w:szCs w:val="28"/>
        </w:rPr>
        <w:fldChar w:fldCharType="separate"/>
      </w:r>
      <w:hyperlink w:anchor="_Toc130224406" w:history="1">
        <w:r w:rsidR="003049E0" w:rsidRPr="00B65774">
          <w:rPr>
            <w:rStyle w:val="Hyperlink"/>
            <w:noProof/>
          </w:rPr>
          <w:t>1. Introduction</w:t>
        </w:r>
        <w:r w:rsidR="003049E0">
          <w:rPr>
            <w:noProof/>
            <w:webHidden/>
          </w:rPr>
          <w:tab/>
        </w:r>
        <w:r w:rsidR="003049E0">
          <w:rPr>
            <w:noProof/>
            <w:webHidden/>
          </w:rPr>
          <w:fldChar w:fldCharType="begin"/>
        </w:r>
        <w:r w:rsidR="003049E0">
          <w:rPr>
            <w:noProof/>
            <w:webHidden/>
          </w:rPr>
          <w:instrText xml:space="preserve"> PAGEREF _Toc130224406 \h </w:instrText>
        </w:r>
        <w:r w:rsidR="003049E0">
          <w:rPr>
            <w:noProof/>
            <w:webHidden/>
          </w:rPr>
        </w:r>
        <w:r w:rsidR="003049E0">
          <w:rPr>
            <w:noProof/>
            <w:webHidden/>
          </w:rPr>
          <w:fldChar w:fldCharType="separate"/>
        </w:r>
        <w:r w:rsidR="003049E0">
          <w:rPr>
            <w:noProof/>
            <w:webHidden/>
          </w:rPr>
          <w:t>1</w:t>
        </w:r>
        <w:r w:rsidR="003049E0">
          <w:rPr>
            <w:noProof/>
            <w:webHidden/>
          </w:rPr>
          <w:fldChar w:fldCharType="end"/>
        </w:r>
      </w:hyperlink>
    </w:p>
    <w:p w14:paraId="1B4DDCE3" w14:textId="4D13B293" w:rsidR="003049E0" w:rsidRDefault="0089748A">
      <w:pPr>
        <w:pStyle w:val="TOC1"/>
        <w:rPr>
          <w:rFonts w:asciiTheme="minorHAnsi" w:eastAsiaTheme="minorEastAsia" w:hAnsiTheme="minorHAnsi"/>
          <w:noProof/>
          <w:sz w:val="22"/>
          <w:lang w:val="en-IE" w:eastAsia="en-IE"/>
        </w:rPr>
      </w:pPr>
      <w:hyperlink w:anchor="_Toc130224407" w:history="1">
        <w:r w:rsidR="003049E0" w:rsidRPr="00B65774">
          <w:rPr>
            <w:rStyle w:val="Hyperlink"/>
            <w:noProof/>
          </w:rPr>
          <w:t>2. The Commission’s role in mitigating external economic shocks in times of disruption was crucial</w:t>
        </w:r>
        <w:r w:rsidR="003049E0">
          <w:rPr>
            <w:noProof/>
            <w:webHidden/>
          </w:rPr>
          <w:tab/>
        </w:r>
        <w:r w:rsidR="003049E0">
          <w:rPr>
            <w:noProof/>
            <w:webHidden/>
          </w:rPr>
          <w:fldChar w:fldCharType="begin"/>
        </w:r>
        <w:r w:rsidR="003049E0">
          <w:rPr>
            <w:noProof/>
            <w:webHidden/>
          </w:rPr>
          <w:instrText xml:space="preserve"> PAGEREF _Toc130224407 \h </w:instrText>
        </w:r>
        <w:r w:rsidR="003049E0">
          <w:rPr>
            <w:noProof/>
            <w:webHidden/>
          </w:rPr>
        </w:r>
        <w:r w:rsidR="003049E0">
          <w:rPr>
            <w:noProof/>
            <w:webHidden/>
          </w:rPr>
          <w:fldChar w:fldCharType="separate"/>
        </w:r>
        <w:r w:rsidR="003049E0">
          <w:rPr>
            <w:noProof/>
            <w:webHidden/>
          </w:rPr>
          <w:t>2</w:t>
        </w:r>
        <w:r w:rsidR="003049E0">
          <w:rPr>
            <w:noProof/>
            <w:webHidden/>
          </w:rPr>
          <w:fldChar w:fldCharType="end"/>
        </w:r>
      </w:hyperlink>
    </w:p>
    <w:p w14:paraId="151F9EA0" w14:textId="3254488B" w:rsidR="003049E0" w:rsidRDefault="0089748A">
      <w:pPr>
        <w:pStyle w:val="TOC2"/>
        <w:rPr>
          <w:rFonts w:asciiTheme="minorHAnsi" w:eastAsiaTheme="minorEastAsia" w:hAnsiTheme="minorHAnsi"/>
          <w:noProof/>
          <w:sz w:val="22"/>
          <w:lang w:val="en-IE" w:eastAsia="en-IE"/>
        </w:rPr>
      </w:pPr>
      <w:hyperlink w:anchor="_Toc130224408" w:history="1">
        <w:r w:rsidR="003049E0" w:rsidRPr="00B65774">
          <w:rPr>
            <w:rStyle w:val="Hyperlink"/>
            <w:noProof/>
          </w:rPr>
          <w:t>2.1. Adoption of the Temporary Crisis Framework to support the economy following Russia's invasion of Ukraine and Emergency Energy Communication</w:t>
        </w:r>
        <w:r w:rsidR="003049E0">
          <w:rPr>
            <w:noProof/>
            <w:webHidden/>
          </w:rPr>
          <w:tab/>
        </w:r>
        <w:r w:rsidR="003049E0">
          <w:rPr>
            <w:noProof/>
            <w:webHidden/>
          </w:rPr>
          <w:fldChar w:fldCharType="begin"/>
        </w:r>
        <w:r w:rsidR="003049E0">
          <w:rPr>
            <w:noProof/>
            <w:webHidden/>
          </w:rPr>
          <w:instrText xml:space="preserve"> PAGEREF _Toc130224408 \h </w:instrText>
        </w:r>
        <w:r w:rsidR="003049E0">
          <w:rPr>
            <w:noProof/>
            <w:webHidden/>
          </w:rPr>
        </w:r>
        <w:r w:rsidR="003049E0">
          <w:rPr>
            <w:noProof/>
            <w:webHidden/>
          </w:rPr>
          <w:fldChar w:fldCharType="separate"/>
        </w:r>
        <w:r w:rsidR="003049E0">
          <w:rPr>
            <w:noProof/>
            <w:webHidden/>
          </w:rPr>
          <w:t>2</w:t>
        </w:r>
        <w:r w:rsidR="003049E0">
          <w:rPr>
            <w:noProof/>
            <w:webHidden/>
          </w:rPr>
          <w:fldChar w:fldCharType="end"/>
        </w:r>
      </w:hyperlink>
    </w:p>
    <w:p w14:paraId="79150F67" w14:textId="3081C2CF" w:rsidR="003049E0" w:rsidRDefault="0089748A">
      <w:pPr>
        <w:pStyle w:val="TOC2"/>
        <w:rPr>
          <w:rFonts w:asciiTheme="minorHAnsi" w:eastAsiaTheme="minorEastAsia" w:hAnsiTheme="minorHAnsi"/>
          <w:noProof/>
          <w:sz w:val="22"/>
          <w:lang w:val="en-IE" w:eastAsia="en-IE"/>
        </w:rPr>
      </w:pPr>
      <w:hyperlink w:anchor="_Toc130224409" w:history="1">
        <w:r w:rsidR="003049E0" w:rsidRPr="00B65774">
          <w:rPr>
            <w:rStyle w:val="Hyperlink"/>
            <w:noProof/>
          </w:rPr>
          <w:t>2.2. Phasing out the State Aid Covid Temporary Framework supporting the economy in the context of the coronavirus outbreak</w:t>
        </w:r>
        <w:r w:rsidR="003049E0">
          <w:rPr>
            <w:noProof/>
            <w:webHidden/>
          </w:rPr>
          <w:tab/>
        </w:r>
        <w:r w:rsidR="003049E0">
          <w:rPr>
            <w:noProof/>
            <w:webHidden/>
          </w:rPr>
          <w:fldChar w:fldCharType="begin"/>
        </w:r>
        <w:r w:rsidR="003049E0">
          <w:rPr>
            <w:noProof/>
            <w:webHidden/>
          </w:rPr>
          <w:instrText xml:space="preserve"> PAGEREF _Toc130224409 \h </w:instrText>
        </w:r>
        <w:r w:rsidR="003049E0">
          <w:rPr>
            <w:noProof/>
            <w:webHidden/>
          </w:rPr>
        </w:r>
        <w:r w:rsidR="003049E0">
          <w:rPr>
            <w:noProof/>
            <w:webHidden/>
          </w:rPr>
          <w:fldChar w:fldCharType="separate"/>
        </w:r>
        <w:r w:rsidR="003049E0">
          <w:rPr>
            <w:noProof/>
            <w:webHidden/>
          </w:rPr>
          <w:t>4</w:t>
        </w:r>
        <w:r w:rsidR="003049E0">
          <w:rPr>
            <w:noProof/>
            <w:webHidden/>
          </w:rPr>
          <w:fldChar w:fldCharType="end"/>
        </w:r>
      </w:hyperlink>
    </w:p>
    <w:p w14:paraId="37FCD3DC" w14:textId="53F63979" w:rsidR="003049E0" w:rsidRDefault="0089748A">
      <w:pPr>
        <w:pStyle w:val="TOC2"/>
        <w:rPr>
          <w:rFonts w:asciiTheme="minorHAnsi" w:eastAsiaTheme="minorEastAsia" w:hAnsiTheme="minorHAnsi"/>
          <w:noProof/>
          <w:sz w:val="22"/>
          <w:lang w:val="en-IE" w:eastAsia="en-IE"/>
        </w:rPr>
      </w:pPr>
      <w:hyperlink w:anchor="_Toc130224410" w:history="1">
        <w:r w:rsidR="003049E0" w:rsidRPr="00B65774">
          <w:rPr>
            <w:rStyle w:val="Hyperlink"/>
            <w:noProof/>
          </w:rPr>
          <w:t>2.3. Implementing the Recovery and Resilience Facility</w:t>
        </w:r>
        <w:r w:rsidR="003049E0">
          <w:rPr>
            <w:noProof/>
            <w:webHidden/>
          </w:rPr>
          <w:tab/>
        </w:r>
        <w:r w:rsidR="003049E0">
          <w:rPr>
            <w:noProof/>
            <w:webHidden/>
          </w:rPr>
          <w:fldChar w:fldCharType="begin"/>
        </w:r>
        <w:r w:rsidR="003049E0">
          <w:rPr>
            <w:noProof/>
            <w:webHidden/>
          </w:rPr>
          <w:instrText xml:space="preserve"> PAGEREF _Toc130224410 \h </w:instrText>
        </w:r>
        <w:r w:rsidR="003049E0">
          <w:rPr>
            <w:noProof/>
            <w:webHidden/>
          </w:rPr>
        </w:r>
        <w:r w:rsidR="003049E0">
          <w:rPr>
            <w:noProof/>
            <w:webHidden/>
          </w:rPr>
          <w:fldChar w:fldCharType="separate"/>
        </w:r>
        <w:r w:rsidR="003049E0">
          <w:rPr>
            <w:noProof/>
            <w:webHidden/>
          </w:rPr>
          <w:t>4</w:t>
        </w:r>
        <w:r w:rsidR="003049E0">
          <w:rPr>
            <w:noProof/>
            <w:webHidden/>
          </w:rPr>
          <w:fldChar w:fldCharType="end"/>
        </w:r>
      </w:hyperlink>
    </w:p>
    <w:p w14:paraId="7958790F" w14:textId="5E9F516E" w:rsidR="003049E0" w:rsidRDefault="0089748A">
      <w:pPr>
        <w:pStyle w:val="TOC1"/>
        <w:rPr>
          <w:rFonts w:asciiTheme="minorHAnsi" w:eastAsiaTheme="minorEastAsia" w:hAnsiTheme="minorHAnsi"/>
          <w:noProof/>
          <w:sz w:val="22"/>
          <w:lang w:val="en-IE" w:eastAsia="en-IE"/>
        </w:rPr>
      </w:pPr>
      <w:hyperlink w:anchor="_Toc130224411" w:history="1">
        <w:r w:rsidR="003049E0" w:rsidRPr="00B65774">
          <w:rPr>
            <w:rStyle w:val="Hyperlink"/>
            <w:noProof/>
          </w:rPr>
          <w:t>3. Ensuring that competition rules remain fit for the future – progress on an extensive policy agenda</w:t>
        </w:r>
        <w:r w:rsidR="003049E0">
          <w:rPr>
            <w:noProof/>
            <w:webHidden/>
          </w:rPr>
          <w:tab/>
        </w:r>
        <w:r w:rsidR="003049E0">
          <w:rPr>
            <w:noProof/>
            <w:webHidden/>
          </w:rPr>
          <w:fldChar w:fldCharType="begin"/>
        </w:r>
        <w:r w:rsidR="003049E0">
          <w:rPr>
            <w:noProof/>
            <w:webHidden/>
          </w:rPr>
          <w:instrText xml:space="preserve"> PAGEREF _Toc130224411 \h </w:instrText>
        </w:r>
        <w:r w:rsidR="003049E0">
          <w:rPr>
            <w:noProof/>
            <w:webHidden/>
          </w:rPr>
        </w:r>
        <w:r w:rsidR="003049E0">
          <w:rPr>
            <w:noProof/>
            <w:webHidden/>
          </w:rPr>
          <w:fldChar w:fldCharType="separate"/>
        </w:r>
        <w:r w:rsidR="003049E0">
          <w:rPr>
            <w:noProof/>
            <w:webHidden/>
          </w:rPr>
          <w:t>5</w:t>
        </w:r>
        <w:r w:rsidR="003049E0">
          <w:rPr>
            <w:noProof/>
            <w:webHidden/>
          </w:rPr>
          <w:fldChar w:fldCharType="end"/>
        </w:r>
      </w:hyperlink>
    </w:p>
    <w:p w14:paraId="522921FE" w14:textId="59B1AAEC" w:rsidR="003049E0" w:rsidRDefault="0089748A">
      <w:pPr>
        <w:pStyle w:val="TOC2"/>
        <w:rPr>
          <w:rFonts w:asciiTheme="minorHAnsi" w:eastAsiaTheme="minorEastAsia" w:hAnsiTheme="minorHAnsi"/>
          <w:noProof/>
          <w:sz w:val="22"/>
          <w:lang w:val="en-IE" w:eastAsia="en-IE"/>
        </w:rPr>
      </w:pPr>
      <w:hyperlink w:anchor="_Toc130224412" w:history="1">
        <w:r w:rsidR="003049E0" w:rsidRPr="00B65774">
          <w:rPr>
            <w:rStyle w:val="Hyperlink"/>
            <w:noProof/>
          </w:rPr>
          <w:t>3.1. Legislative initiatives to strengthen the competition policy toolbox</w:t>
        </w:r>
        <w:r w:rsidR="003049E0">
          <w:rPr>
            <w:noProof/>
            <w:webHidden/>
          </w:rPr>
          <w:tab/>
        </w:r>
        <w:r w:rsidR="003049E0">
          <w:rPr>
            <w:noProof/>
            <w:webHidden/>
          </w:rPr>
          <w:fldChar w:fldCharType="begin"/>
        </w:r>
        <w:r w:rsidR="003049E0">
          <w:rPr>
            <w:noProof/>
            <w:webHidden/>
          </w:rPr>
          <w:instrText xml:space="preserve"> PAGEREF _Toc130224412 \h </w:instrText>
        </w:r>
        <w:r w:rsidR="003049E0">
          <w:rPr>
            <w:noProof/>
            <w:webHidden/>
          </w:rPr>
        </w:r>
        <w:r w:rsidR="003049E0">
          <w:rPr>
            <w:noProof/>
            <w:webHidden/>
          </w:rPr>
          <w:fldChar w:fldCharType="separate"/>
        </w:r>
        <w:r w:rsidR="003049E0">
          <w:rPr>
            <w:noProof/>
            <w:webHidden/>
          </w:rPr>
          <w:t>5</w:t>
        </w:r>
        <w:r w:rsidR="003049E0">
          <w:rPr>
            <w:noProof/>
            <w:webHidden/>
          </w:rPr>
          <w:fldChar w:fldCharType="end"/>
        </w:r>
      </w:hyperlink>
    </w:p>
    <w:p w14:paraId="0F09FCB2" w14:textId="70379B26" w:rsidR="003049E0" w:rsidRDefault="0089748A">
      <w:pPr>
        <w:pStyle w:val="TOC2"/>
        <w:rPr>
          <w:rFonts w:asciiTheme="minorHAnsi" w:eastAsiaTheme="minorEastAsia" w:hAnsiTheme="minorHAnsi"/>
          <w:noProof/>
          <w:sz w:val="22"/>
          <w:lang w:val="en-IE" w:eastAsia="en-IE"/>
        </w:rPr>
      </w:pPr>
      <w:hyperlink w:anchor="_Toc130224413" w:history="1">
        <w:r w:rsidR="003049E0" w:rsidRPr="00B65774">
          <w:rPr>
            <w:rStyle w:val="Hyperlink"/>
            <w:noProof/>
          </w:rPr>
          <w:t>3.2. Updating antitrust and merger rules and guidance to make them fit for new challenges</w:t>
        </w:r>
        <w:r w:rsidR="003049E0">
          <w:rPr>
            <w:noProof/>
            <w:webHidden/>
          </w:rPr>
          <w:tab/>
        </w:r>
        <w:r w:rsidR="003049E0">
          <w:rPr>
            <w:noProof/>
            <w:webHidden/>
          </w:rPr>
          <w:fldChar w:fldCharType="begin"/>
        </w:r>
        <w:r w:rsidR="003049E0">
          <w:rPr>
            <w:noProof/>
            <w:webHidden/>
          </w:rPr>
          <w:instrText xml:space="preserve"> PAGEREF _Toc130224413 \h </w:instrText>
        </w:r>
        <w:r w:rsidR="003049E0">
          <w:rPr>
            <w:noProof/>
            <w:webHidden/>
          </w:rPr>
        </w:r>
        <w:r w:rsidR="003049E0">
          <w:rPr>
            <w:noProof/>
            <w:webHidden/>
          </w:rPr>
          <w:fldChar w:fldCharType="separate"/>
        </w:r>
        <w:r w:rsidR="003049E0">
          <w:rPr>
            <w:noProof/>
            <w:webHidden/>
          </w:rPr>
          <w:t>7</w:t>
        </w:r>
        <w:r w:rsidR="003049E0">
          <w:rPr>
            <w:noProof/>
            <w:webHidden/>
          </w:rPr>
          <w:fldChar w:fldCharType="end"/>
        </w:r>
      </w:hyperlink>
    </w:p>
    <w:p w14:paraId="0D2FEFF7" w14:textId="42DED707" w:rsidR="003049E0" w:rsidRDefault="0089748A">
      <w:pPr>
        <w:pStyle w:val="TOC2"/>
        <w:rPr>
          <w:rFonts w:asciiTheme="minorHAnsi" w:eastAsiaTheme="minorEastAsia" w:hAnsiTheme="minorHAnsi"/>
          <w:noProof/>
          <w:sz w:val="22"/>
          <w:lang w:val="en-IE" w:eastAsia="en-IE"/>
        </w:rPr>
      </w:pPr>
      <w:hyperlink w:anchor="_Toc130224414" w:history="1">
        <w:r w:rsidR="003049E0" w:rsidRPr="00B65774">
          <w:rPr>
            <w:rStyle w:val="Hyperlink"/>
            <w:noProof/>
          </w:rPr>
          <w:t>3.3. Updating State aid rules and guidance to make them fit for new challenges</w:t>
        </w:r>
        <w:r w:rsidR="003049E0">
          <w:rPr>
            <w:noProof/>
            <w:webHidden/>
          </w:rPr>
          <w:tab/>
        </w:r>
        <w:r w:rsidR="003049E0">
          <w:rPr>
            <w:noProof/>
            <w:webHidden/>
          </w:rPr>
          <w:fldChar w:fldCharType="begin"/>
        </w:r>
        <w:r w:rsidR="003049E0">
          <w:rPr>
            <w:noProof/>
            <w:webHidden/>
          </w:rPr>
          <w:instrText xml:space="preserve"> PAGEREF _Toc130224414 \h </w:instrText>
        </w:r>
        <w:r w:rsidR="003049E0">
          <w:rPr>
            <w:noProof/>
            <w:webHidden/>
          </w:rPr>
        </w:r>
        <w:r w:rsidR="003049E0">
          <w:rPr>
            <w:noProof/>
            <w:webHidden/>
          </w:rPr>
          <w:fldChar w:fldCharType="separate"/>
        </w:r>
        <w:r w:rsidR="003049E0">
          <w:rPr>
            <w:noProof/>
            <w:webHidden/>
          </w:rPr>
          <w:t>11</w:t>
        </w:r>
        <w:r w:rsidR="003049E0">
          <w:rPr>
            <w:noProof/>
            <w:webHidden/>
          </w:rPr>
          <w:fldChar w:fldCharType="end"/>
        </w:r>
      </w:hyperlink>
    </w:p>
    <w:p w14:paraId="03158C29" w14:textId="1BB8600F" w:rsidR="003049E0" w:rsidRDefault="0089748A">
      <w:pPr>
        <w:pStyle w:val="TOC2"/>
        <w:rPr>
          <w:rFonts w:asciiTheme="minorHAnsi" w:eastAsiaTheme="minorEastAsia" w:hAnsiTheme="minorHAnsi"/>
          <w:noProof/>
          <w:sz w:val="22"/>
          <w:lang w:val="en-IE" w:eastAsia="en-IE"/>
        </w:rPr>
      </w:pPr>
      <w:hyperlink w:anchor="_Toc130224415" w:history="1">
        <w:r w:rsidR="003049E0" w:rsidRPr="00B65774">
          <w:rPr>
            <w:rStyle w:val="Hyperlink"/>
            <w:noProof/>
          </w:rPr>
          <w:t>3.4. Modernising DG Competition working methods to fit current and future enforcement needs</w:t>
        </w:r>
        <w:r w:rsidR="003049E0">
          <w:rPr>
            <w:noProof/>
            <w:webHidden/>
          </w:rPr>
          <w:tab/>
        </w:r>
        <w:r w:rsidR="003049E0">
          <w:rPr>
            <w:noProof/>
            <w:webHidden/>
          </w:rPr>
          <w:fldChar w:fldCharType="begin"/>
        </w:r>
        <w:r w:rsidR="003049E0">
          <w:rPr>
            <w:noProof/>
            <w:webHidden/>
          </w:rPr>
          <w:instrText xml:space="preserve"> PAGEREF _Toc130224415 \h </w:instrText>
        </w:r>
        <w:r w:rsidR="003049E0">
          <w:rPr>
            <w:noProof/>
            <w:webHidden/>
          </w:rPr>
        </w:r>
        <w:r w:rsidR="003049E0">
          <w:rPr>
            <w:noProof/>
            <w:webHidden/>
          </w:rPr>
          <w:fldChar w:fldCharType="separate"/>
        </w:r>
        <w:r w:rsidR="003049E0">
          <w:rPr>
            <w:noProof/>
            <w:webHidden/>
          </w:rPr>
          <w:t>13</w:t>
        </w:r>
        <w:r w:rsidR="003049E0">
          <w:rPr>
            <w:noProof/>
            <w:webHidden/>
          </w:rPr>
          <w:fldChar w:fldCharType="end"/>
        </w:r>
      </w:hyperlink>
    </w:p>
    <w:p w14:paraId="6CAEA190" w14:textId="3EEB1E00" w:rsidR="003049E0" w:rsidRDefault="0089748A">
      <w:pPr>
        <w:pStyle w:val="TOC1"/>
        <w:rPr>
          <w:rFonts w:asciiTheme="minorHAnsi" w:eastAsiaTheme="minorEastAsia" w:hAnsiTheme="minorHAnsi"/>
          <w:noProof/>
          <w:sz w:val="22"/>
          <w:lang w:val="en-IE" w:eastAsia="en-IE"/>
        </w:rPr>
      </w:pPr>
      <w:hyperlink w:anchor="_Toc130224416" w:history="1">
        <w:r w:rsidR="003049E0" w:rsidRPr="00B65774">
          <w:rPr>
            <w:rStyle w:val="Hyperlink"/>
            <w:noProof/>
          </w:rPr>
          <w:t>4. Competition policy enforcement contributed to the Commission’s headline ambitions</w:t>
        </w:r>
        <w:r w:rsidR="003049E0">
          <w:rPr>
            <w:noProof/>
            <w:webHidden/>
          </w:rPr>
          <w:tab/>
        </w:r>
        <w:r w:rsidR="003049E0">
          <w:rPr>
            <w:noProof/>
            <w:webHidden/>
          </w:rPr>
          <w:fldChar w:fldCharType="begin"/>
        </w:r>
        <w:r w:rsidR="003049E0">
          <w:rPr>
            <w:noProof/>
            <w:webHidden/>
          </w:rPr>
          <w:instrText xml:space="preserve"> PAGEREF _Toc130224416 \h </w:instrText>
        </w:r>
        <w:r w:rsidR="003049E0">
          <w:rPr>
            <w:noProof/>
            <w:webHidden/>
          </w:rPr>
        </w:r>
        <w:r w:rsidR="003049E0">
          <w:rPr>
            <w:noProof/>
            <w:webHidden/>
          </w:rPr>
          <w:fldChar w:fldCharType="separate"/>
        </w:r>
        <w:r w:rsidR="003049E0">
          <w:rPr>
            <w:noProof/>
            <w:webHidden/>
          </w:rPr>
          <w:t>14</w:t>
        </w:r>
        <w:r w:rsidR="003049E0">
          <w:rPr>
            <w:noProof/>
            <w:webHidden/>
          </w:rPr>
          <w:fldChar w:fldCharType="end"/>
        </w:r>
      </w:hyperlink>
    </w:p>
    <w:p w14:paraId="0278F2A7" w14:textId="44B081AD" w:rsidR="003049E0" w:rsidRDefault="0089748A">
      <w:pPr>
        <w:pStyle w:val="TOC2"/>
        <w:rPr>
          <w:rFonts w:asciiTheme="minorHAnsi" w:eastAsiaTheme="minorEastAsia" w:hAnsiTheme="minorHAnsi"/>
          <w:noProof/>
          <w:sz w:val="22"/>
          <w:lang w:val="en-IE" w:eastAsia="en-IE"/>
        </w:rPr>
      </w:pPr>
      <w:hyperlink w:anchor="_Toc130224417" w:history="1">
        <w:r w:rsidR="003049E0" w:rsidRPr="00B65774">
          <w:rPr>
            <w:rStyle w:val="Hyperlink"/>
            <w:noProof/>
          </w:rPr>
          <w:t>4.1. Competition policy enforcement contributed to the digital transition and a strong and resilient Single Market</w:t>
        </w:r>
        <w:r w:rsidR="003049E0">
          <w:rPr>
            <w:noProof/>
            <w:webHidden/>
          </w:rPr>
          <w:tab/>
        </w:r>
        <w:r w:rsidR="003049E0">
          <w:rPr>
            <w:noProof/>
            <w:webHidden/>
          </w:rPr>
          <w:fldChar w:fldCharType="begin"/>
        </w:r>
        <w:r w:rsidR="003049E0">
          <w:rPr>
            <w:noProof/>
            <w:webHidden/>
          </w:rPr>
          <w:instrText xml:space="preserve"> PAGEREF _Toc130224417 \h </w:instrText>
        </w:r>
        <w:r w:rsidR="003049E0">
          <w:rPr>
            <w:noProof/>
            <w:webHidden/>
          </w:rPr>
        </w:r>
        <w:r w:rsidR="003049E0">
          <w:rPr>
            <w:noProof/>
            <w:webHidden/>
          </w:rPr>
          <w:fldChar w:fldCharType="separate"/>
        </w:r>
        <w:r w:rsidR="003049E0">
          <w:rPr>
            <w:noProof/>
            <w:webHidden/>
          </w:rPr>
          <w:t>15</w:t>
        </w:r>
        <w:r w:rsidR="003049E0">
          <w:rPr>
            <w:noProof/>
            <w:webHidden/>
          </w:rPr>
          <w:fldChar w:fldCharType="end"/>
        </w:r>
      </w:hyperlink>
    </w:p>
    <w:p w14:paraId="750192E8" w14:textId="786323BD" w:rsidR="003049E0" w:rsidRDefault="0089748A">
      <w:pPr>
        <w:pStyle w:val="TOC2"/>
        <w:rPr>
          <w:rFonts w:asciiTheme="minorHAnsi" w:eastAsiaTheme="minorEastAsia" w:hAnsiTheme="minorHAnsi"/>
          <w:noProof/>
          <w:sz w:val="22"/>
          <w:lang w:val="en-IE" w:eastAsia="en-IE"/>
        </w:rPr>
      </w:pPr>
      <w:hyperlink w:anchor="_Toc130224418" w:history="1">
        <w:r w:rsidR="003049E0" w:rsidRPr="00B65774">
          <w:rPr>
            <w:rStyle w:val="Hyperlink"/>
            <w:noProof/>
          </w:rPr>
          <w:t>4.2 Competition policy enforcement contributed to the green transition</w:t>
        </w:r>
        <w:r w:rsidR="003049E0">
          <w:rPr>
            <w:noProof/>
            <w:webHidden/>
          </w:rPr>
          <w:tab/>
        </w:r>
        <w:r w:rsidR="003049E0">
          <w:rPr>
            <w:noProof/>
            <w:webHidden/>
          </w:rPr>
          <w:fldChar w:fldCharType="begin"/>
        </w:r>
        <w:r w:rsidR="003049E0">
          <w:rPr>
            <w:noProof/>
            <w:webHidden/>
          </w:rPr>
          <w:instrText xml:space="preserve"> PAGEREF _Toc130224418 \h </w:instrText>
        </w:r>
        <w:r w:rsidR="003049E0">
          <w:rPr>
            <w:noProof/>
            <w:webHidden/>
          </w:rPr>
        </w:r>
        <w:r w:rsidR="003049E0">
          <w:rPr>
            <w:noProof/>
            <w:webHidden/>
          </w:rPr>
          <w:fldChar w:fldCharType="separate"/>
        </w:r>
        <w:r w:rsidR="003049E0">
          <w:rPr>
            <w:noProof/>
            <w:webHidden/>
          </w:rPr>
          <w:t>21</w:t>
        </w:r>
        <w:r w:rsidR="003049E0">
          <w:rPr>
            <w:noProof/>
            <w:webHidden/>
          </w:rPr>
          <w:fldChar w:fldCharType="end"/>
        </w:r>
      </w:hyperlink>
    </w:p>
    <w:p w14:paraId="586DCEDC" w14:textId="793DA24B" w:rsidR="003049E0" w:rsidRDefault="0089748A">
      <w:pPr>
        <w:pStyle w:val="TOC2"/>
        <w:rPr>
          <w:rFonts w:asciiTheme="minorHAnsi" w:eastAsiaTheme="minorEastAsia" w:hAnsiTheme="minorHAnsi"/>
          <w:noProof/>
          <w:sz w:val="22"/>
          <w:lang w:val="en-IE" w:eastAsia="en-IE"/>
        </w:rPr>
      </w:pPr>
      <w:hyperlink w:anchor="_Toc130224419" w:history="1">
        <w:r w:rsidR="003049E0" w:rsidRPr="00B65774">
          <w:rPr>
            <w:rStyle w:val="Hyperlink"/>
            <w:noProof/>
          </w:rPr>
          <w:t>4.3. Competition policy contributed to an economy that works for people</w:t>
        </w:r>
        <w:r w:rsidR="003049E0">
          <w:rPr>
            <w:noProof/>
            <w:webHidden/>
          </w:rPr>
          <w:tab/>
        </w:r>
        <w:r w:rsidR="003049E0">
          <w:rPr>
            <w:noProof/>
            <w:webHidden/>
          </w:rPr>
          <w:fldChar w:fldCharType="begin"/>
        </w:r>
        <w:r w:rsidR="003049E0">
          <w:rPr>
            <w:noProof/>
            <w:webHidden/>
          </w:rPr>
          <w:instrText xml:space="preserve"> PAGEREF _Toc130224419 \h </w:instrText>
        </w:r>
        <w:r w:rsidR="003049E0">
          <w:rPr>
            <w:noProof/>
            <w:webHidden/>
          </w:rPr>
        </w:r>
        <w:r w:rsidR="003049E0">
          <w:rPr>
            <w:noProof/>
            <w:webHidden/>
          </w:rPr>
          <w:fldChar w:fldCharType="separate"/>
        </w:r>
        <w:r w:rsidR="003049E0">
          <w:rPr>
            <w:noProof/>
            <w:webHidden/>
          </w:rPr>
          <w:t>25</w:t>
        </w:r>
        <w:r w:rsidR="003049E0">
          <w:rPr>
            <w:noProof/>
            <w:webHidden/>
          </w:rPr>
          <w:fldChar w:fldCharType="end"/>
        </w:r>
      </w:hyperlink>
    </w:p>
    <w:p w14:paraId="07A5B327" w14:textId="2EC2DEED" w:rsidR="003049E0" w:rsidRDefault="0089748A">
      <w:pPr>
        <w:pStyle w:val="TOC1"/>
        <w:rPr>
          <w:rFonts w:asciiTheme="minorHAnsi" w:eastAsiaTheme="minorEastAsia" w:hAnsiTheme="minorHAnsi"/>
          <w:noProof/>
          <w:sz w:val="22"/>
          <w:lang w:val="en-IE" w:eastAsia="en-IE"/>
        </w:rPr>
      </w:pPr>
      <w:hyperlink w:anchor="_Toc130224420" w:history="1">
        <w:r w:rsidR="003049E0" w:rsidRPr="00B65774">
          <w:rPr>
            <w:rStyle w:val="Hyperlink"/>
            <w:noProof/>
          </w:rPr>
          <w:t>5. Competition policy in a European and global context</w:t>
        </w:r>
        <w:r w:rsidR="003049E0">
          <w:rPr>
            <w:noProof/>
            <w:webHidden/>
          </w:rPr>
          <w:tab/>
        </w:r>
        <w:r w:rsidR="003049E0">
          <w:rPr>
            <w:noProof/>
            <w:webHidden/>
          </w:rPr>
          <w:fldChar w:fldCharType="begin"/>
        </w:r>
        <w:r w:rsidR="003049E0">
          <w:rPr>
            <w:noProof/>
            <w:webHidden/>
          </w:rPr>
          <w:instrText xml:space="preserve"> PAGEREF _Toc130224420 \h </w:instrText>
        </w:r>
        <w:r w:rsidR="003049E0">
          <w:rPr>
            <w:noProof/>
            <w:webHidden/>
          </w:rPr>
        </w:r>
        <w:r w:rsidR="003049E0">
          <w:rPr>
            <w:noProof/>
            <w:webHidden/>
          </w:rPr>
          <w:fldChar w:fldCharType="separate"/>
        </w:r>
        <w:r w:rsidR="003049E0">
          <w:rPr>
            <w:noProof/>
            <w:webHidden/>
          </w:rPr>
          <w:t>26</w:t>
        </w:r>
        <w:r w:rsidR="003049E0">
          <w:rPr>
            <w:noProof/>
            <w:webHidden/>
          </w:rPr>
          <w:fldChar w:fldCharType="end"/>
        </w:r>
      </w:hyperlink>
    </w:p>
    <w:p w14:paraId="7AD6A1DA" w14:textId="2A732859" w:rsidR="003049E0" w:rsidRDefault="0089748A">
      <w:pPr>
        <w:pStyle w:val="TOC2"/>
        <w:rPr>
          <w:rFonts w:asciiTheme="minorHAnsi" w:eastAsiaTheme="minorEastAsia" w:hAnsiTheme="minorHAnsi"/>
          <w:noProof/>
          <w:sz w:val="22"/>
          <w:lang w:val="en-IE" w:eastAsia="en-IE"/>
        </w:rPr>
      </w:pPr>
      <w:hyperlink w:anchor="_Toc130224421" w:history="1">
        <w:r w:rsidR="003049E0" w:rsidRPr="00B65774">
          <w:rPr>
            <w:rStyle w:val="Hyperlink"/>
            <w:noProof/>
          </w:rPr>
          <w:t>5.1 Joining forces shaping a European and global competition culture</w:t>
        </w:r>
        <w:r w:rsidR="003049E0">
          <w:rPr>
            <w:noProof/>
            <w:webHidden/>
          </w:rPr>
          <w:tab/>
        </w:r>
        <w:r w:rsidR="003049E0">
          <w:rPr>
            <w:noProof/>
            <w:webHidden/>
          </w:rPr>
          <w:fldChar w:fldCharType="begin"/>
        </w:r>
        <w:r w:rsidR="003049E0">
          <w:rPr>
            <w:noProof/>
            <w:webHidden/>
          </w:rPr>
          <w:instrText xml:space="preserve"> PAGEREF _Toc130224421 \h </w:instrText>
        </w:r>
        <w:r w:rsidR="003049E0">
          <w:rPr>
            <w:noProof/>
            <w:webHidden/>
          </w:rPr>
        </w:r>
        <w:r w:rsidR="003049E0">
          <w:rPr>
            <w:noProof/>
            <w:webHidden/>
          </w:rPr>
          <w:fldChar w:fldCharType="separate"/>
        </w:r>
        <w:r w:rsidR="003049E0">
          <w:rPr>
            <w:noProof/>
            <w:webHidden/>
          </w:rPr>
          <w:t>26</w:t>
        </w:r>
        <w:r w:rsidR="003049E0">
          <w:rPr>
            <w:noProof/>
            <w:webHidden/>
          </w:rPr>
          <w:fldChar w:fldCharType="end"/>
        </w:r>
      </w:hyperlink>
    </w:p>
    <w:p w14:paraId="170C1B5D" w14:textId="227445F2" w:rsidR="003049E0" w:rsidRDefault="0089748A">
      <w:pPr>
        <w:pStyle w:val="TOC2"/>
        <w:rPr>
          <w:rFonts w:asciiTheme="minorHAnsi" w:eastAsiaTheme="minorEastAsia" w:hAnsiTheme="minorHAnsi"/>
          <w:noProof/>
          <w:sz w:val="22"/>
          <w:lang w:val="en-IE" w:eastAsia="en-IE"/>
        </w:rPr>
      </w:pPr>
      <w:hyperlink w:anchor="_Toc130224422" w:history="1">
        <w:r w:rsidR="003049E0" w:rsidRPr="00B65774">
          <w:rPr>
            <w:rStyle w:val="Hyperlink"/>
            <w:noProof/>
          </w:rPr>
          <w:t>5.2. Competition policy cooperation across the world</w:t>
        </w:r>
        <w:r w:rsidR="003049E0">
          <w:rPr>
            <w:noProof/>
            <w:webHidden/>
          </w:rPr>
          <w:tab/>
        </w:r>
        <w:r w:rsidR="003049E0">
          <w:rPr>
            <w:noProof/>
            <w:webHidden/>
          </w:rPr>
          <w:fldChar w:fldCharType="begin"/>
        </w:r>
        <w:r w:rsidR="003049E0">
          <w:rPr>
            <w:noProof/>
            <w:webHidden/>
          </w:rPr>
          <w:instrText xml:space="preserve"> PAGEREF _Toc130224422 \h </w:instrText>
        </w:r>
        <w:r w:rsidR="003049E0">
          <w:rPr>
            <w:noProof/>
            <w:webHidden/>
          </w:rPr>
        </w:r>
        <w:r w:rsidR="003049E0">
          <w:rPr>
            <w:noProof/>
            <w:webHidden/>
          </w:rPr>
          <w:fldChar w:fldCharType="separate"/>
        </w:r>
        <w:r w:rsidR="003049E0">
          <w:rPr>
            <w:noProof/>
            <w:webHidden/>
          </w:rPr>
          <w:t>27</w:t>
        </w:r>
        <w:r w:rsidR="003049E0">
          <w:rPr>
            <w:noProof/>
            <w:webHidden/>
          </w:rPr>
          <w:fldChar w:fldCharType="end"/>
        </w:r>
      </w:hyperlink>
    </w:p>
    <w:p w14:paraId="57BE76EC" w14:textId="77777777" w:rsidR="002A46E3" w:rsidRPr="00994D6E" w:rsidRDefault="002A46E3" w:rsidP="00994D6E">
      <w:pPr>
        <w:pStyle w:val="Heading1"/>
        <w:spacing w:before="0" w:after="200"/>
        <w:rPr>
          <w:noProof/>
          <w:sz w:val="28"/>
          <w:szCs w:val="28"/>
        </w:rPr>
      </w:pPr>
      <w:r>
        <w:rPr>
          <w:noProof/>
          <w:sz w:val="28"/>
          <w:szCs w:val="28"/>
        </w:rPr>
        <w:fldChar w:fldCharType="end"/>
      </w:r>
      <w:r>
        <w:rPr>
          <w:noProof/>
        </w:rPr>
        <w:br w:type="page"/>
      </w:r>
    </w:p>
    <w:p w14:paraId="40E52E60" w14:textId="77777777" w:rsidR="00F44682" w:rsidRPr="00937722" w:rsidRDefault="00083624" w:rsidP="00937722">
      <w:pPr>
        <w:pStyle w:val="Heading1"/>
        <w:spacing w:before="0" w:after="200"/>
        <w:rPr>
          <w:noProof/>
          <w:sz w:val="28"/>
          <w:szCs w:val="28"/>
        </w:rPr>
      </w:pPr>
      <w:bookmarkStart w:id="2" w:name="_Toc122109045"/>
      <w:bookmarkStart w:id="3" w:name="_Toc130224406"/>
      <w:r w:rsidRPr="00937722">
        <w:rPr>
          <w:noProof/>
          <w:sz w:val="28"/>
          <w:szCs w:val="28"/>
        </w:rPr>
        <w:t xml:space="preserve">1. </w:t>
      </w:r>
      <w:r w:rsidR="00F44682" w:rsidRPr="00937722">
        <w:rPr>
          <w:noProof/>
          <w:sz w:val="28"/>
          <w:szCs w:val="28"/>
        </w:rPr>
        <w:t>Introduction</w:t>
      </w:r>
      <w:bookmarkEnd w:id="2"/>
      <w:bookmarkEnd w:id="3"/>
    </w:p>
    <w:p w14:paraId="3330EF45" w14:textId="77777777" w:rsidR="002D793A" w:rsidRPr="00937722" w:rsidRDefault="002D793A" w:rsidP="0086791B">
      <w:pPr>
        <w:rPr>
          <w:noProof/>
        </w:rPr>
      </w:pPr>
      <w:r w:rsidRPr="00937722">
        <w:rPr>
          <w:noProof/>
        </w:rPr>
        <w:t xml:space="preserve">The Annual Competition Report of 2022 is addressed by the </w:t>
      </w:r>
      <w:r w:rsidR="00E80DE1" w:rsidRPr="00937722">
        <w:rPr>
          <w:noProof/>
        </w:rPr>
        <w:t xml:space="preserve">European </w:t>
      </w:r>
      <w:r w:rsidRPr="00937722">
        <w:rPr>
          <w:noProof/>
        </w:rPr>
        <w:t>Commission</w:t>
      </w:r>
      <w:r w:rsidR="00E80DE1" w:rsidRPr="00937722">
        <w:rPr>
          <w:noProof/>
        </w:rPr>
        <w:t xml:space="preserve"> (‘Commission’)</w:t>
      </w:r>
      <w:r w:rsidRPr="00937722">
        <w:rPr>
          <w:noProof/>
        </w:rPr>
        <w:t xml:space="preserve"> to the European Parliament, the Council</w:t>
      </w:r>
      <w:r w:rsidR="002F5BE8" w:rsidRPr="00937722">
        <w:rPr>
          <w:noProof/>
        </w:rPr>
        <w:t xml:space="preserve"> of the European Union</w:t>
      </w:r>
      <w:r w:rsidRPr="00937722">
        <w:rPr>
          <w:noProof/>
        </w:rPr>
        <w:t>, the European Economic and Social Committee and the Committee of the Regions. It describes key developments in EU competition policy and enforcement during 2022.</w:t>
      </w:r>
    </w:p>
    <w:p w14:paraId="7757EE19" w14:textId="77777777" w:rsidR="009433E2" w:rsidRDefault="005835CC" w:rsidP="0086791B">
      <w:pPr>
        <w:rPr>
          <w:noProof/>
        </w:rPr>
      </w:pPr>
      <w:r>
        <w:rPr>
          <w:noProof/>
        </w:rPr>
        <w:t xml:space="preserve">Europe experiences </w:t>
      </w:r>
      <w:r w:rsidR="002D793A" w:rsidRPr="00937722">
        <w:rPr>
          <w:noProof/>
        </w:rPr>
        <w:t xml:space="preserve">disruptive and </w:t>
      </w:r>
      <w:r w:rsidR="00C63BC9" w:rsidRPr="00937722">
        <w:rPr>
          <w:noProof/>
        </w:rPr>
        <w:t>un</w:t>
      </w:r>
      <w:r w:rsidR="00C63BC9">
        <w:rPr>
          <w:noProof/>
        </w:rPr>
        <w:t>predictable</w:t>
      </w:r>
      <w:r w:rsidR="00C63BC9" w:rsidRPr="00937722">
        <w:rPr>
          <w:noProof/>
        </w:rPr>
        <w:t xml:space="preserve"> </w:t>
      </w:r>
      <w:r w:rsidR="002D793A" w:rsidRPr="00937722">
        <w:rPr>
          <w:noProof/>
        </w:rPr>
        <w:t>times.</w:t>
      </w:r>
      <w:r w:rsidR="00FD628E">
        <w:rPr>
          <w:noProof/>
        </w:rPr>
        <w:t xml:space="preserve"> </w:t>
      </w:r>
      <w:r w:rsidR="00E038C4" w:rsidRPr="00E859C7">
        <w:rPr>
          <w:noProof/>
        </w:rPr>
        <w:t>As the year 2022 began</w:t>
      </w:r>
      <w:r w:rsidR="00C63BC9">
        <w:rPr>
          <w:noProof/>
        </w:rPr>
        <w:t xml:space="preserve">, the </w:t>
      </w:r>
      <w:r w:rsidR="009F4495">
        <w:rPr>
          <w:noProof/>
        </w:rPr>
        <w:t xml:space="preserve">COVID-19 </w:t>
      </w:r>
      <w:r w:rsidR="00C63BC9">
        <w:rPr>
          <w:noProof/>
        </w:rPr>
        <w:t>pandemic receded</w:t>
      </w:r>
      <w:r w:rsidR="00E038C4" w:rsidRPr="00E859C7">
        <w:rPr>
          <w:noProof/>
        </w:rPr>
        <w:t xml:space="preserve">, </w:t>
      </w:r>
      <w:r w:rsidR="00C63BC9">
        <w:rPr>
          <w:noProof/>
        </w:rPr>
        <w:t xml:space="preserve">and </w:t>
      </w:r>
      <w:r w:rsidR="00E038C4" w:rsidRPr="00E859C7">
        <w:rPr>
          <w:noProof/>
        </w:rPr>
        <w:t xml:space="preserve">the EU was on a path towards economic recovery. </w:t>
      </w:r>
      <w:r w:rsidR="00E038C4">
        <w:rPr>
          <w:noProof/>
        </w:rPr>
        <w:t xml:space="preserve">The </w:t>
      </w:r>
      <w:r w:rsidR="00E038C4" w:rsidRPr="000B18E9">
        <w:rPr>
          <w:noProof/>
        </w:rPr>
        <w:t>Recovery and Resilience Plans (‘RRPs’) of most EU countries became operational and the first funds were disbursed to Member States, boosting the recovery of the EU with well-targeted investment</w:t>
      </w:r>
      <w:r w:rsidR="00E038C4">
        <w:rPr>
          <w:noProof/>
        </w:rPr>
        <w:t xml:space="preserve">s. </w:t>
      </w:r>
      <w:r w:rsidR="00E038C4" w:rsidRPr="00FE0F97">
        <w:rPr>
          <w:noProof/>
        </w:rPr>
        <w:t xml:space="preserve">Russia’s war of aggression against Ukraine </w:t>
      </w:r>
      <w:r w:rsidR="00E038C4" w:rsidRPr="00F716ED">
        <w:rPr>
          <w:noProof/>
        </w:rPr>
        <w:t>led to immediate and major disturbances in the EU economy</w:t>
      </w:r>
      <w:r w:rsidR="005E0E5A">
        <w:rPr>
          <w:noProof/>
        </w:rPr>
        <w:t xml:space="preserve"> and a</w:t>
      </w:r>
      <w:r w:rsidR="00E038C4" w:rsidRPr="00E038C4">
        <w:rPr>
          <w:noProof/>
        </w:rPr>
        <w:t xml:space="preserve"> </w:t>
      </w:r>
      <w:r w:rsidR="00E038C4" w:rsidRPr="00937722">
        <w:rPr>
          <w:noProof/>
        </w:rPr>
        <w:t xml:space="preserve">call for coordinated action to secure adequate and affordable energy supplies, safeguard economic and financial stability, </w:t>
      </w:r>
      <w:r w:rsidR="004B766F">
        <w:rPr>
          <w:noProof/>
        </w:rPr>
        <w:t xml:space="preserve">food security </w:t>
      </w:r>
      <w:r w:rsidR="00E038C4" w:rsidRPr="00937722">
        <w:rPr>
          <w:noProof/>
        </w:rPr>
        <w:t xml:space="preserve">and protect vulnerable households and companies. </w:t>
      </w:r>
      <w:r w:rsidR="0094366F">
        <w:rPr>
          <w:noProof/>
        </w:rPr>
        <w:t xml:space="preserve">While </w:t>
      </w:r>
      <w:r w:rsidR="00C34B7C">
        <w:rPr>
          <w:noProof/>
        </w:rPr>
        <w:t>address</w:t>
      </w:r>
      <w:r w:rsidR="0094366F">
        <w:rPr>
          <w:noProof/>
        </w:rPr>
        <w:t xml:space="preserve">ing </w:t>
      </w:r>
      <w:r w:rsidR="00C34B7C">
        <w:rPr>
          <w:noProof/>
        </w:rPr>
        <w:t>the</w:t>
      </w:r>
      <w:r w:rsidR="0094366F">
        <w:rPr>
          <w:noProof/>
        </w:rPr>
        <w:t>se</w:t>
      </w:r>
      <w:r w:rsidR="00C34B7C">
        <w:rPr>
          <w:noProof/>
        </w:rPr>
        <w:t xml:space="preserve"> </w:t>
      </w:r>
      <w:r w:rsidR="005E0E5A">
        <w:rPr>
          <w:noProof/>
        </w:rPr>
        <w:t>challenge</w:t>
      </w:r>
      <w:r w:rsidR="0094366F">
        <w:rPr>
          <w:noProof/>
        </w:rPr>
        <w:t xml:space="preserve">s, the obligations </w:t>
      </w:r>
      <w:r w:rsidR="005E0E5A">
        <w:rPr>
          <w:noProof/>
        </w:rPr>
        <w:t xml:space="preserve">to </w:t>
      </w:r>
      <w:r w:rsidR="00E038C4" w:rsidRPr="00937722">
        <w:rPr>
          <w:noProof/>
        </w:rPr>
        <w:t>deliver on the green and digital transitions</w:t>
      </w:r>
      <w:r w:rsidR="00C63BC9">
        <w:rPr>
          <w:noProof/>
        </w:rPr>
        <w:t xml:space="preserve"> remained</w:t>
      </w:r>
      <w:r w:rsidR="005E0E5A">
        <w:rPr>
          <w:noProof/>
        </w:rPr>
        <w:t>.</w:t>
      </w:r>
      <w:r w:rsidR="009433E2">
        <w:rPr>
          <w:noProof/>
        </w:rPr>
        <w:t xml:space="preserve"> </w:t>
      </w:r>
    </w:p>
    <w:p w14:paraId="03563297" w14:textId="77777777" w:rsidR="002D793A" w:rsidRPr="00937722" w:rsidRDefault="002D793A" w:rsidP="0086791B">
      <w:pPr>
        <w:rPr>
          <w:noProof/>
        </w:rPr>
      </w:pPr>
      <w:r w:rsidRPr="00937722">
        <w:rPr>
          <w:noProof/>
        </w:rPr>
        <w:t xml:space="preserve">Under the leadership of President von der Leyen, the Commission used the </w:t>
      </w:r>
      <w:r w:rsidR="00125E02" w:rsidRPr="00937722">
        <w:rPr>
          <w:noProof/>
        </w:rPr>
        <w:t xml:space="preserve">policy </w:t>
      </w:r>
      <w:r w:rsidRPr="00937722">
        <w:rPr>
          <w:noProof/>
        </w:rPr>
        <w:t>instruments at its disposal</w:t>
      </w:r>
      <w:r w:rsidR="00A574FB" w:rsidRPr="00937722">
        <w:rPr>
          <w:noProof/>
        </w:rPr>
        <w:t xml:space="preserve"> to </w:t>
      </w:r>
      <w:r w:rsidRPr="00937722">
        <w:rPr>
          <w:noProof/>
        </w:rPr>
        <w:t xml:space="preserve">create and implement a policy mix </w:t>
      </w:r>
      <w:r w:rsidR="00A574FB" w:rsidRPr="00937722">
        <w:rPr>
          <w:noProof/>
        </w:rPr>
        <w:t xml:space="preserve">designed to </w:t>
      </w:r>
      <w:r w:rsidRPr="00937722">
        <w:rPr>
          <w:noProof/>
        </w:rPr>
        <w:t xml:space="preserve">mitigate the negative effects </w:t>
      </w:r>
      <w:r w:rsidR="00A574FB" w:rsidRPr="00937722">
        <w:rPr>
          <w:noProof/>
        </w:rPr>
        <w:t xml:space="preserve">of </w:t>
      </w:r>
      <w:r w:rsidR="008F05A4">
        <w:rPr>
          <w:noProof/>
        </w:rPr>
        <w:t xml:space="preserve">Russia’s </w:t>
      </w:r>
      <w:r w:rsidR="009433E2">
        <w:rPr>
          <w:noProof/>
        </w:rPr>
        <w:t xml:space="preserve">war </w:t>
      </w:r>
      <w:r w:rsidR="008F05A4">
        <w:rPr>
          <w:noProof/>
        </w:rPr>
        <w:t xml:space="preserve">against </w:t>
      </w:r>
      <w:r w:rsidR="009433E2">
        <w:rPr>
          <w:noProof/>
        </w:rPr>
        <w:t xml:space="preserve">Ukraine </w:t>
      </w:r>
      <w:r w:rsidRPr="00937722">
        <w:rPr>
          <w:noProof/>
        </w:rPr>
        <w:t>on the overall EU economy, its</w:t>
      </w:r>
      <w:r w:rsidR="00125E02" w:rsidRPr="00937722">
        <w:rPr>
          <w:noProof/>
        </w:rPr>
        <w:t xml:space="preserve"> businesses and its population, while at the same time phasing out EU emergency measures </w:t>
      </w:r>
      <w:r w:rsidR="00B6437A" w:rsidRPr="00937722">
        <w:rPr>
          <w:noProof/>
        </w:rPr>
        <w:t>implemented to address</w:t>
      </w:r>
      <w:r w:rsidR="00125E02" w:rsidRPr="00937722">
        <w:rPr>
          <w:noProof/>
        </w:rPr>
        <w:t xml:space="preserve"> the COVID-19 pandemic. </w:t>
      </w:r>
    </w:p>
    <w:p w14:paraId="1CDF87ED" w14:textId="77777777" w:rsidR="00524BD6" w:rsidRPr="00937722" w:rsidRDefault="00BD163F" w:rsidP="0086791B">
      <w:pPr>
        <w:rPr>
          <w:noProof/>
        </w:rPr>
      </w:pPr>
      <w:r>
        <w:rPr>
          <w:noProof/>
        </w:rPr>
        <w:t>In</w:t>
      </w:r>
      <w:r w:rsidRPr="00937722">
        <w:rPr>
          <w:noProof/>
        </w:rPr>
        <w:t xml:space="preserve"> March 2022</w:t>
      </w:r>
      <w:r>
        <w:rPr>
          <w:noProof/>
        </w:rPr>
        <w:t>,</w:t>
      </w:r>
      <w:r w:rsidRPr="00937722">
        <w:rPr>
          <w:noProof/>
        </w:rPr>
        <w:t xml:space="preserve"> the Commission adopted a Temporary Crisis Framework allowing Member States to support companies and sectors severely impacted by the geopolitical developments</w:t>
      </w:r>
      <w:r>
        <w:rPr>
          <w:noProof/>
        </w:rPr>
        <w:t xml:space="preserve"> in compliance with EU State aid rules</w:t>
      </w:r>
      <w:r w:rsidRPr="00937722">
        <w:rPr>
          <w:noProof/>
        </w:rPr>
        <w:t xml:space="preserve">. </w:t>
      </w:r>
      <w:r w:rsidR="00C004CE">
        <w:rPr>
          <w:noProof/>
        </w:rPr>
        <w:t>I</w:t>
      </w:r>
      <w:r w:rsidR="00524BD6" w:rsidRPr="00937722">
        <w:rPr>
          <w:noProof/>
        </w:rPr>
        <w:t xml:space="preserve">n response to the </w:t>
      </w:r>
      <w:r w:rsidR="00C004CE">
        <w:rPr>
          <w:noProof/>
        </w:rPr>
        <w:t xml:space="preserve">disruptions in </w:t>
      </w:r>
      <w:r w:rsidR="00524BD6" w:rsidRPr="00937722">
        <w:rPr>
          <w:noProof/>
        </w:rPr>
        <w:t>global energy market</w:t>
      </w:r>
      <w:r w:rsidR="00C004CE">
        <w:rPr>
          <w:noProof/>
        </w:rPr>
        <w:t xml:space="preserve">s, </w:t>
      </w:r>
      <w:r w:rsidRPr="00937722">
        <w:rPr>
          <w:noProof/>
        </w:rPr>
        <w:t xml:space="preserve">the Commission adopted </w:t>
      </w:r>
      <w:r w:rsidR="00C004CE">
        <w:rPr>
          <w:noProof/>
        </w:rPr>
        <w:t xml:space="preserve">in May 2022 </w:t>
      </w:r>
      <w:r w:rsidRPr="00937722">
        <w:rPr>
          <w:noProof/>
        </w:rPr>
        <w:t>the REPowerEU</w:t>
      </w:r>
      <w:r>
        <w:rPr>
          <w:noProof/>
        </w:rPr>
        <w:t xml:space="preserve"> plan</w:t>
      </w:r>
      <w:r>
        <w:rPr>
          <w:rStyle w:val="FootnoteReference"/>
          <w:noProof/>
        </w:rPr>
        <w:footnoteReference w:id="2"/>
      </w:r>
      <w:r>
        <w:rPr>
          <w:noProof/>
        </w:rPr>
        <w:t xml:space="preserve"> </w:t>
      </w:r>
      <w:r w:rsidRPr="00BD163F">
        <w:rPr>
          <w:noProof/>
        </w:rPr>
        <w:t xml:space="preserve">(outline published </w:t>
      </w:r>
      <w:r>
        <w:rPr>
          <w:noProof/>
        </w:rPr>
        <w:t xml:space="preserve">in </w:t>
      </w:r>
      <w:r w:rsidRPr="00BD163F">
        <w:rPr>
          <w:noProof/>
        </w:rPr>
        <w:t>March</w:t>
      </w:r>
      <w:r>
        <w:rPr>
          <w:noProof/>
        </w:rPr>
        <w:t xml:space="preserve"> 2022</w:t>
      </w:r>
      <w:r>
        <w:rPr>
          <w:rStyle w:val="FootnoteReference"/>
          <w:noProof/>
        </w:rPr>
        <w:footnoteReference w:id="3"/>
      </w:r>
      <w:r w:rsidRPr="00BD163F">
        <w:rPr>
          <w:noProof/>
        </w:rPr>
        <w:t>)</w:t>
      </w:r>
      <w:r w:rsidR="00C004CE">
        <w:rPr>
          <w:noProof/>
        </w:rPr>
        <w:t xml:space="preserve">. The plan </w:t>
      </w:r>
      <w:r w:rsidR="00524BD6" w:rsidRPr="00937722">
        <w:rPr>
          <w:noProof/>
        </w:rPr>
        <w:t>set</w:t>
      </w:r>
      <w:r w:rsidR="00C004CE">
        <w:rPr>
          <w:noProof/>
        </w:rPr>
        <w:t xml:space="preserve">s </w:t>
      </w:r>
      <w:r w:rsidR="00524BD6" w:rsidRPr="00937722">
        <w:rPr>
          <w:noProof/>
        </w:rPr>
        <w:t>out ways forward for adjusting the EU’s energy sector, tackling high energy prices and reducing dependence on imported fossil fuels. In October 2022, the Commission propo</w:t>
      </w:r>
      <w:r w:rsidR="00862BF7" w:rsidRPr="00937722">
        <w:rPr>
          <w:noProof/>
        </w:rPr>
        <w:t xml:space="preserve">sed a new emergency regulation </w:t>
      </w:r>
      <w:r w:rsidR="00524BD6" w:rsidRPr="00937722">
        <w:rPr>
          <w:noProof/>
        </w:rPr>
        <w:t>to mitigate the impact of high gas prices in the EU</w:t>
      </w:r>
      <w:r w:rsidR="00C63BC9">
        <w:rPr>
          <w:noProof/>
        </w:rPr>
        <w:t>,</w:t>
      </w:r>
      <w:r w:rsidR="0005520E" w:rsidRPr="00937722">
        <w:rPr>
          <w:noProof/>
        </w:rPr>
        <w:t xml:space="preserve"> including </w:t>
      </w:r>
      <w:r w:rsidR="00C63BC9">
        <w:rPr>
          <w:noProof/>
        </w:rPr>
        <w:t xml:space="preserve">through </w:t>
      </w:r>
      <w:r w:rsidR="0005520E" w:rsidRPr="00937722">
        <w:rPr>
          <w:noProof/>
        </w:rPr>
        <w:t>joint purchasing</w:t>
      </w:r>
      <w:r w:rsidR="00721A36">
        <w:rPr>
          <w:rStyle w:val="FootnoteReference"/>
          <w:noProof/>
        </w:rPr>
        <w:footnoteReference w:id="4"/>
      </w:r>
      <w:r w:rsidR="0005520E" w:rsidRPr="00937722">
        <w:rPr>
          <w:noProof/>
        </w:rPr>
        <w:t>.</w:t>
      </w:r>
    </w:p>
    <w:p w14:paraId="466E43FF" w14:textId="77777777" w:rsidR="00F435D7" w:rsidRDefault="00465FC0" w:rsidP="0086791B">
      <w:pPr>
        <w:rPr>
          <w:noProof/>
        </w:rPr>
      </w:pPr>
      <w:r>
        <w:rPr>
          <w:noProof/>
        </w:rPr>
        <w:t xml:space="preserve">In 2022, the Commission </w:t>
      </w:r>
      <w:r w:rsidR="00C34B7C">
        <w:rPr>
          <w:noProof/>
        </w:rPr>
        <w:t>continued its extensive evaluation</w:t>
      </w:r>
      <w:r w:rsidR="00524489">
        <w:rPr>
          <w:noProof/>
        </w:rPr>
        <w:t xml:space="preserve"> of </w:t>
      </w:r>
      <w:r w:rsidR="00C34B7C">
        <w:rPr>
          <w:noProof/>
        </w:rPr>
        <w:t xml:space="preserve">the EU </w:t>
      </w:r>
      <w:r w:rsidR="00524489">
        <w:rPr>
          <w:noProof/>
        </w:rPr>
        <w:t xml:space="preserve">competition </w:t>
      </w:r>
      <w:r>
        <w:rPr>
          <w:noProof/>
        </w:rPr>
        <w:t xml:space="preserve">policy </w:t>
      </w:r>
      <w:r w:rsidR="00C34B7C">
        <w:rPr>
          <w:noProof/>
        </w:rPr>
        <w:t>framework</w:t>
      </w:r>
      <w:r>
        <w:rPr>
          <w:noProof/>
        </w:rPr>
        <w:t xml:space="preserve"> to ensure that all </w:t>
      </w:r>
      <w:r w:rsidR="00C34B7C">
        <w:rPr>
          <w:noProof/>
        </w:rPr>
        <w:t>enforcement</w:t>
      </w:r>
      <w:r>
        <w:rPr>
          <w:noProof/>
        </w:rPr>
        <w:t xml:space="preserve"> instruments are fit for </w:t>
      </w:r>
      <w:r w:rsidR="00F435D7">
        <w:rPr>
          <w:noProof/>
        </w:rPr>
        <w:t xml:space="preserve">current and </w:t>
      </w:r>
      <w:r>
        <w:rPr>
          <w:noProof/>
        </w:rPr>
        <w:t>future</w:t>
      </w:r>
      <w:r w:rsidR="00F435D7">
        <w:rPr>
          <w:noProof/>
        </w:rPr>
        <w:t xml:space="preserve"> challenges</w:t>
      </w:r>
      <w:r w:rsidR="008A4946">
        <w:rPr>
          <w:rStyle w:val="FootnoteReference"/>
          <w:noProof/>
        </w:rPr>
        <w:footnoteReference w:id="5"/>
      </w:r>
      <w:r>
        <w:rPr>
          <w:noProof/>
        </w:rPr>
        <w:t xml:space="preserve">. </w:t>
      </w:r>
      <w:r w:rsidR="00DC7B61">
        <w:rPr>
          <w:noProof/>
        </w:rPr>
        <w:t xml:space="preserve">Furthermore, </w:t>
      </w:r>
      <w:r w:rsidR="00F435D7">
        <w:rPr>
          <w:noProof/>
        </w:rPr>
        <w:t xml:space="preserve">new legislative tools </w:t>
      </w:r>
      <w:r w:rsidR="001D2E3A">
        <w:rPr>
          <w:noProof/>
        </w:rPr>
        <w:t>which</w:t>
      </w:r>
      <w:r w:rsidR="0003583B">
        <w:rPr>
          <w:noProof/>
        </w:rPr>
        <w:t xml:space="preserve"> </w:t>
      </w:r>
      <w:r w:rsidR="00257B7D">
        <w:rPr>
          <w:noProof/>
        </w:rPr>
        <w:t xml:space="preserve">complement </w:t>
      </w:r>
      <w:r w:rsidR="001D2E3A">
        <w:rPr>
          <w:noProof/>
        </w:rPr>
        <w:t xml:space="preserve">the </w:t>
      </w:r>
      <w:r w:rsidR="00F435D7">
        <w:rPr>
          <w:noProof/>
        </w:rPr>
        <w:t>competition policy tools</w:t>
      </w:r>
      <w:r w:rsidR="001D2E3A">
        <w:rPr>
          <w:noProof/>
        </w:rPr>
        <w:t xml:space="preserve"> were adopted</w:t>
      </w:r>
      <w:r w:rsidR="00F435D7">
        <w:rPr>
          <w:noProof/>
        </w:rPr>
        <w:t xml:space="preserve">. </w:t>
      </w:r>
    </w:p>
    <w:p w14:paraId="0F33709F" w14:textId="77777777" w:rsidR="00CF039F" w:rsidRDefault="00F435D7" w:rsidP="0086791B">
      <w:pPr>
        <w:rPr>
          <w:noProof/>
        </w:rPr>
      </w:pPr>
      <w:r>
        <w:rPr>
          <w:noProof/>
        </w:rPr>
        <w:t>T</w:t>
      </w:r>
      <w:r w:rsidR="00524BD6" w:rsidRPr="00937722">
        <w:rPr>
          <w:noProof/>
        </w:rPr>
        <w:t xml:space="preserve">he Digital Markets Act </w:t>
      </w:r>
      <w:r w:rsidR="007307B9" w:rsidRPr="00937722">
        <w:rPr>
          <w:noProof/>
        </w:rPr>
        <w:t>(</w:t>
      </w:r>
      <w:r w:rsidR="003A36B3" w:rsidRPr="007072BB">
        <w:rPr>
          <w:noProof/>
        </w:rPr>
        <w:t>‘</w:t>
      </w:r>
      <w:r w:rsidR="007307B9" w:rsidRPr="00937722">
        <w:rPr>
          <w:noProof/>
        </w:rPr>
        <w:t>DMA</w:t>
      </w:r>
      <w:r w:rsidR="003A36B3" w:rsidRPr="007072BB">
        <w:rPr>
          <w:noProof/>
        </w:rPr>
        <w:t>’</w:t>
      </w:r>
      <w:r w:rsidR="007307B9" w:rsidRPr="00937722">
        <w:rPr>
          <w:noProof/>
        </w:rPr>
        <w:t>)</w:t>
      </w:r>
      <w:r w:rsidR="0094366F">
        <w:rPr>
          <w:rStyle w:val="FootnoteReference"/>
          <w:noProof/>
        </w:rPr>
        <w:footnoteReference w:id="6"/>
      </w:r>
      <w:r w:rsidR="007307B9" w:rsidRPr="00937722">
        <w:rPr>
          <w:noProof/>
        </w:rPr>
        <w:t xml:space="preserve"> </w:t>
      </w:r>
      <w:r w:rsidR="00524BD6" w:rsidRPr="00937722">
        <w:rPr>
          <w:noProof/>
        </w:rPr>
        <w:t xml:space="preserve">entered into force in November 2022 and will </w:t>
      </w:r>
      <w:r w:rsidR="00465FC0">
        <w:rPr>
          <w:noProof/>
        </w:rPr>
        <w:t xml:space="preserve">apply </w:t>
      </w:r>
      <w:r w:rsidR="00524BD6" w:rsidRPr="00937722">
        <w:rPr>
          <w:noProof/>
        </w:rPr>
        <w:t>as of May 2023</w:t>
      </w:r>
      <w:r w:rsidR="00524489">
        <w:rPr>
          <w:noProof/>
        </w:rPr>
        <w:t>. Its aim is</w:t>
      </w:r>
      <w:r w:rsidR="00465FC0">
        <w:rPr>
          <w:noProof/>
        </w:rPr>
        <w:t xml:space="preserve"> to </w:t>
      </w:r>
      <w:r w:rsidR="0022669C">
        <w:rPr>
          <w:noProof/>
        </w:rPr>
        <w:t xml:space="preserve">keep digital markets contestable and </w:t>
      </w:r>
      <w:r w:rsidR="00524BD6" w:rsidRPr="00937722">
        <w:rPr>
          <w:noProof/>
        </w:rPr>
        <w:t>put an end to unfair practices by companies that act as gatekeepers in the online platform economy.</w:t>
      </w:r>
      <w:r w:rsidR="00862BF7" w:rsidRPr="00937722">
        <w:rPr>
          <w:noProof/>
        </w:rPr>
        <w:t xml:space="preserve"> Moreover, the Foreign Subsidies </w:t>
      </w:r>
      <w:r w:rsidR="00862BF7" w:rsidRPr="00937722">
        <w:rPr>
          <w:rFonts w:eastAsiaTheme="majorEastAsia" w:cstheme="majorBidi"/>
          <w:noProof/>
        </w:rPr>
        <w:t xml:space="preserve">Regulation </w:t>
      </w:r>
      <w:r w:rsidR="00862BF7" w:rsidRPr="00530F6C">
        <w:rPr>
          <w:rFonts w:eastAsiaTheme="majorEastAsia" w:cstheme="majorBidi"/>
          <w:noProof/>
        </w:rPr>
        <w:t xml:space="preserve">was </w:t>
      </w:r>
      <w:r w:rsidR="0005520E" w:rsidRPr="00530F6C">
        <w:rPr>
          <w:rFonts w:eastAsiaTheme="majorEastAsia" w:cstheme="majorBidi"/>
          <w:noProof/>
        </w:rPr>
        <w:t>adopted</w:t>
      </w:r>
      <w:r w:rsidR="00DB61E8" w:rsidRPr="00530F6C">
        <w:rPr>
          <w:rFonts w:eastAsiaTheme="majorEastAsia" w:cstheme="majorBidi"/>
          <w:noProof/>
        </w:rPr>
        <w:t xml:space="preserve"> in November 2022 and </w:t>
      </w:r>
      <w:r w:rsidR="00DB61E8" w:rsidRPr="002A548B">
        <w:rPr>
          <w:rFonts w:eastAsiaTheme="majorEastAsia" w:cstheme="majorBidi"/>
          <w:noProof/>
        </w:rPr>
        <w:t>will enter into force</w:t>
      </w:r>
      <w:r w:rsidR="00530F6C" w:rsidRPr="002A548B">
        <w:rPr>
          <w:rFonts w:eastAsiaTheme="majorEastAsia" w:cstheme="majorBidi"/>
          <w:noProof/>
        </w:rPr>
        <w:t xml:space="preserve"> in </w:t>
      </w:r>
      <w:r w:rsidR="001A4BF6" w:rsidRPr="002A548B">
        <w:rPr>
          <w:rFonts w:eastAsiaTheme="majorEastAsia" w:cstheme="majorBidi"/>
          <w:noProof/>
        </w:rPr>
        <w:t>2023</w:t>
      </w:r>
      <w:r w:rsidR="00DB61E8">
        <w:rPr>
          <w:i/>
          <w:noProof/>
        </w:rPr>
        <w:t>.</w:t>
      </w:r>
      <w:r w:rsidR="00E6149F">
        <w:rPr>
          <w:i/>
          <w:noProof/>
        </w:rPr>
        <w:t xml:space="preserve"> </w:t>
      </w:r>
      <w:r w:rsidR="00DB61E8">
        <w:rPr>
          <w:noProof/>
        </w:rPr>
        <w:t xml:space="preserve">The Regulation </w:t>
      </w:r>
      <w:r w:rsidR="00E6149F" w:rsidRPr="00937722">
        <w:rPr>
          <w:noProof/>
        </w:rPr>
        <w:t xml:space="preserve">will </w:t>
      </w:r>
      <w:r w:rsidR="0005520E" w:rsidRPr="00937722">
        <w:rPr>
          <w:noProof/>
        </w:rPr>
        <w:t>close</w:t>
      </w:r>
      <w:r w:rsidR="00862BF7" w:rsidRPr="00937722">
        <w:rPr>
          <w:noProof/>
        </w:rPr>
        <w:t xml:space="preserve"> a regulatory gap in the Single Market, </w:t>
      </w:r>
      <w:r w:rsidR="001D2E3A">
        <w:rPr>
          <w:noProof/>
        </w:rPr>
        <w:t>where market distortive</w:t>
      </w:r>
      <w:r w:rsidR="00862BF7" w:rsidRPr="00937722">
        <w:rPr>
          <w:noProof/>
        </w:rPr>
        <w:t xml:space="preserve"> subsidies granted by non-EU governments currently go largely unchecked, while subsidies granted by Member States are subject to close scrutiny under EU State aid rules. </w:t>
      </w:r>
    </w:p>
    <w:p w14:paraId="43743537" w14:textId="27A7698B" w:rsidR="00752D72" w:rsidRPr="00BC61D6" w:rsidRDefault="00752D72" w:rsidP="00752D72">
      <w:pPr>
        <w:spacing w:after="120"/>
        <w:rPr>
          <w:noProof/>
        </w:rPr>
      </w:pPr>
      <w:r w:rsidRPr="00937722">
        <w:rPr>
          <w:noProof/>
          <w:color w:val="000000" w:themeColor="text1"/>
        </w:rPr>
        <w:t>The Single Market Programme</w:t>
      </w:r>
      <w:r w:rsidRPr="00937722">
        <w:rPr>
          <w:rStyle w:val="FootnoteReference"/>
          <w:noProof/>
          <w:sz w:val="24"/>
          <w:szCs w:val="24"/>
          <w:lang w:val="en-US"/>
        </w:rPr>
        <w:footnoteReference w:id="7"/>
      </w:r>
      <w:r w:rsidRPr="00937722">
        <w:rPr>
          <w:noProof/>
          <w:lang w:val="en-US"/>
        </w:rPr>
        <w:t xml:space="preserve"> and its </w:t>
      </w:r>
      <w:r w:rsidRPr="00937722">
        <w:rPr>
          <w:noProof/>
          <w:color w:val="000000" w:themeColor="text1"/>
        </w:rPr>
        <w:t xml:space="preserve">competition policy </w:t>
      </w:r>
      <w:r>
        <w:rPr>
          <w:noProof/>
          <w:color w:val="000000" w:themeColor="text1"/>
        </w:rPr>
        <w:t xml:space="preserve">component </w:t>
      </w:r>
      <w:r w:rsidRPr="00937722">
        <w:rPr>
          <w:noProof/>
          <w:color w:val="000000" w:themeColor="text1"/>
        </w:rPr>
        <w:t>provid</w:t>
      </w:r>
      <w:r>
        <w:rPr>
          <w:noProof/>
          <w:color w:val="000000" w:themeColor="text1"/>
        </w:rPr>
        <w:t>es stable</w:t>
      </w:r>
      <w:r w:rsidRPr="00937722">
        <w:rPr>
          <w:noProof/>
          <w:color w:val="000000" w:themeColor="text1"/>
        </w:rPr>
        <w:t xml:space="preserve"> </w:t>
      </w:r>
      <w:r>
        <w:rPr>
          <w:noProof/>
          <w:color w:val="000000" w:themeColor="text1"/>
        </w:rPr>
        <w:t xml:space="preserve">funding </w:t>
      </w:r>
      <w:r>
        <w:rPr>
          <w:noProof/>
        </w:rPr>
        <w:t xml:space="preserve">for policy and enforcement projects increasing, </w:t>
      </w:r>
      <w:r w:rsidRPr="00937722">
        <w:rPr>
          <w:noProof/>
        </w:rPr>
        <w:t>international cooperation</w:t>
      </w:r>
      <w:r w:rsidR="005835CC">
        <w:rPr>
          <w:noProof/>
        </w:rPr>
        <w:t xml:space="preserve"> and</w:t>
      </w:r>
      <w:r>
        <w:rPr>
          <w:noProof/>
        </w:rPr>
        <w:t xml:space="preserve"> </w:t>
      </w:r>
      <w:r w:rsidRPr="00937722">
        <w:rPr>
          <w:noProof/>
        </w:rPr>
        <w:t>competition policy advocacy</w:t>
      </w:r>
      <w:r w:rsidR="005835CC">
        <w:rPr>
          <w:noProof/>
        </w:rPr>
        <w:t>.</w:t>
      </w:r>
      <w:r w:rsidR="005835CC" w:rsidDel="005835CC">
        <w:rPr>
          <w:noProof/>
        </w:rPr>
        <w:t xml:space="preserve"> </w:t>
      </w:r>
    </w:p>
    <w:p w14:paraId="5C2A5453" w14:textId="77777777" w:rsidR="00997083" w:rsidRPr="00937722" w:rsidRDefault="00E6149F" w:rsidP="005835CC">
      <w:pPr>
        <w:spacing w:after="120"/>
        <w:rPr>
          <w:noProof/>
          <w:sz w:val="24"/>
          <w:szCs w:val="24"/>
        </w:rPr>
      </w:pPr>
      <w:r w:rsidRPr="00F93B59">
        <w:rPr>
          <w:noProof/>
        </w:rPr>
        <w:t xml:space="preserve">In times of crisis, effective enforcement of the EU competition rules is more important than ever. </w:t>
      </w:r>
      <w:r>
        <w:rPr>
          <w:noProof/>
        </w:rPr>
        <w:t xml:space="preserve">In 2022, </w:t>
      </w:r>
      <w:r w:rsidR="00524489">
        <w:rPr>
          <w:noProof/>
        </w:rPr>
        <w:t>t</w:t>
      </w:r>
      <w:r w:rsidR="00B211B9" w:rsidRPr="00B211B9">
        <w:rPr>
          <w:noProof/>
        </w:rPr>
        <w:t xml:space="preserve">he Commission continued </w:t>
      </w:r>
      <w:r w:rsidR="00266A78">
        <w:rPr>
          <w:noProof/>
        </w:rPr>
        <w:t xml:space="preserve">to </w:t>
      </w:r>
      <w:r w:rsidR="00B211B9" w:rsidRPr="00B211B9">
        <w:rPr>
          <w:noProof/>
        </w:rPr>
        <w:t>enforc</w:t>
      </w:r>
      <w:r w:rsidR="00266A78">
        <w:rPr>
          <w:noProof/>
        </w:rPr>
        <w:t>e</w:t>
      </w:r>
      <w:r w:rsidR="00B211B9" w:rsidRPr="00B211B9">
        <w:rPr>
          <w:noProof/>
        </w:rPr>
        <w:t xml:space="preserve"> the EU competition rules in the areas of antitrust, merger control and State aid control</w:t>
      </w:r>
      <w:r w:rsidR="00266A78">
        <w:rPr>
          <w:noProof/>
        </w:rPr>
        <w:t xml:space="preserve"> to the benefit of </w:t>
      </w:r>
      <w:r w:rsidR="00266A78" w:rsidRPr="00B211B9">
        <w:rPr>
          <w:noProof/>
        </w:rPr>
        <w:t>citizens and businesses of all sizes</w:t>
      </w:r>
      <w:r w:rsidR="00B211B9">
        <w:rPr>
          <w:noProof/>
        </w:rPr>
        <w:t xml:space="preserve">. </w:t>
      </w:r>
      <w:r w:rsidR="00B211B9" w:rsidRPr="005E4026">
        <w:rPr>
          <w:noProof/>
        </w:rPr>
        <w:t>EU competition policy</w:t>
      </w:r>
      <w:r w:rsidR="00F435D7">
        <w:rPr>
          <w:noProof/>
        </w:rPr>
        <w:t>,</w:t>
      </w:r>
      <w:r w:rsidR="00B211B9" w:rsidRPr="005E4026">
        <w:rPr>
          <w:noProof/>
        </w:rPr>
        <w:t xml:space="preserve"> in particular State aid policy</w:t>
      </w:r>
      <w:r w:rsidR="00F435D7">
        <w:rPr>
          <w:noProof/>
        </w:rPr>
        <w:t>,</w:t>
      </w:r>
      <w:r w:rsidR="00B211B9" w:rsidRPr="005E4026">
        <w:rPr>
          <w:noProof/>
        </w:rPr>
        <w:t xml:space="preserve"> remained a crucial component of the EU’s multifaceted crisis response.</w:t>
      </w:r>
    </w:p>
    <w:p w14:paraId="5EF1C9B8" w14:textId="62EB3E83" w:rsidR="00F44682" w:rsidRPr="00937722" w:rsidRDefault="00F44682" w:rsidP="00EF26B8">
      <w:pPr>
        <w:pStyle w:val="Heading1"/>
        <w:spacing w:after="200"/>
        <w:rPr>
          <w:noProof/>
          <w:sz w:val="28"/>
          <w:szCs w:val="28"/>
        </w:rPr>
      </w:pPr>
      <w:bookmarkStart w:id="4" w:name="_Toc122109046"/>
      <w:bookmarkStart w:id="5" w:name="_Toc130224407"/>
      <w:r w:rsidRPr="00083624">
        <w:rPr>
          <w:noProof/>
        </w:rPr>
        <w:t xml:space="preserve">2. </w:t>
      </w:r>
      <w:r w:rsidRPr="00937722">
        <w:rPr>
          <w:noProof/>
          <w:sz w:val="28"/>
          <w:szCs w:val="28"/>
        </w:rPr>
        <w:t>The Commission</w:t>
      </w:r>
      <w:r w:rsidR="00524489">
        <w:rPr>
          <w:noProof/>
          <w:sz w:val="28"/>
          <w:szCs w:val="28"/>
        </w:rPr>
        <w:t>’s</w:t>
      </w:r>
      <w:r w:rsidRPr="00937722">
        <w:rPr>
          <w:noProof/>
          <w:sz w:val="28"/>
          <w:szCs w:val="28"/>
        </w:rPr>
        <w:t xml:space="preserve"> role in mitigating external economic shocks in times of</w:t>
      </w:r>
      <w:r w:rsidR="007072BB">
        <w:rPr>
          <w:noProof/>
          <w:sz w:val="28"/>
          <w:szCs w:val="28"/>
        </w:rPr>
        <w:t xml:space="preserve"> </w:t>
      </w:r>
      <w:r w:rsidRPr="00937722">
        <w:rPr>
          <w:noProof/>
          <w:sz w:val="28"/>
          <w:szCs w:val="28"/>
        </w:rPr>
        <w:t>disruption</w:t>
      </w:r>
      <w:r w:rsidR="00524489">
        <w:rPr>
          <w:noProof/>
          <w:sz w:val="28"/>
          <w:szCs w:val="28"/>
        </w:rPr>
        <w:t xml:space="preserve"> was crucial</w:t>
      </w:r>
      <w:bookmarkEnd w:id="4"/>
      <w:bookmarkEnd w:id="5"/>
    </w:p>
    <w:p w14:paraId="7CD48250" w14:textId="77777777" w:rsidR="00F44682" w:rsidRPr="007B5F59" w:rsidRDefault="00651947" w:rsidP="00E16E8F">
      <w:pPr>
        <w:pStyle w:val="Heading2"/>
      </w:pPr>
      <w:bookmarkStart w:id="6" w:name="_Toc122109047"/>
      <w:bookmarkStart w:id="7" w:name="_Toc130224408"/>
      <w:r>
        <w:t xml:space="preserve">2.1. </w:t>
      </w:r>
      <w:r w:rsidR="002A17B3" w:rsidRPr="00E04729">
        <w:t xml:space="preserve">Adoption of the </w:t>
      </w:r>
      <w:r w:rsidR="00F44682" w:rsidRPr="00E2562B">
        <w:t xml:space="preserve">Temporary Crisis Framework to support the economy </w:t>
      </w:r>
      <w:r w:rsidR="00F80011" w:rsidRPr="00E2562B">
        <w:t>following</w:t>
      </w:r>
      <w:r w:rsidR="007B01BB" w:rsidRPr="00AE71B3">
        <w:t xml:space="preserve"> </w:t>
      </w:r>
      <w:r w:rsidR="00F44682" w:rsidRPr="007B5F59">
        <w:t>Russia's invasion of Ukraine</w:t>
      </w:r>
      <w:r w:rsidR="005740D2" w:rsidRPr="007B5F59">
        <w:t xml:space="preserve"> and Emergency Energy Communication</w:t>
      </w:r>
      <w:bookmarkEnd w:id="6"/>
      <w:bookmarkEnd w:id="7"/>
    </w:p>
    <w:p w14:paraId="7F983B88" w14:textId="77777777" w:rsidR="00967786" w:rsidRDefault="00573DDD" w:rsidP="00D746DD">
      <w:pPr>
        <w:spacing w:after="120"/>
        <w:rPr>
          <w:noProof/>
        </w:rPr>
      </w:pPr>
      <w:r w:rsidRPr="00937722">
        <w:rPr>
          <w:noProof/>
        </w:rPr>
        <w:t xml:space="preserve">To reduce the negative social and economic impact on the EU caused by </w:t>
      </w:r>
      <w:r w:rsidR="003F0677">
        <w:rPr>
          <w:noProof/>
        </w:rPr>
        <w:t xml:space="preserve">Russia’s </w:t>
      </w:r>
      <w:r w:rsidR="008D6940">
        <w:rPr>
          <w:noProof/>
        </w:rPr>
        <w:t xml:space="preserve">war of </w:t>
      </w:r>
      <w:r w:rsidR="003F0677">
        <w:rPr>
          <w:noProof/>
        </w:rPr>
        <w:t xml:space="preserve">aggression against </w:t>
      </w:r>
      <w:r w:rsidR="00590056">
        <w:rPr>
          <w:noProof/>
        </w:rPr>
        <w:t>Ukraine</w:t>
      </w:r>
      <w:r w:rsidR="008D6940">
        <w:rPr>
          <w:noProof/>
        </w:rPr>
        <w:t xml:space="preserve"> – among other policy instruments -</w:t>
      </w:r>
      <w:r w:rsidRPr="00937722">
        <w:rPr>
          <w:noProof/>
        </w:rPr>
        <w:t xml:space="preserve"> the Commission </w:t>
      </w:r>
      <w:r w:rsidR="008D6940">
        <w:rPr>
          <w:noProof/>
        </w:rPr>
        <w:t xml:space="preserve">again </w:t>
      </w:r>
      <w:r w:rsidRPr="00937722">
        <w:rPr>
          <w:noProof/>
        </w:rPr>
        <w:t>use</w:t>
      </w:r>
      <w:r w:rsidR="008D6940">
        <w:rPr>
          <w:noProof/>
        </w:rPr>
        <w:t>d</w:t>
      </w:r>
      <w:r w:rsidRPr="00937722">
        <w:rPr>
          <w:noProof/>
        </w:rPr>
        <w:t xml:space="preserve"> </w:t>
      </w:r>
      <w:r w:rsidR="00967786">
        <w:rPr>
          <w:noProof/>
        </w:rPr>
        <w:t xml:space="preserve">the </w:t>
      </w:r>
      <w:r w:rsidRPr="00937722">
        <w:rPr>
          <w:noProof/>
        </w:rPr>
        <w:t>flexibility of the State aid rules</w:t>
      </w:r>
      <w:r w:rsidR="001D2E3A">
        <w:rPr>
          <w:noProof/>
        </w:rPr>
        <w:t>.</w:t>
      </w:r>
      <w:r w:rsidRPr="00937722">
        <w:rPr>
          <w:noProof/>
        </w:rPr>
        <w:t xml:space="preserve"> </w:t>
      </w:r>
      <w:r w:rsidR="00967786" w:rsidRPr="00967786">
        <w:rPr>
          <w:noProof/>
        </w:rPr>
        <w:t>The Commission adopted the Temporary Crisis Framework</w:t>
      </w:r>
      <w:r w:rsidR="00967786" w:rsidRPr="00967786">
        <w:rPr>
          <w:noProof/>
          <w:vertAlign w:val="superscript"/>
        </w:rPr>
        <w:footnoteReference w:id="8"/>
      </w:r>
      <w:r w:rsidR="00967786" w:rsidRPr="00967786">
        <w:rPr>
          <w:noProof/>
        </w:rPr>
        <w:t xml:space="preserve"> making it possible for Member States to remedy the liquidity shortage faced by undertakings that are directly or indirectly affected by the serious disturbance in the economy created by the Russian aggression against Ukraine </w:t>
      </w:r>
      <w:bookmarkStart w:id="8" w:name="_Hlk129959510"/>
      <w:r w:rsidR="007D7DB1">
        <w:rPr>
          <w:noProof/>
        </w:rPr>
        <w:t xml:space="preserve">and its direct and indirect effects, including </w:t>
      </w:r>
      <w:bookmarkEnd w:id="8"/>
      <w:r w:rsidR="00967786" w:rsidRPr="00967786">
        <w:rPr>
          <w:noProof/>
        </w:rPr>
        <w:t xml:space="preserve">the sanctions imposed by the Union and its international </w:t>
      </w:r>
      <w:r w:rsidR="00370192">
        <w:rPr>
          <w:noProof/>
        </w:rPr>
        <w:t>p</w:t>
      </w:r>
      <w:r w:rsidR="00967786" w:rsidRPr="00967786">
        <w:rPr>
          <w:noProof/>
        </w:rPr>
        <w:t xml:space="preserve">artners and the counter-measures taken by Russia. </w:t>
      </w:r>
      <w:r w:rsidR="00C960F8">
        <w:rPr>
          <w:noProof/>
        </w:rPr>
        <w:t xml:space="preserve">During the year, the Commission closely followed and assessed developments to see if further temporary changes of the State aid rules were called for. </w:t>
      </w:r>
    </w:p>
    <w:p w14:paraId="0E30D602" w14:textId="77777777" w:rsidR="00BD3588" w:rsidRPr="00BD3588" w:rsidRDefault="003C2305" w:rsidP="00BD3588">
      <w:pPr>
        <w:spacing w:after="120"/>
        <w:rPr>
          <w:noProof/>
          <w:szCs w:val="23"/>
        </w:rPr>
      </w:pPr>
      <w:r>
        <w:rPr>
          <w:noProof/>
        </w:rPr>
        <w:t>Th</w:t>
      </w:r>
      <w:r w:rsidR="0083497B" w:rsidRPr="00937722">
        <w:rPr>
          <w:noProof/>
        </w:rPr>
        <w:t>e EU needs to expedite the rollout of renewable energy</w:t>
      </w:r>
      <w:r w:rsidR="002215D7">
        <w:rPr>
          <w:noProof/>
        </w:rPr>
        <w:t xml:space="preserve"> sources</w:t>
      </w:r>
      <w:r w:rsidR="0083497B" w:rsidRPr="00937722">
        <w:rPr>
          <w:noProof/>
        </w:rPr>
        <w:t xml:space="preserve"> and speed up the decarbonisation of </w:t>
      </w:r>
      <w:r w:rsidR="00DB61E8">
        <w:rPr>
          <w:noProof/>
        </w:rPr>
        <w:t>its</w:t>
      </w:r>
      <w:r w:rsidR="0083497B" w:rsidRPr="00937722">
        <w:rPr>
          <w:noProof/>
        </w:rPr>
        <w:t xml:space="preserve"> energy supply in line with the REPowerEU objectives</w:t>
      </w:r>
      <w:r w:rsidR="0083497B" w:rsidRPr="00937722">
        <w:rPr>
          <w:noProof/>
          <w:vertAlign w:val="superscript"/>
        </w:rPr>
        <w:footnoteReference w:id="9"/>
      </w:r>
      <w:r>
        <w:rPr>
          <w:noProof/>
        </w:rPr>
        <w:t>. This is why</w:t>
      </w:r>
      <w:r w:rsidR="00573DDD" w:rsidRPr="00937722">
        <w:rPr>
          <w:noProof/>
        </w:rPr>
        <w:t xml:space="preserve"> the Commission amended the Temporary Crisis Framework</w:t>
      </w:r>
      <w:r w:rsidR="00E0423C" w:rsidRPr="00E0423C">
        <w:rPr>
          <w:noProof/>
        </w:rPr>
        <w:t xml:space="preserve"> </w:t>
      </w:r>
      <w:r w:rsidR="00E0423C">
        <w:rPr>
          <w:noProof/>
        </w:rPr>
        <w:t>i</w:t>
      </w:r>
      <w:r w:rsidR="00E0423C" w:rsidRPr="00AE0B2F">
        <w:rPr>
          <w:noProof/>
        </w:rPr>
        <w:t>n July 2022</w:t>
      </w:r>
      <w:r w:rsidR="00573DDD" w:rsidRPr="00937722">
        <w:rPr>
          <w:noProof/>
        </w:rPr>
        <w:t xml:space="preserve"> </w:t>
      </w:r>
      <w:r w:rsidR="00850E88">
        <w:rPr>
          <w:noProof/>
        </w:rPr>
        <w:t xml:space="preserve">to </w:t>
      </w:r>
      <w:r w:rsidR="008C7BBE">
        <w:rPr>
          <w:noProof/>
        </w:rPr>
        <w:t xml:space="preserve">facilitate for </w:t>
      </w:r>
      <w:r w:rsidR="00573DDD" w:rsidRPr="00937722">
        <w:rPr>
          <w:noProof/>
        </w:rPr>
        <w:t xml:space="preserve">Member States to set up schemes for renewable energy </w:t>
      </w:r>
      <w:r w:rsidR="008C7BBE">
        <w:rPr>
          <w:noProof/>
        </w:rPr>
        <w:t xml:space="preserve">and </w:t>
      </w:r>
      <w:r w:rsidR="00573DDD" w:rsidRPr="00937722">
        <w:rPr>
          <w:noProof/>
        </w:rPr>
        <w:t xml:space="preserve">the decarbonisation of industry. </w:t>
      </w:r>
      <w:r w:rsidR="00E747E0">
        <w:rPr>
          <w:noProof/>
        </w:rPr>
        <w:t xml:space="preserve">In October 2022, </w:t>
      </w:r>
      <w:r w:rsidR="0083497B" w:rsidRPr="00937722">
        <w:rPr>
          <w:noProof/>
        </w:rPr>
        <w:t>the Commission prolong</w:t>
      </w:r>
      <w:r w:rsidR="002A17B3" w:rsidRPr="00937722">
        <w:rPr>
          <w:noProof/>
        </w:rPr>
        <w:t>ed</w:t>
      </w:r>
      <w:r w:rsidR="0083497B" w:rsidRPr="00937722">
        <w:rPr>
          <w:noProof/>
        </w:rPr>
        <w:t xml:space="preserve"> </w:t>
      </w:r>
      <w:r w:rsidRPr="00937722">
        <w:rPr>
          <w:noProof/>
        </w:rPr>
        <w:t>the Framework</w:t>
      </w:r>
      <w:r w:rsidRPr="00937722">
        <w:rPr>
          <w:rStyle w:val="FootnoteReference"/>
          <w:noProof/>
          <w:sz w:val="24"/>
          <w:szCs w:val="24"/>
        </w:rPr>
        <w:footnoteReference w:id="10"/>
      </w:r>
      <w:r>
        <w:rPr>
          <w:noProof/>
        </w:rPr>
        <w:t xml:space="preserve"> </w:t>
      </w:r>
      <w:r w:rsidR="0083497B" w:rsidRPr="00937722">
        <w:rPr>
          <w:noProof/>
        </w:rPr>
        <w:t>until 31 December 2023</w:t>
      </w:r>
      <w:r>
        <w:rPr>
          <w:noProof/>
        </w:rPr>
        <w:t>,</w:t>
      </w:r>
      <w:r w:rsidR="0083497B" w:rsidRPr="00937722">
        <w:rPr>
          <w:noProof/>
        </w:rPr>
        <w:t xml:space="preserve"> and amend</w:t>
      </w:r>
      <w:r w:rsidR="00F370E3" w:rsidRPr="00937722">
        <w:rPr>
          <w:noProof/>
        </w:rPr>
        <w:t>ed</w:t>
      </w:r>
      <w:r w:rsidR="0083497B" w:rsidRPr="00937722">
        <w:rPr>
          <w:noProof/>
        </w:rPr>
        <w:t xml:space="preserve"> </w:t>
      </w:r>
      <w:r>
        <w:rPr>
          <w:noProof/>
        </w:rPr>
        <w:t xml:space="preserve">it </w:t>
      </w:r>
      <w:r w:rsidR="0083497B" w:rsidRPr="00937722">
        <w:rPr>
          <w:noProof/>
        </w:rPr>
        <w:t xml:space="preserve">to address the evolving needs of Member States to support the economy following Russia’s </w:t>
      </w:r>
      <w:r w:rsidR="00465498">
        <w:rPr>
          <w:noProof/>
        </w:rPr>
        <w:t xml:space="preserve">continued </w:t>
      </w:r>
      <w:r w:rsidR="0083497B" w:rsidRPr="00937722">
        <w:rPr>
          <w:noProof/>
        </w:rPr>
        <w:t>aggression</w:t>
      </w:r>
      <w:r w:rsidR="002215D7">
        <w:rPr>
          <w:noProof/>
        </w:rPr>
        <w:t xml:space="preserve"> </w:t>
      </w:r>
      <w:r w:rsidR="002215D7" w:rsidRPr="00D746DD">
        <w:rPr>
          <w:noProof/>
          <w:szCs w:val="23"/>
        </w:rPr>
        <w:t>against Ukraine</w:t>
      </w:r>
      <w:r w:rsidR="0083497B" w:rsidRPr="00D746DD">
        <w:rPr>
          <w:noProof/>
          <w:szCs w:val="23"/>
        </w:rPr>
        <w:t xml:space="preserve">. </w:t>
      </w:r>
      <w:r w:rsidR="00BD3588">
        <w:rPr>
          <w:noProof/>
          <w:szCs w:val="23"/>
        </w:rPr>
        <w:t>The amendment</w:t>
      </w:r>
      <w:r w:rsidR="00BD3588" w:rsidRPr="00BD3588">
        <w:rPr>
          <w:noProof/>
          <w:szCs w:val="23"/>
        </w:rPr>
        <w:t xml:space="preserve"> </w:t>
      </w:r>
      <w:r w:rsidR="00505E58">
        <w:rPr>
          <w:noProof/>
          <w:szCs w:val="23"/>
        </w:rPr>
        <w:t>simplified the rules for compensating firms for rising energy costs, i</w:t>
      </w:r>
      <w:r w:rsidR="00505E58" w:rsidRPr="00505E58">
        <w:rPr>
          <w:noProof/>
          <w:szCs w:val="23"/>
        </w:rPr>
        <w:t>ntroduce</w:t>
      </w:r>
      <w:r w:rsidR="00505E58">
        <w:rPr>
          <w:noProof/>
          <w:szCs w:val="23"/>
        </w:rPr>
        <w:t>d</w:t>
      </w:r>
      <w:r w:rsidR="00505E58" w:rsidRPr="00505E58">
        <w:rPr>
          <w:noProof/>
          <w:szCs w:val="23"/>
        </w:rPr>
        <w:t xml:space="preserve"> new measures aimed at supporting electricity demand reduction </w:t>
      </w:r>
      <w:r w:rsidR="00505E58">
        <w:rPr>
          <w:noProof/>
          <w:szCs w:val="23"/>
        </w:rPr>
        <w:t xml:space="preserve">and </w:t>
      </w:r>
      <w:r w:rsidR="00BD3588" w:rsidRPr="00BD3588">
        <w:rPr>
          <w:noProof/>
          <w:szCs w:val="23"/>
        </w:rPr>
        <w:t xml:space="preserve">set the </w:t>
      </w:r>
      <w:r w:rsidR="00C92830">
        <w:rPr>
          <w:noProof/>
          <w:szCs w:val="23"/>
        </w:rPr>
        <w:t xml:space="preserve">main </w:t>
      </w:r>
      <w:r w:rsidR="00BD3588" w:rsidRPr="00BD3588">
        <w:rPr>
          <w:noProof/>
          <w:szCs w:val="23"/>
        </w:rPr>
        <w:t>principles for</w:t>
      </w:r>
      <w:r w:rsidR="008C7BBE">
        <w:rPr>
          <w:noProof/>
          <w:szCs w:val="23"/>
        </w:rPr>
        <w:t xml:space="preserve"> </w:t>
      </w:r>
      <w:r w:rsidR="00BD3588" w:rsidRPr="00BD3588">
        <w:rPr>
          <w:noProof/>
          <w:szCs w:val="23"/>
        </w:rPr>
        <w:t>potential recapitalisations, especially for energy companies</w:t>
      </w:r>
      <w:r w:rsidR="008C7BBE">
        <w:rPr>
          <w:noProof/>
          <w:szCs w:val="23"/>
        </w:rPr>
        <w:t>.</w:t>
      </w:r>
      <w:r w:rsidR="00BD3588" w:rsidRPr="00BD3588">
        <w:rPr>
          <w:noProof/>
          <w:szCs w:val="23"/>
        </w:rPr>
        <w:t xml:space="preserve"> </w:t>
      </w:r>
      <w:r w:rsidR="008C7BBE">
        <w:rPr>
          <w:noProof/>
          <w:szCs w:val="23"/>
        </w:rPr>
        <w:t xml:space="preserve">Moreover, the amended Temporary Crisis Framework </w:t>
      </w:r>
      <w:r w:rsidR="00BD3588" w:rsidRPr="00BD3588">
        <w:rPr>
          <w:noProof/>
          <w:szCs w:val="23"/>
        </w:rPr>
        <w:t>increase</w:t>
      </w:r>
      <w:r w:rsidR="00505E58">
        <w:rPr>
          <w:noProof/>
          <w:szCs w:val="23"/>
        </w:rPr>
        <w:t>d</w:t>
      </w:r>
      <w:r w:rsidR="00BD3588" w:rsidRPr="00BD3588">
        <w:rPr>
          <w:noProof/>
          <w:szCs w:val="23"/>
        </w:rPr>
        <w:t xml:space="preserve"> the maximum aid levels for small aid amounts and provide</w:t>
      </w:r>
      <w:r w:rsidR="00505E58">
        <w:rPr>
          <w:noProof/>
          <w:szCs w:val="23"/>
        </w:rPr>
        <w:t>d</w:t>
      </w:r>
      <w:r w:rsidR="00BD3588" w:rsidRPr="00BD3588">
        <w:rPr>
          <w:noProof/>
          <w:szCs w:val="23"/>
        </w:rPr>
        <w:t xml:space="preserve"> additional flexibility for guarantees for energy companies to cover their liquidity needs. </w:t>
      </w:r>
    </w:p>
    <w:p w14:paraId="028EB91C" w14:textId="77777777" w:rsidR="00C30BEC" w:rsidRDefault="00117133" w:rsidP="00BD3588">
      <w:pPr>
        <w:spacing w:after="120"/>
        <w:rPr>
          <w:noProof/>
          <w:szCs w:val="23"/>
        </w:rPr>
      </w:pPr>
      <w:r>
        <w:rPr>
          <w:noProof/>
          <w:szCs w:val="23"/>
        </w:rPr>
        <w:t>Due to the crisis in Ukraine, a</w:t>
      </w:r>
      <w:r w:rsidR="00BD3588" w:rsidRPr="00BD3588">
        <w:rPr>
          <w:noProof/>
          <w:szCs w:val="23"/>
        </w:rPr>
        <w:t xml:space="preserve"> particular need for </w:t>
      </w:r>
      <w:r>
        <w:rPr>
          <w:noProof/>
          <w:szCs w:val="23"/>
        </w:rPr>
        <w:t>solvency</w:t>
      </w:r>
      <w:r w:rsidR="00BD3588" w:rsidRPr="00BD3588">
        <w:rPr>
          <w:noProof/>
          <w:szCs w:val="23"/>
        </w:rPr>
        <w:t xml:space="preserve"> support has emerged in the energy sector, </w:t>
      </w:r>
      <w:r w:rsidR="00C004CE">
        <w:rPr>
          <w:noProof/>
          <w:szCs w:val="23"/>
        </w:rPr>
        <w:t xml:space="preserve">in particular </w:t>
      </w:r>
      <w:r w:rsidR="00BD3588" w:rsidRPr="00BD3588">
        <w:rPr>
          <w:noProof/>
          <w:szCs w:val="23"/>
        </w:rPr>
        <w:t>an increased need for financial collaterals for trading activities on the energy market. The</w:t>
      </w:r>
      <w:r w:rsidR="00C004CE">
        <w:rPr>
          <w:noProof/>
          <w:szCs w:val="23"/>
        </w:rPr>
        <w:t xml:space="preserve">refore, the </w:t>
      </w:r>
      <w:r>
        <w:rPr>
          <w:noProof/>
          <w:szCs w:val="23"/>
        </w:rPr>
        <w:t xml:space="preserve">Temporary Crisis </w:t>
      </w:r>
      <w:r w:rsidR="00BD3588">
        <w:rPr>
          <w:noProof/>
          <w:szCs w:val="23"/>
        </w:rPr>
        <w:t>Framework</w:t>
      </w:r>
      <w:r w:rsidR="00BD3588" w:rsidRPr="00BD3588">
        <w:rPr>
          <w:noProof/>
          <w:szCs w:val="23"/>
        </w:rPr>
        <w:t xml:space="preserve"> </w:t>
      </w:r>
      <w:r>
        <w:rPr>
          <w:noProof/>
          <w:szCs w:val="23"/>
        </w:rPr>
        <w:t xml:space="preserve">contains an amended </w:t>
      </w:r>
      <w:r w:rsidR="00BD3588" w:rsidRPr="00BD3588">
        <w:rPr>
          <w:noProof/>
          <w:szCs w:val="23"/>
        </w:rPr>
        <w:t xml:space="preserve">regime for this type of </w:t>
      </w:r>
      <w:r>
        <w:rPr>
          <w:noProof/>
          <w:szCs w:val="23"/>
        </w:rPr>
        <w:t>solvency</w:t>
      </w:r>
      <w:r w:rsidR="00BD3588" w:rsidRPr="00BD3588">
        <w:rPr>
          <w:noProof/>
          <w:szCs w:val="23"/>
        </w:rPr>
        <w:t xml:space="preserve"> support. The Commission has accepted sector</w:t>
      </w:r>
      <w:r w:rsidR="00C004CE">
        <w:rPr>
          <w:noProof/>
          <w:szCs w:val="23"/>
        </w:rPr>
        <w:t>-</w:t>
      </w:r>
      <w:r w:rsidR="00BD3588" w:rsidRPr="00BD3588">
        <w:rPr>
          <w:noProof/>
          <w:szCs w:val="23"/>
        </w:rPr>
        <w:t xml:space="preserve">specific schemes </w:t>
      </w:r>
      <w:r w:rsidR="00BD3588">
        <w:rPr>
          <w:noProof/>
          <w:szCs w:val="23"/>
        </w:rPr>
        <w:t>in Denmark, Belgium and Finland</w:t>
      </w:r>
      <w:r w:rsidR="00BD3588" w:rsidRPr="00116DBE">
        <w:rPr>
          <w:rStyle w:val="FootnoteReference"/>
          <w:noProof/>
        </w:rPr>
        <w:footnoteReference w:id="11"/>
      </w:r>
      <w:r w:rsidR="00BD3588" w:rsidRPr="00BD3588">
        <w:rPr>
          <w:noProof/>
          <w:szCs w:val="23"/>
        </w:rPr>
        <w:t>.</w:t>
      </w:r>
      <w:r w:rsidR="00C30BEC">
        <w:rPr>
          <w:noProof/>
          <w:szCs w:val="23"/>
        </w:rPr>
        <w:t xml:space="preserve"> </w:t>
      </w:r>
      <w:r w:rsidR="00C30BEC">
        <w:rPr>
          <w:noProof/>
          <w:szCs w:val="24"/>
          <w:lang w:val="en-IE"/>
        </w:rPr>
        <w:t xml:space="preserve">In December 2022, </w:t>
      </w:r>
      <w:r w:rsidR="00C30BEC" w:rsidRPr="00A919D7">
        <w:rPr>
          <w:noProof/>
          <w:szCs w:val="24"/>
          <w:lang w:val="en-IE"/>
        </w:rPr>
        <w:t xml:space="preserve">the Commission approved, taking account of the commitments provided by Germany, aid measures to </w:t>
      </w:r>
      <w:r w:rsidR="00C30BEC" w:rsidRPr="00315F72">
        <w:rPr>
          <w:i/>
          <w:noProof/>
          <w:szCs w:val="24"/>
          <w:lang w:val="en-IE"/>
        </w:rPr>
        <w:t>Uniper</w:t>
      </w:r>
      <w:r w:rsidR="00C30BEC" w:rsidRPr="00D2554C">
        <w:rPr>
          <w:rStyle w:val="FootnoteReference"/>
          <w:i/>
          <w:noProof/>
          <w:szCs w:val="24"/>
          <w:lang w:val="en-IE"/>
        </w:rPr>
        <w:footnoteReference w:id="12"/>
      </w:r>
      <w:r w:rsidR="00C30BEC" w:rsidRPr="00D2554C">
        <w:rPr>
          <w:noProof/>
          <w:szCs w:val="24"/>
          <w:lang w:val="en-IE"/>
        </w:rPr>
        <w:t xml:space="preserve"> and </w:t>
      </w:r>
      <w:r w:rsidR="00C30BEC" w:rsidRPr="00D2554C">
        <w:rPr>
          <w:i/>
          <w:noProof/>
          <w:szCs w:val="24"/>
          <w:lang w:val="en-IE"/>
        </w:rPr>
        <w:t>SEFE GmbH</w:t>
      </w:r>
      <w:r w:rsidR="00C30BEC" w:rsidRPr="00D2554C">
        <w:rPr>
          <w:rStyle w:val="FootnoteReference"/>
          <w:i/>
          <w:noProof/>
          <w:szCs w:val="24"/>
          <w:lang w:val="en-IE"/>
        </w:rPr>
        <w:footnoteReference w:id="13"/>
      </w:r>
      <w:r w:rsidR="00C30BEC" w:rsidRPr="00D2554C">
        <w:rPr>
          <w:noProof/>
          <w:szCs w:val="24"/>
          <w:lang w:val="en-IE"/>
        </w:rPr>
        <w:t xml:space="preserve"> providing</w:t>
      </w:r>
      <w:r w:rsidR="00C30BEC" w:rsidRPr="00A919D7">
        <w:rPr>
          <w:noProof/>
          <w:szCs w:val="24"/>
          <w:lang w:val="en-IE"/>
        </w:rPr>
        <w:t xml:space="preserve"> capital injections, notably to cover losses occurred by purchasing gas at higher market prices replacing gas which Russian suppliers did not supply under existing long-term contracts.</w:t>
      </w:r>
    </w:p>
    <w:p w14:paraId="38602B5B" w14:textId="77777777" w:rsidR="00673168" w:rsidRDefault="004735C5" w:rsidP="00D746DD">
      <w:pPr>
        <w:spacing w:after="120"/>
        <w:rPr>
          <w:noProof/>
          <w:szCs w:val="23"/>
          <w:lang w:val="en-IE"/>
        </w:rPr>
      </w:pPr>
      <w:r w:rsidRPr="00D746DD">
        <w:rPr>
          <w:noProof/>
          <w:szCs w:val="23"/>
          <w:lang w:val="en-IE"/>
        </w:rPr>
        <w:t>In 20</w:t>
      </w:r>
      <w:r w:rsidR="0035209E" w:rsidRPr="00D746DD">
        <w:rPr>
          <w:noProof/>
          <w:szCs w:val="23"/>
          <w:lang w:val="en-IE"/>
        </w:rPr>
        <w:t>2</w:t>
      </w:r>
      <w:r w:rsidRPr="00D746DD">
        <w:rPr>
          <w:noProof/>
          <w:szCs w:val="23"/>
          <w:lang w:val="en-IE"/>
        </w:rPr>
        <w:t>2, s</w:t>
      </w:r>
      <w:r w:rsidR="00D34926" w:rsidRPr="00D746DD">
        <w:rPr>
          <w:noProof/>
          <w:szCs w:val="23"/>
          <w:lang w:val="en-IE"/>
        </w:rPr>
        <w:t>everal Member States notified umbrella schemes</w:t>
      </w:r>
      <w:r w:rsidR="008E49A2">
        <w:rPr>
          <w:noProof/>
          <w:szCs w:val="23"/>
          <w:lang w:val="en-IE"/>
        </w:rPr>
        <w:t xml:space="preserve"> namely</w:t>
      </w:r>
      <w:r w:rsidR="000B3A60" w:rsidRPr="00D746DD">
        <w:rPr>
          <w:noProof/>
          <w:szCs w:val="23"/>
          <w:lang w:val="en-IE"/>
        </w:rPr>
        <w:t xml:space="preserve"> </w:t>
      </w:r>
      <w:r w:rsidR="00E0423C" w:rsidRPr="00D746DD">
        <w:rPr>
          <w:noProof/>
          <w:szCs w:val="23"/>
          <w:lang w:val="en-IE"/>
        </w:rPr>
        <w:t>crosscutting</w:t>
      </w:r>
      <w:r w:rsidR="000B3A60" w:rsidRPr="00D746DD">
        <w:rPr>
          <w:noProof/>
          <w:szCs w:val="23"/>
          <w:lang w:val="en-IE"/>
        </w:rPr>
        <w:t xml:space="preserve"> </w:t>
      </w:r>
      <w:r w:rsidR="00D34926" w:rsidRPr="00D746DD">
        <w:rPr>
          <w:noProof/>
          <w:szCs w:val="23"/>
          <w:lang w:val="en-IE"/>
        </w:rPr>
        <w:t xml:space="preserve">support </w:t>
      </w:r>
      <w:r w:rsidR="000B3A60" w:rsidRPr="00D746DD">
        <w:rPr>
          <w:noProof/>
          <w:szCs w:val="23"/>
          <w:lang w:val="en-IE"/>
        </w:rPr>
        <w:t xml:space="preserve">to economic sectors where </w:t>
      </w:r>
      <w:r w:rsidR="00DB58B8" w:rsidRPr="00D746DD">
        <w:rPr>
          <w:noProof/>
          <w:szCs w:val="23"/>
          <w:lang w:val="en-IE"/>
        </w:rPr>
        <w:t>companies h</w:t>
      </w:r>
      <w:r w:rsidR="000B3A60" w:rsidRPr="00D746DD">
        <w:rPr>
          <w:noProof/>
          <w:szCs w:val="23"/>
          <w:lang w:val="en-IE"/>
        </w:rPr>
        <w:t xml:space="preserve">ave been </w:t>
      </w:r>
      <w:r w:rsidRPr="00D746DD">
        <w:rPr>
          <w:noProof/>
          <w:szCs w:val="23"/>
          <w:lang w:val="en-IE"/>
        </w:rPr>
        <w:t xml:space="preserve">negatively impacted by </w:t>
      </w:r>
      <w:r w:rsidR="00DB58B8" w:rsidRPr="00D746DD">
        <w:rPr>
          <w:noProof/>
          <w:szCs w:val="23"/>
          <w:lang w:val="en-IE"/>
        </w:rPr>
        <w:t xml:space="preserve">the </w:t>
      </w:r>
      <w:r w:rsidR="00750674">
        <w:rPr>
          <w:noProof/>
          <w:szCs w:val="23"/>
          <w:lang w:val="en-IE"/>
        </w:rPr>
        <w:t xml:space="preserve">war </w:t>
      </w:r>
      <w:r w:rsidR="00DB58B8" w:rsidRPr="00D746DD">
        <w:rPr>
          <w:noProof/>
          <w:szCs w:val="23"/>
          <w:lang w:val="en-IE"/>
        </w:rPr>
        <w:t>in Ukraine</w:t>
      </w:r>
      <w:r w:rsidR="00D34926" w:rsidRPr="00D746DD">
        <w:rPr>
          <w:noProof/>
          <w:szCs w:val="23"/>
          <w:lang w:val="en-IE"/>
        </w:rPr>
        <w:t>. The</w:t>
      </w:r>
      <w:r w:rsidRPr="00D746DD">
        <w:rPr>
          <w:noProof/>
          <w:szCs w:val="23"/>
          <w:lang w:val="en-IE"/>
        </w:rPr>
        <w:t>se</w:t>
      </w:r>
      <w:r w:rsidR="00D34926" w:rsidRPr="00D746DD">
        <w:rPr>
          <w:noProof/>
          <w:szCs w:val="23"/>
          <w:lang w:val="en-IE"/>
        </w:rPr>
        <w:t xml:space="preserve"> </w:t>
      </w:r>
      <w:r w:rsidRPr="00D746DD">
        <w:rPr>
          <w:noProof/>
          <w:szCs w:val="23"/>
          <w:lang w:val="en-IE"/>
        </w:rPr>
        <w:t xml:space="preserve">umbrella </w:t>
      </w:r>
      <w:r w:rsidR="00D34926" w:rsidRPr="00D746DD">
        <w:rPr>
          <w:noProof/>
          <w:szCs w:val="23"/>
          <w:lang w:val="en-IE"/>
        </w:rPr>
        <w:t>schemes</w:t>
      </w:r>
      <w:r w:rsidR="00590056" w:rsidRPr="00D746DD">
        <w:rPr>
          <w:noProof/>
          <w:szCs w:val="23"/>
          <w:vertAlign w:val="superscript"/>
          <w:lang w:val="en-IE"/>
        </w:rPr>
        <w:footnoteReference w:id="14"/>
      </w:r>
      <w:r w:rsidR="00D34926" w:rsidRPr="00D746DD">
        <w:rPr>
          <w:noProof/>
          <w:szCs w:val="23"/>
          <w:lang w:val="en-IE"/>
        </w:rPr>
        <w:t xml:space="preserve"> were approved under the Temporary Crisis Framework, </w:t>
      </w:r>
      <w:r w:rsidRPr="00D746DD">
        <w:rPr>
          <w:noProof/>
          <w:szCs w:val="23"/>
          <w:lang w:val="en-IE"/>
        </w:rPr>
        <w:t xml:space="preserve">in </w:t>
      </w:r>
      <w:r w:rsidR="00D34926" w:rsidRPr="00D746DD">
        <w:rPr>
          <w:noProof/>
          <w:szCs w:val="23"/>
          <w:lang w:val="en-IE"/>
        </w:rPr>
        <w:t>accord</w:t>
      </w:r>
      <w:r w:rsidRPr="00D746DD">
        <w:rPr>
          <w:noProof/>
          <w:szCs w:val="23"/>
          <w:lang w:val="en-IE"/>
        </w:rPr>
        <w:t xml:space="preserve">ance with </w:t>
      </w:r>
      <w:r w:rsidR="00D34926" w:rsidRPr="00D746DD">
        <w:rPr>
          <w:noProof/>
          <w:szCs w:val="23"/>
          <w:lang w:val="en-IE"/>
        </w:rPr>
        <w:t xml:space="preserve">Article 107(3)(b) </w:t>
      </w:r>
      <w:r w:rsidR="00CF5C51" w:rsidRPr="00D746DD">
        <w:rPr>
          <w:noProof/>
          <w:szCs w:val="23"/>
          <w:lang w:val="en-IE"/>
        </w:rPr>
        <w:t>of the Treaty on the Functioning of the European Union (‘</w:t>
      </w:r>
      <w:r w:rsidR="00D34926" w:rsidRPr="00D746DD">
        <w:rPr>
          <w:noProof/>
          <w:szCs w:val="23"/>
          <w:lang w:val="en-IE"/>
        </w:rPr>
        <w:t>TFEU</w:t>
      </w:r>
      <w:r w:rsidR="00CF5C51" w:rsidRPr="00D746DD">
        <w:rPr>
          <w:noProof/>
          <w:szCs w:val="23"/>
          <w:lang w:val="en-IE"/>
        </w:rPr>
        <w:t>’)</w:t>
      </w:r>
      <w:r w:rsidRPr="00D746DD">
        <w:rPr>
          <w:noProof/>
          <w:szCs w:val="23"/>
          <w:lang w:val="en-IE"/>
        </w:rPr>
        <w:t>.</w:t>
      </w:r>
    </w:p>
    <w:p w14:paraId="5C6C2723" w14:textId="77777777" w:rsidR="00673168" w:rsidRPr="00673168" w:rsidRDefault="00673168" w:rsidP="00A81487">
      <w:pPr>
        <w:rPr>
          <w:noProof/>
          <w:szCs w:val="23"/>
          <w:lang w:val="en-IE"/>
        </w:rPr>
      </w:pPr>
    </w:p>
    <w:p w14:paraId="3C265BD5" w14:textId="77777777" w:rsidR="00673168" w:rsidRDefault="00673168" w:rsidP="00673168">
      <w:pPr>
        <w:rPr>
          <w:noProof/>
          <w:szCs w:val="23"/>
          <w:lang w:val="en-IE"/>
        </w:rPr>
      </w:pPr>
    </w:p>
    <w:p w14:paraId="269DC65C" w14:textId="77777777" w:rsidR="00D34926" w:rsidRPr="00673168" w:rsidRDefault="00673168" w:rsidP="00A81487">
      <w:pPr>
        <w:tabs>
          <w:tab w:val="left" w:pos="2380"/>
        </w:tabs>
        <w:rPr>
          <w:noProof/>
          <w:szCs w:val="23"/>
          <w:lang w:val="en-IE"/>
        </w:rPr>
      </w:pPr>
      <w:r>
        <w:rPr>
          <w:noProof/>
          <w:szCs w:val="23"/>
          <w:lang w:val="en-IE"/>
        </w:rPr>
        <w:tab/>
      </w:r>
    </w:p>
    <w:p w14:paraId="0DCF71F2" w14:textId="77777777" w:rsidR="00505E58" w:rsidRPr="00A81487" w:rsidRDefault="00370192" w:rsidP="008C3B7C">
      <w:pPr>
        <w:rPr>
          <w:noProof/>
        </w:rPr>
      </w:pPr>
      <w:r w:rsidRPr="00A81487">
        <w:rPr>
          <w:noProof/>
        </w:rPr>
        <w:t>In 2022, the Commission adopted 195 decisions, approving 182 national measures notified by 27 Member States. The overall budget that Member States notified to the Commission for such State aid measures amounted to around EUR 670 billion. Some 53% of the approved aid had been notified by Germany, 24% by France and 7% by Italy</w:t>
      </w:r>
      <w:r w:rsidRPr="00A81487">
        <w:rPr>
          <w:rStyle w:val="FootnoteReference"/>
          <w:noProof/>
          <w:sz w:val="22"/>
        </w:rPr>
        <w:footnoteReference w:id="15"/>
      </w:r>
      <w:r w:rsidR="00CE22E9" w:rsidRPr="00A81487">
        <w:rPr>
          <w:noProof/>
        </w:rPr>
        <w:t>,</w:t>
      </w:r>
      <w:r w:rsidRPr="00A81487">
        <w:rPr>
          <w:noProof/>
        </w:rPr>
        <w:t xml:space="preserve"> </w:t>
      </w:r>
      <w:r w:rsidR="00CE22E9" w:rsidRPr="00A81487">
        <w:rPr>
          <w:noProof/>
        </w:rPr>
        <w:t>which however do not represent the amounts paid out.</w:t>
      </w:r>
    </w:p>
    <w:p w14:paraId="6A52FF11" w14:textId="77777777" w:rsidR="00F44682" w:rsidRPr="00083624" w:rsidRDefault="00651947" w:rsidP="00E16E8F">
      <w:pPr>
        <w:pStyle w:val="Heading2"/>
      </w:pPr>
      <w:bookmarkStart w:id="9" w:name="_Toc122109048"/>
      <w:bookmarkStart w:id="10" w:name="_Toc130224409"/>
      <w:r>
        <w:t xml:space="preserve">2.2. </w:t>
      </w:r>
      <w:r w:rsidR="00F44682" w:rsidRPr="00083624">
        <w:t>Phasing out the State Aid Covid Temporary Framework supporting the economy in the context of the coronavirus outbreak</w:t>
      </w:r>
      <w:bookmarkEnd w:id="9"/>
      <w:bookmarkEnd w:id="10"/>
    </w:p>
    <w:p w14:paraId="0D102B2F" w14:textId="77777777" w:rsidR="00FB7869" w:rsidRPr="00D746DD" w:rsidRDefault="00FB7869" w:rsidP="00FB7869">
      <w:pPr>
        <w:spacing w:after="120"/>
        <w:rPr>
          <w:noProof/>
          <w:szCs w:val="23"/>
        </w:rPr>
      </w:pPr>
      <w:r w:rsidRPr="00D746DD">
        <w:rPr>
          <w:rFonts w:eastAsia="Calibri" w:cs="Times New Roman"/>
          <w:noProof/>
          <w:szCs w:val="23"/>
        </w:rPr>
        <w:t xml:space="preserve">The Commission continued to assess aid measures </w:t>
      </w:r>
      <w:r>
        <w:rPr>
          <w:rFonts w:eastAsia="Calibri" w:cs="Times New Roman"/>
          <w:noProof/>
          <w:szCs w:val="23"/>
        </w:rPr>
        <w:t xml:space="preserve">directly </w:t>
      </w:r>
      <w:r w:rsidRPr="00D746DD">
        <w:rPr>
          <w:rFonts w:eastAsia="Calibri" w:cs="Times New Roman"/>
          <w:noProof/>
          <w:szCs w:val="23"/>
        </w:rPr>
        <w:t>under Article 107(3)(b) TFEU</w:t>
      </w:r>
      <w:r>
        <w:rPr>
          <w:rFonts w:eastAsia="Calibri" w:cs="Times New Roman"/>
          <w:noProof/>
          <w:szCs w:val="23"/>
        </w:rPr>
        <w:t xml:space="preserve">, </w:t>
      </w:r>
      <w:r w:rsidRPr="00D746DD">
        <w:rPr>
          <w:rFonts w:eastAsia="Calibri" w:cs="Times New Roman"/>
          <w:noProof/>
          <w:szCs w:val="23"/>
        </w:rPr>
        <w:t xml:space="preserve">Article 107(3)(c) TFEU </w:t>
      </w:r>
      <w:r>
        <w:rPr>
          <w:rFonts w:eastAsia="Calibri" w:cs="Times New Roman"/>
          <w:noProof/>
          <w:szCs w:val="23"/>
        </w:rPr>
        <w:t xml:space="preserve">as well as under </w:t>
      </w:r>
      <w:r w:rsidRPr="00D746DD">
        <w:rPr>
          <w:rFonts w:eastAsia="Calibri" w:cs="Times New Roman"/>
          <w:noProof/>
          <w:szCs w:val="23"/>
        </w:rPr>
        <w:t>the Temporary Framework</w:t>
      </w:r>
      <w:r>
        <w:rPr>
          <w:rFonts w:eastAsia="Calibri" w:cs="Times New Roman"/>
          <w:noProof/>
          <w:szCs w:val="23"/>
        </w:rPr>
        <w:t xml:space="preserve"> </w:t>
      </w:r>
      <w:r w:rsidRPr="00937722">
        <w:rPr>
          <w:noProof/>
        </w:rPr>
        <w:t>supporting the economy in the context of the coronavirus outbreak (‘</w:t>
      </w:r>
      <w:r w:rsidRPr="00937722">
        <w:rPr>
          <w:noProof/>
          <w:lang w:val="en-US"/>
        </w:rPr>
        <w:t>Temporary Framework for State aid measures’)</w:t>
      </w:r>
      <w:r w:rsidRPr="00937722">
        <w:rPr>
          <w:noProof/>
          <w:vertAlign w:val="superscript"/>
          <w:lang w:val="en-US"/>
        </w:rPr>
        <w:footnoteReference w:id="16"/>
      </w:r>
      <w:r w:rsidRPr="00D746DD">
        <w:rPr>
          <w:rFonts w:eastAsia="Calibri" w:cs="Times New Roman"/>
          <w:noProof/>
          <w:szCs w:val="23"/>
        </w:rPr>
        <w:t xml:space="preserve">. By the end of 2022, the Commission had adopted </w:t>
      </w:r>
      <w:r w:rsidR="00732A54">
        <w:rPr>
          <w:rFonts w:eastAsia="Calibri" w:cs="Times New Roman"/>
          <w:noProof/>
          <w:szCs w:val="23"/>
        </w:rPr>
        <w:t>217</w:t>
      </w:r>
      <w:r w:rsidRPr="009C63BD">
        <w:rPr>
          <w:rFonts w:eastAsia="Calibri" w:cs="Times New Roman"/>
          <w:noProof/>
          <w:szCs w:val="23"/>
        </w:rPr>
        <w:t xml:space="preserve"> </w:t>
      </w:r>
      <w:r w:rsidR="0031064B">
        <w:rPr>
          <w:rFonts w:eastAsia="Calibri" w:cs="Times New Roman"/>
          <w:noProof/>
          <w:szCs w:val="23"/>
        </w:rPr>
        <w:t>COVID</w:t>
      </w:r>
      <w:r w:rsidR="00350888">
        <w:rPr>
          <w:rFonts w:eastAsia="Calibri" w:cs="Times New Roman"/>
          <w:noProof/>
          <w:szCs w:val="23"/>
        </w:rPr>
        <w:t>-19</w:t>
      </w:r>
      <w:r w:rsidR="0031064B" w:rsidRPr="00A81487">
        <w:rPr>
          <w:rFonts w:eastAsia="Calibri" w:cs="Times New Roman"/>
          <w:noProof/>
          <w:szCs w:val="23"/>
        </w:rPr>
        <w:t>-</w:t>
      </w:r>
      <w:r w:rsidR="0031064B">
        <w:rPr>
          <w:rFonts w:eastAsia="Calibri" w:cs="Times New Roman"/>
          <w:noProof/>
          <w:szCs w:val="23"/>
        </w:rPr>
        <w:t xml:space="preserve">related </w:t>
      </w:r>
      <w:r w:rsidR="00732A54">
        <w:rPr>
          <w:rFonts w:eastAsia="Calibri" w:cs="Times New Roman"/>
          <w:noProof/>
          <w:szCs w:val="23"/>
        </w:rPr>
        <w:t>decisions in all Member States</w:t>
      </w:r>
      <w:r w:rsidRPr="009C63BD">
        <w:rPr>
          <w:rFonts w:eastAsia="Calibri" w:cs="Times New Roman"/>
          <w:noProof/>
          <w:szCs w:val="23"/>
        </w:rPr>
        <w:t>,</w:t>
      </w:r>
      <w:r w:rsidRPr="00D746DD">
        <w:rPr>
          <w:rFonts w:eastAsia="Calibri" w:cs="Times New Roman"/>
          <w:noProof/>
          <w:szCs w:val="23"/>
        </w:rPr>
        <w:t xml:space="preserve"> including </w:t>
      </w:r>
      <w:r w:rsidR="0094366F">
        <w:rPr>
          <w:rFonts w:eastAsia="Calibri" w:cs="Times New Roman"/>
          <w:noProof/>
          <w:szCs w:val="23"/>
        </w:rPr>
        <w:t>decisions</w:t>
      </w:r>
      <w:r w:rsidRPr="00D746DD">
        <w:rPr>
          <w:rFonts w:eastAsia="Calibri" w:cs="Times New Roman"/>
          <w:noProof/>
          <w:szCs w:val="23"/>
        </w:rPr>
        <w:t xml:space="preserve"> under the Temporary Framework for State aid measures</w:t>
      </w:r>
      <w:r w:rsidRPr="00D746DD">
        <w:rPr>
          <w:rFonts w:eastAsia="Calibri" w:cs="Times New Roman"/>
          <w:noProof/>
          <w:szCs w:val="23"/>
          <w:vertAlign w:val="superscript"/>
        </w:rPr>
        <w:footnoteReference w:id="17"/>
      </w:r>
      <w:r w:rsidRPr="00D746DD">
        <w:rPr>
          <w:rFonts w:eastAsia="Calibri" w:cs="Times New Roman"/>
          <w:noProof/>
          <w:szCs w:val="23"/>
        </w:rPr>
        <w:t>. This is a significant decrease compared to 2021</w:t>
      </w:r>
      <w:r>
        <w:rPr>
          <w:rFonts w:eastAsia="Calibri" w:cs="Times New Roman"/>
          <w:noProof/>
          <w:szCs w:val="23"/>
        </w:rPr>
        <w:t>,</w:t>
      </w:r>
      <w:r w:rsidRPr="00D746DD">
        <w:rPr>
          <w:rFonts w:eastAsia="Calibri" w:cs="Times New Roman"/>
          <w:noProof/>
          <w:szCs w:val="23"/>
        </w:rPr>
        <w:t xml:space="preserve"> when 1180 COVID</w:t>
      </w:r>
      <w:r w:rsidR="00350888">
        <w:rPr>
          <w:rFonts w:eastAsia="Calibri" w:cs="Times New Roman"/>
          <w:noProof/>
          <w:szCs w:val="23"/>
        </w:rPr>
        <w:t>-19</w:t>
      </w:r>
      <w:r w:rsidRPr="00D746DD">
        <w:rPr>
          <w:rFonts w:eastAsia="Calibri" w:cs="Times New Roman"/>
          <w:noProof/>
          <w:szCs w:val="23"/>
        </w:rPr>
        <w:t>-related decisions were adopted.</w:t>
      </w:r>
    </w:p>
    <w:p w14:paraId="40557527" w14:textId="77777777" w:rsidR="00B41D0C" w:rsidRPr="00D746DD" w:rsidRDefault="002647F5" w:rsidP="00D746DD">
      <w:pPr>
        <w:spacing w:after="120"/>
        <w:rPr>
          <w:noProof/>
          <w:szCs w:val="23"/>
          <w:lang w:val="en-US"/>
        </w:rPr>
      </w:pPr>
      <w:r>
        <w:rPr>
          <w:noProof/>
        </w:rPr>
        <w:t xml:space="preserve">As </w:t>
      </w:r>
      <w:r w:rsidR="00B41D0C" w:rsidRPr="00937722">
        <w:rPr>
          <w:noProof/>
        </w:rPr>
        <w:t xml:space="preserve">the </w:t>
      </w:r>
      <w:r w:rsidR="003C2305">
        <w:rPr>
          <w:noProof/>
        </w:rPr>
        <w:t>public health measures taken in light of</w:t>
      </w:r>
      <w:r w:rsidR="003C2305" w:rsidRPr="004868FA">
        <w:rPr>
          <w:noProof/>
        </w:rPr>
        <w:t xml:space="preserve"> </w:t>
      </w:r>
      <w:r>
        <w:rPr>
          <w:noProof/>
        </w:rPr>
        <w:t xml:space="preserve">Covid-19 </w:t>
      </w:r>
      <w:r w:rsidRPr="005E4026">
        <w:rPr>
          <w:noProof/>
          <w:lang w:val="en-US"/>
        </w:rPr>
        <w:t xml:space="preserve">health crisis </w:t>
      </w:r>
      <w:r>
        <w:rPr>
          <w:noProof/>
        </w:rPr>
        <w:t xml:space="preserve">situation </w:t>
      </w:r>
      <w:r w:rsidR="003C2305">
        <w:rPr>
          <w:noProof/>
        </w:rPr>
        <w:t>were eased</w:t>
      </w:r>
      <w:r>
        <w:rPr>
          <w:noProof/>
        </w:rPr>
        <w:t>,</w:t>
      </w:r>
      <w:r w:rsidR="00B41D0C" w:rsidRPr="00937722">
        <w:rPr>
          <w:noProof/>
        </w:rPr>
        <w:t xml:space="preserve"> the Commission decided not to prolong the </w:t>
      </w:r>
      <w:r w:rsidR="002D6204" w:rsidRPr="00937722">
        <w:rPr>
          <w:noProof/>
          <w:lang w:val="en-US"/>
        </w:rPr>
        <w:t>Temporary Fr</w:t>
      </w:r>
      <w:r w:rsidR="00FB7869">
        <w:rPr>
          <w:noProof/>
          <w:lang w:val="en-US"/>
        </w:rPr>
        <w:t>amework for State aid measures</w:t>
      </w:r>
      <w:r w:rsidR="00B41D0C" w:rsidRPr="00937722">
        <w:rPr>
          <w:noProof/>
          <w:lang w:val="en-US"/>
        </w:rPr>
        <w:t xml:space="preserve"> </w:t>
      </w:r>
      <w:r w:rsidR="00B41D0C" w:rsidRPr="00937722">
        <w:rPr>
          <w:noProof/>
        </w:rPr>
        <w:t>beyond 30 June 2022</w:t>
      </w:r>
      <w:r w:rsidR="00117133">
        <w:rPr>
          <w:noProof/>
        </w:rPr>
        <w:t xml:space="preserve"> except for </w:t>
      </w:r>
      <w:r w:rsidR="00B41D0C" w:rsidRPr="00937722">
        <w:rPr>
          <w:noProof/>
        </w:rPr>
        <w:t xml:space="preserve">investment support </w:t>
      </w:r>
      <w:r w:rsidR="00734A4E">
        <w:rPr>
          <w:noProof/>
        </w:rPr>
        <w:t>and</w:t>
      </w:r>
      <w:r w:rsidR="00B41D0C" w:rsidRPr="00937722">
        <w:rPr>
          <w:noProof/>
        </w:rPr>
        <w:t xml:space="preserve"> solvency support measures</w:t>
      </w:r>
      <w:r w:rsidR="00370192">
        <w:rPr>
          <w:noProof/>
        </w:rPr>
        <w:t>,</w:t>
      </w:r>
      <w:r w:rsidR="00B41D0C" w:rsidRPr="00937722">
        <w:rPr>
          <w:noProof/>
        </w:rPr>
        <w:t xml:space="preserve"> </w:t>
      </w:r>
      <w:r w:rsidR="00117133">
        <w:rPr>
          <w:noProof/>
        </w:rPr>
        <w:t xml:space="preserve">which are allowed </w:t>
      </w:r>
      <w:r w:rsidR="00B41D0C" w:rsidRPr="00937722">
        <w:rPr>
          <w:noProof/>
        </w:rPr>
        <w:t>until 31 December 2023</w:t>
      </w:r>
      <w:r w:rsidR="00E9062B">
        <w:rPr>
          <w:rStyle w:val="FootnoteReference"/>
          <w:noProof/>
        </w:rPr>
        <w:footnoteReference w:id="18"/>
      </w:r>
      <w:r w:rsidR="00B41D0C" w:rsidRPr="00937722">
        <w:rPr>
          <w:noProof/>
        </w:rPr>
        <w:t xml:space="preserve">. The </w:t>
      </w:r>
      <w:r w:rsidR="00B41D0C" w:rsidRPr="00937722">
        <w:rPr>
          <w:noProof/>
          <w:lang w:val="en-US"/>
        </w:rPr>
        <w:t xml:space="preserve">Temporary Framework for State aid measures allows until 30 June 2023 a flexible transition under clear </w:t>
      </w:r>
      <w:r w:rsidR="00B41D0C" w:rsidRPr="00D746DD">
        <w:rPr>
          <w:noProof/>
          <w:szCs w:val="23"/>
          <w:lang w:val="en-US"/>
        </w:rPr>
        <w:t xml:space="preserve">safeguards for converting and restructuring debt instruments such as loans and guarantees into other forms of </w:t>
      </w:r>
      <w:r w:rsidR="00FB7869">
        <w:rPr>
          <w:noProof/>
          <w:szCs w:val="23"/>
          <w:lang w:val="en-US"/>
        </w:rPr>
        <w:t>aid, for example direct grants.</w:t>
      </w:r>
    </w:p>
    <w:p w14:paraId="297C3329" w14:textId="77777777" w:rsidR="00F44682" w:rsidRDefault="00651947" w:rsidP="00E16E8F">
      <w:pPr>
        <w:pStyle w:val="Heading2"/>
      </w:pPr>
      <w:bookmarkStart w:id="11" w:name="_Toc122109049"/>
      <w:bookmarkStart w:id="12" w:name="_Toc130224410"/>
      <w:r>
        <w:t xml:space="preserve">2.3. </w:t>
      </w:r>
      <w:r w:rsidR="00C236ED">
        <w:t>Implementin</w:t>
      </w:r>
      <w:r w:rsidR="0042625E">
        <w:t>g</w:t>
      </w:r>
      <w:r w:rsidR="00C236ED">
        <w:t xml:space="preserve"> the </w:t>
      </w:r>
      <w:r w:rsidR="00F44682">
        <w:t>Recovery and Resilience Facility</w:t>
      </w:r>
      <w:bookmarkEnd w:id="11"/>
      <w:bookmarkEnd w:id="12"/>
      <w:r w:rsidR="00F44682">
        <w:t xml:space="preserve"> </w:t>
      </w:r>
    </w:p>
    <w:p w14:paraId="1CC36524" w14:textId="77777777" w:rsidR="00EF254B" w:rsidRPr="007072BB" w:rsidRDefault="003C2305" w:rsidP="008C3B7C">
      <w:pPr>
        <w:spacing w:after="120"/>
        <w:rPr>
          <w:noProof/>
        </w:rPr>
      </w:pPr>
      <w:r>
        <w:rPr>
          <w:noProof/>
        </w:rPr>
        <w:t>Implementation of t</w:t>
      </w:r>
      <w:r w:rsidR="00EF254B" w:rsidRPr="00937722">
        <w:rPr>
          <w:noProof/>
        </w:rPr>
        <w:t>he Recovery and Resilience Facility (</w:t>
      </w:r>
      <w:r w:rsidR="00776EE5" w:rsidRPr="00937722">
        <w:rPr>
          <w:noProof/>
          <w:lang w:val="en-IE"/>
        </w:rPr>
        <w:t>‘</w:t>
      </w:r>
      <w:r w:rsidR="00EF254B" w:rsidRPr="00937722">
        <w:rPr>
          <w:noProof/>
        </w:rPr>
        <w:t>RRF</w:t>
      </w:r>
      <w:r w:rsidR="00776EE5" w:rsidRPr="00937722">
        <w:rPr>
          <w:noProof/>
        </w:rPr>
        <w:t>’</w:t>
      </w:r>
      <w:r w:rsidR="00EF254B" w:rsidRPr="00937722">
        <w:rPr>
          <w:noProof/>
        </w:rPr>
        <w:t>)</w:t>
      </w:r>
      <w:r w:rsidR="004F0103">
        <w:rPr>
          <w:rStyle w:val="FootnoteReference"/>
          <w:noProof/>
        </w:rPr>
        <w:footnoteReference w:id="19"/>
      </w:r>
      <w:r w:rsidR="006529BD">
        <w:rPr>
          <w:noProof/>
        </w:rPr>
        <w:t xml:space="preserve"> -</w:t>
      </w:r>
      <w:r w:rsidR="00EF254B" w:rsidRPr="00937722">
        <w:rPr>
          <w:noProof/>
        </w:rPr>
        <w:t xml:space="preserve"> the centrepiece of </w:t>
      </w:r>
      <w:r>
        <w:rPr>
          <w:noProof/>
        </w:rPr>
        <w:t xml:space="preserve">the </w:t>
      </w:r>
      <w:r w:rsidR="00EF254B" w:rsidRPr="00937722">
        <w:rPr>
          <w:noProof/>
        </w:rPr>
        <w:t>NextGenerationEU</w:t>
      </w:r>
      <w:r w:rsidR="004131CD" w:rsidRPr="00937722">
        <w:rPr>
          <w:noProof/>
        </w:rPr>
        <w:t xml:space="preserve"> initiative</w:t>
      </w:r>
      <w:r w:rsidR="006529BD">
        <w:rPr>
          <w:noProof/>
        </w:rPr>
        <w:t xml:space="preserve"> - </w:t>
      </w:r>
      <w:r w:rsidR="00EF254B" w:rsidRPr="00937722">
        <w:rPr>
          <w:noProof/>
        </w:rPr>
        <w:t>continued in 2022</w:t>
      </w:r>
      <w:r w:rsidR="00EF254B" w:rsidRPr="00937722">
        <w:rPr>
          <w:rStyle w:val="FootnoteReference"/>
          <w:noProof/>
          <w:sz w:val="24"/>
          <w:szCs w:val="24"/>
        </w:rPr>
        <w:footnoteReference w:id="20"/>
      </w:r>
      <w:r>
        <w:rPr>
          <w:noProof/>
        </w:rPr>
        <w:t>. It</w:t>
      </w:r>
      <w:r w:rsidR="00FD628E">
        <w:rPr>
          <w:noProof/>
        </w:rPr>
        <w:t xml:space="preserve"> aim</w:t>
      </w:r>
      <w:r w:rsidR="008E49A2">
        <w:rPr>
          <w:noProof/>
        </w:rPr>
        <w:t>s</w:t>
      </w:r>
      <w:r w:rsidR="005A25EE">
        <w:rPr>
          <w:noProof/>
        </w:rPr>
        <w:t xml:space="preserve"> </w:t>
      </w:r>
      <w:r w:rsidR="00FD628E">
        <w:rPr>
          <w:noProof/>
        </w:rPr>
        <w:t xml:space="preserve">to </w:t>
      </w:r>
      <w:r w:rsidR="00EF254B" w:rsidRPr="00937722">
        <w:rPr>
          <w:noProof/>
        </w:rPr>
        <w:t xml:space="preserve">promote cohesion among Member States by mitigating the social and economic fallout of the COVID-19 pandemic and </w:t>
      </w:r>
      <w:r>
        <w:rPr>
          <w:noProof/>
        </w:rPr>
        <w:t xml:space="preserve">to </w:t>
      </w:r>
      <w:r w:rsidR="00EF254B" w:rsidRPr="00937722">
        <w:rPr>
          <w:noProof/>
        </w:rPr>
        <w:t>better prepar</w:t>
      </w:r>
      <w:r w:rsidR="006529BD">
        <w:rPr>
          <w:noProof/>
        </w:rPr>
        <w:t>e</w:t>
      </w:r>
      <w:r w:rsidR="00EF254B" w:rsidRPr="00937722">
        <w:rPr>
          <w:noProof/>
        </w:rPr>
        <w:t xml:space="preserve"> the EU for future challenges, notably by supporting the green and digital transitions. </w:t>
      </w:r>
      <w:r w:rsidR="00AE2A20" w:rsidRPr="00AE2A20">
        <w:rPr>
          <w:noProof/>
          <w:lang w:val="en-IE"/>
        </w:rPr>
        <w:t>M</w:t>
      </w:r>
      <w:r w:rsidR="0031064B">
        <w:rPr>
          <w:noProof/>
          <w:lang w:val="en-IE"/>
        </w:rPr>
        <w:t>ost</w:t>
      </w:r>
      <w:r w:rsidR="00AE2A20" w:rsidRPr="00AE2A20">
        <w:rPr>
          <w:noProof/>
          <w:lang w:val="en-IE"/>
        </w:rPr>
        <w:t xml:space="preserve"> of the measures financed </w:t>
      </w:r>
      <w:r w:rsidR="006529BD">
        <w:rPr>
          <w:noProof/>
          <w:lang w:val="en-IE"/>
        </w:rPr>
        <w:t>by</w:t>
      </w:r>
      <w:r w:rsidR="00AE2A20" w:rsidRPr="00AE2A20">
        <w:rPr>
          <w:noProof/>
          <w:lang w:val="en-IE"/>
        </w:rPr>
        <w:t xml:space="preserve"> the RRF do not constitute State aid. Out of those that do qualify as State aid, the majority can be implemented directly by the Member States, either under a block-exemption regulation</w:t>
      </w:r>
      <w:r w:rsidR="00AE2A20">
        <w:rPr>
          <w:rStyle w:val="FootnoteReference"/>
          <w:noProof/>
          <w:lang w:val="en-IE"/>
        </w:rPr>
        <w:footnoteReference w:id="21"/>
      </w:r>
      <w:r w:rsidR="00AE2A20" w:rsidRPr="00AE2A20">
        <w:rPr>
          <w:noProof/>
          <w:lang w:val="en-IE"/>
        </w:rPr>
        <w:t xml:space="preserve"> or under a </w:t>
      </w:r>
      <w:r w:rsidR="00AE2A20" w:rsidRPr="00AE2A20">
        <w:rPr>
          <w:i/>
          <w:iCs/>
          <w:noProof/>
          <w:lang w:val="en-IE"/>
        </w:rPr>
        <w:t>de minimis</w:t>
      </w:r>
      <w:r w:rsidR="00AE2A20" w:rsidRPr="00AE2A20">
        <w:rPr>
          <w:noProof/>
          <w:lang w:val="en-IE"/>
        </w:rPr>
        <w:t xml:space="preserve"> regulation</w:t>
      </w:r>
      <w:r w:rsidR="00AE2A20">
        <w:rPr>
          <w:rStyle w:val="FootnoteReference"/>
          <w:noProof/>
          <w:lang w:val="en-IE"/>
        </w:rPr>
        <w:footnoteReference w:id="22"/>
      </w:r>
      <w:r w:rsidR="00AE2A20" w:rsidRPr="00AE2A20">
        <w:rPr>
          <w:noProof/>
          <w:lang w:val="en-IE"/>
        </w:rPr>
        <w:t xml:space="preserve">. However, </w:t>
      </w:r>
      <w:r w:rsidR="0007617E">
        <w:rPr>
          <w:noProof/>
          <w:lang w:val="en-IE"/>
        </w:rPr>
        <w:t xml:space="preserve">a number of </w:t>
      </w:r>
      <w:r w:rsidR="00AE2A20" w:rsidRPr="00AE2A20">
        <w:rPr>
          <w:noProof/>
          <w:lang w:val="en-IE"/>
        </w:rPr>
        <w:t xml:space="preserve">measures have been notified for </w:t>
      </w:r>
      <w:r w:rsidR="00AE2A20" w:rsidRPr="00AE2A20">
        <w:rPr>
          <w:noProof/>
        </w:rPr>
        <w:t>the</w:t>
      </w:r>
      <w:r w:rsidR="00AE2A20" w:rsidRPr="00AE2A20">
        <w:rPr>
          <w:noProof/>
          <w:lang w:val="en-IE"/>
        </w:rPr>
        <w:t xml:space="preserve"> Commission’s prior authorisation. During 2022, the Commission adopted State aid decisions on </w:t>
      </w:r>
      <w:r w:rsidR="00FB7869">
        <w:rPr>
          <w:noProof/>
          <w:lang w:val="en-IE"/>
        </w:rPr>
        <w:t xml:space="preserve">nearly </w:t>
      </w:r>
      <w:r w:rsidR="00FB7869" w:rsidRPr="007072BB">
        <w:rPr>
          <w:noProof/>
        </w:rPr>
        <w:t xml:space="preserve">80 </w:t>
      </w:r>
      <w:r w:rsidR="00AE2A20" w:rsidRPr="007072BB">
        <w:rPr>
          <w:noProof/>
        </w:rPr>
        <w:t>RRF-funded measures.</w:t>
      </w:r>
    </w:p>
    <w:p w14:paraId="0F0BE73B" w14:textId="5023398E" w:rsidR="00F44682" w:rsidRPr="007072BB" w:rsidRDefault="00F44682" w:rsidP="007072BB">
      <w:pPr>
        <w:pStyle w:val="Heading1"/>
        <w:spacing w:before="0" w:after="200"/>
        <w:rPr>
          <w:noProof/>
          <w:sz w:val="28"/>
          <w:szCs w:val="28"/>
        </w:rPr>
      </w:pPr>
      <w:bookmarkStart w:id="13" w:name="_Toc122109050"/>
      <w:bookmarkStart w:id="14" w:name="_Toc130224411"/>
      <w:r w:rsidRPr="007072BB">
        <w:rPr>
          <w:noProof/>
          <w:sz w:val="28"/>
          <w:szCs w:val="28"/>
        </w:rPr>
        <w:t xml:space="preserve">3. </w:t>
      </w:r>
      <w:r w:rsidRPr="0017027E">
        <w:rPr>
          <w:noProof/>
          <w:sz w:val="28"/>
          <w:szCs w:val="28"/>
        </w:rPr>
        <w:t>Ensuring</w:t>
      </w:r>
      <w:r w:rsidRPr="007072BB">
        <w:rPr>
          <w:noProof/>
          <w:sz w:val="28"/>
          <w:szCs w:val="28"/>
        </w:rPr>
        <w:t xml:space="preserve"> that </w:t>
      </w:r>
      <w:r w:rsidR="00853CD4">
        <w:rPr>
          <w:noProof/>
          <w:sz w:val="28"/>
          <w:szCs w:val="28"/>
        </w:rPr>
        <w:t>c</w:t>
      </w:r>
      <w:r w:rsidRPr="007072BB">
        <w:rPr>
          <w:noProof/>
          <w:sz w:val="28"/>
          <w:szCs w:val="28"/>
        </w:rPr>
        <w:t xml:space="preserve">ompetition rules remain fit for </w:t>
      </w:r>
      <w:r w:rsidR="003E470B" w:rsidRPr="007072BB">
        <w:rPr>
          <w:noProof/>
          <w:sz w:val="28"/>
          <w:szCs w:val="28"/>
        </w:rPr>
        <w:t>the future</w:t>
      </w:r>
      <w:r w:rsidRPr="007072BB">
        <w:rPr>
          <w:noProof/>
          <w:sz w:val="28"/>
          <w:szCs w:val="28"/>
        </w:rPr>
        <w:t xml:space="preserve"> – </w:t>
      </w:r>
      <w:r w:rsidRPr="007072BB">
        <w:rPr>
          <w:noProof/>
        </w:rPr>
        <w:t>P</w:t>
      </w:r>
      <w:r w:rsidRPr="007072BB">
        <w:rPr>
          <w:noProof/>
          <w:sz w:val="28"/>
          <w:szCs w:val="28"/>
        </w:rPr>
        <w:t xml:space="preserve">rogress on an </w:t>
      </w:r>
      <w:r w:rsidR="00497591">
        <w:rPr>
          <w:noProof/>
          <w:sz w:val="28"/>
          <w:szCs w:val="28"/>
        </w:rPr>
        <w:t>e</w:t>
      </w:r>
      <w:r w:rsidRPr="007072BB">
        <w:rPr>
          <w:noProof/>
          <w:sz w:val="28"/>
          <w:szCs w:val="28"/>
        </w:rPr>
        <w:t xml:space="preserve">xtensive </w:t>
      </w:r>
      <w:r w:rsidR="00497591">
        <w:rPr>
          <w:noProof/>
          <w:sz w:val="28"/>
          <w:szCs w:val="28"/>
        </w:rPr>
        <w:t>p</w:t>
      </w:r>
      <w:r w:rsidRPr="007072BB">
        <w:rPr>
          <w:noProof/>
          <w:sz w:val="28"/>
          <w:szCs w:val="28"/>
        </w:rPr>
        <w:t xml:space="preserve">olicy </w:t>
      </w:r>
      <w:r w:rsidR="00497591">
        <w:rPr>
          <w:noProof/>
          <w:sz w:val="28"/>
          <w:szCs w:val="28"/>
        </w:rPr>
        <w:t>a</w:t>
      </w:r>
      <w:r w:rsidRPr="007072BB">
        <w:rPr>
          <w:noProof/>
          <w:sz w:val="28"/>
          <w:szCs w:val="28"/>
        </w:rPr>
        <w:t>genda</w:t>
      </w:r>
      <w:bookmarkEnd w:id="13"/>
      <w:bookmarkEnd w:id="14"/>
    </w:p>
    <w:p w14:paraId="56B26B0B" w14:textId="77777777" w:rsidR="00F44682" w:rsidRPr="00EB3C04" w:rsidRDefault="00F44682" w:rsidP="00E16E8F">
      <w:pPr>
        <w:pStyle w:val="Heading2"/>
      </w:pPr>
      <w:bookmarkStart w:id="15" w:name="_Toc122109051"/>
      <w:bookmarkStart w:id="16" w:name="_Toc130224412"/>
      <w:r w:rsidRPr="00BC61D6">
        <w:t xml:space="preserve">3.1. </w:t>
      </w:r>
      <w:r w:rsidR="0063749D" w:rsidRPr="00BC61D6">
        <w:t>Legislative init</w:t>
      </w:r>
      <w:r w:rsidR="0063749D" w:rsidRPr="00193AEC">
        <w:t>i</w:t>
      </w:r>
      <w:r w:rsidR="003E470B" w:rsidRPr="00193AEC">
        <w:t>a</w:t>
      </w:r>
      <w:r w:rsidR="0063749D" w:rsidRPr="00EB3C04">
        <w:t>tives to strengthen the competition policy toolbox</w:t>
      </w:r>
      <w:bookmarkEnd w:id="15"/>
      <w:bookmarkEnd w:id="16"/>
      <w:r w:rsidR="0063749D" w:rsidRPr="00EB3C04">
        <w:t xml:space="preserve"> </w:t>
      </w:r>
    </w:p>
    <w:p w14:paraId="15C17012" w14:textId="77777777" w:rsidR="000E1CC8" w:rsidRPr="00D746DD" w:rsidRDefault="00697E7D" w:rsidP="00D746DD">
      <w:pPr>
        <w:rPr>
          <w:noProof/>
          <w:szCs w:val="23"/>
        </w:rPr>
      </w:pPr>
      <w:r w:rsidRPr="00D746DD">
        <w:rPr>
          <w:noProof/>
          <w:szCs w:val="23"/>
        </w:rPr>
        <w:t>The Digital Markets Act (</w:t>
      </w:r>
      <w:r w:rsidR="003A36B3" w:rsidRPr="007072BB">
        <w:rPr>
          <w:noProof/>
          <w:szCs w:val="23"/>
        </w:rPr>
        <w:t>‘</w:t>
      </w:r>
      <w:r w:rsidRPr="00D746DD">
        <w:rPr>
          <w:noProof/>
          <w:szCs w:val="23"/>
        </w:rPr>
        <w:t>DMA</w:t>
      </w:r>
      <w:r w:rsidR="003A36B3" w:rsidRPr="007072BB">
        <w:rPr>
          <w:noProof/>
          <w:szCs w:val="23"/>
        </w:rPr>
        <w:t>’</w:t>
      </w:r>
      <w:r w:rsidRPr="00D746DD">
        <w:rPr>
          <w:noProof/>
          <w:szCs w:val="23"/>
        </w:rPr>
        <w:t>)</w:t>
      </w:r>
      <w:r w:rsidR="0063749D" w:rsidRPr="00D746DD">
        <w:rPr>
          <w:noProof/>
          <w:szCs w:val="23"/>
        </w:rPr>
        <w:t>,</w:t>
      </w:r>
      <w:r w:rsidRPr="00D746DD">
        <w:rPr>
          <w:rStyle w:val="FootnoteReference"/>
          <w:noProof/>
          <w:szCs w:val="23"/>
        </w:rPr>
        <w:footnoteReference w:id="23"/>
      </w:r>
      <w:r w:rsidRPr="00D746DD">
        <w:rPr>
          <w:noProof/>
          <w:szCs w:val="23"/>
        </w:rPr>
        <w:t xml:space="preserve"> </w:t>
      </w:r>
      <w:r w:rsidR="0094366F">
        <w:rPr>
          <w:noProof/>
          <w:szCs w:val="23"/>
        </w:rPr>
        <w:t xml:space="preserve">which entered into force </w:t>
      </w:r>
      <w:r w:rsidRPr="00D746DD">
        <w:rPr>
          <w:noProof/>
          <w:szCs w:val="23"/>
        </w:rPr>
        <w:t xml:space="preserve">in </w:t>
      </w:r>
      <w:r w:rsidR="0094366F">
        <w:rPr>
          <w:noProof/>
          <w:szCs w:val="23"/>
        </w:rPr>
        <w:t>November</w:t>
      </w:r>
      <w:r w:rsidRPr="00D746DD">
        <w:rPr>
          <w:noProof/>
          <w:szCs w:val="23"/>
        </w:rPr>
        <w:t xml:space="preserve"> 2022</w:t>
      </w:r>
      <w:r w:rsidR="0063749D" w:rsidRPr="00D746DD">
        <w:rPr>
          <w:noProof/>
          <w:szCs w:val="23"/>
        </w:rPr>
        <w:t xml:space="preserve">, is </w:t>
      </w:r>
      <w:r w:rsidR="003C2305">
        <w:rPr>
          <w:noProof/>
          <w:szCs w:val="23"/>
        </w:rPr>
        <w:t>now in the implementation phase</w:t>
      </w:r>
      <w:r w:rsidR="0063749D" w:rsidRPr="00D746DD">
        <w:rPr>
          <w:noProof/>
          <w:szCs w:val="23"/>
        </w:rPr>
        <w:t xml:space="preserve">. </w:t>
      </w:r>
      <w:r w:rsidR="00C960F8">
        <w:rPr>
          <w:noProof/>
          <w:szCs w:val="23"/>
        </w:rPr>
        <w:t xml:space="preserve">The DMA </w:t>
      </w:r>
      <w:r w:rsidR="003C2305">
        <w:rPr>
          <w:noProof/>
          <w:szCs w:val="23"/>
        </w:rPr>
        <w:t xml:space="preserve">is </w:t>
      </w:r>
      <w:r w:rsidR="006529BD">
        <w:rPr>
          <w:noProof/>
          <w:szCs w:val="23"/>
        </w:rPr>
        <w:t>a</w:t>
      </w:r>
      <w:r w:rsidR="00825D65">
        <w:rPr>
          <w:noProof/>
          <w:szCs w:val="23"/>
        </w:rPr>
        <w:t>n</w:t>
      </w:r>
      <w:r w:rsidR="006529BD">
        <w:rPr>
          <w:noProof/>
          <w:szCs w:val="23"/>
        </w:rPr>
        <w:t xml:space="preserve"> </w:t>
      </w:r>
      <w:r w:rsidR="003C2305" w:rsidRPr="006529BD">
        <w:rPr>
          <w:i/>
          <w:noProof/>
          <w:szCs w:val="23"/>
        </w:rPr>
        <w:t>ex-ante</w:t>
      </w:r>
      <w:r w:rsidR="003C2305">
        <w:rPr>
          <w:noProof/>
          <w:szCs w:val="23"/>
        </w:rPr>
        <w:t xml:space="preserve"> regulation that </w:t>
      </w:r>
      <w:r w:rsidR="004E32BE" w:rsidRPr="00D746DD">
        <w:rPr>
          <w:noProof/>
          <w:szCs w:val="23"/>
        </w:rPr>
        <w:t xml:space="preserve">aims </w:t>
      </w:r>
      <w:r w:rsidR="000E1CC8" w:rsidRPr="00D746DD">
        <w:rPr>
          <w:noProof/>
          <w:szCs w:val="23"/>
        </w:rPr>
        <w:t xml:space="preserve">to make the digital sector fairer and </w:t>
      </w:r>
      <w:r w:rsidR="004E32BE" w:rsidRPr="00D746DD">
        <w:rPr>
          <w:noProof/>
          <w:szCs w:val="23"/>
        </w:rPr>
        <w:t xml:space="preserve">more </w:t>
      </w:r>
      <w:r w:rsidR="000E1CC8" w:rsidRPr="00D746DD">
        <w:rPr>
          <w:noProof/>
          <w:szCs w:val="23"/>
        </w:rPr>
        <w:t xml:space="preserve">contestable. </w:t>
      </w:r>
      <w:r w:rsidR="007C10AA" w:rsidRPr="00D746DD">
        <w:rPr>
          <w:noProof/>
          <w:szCs w:val="23"/>
        </w:rPr>
        <w:t xml:space="preserve">Companies </w:t>
      </w:r>
      <w:r w:rsidR="004E32BE" w:rsidRPr="00D746DD">
        <w:rPr>
          <w:noProof/>
          <w:szCs w:val="23"/>
        </w:rPr>
        <w:t xml:space="preserve">designated as </w:t>
      </w:r>
      <w:r w:rsidR="001B490B" w:rsidRPr="00D746DD">
        <w:rPr>
          <w:noProof/>
          <w:szCs w:val="23"/>
        </w:rPr>
        <w:t>‘</w:t>
      </w:r>
      <w:r w:rsidR="004E32BE" w:rsidRPr="00D746DD">
        <w:rPr>
          <w:noProof/>
          <w:szCs w:val="23"/>
        </w:rPr>
        <w:t>gatekeepers</w:t>
      </w:r>
      <w:r w:rsidR="001B490B" w:rsidRPr="00D746DD">
        <w:rPr>
          <w:noProof/>
          <w:szCs w:val="23"/>
        </w:rPr>
        <w:t>’</w:t>
      </w:r>
      <w:r w:rsidR="004E32BE" w:rsidRPr="00D746DD">
        <w:rPr>
          <w:noProof/>
          <w:szCs w:val="23"/>
        </w:rPr>
        <w:t xml:space="preserve"> </w:t>
      </w:r>
      <w:r w:rsidR="000E1CC8" w:rsidRPr="00D746DD">
        <w:rPr>
          <w:noProof/>
          <w:szCs w:val="23"/>
        </w:rPr>
        <w:t xml:space="preserve">will have to comply with a </w:t>
      </w:r>
      <w:r w:rsidR="004E32BE" w:rsidRPr="00D746DD">
        <w:rPr>
          <w:noProof/>
          <w:szCs w:val="23"/>
        </w:rPr>
        <w:t xml:space="preserve">pre-defined set </w:t>
      </w:r>
      <w:r w:rsidR="000E1CC8" w:rsidRPr="00D746DD">
        <w:rPr>
          <w:noProof/>
          <w:szCs w:val="23"/>
        </w:rPr>
        <w:t xml:space="preserve">of obligations and prohibitions. </w:t>
      </w:r>
      <w:r w:rsidR="007732E2" w:rsidRPr="00D746DD">
        <w:rPr>
          <w:noProof/>
          <w:szCs w:val="23"/>
        </w:rPr>
        <w:t>E</w:t>
      </w:r>
      <w:r w:rsidR="002961AB" w:rsidRPr="00D746DD">
        <w:rPr>
          <w:noProof/>
          <w:szCs w:val="23"/>
        </w:rPr>
        <w:t>nforcement of the DMA combin</w:t>
      </w:r>
      <w:r w:rsidR="00D67A7A">
        <w:rPr>
          <w:noProof/>
          <w:szCs w:val="23"/>
        </w:rPr>
        <w:t>ed</w:t>
      </w:r>
      <w:r w:rsidR="002961AB" w:rsidRPr="00D746DD">
        <w:rPr>
          <w:noProof/>
          <w:szCs w:val="23"/>
        </w:rPr>
        <w:t xml:space="preserve"> with the </w:t>
      </w:r>
      <w:r w:rsidR="002961AB" w:rsidRPr="00D746DD">
        <w:rPr>
          <w:i/>
          <w:noProof/>
          <w:szCs w:val="23"/>
        </w:rPr>
        <w:t>ex-post</w:t>
      </w:r>
      <w:r w:rsidR="002961AB" w:rsidRPr="00D746DD">
        <w:rPr>
          <w:noProof/>
          <w:szCs w:val="23"/>
        </w:rPr>
        <w:t xml:space="preserve"> enforcement of the EU </w:t>
      </w:r>
      <w:r w:rsidR="000E1CC8" w:rsidRPr="00D746DD">
        <w:rPr>
          <w:noProof/>
          <w:szCs w:val="23"/>
        </w:rPr>
        <w:t xml:space="preserve">competition </w:t>
      </w:r>
      <w:r w:rsidR="002961AB" w:rsidRPr="00D746DD">
        <w:rPr>
          <w:noProof/>
          <w:szCs w:val="23"/>
        </w:rPr>
        <w:t xml:space="preserve">rules will result in </w:t>
      </w:r>
      <w:r w:rsidR="000E1CC8" w:rsidRPr="00D746DD">
        <w:rPr>
          <w:noProof/>
          <w:szCs w:val="23"/>
        </w:rPr>
        <w:t xml:space="preserve">fairer </w:t>
      </w:r>
      <w:r w:rsidR="00CC1FD0">
        <w:rPr>
          <w:noProof/>
          <w:szCs w:val="23"/>
        </w:rPr>
        <w:t xml:space="preserve">and more competitive </w:t>
      </w:r>
      <w:r w:rsidR="002961AB" w:rsidRPr="00D746DD">
        <w:rPr>
          <w:noProof/>
          <w:szCs w:val="23"/>
        </w:rPr>
        <w:t xml:space="preserve">market </w:t>
      </w:r>
      <w:r w:rsidR="000E1CC8" w:rsidRPr="00D746DD">
        <w:rPr>
          <w:noProof/>
          <w:szCs w:val="23"/>
        </w:rPr>
        <w:t xml:space="preserve">conditions for businesses and </w:t>
      </w:r>
      <w:r w:rsidR="003C2305">
        <w:rPr>
          <w:noProof/>
          <w:szCs w:val="23"/>
        </w:rPr>
        <w:t xml:space="preserve">for </w:t>
      </w:r>
      <w:r w:rsidR="000E1CC8" w:rsidRPr="00D746DD">
        <w:rPr>
          <w:noProof/>
          <w:szCs w:val="23"/>
        </w:rPr>
        <w:t>consumers</w:t>
      </w:r>
      <w:r w:rsidR="002961AB" w:rsidRPr="00D746DD">
        <w:rPr>
          <w:noProof/>
          <w:szCs w:val="23"/>
        </w:rPr>
        <w:t xml:space="preserve"> </w:t>
      </w:r>
      <w:r w:rsidR="003C2305">
        <w:rPr>
          <w:noProof/>
          <w:szCs w:val="23"/>
        </w:rPr>
        <w:t>of</w:t>
      </w:r>
      <w:r w:rsidR="003C2305" w:rsidRPr="00D746DD">
        <w:rPr>
          <w:noProof/>
          <w:szCs w:val="23"/>
        </w:rPr>
        <w:t xml:space="preserve"> </w:t>
      </w:r>
      <w:r w:rsidR="000E1CC8" w:rsidRPr="00D746DD">
        <w:rPr>
          <w:noProof/>
          <w:szCs w:val="23"/>
        </w:rPr>
        <w:t>digital services</w:t>
      </w:r>
      <w:r w:rsidR="002961AB" w:rsidRPr="00D746DD">
        <w:rPr>
          <w:noProof/>
          <w:szCs w:val="23"/>
        </w:rPr>
        <w:t xml:space="preserve"> in the S</w:t>
      </w:r>
      <w:r w:rsidR="000E1CC8" w:rsidRPr="00D746DD">
        <w:rPr>
          <w:noProof/>
          <w:szCs w:val="23"/>
        </w:rPr>
        <w:t xml:space="preserve">ingle </w:t>
      </w:r>
      <w:r w:rsidR="002961AB" w:rsidRPr="00D746DD">
        <w:rPr>
          <w:noProof/>
          <w:szCs w:val="23"/>
        </w:rPr>
        <w:t>M</w:t>
      </w:r>
      <w:r w:rsidR="000E1CC8" w:rsidRPr="00D746DD">
        <w:rPr>
          <w:noProof/>
          <w:szCs w:val="23"/>
        </w:rPr>
        <w:t xml:space="preserve">arket. </w:t>
      </w:r>
      <w:r w:rsidR="00D67A7A">
        <w:rPr>
          <w:noProof/>
          <w:szCs w:val="23"/>
        </w:rPr>
        <w:t xml:space="preserve">As the </w:t>
      </w:r>
      <w:r w:rsidR="003C2305">
        <w:rPr>
          <w:noProof/>
          <w:szCs w:val="23"/>
        </w:rPr>
        <w:t>central</w:t>
      </w:r>
      <w:r w:rsidR="000E1CC8" w:rsidRPr="00D746DD">
        <w:rPr>
          <w:noProof/>
          <w:szCs w:val="23"/>
        </w:rPr>
        <w:t xml:space="preserve"> enforcer of the </w:t>
      </w:r>
      <w:r w:rsidR="008B7478" w:rsidRPr="00D746DD">
        <w:rPr>
          <w:noProof/>
          <w:szCs w:val="23"/>
        </w:rPr>
        <w:t>DMA</w:t>
      </w:r>
      <w:r w:rsidR="00C236ED" w:rsidRPr="00D746DD">
        <w:rPr>
          <w:noProof/>
          <w:szCs w:val="23"/>
        </w:rPr>
        <w:t>,</w:t>
      </w:r>
      <w:r w:rsidR="003C2305">
        <w:rPr>
          <w:noProof/>
          <w:szCs w:val="23"/>
        </w:rPr>
        <w:t xml:space="preserve"> </w:t>
      </w:r>
      <w:r w:rsidR="00D67A7A">
        <w:rPr>
          <w:noProof/>
          <w:szCs w:val="23"/>
        </w:rPr>
        <w:t xml:space="preserve">the Commission </w:t>
      </w:r>
      <w:r w:rsidR="003C2305">
        <w:rPr>
          <w:noProof/>
          <w:szCs w:val="23"/>
        </w:rPr>
        <w:t>will work</w:t>
      </w:r>
      <w:r w:rsidR="00C236ED" w:rsidRPr="00D746DD">
        <w:rPr>
          <w:noProof/>
          <w:szCs w:val="23"/>
        </w:rPr>
        <w:t xml:space="preserve"> in close cooperation with authorities in EU Member States</w:t>
      </w:r>
      <w:r w:rsidR="000E1CC8" w:rsidRPr="00D746DD">
        <w:rPr>
          <w:noProof/>
          <w:szCs w:val="23"/>
        </w:rPr>
        <w:t xml:space="preserve">. The new rules are without prejudice to the </w:t>
      </w:r>
      <w:r w:rsidR="008B7478" w:rsidRPr="00D746DD">
        <w:rPr>
          <w:noProof/>
          <w:szCs w:val="23"/>
        </w:rPr>
        <w:t xml:space="preserve">enforcement </w:t>
      </w:r>
      <w:r w:rsidR="000E1CC8" w:rsidRPr="00D746DD">
        <w:rPr>
          <w:noProof/>
          <w:szCs w:val="23"/>
        </w:rPr>
        <w:t xml:space="preserve">of </w:t>
      </w:r>
      <w:r w:rsidR="008B7478" w:rsidRPr="00D746DD">
        <w:rPr>
          <w:noProof/>
          <w:szCs w:val="23"/>
        </w:rPr>
        <w:t xml:space="preserve">the </w:t>
      </w:r>
      <w:r w:rsidR="000E1CC8" w:rsidRPr="00D746DD">
        <w:rPr>
          <w:noProof/>
          <w:szCs w:val="23"/>
        </w:rPr>
        <w:t>EU competition rules and national competition rules</w:t>
      </w:r>
      <w:r w:rsidR="008B7478" w:rsidRPr="00D746DD">
        <w:rPr>
          <w:noProof/>
          <w:szCs w:val="23"/>
        </w:rPr>
        <w:t xml:space="preserve"> for </w:t>
      </w:r>
      <w:r w:rsidR="000E1CC8" w:rsidRPr="00D746DD">
        <w:rPr>
          <w:noProof/>
          <w:szCs w:val="23"/>
        </w:rPr>
        <w:t xml:space="preserve">unilateral </w:t>
      </w:r>
      <w:r w:rsidR="008B7478" w:rsidRPr="00D746DD">
        <w:rPr>
          <w:noProof/>
          <w:szCs w:val="23"/>
        </w:rPr>
        <w:t>conduct</w:t>
      </w:r>
      <w:r w:rsidR="000E1CC8" w:rsidRPr="00D746DD">
        <w:rPr>
          <w:noProof/>
          <w:szCs w:val="23"/>
        </w:rPr>
        <w:t>.</w:t>
      </w:r>
    </w:p>
    <w:p w14:paraId="38F52BAB" w14:textId="77777777" w:rsidR="000E1CC8" w:rsidRPr="00937722" w:rsidRDefault="000E1CC8" w:rsidP="00506E55">
      <w:pPr>
        <w:keepNext/>
        <w:pBdr>
          <w:top w:val="single" w:sz="4" w:space="1" w:color="auto"/>
          <w:left w:val="single" w:sz="4" w:space="4" w:color="auto"/>
          <w:bottom w:val="single" w:sz="4" w:space="1" w:color="auto"/>
          <w:right w:val="single" w:sz="4" w:space="4" w:color="auto"/>
        </w:pBdr>
        <w:spacing w:after="60" w:line="240" w:lineRule="auto"/>
        <w:rPr>
          <w:b/>
          <w:noProof/>
          <w:color w:val="0070C0"/>
        </w:rPr>
      </w:pPr>
      <w:r w:rsidRPr="0042301E">
        <w:rPr>
          <w:b/>
          <w:noProof/>
          <w:color w:val="0070C0"/>
          <w:sz w:val="22"/>
        </w:rPr>
        <w:t>The Digital Markets Act</w:t>
      </w:r>
      <w:r w:rsidR="006933CF" w:rsidRPr="0042301E">
        <w:rPr>
          <w:rStyle w:val="FootnoteReference"/>
          <w:noProof/>
          <w:color w:val="0070C0"/>
          <w:sz w:val="22"/>
        </w:rPr>
        <w:footnoteReference w:id="24"/>
      </w:r>
    </w:p>
    <w:p w14:paraId="309923C0" w14:textId="77777777" w:rsidR="000E1CC8" w:rsidRPr="0062301C" w:rsidRDefault="000E1CC8" w:rsidP="0086791B">
      <w:pPr>
        <w:pBdr>
          <w:top w:val="single" w:sz="4" w:space="1" w:color="auto"/>
          <w:left w:val="single" w:sz="4" w:space="4" w:color="auto"/>
          <w:bottom w:val="single" w:sz="4" w:space="1" w:color="auto"/>
          <w:right w:val="single" w:sz="4" w:space="4" w:color="auto"/>
        </w:pBdr>
        <w:spacing w:after="60" w:line="240" w:lineRule="auto"/>
        <w:rPr>
          <w:noProof/>
          <w:color w:val="0070C0"/>
          <w:sz w:val="22"/>
        </w:rPr>
      </w:pPr>
      <w:r w:rsidRPr="0062301C">
        <w:rPr>
          <w:noProof/>
          <w:color w:val="0070C0"/>
          <w:sz w:val="22"/>
        </w:rPr>
        <w:t xml:space="preserve">The DMA addresses </w:t>
      </w:r>
      <w:r w:rsidR="00CC1FD0">
        <w:rPr>
          <w:noProof/>
          <w:color w:val="0070C0"/>
          <w:sz w:val="22"/>
        </w:rPr>
        <w:t xml:space="preserve">systemic practices </w:t>
      </w:r>
      <w:r w:rsidR="006529BD">
        <w:rPr>
          <w:noProof/>
          <w:color w:val="0070C0"/>
          <w:sz w:val="22"/>
        </w:rPr>
        <w:t xml:space="preserve">that may </w:t>
      </w:r>
      <w:r w:rsidRPr="0062301C">
        <w:rPr>
          <w:noProof/>
          <w:color w:val="0070C0"/>
          <w:sz w:val="22"/>
        </w:rPr>
        <w:t>aris</w:t>
      </w:r>
      <w:r w:rsidR="006529BD">
        <w:rPr>
          <w:noProof/>
          <w:color w:val="0070C0"/>
          <w:sz w:val="22"/>
        </w:rPr>
        <w:t>e</w:t>
      </w:r>
      <w:r w:rsidRPr="0062301C">
        <w:rPr>
          <w:noProof/>
          <w:color w:val="0070C0"/>
          <w:sz w:val="22"/>
        </w:rPr>
        <w:t xml:space="preserve"> in digital markets</w:t>
      </w:r>
      <w:r w:rsidR="006529BD">
        <w:rPr>
          <w:noProof/>
          <w:color w:val="0070C0"/>
          <w:sz w:val="22"/>
        </w:rPr>
        <w:t>.</w:t>
      </w:r>
      <w:r w:rsidR="00EB5FD6" w:rsidRPr="0062301C">
        <w:rPr>
          <w:noProof/>
          <w:color w:val="0070C0"/>
          <w:sz w:val="22"/>
        </w:rPr>
        <w:t xml:space="preserve"> A </w:t>
      </w:r>
      <w:r w:rsidR="006529BD">
        <w:rPr>
          <w:noProof/>
          <w:color w:val="0070C0"/>
          <w:sz w:val="22"/>
        </w:rPr>
        <w:t xml:space="preserve">firm with a gatekeeper </w:t>
      </w:r>
      <w:r w:rsidR="00EB5FD6" w:rsidRPr="0062301C">
        <w:rPr>
          <w:noProof/>
          <w:color w:val="0070C0"/>
          <w:sz w:val="22"/>
        </w:rPr>
        <w:t xml:space="preserve">position in </w:t>
      </w:r>
      <w:r w:rsidR="006529BD">
        <w:rPr>
          <w:noProof/>
          <w:color w:val="0070C0"/>
          <w:sz w:val="22"/>
        </w:rPr>
        <w:t xml:space="preserve">a </w:t>
      </w:r>
      <w:r w:rsidR="00EB5FD6" w:rsidRPr="0062301C">
        <w:rPr>
          <w:noProof/>
          <w:color w:val="0070C0"/>
          <w:sz w:val="22"/>
        </w:rPr>
        <w:t xml:space="preserve">digital market may </w:t>
      </w:r>
      <w:r w:rsidR="006529BD">
        <w:rPr>
          <w:noProof/>
          <w:color w:val="0070C0"/>
          <w:sz w:val="22"/>
        </w:rPr>
        <w:t xml:space="preserve">be able </w:t>
      </w:r>
      <w:r w:rsidRPr="0062301C">
        <w:rPr>
          <w:noProof/>
          <w:color w:val="0070C0"/>
          <w:sz w:val="22"/>
          <w:lang w:val="en-IE"/>
        </w:rPr>
        <w:t>to act as</w:t>
      </w:r>
      <w:r w:rsidR="006529BD">
        <w:rPr>
          <w:noProof/>
          <w:color w:val="0070C0"/>
          <w:sz w:val="22"/>
          <w:lang w:val="en-IE"/>
        </w:rPr>
        <w:t xml:space="preserve"> a</w:t>
      </w:r>
      <w:r w:rsidRPr="0062301C">
        <w:rPr>
          <w:noProof/>
          <w:color w:val="0070C0"/>
          <w:sz w:val="22"/>
          <w:lang w:val="en-IE"/>
        </w:rPr>
        <w:t xml:space="preserve"> </w:t>
      </w:r>
      <w:r w:rsidR="00EB5FD6" w:rsidRPr="0062301C">
        <w:rPr>
          <w:i/>
          <w:noProof/>
          <w:color w:val="0070C0"/>
          <w:sz w:val="22"/>
          <w:lang w:val="en-IE"/>
        </w:rPr>
        <w:t>de-facto</w:t>
      </w:r>
      <w:r w:rsidR="00EB5FD6" w:rsidRPr="0062301C">
        <w:rPr>
          <w:noProof/>
          <w:color w:val="0070C0"/>
          <w:sz w:val="22"/>
          <w:lang w:val="en-IE"/>
        </w:rPr>
        <w:t xml:space="preserve"> </w:t>
      </w:r>
      <w:r w:rsidRPr="0062301C">
        <w:rPr>
          <w:noProof/>
          <w:color w:val="0070C0"/>
          <w:sz w:val="22"/>
          <w:lang w:val="en-IE"/>
        </w:rPr>
        <w:t>private rule-maker</w:t>
      </w:r>
      <w:r w:rsidR="00A166D2">
        <w:rPr>
          <w:noProof/>
          <w:color w:val="0070C0"/>
          <w:sz w:val="22"/>
          <w:lang w:val="en-IE"/>
        </w:rPr>
        <w:t>, creating</w:t>
      </w:r>
      <w:r w:rsidRPr="0062301C">
        <w:rPr>
          <w:noProof/>
          <w:color w:val="0070C0"/>
          <w:sz w:val="22"/>
          <w:lang w:val="en-IE"/>
        </w:rPr>
        <w:t xml:space="preserve"> bottlenecks between businesses and </w:t>
      </w:r>
      <w:r w:rsidR="00EB5FD6" w:rsidRPr="0062301C">
        <w:rPr>
          <w:noProof/>
          <w:color w:val="0070C0"/>
          <w:sz w:val="22"/>
          <w:lang w:val="en-IE"/>
        </w:rPr>
        <w:t xml:space="preserve">between businesses and </w:t>
      </w:r>
      <w:r w:rsidRPr="0062301C">
        <w:rPr>
          <w:noProof/>
          <w:color w:val="0070C0"/>
          <w:sz w:val="22"/>
          <w:lang w:val="en-IE"/>
        </w:rPr>
        <w:t>end</w:t>
      </w:r>
      <w:r w:rsidR="006529BD">
        <w:rPr>
          <w:noProof/>
          <w:color w:val="0070C0"/>
          <w:sz w:val="22"/>
          <w:lang w:val="en-IE"/>
        </w:rPr>
        <w:t>-</w:t>
      </w:r>
      <w:r w:rsidRPr="0062301C">
        <w:rPr>
          <w:noProof/>
          <w:color w:val="0070C0"/>
          <w:sz w:val="22"/>
          <w:lang w:val="en-IE"/>
        </w:rPr>
        <w:t xml:space="preserve">users. </w:t>
      </w:r>
      <w:r w:rsidRPr="0062301C">
        <w:rPr>
          <w:noProof/>
          <w:color w:val="0070C0"/>
          <w:sz w:val="22"/>
        </w:rPr>
        <w:t xml:space="preserve">The DMA </w:t>
      </w:r>
      <w:r w:rsidR="00EB5FD6" w:rsidRPr="0062301C">
        <w:rPr>
          <w:noProof/>
          <w:color w:val="0070C0"/>
          <w:sz w:val="22"/>
        </w:rPr>
        <w:t xml:space="preserve">defines a set of </w:t>
      </w:r>
      <w:r w:rsidRPr="0062301C">
        <w:rPr>
          <w:noProof/>
          <w:color w:val="0070C0"/>
          <w:sz w:val="22"/>
        </w:rPr>
        <w:t xml:space="preserve">criteria </w:t>
      </w:r>
      <w:r w:rsidR="00EB5FD6" w:rsidRPr="0062301C">
        <w:rPr>
          <w:noProof/>
          <w:color w:val="0070C0"/>
          <w:sz w:val="22"/>
        </w:rPr>
        <w:t xml:space="preserve">for </w:t>
      </w:r>
      <w:r w:rsidRPr="0062301C">
        <w:rPr>
          <w:noProof/>
          <w:color w:val="0070C0"/>
          <w:sz w:val="22"/>
        </w:rPr>
        <w:t>identify</w:t>
      </w:r>
      <w:r w:rsidR="00EB5FD6" w:rsidRPr="0062301C">
        <w:rPr>
          <w:noProof/>
          <w:color w:val="0070C0"/>
          <w:sz w:val="22"/>
        </w:rPr>
        <w:t xml:space="preserve">ing </w:t>
      </w:r>
      <w:r w:rsidRPr="0062301C">
        <w:rPr>
          <w:noProof/>
          <w:color w:val="0070C0"/>
          <w:sz w:val="22"/>
        </w:rPr>
        <w:t xml:space="preserve">gatekeepers falling under the </w:t>
      </w:r>
      <w:r w:rsidR="006529BD">
        <w:rPr>
          <w:noProof/>
          <w:color w:val="0070C0"/>
          <w:sz w:val="22"/>
        </w:rPr>
        <w:t>R</w:t>
      </w:r>
      <w:r w:rsidRPr="0062301C">
        <w:rPr>
          <w:noProof/>
          <w:color w:val="0070C0"/>
          <w:sz w:val="22"/>
        </w:rPr>
        <w:t>egulation. Whe</w:t>
      </w:r>
      <w:r w:rsidR="00EB5FD6" w:rsidRPr="0062301C">
        <w:rPr>
          <w:noProof/>
          <w:color w:val="0070C0"/>
          <w:sz w:val="22"/>
        </w:rPr>
        <w:t>n</w:t>
      </w:r>
      <w:r w:rsidRPr="0062301C">
        <w:rPr>
          <w:noProof/>
          <w:color w:val="0070C0"/>
          <w:sz w:val="22"/>
        </w:rPr>
        <w:t xml:space="preserve"> a</w:t>
      </w:r>
      <w:r w:rsidR="00EB5FD6" w:rsidRPr="0062301C">
        <w:rPr>
          <w:noProof/>
          <w:color w:val="0070C0"/>
          <w:sz w:val="22"/>
        </w:rPr>
        <w:t xml:space="preserve">n online digital </w:t>
      </w:r>
      <w:r w:rsidRPr="0062301C">
        <w:rPr>
          <w:noProof/>
          <w:color w:val="0070C0"/>
          <w:sz w:val="22"/>
        </w:rPr>
        <w:t>platform meets the quantitative thresholds</w:t>
      </w:r>
      <w:r w:rsidR="00EB52E6">
        <w:rPr>
          <w:noProof/>
          <w:color w:val="0070C0"/>
          <w:sz w:val="22"/>
        </w:rPr>
        <w:t xml:space="preserve"> </w:t>
      </w:r>
      <w:r w:rsidR="00EB52E6" w:rsidRPr="0062301C">
        <w:rPr>
          <w:noProof/>
          <w:color w:val="0070C0"/>
          <w:sz w:val="22"/>
        </w:rPr>
        <w:t>it will be presumed to be a gatekeeper</w:t>
      </w:r>
      <w:r w:rsidR="00EB52E6">
        <w:rPr>
          <w:noProof/>
          <w:color w:val="0070C0"/>
          <w:sz w:val="22"/>
        </w:rPr>
        <w:t xml:space="preserve">. </w:t>
      </w:r>
      <w:r w:rsidR="00B10968">
        <w:rPr>
          <w:noProof/>
          <w:color w:val="0070C0"/>
          <w:sz w:val="22"/>
        </w:rPr>
        <w:t xml:space="preserve">The quantitative criteria </w:t>
      </w:r>
      <w:r w:rsidR="00EB52E6">
        <w:rPr>
          <w:noProof/>
          <w:color w:val="0070C0"/>
          <w:sz w:val="22"/>
        </w:rPr>
        <w:t xml:space="preserve">include for example </w:t>
      </w:r>
      <w:r w:rsidR="00EB5FD6" w:rsidRPr="0062301C">
        <w:rPr>
          <w:noProof/>
          <w:color w:val="0070C0"/>
          <w:sz w:val="22"/>
        </w:rPr>
        <w:t xml:space="preserve">the number of </w:t>
      </w:r>
      <w:r w:rsidR="00B10968">
        <w:rPr>
          <w:noProof/>
          <w:color w:val="0070C0"/>
          <w:sz w:val="22"/>
        </w:rPr>
        <w:t xml:space="preserve">yearly </w:t>
      </w:r>
      <w:r w:rsidRPr="0062301C">
        <w:rPr>
          <w:noProof/>
          <w:color w:val="0070C0"/>
          <w:sz w:val="22"/>
        </w:rPr>
        <w:t>active business users</w:t>
      </w:r>
      <w:r w:rsidR="00EB52E6">
        <w:rPr>
          <w:noProof/>
          <w:color w:val="0070C0"/>
          <w:sz w:val="22"/>
        </w:rPr>
        <w:t xml:space="preserve"> and the number of </w:t>
      </w:r>
      <w:r w:rsidR="00B10968">
        <w:rPr>
          <w:noProof/>
          <w:color w:val="0070C0"/>
          <w:sz w:val="22"/>
        </w:rPr>
        <w:t xml:space="preserve">monthly </w:t>
      </w:r>
      <w:r w:rsidR="00EB52E6">
        <w:rPr>
          <w:noProof/>
          <w:color w:val="0070C0"/>
          <w:sz w:val="22"/>
        </w:rPr>
        <w:t xml:space="preserve">active </w:t>
      </w:r>
      <w:r w:rsidRPr="0062301C">
        <w:rPr>
          <w:noProof/>
          <w:color w:val="0070C0"/>
          <w:sz w:val="22"/>
        </w:rPr>
        <w:t>end users</w:t>
      </w:r>
      <w:r w:rsidR="00EB52E6">
        <w:rPr>
          <w:noProof/>
          <w:color w:val="0070C0"/>
          <w:sz w:val="22"/>
        </w:rPr>
        <w:t xml:space="preserve">. Firms exceeding </w:t>
      </w:r>
      <w:r w:rsidR="00B10968">
        <w:rPr>
          <w:noProof/>
          <w:color w:val="0070C0"/>
          <w:sz w:val="22"/>
        </w:rPr>
        <w:t xml:space="preserve">the </w:t>
      </w:r>
      <w:r w:rsidR="00EB52E6">
        <w:rPr>
          <w:noProof/>
          <w:color w:val="0070C0"/>
          <w:sz w:val="22"/>
        </w:rPr>
        <w:t xml:space="preserve">thresholds </w:t>
      </w:r>
      <w:r w:rsidR="00B10968">
        <w:rPr>
          <w:noProof/>
          <w:color w:val="0070C0"/>
          <w:sz w:val="22"/>
        </w:rPr>
        <w:t>set by the Regulation</w:t>
      </w:r>
      <w:r w:rsidR="00EB52E6">
        <w:rPr>
          <w:noProof/>
          <w:color w:val="0070C0"/>
          <w:sz w:val="22"/>
        </w:rPr>
        <w:t xml:space="preserve"> are considered as </w:t>
      </w:r>
      <w:r w:rsidR="00D67A7A">
        <w:rPr>
          <w:noProof/>
          <w:color w:val="0070C0"/>
          <w:sz w:val="22"/>
        </w:rPr>
        <w:t xml:space="preserve">gatekeepers with </w:t>
      </w:r>
      <w:r w:rsidR="00EB5FD6" w:rsidRPr="0062301C">
        <w:rPr>
          <w:noProof/>
          <w:color w:val="0070C0"/>
          <w:sz w:val="22"/>
        </w:rPr>
        <w:t xml:space="preserve">an </w:t>
      </w:r>
      <w:r w:rsidRPr="0062301C">
        <w:rPr>
          <w:noProof/>
          <w:color w:val="0070C0"/>
          <w:sz w:val="22"/>
        </w:rPr>
        <w:t xml:space="preserve">entrenched </w:t>
      </w:r>
      <w:r w:rsidR="00EB5FD6" w:rsidRPr="0062301C">
        <w:rPr>
          <w:noProof/>
          <w:color w:val="0070C0"/>
          <w:sz w:val="22"/>
        </w:rPr>
        <w:t xml:space="preserve">market </w:t>
      </w:r>
      <w:r w:rsidRPr="0062301C">
        <w:rPr>
          <w:noProof/>
          <w:color w:val="0070C0"/>
          <w:sz w:val="22"/>
        </w:rPr>
        <w:t>position</w:t>
      </w:r>
      <w:r w:rsidR="00D67A7A">
        <w:rPr>
          <w:noProof/>
          <w:color w:val="0070C0"/>
          <w:sz w:val="22"/>
        </w:rPr>
        <w:t xml:space="preserve">. This </w:t>
      </w:r>
      <w:r w:rsidR="00C960F8">
        <w:rPr>
          <w:noProof/>
          <w:color w:val="0070C0"/>
          <w:sz w:val="22"/>
        </w:rPr>
        <w:t xml:space="preserve">typically </w:t>
      </w:r>
      <w:r w:rsidR="00EB5FD6" w:rsidRPr="0062301C">
        <w:rPr>
          <w:noProof/>
          <w:color w:val="0070C0"/>
          <w:sz w:val="22"/>
        </w:rPr>
        <w:t>allow</w:t>
      </w:r>
      <w:r w:rsidR="00EB52E6">
        <w:rPr>
          <w:noProof/>
          <w:color w:val="0070C0"/>
          <w:sz w:val="22"/>
        </w:rPr>
        <w:t xml:space="preserve">s </w:t>
      </w:r>
      <w:r w:rsidR="00EB5FD6" w:rsidRPr="0062301C">
        <w:rPr>
          <w:noProof/>
          <w:color w:val="0070C0"/>
          <w:sz w:val="22"/>
        </w:rPr>
        <w:t>the</w:t>
      </w:r>
      <w:r w:rsidR="00D67A7A">
        <w:rPr>
          <w:noProof/>
          <w:color w:val="0070C0"/>
          <w:sz w:val="22"/>
        </w:rPr>
        <w:t>m</w:t>
      </w:r>
      <w:r w:rsidR="00EB5FD6" w:rsidRPr="0062301C">
        <w:rPr>
          <w:noProof/>
          <w:color w:val="0070C0"/>
          <w:sz w:val="22"/>
        </w:rPr>
        <w:t xml:space="preserve"> to influence market dynamics</w:t>
      </w:r>
      <w:r w:rsidR="00EB52E6">
        <w:rPr>
          <w:noProof/>
          <w:color w:val="0070C0"/>
          <w:sz w:val="22"/>
        </w:rPr>
        <w:t xml:space="preserve"> negatively</w:t>
      </w:r>
      <w:r w:rsidRPr="0062301C">
        <w:rPr>
          <w:noProof/>
          <w:color w:val="0070C0"/>
          <w:sz w:val="22"/>
        </w:rPr>
        <w:t xml:space="preserve">. </w:t>
      </w:r>
      <w:r w:rsidR="00C960F8">
        <w:rPr>
          <w:noProof/>
          <w:color w:val="0070C0"/>
          <w:sz w:val="22"/>
        </w:rPr>
        <w:t>T</w:t>
      </w:r>
      <w:r w:rsidRPr="0062301C">
        <w:rPr>
          <w:noProof/>
          <w:color w:val="0070C0"/>
          <w:sz w:val="22"/>
        </w:rPr>
        <w:t xml:space="preserve">he Commission will be able to designate gatekeepers individually </w:t>
      </w:r>
      <w:r w:rsidR="004131CD" w:rsidRPr="0062301C">
        <w:rPr>
          <w:noProof/>
          <w:color w:val="0070C0"/>
          <w:sz w:val="22"/>
        </w:rPr>
        <w:t xml:space="preserve">by making </w:t>
      </w:r>
      <w:r w:rsidRPr="0062301C">
        <w:rPr>
          <w:noProof/>
          <w:color w:val="0070C0"/>
          <w:sz w:val="22"/>
        </w:rPr>
        <w:t>qualitative assessment</w:t>
      </w:r>
      <w:r w:rsidR="00EB52E6">
        <w:rPr>
          <w:noProof/>
          <w:color w:val="0070C0"/>
          <w:sz w:val="22"/>
        </w:rPr>
        <w:t>s</w:t>
      </w:r>
      <w:r w:rsidRPr="0062301C">
        <w:rPr>
          <w:noProof/>
          <w:color w:val="0070C0"/>
          <w:sz w:val="22"/>
        </w:rPr>
        <w:t xml:space="preserve">. </w:t>
      </w:r>
      <w:r w:rsidR="00EB52E6">
        <w:rPr>
          <w:noProof/>
          <w:color w:val="0070C0"/>
          <w:sz w:val="22"/>
        </w:rPr>
        <w:t xml:space="preserve">Designated </w:t>
      </w:r>
      <w:r w:rsidR="0094366F">
        <w:rPr>
          <w:noProof/>
          <w:color w:val="0070C0"/>
          <w:sz w:val="22"/>
        </w:rPr>
        <w:t>g</w:t>
      </w:r>
      <w:r w:rsidRPr="0062301C">
        <w:rPr>
          <w:noProof/>
          <w:color w:val="0070C0"/>
          <w:sz w:val="22"/>
        </w:rPr>
        <w:t xml:space="preserve">atekeepers will </w:t>
      </w:r>
      <w:r w:rsidR="00EB52E6">
        <w:rPr>
          <w:noProof/>
          <w:color w:val="0070C0"/>
          <w:sz w:val="22"/>
        </w:rPr>
        <w:t xml:space="preserve">have </w:t>
      </w:r>
      <w:r w:rsidRPr="0062301C">
        <w:rPr>
          <w:noProof/>
          <w:color w:val="0070C0"/>
          <w:sz w:val="22"/>
        </w:rPr>
        <w:t>to comply with a set of harmoni</w:t>
      </w:r>
      <w:r w:rsidR="004131CD" w:rsidRPr="0062301C">
        <w:rPr>
          <w:noProof/>
          <w:color w:val="0070C0"/>
          <w:sz w:val="22"/>
        </w:rPr>
        <w:t>s</w:t>
      </w:r>
      <w:r w:rsidRPr="0062301C">
        <w:rPr>
          <w:noProof/>
          <w:color w:val="0070C0"/>
          <w:sz w:val="22"/>
        </w:rPr>
        <w:t xml:space="preserve">ed rules </w:t>
      </w:r>
      <w:r w:rsidR="00D31898">
        <w:rPr>
          <w:noProof/>
          <w:color w:val="0070C0"/>
          <w:sz w:val="22"/>
        </w:rPr>
        <w:t xml:space="preserve">designed to </w:t>
      </w:r>
      <w:r w:rsidRPr="0062301C">
        <w:rPr>
          <w:noProof/>
          <w:color w:val="0070C0"/>
          <w:sz w:val="22"/>
        </w:rPr>
        <w:t xml:space="preserve">keep core platform services </w:t>
      </w:r>
      <w:r w:rsidR="00D31898">
        <w:rPr>
          <w:noProof/>
          <w:color w:val="0070C0"/>
          <w:sz w:val="22"/>
        </w:rPr>
        <w:t xml:space="preserve">markets </w:t>
      </w:r>
      <w:r w:rsidRPr="0062301C">
        <w:rPr>
          <w:noProof/>
          <w:color w:val="0070C0"/>
          <w:sz w:val="22"/>
        </w:rPr>
        <w:t xml:space="preserve">contestable and restrict unfair </w:t>
      </w:r>
      <w:r w:rsidR="00D31898">
        <w:rPr>
          <w:noProof/>
          <w:color w:val="0070C0"/>
          <w:sz w:val="22"/>
        </w:rPr>
        <w:t>c</w:t>
      </w:r>
      <w:r w:rsidRPr="0062301C">
        <w:rPr>
          <w:noProof/>
          <w:color w:val="0070C0"/>
          <w:sz w:val="22"/>
        </w:rPr>
        <w:t>onduct</w:t>
      </w:r>
      <w:r w:rsidR="00D31898">
        <w:rPr>
          <w:noProof/>
          <w:color w:val="0070C0"/>
          <w:sz w:val="22"/>
        </w:rPr>
        <w:t>.</w:t>
      </w:r>
      <w:r w:rsidRPr="0062301C">
        <w:rPr>
          <w:noProof/>
          <w:color w:val="0070C0"/>
          <w:sz w:val="22"/>
        </w:rPr>
        <w:t xml:space="preserve"> </w:t>
      </w:r>
      <w:r w:rsidR="00D31898">
        <w:rPr>
          <w:noProof/>
          <w:color w:val="0070C0"/>
          <w:sz w:val="22"/>
        </w:rPr>
        <w:t>To</w:t>
      </w:r>
      <w:r w:rsidR="00B10968">
        <w:rPr>
          <w:noProof/>
          <w:color w:val="0070C0"/>
          <w:sz w:val="22"/>
        </w:rPr>
        <w:t xml:space="preserve"> address potential non-compliance with the obligations</w:t>
      </w:r>
      <w:r w:rsidR="00D31898">
        <w:rPr>
          <w:noProof/>
          <w:color w:val="0070C0"/>
          <w:sz w:val="22"/>
        </w:rPr>
        <w:t>, f</w:t>
      </w:r>
      <w:r w:rsidRPr="0062301C">
        <w:rPr>
          <w:noProof/>
          <w:color w:val="0070C0"/>
          <w:sz w:val="22"/>
        </w:rPr>
        <w:t xml:space="preserve">ines of up to 10% of the </w:t>
      </w:r>
      <w:r w:rsidR="0094366F">
        <w:rPr>
          <w:noProof/>
          <w:color w:val="0070C0"/>
          <w:sz w:val="22"/>
        </w:rPr>
        <w:t xml:space="preserve">undertaking’s </w:t>
      </w:r>
      <w:r w:rsidRPr="0062301C">
        <w:rPr>
          <w:noProof/>
          <w:color w:val="0070C0"/>
          <w:sz w:val="22"/>
        </w:rPr>
        <w:t>worldwide turnover</w:t>
      </w:r>
      <w:r w:rsidR="00D31898">
        <w:rPr>
          <w:noProof/>
          <w:color w:val="0070C0"/>
          <w:sz w:val="22"/>
        </w:rPr>
        <w:t xml:space="preserve"> may be imposed. Moreover, </w:t>
      </w:r>
      <w:r w:rsidR="00B10968">
        <w:rPr>
          <w:noProof/>
          <w:color w:val="0070C0"/>
          <w:sz w:val="22"/>
        </w:rPr>
        <w:t>in case of systematic non-compliance</w:t>
      </w:r>
      <w:r w:rsidR="00D31898">
        <w:rPr>
          <w:noProof/>
          <w:color w:val="0070C0"/>
          <w:sz w:val="22"/>
        </w:rPr>
        <w:t xml:space="preserve">, </w:t>
      </w:r>
      <w:r w:rsidRPr="0062301C">
        <w:rPr>
          <w:noProof/>
          <w:color w:val="0070C0"/>
          <w:sz w:val="22"/>
        </w:rPr>
        <w:t xml:space="preserve">proportionate behavioural or structural remedies may be imposed </w:t>
      </w:r>
      <w:r w:rsidR="00D31898">
        <w:rPr>
          <w:noProof/>
          <w:color w:val="0070C0"/>
          <w:sz w:val="22"/>
        </w:rPr>
        <w:t>on such firms.</w:t>
      </w:r>
    </w:p>
    <w:p w14:paraId="7DFD546A" w14:textId="77777777" w:rsidR="00FB7869" w:rsidRDefault="006835CD" w:rsidP="001C125E">
      <w:pPr>
        <w:spacing w:before="120" w:after="0"/>
        <w:rPr>
          <w:noProof/>
          <w:lang w:val="en-IE"/>
        </w:rPr>
      </w:pPr>
      <w:r>
        <w:rPr>
          <w:noProof/>
          <w:lang w:val="en-IE"/>
        </w:rPr>
        <w:t xml:space="preserve">In November 2022, </w:t>
      </w:r>
      <w:r w:rsidR="00BB5639">
        <w:rPr>
          <w:noProof/>
        </w:rPr>
        <w:t xml:space="preserve">the European Parliament and </w:t>
      </w:r>
      <w:r>
        <w:rPr>
          <w:noProof/>
        </w:rPr>
        <w:t xml:space="preserve">the </w:t>
      </w:r>
      <w:r w:rsidR="009D1497">
        <w:rPr>
          <w:noProof/>
          <w:lang w:val="en-IE"/>
        </w:rPr>
        <w:t>Council</w:t>
      </w:r>
      <w:r w:rsidR="009D1497" w:rsidDel="004240EA">
        <w:rPr>
          <w:noProof/>
          <w:lang w:val="en-IE"/>
        </w:rPr>
        <w:t xml:space="preserve"> </w:t>
      </w:r>
      <w:r w:rsidR="00BB5639">
        <w:rPr>
          <w:noProof/>
          <w:lang w:val="en-IE"/>
        </w:rPr>
        <w:t xml:space="preserve">adopted </w:t>
      </w:r>
      <w:r w:rsidR="009D1497">
        <w:rPr>
          <w:noProof/>
          <w:lang w:val="en-IE"/>
        </w:rPr>
        <w:t xml:space="preserve">the Regulation </w:t>
      </w:r>
      <w:r w:rsidR="009D1497" w:rsidRPr="00407D82">
        <w:rPr>
          <w:noProof/>
        </w:rPr>
        <w:t>on foreign subsidies distorting the internal market</w:t>
      </w:r>
      <w:r>
        <w:rPr>
          <w:rStyle w:val="FootnoteReference"/>
          <w:noProof/>
        </w:rPr>
        <w:footnoteReference w:id="25"/>
      </w:r>
      <w:r>
        <w:rPr>
          <w:noProof/>
        </w:rPr>
        <w:t xml:space="preserve"> (FSR)</w:t>
      </w:r>
      <w:r w:rsidR="009D1497">
        <w:rPr>
          <w:noProof/>
        </w:rPr>
        <w:t>.</w:t>
      </w:r>
      <w:r w:rsidR="00E00AF7">
        <w:rPr>
          <w:noProof/>
        </w:rPr>
        <w:t xml:space="preserve"> </w:t>
      </w:r>
      <w:r>
        <w:rPr>
          <w:noProof/>
          <w:lang w:val="en-IE"/>
        </w:rPr>
        <w:t>The Regulation</w:t>
      </w:r>
      <w:r w:rsidR="009D1497">
        <w:rPr>
          <w:noProof/>
          <w:lang w:val="en-IE"/>
        </w:rPr>
        <w:t xml:space="preserve"> </w:t>
      </w:r>
      <w:r w:rsidR="00D41616">
        <w:rPr>
          <w:noProof/>
          <w:lang w:val="en-IE"/>
        </w:rPr>
        <w:t>closes</w:t>
      </w:r>
      <w:r w:rsidR="009D1497">
        <w:rPr>
          <w:noProof/>
          <w:lang w:val="en-IE"/>
        </w:rPr>
        <w:t xml:space="preserve"> a regulatory gap, tackling foreign subsidies that distort competition in the Single Market</w:t>
      </w:r>
      <w:r w:rsidR="008219B4">
        <w:rPr>
          <w:noProof/>
          <w:lang w:val="en-IE"/>
        </w:rPr>
        <w:t xml:space="preserve">. </w:t>
      </w:r>
      <w:r w:rsidR="00890E29">
        <w:rPr>
          <w:noProof/>
          <w:lang w:val="en-IE"/>
        </w:rPr>
        <w:t>T</w:t>
      </w:r>
      <w:r w:rsidR="009D1497">
        <w:rPr>
          <w:noProof/>
          <w:lang w:val="en-IE"/>
        </w:rPr>
        <w:t xml:space="preserve">he Commission will </w:t>
      </w:r>
      <w:r w:rsidR="0063749D">
        <w:rPr>
          <w:noProof/>
          <w:lang w:val="en-IE"/>
        </w:rPr>
        <w:t xml:space="preserve">soon </w:t>
      </w:r>
      <w:r w:rsidR="009D1497">
        <w:rPr>
          <w:noProof/>
          <w:lang w:val="en-IE"/>
        </w:rPr>
        <w:t>be able to investigate and redress</w:t>
      </w:r>
      <w:r w:rsidR="00206A1C">
        <w:rPr>
          <w:noProof/>
          <w:lang w:val="en-IE"/>
        </w:rPr>
        <w:t>,</w:t>
      </w:r>
      <w:r w:rsidR="009D1497">
        <w:rPr>
          <w:noProof/>
          <w:lang w:val="en-IE"/>
        </w:rPr>
        <w:t xml:space="preserve"> when appropriate</w:t>
      </w:r>
      <w:r w:rsidR="00206A1C">
        <w:rPr>
          <w:noProof/>
          <w:lang w:val="en-IE"/>
        </w:rPr>
        <w:t>,</w:t>
      </w:r>
      <w:r w:rsidR="009D1497">
        <w:rPr>
          <w:noProof/>
          <w:lang w:val="en-IE"/>
        </w:rPr>
        <w:t xml:space="preserve"> the distortive effects caused by such foreign State support</w:t>
      </w:r>
      <w:r w:rsidR="0031064B">
        <w:rPr>
          <w:noProof/>
          <w:lang w:val="en-IE"/>
        </w:rPr>
        <w:t>.</w:t>
      </w:r>
      <w:r w:rsidR="009D1497">
        <w:rPr>
          <w:noProof/>
          <w:lang w:val="en-IE"/>
        </w:rPr>
        <w:t xml:space="preserve"> </w:t>
      </w:r>
      <w:r w:rsidR="00FB7869" w:rsidRPr="00FB7869">
        <w:rPr>
          <w:noProof/>
          <w:lang w:val="en-IE"/>
        </w:rPr>
        <w:t xml:space="preserve">The Regulation includes three tools: (i.) proposed concentrations where </w:t>
      </w:r>
      <w:r w:rsidR="00C73AE6">
        <w:rPr>
          <w:noProof/>
          <w:lang w:val="en-IE"/>
        </w:rPr>
        <w:t xml:space="preserve">at least one of the merging undertakings, the joint venture or </w:t>
      </w:r>
      <w:r w:rsidR="0031064B">
        <w:rPr>
          <w:noProof/>
          <w:lang w:val="en-IE"/>
        </w:rPr>
        <w:t xml:space="preserve">the </w:t>
      </w:r>
      <w:r w:rsidR="00C73AE6">
        <w:rPr>
          <w:noProof/>
          <w:lang w:val="en-IE"/>
        </w:rPr>
        <w:t xml:space="preserve">acquired undertaking </w:t>
      </w:r>
      <w:r w:rsidR="00FB7869" w:rsidRPr="00FB7869">
        <w:rPr>
          <w:noProof/>
          <w:lang w:val="en-IE"/>
        </w:rPr>
        <w:t>ha</w:t>
      </w:r>
      <w:r w:rsidR="0031064B">
        <w:rPr>
          <w:noProof/>
          <w:lang w:val="en-IE"/>
        </w:rPr>
        <w:t>ve</w:t>
      </w:r>
      <w:r w:rsidR="00FB7869" w:rsidRPr="00FB7869">
        <w:rPr>
          <w:noProof/>
          <w:lang w:val="en-IE"/>
        </w:rPr>
        <w:t xml:space="preserve"> an EU turnover of at least EUR 500 million and the foreign financial contribution exceeds EUR 50 million, will have to be notified to the Commission; (ii.) bids in EU public procurement procedures involving foreign financial contributions where the value of the procurement is at least EUR 250 million will have to be notified to the Commission; and (iii.) the Commission will be empowered to investigate ex-officio other market situations</w:t>
      </w:r>
      <w:r w:rsidR="00F749E3">
        <w:rPr>
          <w:noProof/>
          <w:lang w:val="en-IE"/>
        </w:rPr>
        <w:t>.</w:t>
      </w:r>
      <w:r w:rsidR="00FB7869" w:rsidRPr="00FB7869">
        <w:rPr>
          <w:noProof/>
          <w:lang w:val="en-IE"/>
        </w:rPr>
        <w:t xml:space="preserve"> The Commission will have </w:t>
      </w:r>
      <w:r w:rsidR="00A664A7">
        <w:rPr>
          <w:noProof/>
          <w:lang w:val="en-IE"/>
        </w:rPr>
        <w:t xml:space="preserve">the </w:t>
      </w:r>
      <w:r w:rsidR="00FB7869" w:rsidRPr="00FB7869">
        <w:rPr>
          <w:noProof/>
          <w:lang w:val="en-IE"/>
        </w:rPr>
        <w:t xml:space="preserve">exclusive competence to enforce the </w:t>
      </w:r>
      <w:r w:rsidR="00A026A6">
        <w:rPr>
          <w:noProof/>
          <w:lang w:val="en-IE"/>
        </w:rPr>
        <w:t>FSR</w:t>
      </w:r>
      <w:r w:rsidR="00FB7869" w:rsidRPr="00FB7869">
        <w:rPr>
          <w:noProof/>
          <w:lang w:val="en-IE"/>
        </w:rPr>
        <w:t>. When the negative effects of the foreign subsidy outweigh its positive effects, the Commission will have the power to impose redress</w:t>
      </w:r>
      <w:r w:rsidR="00C73AE6">
        <w:rPr>
          <w:noProof/>
          <w:lang w:val="en-IE"/>
        </w:rPr>
        <w:t>ive</w:t>
      </w:r>
      <w:r w:rsidR="00FB7869" w:rsidRPr="00FB7869">
        <w:rPr>
          <w:noProof/>
          <w:lang w:val="en-IE"/>
        </w:rPr>
        <w:t xml:space="preserve"> measures or accept commitments to remedy the distortion. Such measures and commitments </w:t>
      </w:r>
      <w:r w:rsidR="00C73AE6">
        <w:rPr>
          <w:noProof/>
          <w:lang w:val="en-IE"/>
        </w:rPr>
        <w:t xml:space="preserve">may </w:t>
      </w:r>
      <w:r w:rsidR="00FB7869" w:rsidRPr="00FB7869">
        <w:rPr>
          <w:noProof/>
          <w:lang w:val="en-IE"/>
        </w:rPr>
        <w:t>include a range of structural or behavioural remedies, such as the divestment of certain assets or the prohibition of a certain market behaviour. The Commission will also have the power to prohibit a subsidised concentration or the award of a public procurement contract to a subsidised bidder.</w:t>
      </w:r>
    </w:p>
    <w:p w14:paraId="7A9C5446" w14:textId="77777777" w:rsidR="00F749E3" w:rsidRDefault="00F749E3" w:rsidP="001C125E">
      <w:pPr>
        <w:spacing w:before="120" w:after="0"/>
        <w:rPr>
          <w:noProof/>
          <w:lang w:val="en-IE"/>
        </w:rPr>
      </w:pPr>
      <w:r w:rsidRPr="006835CD">
        <w:rPr>
          <w:noProof/>
          <w:lang w:val="en-IE"/>
        </w:rPr>
        <w:t>The regulation will apply from 12 July 2023 and the notifications will become mandatory from 12 October 2023.</w:t>
      </w:r>
    </w:p>
    <w:p w14:paraId="5A5A05AD" w14:textId="77777777" w:rsidR="00D321EF" w:rsidRDefault="00B36D27" w:rsidP="002B1799">
      <w:pPr>
        <w:jc w:val="center"/>
        <w:rPr>
          <w:noProof/>
          <w:sz w:val="24"/>
          <w:szCs w:val="24"/>
          <w:lang w:val="en-IE"/>
        </w:rPr>
      </w:pPr>
      <w:r>
        <w:rPr>
          <w:noProof/>
          <w:sz w:val="24"/>
          <w:szCs w:val="24"/>
          <w:lang w:eastAsia="en-GB"/>
        </w:rPr>
        <w:drawing>
          <wp:inline distT="0" distB="0" distL="0" distR="0" wp14:anchorId="27E50D37" wp14:editId="1938B493">
            <wp:extent cx="4585580" cy="3239791"/>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I update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02509" cy="3251752"/>
                    </a:xfrm>
                    <a:prstGeom prst="rect">
                      <a:avLst/>
                    </a:prstGeom>
                  </pic:spPr>
                </pic:pic>
              </a:graphicData>
            </a:graphic>
          </wp:inline>
        </w:drawing>
      </w:r>
    </w:p>
    <w:p w14:paraId="4A98AE9D" w14:textId="77777777" w:rsidR="00F44682" w:rsidRPr="00E2562B" w:rsidRDefault="00F44682" w:rsidP="00E16E8F">
      <w:pPr>
        <w:pStyle w:val="Heading2"/>
      </w:pPr>
      <w:bookmarkStart w:id="17" w:name="_Toc122109052"/>
      <w:bookmarkStart w:id="18" w:name="_Toc130224413"/>
      <w:r w:rsidRPr="009C291B">
        <w:t>3.</w:t>
      </w:r>
      <w:r w:rsidR="005C24D2" w:rsidRPr="009C291B">
        <w:t>2</w:t>
      </w:r>
      <w:r w:rsidRPr="00E04729">
        <w:t>. Updating antitrust and merger rules and guidance</w:t>
      </w:r>
      <w:r w:rsidR="003E470B" w:rsidRPr="00E2562B">
        <w:t xml:space="preserve"> to make them fit for new challenges</w:t>
      </w:r>
      <w:bookmarkEnd w:id="17"/>
      <w:bookmarkEnd w:id="18"/>
    </w:p>
    <w:p w14:paraId="5E6FA509" w14:textId="77777777" w:rsidR="00AD2A16" w:rsidRPr="00937722" w:rsidRDefault="00AD2A16" w:rsidP="00937722">
      <w:pPr>
        <w:pStyle w:val="Heading3"/>
        <w:spacing w:after="120"/>
        <w:rPr>
          <w:i w:val="0"/>
          <w:noProof/>
          <w:sz w:val="24"/>
        </w:rPr>
      </w:pPr>
      <w:r w:rsidRPr="00937722">
        <w:rPr>
          <w:noProof/>
          <w:sz w:val="24"/>
        </w:rPr>
        <w:t>New Vertical Block Exemption Regulation and Vertical Guidelines</w:t>
      </w:r>
      <w:r w:rsidR="00032672" w:rsidRPr="00937722">
        <w:rPr>
          <w:noProof/>
          <w:sz w:val="24"/>
        </w:rPr>
        <w:t xml:space="preserve"> adopted</w:t>
      </w:r>
    </w:p>
    <w:p w14:paraId="7C1B289A" w14:textId="77777777" w:rsidR="00AD2A16" w:rsidRPr="00937722" w:rsidRDefault="00AD2A16" w:rsidP="00752D72">
      <w:pPr>
        <w:spacing w:after="120"/>
        <w:rPr>
          <w:noProof/>
        </w:rPr>
      </w:pPr>
      <w:r w:rsidRPr="00937722">
        <w:rPr>
          <w:noProof/>
        </w:rPr>
        <w:t xml:space="preserve">Article 101(1) </w:t>
      </w:r>
      <w:r w:rsidR="00D160FF" w:rsidRPr="00937722">
        <w:rPr>
          <w:noProof/>
        </w:rPr>
        <w:t>TFEU</w:t>
      </w:r>
      <w:r w:rsidRPr="00937722">
        <w:rPr>
          <w:noProof/>
        </w:rPr>
        <w:t xml:space="preserve"> prohibits </w:t>
      </w:r>
      <w:r w:rsidR="00544E42" w:rsidRPr="00937722">
        <w:rPr>
          <w:noProof/>
        </w:rPr>
        <w:t xml:space="preserve">vertical </w:t>
      </w:r>
      <w:r w:rsidRPr="00937722">
        <w:rPr>
          <w:noProof/>
        </w:rPr>
        <w:t xml:space="preserve">agreements between </w:t>
      </w:r>
      <w:r w:rsidR="00544E42" w:rsidRPr="00937722">
        <w:rPr>
          <w:noProof/>
        </w:rPr>
        <w:t xml:space="preserve">two or more </w:t>
      </w:r>
      <w:r w:rsidRPr="00937722">
        <w:rPr>
          <w:noProof/>
        </w:rPr>
        <w:t xml:space="preserve">undertakings </w:t>
      </w:r>
      <w:r w:rsidR="00544E42" w:rsidRPr="00937722">
        <w:rPr>
          <w:noProof/>
        </w:rPr>
        <w:t>operating at different levels of the production or distribution chain</w:t>
      </w:r>
      <w:r w:rsidR="00A166D2">
        <w:rPr>
          <w:noProof/>
        </w:rPr>
        <w:t>, if these agreements</w:t>
      </w:r>
      <w:r w:rsidRPr="00937722">
        <w:rPr>
          <w:noProof/>
        </w:rPr>
        <w:t xml:space="preserve"> restrict competition. However, under Article 101(3) </w:t>
      </w:r>
      <w:r w:rsidR="00D160FF" w:rsidRPr="00937722">
        <w:rPr>
          <w:noProof/>
        </w:rPr>
        <w:t>TFEU</w:t>
      </w:r>
      <w:r w:rsidRPr="00937722">
        <w:rPr>
          <w:noProof/>
        </w:rPr>
        <w:t>, such agreements are compatible with the Single Market, provided they contribute to improving the production or distribution of goods or to promoting technical or economic progress, while allowing consumers a fair share of the resulting benefits and without eliminating competition. In May 2022, the Commission</w:t>
      </w:r>
      <w:r w:rsidRPr="00937722" w:rsidDel="00442157">
        <w:rPr>
          <w:noProof/>
        </w:rPr>
        <w:t xml:space="preserve"> </w:t>
      </w:r>
      <w:r w:rsidRPr="00937722">
        <w:rPr>
          <w:noProof/>
        </w:rPr>
        <w:t>adopted the new Vertical Block Exemption Regulation (‘VBER’)</w:t>
      </w:r>
      <w:r w:rsidRPr="00937722">
        <w:rPr>
          <w:noProof/>
          <w:vertAlign w:val="superscript"/>
        </w:rPr>
        <w:footnoteReference w:id="26"/>
      </w:r>
      <w:r w:rsidR="008A120D" w:rsidRPr="00937722">
        <w:rPr>
          <w:noProof/>
        </w:rPr>
        <w:t>,</w:t>
      </w:r>
      <w:r w:rsidRPr="00937722">
        <w:rPr>
          <w:noProof/>
        </w:rPr>
        <w:t xml:space="preserve"> accompanied by the new Vertical Guidelines</w:t>
      </w:r>
      <w:r w:rsidRPr="00937722">
        <w:rPr>
          <w:noProof/>
          <w:vertAlign w:val="superscript"/>
        </w:rPr>
        <w:footnoteReference w:id="27"/>
      </w:r>
      <w:r w:rsidR="00620945">
        <w:rPr>
          <w:noProof/>
        </w:rPr>
        <w:t xml:space="preserve">, which will </w:t>
      </w:r>
      <w:r w:rsidRPr="00937722">
        <w:rPr>
          <w:noProof/>
        </w:rPr>
        <w:t xml:space="preserve">help </w:t>
      </w:r>
      <w:r w:rsidR="00544E42" w:rsidRPr="00937722">
        <w:rPr>
          <w:noProof/>
        </w:rPr>
        <w:t xml:space="preserve">businesses </w:t>
      </w:r>
      <w:r w:rsidRPr="00937722">
        <w:rPr>
          <w:noProof/>
        </w:rPr>
        <w:t>to assess the compatibility of their supply and distribution agreements with EU competition rules</w:t>
      </w:r>
      <w:r w:rsidR="002215D7">
        <w:rPr>
          <w:noProof/>
        </w:rPr>
        <w:t>.</w:t>
      </w:r>
      <w:r w:rsidR="00153C1A">
        <w:rPr>
          <w:noProof/>
        </w:rPr>
        <w:t xml:space="preserve"> The new rules take into account market developments such as the increase in online sales and emergence of new actors such as platforms. </w:t>
      </w:r>
      <w:r w:rsidR="00A166D2">
        <w:rPr>
          <w:noProof/>
        </w:rPr>
        <w:t xml:space="preserve">Increased clarity and greater transparency can help businesses achieve compliance at lower cost - this is especially beneficial to </w:t>
      </w:r>
      <w:r w:rsidR="00A01FC4">
        <w:rPr>
          <w:noProof/>
        </w:rPr>
        <w:t>s</w:t>
      </w:r>
      <w:r w:rsidR="00A166D2">
        <w:rPr>
          <w:noProof/>
        </w:rPr>
        <w:t xml:space="preserve">mall and </w:t>
      </w:r>
      <w:r w:rsidR="00A01FC4">
        <w:rPr>
          <w:noProof/>
        </w:rPr>
        <w:t>m</w:t>
      </w:r>
      <w:r w:rsidR="00A166D2">
        <w:rPr>
          <w:noProof/>
        </w:rPr>
        <w:t>edium</w:t>
      </w:r>
      <w:r w:rsidR="00A01FC4">
        <w:rPr>
          <w:noProof/>
        </w:rPr>
        <w:t>-sized</w:t>
      </w:r>
      <w:r w:rsidR="00A166D2">
        <w:rPr>
          <w:noProof/>
        </w:rPr>
        <w:t xml:space="preserve"> </w:t>
      </w:r>
      <w:r w:rsidR="00A01FC4">
        <w:rPr>
          <w:noProof/>
        </w:rPr>
        <w:t>e</w:t>
      </w:r>
      <w:r w:rsidR="00A166D2">
        <w:rPr>
          <w:noProof/>
        </w:rPr>
        <w:t>nterprises (SMEs).</w:t>
      </w:r>
    </w:p>
    <w:p w14:paraId="38F19016" w14:textId="77777777" w:rsidR="00AD2A16" w:rsidRPr="00937722" w:rsidRDefault="0042625E" w:rsidP="00937722">
      <w:pPr>
        <w:pStyle w:val="Heading3"/>
        <w:spacing w:after="120"/>
        <w:rPr>
          <w:i w:val="0"/>
          <w:noProof/>
          <w:sz w:val="24"/>
        </w:rPr>
      </w:pPr>
      <w:r>
        <w:rPr>
          <w:noProof/>
          <w:sz w:val="24"/>
        </w:rPr>
        <w:t xml:space="preserve">Draft </w:t>
      </w:r>
      <w:r w:rsidR="00AD2A16" w:rsidRPr="00937722">
        <w:rPr>
          <w:noProof/>
          <w:sz w:val="24"/>
        </w:rPr>
        <w:t>rules on horizontal cooperation agreements</w:t>
      </w:r>
      <w:r w:rsidR="00032672" w:rsidRPr="00937722">
        <w:rPr>
          <w:noProof/>
          <w:sz w:val="24"/>
        </w:rPr>
        <w:t xml:space="preserve"> </w:t>
      </w:r>
      <w:r>
        <w:rPr>
          <w:noProof/>
          <w:sz w:val="24"/>
        </w:rPr>
        <w:t>published</w:t>
      </w:r>
    </w:p>
    <w:p w14:paraId="26316473" w14:textId="77777777" w:rsidR="00AD2A16" w:rsidRPr="00032672" w:rsidRDefault="00AD2A16" w:rsidP="00AC1C3B">
      <w:pPr>
        <w:spacing w:after="120"/>
        <w:rPr>
          <w:noProof/>
        </w:rPr>
      </w:pPr>
      <w:r w:rsidRPr="00937722">
        <w:rPr>
          <w:noProof/>
        </w:rPr>
        <w:t>Horizontal cooperation between competing firms can bring about important efficienc</w:t>
      </w:r>
      <w:r w:rsidR="00A166D2">
        <w:rPr>
          <w:noProof/>
        </w:rPr>
        <w:t>y gains</w:t>
      </w:r>
      <w:r w:rsidR="00BB7F81">
        <w:rPr>
          <w:noProof/>
        </w:rPr>
        <w:t xml:space="preserve"> in certain circumstances</w:t>
      </w:r>
      <w:r w:rsidR="00A166D2">
        <w:rPr>
          <w:noProof/>
        </w:rPr>
        <w:t xml:space="preserve">. </w:t>
      </w:r>
      <w:r w:rsidR="00BB7F81">
        <w:rPr>
          <w:noProof/>
        </w:rPr>
        <w:t>For example, such cooperation</w:t>
      </w:r>
      <w:r w:rsidR="00A166D2">
        <w:rPr>
          <w:noProof/>
        </w:rPr>
        <w:t xml:space="preserve"> can benefit consumers or reduce a sector’s impact on the environment</w:t>
      </w:r>
      <w:r w:rsidRPr="00937722">
        <w:rPr>
          <w:noProof/>
        </w:rPr>
        <w:t xml:space="preserve">. This is why the Commission provides safe harbours for certain types of horizontal cooperation agreements. To ensure that the rules on horizontal cooperation agreements remain fit for purpose, in particular to address the challenges of </w:t>
      </w:r>
      <w:r w:rsidR="002865F0" w:rsidRPr="00937722">
        <w:rPr>
          <w:noProof/>
        </w:rPr>
        <w:t xml:space="preserve">digitalisation </w:t>
      </w:r>
      <w:r w:rsidRPr="00937722">
        <w:rPr>
          <w:noProof/>
        </w:rPr>
        <w:t xml:space="preserve">and </w:t>
      </w:r>
      <w:r w:rsidR="004131CD" w:rsidRPr="00937722">
        <w:rPr>
          <w:noProof/>
        </w:rPr>
        <w:t xml:space="preserve">the </w:t>
      </w:r>
      <w:r w:rsidRPr="00937722">
        <w:rPr>
          <w:noProof/>
        </w:rPr>
        <w:t xml:space="preserve">green transition, the Commission launched, in March 2022, a </w:t>
      </w:r>
      <w:r w:rsidR="00A026A6">
        <w:rPr>
          <w:noProof/>
        </w:rPr>
        <w:t xml:space="preserve">stakeholder </w:t>
      </w:r>
      <w:r w:rsidRPr="00937722">
        <w:rPr>
          <w:noProof/>
        </w:rPr>
        <w:t xml:space="preserve">consultation on </w:t>
      </w:r>
      <w:r w:rsidR="00A026A6">
        <w:rPr>
          <w:noProof/>
        </w:rPr>
        <w:t xml:space="preserve">the </w:t>
      </w:r>
      <w:r w:rsidRPr="00937722">
        <w:rPr>
          <w:noProof/>
        </w:rPr>
        <w:t xml:space="preserve">draft revised Horizontal Block Exemption Regulations on Research &amp; Development and Specialisation agreements and </w:t>
      </w:r>
      <w:r w:rsidR="00A026A6">
        <w:rPr>
          <w:noProof/>
        </w:rPr>
        <w:t xml:space="preserve">on </w:t>
      </w:r>
      <w:r w:rsidRPr="00937722">
        <w:rPr>
          <w:noProof/>
        </w:rPr>
        <w:t>the draft revised Horizontal Guidelines</w:t>
      </w:r>
      <w:r w:rsidRPr="00937722">
        <w:rPr>
          <w:rStyle w:val="FootnoteReference"/>
          <w:noProof/>
          <w:sz w:val="24"/>
          <w:szCs w:val="24"/>
        </w:rPr>
        <w:footnoteReference w:id="28"/>
      </w:r>
      <w:r w:rsidRPr="00937722">
        <w:rPr>
          <w:noProof/>
        </w:rPr>
        <w:t xml:space="preserve">. The </w:t>
      </w:r>
      <w:r w:rsidR="00032672" w:rsidRPr="00937722">
        <w:rPr>
          <w:noProof/>
        </w:rPr>
        <w:t xml:space="preserve">proposed </w:t>
      </w:r>
      <w:r w:rsidR="00153C1A">
        <w:rPr>
          <w:noProof/>
        </w:rPr>
        <w:t>rules</w:t>
      </w:r>
      <w:r w:rsidR="00936609">
        <w:rPr>
          <w:noProof/>
        </w:rPr>
        <w:t xml:space="preserve"> </w:t>
      </w:r>
      <w:r w:rsidRPr="00937722">
        <w:rPr>
          <w:noProof/>
        </w:rPr>
        <w:t xml:space="preserve">include </w:t>
      </w:r>
      <w:r w:rsidR="00153C1A">
        <w:rPr>
          <w:noProof/>
        </w:rPr>
        <w:t xml:space="preserve">new guidance aimed </w:t>
      </w:r>
      <w:r w:rsidR="00A166D2">
        <w:rPr>
          <w:noProof/>
        </w:rPr>
        <w:t>to</w:t>
      </w:r>
      <w:r w:rsidRPr="00937722">
        <w:rPr>
          <w:noProof/>
        </w:rPr>
        <w:t xml:space="preserve"> mak</w:t>
      </w:r>
      <w:r w:rsidR="00A166D2">
        <w:rPr>
          <w:noProof/>
        </w:rPr>
        <w:t>e</w:t>
      </w:r>
      <w:r w:rsidRPr="00937722">
        <w:rPr>
          <w:noProof/>
        </w:rPr>
        <w:t xml:space="preserve"> it easier for companies to cooperate </w:t>
      </w:r>
      <w:r w:rsidR="00153C1A">
        <w:rPr>
          <w:noProof/>
        </w:rPr>
        <w:t>to pursue sustainability objective</w:t>
      </w:r>
      <w:r w:rsidR="00BB7F81">
        <w:rPr>
          <w:noProof/>
        </w:rPr>
        <w:t>s</w:t>
      </w:r>
      <w:r w:rsidR="00E27492">
        <w:rPr>
          <w:noProof/>
        </w:rPr>
        <w:t>.</w:t>
      </w:r>
      <w:r w:rsidRPr="00937722">
        <w:rPr>
          <w:noProof/>
        </w:rPr>
        <w:t xml:space="preserve"> The </w:t>
      </w:r>
      <w:r w:rsidR="00032672" w:rsidRPr="00937722">
        <w:rPr>
          <w:noProof/>
        </w:rPr>
        <w:t xml:space="preserve">proposed </w:t>
      </w:r>
      <w:r w:rsidRPr="00937722">
        <w:rPr>
          <w:noProof/>
        </w:rPr>
        <w:t>rules also provide additional guidance and legal certainty to companies in areas such as data sharing, mobile infrastructure sharing agreements and bidding consortia.</w:t>
      </w:r>
      <w:r w:rsidR="00440EC5">
        <w:rPr>
          <w:noProof/>
        </w:rPr>
        <w:t xml:space="preserve"> In December 2022, the Commission adopted two regulations extending the validity of horizontal block exemption regulations regarding research and development and specialisation agreements</w:t>
      </w:r>
      <w:r w:rsidR="00476397">
        <w:rPr>
          <w:rStyle w:val="FootnoteReference"/>
          <w:noProof/>
        </w:rPr>
        <w:footnoteReference w:id="29"/>
      </w:r>
      <w:r w:rsidR="00440EC5">
        <w:rPr>
          <w:noProof/>
        </w:rPr>
        <w:t>. The block exemption regulations were due to expire on 31 December 2022 and the Commission extended them until 30 June 2023.</w:t>
      </w:r>
    </w:p>
    <w:p w14:paraId="4FE75C0E" w14:textId="77777777" w:rsidR="00AD2A16" w:rsidRPr="00937722" w:rsidRDefault="0042625E" w:rsidP="00937722">
      <w:pPr>
        <w:pStyle w:val="Heading3"/>
        <w:spacing w:after="120"/>
        <w:rPr>
          <w:i w:val="0"/>
          <w:noProof/>
          <w:sz w:val="24"/>
        </w:rPr>
      </w:pPr>
      <w:r>
        <w:rPr>
          <w:noProof/>
          <w:sz w:val="24"/>
        </w:rPr>
        <w:t xml:space="preserve">Draft </w:t>
      </w:r>
      <w:r w:rsidR="00AD2A16" w:rsidRPr="00937722">
        <w:rPr>
          <w:noProof/>
          <w:sz w:val="24"/>
        </w:rPr>
        <w:t>Motor Vehicle Block Exemption Regulation and Supplementary Guidelines</w:t>
      </w:r>
      <w:r w:rsidR="00F51094" w:rsidRPr="00937722">
        <w:rPr>
          <w:noProof/>
          <w:sz w:val="24"/>
        </w:rPr>
        <w:t xml:space="preserve"> </w:t>
      </w:r>
      <w:r>
        <w:rPr>
          <w:noProof/>
          <w:sz w:val="24"/>
        </w:rPr>
        <w:t>published</w:t>
      </w:r>
    </w:p>
    <w:p w14:paraId="79C35B7A" w14:textId="77777777" w:rsidR="00AD2A16" w:rsidRPr="00937722" w:rsidRDefault="0033173E" w:rsidP="00AC1C3B">
      <w:pPr>
        <w:spacing w:after="120"/>
        <w:rPr>
          <w:noProof/>
        </w:rPr>
      </w:pPr>
      <w:r>
        <w:rPr>
          <w:noProof/>
        </w:rPr>
        <w:t>Vehicle-generated data is becoming an increasingly important factor of competition for repair and maintenance operators. The Commission has a specific regime for vertical agreements in the sector</w:t>
      </w:r>
      <w:r w:rsidRPr="00520087">
        <w:rPr>
          <w:rStyle w:val="FootnoteReference"/>
          <w:noProof/>
          <w:sz w:val="24"/>
          <w:szCs w:val="24"/>
        </w:rPr>
        <w:footnoteReference w:id="30"/>
      </w:r>
      <w:r w:rsidRPr="00520087">
        <w:rPr>
          <w:noProof/>
        </w:rPr>
        <w:t>,</w:t>
      </w:r>
      <w:r>
        <w:rPr>
          <w:noProof/>
        </w:rPr>
        <w:t xml:space="preserve"> which is currently under review. </w:t>
      </w:r>
      <w:r w:rsidR="00AD2A16" w:rsidRPr="00937722">
        <w:rPr>
          <w:noProof/>
        </w:rPr>
        <w:t xml:space="preserve">In July 2022, the Commission </w:t>
      </w:r>
      <w:r>
        <w:rPr>
          <w:noProof/>
        </w:rPr>
        <w:t>consulted stakeholders on</w:t>
      </w:r>
      <w:r w:rsidR="00AD2A16" w:rsidRPr="00937722">
        <w:rPr>
          <w:noProof/>
        </w:rPr>
        <w:t xml:space="preserve"> a draft Regulation extending the period of validity of Regulation 461/2010 (‘</w:t>
      </w:r>
      <w:r>
        <w:rPr>
          <w:noProof/>
        </w:rPr>
        <w:t>Motor Vehicle Block Exemption Regulation</w:t>
      </w:r>
      <w:r w:rsidR="00AD2A16" w:rsidRPr="00937722">
        <w:rPr>
          <w:noProof/>
        </w:rPr>
        <w:t>’)</w:t>
      </w:r>
      <w:r w:rsidR="00AD2A16" w:rsidRPr="00937722">
        <w:rPr>
          <w:rStyle w:val="FootnoteReference"/>
          <w:noProof/>
          <w:sz w:val="24"/>
          <w:szCs w:val="24"/>
        </w:rPr>
        <w:footnoteReference w:id="31"/>
      </w:r>
      <w:r w:rsidR="00AD2A16" w:rsidRPr="00937722">
        <w:rPr>
          <w:noProof/>
        </w:rPr>
        <w:t>, together with a draft Communication amending the Commission Notice containi</w:t>
      </w:r>
      <w:r w:rsidR="00267E7C">
        <w:rPr>
          <w:noProof/>
        </w:rPr>
        <w:t>ng the Supplementary Guidelines</w:t>
      </w:r>
      <w:r w:rsidR="00AD2A16" w:rsidRPr="00937722">
        <w:rPr>
          <w:rStyle w:val="FootnoteReference"/>
          <w:noProof/>
          <w:sz w:val="24"/>
          <w:szCs w:val="24"/>
        </w:rPr>
        <w:footnoteReference w:id="32"/>
      </w:r>
      <w:r>
        <w:rPr>
          <w:noProof/>
        </w:rPr>
        <w:t xml:space="preserve"> to address the data issue</w:t>
      </w:r>
      <w:r w:rsidR="00AD2A16" w:rsidRPr="00937722">
        <w:rPr>
          <w:noProof/>
        </w:rPr>
        <w:t>. The proposed changes</w:t>
      </w:r>
      <w:r w:rsidR="00D80415">
        <w:rPr>
          <w:noProof/>
        </w:rPr>
        <w:t xml:space="preserve"> will provide clarity for companies concerning the way the Commission views issues related to access to data generated by</w:t>
      </w:r>
      <w:r w:rsidR="00C347F2">
        <w:rPr>
          <w:noProof/>
        </w:rPr>
        <w:t xml:space="preserve"> the</w:t>
      </w:r>
      <w:r w:rsidR="00D80415">
        <w:rPr>
          <w:noProof/>
        </w:rPr>
        <w:t xml:space="preserve"> car</w:t>
      </w:r>
      <w:r w:rsidR="00C347F2">
        <w:rPr>
          <w:noProof/>
        </w:rPr>
        <w:t>s’</w:t>
      </w:r>
      <w:r w:rsidR="00D80415">
        <w:rPr>
          <w:noProof/>
        </w:rPr>
        <w:t xml:space="preserve"> sensors when assessing vertical agreements between vehicle manufacturers and their authorised networks under EU competition rules. The</w:t>
      </w:r>
      <w:r w:rsidR="00AD2A16" w:rsidRPr="00937722">
        <w:rPr>
          <w:noProof/>
        </w:rPr>
        <w:t xml:space="preserve"> aim </w:t>
      </w:r>
      <w:r w:rsidR="00D80415">
        <w:rPr>
          <w:noProof/>
        </w:rPr>
        <w:t xml:space="preserve">is </w:t>
      </w:r>
      <w:r w:rsidR="00AD2A16" w:rsidRPr="00937722">
        <w:rPr>
          <w:noProof/>
        </w:rPr>
        <w:t xml:space="preserve">to keep the </w:t>
      </w:r>
      <w:r w:rsidR="005778BF" w:rsidRPr="00937722">
        <w:rPr>
          <w:noProof/>
        </w:rPr>
        <w:t>framework</w:t>
      </w:r>
      <w:r w:rsidR="002B1DF0" w:rsidRPr="00937722">
        <w:rPr>
          <w:noProof/>
        </w:rPr>
        <w:t xml:space="preserve"> </w:t>
      </w:r>
      <w:r w:rsidR="00AD2A16" w:rsidRPr="00937722">
        <w:rPr>
          <w:noProof/>
        </w:rPr>
        <w:t xml:space="preserve">in place for five additional years </w:t>
      </w:r>
      <w:r w:rsidR="008A120D" w:rsidRPr="00937722">
        <w:rPr>
          <w:noProof/>
        </w:rPr>
        <w:t xml:space="preserve">until </w:t>
      </w:r>
      <w:r>
        <w:rPr>
          <w:noProof/>
        </w:rPr>
        <w:t xml:space="preserve">31 </w:t>
      </w:r>
      <w:r w:rsidR="008A120D" w:rsidRPr="00937722">
        <w:rPr>
          <w:noProof/>
        </w:rPr>
        <w:t>May 2028</w:t>
      </w:r>
      <w:r w:rsidR="00C347F2">
        <w:rPr>
          <w:noProof/>
        </w:rPr>
        <w:t>, and extend the existing principles for the provision of technical information, tools and training necessary for the provision of repair and maintenance services to explicitly cover vehicle-generated data</w:t>
      </w:r>
      <w:r w:rsidR="004131CD" w:rsidRPr="00937722">
        <w:rPr>
          <w:noProof/>
        </w:rPr>
        <w:t>.</w:t>
      </w:r>
    </w:p>
    <w:p w14:paraId="569941B8" w14:textId="77777777" w:rsidR="00AD2A16" w:rsidRPr="00937722" w:rsidRDefault="00AD2A16" w:rsidP="00937722">
      <w:pPr>
        <w:pStyle w:val="Heading3"/>
        <w:spacing w:after="120"/>
        <w:rPr>
          <w:i w:val="0"/>
          <w:noProof/>
          <w:sz w:val="24"/>
        </w:rPr>
      </w:pPr>
      <w:r w:rsidRPr="00937722">
        <w:rPr>
          <w:noProof/>
          <w:sz w:val="24"/>
        </w:rPr>
        <w:t>Guidelines on collective agreements to improve working conditions of solo self-employed people</w:t>
      </w:r>
      <w:r w:rsidR="005C24D2" w:rsidRPr="00937722">
        <w:rPr>
          <w:noProof/>
          <w:sz w:val="24"/>
        </w:rPr>
        <w:t xml:space="preserve"> adopted</w:t>
      </w:r>
    </w:p>
    <w:p w14:paraId="507B06FC" w14:textId="77777777" w:rsidR="00C30BEC" w:rsidRDefault="00156DA5" w:rsidP="00E77603">
      <w:pPr>
        <w:rPr>
          <w:noProof/>
          <w:lang w:val="en-US"/>
        </w:rPr>
      </w:pPr>
      <w:r w:rsidRPr="00156DA5">
        <w:rPr>
          <w:noProof/>
          <w:lang w:val="en-US"/>
        </w:rPr>
        <w:t>The number of solo self-employed people in the EU is relatively high</w:t>
      </w:r>
      <w:r w:rsidR="00E77603">
        <w:rPr>
          <w:noProof/>
          <w:lang w:val="en-US"/>
        </w:rPr>
        <w:t xml:space="preserve"> and some face difficult working conditions. Collective negotiations can be a powerful tool to im</w:t>
      </w:r>
      <w:r w:rsidR="00F87418">
        <w:rPr>
          <w:noProof/>
          <w:lang w:val="en-US"/>
        </w:rPr>
        <w:t xml:space="preserve">prove such working conditions. </w:t>
      </w:r>
      <w:r w:rsidRPr="00156DA5">
        <w:rPr>
          <w:noProof/>
          <w:lang w:val="en-US"/>
        </w:rPr>
        <w:t>In September 2022, the Commission adopted Guidelines on the application of EU competition law to collective agreements regarding the working conditions of the solo self-employed people</w:t>
      </w:r>
      <w:r w:rsidRPr="00156DA5">
        <w:rPr>
          <w:noProof/>
          <w:vertAlign w:val="superscript"/>
          <w:lang w:val="en-US"/>
        </w:rPr>
        <w:footnoteReference w:id="33"/>
      </w:r>
      <w:r w:rsidR="00C30BEC">
        <w:rPr>
          <w:noProof/>
          <w:lang w:val="en-US"/>
        </w:rPr>
        <w:t>.</w:t>
      </w:r>
      <w:r w:rsidR="003612CD">
        <w:rPr>
          <w:noProof/>
          <w:lang w:val="en-US"/>
        </w:rPr>
        <w:t xml:space="preserve"> The purpose of the Guidelines is to explain in which circumstances </w:t>
      </w:r>
      <w:r w:rsidR="0094366F">
        <w:rPr>
          <w:noProof/>
          <w:lang w:val="en-US"/>
        </w:rPr>
        <w:t xml:space="preserve">EU </w:t>
      </w:r>
      <w:r w:rsidR="003612CD">
        <w:rPr>
          <w:noProof/>
          <w:lang w:val="en-US"/>
        </w:rPr>
        <w:t xml:space="preserve">competition law does not stand in the way of collective agreements to improve working conditions. </w:t>
      </w:r>
    </w:p>
    <w:p w14:paraId="1AC7D4E8" w14:textId="77777777" w:rsidR="00C30BEC" w:rsidRDefault="00C30BEC" w:rsidP="00C30BEC">
      <w:pPr>
        <w:spacing w:after="120"/>
        <w:rPr>
          <w:noProof/>
          <w:lang w:val="en-US"/>
        </w:rPr>
      </w:pPr>
      <w:r w:rsidRPr="00270DB1">
        <w:rPr>
          <w:noProof/>
          <w:lang w:eastAsia="en-GB"/>
        </w:rPr>
        <w:t>Based on established case-law of the Court of Justice of the European Union</w:t>
      </w:r>
      <w:r>
        <w:rPr>
          <w:rStyle w:val="FootnoteReference"/>
          <w:noProof/>
          <w:lang w:eastAsia="en-GB"/>
        </w:rPr>
        <w:footnoteReference w:id="34"/>
      </w:r>
      <w:r w:rsidRPr="00270DB1">
        <w:rPr>
          <w:noProof/>
          <w:lang w:eastAsia="en-GB"/>
        </w:rPr>
        <w:t>, the Guidelines describe situations whe</w:t>
      </w:r>
      <w:r w:rsidR="00A664A7">
        <w:rPr>
          <w:noProof/>
          <w:lang w:eastAsia="en-GB"/>
        </w:rPr>
        <w:t>re</w:t>
      </w:r>
      <w:r w:rsidRPr="00270DB1">
        <w:rPr>
          <w:noProof/>
          <w:lang w:eastAsia="en-GB"/>
        </w:rPr>
        <w:t xml:space="preserve"> solo self-employed persons may be comparable to workers and clarify that their collective agreements then fall outside the scope of Article 101 TFEU. This covers economically dependent solo self-employed persons, those working side-by-side with workers and those providing their services through digital labour platforms.</w:t>
      </w:r>
      <w:r>
        <w:rPr>
          <w:noProof/>
          <w:lang w:eastAsia="en-GB"/>
        </w:rPr>
        <w:t xml:space="preserve"> </w:t>
      </w:r>
      <w:r w:rsidRPr="00270DB1">
        <w:rPr>
          <w:noProof/>
          <w:lang w:eastAsia="en-GB"/>
        </w:rPr>
        <w:t xml:space="preserve">Furthermore, the Guidelines clarify that </w:t>
      </w:r>
      <w:r>
        <w:rPr>
          <w:noProof/>
          <w:lang w:eastAsia="en-GB"/>
        </w:rPr>
        <w:t xml:space="preserve">in certain cases, where </w:t>
      </w:r>
      <w:r w:rsidRPr="00270DB1">
        <w:rPr>
          <w:noProof/>
          <w:lang w:eastAsia="en-GB"/>
        </w:rPr>
        <w:t xml:space="preserve">self-employed persons who </w:t>
      </w:r>
      <w:r w:rsidRPr="00670B09">
        <w:rPr>
          <w:noProof/>
          <w:lang w:eastAsia="en-GB"/>
        </w:rPr>
        <w:t>are not in a situation comparable to that of workers</w:t>
      </w:r>
      <w:r w:rsidRPr="00270DB1">
        <w:rPr>
          <w:noProof/>
          <w:lang w:eastAsia="en-GB"/>
        </w:rPr>
        <w:t xml:space="preserve"> have difficulties in influencing their working conditions </w:t>
      </w:r>
      <w:r>
        <w:rPr>
          <w:noProof/>
          <w:lang w:eastAsia="en-GB"/>
        </w:rPr>
        <w:t xml:space="preserve">because of a weak negotiating position, the Commission </w:t>
      </w:r>
      <w:r w:rsidRPr="00670B09">
        <w:rPr>
          <w:noProof/>
          <w:lang w:eastAsia="en-GB"/>
        </w:rPr>
        <w:t xml:space="preserve">will not intervene against </w:t>
      </w:r>
      <w:r>
        <w:rPr>
          <w:noProof/>
          <w:lang w:eastAsia="en-GB"/>
        </w:rPr>
        <w:t>certain</w:t>
      </w:r>
      <w:r w:rsidRPr="00670B09">
        <w:rPr>
          <w:noProof/>
          <w:lang w:eastAsia="en-GB"/>
        </w:rPr>
        <w:t xml:space="preserve"> categories of collective agreements</w:t>
      </w:r>
      <w:r>
        <w:rPr>
          <w:noProof/>
          <w:lang w:eastAsia="en-GB"/>
        </w:rPr>
        <w:t>.</w:t>
      </w:r>
    </w:p>
    <w:p w14:paraId="7F3F7635" w14:textId="77777777" w:rsidR="00AD2A16" w:rsidRPr="00937722" w:rsidRDefault="005C24D2" w:rsidP="00937722">
      <w:pPr>
        <w:pStyle w:val="Heading3"/>
        <w:spacing w:after="120"/>
        <w:rPr>
          <w:i w:val="0"/>
          <w:noProof/>
          <w:sz w:val="24"/>
        </w:rPr>
      </w:pPr>
      <w:r w:rsidRPr="00937722">
        <w:rPr>
          <w:noProof/>
          <w:sz w:val="24"/>
        </w:rPr>
        <w:t xml:space="preserve">Revised </w:t>
      </w:r>
      <w:r w:rsidR="00AD2A16" w:rsidRPr="00937722">
        <w:rPr>
          <w:noProof/>
          <w:sz w:val="24"/>
        </w:rPr>
        <w:t>Informal Guidance Notice</w:t>
      </w:r>
      <w:r w:rsidR="00D9082F">
        <w:rPr>
          <w:noProof/>
          <w:sz w:val="24"/>
        </w:rPr>
        <w:t xml:space="preserve"> adopted</w:t>
      </w:r>
    </w:p>
    <w:p w14:paraId="40A6DCB8" w14:textId="77777777" w:rsidR="00AD2A16" w:rsidRDefault="00F61A5B" w:rsidP="00D746DD">
      <w:pPr>
        <w:spacing w:after="120"/>
        <w:rPr>
          <w:noProof/>
        </w:rPr>
      </w:pPr>
      <w:r w:rsidRPr="00937722">
        <w:rPr>
          <w:noProof/>
        </w:rPr>
        <w:t>In order t</w:t>
      </w:r>
      <w:r w:rsidR="000E571A" w:rsidRPr="00937722">
        <w:rPr>
          <w:noProof/>
        </w:rPr>
        <w:t xml:space="preserve">o allow businesses to seek informal guidance on the application of EU competition rules to novel or unresolved questions, </w:t>
      </w:r>
      <w:r w:rsidR="00AD2A16" w:rsidRPr="00937722">
        <w:rPr>
          <w:noProof/>
        </w:rPr>
        <w:t>the Commission adopted</w:t>
      </w:r>
      <w:r w:rsidR="00620945">
        <w:rPr>
          <w:noProof/>
        </w:rPr>
        <w:t>,</w:t>
      </w:r>
      <w:r w:rsidR="00AD2A16" w:rsidRPr="00937722">
        <w:rPr>
          <w:noProof/>
        </w:rPr>
        <w:t xml:space="preserve"> </w:t>
      </w:r>
      <w:r w:rsidR="00620945" w:rsidRPr="0086447D">
        <w:rPr>
          <w:noProof/>
        </w:rPr>
        <w:t xml:space="preserve">in October 2022, </w:t>
      </w:r>
      <w:r w:rsidR="002C3403" w:rsidRPr="00937722">
        <w:rPr>
          <w:noProof/>
        </w:rPr>
        <w:t xml:space="preserve">a </w:t>
      </w:r>
      <w:r w:rsidR="00AD2A16" w:rsidRPr="00937722">
        <w:rPr>
          <w:noProof/>
        </w:rPr>
        <w:t>revised Informal Guidance Notice</w:t>
      </w:r>
      <w:r w:rsidR="00AD2A16" w:rsidRPr="00937722">
        <w:rPr>
          <w:rStyle w:val="FootnoteReference"/>
          <w:noProof/>
          <w:sz w:val="24"/>
          <w:szCs w:val="24"/>
        </w:rPr>
        <w:footnoteReference w:id="35"/>
      </w:r>
      <w:r w:rsidR="000E571A" w:rsidRPr="00937722">
        <w:rPr>
          <w:noProof/>
        </w:rPr>
        <w:t>.</w:t>
      </w:r>
      <w:r w:rsidR="00895F41">
        <w:rPr>
          <w:noProof/>
        </w:rPr>
        <w:t xml:space="preserve"> This is another important step towards greater transparency and easier compliance for businesses that want to make sure they abide by competition rules.</w:t>
      </w:r>
    </w:p>
    <w:p w14:paraId="5C6E5649" w14:textId="77777777" w:rsidR="000E3ECD" w:rsidRPr="00937722" w:rsidRDefault="00663D86" w:rsidP="00937722">
      <w:pPr>
        <w:pStyle w:val="Heading3"/>
        <w:spacing w:after="120"/>
        <w:rPr>
          <w:i w:val="0"/>
          <w:noProof/>
          <w:sz w:val="24"/>
        </w:rPr>
      </w:pPr>
      <w:r>
        <w:rPr>
          <w:noProof/>
          <w:sz w:val="24"/>
        </w:rPr>
        <w:t xml:space="preserve">Draft </w:t>
      </w:r>
      <w:r w:rsidR="000E3ECD" w:rsidRPr="00937722">
        <w:rPr>
          <w:noProof/>
          <w:sz w:val="24"/>
        </w:rPr>
        <w:t>Market Definition Notice</w:t>
      </w:r>
      <w:r>
        <w:rPr>
          <w:noProof/>
          <w:sz w:val="24"/>
        </w:rPr>
        <w:t xml:space="preserve"> published</w:t>
      </w:r>
    </w:p>
    <w:p w14:paraId="0FF10763" w14:textId="77777777" w:rsidR="00D70A2D" w:rsidRPr="00D70A2D" w:rsidRDefault="00A664A7" w:rsidP="00D70A2D">
      <w:pPr>
        <w:spacing w:after="120"/>
        <w:rPr>
          <w:noProof/>
        </w:rPr>
      </w:pPr>
      <w:r>
        <w:rPr>
          <w:noProof/>
        </w:rPr>
        <w:t xml:space="preserve">In </w:t>
      </w:r>
      <w:r w:rsidR="00D70A2D">
        <w:rPr>
          <w:noProof/>
        </w:rPr>
        <w:t>November 2022, the Commission published a draft revised Market Definition Notice for public consultation.</w:t>
      </w:r>
      <w:r w:rsidR="00D70A2D">
        <w:rPr>
          <w:rStyle w:val="FootnoteReference"/>
          <w:noProof/>
        </w:rPr>
        <w:footnoteReference w:id="36"/>
      </w:r>
      <w:r w:rsidR="00D70A2D">
        <w:rPr>
          <w:noProof/>
        </w:rPr>
        <w:t xml:space="preserve"> The draft revised Market Definition Notice builds </w:t>
      </w:r>
      <w:r w:rsidR="00A026A6">
        <w:rPr>
          <w:noProof/>
        </w:rPr>
        <w:t xml:space="preserve">on the </w:t>
      </w:r>
      <w:r w:rsidR="00A026A6" w:rsidRPr="00A026A6">
        <w:rPr>
          <w:noProof/>
        </w:rPr>
        <w:t>conclusions of the evaluation published in</w:t>
      </w:r>
      <w:r w:rsidR="00A026A6">
        <w:rPr>
          <w:noProof/>
        </w:rPr>
        <w:t xml:space="preserve"> </w:t>
      </w:r>
      <w:r w:rsidR="00A026A6" w:rsidRPr="00A026A6">
        <w:rPr>
          <w:noProof/>
        </w:rPr>
        <w:t>July 2021</w:t>
      </w:r>
      <w:r w:rsidR="007B1914">
        <w:rPr>
          <w:noProof/>
        </w:rPr>
        <w:t>.</w:t>
      </w:r>
      <w:r w:rsidR="00A026A6" w:rsidRPr="00A026A6">
        <w:rPr>
          <w:noProof/>
        </w:rPr>
        <w:t xml:space="preserve"> </w:t>
      </w:r>
      <w:r w:rsidR="007B1914">
        <w:rPr>
          <w:noProof/>
        </w:rPr>
        <w:t xml:space="preserve">The revised draft Notice </w:t>
      </w:r>
      <w:r w:rsidR="00D70A2D">
        <w:rPr>
          <w:noProof/>
        </w:rPr>
        <w:t xml:space="preserve">is the outcome of a thorough review process first launched in April 2020. The draft updates the 1997 Notice currently in force taking into account the significant developments of the intervening years, in particular digitalisation and new ways of offering goods and services, and also reflecting the interconnected and globalised nature of commercial exchanges. On the basis of the evidence gathered during the consultation, the Commission will revise and finalise the draft with a view to </w:t>
      </w:r>
      <w:r w:rsidR="00A6586F">
        <w:rPr>
          <w:noProof/>
        </w:rPr>
        <w:t xml:space="preserve">adopt </w:t>
      </w:r>
      <w:r w:rsidR="00D70A2D">
        <w:rPr>
          <w:noProof/>
        </w:rPr>
        <w:t>a new Market Definition Notice in 2023.</w:t>
      </w:r>
    </w:p>
    <w:p w14:paraId="2CB524C7" w14:textId="77777777" w:rsidR="005C24D2" w:rsidRPr="00937722" w:rsidRDefault="00E72CDD" w:rsidP="005C24D2">
      <w:pPr>
        <w:pStyle w:val="Heading3"/>
        <w:spacing w:after="120"/>
        <w:rPr>
          <w:i w:val="0"/>
          <w:noProof/>
          <w:sz w:val="24"/>
        </w:rPr>
      </w:pPr>
      <w:r w:rsidRPr="00937722">
        <w:rPr>
          <w:noProof/>
          <w:sz w:val="24"/>
        </w:rPr>
        <w:t>Draft Merger Implementing Regulation and the draft revised Notice on Simplified Procedure</w:t>
      </w:r>
      <w:r w:rsidR="00EF26B8">
        <w:rPr>
          <w:noProof/>
          <w:sz w:val="24"/>
        </w:rPr>
        <w:t xml:space="preserve"> published</w:t>
      </w:r>
    </w:p>
    <w:p w14:paraId="3C50A888" w14:textId="79E5D622" w:rsidR="005C24D2" w:rsidRDefault="005C24D2" w:rsidP="00D746DD">
      <w:pPr>
        <w:spacing w:after="120"/>
        <w:rPr>
          <w:noProof/>
        </w:rPr>
      </w:pPr>
      <w:r w:rsidRPr="005E4026">
        <w:rPr>
          <w:noProof/>
        </w:rPr>
        <w:t>The evaluation</w:t>
      </w:r>
      <w:r w:rsidR="00E72CDD" w:rsidRPr="005E4026">
        <w:rPr>
          <w:noProof/>
          <w:vertAlign w:val="superscript"/>
        </w:rPr>
        <w:footnoteReference w:id="37"/>
      </w:r>
      <w:r w:rsidR="00E72CDD" w:rsidRPr="005E4026" w:rsidDel="00D32FAC">
        <w:rPr>
          <w:noProof/>
        </w:rPr>
        <w:t xml:space="preserve"> </w:t>
      </w:r>
      <w:r w:rsidRPr="005E4026">
        <w:rPr>
          <w:noProof/>
        </w:rPr>
        <w:t>of procedural and jurisdictional aspects of EU merger control</w:t>
      </w:r>
      <w:r w:rsidR="00E72CDD">
        <w:rPr>
          <w:noProof/>
        </w:rPr>
        <w:t xml:space="preserve"> </w:t>
      </w:r>
      <w:r w:rsidRPr="005E4026">
        <w:rPr>
          <w:noProof/>
        </w:rPr>
        <w:t>showed that the 2013 Simplification Package</w:t>
      </w:r>
      <w:r w:rsidRPr="005E4026">
        <w:rPr>
          <w:rStyle w:val="FootnoteReference"/>
          <w:noProof/>
          <w:sz w:val="24"/>
          <w:szCs w:val="24"/>
        </w:rPr>
        <w:footnoteReference w:id="38"/>
      </w:r>
      <w:r w:rsidRPr="005E4026">
        <w:rPr>
          <w:noProof/>
        </w:rPr>
        <w:t xml:space="preserve"> ha</w:t>
      </w:r>
      <w:r w:rsidR="00E72CDD">
        <w:rPr>
          <w:noProof/>
        </w:rPr>
        <w:t>d</w:t>
      </w:r>
      <w:r w:rsidRPr="005E4026">
        <w:rPr>
          <w:noProof/>
        </w:rPr>
        <w:t xml:space="preserve"> been effective in increasing the application of simplified procedures to unproblematic mergers and in reducing the administrative burden for both businesses and the Commission. The results of the evaluation indicated that there is merit in considering further targeting of EU merger control</w:t>
      </w:r>
      <w:r w:rsidR="00895F41">
        <w:rPr>
          <w:noProof/>
        </w:rPr>
        <w:t>,</w:t>
      </w:r>
      <w:r w:rsidRPr="005E4026">
        <w:rPr>
          <w:noProof/>
        </w:rPr>
        <w:t xml:space="preserve"> by expanding and clarifying the scope of the Notice on Simplified Procedure</w:t>
      </w:r>
      <w:r w:rsidRPr="005E4026">
        <w:rPr>
          <w:rStyle w:val="FootnoteReference"/>
          <w:noProof/>
          <w:sz w:val="24"/>
          <w:szCs w:val="24"/>
        </w:rPr>
        <w:footnoteReference w:id="39"/>
      </w:r>
      <w:r w:rsidRPr="005E4026">
        <w:rPr>
          <w:noProof/>
        </w:rPr>
        <w:t xml:space="preserve"> and by revising the Merger Implementing Regulation</w:t>
      </w:r>
      <w:r w:rsidRPr="005E4026">
        <w:rPr>
          <w:rStyle w:val="FootnoteReference"/>
          <w:noProof/>
          <w:sz w:val="24"/>
          <w:szCs w:val="24"/>
        </w:rPr>
        <w:footnoteReference w:id="40"/>
      </w:r>
      <w:r w:rsidR="00B428E3">
        <w:rPr>
          <w:noProof/>
        </w:rPr>
        <w:t>,</w:t>
      </w:r>
      <w:r w:rsidR="00F21765">
        <w:rPr>
          <w:noProof/>
        </w:rPr>
        <w:t xml:space="preserve"> </w:t>
      </w:r>
      <w:r w:rsidR="00B428E3" w:rsidRPr="005E4026">
        <w:rPr>
          <w:noProof/>
        </w:rPr>
        <w:t>to further ease the administrative burden on both businesses and the Commission</w:t>
      </w:r>
      <w:r w:rsidR="00B428E3">
        <w:rPr>
          <w:noProof/>
        </w:rPr>
        <w:t xml:space="preserve">. </w:t>
      </w:r>
      <w:r w:rsidRPr="005E4026">
        <w:rPr>
          <w:noProof/>
        </w:rPr>
        <w:t xml:space="preserve">Following the evaluation, the Commission </w:t>
      </w:r>
      <w:r w:rsidR="00E72CDD">
        <w:rPr>
          <w:noProof/>
        </w:rPr>
        <w:t>launched a public consultation</w:t>
      </w:r>
      <w:r w:rsidR="00B428E3">
        <w:rPr>
          <w:noProof/>
        </w:rPr>
        <w:t xml:space="preserve"> on a revised Notice </w:t>
      </w:r>
      <w:r w:rsidR="00284664">
        <w:rPr>
          <w:noProof/>
        </w:rPr>
        <w:t xml:space="preserve">and Merger Implementing Regulation </w:t>
      </w:r>
      <w:r w:rsidR="00B428E3">
        <w:rPr>
          <w:noProof/>
        </w:rPr>
        <w:t>in May 2022.</w:t>
      </w:r>
      <w:r w:rsidRPr="005E4026">
        <w:rPr>
          <w:rStyle w:val="FootnoteReference"/>
          <w:noProof/>
          <w:sz w:val="24"/>
          <w:szCs w:val="24"/>
        </w:rPr>
        <w:footnoteReference w:id="41"/>
      </w:r>
      <w:r w:rsidRPr="005E4026">
        <w:rPr>
          <w:noProof/>
        </w:rPr>
        <w:t xml:space="preserve"> </w:t>
      </w:r>
      <w:r w:rsidR="00B428E3" w:rsidRPr="00B428E3">
        <w:rPr>
          <w:noProof/>
        </w:rPr>
        <w:t xml:space="preserve">On 28 October 2022, the Commission’s Regulatory Scrutiny Board adopted a positive opinion on the impact assessment report. </w:t>
      </w:r>
      <w:r w:rsidR="008E7EC8">
        <w:rPr>
          <w:noProof/>
        </w:rPr>
        <w:t>Once adopted, t</w:t>
      </w:r>
      <w:r w:rsidR="00B428E3" w:rsidRPr="00B428E3">
        <w:rPr>
          <w:noProof/>
        </w:rPr>
        <w:t>he revised Implementing Regulation and Notice will allow for further simplification through the introduction of new categories of simplified cases, the streamlining of the Commission’s merger procedures, as well as the introduction of electronic notification as the default way of notifying merger transactions.</w:t>
      </w:r>
    </w:p>
    <w:p w14:paraId="7D5E32C2" w14:textId="77777777" w:rsidR="00C00796" w:rsidRDefault="00C00796" w:rsidP="00C00796">
      <w:pPr>
        <w:pStyle w:val="Heading3"/>
        <w:spacing w:after="120"/>
        <w:rPr>
          <w:rStyle w:val="OPDarkBlueEmphasis"/>
          <w:rFonts w:asciiTheme="minorHAnsi" w:hAnsiTheme="minorHAnsi"/>
        </w:rPr>
      </w:pPr>
      <w:r>
        <w:rPr>
          <w:noProof/>
          <w:sz w:val="24"/>
        </w:rPr>
        <w:t>Preparation of new</w:t>
      </w:r>
      <w:r w:rsidRPr="00937722">
        <w:rPr>
          <w:noProof/>
          <w:sz w:val="24"/>
        </w:rPr>
        <w:t xml:space="preserve"> Guidelines </w:t>
      </w:r>
      <w:r>
        <w:rPr>
          <w:noProof/>
          <w:sz w:val="24"/>
        </w:rPr>
        <w:t>on sustainability agreements in agriculture</w:t>
      </w:r>
    </w:p>
    <w:p w14:paraId="21CE3603" w14:textId="77777777" w:rsidR="004B766F" w:rsidRDefault="004B766F" w:rsidP="00C00796">
      <w:pPr>
        <w:spacing w:after="120"/>
        <w:rPr>
          <w:noProof/>
        </w:rPr>
      </w:pPr>
      <w:r>
        <w:rPr>
          <w:noProof/>
        </w:rPr>
        <w:t>The reform of the Common Agricultural Policy (‘CAP’) for the period 2023-2027 introduced a</w:t>
      </w:r>
      <w:r w:rsidRPr="00FA5A42">
        <w:rPr>
          <w:noProof/>
        </w:rPr>
        <w:t xml:space="preserve"> new </w:t>
      </w:r>
      <w:r>
        <w:rPr>
          <w:noProof/>
        </w:rPr>
        <w:t>exclusion</w:t>
      </w:r>
      <w:r w:rsidRPr="00FA5A42">
        <w:rPr>
          <w:noProof/>
        </w:rPr>
        <w:t xml:space="preserve"> to Article 101</w:t>
      </w:r>
      <w:r>
        <w:rPr>
          <w:noProof/>
        </w:rPr>
        <w:t xml:space="preserve"> </w:t>
      </w:r>
      <w:r w:rsidRPr="00FA5A42">
        <w:rPr>
          <w:noProof/>
        </w:rPr>
        <w:t>TFEU</w:t>
      </w:r>
      <w:r>
        <w:rPr>
          <w:noProof/>
        </w:rPr>
        <w:t>,</w:t>
      </w:r>
      <w:r>
        <w:rPr>
          <w:rStyle w:val="FootnoteReference"/>
          <w:noProof/>
        </w:rPr>
        <w:footnoteReference w:id="42"/>
      </w:r>
      <w:r w:rsidRPr="008A6529">
        <w:rPr>
          <w:noProof/>
        </w:rPr>
        <w:t xml:space="preserve"> allow</w:t>
      </w:r>
      <w:r>
        <w:rPr>
          <w:noProof/>
        </w:rPr>
        <w:t>ing</w:t>
      </w:r>
      <w:r w:rsidRPr="008A6529">
        <w:rPr>
          <w:noProof/>
        </w:rPr>
        <w:t xml:space="preserve"> agricultural producers and other operators in the agri-food supply chain to </w:t>
      </w:r>
      <w:r>
        <w:rPr>
          <w:noProof/>
        </w:rPr>
        <w:t>agree on certain restrictions on prices, output and other elements of competition provided that those restrictions are indispensable to attain</w:t>
      </w:r>
      <w:r w:rsidRPr="008A6529">
        <w:rPr>
          <w:noProof/>
        </w:rPr>
        <w:t xml:space="preserve"> sustainability standards </w:t>
      </w:r>
      <w:r>
        <w:rPr>
          <w:noProof/>
        </w:rPr>
        <w:t xml:space="preserve">going beyond mandatory standards </w:t>
      </w:r>
      <w:r w:rsidRPr="008A6529">
        <w:rPr>
          <w:noProof/>
        </w:rPr>
        <w:t>in existing EU and national legislation. This possibility concerns certain environmental, health or a</w:t>
      </w:r>
      <w:r>
        <w:rPr>
          <w:noProof/>
        </w:rPr>
        <w:t>nimal welfare standards. In 2022</w:t>
      </w:r>
      <w:r w:rsidRPr="008A6529">
        <w:rPr>
          <w:noProof/>
        </w:rPr>
        <w:t>, the Commission</w:t>
      </w:r>
      <w:r>
        <w:rPr>
          <w:noProof/>
        </w:rPr>
        <w:t xml:space="preserve"> carried out a public consultation</w:t>
      </w:r>
      <w:r>
        <w:rPr>
          <w:rStyle w:val="FootnoteReference"/>
          <w:noProof/>
        </w:rPr>
        <w:footnoteReference w:id="43"/>
      </w:r>
      <w:r>
        <w:rPr>
          <w:noProof/>
        </w:rPr>
        <w:t xml:space="preserve"> to prepare the draft guidelines to explain this exclusion</w:t>
      </w:r>
      <w:r w:rsidRPr="008A6529">
        <w:rPr>
          <w:noProof/>
        </w:rPr>
        <w:t>.</w:t>
      </w:r>
      <w:r>
        <w:rPr>
          <w:noProof/>
        </w:rPr>
        <w:t xml:space="preserve"> The aim is to have the Guidelines in place by the end of December 2023.</w:t>
      </w:r>
    </w:p>
    <w:p w14:paraId="7EFADC8A" w14:textId="77777777" w:rsidR="005C24D2" w:rsidRPr="00937722" w:rsidRDefault="005C24D2" w:rsidP="005C24D2">
      <w:pPr>
        <w:pStyle w:val="Heading3"/>
        <w:spacing w:after="120"/>
        <w:rPr>
          <w:i w:val="0"/>
          <w:noProof/>
          <w:sz w:val="24"/>
        </w:rPr>
      </w:pPr>
      <w:r w:rsidRPr="00937722">
        <w:rPr>
          <w:noProof/>
          <w:sz w:val="24"/>
        </w:rPr>
        <w:t xml:space="preserve">Evaluation of the Consortia Block Exemption Regulation </w:t>
      </w:r>
      <w:r w:rsidR="00C35E63" w:rsidRPr="00937722">
        <w:rPr>
          <w:noProof/>
          <w:sz w:val="24"/>
        </w:rPr>
        <w:t>continued</w:t>
      </w:r>
    </w:p>
    <w:p w14:paraId="78EB96F6" w14:textId="77777777" w:rsidR="002B1AC4" w:rsidRDefault="002B1AC4" w:rsidP="002B1AC4">
      <w:pPr>
        <w:spacing w:after="120"/>
        <w:rPr>
          <w:noProof/>
        </w:rPr>
      </w:pPr>
      <w:r>
        <w:rPr>
          <w:noProof/>
        </w:rPr>
        <w:t>The Consortia Block Exemption Regulation (‘CBER’)</w:t>
      </w:r>
      <w:r>
        <w:rPr>
          <w:rStyle w:val="FootnoteReference"/>
          <w:noProof/>
          <w:sz w:val="24"/>
          <w:szCs w:val="24"/>
        </w:rPr>
        <w:footnoteReference w:id="44"/>
      </w:r>
      <w:r>
        <w:rPr>
          <w:noProof/>
        </w:rPr>
        <w:t xml:space="preserve"> allows, under certain conditions, liner shipping companies (also known as carriers) to cooperate and provide joint services. </w:t>
      </w:r>
      <w:r w:rsidR="00A61CF5">
        <w:rPr>
          <w:noProof/>
        </w:rPr>
        <w:t>As</w:t>
      </w:r>
      <w:r>
        <w:rPr>
          <w:noProof/>
        </w:rPr>
        <w:t xml:space="preserve"> the CBER is due to expire on 25 April 2024, the Commission </w:t>
      </w:r>
      <w:r w:rsidR="00A61CF5">
        <w:rPr>
          <w:noProof/>
        </w:rPr>
        <w:t xml:space="preserve">launched an evaluation process to assess whether </w:t>
      </w:r>
      <w:r>
        <w:rPr>
          <w:noProof/>
        </w:rPr>
        <w:t>the Regulation is still fit-for-purpose. The evaluation will inform the Commission’s decision whether to further extend the CBER</w:t>
      </w:r>
      <w:r w:rsidR="00A61CF5">
        <w:rPr>
          <w:noProof/>
        </w:rPr>
        <w:t>, extend it with changes</w:t>
      </w:r>
      <w:r>
        <w:rPr>
          <w:noProof/>
        </w:rPr>
        <w:t xml:space="preserve"> or </w:t>
      </w:r>
      <w:r w:rsidR="00A61CF5">
        <w:rPr>
          <w:noProof/>
        </w:rPr>
        <w:t>repeal it</w:t>
      </w:r>
      <w:r>
        <w:rPr>
          <w:noProof/>
        </w:rPr>
        <w:t xml:space="preserve">. </w:t>
      </w:r>
    </w:p>
    <w:p w14:paraId="010B4CE3" w14:textId="77777777" w:rsidR="000E3ECD" w:rsidRPr="00937722" w:rsidRDefault="000E3ECD" w:rsidP="00937722">
      <w:pPr>
        <w:pStyle w:val="Heading3"/>
        <w:spacing w:after="120"/>
        <w:rPr>
          <w:i w:val="0"/>
          <w:noProof/>
          <w:sz w:val="24"/>
        </w:rPr>
      </w:pPr>
      <w:r w:rsidRPr="00937722">
        <w:rPr>
          <w:noProof/>
          <w:sz w:val="24"/>
        </w:rPr>
        <w:t>Evaluation of the Regulation 1/2003</w:t>
      </w:r>
      <w:r w:rsidR="007C10AA" w:rsidRPr="00937722">
        <w:rPr>
          <w:noProof/>
          <w:sz w:val="24"/>
        </w:rPr>
        <w:t xml:space="preserve"> launched</w:t>
      </w:r>
    </w:p>
    <w:p w14:paraId="29915B23" w14:textId="77777777" w:rsidR="000E3ECD" w:rsidRPr="00937722" w:rsidRDefault="000E3ECD" w:rsidP="003A25D2">
      <w:pPr>
        <w:spacing w:after="160"/>
        <w:rPr>
          <w:noProof/>
        </w:rPr>
      </w:pPr>
      <w:r w:rsidRPr="00937722">
        <w:rPr>
          <w:noProof/>
        </w:rPr>
        <w:t>Regulation 1/2003</w:t>
      </w:r>
      <w:r w:rsidRPr="00937722">
        <w:rPr>
          <w:rStyle w:val="FootnoteReference"/>
          <w:noProof/>
          <w:sz w:val="24"/>
          <w:szCs w:val="24"/>
        </w:rPr>
        <w:footnoteReference w:id="45"/>
      </w:r>
      <w:r w:rsidRPr="00937722">
        <w:rPr>
          <w:noProof/>
        </w:rPr>
        <w:t xml:space="preserve"> and its implementing act, Regulation 773/2004</w:t>
      </w:r>
      <w:r w:rsidRPr="00937722">
        <w:rPr>
          <w:rStyle w:val="FootnoteReference"/>
          <w:noProof/>
          <w:sz w:val="24"/>
          <w:szCs w:val="24"/>
        </w:rPr>
        <w:footnoteReference w:id="46"/>
      </w:r>
      <w:r w:rsidRPr="00937722">
        <w:rPr>
          <w:noProof/>
        </w:rPr>
        <w:t xml:space="preserve"> establish a procedural framework aimed at ensuring the effective and uniform application of Articles 101 and 102 </w:t>
      </w:r>
      <w:r w:rsidR="00EC33B7" w:rsidRPr="00937722">
        <w:rPr>
          <w:noProof/>
        </w:rPr>
        <w:t>TFEU</w:t>
      </w:r>
      <w:r w:rsidR="002D6601">
        <w:rPr>
          <w:noProof/>
        </w:rPr>
        <w:t xml:space="preserve"> in the EU</w:t>
      </w:r>
      <w:r w:rsidRPr="00937722">
        <w:rPr>
          <w:noProof/>
        </w:rPr>
        <w:t xml:space="preserve">. </w:t>
      </w:r>
      <w:r w:rsidR="001C25B8" w:rsidRPr="00937722">
        <w:rPr>
          <w:noProof/>
        </w:rPr>
        <w:t>N</w:t>
      </w:r>
      <w:r w:rsidRPr="00937722">
        <w:rPr>
          <w:noProof/>
        </w:rPr>
        <w:t>ew challenges for the enforcement of competition rules have emerged</w:t>
      </w:r>
      <w:r w:rsidR="001C25B8" w:rsidRPr="00937722">
        <w:rPr>
          <w:noProof/>
        </w:rPr>
        <w:t xml:space="preserve"> over time</w:t>
      </w:r>
      <w:r w:rsidR="00F21765">
        <w:rPr>
          <w:noProof/>
        </w:rPr>
        <w:t>, f</w:t>
      </w:r>
      <w:r w:rsidRPr="00937722">
        <w:rPr>
          <w:noProof/>
        </w:rPr>
        <w:t>or example the digit</w:t>
      </w:r>
      <w:r w:rsidR="000C0AD6" w:rsidRPr="00937722">
        <w:rPr>
          <w:noProof/>
        </w:rPr>
        <w:t>al</w:t>
      </w:r>
      <w:r w:rsidRPr="00937722">
        <w:rPr>
          <w:noProof/>
        </w:rPr>
        <w:t>isation of the economy and the increasing complexity of antitrust investigations</w:t>
      </w:r>
      <w:r w:rsidR="002A00D3" w:rsidRPr="00937722">
        <w:rPr>
          <w:noProof/>
        </w:rPr>
        <w:t>.</w:t>
      </w:r>
      <w:r w:rsidR="006E4A59" w:rsidRPr="00937722">
        <w:rPr>
          <w:noProof/>
        </w:rPr>
        <w:t xml:space="preserve"> </w:t>
      </w:r>
      <w:r w:rsidR="00150DE9">
        <w:rPr>
          <w:noProof/>
        </w:rPr>
        <w:t>T</w:t>
      </w:r>
      <w:r w:rsidRPr="00937722">
        <w:rPr>
          <w:noProof/>
        </w:rPr>
        <w:t xml:space="preserve">he Commission announced </w:t>
      </w:r>
      <w:r w:rsidR="002D6601">
        <w:rPr>
          <w:noProof/>
        </w:rPr>
        <w:t xml:space="preserve">in June 2022 </w:t>
      </w:r>
      <w:r w:rsidRPr="00937722">
        <w:rPr>
          <w:noProof/>
        </w:rPr>
        <w:t xml:space="preserve">the launch </w:t>
      </w:r>
      <w:r w:rsidR="002D6601">
        <w:rPr>
          <w:noProof/>
        </w:rPr>
        <w:t xml:space="preserve">of </w:t>
      </w:r>
      <w:r w:rsidRPr="00937722">
        <w:rPr>
          <w:noProof/>
        </w:rPr>
        <w:t xml:space="preserve">a public consultation seeking feedback on how </w:t>
      </w:r>
      <w:r w:rsidR="00EA67D2" w:rsidRPr="00937722">
        <w:rPr>
          <w:noProof/>
        </w:rPr>
        <w:t>the Regulations</w:t>
      </w:r>
      <w:r w:rsidRPr="00937722">
        <w:rPr>
          <w:noProof/>
        </w:rPr>
        <w:t xml:space="preserve"> have performed since their entry into force</w:t>
      </w:r>
      <w:r w:rsidRPr="00937722">
        <w:rPr>
          <w:rStyle w:val="FootnoteReference"/>
          <w:noProof/>
          <w:sz w:val="24"/>
          <w:szCs w:val="24"/>
        </w:rPr>
        <w:footnoteReference w:id="47"/>
      </w:r>
      <w:r w:rsidRPr="00937722">
        <w:rPr>
          <w:noProof/>
        </w:rPr>
        <w:t xml:space="preserve">. The aim of the consultation is to collect evidence and views on </w:t>
      </w:r>
      <w:r w:rsidR="000C0AD6" w:rsidRPr="00937722">
        <w:rPr>
          <w:noProof/>
        </w:rPr>
        <w:t xml:space="preserve">the </w:t>
      </w:r>
      <w:r w:rsidRPr="00937722">
        <w:rPr>
          <w:noProof/>
        </w:rPr>
        <w:t>procedures applied in the antitrust investigations</w:t>
      </w:r>
      <w:r w:rsidR="00150DE9">
        <w:rPr>
          <w:noProof/>
        </w:rPr>
        <w:t>.</w:t>
      </w:r>
      <w:r w:rsidRPr="00937722">
        <w:rPr>
          <w:noProof/>
        </w:rPr>
        <w:t xml:space="preserve"> </w:t>
      </w:r>
    </w:p>
    <w:p w14:paraId="486209CF" w14:textId="77777777" w:rsidR="00F44682" w:rsidRDefault="00F44682" w:rsidP="00E16E8F">
      <w:pPr>
        <w:pStyle w:val="Heading2"/>
      </w:pPr>
      <w:bookmarkStart w:id="19" w:name="_Toc122109053"/>
      <w:bookmarkStart w:id="20" w:name="_Toc130224414"/>
      <w:r w:rsidRPr="00AA53E9">
        <w:t>3.</w:t>
      </w:r>
      <w:r w:rsidR="00A70D62">
        <w:t>3</w:t>
      </w:r>
      <w:r w:rsidRPr="00AA53E9">
        <w:t>. Updati</w:t>
      </w:r>
      <w:r w:rsidR="00083624">
        <w:t>ng State aid rules and guidance</w:t>
      </w:r>
      <w:r w:rsidR="0037668B" w:rsidRPr="0037668B">
        <w:t xml:space="preserve"> to make them fit for new challenges</w:t>
      </w:r>
      <w:bookmarkEnd w:id="19"/>
      <w:bookmarkEnd w:id="20"/>
    </w:p>
    <w:p w14:paraId="741F2319" w14:textId="77777777" w:rsidR="00266675" w:rsidRPr="00937722" w:rsidRDefault="00266675" w:rsidP="00C5286E">
      <w:pPr>
        <w:pStyle w:val="Heading3"/>
        <w:spacing w:after="120"/>
        <w:rPr>
          <w:rFonts w:eastAsia="Times New Roman" w:cs="Times New Roman"/>
          <w:i w:val="0"/>
          <w:noProof/>
          <w:sz w:val="24"/>
        </w:rPr>
      </w:pPr>
      <w:r w:rsidRPr="00937722">
        <w:rPr>
          <w:rFonts w:eastAsia="Times New Roman" w:cs="Times New Roman"/>
          <w:noProof/>
          <w:sz w:val="24"/>
        </w:rPr>
        <w:t>Guidelines on State aid for climate, environmental protection and energy entered into force</w:t>
      </w:r>
    </w:p>
    <w:p w14:paraId="699276F5" w14:textId="77777777" w:rsidR="00266675" w:rsidRDefault="00266675" w:rsidP="00D746DD">
      <w:pPr>
        <w:spacing w:after="120"/>
        <w:rPr>
          <w:noProof/>
        </w:rPr>
      </w:pPr>
      <w:r w:rsidRPr="005E4026">
        <w:rPr>
          <w:rFonts w:eastAsia="Times New Roman" w:cs="Times New Roman"/>
          <w:noProof/>
          <w:color w:val="000000" w:themeColor="text1"/>
        </w:rPr>
        <w:t xml:space="preserve">The Climate, </w:t>
      </w:r>
      <w:r w:rsidR="00414738" w:rsidRPr="005E4026">
        <w:rPr>
          <w:rFonts w:eastAsia="Times New Roman" w:cs="Times New Roman"/>
          <w:noProof/>
          <w:color w:val="000000" w:themeColor="text1"/>
        </w:rPr>
        <w:t xml:space="preserve">Environmental </w:t>
      </w:r>
      <w:r w:rsidR="00414738">
        <w:rPr>
          <w:rFonts w:eastAsia="Times New Roman" w:cs="Times New Roman"/>
          <w:noProof/>
          <w:color w:val="000000" w:themeColor="text1"/>
        </w:rPr>
        <w:t xml:space="preserve">protection and </w:t>
      </w:r>
      <w:r w:rsidRPr="005E4026">
        <w:rPr>
          <w:rFonts w:eastAsia="Times New Roman" w:cs="Times New Roman"/>
          <w:noProof/>
          <w:color w:val="000000" w:themeColor="text1"/>
        </w:rPr>
        <w:t>Energy aid Guidelines (‘CEEAG’)</w:t>
      </w:r>
      <w:r w:rsidRPr="005E4026">
        <w:rPr>
          <w:rStyle w:val="FootnoteReference"/>
          <w:rFonts w:eastAsia="Times New Roman" w:cs="Times New Roman"/>
          <w:noProof/>
          <w:color w:val="000000" w:themeColor="text1"/>
          <w:sz w:val="24"/>
          <w:szCs w:val="24"/>
        </w:rPr>
        <w:footnoteReference w:id="48"/>
      </w:r>
      <w:r w:rsidR="00150DE9">
        <w:rPr>
          <w:rFonts w:eastAsia="Times New Roman" w:cs="Times New Roman"/>
          <w:noProof/>
          <w:color w:val="000000" w:themeColor="text1"/>
        </w:rPr>
        <w:t xml:space="preserve">, </w:t>
      </w:r>
      <w:r>
        <w:rPr>
          <w:noProof/>
        </w:rPr>
        <w:t xml:space="preserve">were adopted and </w:t>
      </w:r>
      <w:r w:rsidR="00DD2023">
        <w:rPr>
          <w:noProof/>
        </w:rPr>
        <w:t>became applicable</w:t>
      </w:r>
      <w:r w:rsidRPr="005E4026">
        <w:rPr>
          <w:noProof/>
        </w:rPr>
        <w:t xml:space="preserve"> in January 2022. </w:t>
      </w:r>
      <w:r w:rsidR="00093387">
        <w:rPr>
          <w:noProof/>
        </w:rPr>
        <w:t>They replace the previously applicable Environmental protection and Energy Aid Guidelines</w:t>
      </w:r>
      <w:r w:rsidR="00093387">
        <w:rPr>
          <w:rStyle w:val="FootnoteReference"/>
          <w:noProof/>
        </w:rPr>
        <w:footnoteReference w:id="49"/>
      </w:r>
      <w:r w:rsidR="00093387">
        <w:rPr>
          <w:noProof/>
        </w:rPr>
        <w:t xml:space="preserve">, to bring the framework </w:t>
      </w:r>
      <w:r w:rsidR="00093387">
        <w:rPr>
          <w:rFonts w:eastAsia="Times New Roman" w:cs="Times New Roman"/>
          <w:noProof/>
          <w:color w:val="000000" w:themeColor="text1"/>
        </w:rPr>
        <w:t xml:space="preserve">in line </w:t>
      </w:r>
      <w:r w:rsidR="00093387" w:rsidRPr="005E4026">
        <w:rPr>
          <w:rFonts w:eastAsia="Times New Roman" w:cs="Times New Roman"/>
          <w:noProof/>
        </w:rPr>
        <w:t xml:space="preserve">with the </w:t>
      </w:r>
      <w:r w:rsidR="00093387" w:rsidRPr="005E4026">
        <w:rPr>
          <w:noProof/>
        </w:rPr>
        <w:t xml:space="preserve">EU </w:t>
      </w:r>
      <w:r w:rsidR="00093387">
        <w:rPr>
          <w:noProof/>
        </w:rPr>
        <w:t xml:space="preserve">objectives set out in the European Green Deal and with the </w:t>
      </w:r>
      <w:r w:rsidR="00093387" w:rsidRPr="005E4026">
        <w:rPr>
          <w:noProof/>
        </w:rPr>
        <w:t>climate and energy targets for 2030 and 2050</w:t>
      </w:r>
      <w:r w:rsidR="00093387">
        <w:rPr>
          <w:noProof/>
        </w:rPr>
        <w:t>.</w:t>
      </w:r>
      <w:r w:rsidR="00093387" w:rsidRPr="005E4026">
        <w:rPr>
          <w:rFonts w:eastAsia="Times New Roman" w:cs="Times New Roman"/>
          <w:noProof/>
          <w:color w:val="000000" w:themeColor="text1"/>
        </w:rPr>
        <w:t xml:space="preserve"> </w:t>
      </w:r>
      <w:r w:rsidR="00A6586F">
        <w:rPr>
          <w:rFonts w:eastAsia="Times New Roman" w:cs="Times New Roman"/>
          <w:noProof/>
          <w:color w:val="000000" w:themeColor="text1"/>
        </w:rPr>
        <w:t>T</w:t>
      </w:r>
      <w:r w:rsidRPr="005E4026">
        <w:rPr>
          <w:rFonts w:eastAsia="Times New Roman" w:cs="Times New Roman"/>
          <w:noProof/>
          <w:color w:val="000000" w:themeColor="text1"/>
        </w:rPr>
        <w:t xml:space="preserve">he </w:t>
      </w:r>
      <w:r w:rsidRPr="005E4026">
        <w:rPr>
          <w:noProof/>
          <w:color w:val="000000" w:themeColor="text1"/>
        </w:rPr>
        <w:t>CEEAG</w:t>
      </w:r>
      <w:r w:rsidR="001F4486" w:rsidRPr="005E4026">
        <w:rPr>
          <w:rStyle w:val="FootnoteReference"/>
          <w:rFonts w:eastAsia="Times New Roman" w:cs="Times New Roman"/>
          <w:noProof/>
          <w:color w:val="000000" w:themeColor="text1"/>
          <w:sz w:val="24"/>
          <w:szCs w:val="24"/>
        </w:rPr>
        <w:footnoteReference w:id="50"/>
      </w:r>
      <w:r w:rsidRPr="005E4026">
        <w:rPr>
          <w:noProof/>
          <w:color w:val="000000" w:themeColor="text1"/>
        </w:rPr>
        <w:t xml:space="preserve"> </w:t>
      </w:r>
      <w:r w:rsidR="00AA07E5">
        <w:rPr>
          <w:noProof/>
          <w:color w:val="000000" w:themeColor="text1"/>
        </w:rPr>
        <w:t xml:space="preserve">allow Member States to </w:t>
      </w:r>
      <w:r w:rsidRPr="005E4026">
        <w:rPr>
          <w:noProof/>
          <w:color w:val="000000" w:themeColor="text1"/>
        </w:rPr>
        <w:t xml:space="preserve">support </w:t>
      </w:r>
      <w:r w:rsidRPr="005E4026">
        <w:rPr>
          <w:noProof/>
        </w:rPr>
        <w:t xml:space="preserve">efforts towards decarbonisation, </w:t>
      </w:r>
      <w:r w:rsidR="00A6586F">
        <w:rPr>
          <w:noProof/>
        </w:rPr>
        <w:t>the</w:t>
      </w:r>
      <w:r w:rsidRPr="005E4026">
        <w:rPr>
          <w:noProof/>
        </w:rPr>
        <w:t xml:space="preserve"> circular economy, biodiversity, clean or zero-emission mobility and energy efficiency</w:t>
      </w:r>
      <w:r w:rsidR="00BF5D21">
        <w:rPr>
          <w:noProof/>
        </w:rPr>
        <w:t>.</w:t>
      </w:r>
    </w:p>
    <w:p w14:paraId="32EA7F07" w14:textId="77777777" w:rsidR="00331BC1" w:rsidRPr="00937722" w:rsidRDefault="00331BC1" w:rsidP="00937722">
      <w:pPr>
        <w:pStyle w:val="Heading3"/>
        <w:spacing w:after="120"/>
        <w:rPr>
          <w:rFonts w:eastAsia="Times New Roman" w:cs="Times New Roman"/>
          <w:i w:val="0"/>
          <w:noProof/>
          <w:sz w:val="24"/>
        </w:rPr>
      </w:pPr>
      <w:r w:rsidRPr="00937722">
        <w:rPr>
          <w:rFonts w:eastAsia="Times New Roman" w:cs="Times New Roman"/>
          <w:noProof/>
          <w:sz w:val="24"/>
        </w:rPr>
        <w:t>Revised State aid Framework for research, development and innovation</w:t>
      </w:r>
      <w:r w:rsidR="0073660D">
        <w:rPr>
          <w:rFonts w:eastAsia="Times New Roman" w:cs="Times New Roman"/>
          <w:noProof/>
          <w:sz w:val="24"/>
        </w:rPr>
        <w:t xml:space="preserve"> adopted</w:t>
      </w:r>
    </w:p>
    <w:p w14:paraId="69180A34" w14:textId="77777777" w:rsidR="00331BC1" w:rsidRPr="00937722" w:rsidRDefault="007732E2" w:rsidP="00D746DD">
      <w:pPr>
        <w:spacing w:after="120"/>
        <w:rPr>
          <w:noProof/>
        </w:rPr>
      </w:pPr>
      <w:r w:rsidRPr="00937722">
        <w:rPr>
          <w:noProof/>
        </w:rPr>
        <w:t xml:space="preserve">The Commission </w:t>
      </w:r>
      <w:r w:rsidR="00150DE9">
        <w:rPr>
          <w:noProof/>
        </w:rPr>
        <w:t xml:space="preserve">supports the </w:t>
      </w:r>
      <w:r w:rsidRPr="00937722">
        <w:rPr>
          <w:noProof/>
        </w:rPr>
        <w:t xml:space="preserve">swift development and deployment of cutting edge and breakthrough technologies, </w:t>
      </w:r>
      <w:r w:rsidR="00150DE9" w:rsidRPr="00937722">
        <w:rPr>
          <w:noProof/>
        </w:rPr>
        <w:t xml:space="preserve">facilitating the green and digital transitions of the EU economy </w:t>
      </w:r>
      <w:r w:rsidRPr="00937722">
        <w:rPr>
          <w:noProof/>
        </w:rPr>
        <w:t>while contributing to the new European Innovation Agenda</w:t>
      </w:r>
      <w:r w:rsidRPr="00937722">
        <w:rPr>
          <w:rStyle w:val="FootnoteReference"/>
          <w:noProof/>
          <w:sz w:val="24"/>
          <w:szCs w:val="24"/>
        </w:rPr>
        <w:footnoteReference w:id="51"/>
      </w:r>
      <w:r w:rsidRPr="00937722">
        <w:rPr>
          <w:noProof/>
        </w:rPr>
        <w:t xml:space="preserve">. </w:t>
      </w:r>
      <w:r w:rsidR="00331BC1" w:rsidRPr="00937722">
        <w:rPr>
          <w:noProof/>
        </w:rPr>
        <w:t>In October 2022, the Commission adopted a revised Communication on State aid rules for research, development and innovation</w:t>
      </w:r>
      <w:r w:rsidR="00331BC1" w:rsidRPr="00937722">
        <w:rPr>
          <w:rStyle w:val="FootnoteReference"/>
          <w:noProof/>
          <w:sz w:val="24"/>
          <w:szCs w:val="24"/>
        </w:rPr>
        <w:footnoteReference w:id="52"/>
      </w:r>
      <w:r w:rsidR="00331BC1" w:rsidRPr="00937722">
        <w:rPr>
          <w:noProof/>
        </w:rPr>
        <w:t>, which sets out the rules under which Member States can grant State aid t</w:t>
      </w:r>
      <w:r w:rsidR="00D746DD">
        <w:rPr>
          <w:noProof/>
        </w:rPr>
        <w:t xml:space="preserve">o companies for </w:t>
      </w:r>
      <w:r w:rsidR="00E64494">
        <w:rPr>
          <w:noProof/>
        </w:rPr>
        <w:t xml:space="preserve">research, development and innovation </w:t>
      </w:r>
      <w:r w:rsidR="00D746DD">
        <w:rPr>
          <w:noProof/>
        </w:rPr>
        <w:t>activities.</w:t>
      </w:r>
    </w:p>
    <w:p w14:paraId="5A4C64D9" w14:textId="77777777" w:rsidR="008347B0" w:rsidRPr="008347B0" w:rsidRDefault="008347B0" w:rsidP="005B4ED5">
      <w:pPr>
        <w:pStyle w:val="Heading3"/>
        <w:spacing w:after="120"/>
        <w:rPr>
          <w:rFonts w:eastAsia="Times New Roman" w:cs="Times New Roman"/>
          <w:noProof/>
          <w:sz w:val="24"/>
        </w:rPr>
      </w:pPr>
      <w:r w:rsidRPr="008347B0">
        <w:rPr>
          <w:rFonts w:eastAsia="Times New Roman" w:cs="Times New Roman"/>
          <w:noProof/>
          <w:sz w:val="24"/>
        </w:rPr>
        <w:t>State aid rules in the agriculture and forestry sectors and in rural areas fit for the green transition adopted</w:t>
      </w:r>
    </w:p>
    <w:p w14:paraId="3FC5D19E" w14:textId="2E100E92" w:rsidR="00A90101" w:rsidRDefault="00A90101" w:rsidP="00A90101">
      <w:pPr>
        <w:spacing w:after="120"/>
        <w:rPr>
          <w:rFonts w:ascii="Calibri" w:hAnsi="Calibri" w:cs="Calibri"/>
          <w:noProof/>
          <w:sz w:val="22"/>
          <w:lang w:eastAsia="en-GB"/>
        </w:rPr>
      </w:pPr>
      <w:r>
        <w:rPr>
          <w:noProof/>
          <w:lang w:eastAsia="en-GB"/>
        </w:rPr>
        <w:t xml:space="preserve">With the focus on aligning the State aid rules with current EU strategic priorities, in </w:t>
      </w:r>
      <w:r>
        <w:rPr>
          <w:noProof/>
        </w:rPr>
        <w:t>particular</w:t>
      </w:r>
      <w:r>
        <w:rPr>
          <w:noProof/>
          <w:lang w:eastAsia="en-GB"/>
        </w:rPr>
        <w:t xml:space="preserve"> the Common Agricultural Policy Strategic Plans</w:t>
      </w:r>
      <w:r>
        <w:rPr>
          <w:rStyle w:val="FootnoteReference"/>
          <w:noProof/>
        </w:rPr>
        <w:footnoteReference w:id="53"/>
      </w:r>
      <w:r>
        <w:rPr>
          <w:noProof/>
          <w:lang w:eastAsia="en-GB"/>
        </w:rPr>
        <w:t>, the European Green Deal and Farm to Fork Strategy</w:t>
      </w:r>
      <w:r w:rsidR="0011336A">
        <w:rPr>
          <w:noProof/>
          <w:lang w:eastAsia="en-GB"/>
        </w:rPr>
        <w:t xml:space="preserve"> </w:t>
      </w:r>
      <w:r>
        <w:rPr>
          <w:noProof/>
          <w:lang w:eastAsia="en-GB"/>
        </w:rPr>
        <w:t>in 2022, the Commission has adopted a new set of State aid rules for the agriculture and forestry sectors and rural areas</w:t>
      </w:r>
      <w:r>
        <w:rPr>
          <w:noProof/>
          <w:color w:val="1F497D"/>
          <w:lang w:eastAsia="en-GB"/>
        </w:rPr>
        <w:t xml:space="preserve">: </w:t>
      </w:r>
      <w:r>
        <w:rPr>
          <w:noProof/>
          <w:lang w:eastAsia="en-GB"/>
        </w:rPr>
        <w:t>the State aid Guidelines in the agricultural and forestry sectors and in rural areas</w:t>
      </w:r>
      <w:r>
        <w:rPr>
          <w:noProof/>
          <w:color w:val="1F497D"/>
          <w:lang w:eastAsia="en-GB"/>
        </w:rPr>
        <w:t xml:space="preserve"> </w:t>
      </w:r>
      <w:r w:rsidRPr="008C2D0B">
        <w:rPr>
          <w:noProof/>
          <w:lang w:eastAsia="en-GB"/>
        </w:rPr>
        <w:t>and</w:t>
      </w:r>
      <w:r w:rsidRPr="00B9630B">
        <w:rPr>
          <w:noProof/>
          <w:lang w:eastAsia="en-GB"/>
        </w:rPr>
        <w:t xml:space="preserve"> </w:t>
      </w:r>
      <w:r>
        <w:rPr>
          <w:noProof/>
          <w:lang w:eastAsia="en-GB"/>
        </w:rPr>
        <w:t xml:space="preserve">the Agricultural Block Exemption Regulation. In January 2022, the Commission launched a public consultation on the proposed revision of the rules, which ran until March 2022. </w:t>
      </w:r>
      <w:r w:rsidR="009F3D9D">
        <w:rPr>
          <w:noProof/>
          <w:lang w:eastAsia="en-GB"/>
        </w:rPr>
        <w:t xml:space="preserve">The proposed revision would </w:t>
      </w:r>
      <w:r>
        <w:rPr>
          <w:noProof/>
          <w:lang w:eastAsia="en-GB"/>
        </w:rPr>
        <w:t xml:space="preserve">make it easier and faster for Member States to provide funding to </w:t>
      </w:r>
      <w:r w:rsidRPr="008347B0">
        <w:rPr>
          <w:rFonts w:eastAsia="Times New Roman" w:cs="Times New Roman"/>
          <w:noProof/>
          <w:sz w:val="24"/>
        </w:rPr>
        <w:t>agriculture and forestry sectors and in rural areas</w:t>
      </w:r>
      <w:r>
        <w:rPr>
          <w:noProof/>
          <w:lang w:eastAsia="en-GB"/>
        </w:rPr>
        <w:t xml:space="preserve">, without causing undue distortions of competition in the Single Market. </w:t>
      </w:r>
    </w:p>
    <w:p w14:paraId="23076CBF" w14:textId="77777777" w:rsidR="008347B0" w:rsidRPr="008347B0" w:rsidRDefault="008347B0" w:rsidP="002D38DE">
      <w:pPr>
        <w:pStyle w:val="Heading3"/>
        <w:spacing w:after="120"/>
        <w:rPr>
          <w:rFonts w:eastAsia="Times New Roman" w:cs="Times New Roman"/>
          <w:noProof/>
          <w:sz w:val="24"/>
        </w:rPr>
      </w:pPr>
      <w:r w:rsidRPr="008347B0">
        <w:rPr>
          <w:rFonts w:eastAsia="Times New Roman" w:cs="Times New Roman"/>
          <w:noProof/>
          <w:sz w:val="24"/>
        </w:rPr>
        <w:t>State aid rules in the fishery and aquaculture sectors</w:t>
      </w:r>
    </w:p>
    <w:p w14:paraId="6EE3A6C3" w14:textId="0BF31DA4" w:rsidR="008347B0" w:rsidRDefault="008347B0" w:rsidP="008347B0">
      <w:pPr>
        <w:spacing w:after="120"/>
        <w:rPr>
          <w:noProof/>
        </w:rPr>
      </w:pPr>
      <w:r>
        <w:rPr>
          <w:noProof/>
          <w:color w:val="000000"/>
        </w:rPr>
        <w:t xml:space="preserve">In 2022, the Commission adopted a new </w:t>
      </w:r>
      <w:r w:rsidR="003C22D3">
        <w:rPr>
          <w:noProof/>
          <w:color w:val="000000"/>
        </w:rPr>
        <w:t>b</w:t>
      </w:r>
      <w:r>
        <w:rPr>
          <w:noProof/>
          <w:color w:val="000000"/>
        </w:rPr>
        <w:t xml:space="preserve">lock </w:t>
      </w:r>
      <w:r w:rsidR="003C22D3">
        <w:rPr>
          <w:noProof/>
          <w:color w:val="000000"/>
        </w:rPr>
        <w:t>e</w:t>
      </w:r>
      <w:r>
        <w:rPr>
          <w:noProof/>
          <w:color w:val="000000"/>
        </w:rPr>
        <w:t>xemption regulation for</w:t>
      </w:r>
      <w:r w:rsidR="003C22D3">
        <w:rPr>
          <w:noProof/>
          <w:color w:val="000000"/>
        </w:rPr>
        <w:t xml:space="preserve"> the</w:t>
      </w:r>
      <w:r>
        <w:rPr>
          <w:noProof/>
          <w:color w:val="000000"/>
        </w:rPr>
        <w:t xml:space="preserve"> </w:t>
      </w:r>
      <w:r w:rsidR="003C22D3" w:rsidRPr="008347B0">
        <w:rPr>
          <w:rFonts w:eastAsia="Times New Roman" w:cs="Times New Roman"/>
          <w:noProof/>
          <w:sz w:val="24"/>
        </w:rPr>
        <w:t>fishery and aquaculture sectors</w:t>
      </w:r>
      <w:r w:rsidR="0011336A">
        <w:rPr>
          <w:rStyle w:val="FootnoteReference"/>
          <w:noProof/>
          <w:color w:val="000000"/>
        </w:rPr>
        <w:footnoteReference w:id="54"/>
      </w:r>
      <w:r>
        <w:rPr>
          <w:noProof/>
          <w:color w:val="000000"/>
        </w:rPr>
        <w:t xml:space="preserve"> and </w:t>
      </w:r>
      <w:r w:rsidR="0054101F" w:rsidRPr="009F3D9D">
        <w:rPr>
          <w:noProof/>
          <w:color w:val="000000"/>
        </w:rPr>
        <w:t>issue</w:t>
      </w:r>
      <w:r w:rsidR="0054101F" w:rsidRPr="00615B56">
        <w:rPr>
          <w:noProof/>
          <w:color w:val="000000"/>
        </w:rPr>
        <w:t>d</w:t>
      </w:r>
      <w:r w:rsidR="003A36B3" w:rsidRPr="00615B56">
        <w:rPr>
          <w:noProof/>
          <w:color w:val="000000"/>
        </w:rPr>
        <w:t xml:space="preserve"> </w:t>
      </w:r>
      <w:r w:rsidRPr="00615B56">
        <w:rPr>
          <w:noProof/>
          <w:color w:val="000000"/>
        </w:rPr>
        <w:t>n</w:t>
      </w:r>
      <w:r w:rsidRPr="009F3D9D">
        <w:rPr>
          <w:noProof/>
          <w:color w:val="000000"/>
        </w:rPr>
        <w:t>ew</w:t>
      </w:r>
      <w:r>
        <w:rPr>
          <w:noProof/>
          <w:color w:val="000000"/>
        </w:rPr>
        <w:t xml:space="preserve"> </w:t>
      </w:r>
      <w:r>
        <w:rPr>
          <w:noProof/>
        </w:rPr>
        <w:t>Guidelines for State aid in the fishery and aquaculture sector</w:t>
      </w:r>
      <w:r w:rsidR="003C22D3">
        <w:rPr>
          <w:noProof/>
        </w:rPr>
        <w:t>s</w:t>
      </w:r>
      <w:r w:rsidR="0054101F">
        <w:rPr>
          <w:rStyle w:val="FootnoteReference"/>
          <w:noProof/>
        </w:rPr>
        <w:footnoteReference w:id="55"/>
      </w:r>
      <w:r>
        <w:rPr>
          <w:noProof/>
          <w:color w:val="000000"/>
        </w:rPr>
        <w:t xml:space="preserve">. The </w:t>
      </w:r>
      <w:r w:rsidR="003C22D3">
        <w:rPr>
          <w:noProof/>
          <w:color w:val="000000"/>
        </w:rPr>
        <w:t xml:space="preserve">revised </w:t>
      </w:r>
      <w:r>
        <w:rPr>
          <w:noProof/>
          <w:color w:val="000000"/>
        </w:rPr>
        <w:t xml:space="preserve">Guidelines </w:t>
      </w:r>
      <w:r w:rsidR="00A519CD">
        <w:rPr>
          <w:noProof/>
          <w:color w:val="000000"/>
        </w:rPr>
        <w:t xml:space="preserve">aim to </w:t>
      </w:r>
      <w:r w:rsidR="002520E2" w:rsidRPr="002520E2">
        <w:rPr>
          <w:noProof/>
          <w:color w:val="000000"/>
        </w:rPr>
        <w:t xml:space="preserve">ensure that the economic development in fisheries and aquaculture takes place in full respect of the </w:t>
      </w:r>
      <w:r w:rsidR="002520E2">
        <w:rPr>
          <w:noProof/>
          <w:color w:val="000000"/>
        </w:rPr>
        <w:t>Common Fisheries Policy (‘</w:t>
      </w:r>
      <w:r w:rsidR="002520E2" w:rsidRPr="002520E2">
        <w:rPr>
          <w:noProof/>
          <w:color w:val="000000"/>
        </w:rPr>
        <w:t>CFP</w:t>
      </w:r>
      <w:r w:rsidR="002520E2">
        <w:rPr>
          <w:noProof/>
          <w:color w:val="000000"/>
        </w:rPr>
        <w:t>’),</w:t>
      </w:r>
      <w:r w:rsidR="002520E2" w:rsidRPr="002520E2">
        <w:rPr>
          <w:noProof/>
          <w:color w:val="000000"/>
        </w:rPr>
        <w:t xml:space="preserve"> </w:t>
      </w:r>
      <w:r w:rsidR="002520E2">
        <w:rPr>
          <w:noProof/>
          <w:color w:val="000000"/>
        </w:rPr>
        <w:t xml:space="preserve">in particular the </w:t>
      </w:r>
      <w:r w:rsidR="00A8033F" w:rsidRPr="00A519CD">
        <w:rPr>
          <w:noProof/>
          <w:color w:val="000000"/>
        </w:rPr>
        <w:t>protection of fish stocks</w:t>
      </w:r>
      <w:r w:rsidR="00204E82">
        <w:rPr>
          <w:noProof/>
          <w:color w:val="000000"/>
        </w:rPr>
        <w:t xml:space="preserve"> and </w:t>
      </w:r>
      <w:r w:rsidR="006E0493">
        <w:rPr>
          <w:noProof/>
          <w:color w:val="000000"/>
        </w:rPr>
        <w:t xml:space="preserve">the </w:t>
      </w:r>
      <w:r w:rsidR="00204E82">
        <w:rPr>
          <w:noProof/>
          <w:color w:val="000000"/>
        </w:rPr>
        <w:t>environment</w:t>
      </w:r>
      <w:r w:rsidR="003C22D3" w:rsidRPr="00A519CD">
        <w:rPr>
          <w:noProof/>
          <w:color w:val="000000"/>
        </w:rPr>
        <w:t>.</w:t>
      </w:r>
      <w:r w:rsidR="003C22D3">
        <w:rPr>
          <w:noProof/>
          <w:color w:val="000000"/>
        </w:rPr>
        <w:t xml:space="preserve"> The Guidelines </w:t>
      </w:r>
      <w:r>
        <w:rPr>
          <w:noProof/>
          <w:color w:val="000000"/>
        </w:rPr>
        <w:t xml:space="preserve">take into account </w:t>
      </w:r>
      <w:r w:rsidR="003C22D3">
        <w:rPr>
          <w:noProof/>
          <w:color w:val="000000"/>
        </w:rPr>
        <w:t>i</w:t>
      </w:r>
      <w:r>
        <w:rPr>
          <w:noProof/>
          <w:color w:val="000000"/>
        </w:rPr>
        <w:t xml:space="preserve">mportant policy and regulatory developments </w:t>
      </w:r>
      <w:r w:rsidR="003C22D3">
        <w:rPr>
          <w:noProof/>
          <w:color w:val="000000"/>
        </w:rPr>
        <w:t xml:space="preserve">in these sectors, in particular </w:t>
      </w:r>
      <w:r w:rsidR="009F3D9D">
        <w:rPr>
          <w:noProof/>
          <w:color w:val="000000"/>
        </w:rPr>
        <w:t xml:space="preserve">the </w:t>
      </w:r>
      <w:r>
        <w:rPr>
          <w:noProof/>
          <w:color w:val="000000"/>
        </w:rPr>
        <w:t xml:space="preserve">entry into force of </w:t>
      </w:r>
      <w:r w:rsidR="003C22D3">
        <w:rPr>
          <w:noProof/>
          <w:color w:val="000000"/>
        </w:rPr>
        <w:t xml:space="preserve">the </w:t>
      </w:r>
      <w:r>
        <w:rPr>
          <w:noProof/>
          <w:color w:val="000000"/>
        </w:rPr>
        <w:t xml:space="preserve">Regulation </w:t>
      </w:r>
      <w:r w:rsidR="003C22D3">
        <w:rPr>
          <w:noProof/>
          <w:color w:val="000000"/>
        </w:rPr>
        <w:t>creating a</w:t>
      </w:r>
      <w:r w:rsidR="00D031A0">
        <w:rPr>
          <w:noProof/>
          <w:color w:val="000000"/>
        </w:rPr>
        <w:t xml:space="preserve"> </w:t>
      </w:r>
      <w:r>
        <w:rPr>
          <w:noProof/>
          <w:color w:val="000000"/>
        </w:rPr>
        <w:t xml:space="preserve">European Maritime, Fisheries and Aquaculture Fund, </w:t>
      </w:r>
      <w:r w:rsidR="003C22D3">
        <w:rPr>
          <w:noProof/>
          <w:color w:val="000000"/>
        </w:rPr>
        <w:t xml:space="preserve">a component </w:t>
      </w:r>
      <w:r>
        <w:rPr>
          <w:noProof/>
          <w:color w:val="000000"/>
        </w:rPr>
        <w:t>of the C</w:t>
      </w:r>
      <w:r w:rsidR="002520E2">
        <w:rPr>
          <w:noProof/>
          <w:color w:val="000000"/>
        </w:rPr>
        <w:t>FP</w:t>
      </w:r>
      <w:r>
        <w:rPr>
          <w:rStyle w:val="FootnoteReference"/>
          <w:noProof/>
        </w:rPr>
        <w:footnoteReference w:id="56"/>
      </w:r>
      <w:r>
        <w:rPr>
          <w:noProof/>
          <w:color w:val="000000"/>
        </w:rPr>
        <w:t>.</w:t>
      </w:r>
      <w:r w:rsidR="00731603">
        <w:rPr>
          <w:noProof/>
          <w:color w:val="000000"/>
        </w:rPr>
        <w:t xml:space="preserve"> </w:t>
      </w:r>
      <w:r w:rsidR="00F160D8">
        <w:rPr>
          <w:noProof/>
          <w:color w:val="000000"/>
        </w:rPr>
        <w:t>Finally</w:t>
      </w:r>
      <w:r w:rsidR="003C22D3">
        <w:rPr>
          <w:noProof/>
          <w:color w:val="000000"/>
        </w:rPr>
        <w:t>,</w:t>
      </w:r>
      <w:r w:rsidR="00D031A0">
        <w:rPr>
          <w:noProof/>
          <w:color w:val="000000"/>
        </w:rPr>
        <w:t xml:space="preserve"> the</w:t>
      </w:r>
      <w:r w:rsidR="003C22D3">
        <w:rPr>
          <w:noProof/>
          <w:color w:val="000000"/>
        </w:rPr>
        <w:t xml:space="preserve"> </w:t>
      </w:r>
      <w:r w:rsidRPr="008347B0">
        <w:rPr>
          <w:noProof/>
          <w:color w:val="000000"/>
        </w:rPr>
        <w:t>Commission</w:t>
      </w:r>
      <w:r>
        <w:rPr>
          <w:noProof/>
        </w:rPr>
        <w:t xml:space="preserve"> prolonged the </w:t>
      </w:r>
      <w:r w:rsidR="003C22D3">
        <w:rPr>
          <w:noProof/>
        </w:rPr>
        <w:t>current F</w:t>
      </w:r>
      <w:r>
        <w:rPr>
          <w:noProof/>
        </w:rPr>
        <w:t xml:space="preserve">ishery </w:t>
      </w:r>
      <w:r w:rsidR="003C22D3" w:rsidRPr="00D031A0">
        <w:rPr>
          <w:iCs/>
          <w:noProof/>
        </w:rPr>
        <w:t>De</w:t>
      </w:r>
      <w:r w:rsidRPr="00D031A0">
        <w:rPr>
          <w:iCs/>
          <w:noProof/>
        </w:rPr>
        <w:t xml:space="preserve"> </w:t>
      </w:r>
      <w:r w:rsidR="003C22D3" w:rsidRPr="00D031A0">
        <w:rPr>
          <w:iCs/>
          <w:noProof/>
        </w:rPr>
        <w:t>M</w:t>
      </w:r>
      <w:r w:rsidRPr="00D031A0">
        <w:rPr>
          <w:iCs/>
          <w:noProof/>
        </w:rPr>
        <w:t>inimis</w:t>
      </w:r>
      <w:r>
        <w:rPr>
          <w:noProof/>
        </w:rPr>
        <w:t xml:space="preserve"> </w:t>
      </w:r>
      <w:r w:rsidR="003C22D3">
        <w:rPr>
          <w:noProof/>
        </w:rPr>
        <w:t>R</w:t>
      </w:r>
      <w:r>
        <w:rPr>
          <w:noProof/>
        </w:rPr>
        <w:t>egulation until 31 December 2023</w:t>
      </w:r>
      <w:r w:rsidR="00F160D8">
        <w:rPr>
          <w:rStyle w:val="FootnoteReference"/>
          <w:noProof/>
        </w:rPr>
        <w:footnoteReference w:id="57"/>
      </w:r>
      <w:r>
        <w:rPr>
          <w:noProof/>
        </w:rPr>
        <w:t xml:space="preserve">. </w:t>
      </w:r>
    </w:p>
    <w:p w14:paraId="2E817CB4" w14:textId="77777777" w:rsidR="00477107" w:rsidRPr="005E4026" w:rsidRDefault="00477107" w:rsidP="005B4ED5">
      <w:pPr>
        <w:pStyle w:val="Heading3"/>
        <w:spacing w:after="120"/>
        <w:rPr>
          <w:noProof/>
        </w:rPr>
      </w:pPr>
      <w:r w:rsidRPr="005E4026">
        <w:rPr>
          <w:noProof/>
        </w:rPr>
        <w:t xml:space="preserve">Revision of the State Aid General Block Exemption Regulation </w:t>
      </w:r>
      <w:r>
        <w:rPr>
          <w:noProof/>
        </w:rPr>
        <w:t>continued</w:t>
      </w:r>
    </w:p>
    <w:p w14:paraId="3899D497" w14:textId="77777777" w:rsidR="004D3166" w:rsidRPr="004D3166" w:rsidRDefault="00477107" w:rsidP="004D3166">
      <w:pPr>
        <w:spacing w:after="120"/>
        <w:rPr>
          <w:rFonts w:eastAsia="Times New Roman" w:cs="Times New Roman"/>
          <w:noProof/>
          <w:sz w:val="24"/>
          <w:szCs w:val="24"/>
          <w:lang w:val="en-IE"/>
        </w:rPr>
      </w:pPr>
      <w:r w:rsidRPr="00D746DD">
        <w:rPr>
          <w:rStyle w:val="OPDarkBlueEmphasis"/>
          <w:rFonts w:cs="Times New Roman"/>
          <w:b w:val="0"/>
          <w:color w:val="auto"/>
          <w:szCs w:val="23"/>
        </w:rPr>
        <w:t>The General Block Exemption Regulation (</w:t>
      </w:r>
      <w:r w:rsidR="00BD0680">
        <w:rPr>
          <w:rStyle w:val="OPDarkBlueEmphasis"/>
          <w:rFonts w:cs="Times New Roman"/>
          <w:b w:val="0"/>
          <w:color w:val="auto"/>
          <w:szCs w:val="23"/>
        </w:rPr>
        <w:t>‘</w:t>
      </w:r>
      <w:r w:rsidRPr="00D746DD">
        <w:rPr>
          <w:rStyle w:val="OPDarkBlueEmphasis"/>
          <w:rFonts w:cs="Times New Roman"/>
          <w:b w:val="0"/>
          <w:color w:val="auto"/>
          <w:szCs w:val="23"/>
        </w:rPr>
        <w:t>GBER</w:t>
      </w:r>
      <w:r w:rsidR="00BD0680">
        <w:rPr>
          <w:rStyle w:val="OPDarkBlueEmphasis"/>
          <w:rFonts w:cs="Times New Roman"/>
          <w:b w:val="0"/>
          <w:color w:val="auto"/>
          <w:szCs w:val="23"/>
        </w:rPr>
        <w:t>’</w:t>
      </w:r>
      <w:r w:rsidRPr="00D746DD">
        <w:rPr>
          <w:rStyle w:val="OPDarkBlueEmphasis"/>
          <w:rFonts w:cs="Times New Roman"/>
          <w:b w:val="0"/>
          <w:color w:val="auto"/>
          <w:szCs w:val="23"/>
        </w:rPr>
        <w:t>)</w:t>
      </w:r>
      <w:r w:rsidRPr="00D746DD">
        <w:rPr>
          <w:noProof/>
          <w:szCs w:val="23"/>
        </w:rPr>
        <w:t xml:space="preserve"> for State aid</w:t>
      </w:r>
      <w:r w:rsidRPr="00D746DD">
        <w:rPr>
          <w:rStyle w:val="FootnoteReference"/>
          <w:rFonts w:cs="Times New Roman"/>
          <w:noProof/>
          <w:szCs w:val="23"/>
        </w:rPr>
        <w:footnoteReference w:id="58"/>
      </w:r>
      <w:r w:rsidRPr="00D746DD">
        <w:rPr>
          <w:noProof/>
          <w:szCs w:val="23"/>
        </w:rPr>
        <w:t xml:space="preserve"> is </w:t>
      </w:r>
      <w:r w:rsidR="004D3166">
        <w:rPr>
          <w:noProof/>
          <w:szCs w:val="23"/>
        </w:rPr>
        <w:t xml:space="preserve">being prolonged and revised to facilitate the green and digital transition. </w:t>
      </w:r>
      <w:r w:rsidR="004D3166" w:rsidRPr="004D3166">
        <w:rPr>
          <w:noProof/>
        </w:rPr>
        <w:t>These amendments will complement the revisions of the Guidelines on regional aid</w:t>
      </w:r>
      <w:r w:rsidR="002D38DE">
        <w:rPr>
          <w:rStyle w:val="FootnoteReference"/>
          <w:noProof/>
        </w:rPr>
        <w:footnoteReference w:id="59"/>
      </w:r>
      <w:r w:rsidR="004D3166" w:rsidRPr="004D3166">
        <w:rPr>
          <w:noProof/>
        </w:rPr>
        <w:t>, on aid for research and development and innovation, on risk finance aid, on aid for the deployment of broadband networks</w:t>
      </w:r>
      <w:r w:rsidR="004D3166" w:rsidRPr="004D3166">
        <w:rPr>
          <w:noProof/>
          <w:lang w:val="en-IE"/>
        </w:rPr>
        <w:t xml:space="preserve"> </w:t>
      </w:r>
      <w:r w:rsidR="004D3166" w:rsidRPr="004D3166">
        <w:rPr>
          <w:noProof/>
        </w:rPr>
        <w:t>and on aid for environmental protection and energy. The Commission plans to adopt the amendment to the GBER in 2023</w:t>
      </w:r>
      <w:r w:rsidRPr="004D3166">
        <w:rPr>
          <w:noProof/>
          <w:szCs w:val="23"/>
        </w:rPr>
        <w:t xml:space="preserve">. </w:t>
      </w:r>
    </w:p>
    <w:p w14:paraId="007D7E79" w14:textId="77777777" w:rsidR="00477107" w:rsidRPr="005E4026" w:rsidRDefault="00BD0680" w:rsidP="00477107">
      <w:pPr>
        <w:pStyle w:val="Heading3"/>
        <w:spacing w:after="120"/>
        <w:rPr>
          <w:noProof/>
          <w:sz w:val="24"/>
        </w:rPr>
      </w:pPr>
      <w:r>
        <w:rPr>
          <w:rFonts w:eastAsia="Times New Roman" w:cs="Times New Roman"/>
          <w:noProof/>
          <w:sz w:val="24"/>
        </w:rPr>
        <w:t>Commission revised State aid rules for Broadband Networks</w:t>
      </w:r>
    </w:p>
    <w:p w14:paraId="6969A4B9" w14:textId="77777777" w:rsidR="00BD0680" w:rsidRPr="00937722" w:rsidRDefault="00BD0680" w:rsidP="00D746DD">
      <w:pPr>
        <w:spacing w:after="120"/>
        <w:rPr>
          <w:noProof/>
        </w:rPr>
      </w:pPr>
      <w:r w:rsidRPr="00937722">
        <w:rPr>
          <w:noProof/>
        </w:rPr>
        <w:t xml:space="preserve">Following </w:t>
      </w:r>
      <w:r>
        <w:rPr>
          <w:noProof/>
        </w:rPr>
        <w:t>a</w:t>
      </w:r>
      <w:r w:rsidRPr="00937722">
        <w:rPr>
          <w:noProof/>
        </w:rPr>
        <w:t xml:space="preserve"> </w:t>
      </w:r>
      <w:r w:rsidRPr="007B5F59">
        <w:rPr>
          <w:rFonts w:eastAsia="Times New Roman" w:cs="Times New Roman"/>
          <w:noProof/>
        </w:rPr>
        <w:t>public consultation</w:t>
      </w:r>
      <w:r w:rsidRPr="00D031A0">
        <w:rPr>
          <w:rStyle w:val="FootnoteReference"/>
          <w:rFonts w:eastAsia="Times New Roman" w:cs="Times New Roman"/>
          <w:noProof/>
          <w:color w:val="000000" w:themeColor="text1"/>
          <w:sz w:val="24"/>
        </w:rPr>
        <w:footnoteReference w:id="60"/>
      </w:r>
      <w:r w:rsidRPr="00D031A0">
        <w:rPr>
          <w:rFonts w:eastAsia="Times New Roman" w:cs="Times New Roman"/>
          <w:noProof/>
        </w:rPr>
        <w:t xml:space="preserve">, </w:t>
      </w:r>
      <w:r>
        <w:rPr>
          <w:rFonts w:eastAsia="Times New Roman" w:cs="Times New Roman"/>
          <w:noProof/>
        </w:rPr>
        <w:t>the Commission adopted a</w:t>
      </w:r>
      <w:r w:rsidRPr="007B5F59">
        <w:rPr>
          <w:rFonts w:eastAsia="Times New Roman" w:cs="Times New Roman"/>
          <w:noProof/>
        </w:rPr>
        <w:t xml:space="preserve"> revised</w:t>
      </w:r>
      <w:r>
        <w:rPr>
          <w:rFonts w:eastAsia="Times New Roman" w:cs="Times New Roman"/>
          <w:noProof/>
        </w:rPr>
        <w:t xml:space="preserve"> Communication on State aid for broadband networks</w:t>
      </w:r>
      <w:r>
        <w:rPr>
          <w:rStyle w:val="FootnoteReference"/>
          <w:rFonts w:eastAsia="Times New Roman" w:cs="Times New Roman"/>
          <w:noProof/>
        </w:rPr>
        <w:footnoteReference w:id="61"/>
      </w:r>
      <w:r w:rsidRPr="007B5F59">
        <w:rPr>
          <w:rFonts w:eastAsia="Times New Roman" w:cs="Times New Roman"/>
          <w:noProof/>
        </w:rPr>
        <w:t xml:space="preserve"> </w:t>
      </w:r>
      <w:r>
        <w:rPr>
          <w:rFonts w:eastAsia="Times New Roman" w:cs="Times New Roman"/>
          <w:noProof/>
        </w:rPr>
        <w:t>(‘</w:t>
      </w:r>
      <w:r w:rsidRPr="007B5F59">
        <w:rPr>
          <w:rFonts w:eastAsia="Times New Roman" w:cs="Times New Roman"/>
          <w:noProof/>
        </w:rPr>
        <w:t>Broadband Guidelines</w:t>
      </w:r>
      <w:r>
        <w:rPr>
          <w:rFonts w:eastAsia="Times New Roman" w:cs="Times New Roman"/>
          <w:noProof/>
        </w:rPr>
        <w:t xml:space="preserve">’) </w:t>
      </w:r>
      <w:r w:rsidRPr="00D031A0">
        <w:rPr>
          <w:rFonts w:eastAsia="Times New Roman" w:cs="Times New Roman"/>
          <w:noProof/>
        </w:rPr>
        <w:t>in December 2022</w:t>
      </w:r>
      <w:r>
        <w:rPr>
          <w:rFonts w:eastAsia="Times New Roman" w:cs="Times New Roman"/>
          <w:noProof/>
        </w:rPr>
        <w:t xml:space="preserve">. The revised Broadband Guidelines </w:t>
      </w:r>
      <w:r w:rsidR="006E0493">
        <w:rPr>
          <w:rFonts w:eastAsia="Times New Roman" w:cs="Times New Roman"/>
          <w:noProof/>
        </w:rPr>
        <w:t xml:space="preserve">describes how </w:t>
      </w:r>
      <w:r>
        <w:rPr>
          <w:rFonts w:eastAsia="Times New Roman" w:cs="Times New Roman"/>
          <w:noProof/>
        </w:rPr>
        <w:t xml:space="preserve">the Commission will assess State aid measures notified by Member States to support the deployment and take-up of broadband networks in the EU. The new rules contribute to the EU’s strategic objectives of ensuring gigabit connectivity </w:t>
      </w:r>
      <w:r w:rsidR="00A541EA">
        <w:rPr>
          <w:rFonts w:eastAsia="Times New Roman" w:cs="Times New Roman"/>
          <w:noProof/>
        </w:rPr>
        <w:t xml:space="preserve">and 5G coverage </w:t>
      </w:r>
      <w:r>
        <w:rPr>
          <w:rFonts w:eastAsia="Times New Roman" w:cs="Times New Roman"/>
          <w:noProof/>
        </w:rPr>
        <w:t>for everyone</w:t>
      </w:r>
      <w:r w:rsidR="00046CB1">
        <w:rPr>
          <w:rStyle w:val="FootnoteReference"/>
          <w:rFonts w:eastAsia="Times New Roman" w:cs="Times New Roman"/>
          <w:noProof/>
        </w:rPr>
        <w:footnoteReference w:id="62"/>
      </w:r>
      <w:r>
        <w:rPr>
          <w:rFonts w:eastAsia="Times New Roman" w:cs="Times New Roman"/>
          <w:noProof/>
        </w:rPr>
        <w:t>.</w:t>
      </w:r>
    </w:p>
    <w:p w14:paraId="14E132F7" w14:textId="77777777" w:rsidR="00331BC1" w:rsidRPr="00937722" w:rsidRDefault="00331BC1" w:rsidP="00530F6C">
      <w:pPr>
        <w:pStyle w:val="Heading3"/>
        <w:spacing w:after="120"/>
        <w:rPr>
          <w:rFonts w:eastAsia="Times New Roman" w:cs="Times New Roman"/>
          <w:i w:val="0"/>
          <w:noProof/>
          <w:sz w:val="24"/>
        </w:rPr>
      </w:pPr>
      <w:r w:rsidRPr="00937722">
        <w:rPr>
          <w:rFonts w:eastAsia="Times New Roman" w:cs="Times New Roman"/>
          <w:noProof/>
          <w:sz w:val="24"/>
        </w:rPr>
        <w:t>Commission proposed rules to simplify procedures for State aid to green transport</w:t>
      </w:r>
    </w:p>
    <w:p w14:paraId="1E6CDFEF" w14:textId="77777777" w:rsidR="005C4687" w:rsidRDefault="008C2D0B" w:rsidP="005B4ED5">
      <w:pPr>
        <w:spacing w:after="120"/>
        <w:rPr>
          <w:noProof/>
        </w:rPr>
      </w:pPr>
      <w:r>
        <w:rPr>
          <w:noProof/>
        </w:rPr>
        <w:t>In</w:t>
      </w:r>
      <w:r w:rsidR="005C4687">
        <w:rPr>
          <w:noProof/>
        </w:rPr>
        <w:t xml:space="preserve"> July 2022, the Commission adopted a propos</w:t>
      </w:r>
      <w:r>
        <w:rPr>
          <w:noProof/>
        </w:rPr>
        <w:t>al for a new Council Regulation</w:t>
      </w:r>
      <w:r w:rsidR="005C4687">
        <w:rPr>
          <w:rStyle w:val="FootnoteReference"/>
          <w:noProof/>
          <w:sz w:val="24"/>
          <w:szCs w:val="24"/>
        </w:rPr>
        <w:footnoteReference w:id="63"/>
      </w:r>
      <w:r>
        <w:rPr>
          <w:noProof/>
        </w:rPr>
        <w:t>.</w:t>
      </w:r>
      <w:r w:rsidR="005C4687">
        <w:rPr>
          <w:noProof/>
        </w:rPr>
        <w:t xml:space="preserve"> </w:t>
      </w:r>
      <w:r w:rsidR="0000052D">
        <w:rPr>
          <w:noProof/>
        </w:rPr>
        <w:t>The Council adopted the Regulation in December 2022. The</w:t>
      </w:r>
      <w:r w:rsidR="005C4687">
        <w:rPr>
          <w:noProof/>
        </w:rPr>
        <w:t xml:space="preserve"> Regulation enable</w:t>
      </w:r>
      <w:r>
        <w:rPr>
          <w:noProof/>
        </w:rPr>
        <w:t>s</w:t>
      </w:r>
      <w:r w:rsidR="005C4687">
        <w:rPr>
          <w:noProof/>
        </w:rPr>
        <w:t xml:space="preserve"> the Commission to adopt regulations exempting from prior notification aid measures for rail, inland waterway and multimodal transport in line with Article 93 TFEU. The aim of the Commission’s initiative is to simplify procedures for State aid supporting green transport modes, such as rail, inland waterway and multimodal transport. It goes hand in hand with the review of the Railway Guidelines on which the Commission continued to work in parallel in 2022. Those Guidelines aim at promoting the modal shift from road to rail transport and thus contribute to achieving the climate objectives.</w:t>
      </w:r>
    </w:p>
    <w:p w14:paraId="51D7A220" w14:textId="77777777" w:rsidR="005C4687" w:rsidRDefault="008E7EC8" w:rsidP="005C4687">
      <w:pPr>
        <w:pStyle w:val="Heading3"/>
        <w:spacing w:after="120"/>
        <w:rPr>
          <w:rFonts w:eastAsia="Times New Roman" w:cs="Times New Roman"/>
          <w:noProof/>
          <w:sz w:val="24"/>
        </w:rPr>
      </w:pPr>
      <w:r>
        <w:rPr>
          <w:rFonts w:eastAsia="Times New Roman" w:cs="Times New Roman"/>
          <w:noProof/>
          <w:sz w:val="24"/>
        </w:rPr>
        <w:t xml:space="preserve">Roadmap for a possible </w:t>
      </w:r>
      <w:r w:rsidR="005C4687">
        <w:rPr>
          <w:rFonts w:eastAsia="Times New Roman" w:cs="Times New Roman"/>
          <w:noProof/>
          <w:sz w:val="24"/>
        </w:rPr>
        <w:t>prolonga</w:t>
      </w:r>
      <w:r w:rsidR="00EF26B8">
        <w:rPr>
          <w:rFonts w:eastAsia="Times New Roman" w:cs="Times New Roman"/>
          <w:noProof/>
          <w:sz w:val="24"/>
        </w:rPr>
        <w:t>tion of the Aviation Guidelines</w:t>
      </w:r>
    </w:p>
    <w:p w14:paraId="58737858" w14:textId="77777777" w:rsidR="005C4687" w:rsidRDefault="0016545C" w:rsidP="005B4ED5">
      <w:pPr>
        <w:spacing w:after="120"/>
        <w:rPr>
          <w:rFonts w:eastAsia="Times New Roman" w:cs="Times New Roman"/>
          <w:noProof/>
          <w:sz w:val="24"/>
        </w:rPr>
      </w:pPr>
      <w:r>
        <w:rPr>
          <w:rFonts w:eastAsia="Times New Roman" w:cs="Times New Roman"/>
          <w:noProof/>
          <w:sz w:val="24"/>
        </w:rPr>
        <w:t>In July 2022, t</w:t>
      </w:r>
      <w:r w:rsidR="005C4687" w:rsidRPr="00821D1C">
        <w:rPr>
          <w:rFonts w:eastAsia="Times New Roman" w:cs="Times New Roman"/>
          <w:noProof/>
          <w:sz w:val="24"/>
        </w:rPr>
        <w:t>he Commission</w:t>
      </w:r>
      <w:r>
        <w:rPr>
          <w:rFonts w:eastAsia="Times New Roman" w:cs="Times New Roman"/>
          <w:noProof/>
          <w:sz w:val="24"/>
        </w:rPr>
        <w:t xml:space="preserve"> published a Roadmap informing stakeholders and other interested parties about the possibilities to prolong by</w:t>
      </w:r>
      <w:r w:rsidR="005C4687" w:rsidRPr="00821D1C">
        <w:rPr>
          <w:rFonts w:eastAsia="Times New Roman" w:cs="Times New Roman"/>
          <w:noProof/>
          <w:sz w:val="24"/>
        </w:rPr>
        <w:t xml:space="preserve"> one to three years the rules on operating aid contained in the Aviation Guidelines</w:t>
      </w:r>
      <w:r w:rsidR="005C4687" w:rsidRPr="00821D1C">
        <w:rPr>
          <w:rStyle w:val="FootnoteReference"/>
          <w:rFonts w:eastAsia="Times New Roman" w:cs="Times New Roman"/>
          <w:noProof/>
          <w:sz w:val="24"/>
        </w:rPr>
        <w:footnoteReference w:id="64"/>
      </w:r>
      <w:r>
        <w:rPr>
          <w:rFonts w:eastAsia="Times New Roman" w:cs="Times New Roman"/>
          <w:noProof/>
          <w:sz w:val="24"/>
        </w:rPr>
        <w:t>.</w:t>
      </w:r>
      <w:r w:rsidR="005C4687" w:rsidRPr="00821D1C">
        <w:rPr>
          <w:rFonts w:eastAsia="Times New Roman" w:cs="Times New Roman"/>
          <w:noProof/>
          <w:sz w:val="24"/>
        </w:rPr>
        <w:t xml:space="preserve"> The purpose of such </w:t>
      </w:r>
      <w:r>
        <w:rPr>
          <w:rFonts w:eastAsia="Times New Roman" w:cs="Times New Roman"/>
          <w:noProof/>
          <w:sz w:val="24"/>
        </w:rPr>
        <w:t xml:space="preserve">a </w:t>
      </w:r>
      <w:r w:rsidR="005C4687" w:rsidRPr="00821D1C">
        <w:rPr>
          <w:rFonts w:eastAsia="Times New Roman" w:cs="Times New Roman"/>
          <w:noProof/>
          <w:sz w:val="24"/>
        </w:rPr>
        <w:t xml:space="preserve">prolongation would be to avoid potential failure of regional airports due to the impact of the COVID-19 crisis before a </w:t>
      </w:r>
      <w:r>
        <w:rPr>
          <w:rFonts w:eastAsia="Times New Roman" w:cs="Times New Roman"/>
          <w:noProof/>
          <w:sz w:val="24"/>
        </w:rPr>
        <w:t xml:space="preserve">complete </w:t>
      </w:r>
      <w:r w:rsidR="005C4687" w:rsidRPr="00821D1C">
        <w:rPr>
          <w:rFonts w:eastAsia="Times New Roman" w:cs="Times New Roman"/>
          <w:noProof/>
          <w:sz w:val="24"/>
        </w:rPr>
        <w:t>review of the Aviation Guidelines</w:t>
      </w:r>
      <w:r>
        <w:rPr>
          <w:rFonts w:eastAsia="Times New Roman" w:cs="Times New Roman"/>
          <w:noProof/>
          <w:sz w:val="24"/>
        </w:rPr>
        <w:t xml:space="preserve"> has been carried out</w:t>
      </w:r>
      <w:r w:rsidR="005C4687" w:rsidRPr="00821D1C">
        <w:rPr>
          <w:rFonts w:eastAsia="Times New Roman" w:cs="Times New Roman"/>
          <w:noProof/>
          <w:sz w:val="24"/>
        </w:rPr>
        <w:t>.</w:t>
      </w:r>
    </w:p>
    <w:p w14:paraId="60DCB630" w14:textId="77777777" w:rsidR="00083624" w:rsidRDefault="00F44682" w:rsidP="00E16E8F">
      <w:pPr>
        <w:pStyle w:val="Heading2"/>
      </w:pPr>
      <w:bookmarkStart w:id="21" w:name="_Toc122109054"/>
      <w:bookmarkStart w:id="22" w:name="_Toc130224415"/>
      <w:r w:rsidRPr="00AA53E9">
        <w:t>3.</w:t>
      </w:r>
      <w:r w:rsidR="006B2DF8">
        <w:t>4</w:t>
      </w:r>
      <w:r w:rsidRPr="00AA53E9">
        <w:t xml:space="preserve">. Modernising DG Competition working methods to </w:t>
      </w:r>
      <w:r>
        <w:t xml:space="preserve">fit </w:t>
      </w:r>
      <w:r w:rsidRPr="00AA53E9">
        <w:t>current and future enforcement needs</w:t>
      </w:r>
      <w:bookmarkEnd w:id="21"/>
      <w:bookmarkEnd w:id="22"/>
    </w:p>
    <w:p w14:paraId="0E4630B3" w14:textId="77777777" w:rsidR="004008C6" w:rsidRPr="00D746DD" w:rsidRDefault="00E43A16" w:rsidP="00D746DD">
      <w:pPr>
        <w:spacing w:after="120"/>
        <w:rPr>
          <w:noProof/>
          <w:szCs w:val="23"/>
          <w:lang w:val="en-US"/>
        </w:rPr>
      </w:pPr>
      <w:r w:rsidRPr="00D746DD">
        <w:rPr>
          <w:iCs/>
          <w:noProof/>
          <w:szCs w:val="23"/>
          <w:lang w:val="en-US"/>
        </w:rPr>
        <w:t xml:space="preserve">In 2022, </w:t>
      </w:r>
      <w:r w:rsidR="00FB0CD6">
        <w:rPr>
          <w:iCs/>
          <w:noProof/>
          <w:szCs w:val="23"/>
          <w:lang w:val="en-US"/>
        </w:rPr>
        <w:t xml:space="preserve">the </w:t>
      </w:r>
      <w:r w:rsidRPr="00D746DD">
        <w:rPr>
          <w:iCs/>
          <w:noProof/>
          <w:szCs w:val="23"/>
          <w:lang w:val="en-US"/>
        </w:rPr>
        <w:t>D</w:t>
      </w:r>
      <w:r w:rsidR="00FB0CD6">
        <w:rPr>
          <w:iCs/>
          <w:noProof/>
          <w:szCs w:val="23"/>
          <w:lang w:val="en-US"/>
        </w:rPr>
        <w:t xml:space="preserve">irectorate </w:t>
      </w:r>
      <w:r w:rsidRPr="00D746DD">
        <w:rPr>
          <w:iCs/>
          <w:noProof/>
          <w:szCs w:val="23"/>
          <w:lang w:val="en-US"/>
        </w:rPr>
        <w:t>G</w:t>
      </w:r>
      <w:r w:rsidR="00FB0CD6">
        <w:rPr>
          <w:iCs/>
          <w:noProof/>
          <w:szCs w:val="23"/>
          <w:lang w:val="en-US"/>
        </w:rPr>
        <w:t>eneral for</w:t>
      </w:r>
      <w:r w:rsidRPr="00D746DD">
        <w:rPr>
          <w:iCs/>
          <w:noProof/>
          <w:szCs w:val="23"/>
          <w:lang w:val="en-US"/>
        </w:rPr>
        <w:t xml:space="preserve"> Competition continued its efforts to make its </w:t>
      </w:r>
      <w:r w:rsidRPr="00D746DD">
        <w:rPr>
          <w:noProof/>
          <w:szCs w:val="23"/>
        </w:rPr>
        <w:t>investigatory processes and other activities more efficient</w:t>
      </w:r>
      <w:r w:rsidR="00FB0CD6">
        <w:rPr>
          <w:noProof/>
          <w:szCs w:val="23"/>
        </w:rPr>
        <w:t>,</w:t>
      </w:r>
      <w:r w:rsidRPr="00D746DD">
        <w:rPr>
          <w:noProof/>
          <w:szCs w:val="23"/>
        </w:rPr>
        <w:t xml:space="preserve"> by using digital </w:t>
      </w:r>
      <w:r w:rsidR="007D5F75" w:rsidRPr="00D746DD">
        <w:rPr>
          <w:noProof/>
          <w:szCs w:val="23"/>
        </w:rPr>
        <w:t>tools</w:t>
      </w:r>
      <w:r w:rsidRPr="00D746DD">
        <w:rPr>
          <w:noProof/>
          <w:szCs w:val="23"/>
        </w:rPr>
        <w:t xml:space="preserve"> in line with its </w:t>
      </w:r>
      <w:r w:rsidRPr="00D746DD">
        <w:rPr>
          <w:noProof/>
          <w:szCs w:val="23"/>
          <w:lang w:val="en-US"/>
        </w:rPr>
        <w:t xml:space="preserve">Digital Strategy. DG Competition reduced the regulatory burden for parties that continue to use </w:t>
      </w:r>
      <w:r w:rsidR="001F1D82" w:rsidRPr="00D746DD">
        <w:rPr>
          <w:noProof/>
          <w:szCs w:val="23"/>
          <w:lang w:val="en-US"/>
        </w:rPr>
        <w:t>the</w:t>
      </w:r>
      <w:r w:rsidRPr="00D746DD">
        <w:rPr>
          <w:noProof/>
          <w:szCs w:val="23"/>
          <w:lang w:val="en-US"/>
        </w:rPr>
        <w:t xml:space="preserve"> State Aid Reporting Interactive (</w:t>
      </w:r>
      <w:r w:rsidR="007F3E94" w:rsidRPr="00D746DD">
        <w:rPr>
          <w:noProof/>
          <w:szCs w:val="23"/>
          <w:lang w:val="en-US"/>
        </w:rPr>
        <w:t>‘</w:t>
      </w:r>
      <w:r w:rsidRPr="00D746DD">
        <w:rPr>
          <w:noProof/>
          <w:szCs w:val="23"/>
          <w:lang w:val="en-US"/>
        </w:rPr>
        <w:t>SARI2</w:t>
      </w:r>
      <w:r w:rsidR="007F3E94" w:rsidRPr="00D746DD">
        <w:rPr>
          <w:noProof/>
          <w:szCs w:val="23"/>
          <w:lang w:val="en-US"/>
        </w:rPr>
        <w:t>’</w:t>
      </w:r>
      <w:r w:rsidRPr="00D746DD">
        <w:rPr>
          <w:noProof/>
          <w:szCs w:val="23"/>
          <w:lang w:val="en-US"/>
        </w:rPr>
        <w:t xml:space="preserve">), </w:t>
      </w:r>
      <w:r w:rsidR="007F3E94" w:rsidRPr="00D746DD">
        <w:rPr>
          <w:noProof/>
          <w:szCs w:val="23"/>
          <w:lang w:val="en-US"/>
        </w:rPr>
        <w:t>‘</w:t>
      </w:r>
      <w:r w:rsidRPr="00D746DD">
        <w:rPr>
          <w:noProof/>
          <w:szCs w:val="23"/>
          <w:lang w:val="en-US"/>
        </w:rPr>
        <w:t>eConfidentiality</w:t>
      </w:r>
      <w:r w:rsidR="007F3E94" w:rsidRPr="00D746DD">
        <w:rPr>
          <w:noProof/>
          <w:szCs w:val="23"/>
          <w:lang w:val="en-US"/>
        </w:rPr>
        <w:t>’</w:t>
      </w:r>
      <w:r w:rsidRPr="00D746DD">
        <w:rPr>
          <w:noProof/>
          <w:szCs w:val="23"/>
          <w:lang w:val="en-US"/>
        </w:rPr>
        <w:t xml:space="preserve"> and </w:t>
      </w:r>
      <w:r w:rsidR="007F3E94" w:rsidRPr="00D746DD">
        <w:rPr>
          <w:noProof/>
          <w:szCs w:val="23"/>
          <w:lang w:val="en-US"/>
        </w:rPr>
        <w:t>‘</w:t>
      </w:r>
      <w:r w:rsidRPr="00D746DD">
        <w:rPr>
          <w:noProof/>
          <w:szCs w:val="23"/>
          <w:lang w:val="en-US"/>
        </w:rPr>
        <w:t>eRFI</w:t>
      </w:r>
      <w:r w:rsidR="007F3E94" w:rsidRPr="00D746DD">
        <w:rPr>
          <w:noProof/>
          <w:szCs w:val="23"/>
          <w:lang w:val="en-US"/>
        </w:rPr>
        <w:t>’</w:t>
      </w:r>
      <w:r w:rsidRPr="00D746DD">
        <w:rPr>
          <w:noProof/>
          <w:szCs w:val="23"/>
          <w:lang w:val="en-US"/>
        </w:rPr>
        <w:t xml:space="preserve"> tools. Moreover, DG Competition upgraded its </w:t>
      </w:r>
      <w:r w:rsidR="007F3E94" w:rsidRPr="00D746DD">
        <w:rPr>
          <w:noProof/>
          <w:szCs w:val="23"/>
          <w:lang w:val="en-US"/>
        </w:rPr>
        <w:t>‘</w:t>
      </w:r>
      <w:r w:rsidRPr="00D746DD">
        <w:rPr>
          <w:noProof/>
          <w:szCs w:val="23"/>
          <w:lang w:val="en-US"/>
        </w:rPr>
        <w:t>eLeniency</w:t>
      </w:r>
      <w:r w:rsidR="007F3E94" w:rsidRPr="00D746DD">
        <w:rPr>
          <w:noProof/>
          <w:szCs w:val="23"/>
          <w:lang w:val="en-US"/>
        </w:rPr>
        <w:t>’</w:t>
      </w:r>
      <w:r w:rsidRPr="00D746DD">
        <w:rPr>
          <w:noProof/>
          <w:szCs w:val="23"/>
          <w:lang w:val="en-US"/>
        </w:rPr>
        <w:t xml:space="preserve"> platform to </w:t>
      </w:r>
      <w:r w:rsidR="005C77DE" w:rsidRPr="00D746DD">
        <w:rPr>
          <w:noProof/>
          <w:szCs w:val="23"/>
          <w:lang w:val="en-US"/>
        </w:rPr>
        <w:t xml:space="preserve">provide companies </w:t>
      </w:r>
      <w:r w:rsidRPr="00D746DD">
        <w:rPr>
          <w:noProof/>
          <w:szCs w:val="23"/>
          <w:lang w:val="en-US"/>
        </w:rPr>
        <w:t xml:space="preserve">involved in cartel and antitrust proceedings easy and secure access to documents online. </w:t>
      </w:r>
    </w:p>
    <w:p w14:paraId="35C6EDAA" w14:textId="77777777" w:rsidR="005C77DE" w:rsidRPr="00D746DD" w:rsidRDefault="000D6E28" w:rsidP="00D746DD">
      <w:pPr>
        <w:rPr>
          <w:noProof/>
          <w:szCs w:val="23"/>
        </w:rPr>
      </w:pPr>
      <w:r w:rsidRPr="00D746DD">
        <w:rPr>
          <w:noProof/>
          <w:szCs w:val="23"/>
        </w:rPr>
        <w:t>EU competition law enforcement</w:t>
      </w:r>
      <w:r w:rsidRPr="00D746DD">
        <w:rPr>
          <w:noProof/>
          <w:szCs w:val="23"/>
          <w:lang w:val="en-US"/>
        </w:rPr>
        <w:t xml:space="preserve"> was facilitated further by continued </w:t>
      </w:r>
      <w:r w:rsidR="00E43A16" w:rsidRPr="00D746DD">
        <w:rPr>
          <w:noProof/>
          <w:szCs w:val="23"/>
          <w:lang w:val="en-US"/>
        </w:rPr>
        <w:t>invest</w:t>
      </w:r>
      <w:r w:rsidRPr="00D746DD">
        <w:rPr>
          <w:noProof/>
          <w:szCs w:val="23"/>
          <w:lang w:val="en-US"/>
        </w:rPr>
        <w:t>ment</w:t>
      </w:r>
      <w:r w:rsidR="00E43A16" w:rsidRPr="00D746DD">
        <w:rPr>
          <w:noProof/>
          <w:szCs w:val="23"/>
          <w:lang w:val="en-US"/>
        </w:rPr>
        <w:t xml:space="preserve"> in </w:t>
      </w:r>
      <w:r w:rsidR="00E43A16" w:rsidRPr="00D746DD">
        <w:rPr>
          <w:noProof/>
          <w:szCs w:val="23"/>
        </w:rPr>
        <w:t>state-of-the-art digital solutions</w:t>
      </w:r>
      <w:r w:rsidRPr="00D746DD">
        <w:rPr>
          <w:noProof/>
          <w:szCs w:val="23"/>
        </w:rPr>
        <w:t>,</w:t>
      </w:r>
      <w:r w:rsidR="00E43A16" w:rsidRPr="00D746DD">
        <w:rPr>
          <w:noProof/>
          <w:szCs w:val="23"/>
        </w:rPr>
        <w:t xml:space="preserve"> </w:t>
      </w:r>
      <w:r w:rsidRPr="00D746DD">
        <w:rPr>
          <w:noProof/>
          <w:szCs w:val="23"/>
        </w:rPr>
        <w:t>including</w:t>
      </w:r>
      <w:r w:rsidR="0038605C" w:rsidRPr="00D746DD">
        <w:rPr>
          <w:noProof/>
          <w:szCs w:val="23"/>
        </w:rPr>
        <w:t xml:space="preserve"> the</w:t>
      </w:r>
      <w:r w:rsidRPr="00D746DD">
        <w:rPr>
          <w:noProof/>
          <w:szCs w:val="23"/>
        </w:rPr>
        <w:t xml:space="preserve"> </w:t>
      </w:r>
      <w:r w:rsidR="00E43A16" w:rsidRPr="00D746DD">
        <w:rPr>
          <w:noProof/>
          <w:szCs w:val="23"/>
        </w:rPr>
        <w:t xml:space="preserve">CASE@EC </w:t>
      </w:r>
      <w:r w:rsidRPr="00D746DD">
        <w:rPr>
          <w:noProof/>
          <w:szCs w:val="23"/>
        </w:rPr>
        <w:t>case management system</w:t>
      </w:r>
      <w:r w:rsidR="00E43A16" w:rsidRPr="00D746DD">
        <w:rPr>
          <w:noProof/>
          <w:szCs w:val="23"/>
        </w:rPr>
        <w:t xml:space="preserve">. </w:t>
      </w:r>
      <w:r w:rsidRPr="00D746DD">
        <w:rPr>
          <w:noProof/>
          <w:szCs w:val="23"/>
          <w:lang w:val="en-US"/>
        </w:rPr>
        <w:t xml:space="preserve">Given the sensitive and confidential nature of the information it handles, DG Competition continued to update IT security plans for new as well as existing digital solutions. Moreover, DG Competition put in place additional safety and monitoring measures to ensure continued cyber security and cyber resilience in 2022 and beyond. </w:t>
      </w:r>
      <w:r w:rsidR="00E43A16" w:rsidRPr="00D746DD">
        <w:rPr>
          <w:noProof/>
          <w:szCs w:val="23"/>
        </w:rPr>
        <w:t>DG Competition’s internal Digital Strategy is anchored in the European Commission’s Next Generation Digital Strategy adopted in 2022.</w:t>
      </w:r>
      <w:r w:rsidR="00E43A16" w:rsidRPr="00D746DD">
        <w:rPr>
          <w:rStyle w:val="FootnoteReference"/>
          <w:rFonts w:cs="Times New Roman"/>
          <w:noProof/>
          <w:szCs w:val="23"/>
        </w:rPr>
        <w:footnoteReference w:id="65"/>
      </w:r>
    </w:p>
    <w:p w14:paraId="2B9853CC" w14:textId="14A24AA1" w:rsidR="00E43A16" w:rsidRPr="00D746DD" w:rsidRDefault="00E43A16" w:rsidP="00D746DD">
      <w:pPr>
        <w:spacing w:after="120"/>
        <w:rPr>
          <w:noProof/>
          <w:szCs w:val="23"/>
        </w:rPr>
      </w:pPr>
      <w:r w:rsidRPr="00D746DD">
        <w:rPr>
          <w:noProof/>
          <w:szCs w:val="23"/>
          <w:lang w:val="en-US"/>
        </w:rPr>
        <w:t xml:space="preserve">In 2022, DG Competition </w:t>
      </w:r>
      <w:r w:rsidR="00A44955" w:rsidRPr="00D746DD">
        <w:rPr>
          <w:noProof/>
          <w:szCs w:val="23"/>
          <w:lang w:val="en-US"/>
        </w:rPr>
        <w:t xml:space="preserve">further </w:t>
      </w:r>
      <w:r w:rsidRPr="00D746DD">
        <w:rPr>
          <w:noProof/>
          <w:szCs w:val="23"/>
          <w:lang w:val="en-US"/>
        </w:rPr>
        <w:t xml:space="preserve">developed its </w:t>
      </w:r>
      <w:r w:rsidR="007072BB">
        <w:rPr>
          <w:noProof/>
          <w:szCs w:val="23"/>
          <w:lang w:val="en-US"/>
        </w:rPr>
        <w:t xml:space="preserve">digital </w:t>
      </w:r>
      <w:r w:rsidR="00AB2F12" w:rsidRPr="00D746DD">
        <w:rPr>
          <w:noProof/>
          <w:szCs w:val="23"/>
          <w:lang w:val="en-US"/>
        </w:rPr>
        <w:t xml:space="preserve">investigation </w:t>
      </w:r>
      <w:r w:rsidRPr="00D746DD">
        <w:rPr>
          <w:noProof/>
          <w:szCs w:val="23"/>
          <w:lang w:val="en-US"/>
        </w:rPr>
        <w:t xml:space="preserve">tools </w:t>
      </w:r>
      <w:r w:rsidR="00AB2F12" w:rsidRPr="00D746DD">
        <w:rPr>
          <w:noProof/>
          <w:szCs w:val="23"/>
          <w:lang w:val="en-US"/>
        </w:rPr>
        <w:t xml:space="preserve">by </w:t>
      </w:r>
      <w:r w:rsidR="001F1D82" w:rsidRPr="00D746DD">
        <w:rPr>
          <w:noProof/>
          <w:szCs w:val="23"/>
          <w:lang w:val="en-US"/>
        </w:rPr>
        <w:t>using</w:t>
      </w:r>
      <w:r w:rsidRPr="00D746DD">
        <w:rPr>
          <w:noProof/>
          <w:szCs w:val="23"/>
          <w:lang w:val="en-US"/>
        </w:rPr>
        <w:t xml:space="preserve"> corporate intelligence</w:t>
      </w:r>
      <w:r w:rsidR="00A44955" w:rsidRPr="00D746DD">
        <w:rPr>
          <w:noProof/>
          <w:szCs w:val="23"/>
          <w:lang w:val="en-US"/>
        </w:rPr>
        <w:t xml:space="preserve">, </w:t>
      </w:r>
      <w:r w:rsidRPr="00D746DD">
        <w:rPr>
          <w:noProof/>
          <w:szCs w:val="23"/>
          <w:lang w:val="en-US"/>
        </w:rPr>
        <w:t>data and machine learning services. A dedicated unit conduct</w:t>
      </w:r>
      <w:r w:rsidR="00F949B4">
        <w:rPr>
          <w:noProof/>
          <w:szCs w:val="23"/>
          <w:lang w:val="en-US"/>
        </w:rPr>
        <w:t>ing</w:t>
      </w:r>
      <w:r w:rsidRPr="00D746DD">
        <w:rPr>
          <w:noProof/>
          <w:szCs w:val="23"/>
          <w:lang w:val="en-US"/>
        </w:rPr>
        <w:t xml:space="preserve"> intelligence and investigative analyses </w:t>
      </w:r>
      <w:r w:rsidR="00F949B4">
        <w:rPr>
          <w:noProof/>
          <w:szCs w:val="23"/>
          <w:lang w:val="en-US"/>
        </w:rPr>
        <w:t>as well as</w:t>
      </w:r>
      <w:r w:rsidR="00F949B4" w:rsidRPr="00D746DD">
        <w:rPr>
          <w:noProof/>
          <w:szCs w:val="23"/>
          <w:lang w:val="en-US"/>
        </w:rPr>
        <w:t xml:space="preserve"> </w:t>
      </w:r>
      <w:r w:rsidRPr="00D746DD">
        <w:rPr>
          <w:noProof/>
          <w:szCs w:val="23"/>
          <w:lang w:val="en-US"/>
        </w:rPr>
        <w:t>provid</w:t>
      </w:r>
      <w:r w:rsidR="00F949B4">
        <w:rPr>
          <w:noProof/>
          <w:szCs w:val="23"/>
          <w:lang w:val="en-US"/>
        </w:rPr>
        <w:t xml:space="preserve">ing </w:t>
      </w:r>
      <w:r w:rsidRPr="00D746DD">
        <w:rPr>
          <w:noProof/>
          <w:szCs w:val="23"/>
          <w:lang w:val="en-US"/>
        </w:rPr>
        <w:t>forensic IT support</w:t>
      </w:r>
      <w:r w:rsidR="00F87418">
        <w:rPr>
          <w:noProof/>
          <w:szCs w:val="23"/>
          <w:lang w:val="en-US"/>
        </w:rPr>
        <w:t xml:space="preserve"> was renamed ‘</w:t>
      </w:r>
      <w:r w:rsidR="00F949B4">
        <w:rPr>
          <w:noProof/>
          <w:szCs w:val="23"/>
          <w:lang w:val="en-US"/>
        </w:rPr>
        <w:t>Data Analysis and Tec</w:t>
      </w:r>
      <w:r w:rsidR="00262118">
        <w:rPr>
          <w:noProof/>
          <w:szCs w:val="23"/>
          <w:lang w:val="en-US"/>
        </w:rPr>
        <w:t>hnology’</w:t>
      </w:r>
      <w:r w:rsidR="00F87418">
        <w:rPr>
          <w:noProof/>
          <w:szCs w:val="23"/>
          <w:lang w:val="en-US"/>
        </w:rPr>
        <w:t xml:space="preserve">. </w:t>
      </w:r>
      <w:r w:rsidR="009715C4">
        <w:rPr>
          <w:noProof/>
          <w:szCs w:val="23"/>
          <w:lang w:val="en-US"/>
        </w:rPr>
        <w:t xml:space="preserve">The unit </w:t>
      </w:r>
      <w:r w:rsidR="00F949B4">
        <w:rPr>
          <w:noProof/>
          <w:szCs w:val="23"/>
          <w:lang w:val="en-US"/>
        </w:rPr>
        <w:t>will report to the Chief Technology Officer</w:t>
      </w:r>
      <w:r w:rsidR="009715C4">
        <w:rPr>
          <w:noProof/>
          <w:szCs w:val="23"/>
          <w:lang w:val="en-US"/>
        </w:rPr>
        <w:t xml:space="preserve">, </w:t>
      </w:r>
      <w:r w:rsidR="006E0493">
        <w:rPr>
          <w:noProof/>
          <w:szCs w:val="23"/>
          <w:lang w:val="en-US"/>
        </w:rPr>
        <w:t xml:space="preserve">a newly created post </w:t>
      </w:r>
      <w:r w:rsidR="009715C4">
        <w:rPr>
          <w:noProof/>
          <w:szCs w:val="23"/>
          <w:lang w:val="en-US"/>
        </w:rPr>
        <w:t>att</w:t>
      </w:r>
      <w:r w:rsidR="00F87418">
        <w:rPr>
          <w:noProof/>
          <w:szCs w:val="23"/>
          <w:lang w:val="en-US"/>
        </w:rPr>
        <w:t xml:space="preserve">ached to the Director General. </w:t>
      </w:r>
      <w:r w:rsidR="009715C4">
        <w:rPr>
          <w:noProof/>
          <w:szCs w:val="23"/>
          <w:lang w:val="en-US"/>
        </w:rPr>
        <w:t xml:space="preserve">The Chief Technology officer will support increasingly data-driven enforcement and market monitoring tasks, working in close collaboration with many other departments </w:t>
      </w:r>
      <w:r w:rsidR="006E0493">
        <w:rPr>
          <w:noProof/>
          <w:szCs w:val="23"/>
          <w:lang w:val="en-US"/>
        </w:rPr>
        <w:t xml:space="preserve">within </w:t>
      </w:r>
      <w:r w:rsidR="009715C4">
        <w:rPr>
          <w:noProof/>
          <w:szCs w:val="23"/>
          <w:lang w:val="en-US"/>
        </w:rPr>
        <w:t>DG C</w:t>
      </w:r>
      <w:r w:rsidR="006E0493">
        <w:rPr>
          <w:noProof/>
          <w:szCs w:val="23"/>
          <w:lang w:val="en-US"/>
        </w:rPr>
        <w:t>ompetition</w:t>
      </w:r>
      <w:r w:rsidR="009715C4">
        <w:rPr>
          <w:noProof/>
          <w:szCs w:val="23"/>
          <w:lang w:val="en-US"/>
        </w:rPr>
        <w:t xml:space="preserve">. </w:t>
      </w:r>
      <w:r w:rsidR="00D031A0">
        <w:rPr>
          <w:noProof/>
          <w:szCs w:val="23"/>
          <w:lang w:val="en-US"/>
        </w:rPr>
        <w:t>In December 2022</w:t>
      </w:r>
      <w:r w:rsidR="009F3D9D">
        <w:rPr>
          <w:noProof/>
          <w:szCs w:val="23"/>
          <w:lang w:val="en-US"/>
        </w:rPr>
        <w:t>,</w:t>
      </w:r>
      <w:r w:rsidR="00D031A0">
        <w:rPr>
          <w:noProof/>
          <w:szCs w:val="23"/>
          <w:lang w:val="en-US"/>
        </w:rPr>
        <w:t xml:space="preserve"> a new Directorate was created which will be responsible</w:t>
      </w:r>
      <w:r w:rsidR="003A25D2">
        <w:rPr>
          <w:noProof/>
          <w:szCs w:val="23"/>
          <w:lang w:val="en-US"/>
        </w:rPr>
        <w:t xml:space="preserve"> </w:t>
      </w:r>
      <w:r w:rsidR="00B05F70">
        <w:rPr>
          <w:noProof/>
          <w:szCs w:val="23"/>
          <w:lang w:val="en-US"/>
        </w:rPr>
        <w:t xml:space="preserve">for </w:t>
      </w:r>
      <w:r w:rsidR="00D031A0">
        <w:rPr>
          <w:noProof/>
          <w:szCs w:val="23"/>
          <w:lang w:val="en-US"/>
        </w:rPr>
        <w:t xml:space="preserve">the </w:t>
      </w:r>
      <w:r w:rsidR="003A25D2">
        <w:rPr>
          <w:noProof/>
          <w:szCs w:val="23"/>
          <w:lang w:val="en-US"/>
        </w:rPr>
        <w:t xml:space="preserve">implementation of </w:t>
      </w:r>
      <w:r w:rsidR="00D031A0">
        <w:rPr>
          <w:noProof/>
          <w:szCs w:val="23"/>
          <w:lang w:val="en-US"/>
        </w:rPr>
        <w:t xml:space="preserve">the </w:t>
      </w:r>
      <w:r w:rsidR="003A25D2">
        <w:rPr>
          <w:noProof/>
          <w:szCs w:val="23"/>
          <w:lang w:val="en-US"/>
        </w:rPr>
        <w:t>DMA</w:t>
      </w:r>
      <w:r w:rsidR="00D031A0">
        <w:rPr>
          <w:noProof/>
          <w:szCs w:val="23"/>
          <w:lang w:val="en-US"/>
        </w:rPr>
        <w:t>.</w:t>
      </w:r>
      <w:r w:rsidR="003A25D2">
        <w:rPr>
          <w:noProof/>
          <w:szCs w:val="23"/>
          <w:lang w:val="en-US"/>
        </w:rPr>
        <w:t xml:space="preserve"> </w:t>
      </w:r>
    </w:p>
    <w:p w14:paraId="0DD38610" w14:textId="5FA6DE36" w:rsidR="00083624" w:rsidRPr="00D746DD" w:rsidRDefault="00E43A16" w:rsidP="00C21B8B">
      <w:pPr>
        <w:spacing w:after="120"/>
        <w:rPr>
          <w:noProof/>
          <w:szCs w:val="23"/>
        </w:rPr>
      </w:pPr>
      <w:r w:rsidRPr="00D746DD">
        <w:rPr>
          <w:noProof/>
          <w:szCs w:val="23"/>
        </w:rPr>
        <w:t>In 2022, the Commission continued with its competition policy advocacy and outreach activities at multiple levels to support the effectiveness of EU competition policy</w:t>
      </w:r>
      <w:r w:rsidR="009F3D9D">
        <w:rPr>
          <w:noProof/>
          <w:szCs w:val="23"/>
        </w:rPr>
        <w:t>, m</w:t>
      </w:r>
      <w:r w:rsidR="009C009E">
        <w:rPr>
          <w:noProof/>
          <w:szCs w:val="23"/>
        </w:rPr>
        <w:t>ost prominently with</w:t>
      </w:r>
      <w:r w:rsidR="0038605C" w:rsidRPr="00D746DD">
        <w:rPr>
          <w:noProof/>
          <w:szCs w:val="23"/>
        </w:rPr>
        <w:t xml:space="preserve"> </w:t>
      </w:r>
      <w:r w:rsidRPr="00D746DD">
        <w:rPr>
          <w:noProof/>
          <w:szCs w:val="23"/>
        </w:rPr>
        <w:t>Executive Vice-President Vestager participat</w:t>
      </w:r>
      <w:r w:rsidR="009C009E">
        <w:rPr>
          <w:noProof/>
          <w:szCs w:val="23"/>
        </w:rPr>
        <w:t>ing</w:t>
      </w:r>
      <w:r w:rsidRPr="00D746DD">
        <w:rPr>
          <w:noProof/>
          <w:szCs w:val="23"/>
        </w:rPr>
        <w:t xml:space="preserve"> in events and press conferences. Dedicated </w:t>
      </w:r>
      <w:r w:rsidR="00F235C8" w:rsidRPr="00D746DD">
        <w:rPr>
          <w:noProof/>
          <w:szCs w:val="23"/>
        </w:rPr>
        <w:t xml:space="preserve">outreach activities at </w:t>
      </w:r>
      <w:r w:rsidRPr="00D746DD">
        <w:rPr>
          <w:noProof/>
          <w:szCs w:val="23"/>
        </w:rPr>
        <w:t>Member State</w:t>
      </w:r>
      <w:r w:rsidR="00F235C8" w:rsidRPr="00D746DD">
        <w:rPr>
          <w:noProof/>
          <w:szCs w:val="23"/>
        </w:rPr>
        <w:t xml:space="preserve"> level </w:t>
      </w:r>
      <w:r w:rsidRPr="00D746DD">
        <w:rPr>
          <w:noProof/>
          <w:szCs w:val="23"/>
        </w:rPr>
        <w:t>were organised</w:t>
      </w:r>
      <w:r w:rsidR="00F235C8" w:rsidRPr="00D746DD">
        <w:rPr>
          <w:noProof/>
          <w:szCs w:val="23"/>
        </w:rPr>
        <w:t xml:space="preserve"> to complement p</w:t>
      </w:r>
      <w:r w:rsidRPr="00D746DD">
        <w:rPr>
          <w:noProof/>
          <w:szCs w:val="23"/>
        </w:rPr>
        <w:t xml:space="preserve">ress releases, </w:t>
      </w:r>
      <w:r w:rsidR="009C009E">
        <w:rPr>
          <w:noProof/>
          <w:szCs w:val="23"/>
        </w:rPr>
        <w:t xml:space="preserve">policy briefs, </w:t>
      </w:r>
      <w:r w:rsidRPr="00D746DD">
        <w:rPr>
          <w:noProof/>
          <w:szCs w:val="23"/>
        </w:rPr>
        <w:t>newsletters and social media communicat</w:t>
      </w:r>
      <w:r w:rsidR="00F235C8" w:rsidRPr="00D746DD">
        <w:rPr>
          <w:noProof/>
          <w:szCs w:val="23"/>
        </w:rPr>
        <w:t>ion channels</w:t>
      </w:r>
      <w:r w:rsidRPr="00D746DD">
        <w:rPr>
          <w:noProof/>
          <w:szCs w:val="23"/>
        </w:rPr>
        <w:t>.</w:t>
      </w:r>
      <w:r w:rsidR="00906B19" w:rsidRPr="00D746DD">
        <w:rPr>
          <w:rStyle w:val="FootnoteReference"/>
          <w:rFonts w:cs="Times New Roman"/>
          <w:noProof/>
          <w:szCs w:val="23"/>
        </w:rPr>
        <w:footnoteReference w:id="66"/>
      </w:r>
    </w:p>
    <w:p w14:paraId="06CADC32" w14:textId="77777777" w:rsidR="00F44682" w:rsidRDefault="00EB3C04" w:rsidP="00C21B8B">
      <w:pPr>
        <w:pStyle w:val="Heading1"/>
        <w:spacing w:after="200"/>
        <w:rPr>
          <w:noProof/>
        </w:rPr>
      </w:pPr>
      <w:bookmarkStart w:id="23" w:name="_Toc122109055"/>
      <w:bookmarkStart w:id="24" w:name="_Toc130224416"/>
      <w:r>
        <w:rPr>
          <w:noProof/>
        </w:rPr>
        <w:t xml:space="preserve">4. </w:t>
      </w:r>
      <w:r w:rsidR="00F44682" w:rsidRPr="00937722">
        <w:rPr>
          <w:noProof/>
        </w:rPr>
        <w:t>Competition policy enforcement contributed to the Commission’s headline ambitions</w:t>
      </w:r>
      <w:bookmarkEnd w:id="23"/>
      <w:bookmarkEnd w:id="24"/>
    </w:p>
    <w:p w14:paraId="2F6E2F79" w14:textId="77777777" w:rsidR="00752D72" w:rsidRDefault="00752D72" w:rsidP="00752D72">
      <w:pPr>
        <w:spacing w:after="120"/>
        <w:rPr>
          <w:noProof/>
          <w:color w:val="000000" w:themeColor="text1"/>
        </w:rPr>
      </w:pPr>
      <w:r>
        <w:rPr>
          <w:noProof/>
          <w:color w:val="000000" w:themeColor="text1"/>
        </w:rPr>
        <w:t>EU competition policy enforcement provides substan</w:t>
      </w:r>
      <w:r w:rsidR="00A57577">
        <w:rPr>
          <w:noProof/>
          <w:color w:val="000000" w:themeColor="text1"/>
        </w:rPr>
        <w:t>t</w:t>
      </w:r>
      <w:r>
        <w:rPr>
          <w:noProof/>
          <w:color w:val="000000" w:themeColor="text1"/>
        </w:rPr>
        <w:t xml:space="preserve">ial benefits for consumers and customers. </w:t>
      </w:r>
      <w:r w:rsidR="00E50235">
        <w:rPr>
          <w:noProof/>
          <w:color w:val="000000" w:themeColor="text1"/>
        </w:rPr>
        <w:t>DG Competition estimates</w:t>
      </w:r>
      <w:r>
        <w:rPr>
          <w:rStyle w:val="FootnoteReference"/>
          <w:noProof/>
          <w:color w:val="000000" w:themeColor="text1"/>
        </w:rPr>
        <w:footnoteReference w:id="67"/>
      </w:r>
      <w:r>
        <w:rPr>
          <w:noProof/>
          <w:color w:val="000000" w:themeColor="text1"/>
        </w:rPr>
        <w:t xml:space="preserve"> that direct customer savings generated by the Commission’s antitrust and merger enforcement over the period 2012-2021 range between EUR 120 billion and EUR 210 billion. On average, antitrust and merger enforcement generated some EUR 12 billion to EUR 21 billion in direct customer benefits per year (see graph below). </w:t>
      </w:r>
    </w:p>
    <w:p w14:paraId="31200F79" w14:textId="77777777" w:rsidR="00752D72" w:rsidRDefault="007B4F1E" w:rsidP="00752D72">
      <w:pPr>
        <w:spacing w:after="120"/>
        <w:rPr>
          <w:noProof/>
          <w:color w:val="000000" w:themeColor="text1"/>
        </w:rPr>
      </w:pPr>
      <w:r>
        <w:rPr>
          <w:noProof/>
          <w:color w:val="000000" w:themeColor="text1"/>
        </w:rPr>
        <w:t>In addition to these estimates, o</w:t>
      </w:r>
      <w:r w:rsidR="00752D72">
        <w:rPr>
          <w:noProof/>
          <w:color w:val="000000" w:themeColor="text1"/>
        </w:rPr>
        <w:t xml:space="preserve">verall customer benefits </w:t>
      </w:r>
      <w:r w:rsidR="00A57577">
        <w:rPr>
          <w:noProof/>
          <w:color w:val="000000" w:themeColor="text1"/>
        </w:rPr>
        <w:t xml:space="preserve">considered to be </w:t>
      </w:r>
      <w:r w:rsidR="00752D72">
        <w:rPr>
          <w:noProof/>
          <w:color w:val="000000" w:themeColor="text1"/>
        </w:rPr>
        <w:t>generated by competition policy enforcement also include:</w:t>
      </w:r>
    </w:p>
    <w:p w14:paraId="35FE589E" w14:textId="77777777" w:rsidR="00752D72" w:rsidRDefault="00752D72" w:rsidP="00752D72">
      <w:pPr>
        <w:spacing w:after="120"/>
        <w:rPr>
          <w:noProof/>
          <w:color w:val="000000" w:themeColor="text1"/>
        </w:rPr>
      </w:pPr>
      <w:r w:rsidRPr="00F310FD">
        <w:rPr>
          <w:noProof/>
          <w:color w:val="000000" w:themeColor="text1"/>
        </w:rPr>
        <w:t>(1) indirect</w:t>
      </w:r>
      <w:r>
        <w:rPr>
          <w:noProof/>
          <w:color w:val="000000" w:themeColor="text1"/>
        </w:rPr>
        <w:t xml:space="preserve"> or </w:t>
      </w:r>
      <w:r w:rsidRPr="00F310FD">
        <w:rPr>
          <w:noProof/>
          <w:color w:val="000000" w:themeColor="text1"/>
        </w:rPr>
        <w:t xml:space="preserve">deterrent effects </w:t>
      </w:r>
      <w:r>
        <w:rPr>
          <w:noProof/>
          <w:color w:val="000000" w:themeColor="text1"/>
        </w:rPr>
        <w:t>generated by e</w:t>
      </w:r>
      <w:r w:rsidRPr="00F310FD">
        <w:rPr>
          <w:noProof/>
          <w:color w:val="000000" w:themeColor="text1"/>
        </w:rPr>
        <w:t>nforcement</w:t>
      </w:r>
      <w:r>
        <w:rPr>
          <w:noProof/>
          <w:color w:val="000000" w:themeColor="text1"/>
        </w:rPr>
        <w:t xml:space="preserve">, for example when firms refrain from engaging in anti-competitive conduct or concluding anti-competitive merger agreeements; </w:t>
      </w:r>
      <w:r w:rsidRPr="00F310FD">
        <w:rPr>
          <w:noProof/>
          <w:color w:val="000000" w:themeColor="text1"/>
        </w:rPr>
        <w:t>and</w:t>
      </w:r>
    </w:p>
    <w:p w14:paraId="799A800F" w14:textId="77777777" w:rsidR="00752D72" w:rsidRDefault="00752D72" w:rsidP="00752D72">
      <w:pPr>
        <w:spacing w:after="120"/>
        <w:rPr>
          <w:noProof/>
          <w:color w:val="000000" w:themeColor="text1"/>
        </w:rPr>
      </w:pPr>
      <w:r w:rsidRPr="00F310FD">
        <w:rPr>
          <w:noProof/>
          <w:color w:val="000000" w:themeColor="text1"/>
        </w:rPr>
        <w:t xml:space="preserve">(2) positive effects on innovation and </w:t>
      </w:r>
      <w:r>
        <w:rPr>
          <w:noProof/>
          <w:color w:val="000000" w:themeColor="text1"/>
        </w:rPr>
        <w:t xml:space="preserve">product or service </w:t>
      </w:r>
      <w:r w:rsidRPr="00F310FD">
        <w:rPr>
          <w:noProof/>
          <w:color w:val="000000" w:themeColor="text1"/>
        </w:rPr>
        <w:t>quality</w:t>
      </w:r>
      <w:r>
        <w:rPr>
          <w:noProof/>
          <w:color w:val="000000" w:themeColor="text1"/>
        </w:rPr>
        <w:t xml:space="preserve">. </w:t>
      </w:r>
    </w:p>
    <w:p w14:paraId="372FB769" w14:textId="22943C0B" w:rsidR="00752D72" w:rsidRDefault="00752D72" w:rsidP="00752D72">
      <w:pPr>
        <w:spacing w:after="120"/>
        <w:rPr>
          <w:noProof/>
          <w:color w:val="000000" w:themeColor="text1"/>
        </w:rPr>
      </w:pPr>
      <w:r>
        <w:rPr>
          <w:noProof/>
          <w:color w:val="000000" w:themeColor="text1"/>
        </w:rPr>
        <w:t>Indirect deterrent effects are difficult to estimate. However, economists agree that indirect customer savings are likely to exceed by far direct customer savings. Recent modelling of the macro-economic effects</w:t>
      </w:r>
      <w:r w:rsidR="002E3224">
        <w:rPr>
          <w:rStyle w:val="FootnoteReference"/>
          <w:noProof/>
          <w:color w:val="000000" w:themeColor="text1"/>
        </w:rPr>
        <w:footnoteReference w:id="68"/>
      </w:r>
      <w:r>
        <w:rPr>
          <w:noProof/>
          <w:color w:val="000000" w:themeColor="text1"/>
        </w:rPr>
        <w:t xml:space="preserve"> of competition </w:t>
      </w:r>
      <w:r w:rsidR="00A57577">
        <w:rPr>
          <w:noProof/>
          <w:color w:val="000000" w:themeColor="text1"/>
        </w:rPr>
        <w:t xml:space="preserve">policy </w:t>
      </w:r>
      <w:r>
        <w:rPr>
          <w:noProof/>
          <w:color w:val="000000" w:themeColor="text1"/>
        </w:rPr>
        <w:t>enforcement suggests that antitrust and merger enforcement savings generated by the Commission during the last ten years is likely</w:t>
      </w:r>
      <w:r>
        <w:rPr>
          <w:noProof/>
        </w:rPr>
        <w:t xml:space="preserve"> to have a positive impact on EU GDP in the range of 0</w:t>
      </w:r>
      <w:r w:rsidR="00A57577">
        <w:rPr>
          <w:noProof/>
        </w:rPr>
        <w:t>.</w:t>
      </w:r>
      <w:r>
        <w:rPr>
          <w:noProof/>
        </w:rPr>
        <w:t>6% - 1.1% (corresponding to EUR 90-160 billion</w:t>
      </w:r>
      <w:r w:rsidR="003435AC">
        <w:rPr>
          <w:noProof/>
        </w:rPr>
        <w:t xml:space="preserve"> per year</w:t>
      </w:r>
      <w:r>
        <w:rPr>
          <w:noProof/>
        </w:rPr>
        <w:t>) in the medium to long term</w:t>
      </w:r>
      <w:r w:rsidR="002E3224">
        <w:rPr>
          <w:rStyle w:val="FootnoteReference"/>
          <w:noProof/>
        </w:rPr>
        <w:footnoteReference w:id="69"/>
      </w:r>
      <w:r>
        <w:rPr>
          <w:noProof/>
        </w:rPr>
        <w:t xml:space="preserve">. </w:t>
      </w:r>
    </w:p>
    <w:p w14:paraId="3C9C09A4" w14:textId="77777777" w:rsidR="00752D72" w:rsidRDefault="00752D72" w:rsidP="00752D72">
      <w:pPr>
        <w:spacing w:after="120"/>
        <w:jc w:val="center"/>
        <w:rPr>
          <w:noProof/>
          <w:color w:val="000000" w:themeColor="text1"/>
        </w:rPr>
      </w:pPr>
      <w:r w:rsidRPr="00F310FD">
        <w:rPr>
          <w:noProof/>
          <w:color w:val="000000" w:themeColor="text1"/>
          <w:lang w:eastAsia="en-GB"/>
        </w:rPr>
        <w:drawing>
          <wp:inline distT="0" distB="0" distL="0" distR="0" wp14:anchorId="2F742AB8" wp14:editId="16979AFB">
            <wp:extent cx="4385730" cy="1720312"/>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92AB1E4" w14:textId="77777777" w:rsidR="00752D72" w:rsidRPr="00752D72" w:rsidRDefault="00752D72" w:rsidP="00752D72">
      <w:pPr>
        <w:rPr>
          <w:noProof/>
        </w:rPr>
      </w:pPr>
      <w:r>
        <w:rPr>
          <w:noProof/>
          <w:color w:val="000000" w:themeColor="text1"/>
        </w:rPr>
        <w:t>In October 2022,</w:t>
      </w:r>
      <w:r w:rsidRPr="00193A19">
        <w:rPr>
          <w:noProof/>
          <w:color w:val="000000" w:themeColor="text1"/>
        </w:rPr>
        <w:t xml:space="preserve"> the Commission published the 2022 Eurobarometer survey dedicated to EU competition policy</w:t>
      </w:r>
      <w:r>
        <w:rPr>
          <w:rStyle w:val="FootnoteReference"/>
          <w:noProof/>
          <w:color w:val="000000" w:themeColor="text1"/>
        </w:rPr>
        <w:footnoteReference w:id="70"/>
      </w:r>
      <w:r w:rsidRPr="00193A19">
        <w:rPr>
          <w:noProof/>
          <w:color w:val="000000" w:themeColor="text1"/>
        </w:rPr>
        <w:t xml:space="preserve">. The results </w:t>
      </w:r>
      <w:r>
        <w:rPr>
          <w:noProof/>
          <w:color w:val="000000" w:themeColor="text1"/>
        </w:rPr>
        <w:t xml:space="preserve">clearly indicate </w:t>
      </w:r>
      <w:r w:rsidR="00A57577">
        <w:rPr>
          <w:noProof/>
          <w:color w:val="000000" w:themeColor="text1"/>
        </w:rPr>
        <w:t xml:space="preserve">that </w:t>
      </w:r>
      <w:r>
        <w:rPr>
          <w:noProof/>
          <w:color w:val="000000" w:themeColor="text1"/>
        </w:rPr>
        <w:t xml:space="preserve">well-functioning </w:t>
      </w:r>
      <w:r w:rsidRPr="00193A19">
        <w:rPr>
          <w:noProof/>
          <w:color w:val="000000" w:themeColor="text1"/>
        </w:rPr>
        <w:t>competiti</w:t>
      </w:r>
      <w:r>
        <w:rPr>
          <w:noProof/>
          <w:color w:val="000000" w:themeColor="text1"/>
        </w:rPr>
        <w:t xml:space="preserve">ve markets </w:t>
      </w:r>
      <w:r w:rsidRPr="00193A19">
        <w:rPr>
          <w:noProof/>
          <w:color w:val="000000" w:themeColor="text1"/>
        </w:rPr>
        <w:t xml:space="preserve">improve </w:t>
      </w:r>
      <w:r w:rsidR="00A57577">
        <w:rPr>
          <w:noProof/>
          <w:color w:val="000000" w:themeColor="text1"/>
        </w:rPr>
        <w:t xml:space="preserve">people’s </w:t>
      </w:r>
      <w:r w:rsidRPr="00193A19">
        <w:rPr>
          <w:noProof/>
          <w:color w:val="000000" w:themeColor="text1"/>
        </w:rPr>
        <w:t>daily li</w:t>
      </w:r>
      <w:r w:rsidR="00A57577">
        <w:rPr>
          <w:noProof/>
          <w:color w:val="000000" w:themeColor="text1"/>
        </w:rPr>
        <w:t>ves</w:t>
      </w:r>
      <w:r w:rsidRPr="00193A19">
        <w:rPr>
          <w:noProof/>
          <w:color w:val="000000" w:themeColor="text1"/>
        </w:rPr>
        <w:t xml:space="preserve"> and </w:t>
      </w:r>
      <w:r w:rsidR="00A57577">
        <w:rPr>
          <w:noProof/>
          <w:color w:val="000000" w:themeColor="text1"/>
        </w:rPr>
        <w:t xml:space="preserve">that they </w:t>
      </w:r>
      <w:r>
        <w:rPr>
          <w:noProof/>
          <w:color w:val="000000" w:themeColor="text1"/>
        </w:rPr>
        <w:t xml:space="preserve">have a positive impact on </w:t>
      </w:r>
      <w:r w:rsidRPr="00193A19">
        <w:rPr>
          <w:noProof/>
          <w:color w:val="000000" w:themeColor="text1"/>
        </w:rPr>
        <w:t>SMEs</w:t>
      </w:r>
      <w:r>
        <w:rPr>
          <w:noProof/>
          <w:color w:val="000000" w:themeColor="text1"/>
        </w:rPr>
        <w:t xml:space="preserve">. </w:t>
      </w:r>
      <w:r w:rsidR="00A57577">
        <w:rPr>
          <w:noProof/>
          <w:color w:val="000000" w:themeColor="text1"/>
        </w:rPr>
        <w:t xml:space="preserve">Competitive markets </w:t>
      </w:r>
      <w:r w:rsidRPr="00193A19">
        <w:rPr>
          <w:noProof/>
          <w:color w:val="000000" w:themeColor="text1"/>
        </w:rPr>
        <w:t xml:space="preserve">bring </w:t>
      </w:r>
      <w:r>
        <w:rPr>
          <w:noProof/>
          <w:color w:val="000000" w:themeColor="text1"/>
        </w:rPr>
        <w:t xml:space="preserve">lower </w:t>
      </w:r>
      <w:r w:rsidRPr="00193A19">
        <w:rPr>
          <w:noProof/>
          <w:color w:val="000000" w:themeColor="text1"/>
        </w:rPr>
        <w:t xml:space="preserve">prices, more choice and </w:t>
      </w:r>
      <w:r>
        <w:rPr>
          <w:noProof/>
          <w:color w:val="000000" w:themeColor="text1"/>
        </w:rPr>
        <w:t xml:space="preserve">more </w:t>
      </w:r>
      <w:r w:rsidRPr="00193A19">
        <w:rPr>
          <w:noProof/>
          <w:color w:val="000000" w:themeColor="text1"/>
        </w:rPr>
        <w:t>innovati</w:t>
      </w:r>
      <w:r>
        <w:rPr>
          <w:noProof/>
          <w:color w:val="000000" w:themeColor="text1"/>
        </w:rPr>
        <w:t>ve products and services.</w:t>
      </w:r>
    </w:p>
    <w:p w14:paraId="05F76574" w14:textId="29916B98" w:rsidR="00F44682" w:rsidRDefault="00530F6C" w:rsidP="00E16E8F">
      <w:pPr>
        <w:pStyle w:val="Heading2"/>
      </w:pPr>
      <w:bookmarkStart w:id="25" w:name="_Toc122109056"/>
      <w:bookmarkStart w:id="26" w:name="_Toc130224417"/>
      <w:r>
        <w:t xml:space="preserve">4.1. </w:t>
      </w:r>
      <w:r w:rsidR="00F44682" w:rsidRPr="00937722">
        <w:t xml:space="preserve">Competition </w:t>
      </w:r>
      <w:r w:rsidR="00ED2411">
        <w:t>p</w:t>
      </w:r>
      <w:r w:rsidR="00F44682" w:rsidRPr="00937722">
        <w:t xml:space="preserve">olicy </w:t>
      </w:r>
      <w:r w:rsidR="00ED2411">
        <w:t>e</w:t>
      </w:r>
      <w:r w:rsidR="00F44682" w:rsidRPr="00937722">
        <w:t xml:space="preserve">nforcement </w:t>
      </w:r>
      <w:r w:rsidR="00ED2411">
        <w:t>c</w:t>
      </w:r>
      <w:r w:rsidR="00F44682" w:rsidRPr="00937722">
        <w:t xml:space="preserve">ontributed to the </w:t>
      </w:r>
      <w:r w:rsidR="00ED2411">
        <w:t>d</w:t>
      </w:r>
      <w:r w:rsidR="00F44682" w:rsidRPr="00937722">
        <w:t xml:space="preserve">igital </w:t>
      </w:r>
      <w:r w:rsidR="00ED2411">
        <w:t>t</w:t>
      </w:r>
      <w:r w:rsidR="00F44682" w:rsidRPr="00937722">
        <w:t xml:space="preserve">ransition and a </w:t>
      </w:r>
      <w:r w:rsidR="00ED2411">
        <w:t>s</w:t>
      </w:r>
      <w:r w:rsidR="00F44682" w:rsidRPr="00937722">
        <w:t xml:space="preserve">trong and </w:t>
      </w:r>
      <w:r w:rsidR="00ED2411">
        <w:t>r</w:t>
      </w:r>
      <w:r w:rsidR="00F44682" w:rsidRPr="00937722">
        <w:t>esilient Single Market</w:t>
      </w:r>
      <w:bookmarkEnd w:id="25"/>
      <w:bookmarkEnd w:id="26"/>
    </w:p>
    <w:p w14:paraId="7EFBBCA6" w14:textId="77777777" w:rsidR="00341993" w:rsidRPr="00542D19" w:rsidRDefault="00341993" w:rsidP="005B4ED5">
      <w:pPr>
        <w:spacing w:after="120"/>
        <w:rPr>
          <w:noProof/>
        </w:rPr>
      </w:pPr>
      <w:r w:rsidRPr="00937722">
        <w:rPr>
          <w:noProof/>
        </w:rPr>
        <w:t xml:space="preserve">Through the headline ambition </w:t>
      </w:r>
      <w:r w:rsidR="003F1F1C">
        <w:rPr>
          <w:noProof/>
        </w:rPr>
        <w:t>‘</w:t>
      </w:r>
      <w:r w:rsidRPr="00937722">
        <w:rPr>
          <w:noProof/>
        </w:rPr>
        <w:t>A Europe fit for the digital age</w:t>
      </w:r>
      <w:r w:rsidR="003F1F1C">
        <w:rPr>
          <w:noProof/>
        </w:rPr>
        <w:t>’</w:t>
      </w:r>
      <w:r w:rsidRPr="00937722">
        <w:rPr>
          <w:noProof/>
        </w:rPr>
        <w:t xml:space="preserve">, President von der Leyen defined the digital area as one of her </w:t>
      </w:r>
      <w:r>
        <w:rPr>
          <w:noProof/>
        </w:rPr>
        <w:t xml:space="preserve">key </w:t>
      </w:r>
      <w:r w:rsidRPr="00937722">
        <w:rPr>
          <w:noProof/>
        </w:rPr>
        <w:t>priorities for th</w:t>
      </w:r>
      <w:r w:rsidR="006624B7">
        <w:rPr>
          <w:noProof/>
        </w:rPr>
        <w:t>e</w:t>
      </w:r>
      <w:r w:rsidRPr="00937722">
        <w:rPr>
          <w:noProof/>
        </w:rPr>
        <w:t xml:space="preserve"> Commission. In competitive markets</w:t>
      </w:r>
      <w:r w:rsidR="006C4E63">
        <w:rPr>
          <w:noProof/>
        </w:rPr>
        <w:t>,</w:t>
      </w:r>
      <w:r w:rsidRPr="00937722">
        <w:rPr>
          <w:noProof/>
        </w:rPr>
        <w:t xml:space="preserve"> </w:t>
      </w:r>
      <w:r>
        <w:rPr>
          <w:noProof/>
        </w:rPr>
        <w:t xml:space="preserve">companies </w:t>
      </w:r>
      <w:r w:rsidRPr="00937722">
        <w:rPr>
          <w:noProof/>
        </w:rPr>
        <w:t xml:space="preserve">must innovate and </w:t>
      </w:r>
      <w:r w:rsidR="006C4E63">
        <w:rPr>
          <w:noProof/>
        </w:rPr>
        <w:t>be</w:t>
      </w:r>
      <w:r w:rsidRPr="00937722">
        <w:rPr>
          <w:noProof/>
        </w:rPr>
        <w:t xml:space="preserve"> efficient to </w:t>
      </w:r>
      <w:r w:rsidR="006728B9">
        <w:rPr>
          <w:noProof/>
        </w:rPr>
        <w:t>grow</w:t>
      </w:r>
      <w:r w:rsidRPr="00937722">
        <w:rPr>
          <w:rStyle w:val="FootnoteReference"/>
          <w:rFonts w:eastAsia="Times New Roman" w:cs="Times New Roman"/>
          <w:noProof/>
          <w:sz w:val="24"/>
          <w:szCs w:val="24"/>
        </w:rPr>
        <w:footnoteReference w:id="71"/>
      </w:r>
      <w:r w:rsidRPr="00937722">
        <w:rPr>
          <w:noProof/>
        </w:rPr>
        <w:t xml:space="preserve">. </w:t>
      </w:r>
      <w:r w:rsidR="006624B7">
        <w:rPr>
          <w:noProof/>
        </w:rPr>
        <w:t>An e</w:t>
      </w:r>
      <w:r w:rsidRPr="00937722">
        <w:rPr>
          <w:noProof/>
        </w:rPr>
        <w:t xml:space="preserve">ffective enforcement of the EU competition rules and regulatory reforms </w:t>
      </w:r>
      <w:r w:rsidR="0042301E">
        <w:rPr>
          <w:noProof/>
        </w:rPr>
        <w:t xml:space="preserve">is </w:t>
      </w:r>
      <w:r w:rsidRPr="00937722">
        <w:rPr>
          <w:noProof/>
        </w:rPr>
        <w:t>of vital importance for the digital transformation of the EU economy</w:t>
      </w:r>
      <w:r w:rsidR="006624B7">
        <w:rPr>
          <w:noProof/>
        </w:rPr>
        <w:t xml:space="preserve"> </w:t>
      </w:r>
      <w:r w:rsidRPr="00937722">
        <w:rPr>
          <w:noProof/>
        </w:rPr>
        <w:t>and for strengthening the resilience of the Single Market</w:t>
      </w:r>
      <w:r w:rsidR="005B4ED5">
        <w:rPr>
          <w:noProof/>
        </w:rPr>
        <w:t>.</w:t>
      </w:r>
    </w:p>
    <w:p w14:paraId="1A811E46" w14:textId="77777777" w:rsidR="00F44682" w:rsidRPr="00EF26B8" w:rsidRDefault="00F44682" w:rsidP="005B4ED5">
      <w:pPr>
        <w:pStyle w:val="Heading3"/>
        <w:spacing w:after="120"/>
        <w:rPr>
          <w:noProof/>
          <w:sz w:val="24"/>
        </w:rPr>
      </w:pPr>
      <w:r w:rsidRPr="00EF26B8">
        <w:rPr>
          <w:noProof/>
          <w:sz w:val="24"/>
        </w:rPr>
        <w:t>Enforcement in antitrust contributed to the digital transition and a strong and resilient Single Market</w:t>
      </w:r>
    </w:p>
    <w:p w14:paraId="6673218B" w14:textId="77777777" w:rsidR="009C291B" w:rsidRPr="005E4026" w:rsidRDefault="009C291B" w:rsidP="00D746DD">
      <w:pPr>
        <w:rPr>
          <w:noProof/>
        </w:rPr>
      </w:pPr>
      <w:r w:rsidRPr="005E4026">
        <w:rPr>
          <w:noProof/>
        </w:rPr>
        <w:t xml:space="preserve">In </w:t>
      </w:r>
      <w:r w:rsidR="006728B9">
        <w:rPr>
          <w:noProof/>
        </w:rPr>
        <w:t xml:space="preserve">the </w:t>
      </w:r>
      <w:r w:rsidRPr="005E4026">
        <w:rPr>
          <w:noProof/>
        </w:rPr>
        <w:t>telecommunications</w:t>
      </w:r>
      <w:r w:rsidR="006728B9">
        <w:rPr>
          <w:noProof/>
        </w:rPr>
        <w:t xml:space="preserve"> sector</w:t>
      </w:r>
      <w:r w:rsidRPr="005E4026">
        <w:rPr>
          <w:noProof/>
        </w:rPr>
        <w:t xml:space="preserve">, the Commission </w:t>
      </w:r>
      <w:r w:rsidR="00E533AF">
        <w:rPr>
          <w:noProof/>
        </w:rPr>
        <w:t xml:space="preserve">accepted </w:t>
      </w:r>
      <w:r w:rsidRPr="005E4026">
        <w:rPr>
          <w:noProof/>
        </w:rPr>
        <w:t xml:space="preserve">in July 2022 a set of commitments offered by </w:t>
      </w:r>
      <w:r w:rsidRPr="005E4026">
        <w:rPr>
          <w:i/>
          <w:noProof/>
        </w:rPr>
        <w:t>T-Mobile CZ</w:t>
      </w:r>
      <w:r w:rsidRPr="005E4026">
        <w:rPr>
          <w:noProof/>
        </w:rPr>
        <w:t xml:space="preserve">, </w:t>
      </w:r>
      <w:r w:rsidRPr="005E4026">
        <w:rPr>
          <w:i/>
          <w:noProof/>
        </w:rPr>
        <w:t>CETIN</w:t>
      </w:r>
      <w:r w:rsidRPr="005E4026">
        <w:rPr>
          <w:noProof/>
        </w:rPr>
        <w:t xml:space="preserve"> and </w:t>
      </w:r>
      <w:r w:rsidRPr="005E4026">
        <w:rPr>
          <w:i/>
          <w:noProof/>
        </w:rPr>
        <w:t>O2 CZ</w:t>
      </w:r>
      <w:r w:rsidR="0064650E">
        <w:rPr>
          <w:i/>
          <w:noProof/>
        </w:rPr>
        <w:t xml:space="preserve"> </w:t>
      </w:r>
      <w:r w:rsidR="0064650E" w:rsidRPr="0064650E">
        <w:rPr>
          <w:noProof/>
        </w:rPr>
        <w:t>in Czechia</w:t>
      </w:r>
      <w:r w:rsidRPr="00851690">
        <w:rPr>
          <w:rStyle w:val="FootnoteReference"/>
          <w:noProof/>
          <w:color w:val="000000" w:themeColor="text1"/>
          <w:sz w:val="24"/>
          <w:szCs w:val="24"/>
        </w:rPr>
        <w:footnoteReference w:id="72"/>
      </w:r>
      <w:r w:rsidR="00E533AF">
        <w:rPr>
          <w:i/>
          <w:noProof/>
        </w:rPr>
        <w:t xml:space="preserve">. </w:t>
      </w:r>
      <w:r w:rsidR="00E533AF">
        <w:rPr>
          <w:noProof/>
        </w:rPr>
        <w:t xml:space="preserve">These commitments </w:t>
      </w:r>
      <w:r w:rsidR="0094366F">
        <w:rPr>
          <w:noProof/>
        </w:rPr>
        <w:t xml:space="preserve">set the framework for </w:t>
      </w:r>
      <w:r w:rsidR="00E32F5D">
        <w:rPr>
          <w:noProof/>
        </w:rPr>
        <w:t xml:space="preserve">the </w:t>
      </w:r>
      <w:r w:rsidRPr="005E4026">
        <w:rPr>
          <w:noProof/>
        </w:rPr>
        <w:t>benefi</w:t>
      </w:r>
      <w:r w:rsidR="0094366F">
        <w:rPr>
          <w:noProof/>
        </w:rPr>
        <w:t>cial</w:t>
      </w:r>
      <w:r w:rsidRPr="005E4026">
        <w:rPr>
          <w:noProof/>
        </w:rPr>
        <w:t xml:space="preserve"> </w:t>
      </w:r>
      <w:r w:rsidR="00350888">
        <w:rPr>
          <w:noProof/>
        </w:rPr>
        <w:t xml:space="preserve">effects </w:t>
      </w:r>
      <w:r w:rsidRPr="005E4026">
        <w:rPr>
          <w:noProof/>
        </w:rPr>
        <w:t>of network sharing</w:t>
      </w:r>
      <w:r w:rsidR="00E533AF">
        <w:rPr>
          <w:noProof/>
        </w:rPr>
        <w:t xml:space="preserve">, limit the exchange of commercially sensitive information between the network sharers and </w:t>
      </w:r>
      <w:r w:rsidR="0064650E">
        <w:rPr>
          <w:noProof/>
        </w:rPr>
        <w:t xml:space="preserve">preserve for each party the </w:t>
      </w:r>
      <w:r w:rsidRPr="005E4026">
        <w:rPr>
          <w:noProof/>
        </w:rPr>
        <w:t xml:space="preserve">technical and financial incentives to </w:t>
      </w:r>
      <w:r w:rsidR="0064650E">
        <w:rPr>
          <w:noProof/>
        </w:rPr>
        <w:t>deploy additional network capacity on their own.</w:t>
      </w:r>
    </w:p>
    <w:p w14:paraId="69DAC196" w14:textId="77777777" w:rsidR="009C291B" w:rsidRDefault="009C291B" w:rsidP="005B4ED5">
      <w:pPr>
        <w:spacing w:after="0"/>
        <w:rPr>
          <w:noProof/>
        </w:rPr>
      </w:pPr>
      <w:r w:rsidRPr="00937722">
        <w:rPr>
          <w:noProof/>
        </w:rPr>
        <w:t xml:space="preserve">E-commerce has boosted retail competition and brought wider choice and better prices for consumers. The Commission needs to ensure that large online platforms do not eliminate these benefits through anticompetitive behaviour. </w:t>
      </w:r>
      <w:r w:rsidR="00F63D95">
        <w:rPr>
          <w:noProof/>
        </w:rPr>
        <w:t xml:space="preserve">In this context, </w:t>
      </w:r>
      <w:r w:rsidRPr="00937722">
        <w:rPr>
          <w:noProof/>
        </w:rPr>
        <w:t xml:space="preserve">the Commission decided to examine </w:t>
      </w:r>
      <w:r w:rsidRPr="00937722">
        <w:rPr>
          <w:i/>
          <w:noProof/>
        </w:rPr>
        <w:t>Amazon's</w:t>
      </w:r>
      <w:r w:rsidRPr="00937722">
        <w:rPr>
          <w:noProof/>
        </w:rPr>
        <w:t xml:space="preserve"> business practices and its dual role as marketplace and retailer</w:t>
      </w:r>
      <w:r w:rsidR="006624B7">
        <w:rPr>
          <w:noProof/>
        </w:rPr>
        <w:t xml:space="preserve">. </w:t>
      </w:r>
      <w:r w:rsidRPr="00937722">
        <w:rPr>
          <w:noProof/>
        </w:rPr>
        <w:t>In July 2022, the Commission invited comments</w:t>
      </w:r>
      <w:r w:rsidRPr="00937722">
        <w:rPr>
          <w:rStyle w:val="FootnoteReference"/>
          <w:noProof/>
          <w:color w:val="000000" w:themeColor="text1"/>
          <w:sz w:val="24"/>
          <w:szCs w:val="24"/>
        </w:rPr>
        <w:footnoteReference w:id="73"/>
      </w:r>
      <w:r w:rsidRPr="00937722">
        <w:rPr>
          <w:noProof/>
        </w:rPr>
        <w:t xml:space="preserve"> on commitments offered by Amazon to address competition concerns over its use of non-public marketplace seller data and over a possible bias in granting </w:t>
      </w:r>
      <w:r w:rsidR="002D38DE" w:rsidRPr="00937722">
        <w:rPr>
          <w:noProof/>
        </w:rPr>
        <w:t>sellers’</w:t>
      </w:r>
      <w:r w:rsidRPr="00937722">
        <w:rPr>
          <w:noProof/>
        </w:rPr>
        <w:t xml:space="preserve"> access to its Buy Box and its Prime programme.</w:t>
      </w:r>
      <w:r w:rsidR="00296BBF" w:rsidRPr="00296BBF">
        <w:rPr>
          <w:noProof/>
        </w:rPr>
        <w:t xml:space="preserve"> </w:t>
      </w:r>
      <w:r w:rsidR="00296BBF" w:rsidRPr="00937722">
        <w:rPr>
          <w:noProof/>
        </w:rPr>
        <w:t xml:space="preserve">In </w:t>
      </w:r>
      <w:r w:rsidR="00296BBF">
        <w:rPr>
          <w:noProof/>
        </w:rPr>
        <w:t>December</w:t>
      </w:r>
      <w:r w:rsidR="00296BBF" w:rsidRPr="00937722">
        <w:rPr>
          <w:noProof/>
        </w:rPr>
        <w:t xml:space="preserve"> 2022, the Commission</w:t>
      </w:r>
      <w:r w:rsidR="00296BBF" w:rsidRPr="00296BBF">
        <w:rPr>
          <w:noProof/>
        </w:rPr>
        <w:t xml:space="preserve"> </w:t>
      </w:r>
      <w:r w:rsidR="001B1C17">
        <w:rPr>
          <w:noProof/>
        </w:rPr>
        <w:t xml:space="preserve">concluded </w:t>
      </w:r>
      <w:r w:rsidR="00296BBF">
        <w:rPr>
          <w:noProof/>
        </w:rPr>
        <w:t xml:space="preserve">that the </w:t>
      </w:r>
      <w:r w:rsidR="00144D26">
        <w:rPr>
          <w:noProof/>
        </w:rPr>
        <w:t xml:space="preserve">final </w:t>
      </w:r>
      <w:r w:rsidR="00296BBF">
        <w:rPr>
          <w:noProof/>
        </w:rPr>
        <w:t>commitments offered by Amazon addressed the Commission's competition concerns and made them legally binding under EU antitrust rules.</w:t>
      </w:r>
      <w:r w:rsidR="00296BBF" w:rsidRPr="00937722">
        <w:rPr>
          <w:rStyle w:val="FootnoteReference"/>
          <w:noProof/>
          <w:color w:val="000000" w:themeColor="text1"/>
          <w:sz w:val="24"/>
          <w:szCs w:val="24"/>
        </w:rPr>
        <w:footnoteReference w:id="74"/>
      </w:r>
    </w:p>
    <w:p w14:paraId="08418D82" w14:textId="77777777" w:rsidR="00753492" w:rsidRPr="009C291B" w:rsidRDefault="00753492" w:rsidP="00753492">
      <w:pPr>
        <w:spacing w:after="120"/>
        <w:jc w:val="center"/>
        <w:rPr>
          <w:noProof/>
        </w:rPr>
      </w:pPr>
      <w:r>
        <w:rPr>
          <w:noProof/>
          <w:lang w:eastAsia="en-GB"/>
        </w:rPr>
        <w:drawing>
          <wp:inline distT="0" distB="0" distL="0" distR="0" wp14:anchorId="51214342" wp14:editId="041E1E09">
            <wp:extent cx="4087905" cy="2872452"/>
            <wp:effectExtent l="0" t="0" r="825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azon commitment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91250" cy="2874802"/>
                    </a:xfrm>
                    <a:prstGeom prst="rect">
                      <a:avLst/>
                    </a:prstGeom>
                  </pic:spPr>
                </pic:pic>
              </a:graphicData>
            </a:graphic>
          </wp:inline>
        </w:drawing>
      </w:r>
    </w:p>
    <w:p w14:paraId="55DE6AEC" w14:textId="77777777" w:rsidR="006728B9" w:rsidRDefault="00DB316F" w:rsidP="00DB316F">
      <w:pPr>
        <w:rPr>
          <w:noProof/>
        </w:rPr>
      </w:pPr>
      <w:r>
        <w:rPr>
          <w:noProof/>
        </w:rPr>
        <w:t xml:space="preserve">In December 2022, the Commission informed </w:t>
      </w:r>
      <w:r w:rsidRPr="009C63BD">
        <w:rPr>
          <w:bCs/>
          <w:noProof/>
        </w:rPr>
        <w:t>Meta</w:t>
      </w:r>
      <w:r w:rsidRPr="009C63BD">
        <w:rPr>
          <w:noProof/>
        </w:rPr>
        <w:t xml:space="preserve"> of</w:t>
      </w:r>
      <w:r>
        <w:rPr>
          <w:noProof/>
        </w:rPr>
        <w:t xml:space="preserve"> its preliminary view that the company breached EU antitrust rules by distorting competition in the markets for online classified ads.</w:t>
      </w:r>
      <w:r w:rsidRPr="00851690">
        <w:rPr>
          <w:rStyle w:val="FootnoteReference"/>
          <w:noProof/>
          <w:color w:val="000000" w:themeColor="text1"/>
          <w:sz w:val="24"/>
          <w:szCs w:val="24"/>
        </w:rPr>
        <w:footnoteReference w:id="75"/>
      </w:r>
      <w:r>
        <w:rPr>
          <w:noProof/>
        </w:rPr>
        <w:t xml:space="preserve"> The Commission is concerned about Meta tying its online classified ads service, Facebook Marketplace, to its personal social network, Facebook and </w:t>
      </w:r>
      <w:r w:rsidR="0094366F">
        <w:rPr>
          <w:noProof/>
        </w:rPr>
        <w:t xml:space="preserve">about </w:t>
      </w:r>
      <w:r>
        <w:rPr>
          <w:noProof/>
        </w:rPr>
        <w:t>Meta imposing unfair trading conditions on Facebook Marketplace's competitors.</w:t>
      </w:r>
      <w:r w:rsidR="00AF5CCB">
        <w:rPr>
          <w:noProof/>
        </w:rPr>
        <w:t xml:space="preserve"> </w:t>
      </w:r>
    </w:p>
    <w:p w14:paraId="50B8D080" w14:textId="77777777" w:rsidR="00DB316F" w:rsidRDefault="00A519CD" w:rsidP="00DB316F">
      <w:pPr>
        <w:rPr>
          <w:noProof/>
        </w:rPr>
      </w:pPr>
      <w:r>
        <w:rPr>
          <w:noProof/>
        </w:rPr>
        <w:t>Also i</w:t>
      </w:r>
      <w:r w:rsidR="00DB316F">
        <w:rPr>
          <w:noProof/>
        </w:rPr>
        <w:t>n December 2022, the Commission closed an investigation</w:t>
      </w:r>
      <w:r w:rsidR="00981A7B">
        <w:rPr>
          <w:rStyle w:val="FootnoteReference"/>
          <w:rFonts w:eastAsia="Times New Roman"/>
          <w:noProof/>
          <w:szCs w:val="24"/>
          <w:lang w:val="en-IE" w:eastAsia="en-GB"/>
        </w:rPr>
        <w:footnoteReference w:id="76"/>
      </w:r>
      <w:r w:rsidR="00981A7B">
        <w:rPr>
          <w:noProof/>
        </w:rPr>
        <w:t xml:space="preserve"> </w:t>
      </w:r>
      <w:r w:rsidR="00DB316F" w:rsidRPr="00937722">
        <w:rPr>
          <w:noProof/>
        </w:rPr>
        <w:t xml:space="preserve">opened in March 2022 </w:t>
      </w:r>
      <w:r w:rsidR="003D0E81">
        <w:rPr>
          <w:noProof/>
        </w:rPr>
        <w:t xml:space="preserve">concerning </w:t>
      </w:r>
      <w:r w:rsidR="00D41ADF">
        <w:rPr>
          <w:noProof/>
        </w:rPr>
        <w:t xml:space="preserve">an agreement known as the ‘Jedi Blue’ agreement between </w:t>
      </w:r>
      <w:r w:rsidR="00D41ADF" w:rsidRPr="00D41ADF">
        <w:rPr>
          <w:noProof/>
        </w:rPr>
        <w:t>Google and Meta</w:t>
      </w:r>
      <w:r w:rsidR="00D41ADF">
        <w:rPr>
          <w:noProof/>
        </w:rPr>
        <w:t xml:space="preserve"> for onli</w:t>
      </w:r>
      <w:r>
        <w:rPr>
          <w:noProof/>
        </w:rPr>
        <w:t>ne display advertising services.</w:t>
      </w:r>
    </w:p>
    <w:p w14:paraId="5D23A680" w14:textId="77777777" w:rsidR="00092F29" w:rsidRDefault="00F63D95" w:rsidP="00D746DD">
      <w:pPr>
        <w:spacing w:after="120"/>
        <w:rPr>
          <w:noProof/>
        </w:rPr>
      </w:pPr>
      <w:r w:rsidRPr="005E4026">
        <w:rPr>
          <w:noProof/>
        </w:rPr>
        <w:t>Mobile payments play a rapidly growing role in our digital economy</w:t>
      </w:r>
      <w:r>
        <w:rPr>
          <w:noProof/>
        </w:rPr>
        <w:t xml:space="preserve"> and </w:t>
      </w:r>
      <w:r w:rsidRPr="005E4026">
        <w:rPr>
          <w:noProof/>
        </w:rPr>
        <w:t xml:space="preserve">consumers </w:t>
      </w:r>
      <w:r>
        <w:rPr>
          <w:noProof/>
        </w:rPr>
        <w:t xml:space="preserve">should </w:t>
      </w:r>
      <w:r w:rsidRPr="005E4026">
        <w:rPr>
          <w:noProof/>
        </w:rPr>
        <w:t>benefit from competitive and innovative payment</w:t>
      </w:r>
      <w:r w:rsidR="006624B7">
        <w:rPr>
          <w:noProof/>
        </w:rPr>
        <w:t xml:space="preserve"> solutions</w:t>
      </w:r>
      <w:r w:rsidRPr="005E4026">
        <w:rPr>
          <w:noProof/>
        </w:rPr>
        <w:t xml:space="preserve">. In </w:t>
      </w:r>
      <w:r>
        <w:rPr>
          <w:noProof/>
        </w:rPr>
        <w:t>2022, the Commission continued its investigation</w:t>
      </w:r>
      <w:r w:rsidRPr="005E4026">
        <w:rPr>
          <w:rStyle w:val="FootnoteReference"/>
          <w:noProof/>
          <w:sz w:val="24"/>
          <w:szCs w:val="24"/>
        </w:rPr>
        <w:footnoteReference w:id="77"/>
      </w:r>
      <w:r w:rsidRPr="005E4026">
        <w:rPr>
          <w:noProof/>
        </w:rPr>
        <w:t xml:space="preserve"> to assess whether </w:t>
      </w:r>
      <w:r w:rsidRPr="005E4026">
        <w:rPr>
          <w:i/>
          <w:noProof/>
        </w:rPr>
        <w:t>Apple's</w:t>
      </w:r>
      <w:r w:rsidRPr="005E4026">
        <w:rPr>
          <w:noProof/>
        </w:rPr>
        <w:t xml:space="preserve"> conduct in connection with Apple Pay violates EU competition rules.</w:t>
      </w:r>
      <w:r>
        <w:rPr>
          <w:noProof/>
        </w:rPr>
        <w:t xml:space="preserve"> </w:t>
      </w:r>
      <w:r w:rsidRPr="005E4026">
        <w:rPr>
          <w:noProof/>
        </w:rPr>
        <w:t>In the Statement of Objections</w:t>
      </w:r>
      <w:r w:rsidRPr="005E4026">
        <w:rPr>
          <w:rStyle w:val="FootnoteReference"/>
          <w:noProof/>
          <w:color w:val="000000" w:themeColor="text1"/>
          <w:sz w:val="24"/>
          <w:szCs w:val="24"/>
        </w:rPr>
        <w:footnoteReference w:id="78"/>
      </w:r>
      <w:r w:rsidRPr="005E4026">
        <w:rPr>
          <w:noProof/>
        </w:rPr>
        <w:t>, issued in May 2022, the Commission preliminarily found that Apple may have restricted competition to the benefit of its own solution</w:t>
      </w:r>
      <w:r w:rsidR="00FB0CD6">
        <w:rPr>
          <w:noProof/>
        </w:rPr>
        <w:t>,</w:t>
      </w:r>
      <w:r w:rsidRPr="005E4026">
        <w:rPr>
          <w:noProof/>
        </w:rPr>
        <w:t xml:space="preserve"> Apple Pay.</w:t>
      </w:r>
    </w:p>
    <w:p w14:paraId="3BB75AD6" w14:textId="77777777" w:rsidR="000E073D" w:rsidRDefault="009C291B" w:rsidP="00D746DD">
      <w:pPr>
        <w:spacing w:after="120"/>
        <w:rPr>
          <w:noProof/>
        </w:rPr>
      </w:pPr>
      <w:r>
        <w:rPr>
          <w:noProof/>
        </w:rPr>
        <w:t xml:space="preserve">In 2022, the General Court rendered several important judgments relating to the Commission </w:t>
      </w:r>
      <w:r w:rsidR="00F63D95">
        <w:rPr>
          <w:noProof/>
        </w:rPr>
        <w:t xml:space="preserve">antitrust </w:t>
      </w:r>
      <w:r>
        <w:rPr>
          <w:noProof/>
        </w:rPr>
        <w:t>enforcement act</w:t>
      </w:r>
      <w:r w:rsidR="006624B7">
        <w:rPr>
          <w:noProof/>
        </w:rPr>
        <w:t>ivities</w:t>
      </w:r>
      <w:r w:rsidR="00D746DD">
        <w:rPr>
          <w:noProof/>
        </w:rPr>
        <w:t>.</w:t>
      </w:r>
    </w:p>
    <w:p w14:paraId="04249186" w14:textId="77777777" w:rsidR="005B617D" w:rsidRPr="00937722" w:rsidRDefault="00E70AED" w:rsidP="00937722">
      <w:pPr>
        <w:pStyle w:val="NoSpacing"/>
        <w:pBdr>
          <w:top w:val="single" w:sz="4" w:space="1" w:color="auto"/>
          <w:left w:val="single" w:sz="4" w:space="4" w:color="auto"/>
          <w:bottom w:val="single" w:sz="4" w:space="1" w:color="auto"/>
          <w:right w:val="single" w:sz="4" w:space="4" w:color="auto"/>
        </w:pBdr>
        <w:spacing w:after="60"/>
        <w:rPr>
          <w:b/>
          <w:noProof/>
          <w:color w:val="0070C0"/>
        </w:rPr>
      </w:pPr>
      <w:r w:rsidRPr="00937722">
        <w:rPr>
          <w:b/>
          <w:noProof/>
          <w:color w:val="0070C0"/>
        </w:rPr>
        <w:t>Judgment of the General Court in the Google Android Case</w:t>
      </w:r>
      <w:r w:rsidRPr="00937722">
        <w:rPr>
          <w:rStyle w:val="FootnoteReference"/>
          <w:b/>
          <w:noProof/>
          <w:color w:val="0070C0"/>
        </w:rPr>
        <w:footnoteReference w:id="79"/>
      </w:r>
    </w:p>
    <w:p w14:paraId="09EF63A0" w14:textId="77777777" w:rsidR="0094366F" w:rsidRPr="0094366F" w:rsidRDefault="00E70AED" w:rsidP="0094366F">
      <w:pPr>
        <w:pStyle w:val="NoSpacing"/>
        <w:pBdr>
          <w:top w:val="single" w:sz="4" w:space="1" w:color="auto"/>
          <w:left w:val="single" w:sz="4" w:space="4" w:color="auto"/>
          <w:bottom w:val="single" w:sz="4" w:space="1" w:color="auto"/>
          <w:right w:val="single" w:sz="4" w:space="4" w:color="auto"/>
        </w:pBdr>
        <w:rPr>
          <w:noProof/>
        </w:rPr>
      </w:pPr>
      <w:r w:rsidRPr="00D746DD">
        <w:rPr>
          <w:noProof/>
          <w:color w:val="0070C0"/>
        </w:rPr>
        <w:t xml:space="preserve">In September 2022, the General Court </w:t>
      </w:r>
      <w:r w:rsidR="008A67E2" w:rsidRPr="00D746DD">
        <w:rPr>
          <w:noProof/>
          <w:color w:val="0070C0"/>
        </w:rPr>
        <w:t>largely confirmed</w:t>
      </w:r>
      <w:r w:rsidRPr="00D746DD">
        <w:rPr>
          <w:noProof/>
          <w:color w:val="0070C0"/>
        </w:rPr>
        <w:t xml:space="preserve"> the Commission’s 2018 decision</w:t>
      </w:r>
      <w:r w:rsidRPr="00D746DD">
        <w:rPr>
          <w:rStyle w:val="FootnoteReference"/>
          <w:noProof/>
          <w:color w:val="0070C0"/>
        </w:rPr>
        <w:footnoteReference w:id="80"/>
      </w:r>
      <w:r w:rsidRPr="00D746DD">
        <w:rPr>
          <w:noProof/>
          <w:color w:val="0070C0"/>
        </w:rPr>
        <w:t xml:space="preserve">, concluding that Google had imposed illegal restrictions on Android device manufacturers and mobile network operators to </w:t>
      </w:r>
      <w:r w:rsidR="0064650E">
        <w:rPr>
          <w:noProof/>
          <w:color w:val="0070C0"/>
        </w:rPr>
        <w:t>preserve</w:t>
      </w:r>
      <w:r w:rsidRPr="00D746DD">
        <w:rPr>
          <w:noProof/>
          <w:color w:val="0070C0"/>
        </w:rPr>
        <w:t xml:space="preserve"> its dominant position in general internet search. The Court </w:t>
      </w:r>
      <w:r w:rsidR="0064650E">
        <w:rPr>
          <w:noProof/>
          <w:color w:val="0070C0"/>
        </w:rPr>
        <w:t xml:space="preserve">decreased </w:t>
      </w:r>
      <w:r w:rsidRPr="00D746DD">
        <w:rPr>
          <w:noProof/>
          <w:color w:val="0070C0"/>
        </w:rPr>
        <w:t xml:space="preserve">the fine from EUR 4.34 billion to EUR 4.125 billion. </w:t>
      </w:r>
      <w:r w:rsidR="00FF5A1F">
        <w:rPr>
          <w:noProof/>
          <w:color w:val="0070C0"/>
        </w:rPr>
        <w:t>Specifically, t</w:t>
      </w:r>
      <w:r w:rsidRPr="00D746DD">
        <w:rPr>
          <w:noProof/>
          <w:color w:val="0070C0"/>
        </w:rPr>
        <w:t xml:space="preserve">he Court upheld the Commission’s finding that Android and iOS belonged in separate relevant product markets. </w:t>
      </w:r>
      <w:r w:rsidR="0094366F" w:rsidRPr="0094366F">
        <w:rPr>
          <w:noProof/>
          <w:color w:val="0070C0"/>
        </w:rPr>
        <w:t xml:space="preserve">It also upheld the Commission’s findings that Google had restricted competition both from competing general search services and browsers via the pre-installation conditions Google imposed on manufacturers of mobile devices and from alternative versions of Android and competing general search services via its anti-fragmentation agreements. </w:t>
      </w:r>
    </w:p>
    <w:p w14:paraId="3FCDAF77" w14:textId="77777777" w:rsidR="00620BE1" w:rsidRDefault="00620BE1" w:rsidP="005B4ED5">
      <w:pPr>
        <w:spacing w:after="0"/>
        <w:jc w:val="left"/>
        <w:rPr>
          <w:noProof/>
          <w:sz w:val="22"/>
        </w:rPr>
      </w:pPr>
    </w:p>
    <w:p w14:paraId="50D146DD" w14:textId="77777777" w:rsidR="00FF0797" w:rsidRPr="00D746DD" w:rsidRDefault="00AE58A2" w:rsidP="00937722">
      <w:pPr>
        <w:pBdr>
          <w:top w:val="single" w:sz="4" w:space="1" w:color="auto"/>
          <w:left w:val="single" w:sz="4" w:space="4" w:color="auto"/>
          <w:bottom w:val="single" w:sz="4" w:space="1" w:color="auto"/>
          <w:right w:val="single" w:sz="4" w:space="4" w:color="auto"/>
        </w:pBdr>
        <w:spacing w:after="60" w:line="240" w:lineRule="auto"/>
        <w:rPr>
          <w:noProof/>
          <w:color w:val="0070C0"/>
          <w:sz w:val="22"/>
        </w:rPr>
      </w:pPr>
      <w:r>
        <w:rPr>
          <w:b/>
          <w:noProof/>
          <w:color w:val="0070C0"/>
          <w:sz w:val="22"/>
        </w:rPr>
        <w:t xml:space="preserve">Judgment of the </w:t>
      </w:r>
      <w:r w:rsidR="00FF0797" w:rsidRPr="00D746DD">
        <w:rPr>
          <w:b/>
          <w:noProof/>
          <w:color w:val="0070C0"/>
          <w:sz w:val="22"/>
        </w:rPr>
        <w:t xml:space="preserve">General Court in </w:t>
      </w:r>
      <w:r>
        <w:rPr>
          <w:b/>
          <w:noProof/>
          <w:color w:val="0070C0"/>
          <w:sz w:val="22"/>
        </w:rPr>
        <w:t xml:space="preserve">the </w:t>
      </w:r>
      <w:r w:rsidR="00FF0797" w:rsidRPr="00D746DD">
        <w:rPr>
          <w:b/>
          <w:noProof/>
          <w:color w:val="0070C0"/>
          <w:sz w:val="22"/>
        </w:rPr>
        <w:t xml:space="preserve">Qualcomm </w:t>
      </w:r>
      <w:r>
        <w:rPr>
          <w:b/>
          <w:noProof/>
          <w:color w:val="0070C0"/>
          <w:sz w:val="22"/>
        </w:rPr>
        <w:t>C</w:t>
      </w:r>
      <w:r w:rsidRPr="00D746DD">
        <w:rPr>
          <w:b/>
          <w:noProof/>
          <w:color w:val="0070C0"/>
          <w:sz w:val="22"/>
        </w:rPr>
        <w:t>ase</w:t>
      </w:r>
      <w:r w:rsidR="00FF0797" w:rsidRPr="00D746DD">
        <w:rPr>
          <w:rStyle w:val="FootnoteReference"/>
          <w:b/>
          <w:noProof/>
          <w:color w:val="0070C0"/>
          <w:sz w:val="22"/>
        </w:rPr>
        <w:footnoteReference w:id="81"/>
      </w:r>
    </w:p>
    <w:p w14:paraId="079875F0" w14:textId="77777777" w:rsidR="00FF0797" w:rsidRPr="00D746DD" w:rsidRDefault="00FF0797" w:rsidP="00937722">
      <w:pPr>
        <w:pBdr>
          <w:top w:val="single" w:sz="4" w:space="1" w:color="auto"/>
          <w:left w:val="single" w:sz="4" w:space="4" w:color="auto"/>
          <w:bottom w:val="single" w:sz="4" w:space="1" w:color="auto"/>
          <w:right w:val="single" w:sz="4" w:space="4" w:color="auto"/>
        </w:pBdr>
        <w:spacing w:after="0" w:line="240" w:lineRule="auto"/>
        <w:rPr>
          <w:noProof/>
          <w:color w:val="0070C0"/>
          <w:sz w:val="22"/>
        </w:rPr>
      </w:pPr>
      <w:r w:rsidRPr="00D746DD">
        <w:rPr>
          <w:noProof/>
          <w:color w:val="0070C0"/>
          <w:sz w:val="22"/>
        </w:rPr>
        <w:t xml:space="preserve">In 2018, the Commission imposed a </w:t>
      </w:r>
      <w:r w:rsidR="0064650E" w:rsidRPr="00D746DD">
        <w:rPr>
          <w:noProof/>
          <w:color w:val="0070C0"/>
          <w:sz w:val="22"/>
        </w:rPr>
        <w:t xml:space="preserve">EUR 997 million </w:t>
      </w:r>
      <w:r w:rsidRPr="00D746DD">
        <w:rPr>
          <w:noProof/>
          <w:color w:val="0070C0"/>
          <w:sz w:val="22"/>
        </w:rPr>
        <w:t xml:space="preserve">fine on Qualcomm, finding that </w:t>
      </w:r>
      <w:r w:rsidR="0064650E">
        <w:rPr>
          <w:noProof/>
          <w:color w:val="0070C0"/>
          <w:sz w:val="22"/>
        </w:rPr>
        <w:t xml:space="preserve">the firm </w:t>
      </w:r>
      <w:r w:rsidRPr="00D746DD">
        <w:rPr>
          <w:noProof/>
          <w:color w:val="0070C0"/>
          <w:sz w:val="22"/>
        </w:rPr>
        <w:t xml:space="preserve">had abused its dominant position on the worldwide market for chipsets compatible with the Long Term Evolution (LTE) standard. Qualcomm agreed to make ‘significant payments’ to Apple on condition that Apple would exclusively use Qualcomm chipsets in its devices. The Commission found these </w:t>
      </w:r>
      <w:r w:rsidR="0094366F">
        <w:rPr>
          <w:noProof/>
          <w:color w:val="0070C0"/>
          <w:sz w:val="22"/>
        </w:rPr>
        <w:t xml:space="preserve">exclusivity </w:t>
      </w:r>
      <w:r w:rsidRPr="00D746DD">
        <w:rPr>
          <w:noProof/>
          <w:color w:val="0070C0"/>
          <w:sz w:val="22"/>
        </w:rPr>
        <w:t>payments capable of having anticompetitive effects by reducing Apple's incentives to switch to compet</w:t>
      </w:r>
      <w:r w:rsidR="0064650E">
        <w:rPr>
          <w:noProof/>
          <w:color w:val="0070C0"/>
          <w:sz w:val="22"/>
        </w:rPr>
        <w:t>ing</w:t>
      </w:r>
      <w:r w:rsidRPr="00D746DD">
        <w:rPr>
          <w:noProof/>
          <w:color w:val="0070C0"/>
          <w:sz w:val="22"/>
        </w:rPr>
        <w:t xml:space="preserve"> LTE chipset providers. Qualcomm </w:t>
      </w:r>
      <w:r w:rsidR="00F749E3">
        <w:rPr>
          <w:noProof/>
          <w:color w:val="0070C0"/>
          <w:sz w:val="22"/>
        </w:rPr>
        <w:t>challenged</w:t>
      </w:r>
      <w:r w:rsidRPr="00D746DD">
        <w:rPr>
          <w:noProof/>
          <w:color w:val="0070C0"/>
          <w:sz w:val="22"/>
        </w:rPr>
        <w:t xml:space="preserve"> the decision, </w:t>
      </w:r>
      <w:r w:rsidR="00D077FF">
        <w:rPr>
          <w:noProof/>
          <w:color w:val="0070C0"/>
          <w:sz w:val="22"/>
        </w:rPr>
        <w:t xml:space="preserve">arguing that the Commission had made </w:t>
      </w:r>
      <w:r w:rsidRPr="00D746DD">
        <w:rPr>
          <w:noProof/>
          <w:color w:val="0070C0"/>
          <w:sz w:val="22"/>
        </w:rPr>
        <w:t xml:space="preserve">procedural errors and </w:t>
      </w:r>
      <w:r w:rsidR="00D077FF">
        <w:rPr>
          <w:noProof/>
          <w:color w:val="0070C0"/>
          <w:sz w:val="22"/>
        </w:rPr>
        <w:t xml:space="preserve">that its </w:t>
      </w:r>
      <w:r w:rsidRPr="00D746DD">
        <w:rPr>
          <w:noProof/>
          <w:color w:val="0070C0"/>
          <w:sz w:val="22"/>
        </w:rPr>
        <w:t xml:space="preserve">assessment </w:t>
      </w:r>
      <w:r w:rsidR="00D077FF">
        <w:rPr>
          <w:noProof/>
          <w:color w:val="0070C0"/>
          <w:sz w:val="22"/>
        </w:rPr>
        <w:t xml:space="preserve">of </w:t>
      </w:r>
      <w:r w:rsidRPr="00D746DD">
        <w:rPr>
          <w:noProof/>
          <w:color w:val="0070C0"/>
          <w:sz w:val="22"/>
        </w:rPr>
        <w:t>anticompetitive effects</w:t>
      </w:r>
      <w:r w:rsidR="00D077FF">
        <w:rPr>
          <w:noProof/>
          <w:color w:val="0070C0"/>
          <w:sz w:val="22"/>
        </w:rPr>
        <w:t xml:space="preserve"> was insufficient</w:t>
      </w:r>
      <w:r w:rsidRPr="00D746DD">
        <w:rPr>
          <w:noProof/>
          <w:color w:val="0070C0"/>
          <w:sz w:val="22"/>
        </w:rPr>
        <w:t xml:space="preserve">. </w:t>
      </w:r>
      <w:r w:rsidR="00A102B7">
        <w:rPr>
          <w:noProof/>
          <w:color w:val="0070C0"/>
          <w:sz w:val="22"/>
        </w:rPr>
        <w:t>T</w:t>
      </w:r>
      <w:r w:rsidRPr="00D746DD">
        <w:rPr>
          <w:noProof/>
          <w:color w:val="0070C0"/>
          <w:sz w:val="22"/>
        </w:rPr>
        <w:t>he General Court annulled the Commission's decision</w:t>
      </w:r>
      <w:r w:rsidR="00D077FF">
        <w:rPr>
          <w:noProof/>
          <w:color w:val="0070C0"/>
          <w:sz w:val="22"/>
        </w:rPr>
        <w:t xml:space="preserve"> in its entirety</w:t>
      </w:r>
      <w:r w:rsidRPr="00D746DD">
        <w:rPr>
          <w:noProof/>
          <w:color w:val="0070C0"/>
          <w:sz w:val="22"/>
        </w:rPr>
        <w:t xml:space="preserve">, finding a number of procedural irregularities, which </w:t>
      </w:r>
      <w:r w:rsidR="00D077FF">
        <w:rPr>
          <w:noProof/>
          <w:color w:val="0070C0"/>
          <w:sz w:val="22"/>
        </w:rPr>
        <w:t xml:space="preserve">- </w:t>
      </w:r>
      <w:r w:rsidRPr="00D746DD">
        <w:rPr>
          <w:noProof/>
          <w:color w:val="0070C0"/>
          <w:sz w:val="22"/>
        </w:rPr>
        <w:t xml:space="preserve">according to the General Court </w:t>
      </w:r>
      <w:r w:rsidR="00D077FF">
        <w:rPr>
          <w:noProof/>
          <w:color w:val="0070C0"/>
          <w:sz w:val="22"/>
        </w:rPr>
        <w:t xml:space="preserve">- </w:t>
      </w:r>
      <w:r w:rsidRPr="00D746DD">
        <w:rPr>
          <w:noProof/>
          <w:color w:val="0070C0"/>
          <w:sz w:val="22"/>
        </w:rPr>
        <w:t xml:space="preserve">affected Qualcomm's rights of defence. The General Court also disagreed with the Commission's analysis of the anticompetitive effects of </w:t>
      </w:r>
      <w:r w:rsidR="0094366F">
        <w:rPr>
          <w:noProof/>
          <w:color w:val="0070C0"/>
          <w:sz w:val="22"/>
        </w:rPr>
        <w:t>the exclusivity</w:t>
      </w:r>
      <w:r w:rsidRPr="00D746DD">
        <w:rPr>
          <w:noProof/>
          <w:color w:val="0070C0"/>
          <w:sz w:val="22"/>
        </w:rPr>
        <w:t xml:space="preserve"> payments.</w:t>
      </w:r>
    </w:p>
    <w:p w14:paraId="7EF13001" w14:textId="77777777" w:rsidR="00533F5B" w:rsidRDefault="00533F5B" w:rsidP="00533F5B">
      <w:pPr>
        <w:spacing w:after="0"/>
        <w:rPr>
          <w:noProof/>
          <w:color w:val="000000" w:themeColor="text1"/>
        </w:rPr>
      </w:pPr>
    </w:p>
    <w:p w14:paraId="05CBA2EF" w14:textId="77777777" w:rsidR="00FF0797" w:rsidRPr="00D746DD" w:rsidRDefault="00FF0797" w:rsidP="008D01CE">
      <w:pPr>
        <w:keepNext/>
        <w:pBdr>
          <w:top w:val="single" w:sz="4" w:space="1" w:color="auto"/>
          <w:left w:val="single" w:sz="4" w:space="4" w:color="auto"/>
          <w:bottom w:val="single" w:sz="4" w:space="1" w:color="auto"/>
          <w:right w:val="single" w:sz="4" w:space="4" w:color="auto"/>
        </w:pBdr>
        <w:spacing w:after="60" w:line="240" w:lineRule="auto"/>
        <w:rPr>
          <w:b/>
          <w:noProof/>
          <w:color w:val="0070C0"/>
          <w:sz w:val="22"/>
        </w:rPr>
      </w:pPr>
      <w:r w:rsidRPr="00D746DD">
        <w:rPr>
          <w:b/>
          <w:noProof/>
          <w:color w:val="0070C0"/>
          <w:sz w:val="22"/>
        </w:rPr>
        <w:t>Judgment of the General Court in the Intel Case</w:t>
      </w:r>
      <w:r w:rsidRPr="00D746DD">
        <w:rPr>
          <w:rStyle w:val="FootnoteReference"/>
          <w:b/>
          <w:noProof/>
          <w:color w:val="0070C0"/>
          <w:sz w:val="22"/>
        </w:rPr>
        <w:footnoteReference w:id="82"/>
      </w:r>
    </w:p>
    <w:p w14:paraId="70365502" w14:textId="77777777" w:rsidR="0094366F" w:rsidRDefault="0094366F" w:rsidP="00937722">
      <w:pPr>
        <w:pBdr>
          <w:top w:val="single" w:sz="4" w:space="1" w:color="auto"/>
          <w:left w:val="single" w:sz="4" w:space="4" w:color="auto"/>
          <w:bottom w:val="single" w:sz="4" w:space="1" w:color="auto"/>
          <w:right w:val="single" w:sz="4" w:space="4" w:color="auto"/>
        </w:pBdr>
        <w:spacing w:after="0" w:line="240" w:lineRule="auto"/>
        <w:rPr>
          <w:noProof/>
          <w:color w:val="0070C0"/>
          <w:sz w:val="22"/>
        </w:rPr>
      </w:pPr>
      <w:r w:rsidRPr="0094366F">
        <w:rPr>
          <w:noProof/>
          <w:color w:val="0070C0"/>
          <w:sz w:val="22"/>
        </w:rPr>
        <w:t xml:space="preserve">The General Court annulled in part the Commission’s decision from 2009 which imposed a EUR 1.06 billion fine on </w:t>
      </w:r>
      <w:r w:rsidRPr="0094366F">
        <w:rPr>
          <w:i/>
          <w:noProof/>
          <w:color w:val="0070C0"/>
          <w:sz w:val="22"/>
        </w:rPr>
        <w:t>Intel</w:t>
      </w:r>
      <w:r w:rsidRPr="0094366F">
        <w:rPr>
          <w:noProof/>
          <w:color w:val="0070C0"/>
          <w:sz w:val="22"/>
        </w:rPr>
        <w:t xml:space="preserve"> for alleged abuse of its dominant position by offering loyalty rebate schemes and other exclusivity payments. The judgment applied the judgment of the Court of Justice on appeal against the General Court’s 2014 judgment in </w:t>
      </w:r>
      <w:r w:rsidRPr="0094366F">
        <w:rPr>
          <w:i/>
          <w:noProof/>
          <w:color w:val="0070C0"/>
          <w:sz w:val="22"/>
        </w:rPr>
        <w:t>Intel</w:t>
      </w:r>
      <w:r w:rsidRPr="0094366F">
        <w:rPr>
          <w:noProof/>
          <w:color w:val="0070C0"/>
          <w:sz w:val="22"/>
        </w:rPr>
        <w:t>, which held that the General Court had erred in not taking account of the economic analysis relied on by Intel to show that its rebates were not capable of restricting competition. The General Court found that the ‘as efficient competitor test’ applied in the Decision to confirm the capability of Intel’s rebates to foreclose competition was flawed, and that the Commission had not sufficiently examined other indicators of capability to foreclose. The Commission has appealed the General Court judgment.</w:t>
      </w:r>
    </w:p>
    <w:p w14:paraId="6F6811AE" w14:textId="77777777" w:rsidR="0094366F" w:rsidRDefault="0094366F" w:rsidP="00937722">
      <w:pPr>
        <w:pBdr>
          <w:top w:val="single" w:sz="4" w:space="1" w:color="auto"/>
          <w:left w:val="single" w:sz="4" w:space="4" w:color="auto"/>
          <w:bottom w:val="single" w:sz="4" w:space="1" w:color="auto"/>
          <w:right w:val="single" w:sz="4" w:space="4" w:color="auto"/>
        </w:pBdr>
        <w:spacing w:after="0" w:line="240" w:lineRule="auto"/>
        <w:rPr>
          <w:noProof/>
          <w:color w:val="0070C0"/>
          <w:sz w:val="22"/>
        </w:rPr>
      </w:pPr>
    </w:p>
    <w:p w14:paraId="067B260B" w14:textId="77777777" w:rsidR="00F44682" w:rsidRPr="00EF26B8" w:rsidRDefault="00F44682" w:rsidP="00EF26B8">
      <w:pPr>
        <w:pStyle w:val="Heading3"/>
        <w:spacing w:before="200" w:after="120"/>
        <w:rPr>
          <w:noProof/>
          <w:sz w:val="24"/>
        </w:rPr>
      </w:pPr>
      <w:r w:rsidRPr="00EF26B8">
        <w:rPr>
          <w:noProof/>
          <w:sz w:val="24"/>
        </w:rPr>
        <w:t xml:space="preserve">Merger control contributed to </w:t>
      </w:r>
      <w:r w:rsidR="00F63D95" w:rsidRPr="00EF26B8">
        <w:rPr>
          <w:noProof/>
          <w:sz w:val="24"/>
        </w:rPr>
        <w:t xml:space="preserve">digital transition and a </w:t>
      </w:r>
      <w:r w:rsidR="007F3E94" w:rsidRPr="00EF26B8">
        <w:rPr>
          <w:noProof/>
          <w:sz w:val="24"/>
        </w:rPr>
        <w:t>strong and resilient Single Market</w:t>
      </w:r>
    </w:p>
    <w:p w14:paraId="3D6F21C7" w14:textId="77777777" w:rsidR="00533F5B" w:rsidRPr="00937722" w:rsidRDefault="00533F5B" w:rsidP="00D746DD">
      <w:pPr>
        <w:spacing w:after="120"/>
        <w:rPr>
          <w:noProof/>
        </w:rPr>
      </w:pPr>
      <w:r w:rsidRPr="00937722">
        <w:rPr>
          <w:noProof/>
        </w:rPr>
        <w:t xml:space="preserve">In 2022, the Commission’s merger </w:t>
      </w:r>
      <w:r w:rsidR="00CC54F8" w:rsidRPr="00937722">
        <w:rPr>
          <w:noProof/>
        </w:rPr>
        <w:t xml:space="preserve">control </w:t>
      </w:r>
      <w:r w:rsidRPr="00937722">
        <w:rPr>
          <w:noProof/>
        </w:rPr>
        <w:t>activit</w:t>
      </w:r>
      <w:r w:rsidR="00CC54F8" w:rsidRPr="00937722">
        <w:rPr>
          <w:noProof/>
        </w:rPr>
        <w:t>ies</w:t>
      </w:r>
      <w:r w:rsidRPr="00937722">
        <w:rPr>
          <w:noProof/>
        </w:rPr>
        <w:t xml:space="preserve"> remained at a high level. The Commission adopted </w:t>
      </w:r>
      <w:r w:rsidR="002B6A75">
        <w:rPr>
          <w:noProof/>
        </w:rPr>
        <w:t>368</w:t>
      </w:r>
      <w:r w:rsidRPr="00937722">
        <w:rPr>
          <w:noProof/>
        </w:rPr>
        <w:t xml:space="preserve"> merger decisions in various sectors (in 2021 the Commission adopted 396 merger decisions) of which </w:t>
      </w:r>
      <w:r w:rsidR="00541190">
        <w:rPr>
          <w:noProof/>
        </w:rPr>
        <w:t>291</w:t>
      </w:r>
      <w:r w:rsidRPr="00937722">
        <w:rPr>
          <w:noProof/>
        </w:rPr>
        <w:t xml:space="preserve"> were approved following a simplified procedure. The Commission intervened in </w:t>
      </w:r>
      <w:r w:rsidR="000E01AD">
        <w:rPr>
          <w:noProof/>
        </w:rPr>
        <w:t>14</w:t>
      </w:r>
      <w:r w:rsidRPr="00937722">
        <w:rPr>
          <w:noProof/>
        </w:rPr>
        <w:t xml:space="preserve"> proposed acquisitions, of which </w:t>
      </w:r>
      <w:r w:rsidR="00541190">
        <w:rPr>
          <w:noProof/>
        </w:rPr>
        <w:t>12</w:t>
      </w:r>
      <w:r w:rsidRPr="00937722">
        <w:rPr>
          <w:noProof/>
        </w:rPr>
        <w:t xml:space="preserve"> transactions were approved subject to conditions</w:t>
      </w:r>
      <w:r w:rsidR="00F63D95" w:rsidRPr="00937722">
        <w:rPr>
          <w:noProof/>
        </w:rPr>
        <w:t xml:space="preserve"> and </w:t>
      </w:r>
      <w:r w:rsidR="00CD4D6B" w:rsidRPr="008A02F2">
        <w:rPr>
          <w:noProof/>
        </w:rPr>
        <w:t>two</w:t>
      </w:r>
      <w:r w:rsidR="00CD4D6B" w:rsidRPr="00937722">
        <w:rPr>
          <w:noProof/>
        </w:rPr>
        <w:t xml:space="preserve"> </w:t>
      </w:r>
      <w:r w:rsidR="00F63D95" w:rsidRPr="00937722">
        <w:rPr>
          <w:noProof/>
        </w:rPr>
        <w:t>were prohibited</w:t>
      </w:r>
      <w:r w:rsidRPr="00937722">
        <w:rPr>
          <w:noProof/>
        </w:rPr>
        <w:t xml:space="preserve">. </w:t>
      </w:r>
      <w:r w:rsidR="00541190">
        <w:rPr>
          <w:noProof/>
        </w:rPr>
        <w:t>Four</w:t>
      </w:r>
      <w:r w:rsidR="00541190" w:rsidRPr="00937722">
        <w:rPr>
          <w:noProof/>
        </w:rPr>
        <w:t xml:space="preserve"> </w:t>
      </w:r>
      <w:r w:rsidRPr="00937722">
        <w:rPr>
          <w:noProof/>
        </w:rPr>
        <w:t>notified transactions were abandoned by the parties and withdrawn in Phase II.</w:t>
      </w:r>
    </w:p>
    <w:p w14:paraId="6B6FA875" w14:textId="77777777" w:rsidR="006E4A59" w:rsidRPr="00937722" w:rsidRDefault="00533F5B" w:rsidP="00D746DD">
      <w:pPr>
        <w:spacing w:after="120"/>
        <w:rPr>
          <w:noProof/>
        </w:rPr>
      </w:pPr>
      <w:r w:rsidRPr="00937722">
        <w:rPr>
          <w:noProof/>
        </w:rPr>
        <w:t xml:space="preserve">In January 2022, the Commission prohibited the acquisition of </w:t>
      </w:r>
      <w:r w:rsidRPr="00937722">
        <w:rPr>
          <w:i/>
          <w:noProof/>
        </w:rPr>
        <w:t>Daewoo Shipbuilding &amp; Marine Engineering CO., Ltd</w:t>
      </w:r>
      <w:r w:rsidRPr="00937722">
        <w:rPr>
          <w:noProof/>
        </w:rPr>
        <w:t xml:space="preserve"> by </w:t>
      </w:r>
      <w:r w:rsidRPr="00937722">
        <w:rPr>
          <w:i/>
          <w:noProof/>
        </w:rPr>
        <w:t>Hyundai Heavy Industries Holdings</w:t>
      </w:r>
      <w:r w:rsidRPr="00937722">
        <w:rPr>
          <w:noProof/>
        </w:rPr>
        <w:t xml:space="preserve"> </w:t>
      </w:r>
      <w:r w:rsidRPr="00937722">
        <w:rPr>
          <w:rStyle w:val="FootnoteReference"/>
          <w:noProof/>
          <w:color w:val="000000" w:themeColor="text1"/>
          <w:sz w:val="24"/>
          <w:szCs w:val="24"/>
        </w:rPr>
        <w:footnoteReference w:id="83"/>
      </w:r>
      <w:r w:rsidRPr="00937722">
        <w:rPr>
          <w:noProof/>
        </w:rPr>
        <w:t>. According to the Commission, the merger between the two shipbuilders would have created a dominant position by the new</w:t>
      </w:r>
      <w:r w:rsidR="00FB0CD6">
        <w:rPr>
          <w:noProof/>
        </w:rPr>
        <w:t>ly</w:t>
      </w:r>
      <w:r w:rsidRPr="00937722">
        <w:rPr>
          <w:noProof/>
        </w:rPr>
        <w:t xml:space="preserve"> merged company and reduced competition in the worldwide market for the construction of large liquefied gas (LNG) carriers. Given that no remedies were submitted, the merger would have led to fewer suppliers and higher prices</w:t>
      </w:r>
      <w:r w:rsidR="00724160" w:rsidRPr="00937722">
        <w:rPr>
          <w:noProof/>
        </w:rPr>
        <w:t>.</w:t>
      </w:r>
    </w:p>
    <w:p w14:paraId="359E7030" w14:textId="77777777" w:rsidR="00A519CD" w:rsidRDefault="00FB0CD6" w:rsidP="00D746DD">
      <w:pPr>
        <w:spacing w:after="120"/>
        <w:rPr>
          <w:noProof/>
        </w:rPr>
      </w:pPr>
      <w:r>
        <w:rPr>
          <w:noProof/>
        </w:rPr>
        <w:t>I</w:t>
      </w:r>
      <w:r w:rsidR="00533F5B" w:rsidRPr="00937722">
        <w:rPr>
          <w:noProof/>
        </w:rPr>
        <w:t xml:space="preserve">n January 2022, following an in-depth investigation and subject to conditions, </w:t>
      </w:r>
      <w:r w:rsidRPr="00937722">
        <w:rPr>
          <w:noProof/>
        </w:rPr>
        <w:t xml:space="preserve">the Commission approved </w:t>
      </w:r>
      <w:r w:rsidR="00533F5B" w:rsidRPr="00937722">
        <w:rPr>
          <w:noProof/>
        </w:rPr>
        <w:t xml:space="preserve">the acquisition of </w:t>
      </w:r>
      <w:r w:rsidR="00533F5B" w:rsidRPr="00937722">
        <w:rPr>
          <w:i/>
          <w:noProof/>
        </w:rPr>
        <w:t>Kustomer</w:t>
      </w:r>
      <w:r w:rsidR="00533F5B" w:rsidRPr="00937722">
        <w:rPr>
          <w:noProof/>
        </w:rPr>
        <w:t xml:space="preserve"> by </w:t>
      </w:r>
      <w:r w:rsidR="00533F5B" w:rsidRPr="00937722">
        <w:rPr>
          <w:i/>
          <w:noProof/>
        </w:rPr>
        <w:t>Meta</w:t>
      </w:r>
      <w:r w:rsidR="00533F5B" w:rsidRPr="00937722">
        <w:rPr>
          <w:rStyle w:val="FootnoteReference"/>
          <w:noProof/>
          <w:color w:val="000000" w:themeColor="text1"/>
          <w:sz w:val="24"/>
          <w:szCs w:val="24"/>
        </w:rPr>
        <w:footnoteReference w:id="84"/>
      </w:r>
      <w:r w:rsidR="00533F5B" w:rsidRPr="00937722">
        <w:rPr>
          <w:noProof/>
        </w:rPr>
        <w:t xml:space="preserve">. </w:t>
      </w:r>
      <w:r w:rsidR="0074434C">
        <w:rPr>
          <w:noProof/>
        </w:rPr>
        <w:t xml:space="preserve">To address the competition concerns identified by the Commission, Meta offered comprehensive access commitments </w:t>
      </w:r>
      <w:r w:rsidR="0074434C" w:rsidRPr="0074434C">
        <w:rPr>
          <w:noProof/>
        </w:rPr>
        <w:t>to the appli</w:t>
      </w:r>
      <w:r w:rsidR="0074434C">
        <w:rPr>
          <w:noProof/>
        </w:rPr>
        <w:t xml:space="preserve">cation programming interfaces </w:t>
      </w:r>
      <w:r w:rsidR="0074434C" w:rsidRPr="0074434C">
        <w:rPr>
          <w:noProof/>
        </w:rPr>
        <w:t>for Meta's messaging channels</w:t>
      </w:r>
      <w:r w:rsidR="0074434C">
        <w:rPr>
          <w:noProof/>
        </w:rPr>
        <w:t xml:space="preserve"> with a </w:t>
      </w:r>
      <w:r w:rsidR="006E0493">
        <w:rPr>
          <w:noProof/>
        </w:rPr>
        <w:t>ten</w:t>
      </w:r>
      <w:r w:rsidR="0074434C">
        <w:rPr>
          <w:noProof/>
        </w:rPr>
        <w:t>-year duration</w:t>
      </w:r>
      <w:r w:rsidR="0074434C">
        <w:rPr>
          <w:rStyle w:val="FootnoteReference"/>
          <w:noProof/>
        </w:rPr>
        <w:footnoteReference w:id="85"/>
      </w:r>
      <w:r w:rsidR="0074434C">
        <w:rPr>
          <w:noProof/>
        </w:rPr>
        <w:t xml:space="preserve">. </w:t>
      </w:r>
      <w:r w:rsidR="00A519CD" w:rsidRPr="00A519CD">
        <w:rPr>
          <w:noProof/>
        </w:rPr>
        <w:t xml:space="preserve">The Commission carefully reviewed the </w:t>
      </w:r>
      <w:r w:rsidR="0094366F">
        <w:rPr>
          <w:noProof/>
        </w:rPr>
        <w:t xml:space="preserve">acquisition because </w:t>
      </w:r>
      <w:r w:rsidR="00A519CD" w:rsidRPr="00A519CD">
        <w:rPr>
          <w:noProof/>
        </w:rPr>
        <w:t>transaction</w:t>
      </w:r>
      <w:r w:rsidR="0094366F">
        <w:rPr>
          <w:noProof/>
        </w:rPr>
        <w:t>s</w:t>
      </w:r>
      <w:r w:rsidR="00A519CD" w:rsidRPr="00A519CD">
        <w:rPr>
          <w:noProof/>
        </w:rPr>
        <w:t xml:space="preserve"> </w:t>
      </w:r>
      <w:r w:rsidR="0094366F">
        <w:rPr>
          <w:noProof/>
        </w:rPr>
        <w:t>such as this one</w:t>
      </w:r>
      <w:r w:rsidR="00A519CD" w:rsidRPr="00A519CD">
        <w:rPr>
          <w:noProof/>
        </w:rPr>
        <w:t xml:space="preserve"> could further strengthen large players that increasingly dominate the digital economy, irrespective of the target company's size. The commitments offered by Meta ensure that its rivals will continue to have free and comparable access to Meta's important messaging channels.</w:t>
      </w:r>
    </w:p>
    <w:p w14:paraId="1A42B9A1" w14:textId="77777777" w:rsidR="00533F5B" w:rsidRPr="00937722" w:rsidRDefault="00533F5B" w:rsidP="00D746DD">
      <w:pPr>
        <w:spacing w:after="120"/>
        <w:rPr>
          <w:noProof/>
        </w:rPr>
      </w:pPr>
      <w:r w:rsidRPr="00937722">
        <w:rPr>
          <w:noProof/>
        </w:rPr>
        <w:t xml:space="preserve">In June 2022, </w:t>
      </w:r>
      <w:r w:rsidR="00FB0CD6" w:rsidRPr="00937722">
        <w:rPr>
          <w:noProof/>
        </w:rPr>
        <w:t xml:space="preserve">the Commission approved </w:t>
      </w:r>
      <w:r w:rsidRPr="00937722">
        <w:rPr>
          <w:noProof/>
        </w:rPr>
        <w:t xml:space="preserve">the acquisition of </w:t>
      </w:r>
      <w:r w:rsidRPr="00937722">
        <w:rPr>
          <w:i/>
          <w:noProof/>
        </w:rPr>
        <w:t>Welbilt</w:t>
      </w:r>
      <w:r w:rsidRPr="00937722">
        <w:rPr>
          <w:noProof/>
        </w:rPr>
        <w:t xml:space="preserve"> by </w:t>
      </w:r>
      <w:r w:rsidRPr="00937722">
        <w:rPr>
          <w:i/>
          <w:noProof/>
        </w:rPr>
        <w:t>Ali Group</w:t>
      </w:r>
      <w:r w:rsidR="00AA1280" w:rsidRPr="00AA1280">
        <w:rPr>
          <w:noProof/>
        </w:rPr>
        <w:t xml:space="preserve"> </w:t>
      </w:r>
      <w:r w:rsidR="00AA1280" w:rsidRPr="00937722">
        <w:rPr>
          <w:noProof/>
        </w:rPr>
        <w:t>subject to conditions</w:t>
      </w:r>
      <w:r w:rsidRPr="007072BB">
        <w:rPr>
          <w:rStyle w:val="FootnoteReference"/>
          <w:iCs/>
          <w:noProof/>
          <w:color w:val="000000" w:themeColor="text1"/>
          <w:sz w:val="24"/>
          <w:szCs w:val="24"/>
        </w:rPr>
        <w:footnoteReference w:id="86"/>
      </w:r>
      <w:r w:rsidR="00821D1C" w:rsidRPr="00FF44D9">
        <w:rPr>
          <w:iCs/>
          <w:noProof/>
        </w:rPr>
        <w:t>.</w:t>
      </w:r>
      <w:r w:rsidR="00821D1C">
        <w:rPr>
          <w:noProof/>
        </w:rPr>
        <w:t xml:space="preserve"> Ali Group and Welbilt are</w:t>
      </w:r>
      <w:r w:rsidRPr="00937722">
        <w:rPr>
          <w:noProof/>
        </w:rPr>
        <w:t xml:space="preserve"> global suppliers of </w:t>
      </w:r>
      <w:r w:rsidR="00AA1280">
        <w:rPr>
          <w:noProof/>
        </w:rPr>
        <w:t xml:space="preserve">professional kitchen equipment, including </w:t>
      </w:r>
      <w:r w:rsidRPr="00937722">
        <w:rPr>
          <w:noProof/>
        </w:rPr>
        <w:t xml:space="preserve">ice-making machines used in the hospitality and industrial sectors. The commitments offered in this case </w:t>
      </w:r>
      <w:r w:rsidR="00AA1280">
        <w:rPr>
          <w:noProof/>
        </w:rPr>
        <w:t>include the divestment of Welbilt’s entire ice-making machines business. This will ensure</w:t>
      </w:r>
      <w:r w:rsidRPr="00937722">
        <w:rPr>
          <w:noProof/>
        </w:rPr>
        <w:t xml:space="preserve"> that a new player on the market will continue to exert competitive pressure on the merged entity</w:t>
      </w:r>
      <w:r w:rsidR="00FB0CD6">
        <w:rPr>
          <w:noProof/>
        </w:rPr>
        <w:t>,</w:t>
      </w:r>
      <w:r w:rsidRPr="00937722">
        <w:rPr>
          <w:noProof/>
        </w:rPr>
        <w:t xml:space="preserve"> while customers will </w:t>
      </w:r>
      <w:r w:rsidR="00FB0CD6">
        <w:rPr>
          <w:noProof/>
        </w:rPr>
        <w:t>retain a</w:t>
      </w:r>
      <w:r w:rsidR="00FB0CD6" w:rsidRPr="00937722">
        <w:rPr>
          <w:noProof/>
        </w:rPr>
        <w:t xml:space="preserve"> </w:t>
      </w:r>
      <w:r w:rsidRPr="00937722">
        <w:rPr>
          <w:noProof/>
        </w:rPr>
        <w:t>choice of suppliers.</w:t>
      </w:r>
    </w:p>
    <w:p w14:paraId="0CD82750" w14:textId="77777777" w:rsidR="006F6DDE" w:rsidRDefault="008D01CE" w:rsidP="00D746DD">
      <w:pPr>
        <w:spacing w:after="120"/>
        <w:rPr>
          <w:noProof/>
        </w:rPr>
      </w:pPr>
      <w:r>
        <w:rPr>
          <w:noProof/>
        </w:rPr>
        <w:t>I</w:t>
      </w:r>
      <w:r w:rsidR="00533F5B" w:rsidRPr="00937722">
        <w:rPr>
          <w:noProof/>
        </w:rPr>
        <w:t xml:space="preserve">n September 2022, the Commission, prohibited Illumina's </w:t>
      </w:r>
      <w:r w:rsidR="00E32F5D">
        <w:rPr>
          <w:noProof/>
        </w:rPr>
        <w:t xml:space="preserve">prematurely </w:t>
      </w:r>
      <w:r w:rsidR="00533F5B" w:rsidRPr="00937722">
        <w:rPr>
          <w:noProof/>
        </w:rPr>
        <w:t>implemented acquisition of GRAIL</w:t>
      </w:r>
      <w:r w:rsidR="00CD4D6B" w:rsidRPr="00CD4D6B">
        <w:rPr>
          <w:noProof/>
        </w:rPr>
        <w:t xml:space="preserve"> </w:t>
      </w:r>
      <w:r w:rsidR="00CD4D6B" w:rsidRPr="00937722">
        <w:rPr>
          <w:noProof/>
        </w:rPr>
        <w:t>following an in-depth investigation</w:t>
      </w:r>
      <w:r w:rsidR="00533F5B" w:rsidRPr="00937722">
        <w:rPr>
          <w:rStyle w:val="FootnoteReference"/>
          <w:noProof/>
          <w:color w:val="000000" w:themeColor="text1"/>
          <w:sz w:val="24"/>
          <w:szCs w:val="24"/>
        </w:rPr>
        <w:footnoteReference w:id="87"/>
      </w:r>
      <w:r w:rsidR="00533F5B" w:rsidRPr="00937722">
        <w:rPr>
          <w:noProof/>
        </w:rPr>
        <w:t xml:space="preserve">. Illumina is the </w:t>
      </w:r>
      <w:r w:rsidR="0094366F">
        <w:rPr>
          <w:noProof/>
        </w:rPr>
        <w:t>dominant</w:t>
      </w:r>
      <w:r w:rsidR="00533F5B" w:rsidRPr="00937722">
        <w:rPr>
          <w:noProof/>
        </w:rPr>
        <w:t xml:space="preserve"> supplier of NGS systems for genetic and genomic analysis. GRAIL is a customer of Illumina</w:t>
      </w:r>
      <w:r w:rsidR="0094366F">
        <w:rPr>
          <w:noProof/>
        </w:rPr>
        <w:t>,</w:t>
      </w:r>
      <w:r w:rsidR="00533F5B" w:rsidRPr="00937722">
        <w:rPr>
          <w:noProof/>
        </w:rPr>
        <w:t xml:space="preserve"> using </w:t>
      </w:r>
      <w:r w:rsidR="0094366F">
        <w:rPr>
          <w:noProof/>
        </w:rPr>
        <w:t xml:space="preserve">its </w:t>
      </w:r>
      <w:r w:rsidR="00533F5B" w:rsidRPr="00937722">
        <w:rPr>
          <w:noProof/>
        </w:rPr>
        <w:t xml:space="preserve">NGS systems to develop cancer detection tests. </w:t>
      </w:r>
      <w:r w:rsidR="00F63D95">
        <w:rPr>
          <w:noProof/>
        </w:rPr>
        <w:t xml:space="preserve">The Commission </w:t>
      </w:r>
      <w:r w:rsidR="0094366F">
        <w:rPr>
          <w:noProof/>
        </w:rPr>
        <w:t xml:space="preserve">found </w:t>
      </w:r>
      <w:r w:rsidR="00F63D95">
        <w:rPr>
          <w:noProof/>
        </w:rPr>
        <w:t>that w</w:t>
      </w:r>
      <w:r w:rsidR="00533F5B" w:rsidRPr="00937722">
        <w:rPr>
          <w:noProof/>
        </w:rPr>
        <w:t>ith th</w:t>
      </w:r>
      <w:r w:rsidR="00F63D95">
        <w:rPr>
          <w:noProof/>
        </w:rPr>
        <w:t>e</w:t>
      </w:r>
      <w:r w:rsidR="00533F5B" w:rsidRPr="00937722">
        <w:rPr>
          <w:noProof/>
        </w:rPr>
        <w:t xml:space="preserve"> transaction, Illumina would have an incentive to cut off GRAIL's rivals from accessing its technology, or otherwise disadvantage them</w:t>
      </w:r>
      <w:r w:rsidR="00750674" w:rsidRPr="00750674">
        <w:rPr>
          <w:noProof/>
        </w:rPr>
        <w:t xml:space="preserve"> and thereby </w:t>
      </w:r>
      <w:r w:rsidR="009E2C44" w:rsidRPr="00750674">
        <w:rPr>
          <w:noProof/>
        </w:rPr>
        <w:t>stifle</w:t>
      </w:r>
      <w:r w:rsidR="00750674" w:rsidRPr="00750674">
        <w:rPr>
          <w:noProof/>
        </w:rPr>
        <w:t xml:space="preserve"> innovation competition in the nascent market for NGS-based cancer detection test</w:t>
      </w:r>
      <w:r w:rsidR="000C2433">
        <w:rPr>
          <w:noProof/>
        </w:rPr>
        <w:t>s</w:t>
      </w:r>
      <w:r w:rsidR="00533F5B" w:rsidRPr="00937722">
        <w:rPr>
          <w:noProof/>
        </w:rPr>
        <w:t>.</w:t>
      </w:r>
    </w:p>
    <w:p w14:paraId="5B68E906" w14:textId="77777777" w:rsidR="006F6DDE" w:rsidRDefault="000C2433" w:rsidP="00D746DD">
      <w:pPr>
        <w:spacing w:after="120"/>
        <w:rPr>
          <w:noProof/>
        </w:rPr>
      </w:pPr>
      <w:r>
        <w:rPr>
          <w:noProof/>
        </w:rPr>
        <w:t>Despite</w:t>
      </w:r>
      <w:r w:rsidR="006F6DDE" w:rsidRPr="006F6DDE">
        <w:rPr>
          <w:noProof/>
        </w:rPr>
        <w:t xml:space="preserve"> the Commission’s </w:t>
      </w:r>
      <w:r w:rsidR="00BE2B88">
        <w:rPr>
          <w:noProof/>
        </w:rPr>
        <w:t>pending</w:t>
      </w:r>
      <w:r w:rsidR="006F6DDE" w:rsidRPr="006F6DDE">
        <w:rPr>
          <w:noProof/>
        </w:rPr>
        <w:t xml:space="preserve"> </w:t>
      </w:r>
      <w:r w:rsidR="001F4486">
        <w:rPr>
          <w:noProof/>
        </w:rPr>
        <w:t xml:space="preserve">in-depth </w:t>
      </w:r>
      <w:r w:rsidR="006F6DDE" w:rsidRPr="006F6DDE">
        <w:rPr>
          <w:noProof/>
        </w:rPr>
        <w:t>investigation, the companies implemented the transaction in August 2021. In reaction to th</w:t>
      </w:r>
      <w:r w:rsidR="00BE2B88">
        <w:rPr>
          <w:noProof/>
        </w:rPr>
        <w:t>e</w:t>
      </w:r>
      <w:r w:rsidR="006F6DDE" w:rsidRPr="006F6DDE">
        <w:rPr>
          <w:noProof/>
        </w:rPr>
        <w:t xml:space="preserve"> premature</w:t>
      </w:r>
      <w:r w:rsidR="00BE2B88">
        <w:rPr>
          <w:noProof/>
        </w:rPr>
        <w:t xml:space="preserve"> </w:t>
      </w:r>
      <w:r w:rsidR="006F6DDE" w:rsidRPr="006F6DDE">
        <w:rPr>
          <w:noProof/>
        </w:rPr>
        <w:t>closing, the Commission adopted interim measures to restore and maintain the conditions of effective competition following Illumina's acquisition of GRAIL</w:t>
      </w:r>
      <w:r w:rsidR="00DB42B2">
        <w:rPr>
          <w:rStyle w:val="FootnoteReference"/>
          <w:noProof/>
        </w:rPr>
        <w:footnoteReference w:id="88"/>
      </w:r>
      <w:r w:rsidR="00656CF4">
        <w:rPr>
          <w:noProof/>
        </w:rPr>
        <w:t xml:space="preserve">. </w:t>
      </w:r>
      <w:r w:rsidR="006F6DDE" w:rsidRPr="006F6DDE">
        <w:rPr>
          <w:noProof/>
        </w:rPr>
        <w:t>In parallel, the Commission opened an investigation to assess whether Illumina breached the ‘standstill obligation'</w:t>
      </w:r>
      <w:r w:rsidR="005C7867">
        <w:rPr>
          <w:noProof/>
        </w:rPr>
        <w:t xml:space="preserve"> imposed on transactions </w:t>
      </w:r>
      <w:r w:rsidR="00BE2B88">
        <w:rPr>
          <w:noProof/>
        </w:rPr>
        <w:t xml:space="preserve">subject to </w:t>
      </w:r>
      <w:r w:rsidR="005C7867">
        <w:rPr>
          <w:noProof/>
        </w:rPr>
        <w:t>review under the EU Merger Regulation</w:t>
      </w:r>
      <w:r w:rsidR="006F6DDE" w:rsidRPr="006F6DDE">
        <w:rPr>
          <w:noProof/>
        </w:rPr>
        <w:t>. In this context, the Commission adopted a Statement of Objections in July 2022, alleging that Illumina and GRAIL had breached the EU Merger Regulation by implementing the acquisition prior to obtaining the Commission's merger control approval. If the Commission were to conclude that Illumina and GRAIL did implement the transaction in breach of the EU Merger Regulation, it could impose a fine of up to 10% of each compan</w:t>
      </w:r>
      <w:r w:rsidR="00BE2B88">
        <w:rPr>
          <w:noProof/>
        </w:rPr>
        <w:t>y</w:t>
      </w:r>
      <w:r w:rsidR="006F6DDE" w:rsidRPr="006F6DDE">
        <w:rPr>
          <w:noProof/>
        </w:rPr>
        <w:t>'</w:t>
      </w:r>
      <w:r w:rsidR="00BE2B88">
        <w:rPr>
          <w:noProof/>
        </w:rPr>
        <w:t>s</w:t>
      </w:r>
      <w:r w:rsidR="006F6DDE" w:rsidRPr="006F6DDE">
        <w:rPr>
          <w:noProof/>
        </w:rPr>
        <w:t xml:space="preserve"> annual worldwide turnover</w:t>
      </w:r>
      <w:r w:rsidR="00D032FF">
        <w:rPr>
          <w:rStyle w:val="FootnoteReference"/>
          <w:noProof/>
        </w:rPr>
        <w:footnoteReference w:id="89"/>
      </w:r>
      <w:r w:rsidR="006F6DDE" w:rsidRPr="006F6DDE">
        <w:rPr>
          <w:noProof/>
        </w:rPr>
        <w:t>. Moreover, in December 2022, the European Commission sent a Statement of Objections to Illumina and GRAIL informing them of the restorative measures it intends to adopt under the EU Merger Regulation, following the Commission's decision to prohibit the implemented acquisition of GRAIL by Illumina</w:t>
      </w:r>
      <w:r w:rsidR="006F6DDE">
        <w:rPr>
          <w:rStyle w:val="FootnoteReference"/>
          <w:noProof/>
        </w:rPr>
        <w:footnoteReference w:id="90"/>
      </w:r>
      <w:r w:rsidR="006F6DDE" w:rsidRPr="006F6DDE">
        <w:rPr>
          <w:noProof/>
        </w:rPr>
        <w:t xml:space="preserve">. </w:t>
      </w:r>
    </w:p>
    <w:p w14:paraId="62C07786" w14:textId="77777777" w:rsidR="00B519D0" w:rsidRPr="00177321" w:rsidRDefault="00AA79B2" w:rsidP="00620BE1">
      <w:pPr>
        <w:keepNext/>
        <w:pBdr>
          <w:top w:val="single" w:sz="4" w:space="1" w:color="auto"/>
          <w:left w:val="single" w:sz="4" w:space="4" w:color="auto"/>
          <w:bottom w:val="single" w:sz="4" w:space="1" w:color="auto"/>
          <w:right w:val="single" w:sz="4" w:space="4" w:color="auto"/>
        </w:pBdr>
        <w:spacing w:after="60" w:line="240" w:lineRule="auto"/>
        <w:rPr>
          <w:b/>
          <w:noProof/>
          <w:color w:val="0070C0"/>
          <w:sz w:val="22"/>
        </w:rPr>
      </w:pPr>
      <w:r w:rsidRPr="00177321">
        <w:rPr>
          <w:b/>
          <w:noProof/>
          <w:color w:val="0070C0"/>
          <w:sz w:val="22"/>
        </w:rPr>
        <w:t>The EU General Court upheld the Commission’s Article 22 Review in the Illumina/GRAIL</w:t>
      </w:r>
      <w:r w:rsidRPr="00177321">
        <w:rPr>
          <w:rStyle w:val="FootnoteReference"/>
          <w:b/>
          <w:noProof/>
          <w:color w:val="0070C0"/>
        </w:rPr>
        <w:footnoteReference w:id="91"/>
      </w:r>
      <w:r w:rsidRPr="00177321">
        <w:rPr>
          <w:b/>
          <w:noProof/>
          <w:color w:val="0070C0"/>
          <w:sz w:val="22"/>
        </w:rPr>
        <w:t xml:space="preserve"> ruling</w:t>
      </w:r>
    </w:p>
    <w:p w14:paraId="0CB6428C" w14:textId="77777777" w:rsidR="00BE2B88" w:rsidRDefault="00BE2B88" w:rsidP="00BE2B88">
      <w:pPr>
        <w:pBdr>
          <w:top w:val="single" w:sz="4" w:space="1" w:color="auto"/>
          <w:left w:val="single" w:sz="4" w:space="4" w:color="auto"/>
          <w:bottom w:val="single" w:sz="4" w:space="1" w:color="auto"/>
          <w:right w:val="single" w:sz="4" w:space="4" w:color="auto"/>
        </w:pBdr>
        <w:spacing w:after="60" w:line="240" w:lineRule="auto"/>
        <w:rPr>
          <w:noProof/>
          <w:color w:val="0070C0"/>
          <w:sz w:val="22"/>
        </w:rPr>
      </w:pPr>
      <w:r>
        <w:rPr>
          <w:noProof/>
          <w:color w:val="0070C0"/>
          <w:sz w:val="22"/>
        </w:rPr>
        <w:t xml:space="preserve">In the </w:t>
      </w:r>
      <w:r w:rsidRPr="00F13EE0">
        <w:rPr>
          <w:i/>
          <w:noProof/>
          <w:color w:val="0070C0"/>
          <w:sz w:val="22"/>
        </w:rPr>
        <w:t>Illumina/GRAIL</w:t>
      </w:r>
      <w:r>
        <w:rPr>
          <w:noProof/>
          <w:color w:val="0070C0"/>
          <w:sz w:val="22"/>
        </w:rPr>
        <w:t xml:space="preserve"> case, the Commission gave Article 22 of the EU Merger Regulation its full effect by accepting the referral of a transaction that fell below national notification thresholds. This followed the announcement by Executive Vice President Vestager that the Commission would no longer discourage Member States from requesting referrals of cases to the Commission which are not notifiable in the referring Member State. Referring such cases to the Commission ensures that mergers involving companies with annual turnovers which do not appropriately reflect their impact on competition can be reviewed by the Commission</w:t>
      </w:r>
      <w:r>
        <w:rPr>
          <w:rStyle w:val="FootnoteReference"/>
          <w:noProof/>
          <w:color w:val="0070C0"/>
          <w:sz w:val="22"/>
        </w:rPr>
        <w:footnoteReference w:id="92"/>
      </w:r>
      <w:r>
        <w:rPr>
          <w:noProof/>
          <w:color w:val="0070C0"/>
          <w:sz w:val="22"/>
        </w:rPr>
        <w:t xml:space="preserve"> for the referring Member States. The Commission published guidance on this matter in March 2021</w:t>
      </w:r>
      <w:r>
        <w:rPr>
          <w:rStyle w:val="FootnoteReference"/>
          <w:noProof/>
          <w:color w:val="0070C0"/>
          <w:sz w:val="22"/>
        </w:rPr>
        <w:footnoteReference w:id="93"/>
      </w:r>
      <w:r>
        <w:rPr>
          <w:noProof/>
          <w:color w:val="0070C0"/>
          <w:sz w:val="22"/>
        </w:rPr>
        <w:t>, followed by practical information on its implementation in December 2022</w:t>
      </w:r>
      <w:r>
        <w:rPr>
          <w:rStyle w:val="FootnoteReference"/>
          <w:noProof/>
          <w:color w:val="0070C0"/>
          <w:sz w:val="22"/>
        </w:rPr>
        <w:footnoteReference w:id="94"/>
      </w:r>
      <w:r>
        <w:rPr>
          <w:noProof/>
          <w:color w:val="0070C0"/>
          <w:sz w:val="22"/>
        </w:rPr>
        <w:t>.</w:t>
      </w:r>
    </w:p>
    <w:p w14:paraId="4723B9CB" w14:textId="77777777" w:rsidR="00BE2B88" w:rsidRDefault="00BE2B88" w:rsidP="00BE2B88">
      <w:pPr>
        <w:pBdr>
          <w:top w:val="single" w:sz="4" w:space="1" w:color="auto"/>
          <w:left w:val="single" w:sz="4" w:space="4" w:color="auto"/>
          <w:bottom w:val="single" w:sz="4" w:space="1" w:color="auto"/>
          <w:right w:val="single" w:sz="4" w:space="4" w:color="auto"/>
        </w:pBdr>
        <w:spacing w:after="60" w:line="240" w:lineRule="auto"/>
        <w:rPr>
          <w:noProof/>
          <w:color w:val="0070C0"/>
          <w:sz w:val="22"/>
        </w:rPr>
      </w:pPr>
      <w:r>
        <w:rPr>
          <w:noProof/>
          <w:color w:val="0070C0"/>
          <w:sz w:val="22"/>
        </w:rPr>
        <w:t xml:space="preserve">Illumina and GRAIL challenged the 2021 decisions by the Commission accepting referrals under Article 22 from several Member States/EEA States. In </w:t>
      </w:r>
      <w:r w:rsidRPr="00B703E4">
        <w:rPr>
          <w:noProof/>
          <w:color w:val="0070C0"/>
          <w:sz w:val="22"/>
        </w:rPr>
        <w:t xml:space="preserve">July 2022, the General Court dismissed </w:t>
      </w:r>
      <w:r>
        <w:rPr>
          <w:noProof/>
          <w:color w:val="0070C0"/>
          <w:sz w:val="22"/>
        </w:rPr>
        <w:t>the application</w:t>
      </w:r>
      <w:r w:rsidRPr="00B703E4">
        <w:rPr>
          <w:noProof/>
          <w:color w:val="0070C0"/>
          <w:sz w:val="22"/>
          <w:vertAlign w:val="superscript"/>
        </w:rPr>
        <w:footnoteReference w:id="95"/>
      </w:r>
      <w:r>
        <w:rPr>
          <w:noProof/>
          <w:color w:val="0070C0"/>
          <w:sz w:val="22"/>
        </w:rPr>
        <w:t>.</w:t>
      </w:r>
      <w:r w:rsidRPr="00B703E4">
        <w:rPr>
          <w:noProof/>
          <w:color w:val="0070C0"/>
          <w:sz w:val="22"/>
        </w:rPr>
        <w:t xml:space="preserve"> </w:t>
      </w:r>
      <w:r>
        <w:rPr>
          <w:noProof/>
          <w:color w:val="0070C0"/>
          <w:sz w:val="22"/>
        </w:rPr>
        <w:t>T</w:t>
      </w:r>
      <w:r w:rsidRPr="00B703E4">
        <w:rPr>
          <w:noProof/>
          <w:color w:val="0070C0"/>
          <w:sz w:val="22"/>
        </w:rPr>
        <w:t>he General Court confirmed</w:t>
      </w:r>
      <w:r>
        <w:rPr>
          <w:noProof/>
          <w:color w:val="0070C0"/>
          <w:sz w:val="22"/>
        </w:rPr>
        <w:t xml:space="preserve"> </w:t>
      </w:r>
      <w:r w:rsidRPr="00B703E4">
        <w:rPr>
          <w:noProof/>
          <w:color w:val="0070C0"/>
          <w:sz w:val="22"/>
        </w:rPr>
        <w:t xml:space="preserve">that transactions </w:t>
      </w:r>
      <w:r>
        <w:rPr>
          <w:noProof/>
          <w:color w:val="0070C0"/>
          <w:sz w:val="22"/>
        </w:rPr>
        <w:t xml:space="preserve">under </w:t>
      </w:r>
      <w:r w:rsidRPr="00B703E4">
        <w:rPr>
          <w:noProof/>
          <w:color w:val="0070C0"/>
          <w:sz w:val="22"/>
        </w:rPr>
        <w:t xml:space="preserve">Article 22 of the EU Merger Regulation do not need to fall within the scope of the merger control rules </w:t>
      </w:r>
      <w:r>
        <w:rPr>
          <w:noProof/>
          <w:color w:val="0070C0"/>
          <w:sz w:val="22"/>
        </w:rPr>
        <w:t>in</w:t>
      </w:r>
      <w:r w:rsidRPr="00B703E4">
        <w:rPr>
          <w:noProof/>
          <w:color w:val="0070C0"/>
          <w:sz w:val="22"/>
        </w:rPr>
        <w:t xml:space="preserve"> the Member State requesting the referral</w:t>
      </w:r>
      <w:r>
        <w:rPr>
          <w:noProof/>
          <w:color w:val="0070C0"/>
          <w:sz w:val="22"/>
        </w:rPr>
        <w:t xml:space="preserve">. The General Court judgment confirms </w:t>
      </w:r>
      <w:r w:rsidRPr="00B703E4">
        <w:rPr>
          <w:noProof/>
          <w:color w:val="0070C0"/>
          <w:sz w:val="22"/>
        </w:rPr>
        <w:t>the Commission</w:t>
      </w:r>
      <w:r>
        <w:rPr>
          <w:noProof/>
          <w:color w:val="0070C0"/>
          <w:sz w:val="22"/>
        </w:rPr>
        <w:t>’s right</w:t>
      </w:r>
      <w:r w:rsidRPr="00B703E4">
        <w:rPr>
          <w:noProof/>
          <w:color w:val="0070C0"/>
          <w:sz w:val="22"/>
        </w:rPr>
        <w:t xml:space="preserve"> </w:t>
      </w:r>
      <w:r>
        <w:rPr>
          <w:noProof/>
          <w:color w:val="0070C0"/>
          <w:sz w:val="22"/>
        </w:rPr>
        <w:t xml:space="preserve">to take jurisdiction through Article 22 over mergers despite the fact that the transaction falls below national merger control thresholds. The judgment </w:t>
      </w:r>
      <w:r w:rsidRPr="00B703E4">
        <w:rPr>
          <w:noProof/>
          <w:color w:val="0070C0"/>
          <w:sz w:val="22"/>
        </w:rPr>
        <w:t>is currently under appeal before the Court of Justice</w:t>
      </w:r>
      <w:r w:rsidRPr="00B703E4">
        <w:rPr>
          <w:noProof/>
          <w:color w:val="0070C0"/>
          <w:sz w:val="22"/>
          <w:vertAlign w:val="superscript"/>
        </w:rPr>
        <w:footnoteReference w:id="96"/>
      </w:r>
      <w:r>
        <w:rPr>
          <w:noProof/>
          <w:color w:val="0070C0"/>
          <w:sz w:val="22"/>
        </w:rPr>
        <w:t>.</w:t>
      </w:r>
    </w:p>
    <w:p w14:paraId="409B7EC8" w14:textId="77777777" w:rsidR="00BE2B88" w:rsidRDefault="00BE2B88" w:rsidP="00AF1CED">
      <w:pPr>
        <w:pBdr>
          <w:top w:val="single" w:sz="4" w:space="1" w:color="auto"/>
          <w:left w:val="single" w:sz="4" w:space="4" w:color="auto"/>
          <w:bottom w:val="single" w:sz="4" w:space="1" w:color="auto"/>
          <w:right w:val="single" w:sz="4" w:space="4" w:color="auto"/>
        </w:pBdr>
        <w:spacing w:after="60" w:line="240" w:lineRule="auto"/>
        <w:rPr>
          <w:noProof/>
          <w:color w:val="0070C0"/>
          <w:sz w:val="22"/>
        </w:rPr>
      </w:pPr>
    </w:p>
    <w:p w14:paraId="285B96EC" w14:textId="77777777" w:rsidR="005B617D" w:rsidRDefault="00CC54F8" w:rsidP="00EF26B8">
      <w:pPr>
        <w:spacing w:before="160" w:after="120"/>
        <w:rPr>
          <w:noProof/>
        </w:rPr>
      </w:pPr>
      <w:r w:rsidRPr="00937722">
        <w:rPr>
          <w:noProof/>
        </w:rPr>
        <w:t>I</w:t>
      </w:r>
      <w:r w:rsidR="00533F5B" w:rsidRPr="00937722">
        <w:rPr>
          <w:noProof/>
        </w:rPr>
        <w:t xml:space="preserve">n July 2022, the Commission opened an in-depth investigation to assess the proposed acquisition of </w:t>
      </w:r>
      <w:r w:rsidR="00533F5B" w:rsidRPr="00937722">
        <w:rPr>
          <w:i/>
          <w:noProof/>
        </w:rPr>
        <w:t>VOO</w:t>
      </w:r>
      <w:r w:rsidR="00533F5B" w:rsidRPr="00937722">
        <w:rPr>
          <w:noProof/>
        </w:rPr>
        <w:t xml:space="preserve"> and </w:t>
      </w:r>
      <w:r w:rsidR="00533F5B" w:rsidRPr="00937722">
        <w:rPr>
          <w:i/>
          <w:noProof/>
        </w:rPr>
        <w:t>Brutélé</w:t>
      </w:r>
      <w:r w:rsidR="00533F5B" w:rsidRPr="00937722">
        <w:rPr>
          <w:noProof/>
        </w:rPr>
        <w:t xml:space="preserve"> by </w:t>
      </w:r>
      <w:r w:rsidR="00533F5B" w:rsidRPr="00937722">
        <w:rPr>
          <w:i/>
          <w:noProof/>
        </w:rPr>
        <w:t>Orange</w:t>
      </w:r>
      <w:r w:rsidR="00533F5B" w:rsidRPr="00937722">
        <w:rPr>
          <w:rStyle w:val="FootnoteReference"/>
          <w:i/>
          <w:noProof/>
          <w:color w:val="000000" w:themeColor="text1"/>
          <w:sz w:val="24"/>
          <w:szCs w:val="24"/>
        </w:rPr>
        <w:footnoteReference w:id="97"/>
      </w:r>
      <w:r w:rsidR="00533F5B" w:rsidRPr="00937722">
        <w:rPr>
          <w:noProof/>
        </w:rPr>
        <w:t>. Orange has been a successful challenger to Voo/Brutele's telecommunication services in parts of Belgium. The Commission is concerned that the proposed transaction may reduce competition in the retail markets for the supply of fixed internet services, audio-visual services and multiple-play bundles in parts of Belgium.</w:t>
      </w:r>
    </w:p>
    <w:p w14:paraId="5CB9B486" w14:textId="77777777" w:rsidR="00F17826" w:rsidRDefault="00F17826" w:rsidP="00F17826">
      <w:pPr>
        <w:spacing w:after="120"/>
        <w:rPr>
          <w:noProof/>
        </w:rPr>
      </w:pPr>
      <w:r w:rsidRPr="00937722">
        <w:rPr>
          <w:noProof/>
        </w:rPr>
        <w:t xml:space="preserve">In November 2022, the Commission opened an in-depth investigation to assess the proposed acquisition of </w:t>
      </w:r>
      <w:r w:rsidRPr="00937722">
        <w:rPr>
          <w:i/>
          <w:noProof/>
        </w:rPr>
        <w:t>Activision Blizzard</w:t>
      </w:r>
      <w:r w:rsidRPr="00937722">
        <w:rPr>
          <w:noProof/>
        </w:rPr>
        <w:t xml:space="preserve"> by </w:t>
      </w:r>
      <w:r w:rsidRPr="00937722">
        <w:rPr>
          <w:i/>
          <w:noProof/>
        </w:rPr>
        <w:t>Microsoft</w:t>
      </w:r>
      <w:r w:rsidRPr="00937722">
        <w:rPr>
          <w:rStyle w:val="FootnoteReference"/>
          <w:i/>
          <w:noProof/>
          <w:color w:val="000000" w:themeColor="text1"/>
          <w:sz w:val="24"/>
          <w:szCs w:val="24"/>
        </w:rPr>
        <w:footnoteReference w:id="98"/>
      </w:r>
      <w:r w:rsidRPr="00937722">
        <w:rPr>
          <w:noProof/>
        </w:rPr>
        <w:t xml:space="preserve">. The Commission </w:t>
      </w:r>
      <w:r w:rsidR="00916CD4">
        <w:rPr>
          <w:noProof/>
        </w:rPr>
        <w:t xml:space="preserve">is </w:t>
      </w:r>
      <w:r w:rsidRPr="00937722">
        <w:rPr>
          <w:noProof/>
        </w:rPr>
        <w:t>concerned that the proposed acquisition may reduce competition in the markets for the distribution of console and personal computers (‘PCs’) video game</w:t>
      </w:r>
      <w:r w:rsidR="00CF4281">
        <w:rPr>
          <w:noProof/>
        </w:rPr>
        <w:t>s and for PC operating systems.</w:t>
      </w:r>
    </w:p>
    <w:p w14:paraId="5B4F5BE2" w14:textId="77777777" w:rsidR="00CF4281" w:rsidRPr="00CD48BB" w:rsidRDefault="00CF4281" w:rsidP="00CF4281">
      <w:pPr>
        <w:spacing w:after="120"/>
        <w:rPr>
          <w:noProof/>
          <w:color w:val="000000"/>
          <w:szCs w:val="27"/>
        </w:rPr>
      </w:pPr>
      <w:r>
        <w:rPr>
          <w:noProof/>
          <w:color w:val="000000"/>
        </w:rPr>
        <w:t xml:space="preserve">In November 2022, the European Commission opened an in-depth investigation to assess the proposed acquisition of </w:t>
      </w:r>
      <w:r w:rsidRPr="005B76CF">
        <w:rPr>
          <w:i/>
          <w:noProof/>
          <w:color w:val="000000"/>
        </w:rPr>
        <w:t>Lagardère</w:t>
      </w:r>
      <w:r>
        <w:rPr>
          <w:noProof/>
          <w:color w:val="000000"/>
        </w:rPr>
        <w:t xml:space="preserve"> by </w:t>
      </w:r>
      <w:r w:rsidRPr="005B76CF">
        <w:rPr>
          <w:i/>
          <w:noProof/>
          <w:color w:val="000000"/>
        </w:rPr>
        <w:t>Vivendi</w:t>
      </w:r>
      <w:r w:rsidRPr="00071E22">
        <w:rPr>
          <w:rStyle w:val="FootnoteReference"/>
          <w:noProof/>
          <w:color w:val="000000"/>
        </w:rPr>
        <w:footnoteReference w:id="99"/>
      </w:r>
      <w:r>
        <w:rPr>
          <w:noProof/>
        </w:rPr>
        <w:t>. The parties are the first and second largest companies on most markets in the books value chain in France. The Commission is concerned that the transaction may reduce competition on the markets for (i) the purchasing of authors' rights for French-language books</w:t>
      </w:r>
      <w:r>
        <w:rPr>
          <w:noProof/>
          <w:color w:val="000000"/>
        </w:rPr>
        <w:t xml:space="preserve">, (ii) the </w:t>
      </w:r>
      <w:r>
        <w:rPr>
          <w:noProof/>
        </w:rPr>
        <w:t>distribution and marketing of French-language books,</w:t>
      </w:r>
      <w:r>
        <w:rPr>
          <w:noProof/>
          <w:color w:val="000000"/>
        </w:rPr>
        <w:t xml:space="preserve"> and (iii) the </w:t>
      </w:r>
      <w:r>
        <w:rPr>
          <w:noProof/>
        </w:rPr>
        <w:t>sales of French-language books to retailers</w:t>
      </w:r>
      <w:r>
        <w:rPr>
          <w:noProof/>
          <w:color w:val="000000"/>
        </w:rPr>
        <w:t>.</w:t>
      </w:r>
      <w:r w:rsidR="00192FF7">
        <w:rPr>
          <w:noProof/>
          <w:color w:val="000000"/>
        </w:rPr>
        <w:t xml:space="preserve"> The</w:t>
      </w:r>
      <w:r w:rsidR="00192FF7" w:rsidRPr="00DE7BB6">
        <w:rPr>
          <w:noProof/>
          <w:color w:val="000000"/>
        </w:rPr>
        <w:t xml:space="preserve"> </w:t>
      </w:r>
      <w:r w:rsidR="00192FF7">
        <w:rPr>
          <w:noProof/>
          <w:color w:val="000000"/>
        </w:rPr>
        <w:t>Commission</w:t>
      </w:r>
      <w:r w:rsidR="00192FF7" w:rsidRPr="00DE7BB6">
        <w:rPr>
          <w:noProof/>
          <w:color w:val="000000"/>
        </w:rPr>
        <w:t xml:space="preserve"> </w:t>
      </w:r>
      <w:r w:rsidR="00192FF7">
        <w:rPr>
          <w:noProof/>
          <w:color w:val="000000"/>
        </w:rPr>
        <w:t>also</w:t>
      </w:r>
      <w:r w:rsidR="00192FF7" w:rsidRPr="00DE7BB6">
        <w:rPr>
          <w:noProof/>
          <w:color w:val="000000"/>
        </w:rPr>
        <w:t xml:space="preserve"> </w:t>
      </w:r>
      <w:r w:rsidR="00192FF7">
        <w:rPr>
          <w:noProof/>
          <w:color w:val="000000"/>
        </w:rPr>
        <w:t>identified</w:t>
      </w:r>
      <w:r w:rsidR="00192FF7" w:rsidRPr="00DE7BB6">
        <w:rPr>
          <w:noProof/>
          <w:color w:val="000000"/>
        </w:rPr>
        <w:t xml:space="preserve"> </w:t>
      </w:r>
      <w:r w:rsidR="00192FF7">
        <w:rPr>
          <w:noProof/>
          <w:color w:val="000000"/>
        </w:rPr>
        <w:t>competition</w:t>
      </w:r>
      <w:r w:rsidR="00192FF7" w:rsidRPr="00DE7BB6">
        <w:rPr>
          <w:noProof/>
          <w:color w:val="000000"/>
        </w:rPr>
        <w:t xml:space="preserve"> </w:t>
      </w:r>
      <w:r w:rsidR="00192FF7">
        <w:rPr>
          <w:noProof/>
          <w:color w:val="000000"/>
        </w:rPr>
        <w:t>concerns</w:t>
      </w:r>
      <w:r w:rsidR="00192FF7" w:rsidRPr="00DE7BB6">
        <w:rPr>
          <w:noProof/>
          <w:color w:val="000000"/>
        </w:rPr>
        <w:t xml:space="preserve"> </w:t>
      </w:r>
      <w:r w:rsidR="00192FF7">
        <w:rPr>
          <w:noProof/>
          <w:color w:val="000000"/>
        </w:rPr>
        <w:t>in</w:t>
      </w:r>
      <w:r w:rsidR="00192FF7" w:rsidRPr="00DE7BB6">
        <w:rPr>
          <w:noProof/>
          <w:color w:val="000000"/>
        </w:rPr>
        <w:t xml:space="preserve"> </w:t>
      </w:r>
      <w:r w:rsidR="00192FF7">
        <w:rPr>
          <w:noProof/>
          <w:color w:val="000000"/>
        </w:rPr>
        <w:t>relation</w:t>
      </w:r>
      <w:r w:rsidR="00192FF7" w:rsidRPr="00DE7BB6">
        <w:rPr>
          <w:noProof/>
          <w:color w:val="000000"/>
        </w:rPr>
        <w:t xml:space="preserve"> </w:t>
      </w:r>
      <w:r w:rsidR="00192FF7">
        <w:rPr>
          <w:noProof/>
          <w:color w:val="000000"/>
        </w:rPr>
        <w:t>to the</w:t>
      </w:r>
      <w:r w:rsidR="00192FF7" w:rsidRPr="00DE7BB6">
        <w:rPr>
          <w:noProof/>
          <w:color w:val="000000"/>
        </w:rPr>
        <w:t xml:space="preserve"> </w:t>
      </w:r>
      <w:r w:rsidR="00192FF7">
        <w:rPr>
          <w:noProof/>
          <w:color w:val="000000"/>
        </w:rPr>
        <w:t>sale of</w:t>
      </w:r>
      <w:r w:rsidR="00192FF7" w:rsidRPr="00DE7BB6">
        <w:rPr>
          <w:noProof/>
          <w:color w:val="000000"/>
        </w:rPr>
        <w:t xml:space="preserve"> </w:t>
      </w:r>
      <w:r w:rsidR="00192FF7">
        <w:rPr>
          <w:noProof/>
          <w:color w:val="000000"/>
        </w:rPr>
        <w:t>celebrity</w:t>
      </w:r>
      <w:r w:rsidR="00192FF7" w:rsidRPr="00DE7BB6">
        <w:rPr>
          <w:noProof/>
          <w:color w:val="000000"/>
        </w:rPr>
        <w:t xml:space="preserve"> </w:t>
      </w:r>
      <w:r w:rsidR="00192FF7">
        <w:rPr>
          <w:noProof/>
          <w:color w:val="000000"/>
        </w:rPr>
        <w:t>magazines.</w:t>
      </w:r>
    </w:p>
    <w:p w14:paraId="0E84D9D3" w14:textId="75EA08FD" w:rsidR="00CF4281" w:rsidRDefault="00081FFD" w:rsidP="00F17826">
      <w:pPr>
        <w:spacing w:after="120"/>
        <w:rPr>
          <w:noProof/>
        </w:rPr>
      </w:pPr>
      <w:r w:rsidRPr="00081FFD">
        <w:rPr>
          <w:noProof/>
        </w:rPr>
        <w:t xml:space="preserve">In December 2022, the Commission opened an in-depth investigation to assess the proposed acquisition of </w:t>
      </w:r>
      <w:r w:rsidRPr="00081FFD">
        <w:rPr>
          <w:i/>
          <w:noProof/>
        </w:rPr>
        <w:t>VMware</w:t>
      </w:r>
      <w:r w:rsidRPr="00081FFD">
        <w:rPr>
          <w:noProof/>
        </w:rPr>
        <w:t xml:space="preserve"> by </w:t>
      </w:r>
      <w:r w:rsidRPr="00081FFD">
        <w:rPr>
          <w:i/>
          <w:noProof/>
        </w:rPr>
        <w:t>Broadcom</w:t>
      </w:r>
      <w:r w:rsidRPr="007072BB">
        <w:rPr>
          <w:rStyle w:val="FootnoteReference"/>
          <w:iCs/>
          <w:noProof/>
        </w:rPr>
        <w:footnoteReference w:id="100"/>
      </w:r>
      <w:r>
        <w:rPr>
          <w:noProof/>
        </w:rPr>
        <w:t xml:space="preserve">. </w:t>
      </w:r>
      <w:r w:rsidRPr="00081FFD">
        <w:rPr>
          <w:noProof/>
        </w:rPr>
        <w:t>Broadcom is a supplier of hardware, primarily network interface cards and adapters, whereas VMware offers virtuali</w:t>
      </w:r>
      <w:r w:rsidR="00FF44D9">
        <w:rPr>
          <w:noProof/>
        </w:rPr>
        <w:t>s</w:t>
      </w:r>
      <w:r w:rsidRPr="00081FFD">
        <w:rPr>
          <w:noProof/>
        </w:rPr>
        <w:t>ation software. The Commission is concerned that the transaction may allow Broadcom to reduce the ability of rival hardware suppliers to compete, primarily by degrading interoperability of VMware’s virtualization software with competitors’ hardware products.</w:t>
      </w:r>
    </w:p>
    <w:p w14:paraId="19A53CA3" w14:textId="77777777" w:rsidR="00735FCF" w:rsidRPr="00937722" w:rsidRDefault="00613A5C" w:rsidP="005B4ED5">
      <w:pPr>
        <w:spacing w:after="120"/>
        <w:rPr>
          <w:noProof/>
        </w:rPr>
      </w:pPr>
      <w:r>
        <w:rPr>
          <w:noProof/>
        </w:rPr>
        <w:t>In February 2022</w:t>
      </w:r>
      <w:r w:rsidRPr="00613A5C">
        <w:rPr>
          <w:noProof/>
        </w:rPr>
        <w:t xml:space="preserve">, the Commission found that Hungary infringed Article 21 of the EU Merger Regulation through its decision to veto the acquisition of the Hungarian subsidiaries of the </w:t>
      </w:r>
      <w:r w:rsidRPr="00F17826">
        <w:rPr>
          <w:i/>
          <w:noProof/>
        </w:rPr>
        <w:t xml:space="preserve">AEGON Group </w:t>
      </w:r>
      <w:r w:rsidRPr="008C3B7C">
        <w:rPr>
          <w:iCs/>
          <w:noProof/>
        </w:rPr>
        <w:t>by</w:t>
      </w:r>
      <w:r w:rsidRPr="00F17826">
        <w:rPr>
          <w:i/>
          <w:noProof/>
        </w:rPr>
        <w:t xml:space="preserve"> Vienna Insurance Group AG Wiener Versicherung Gruppe (‘VIG’)</w:t>
      </w:r>
      <w:r w:rsidRPr="008C3B7C">
        <w:rPr>
          <w:rStyle w:val="FootnoteReference"/>
          <w:iCs/>
          <w:noProof/>
        </w:rPr>
        <w:footnoteReference w:id="101"/>
      </w:r>
      <w:r w:rsidRPr="000162FD">
        <w:rPr>
          <w:iCs/>
          <w:noProof/>
        </w:rPr>
        <w:t>.</w:t>
      </w:r>
      <w:r w:rsidRPr="00613A5C">
        <w:rPr>
          <w:noProof/>
        </w:rPr>
        <w:t xml:space="preserve"> Article 21 of the EU Merger Regulation grants the Commission exclusive competence to examine concentrations with a Union dimension. Member States may only take measures to protect legitimate interests under certain conditions, which were not met by Hungary’s veto as it was not communicated to the Commission in advance and it was unclear whether it was aimed to protect Hungary’s legitimate interest. The decision </w:t>
      </w:r>
      <w:r w:rsidR="002356E6">
        <w:rPr>
          <w:noProof/>
        </w:rPr>
        <w:t>af</w:t>
      </w:r>
      <w:r w:rsidR="002356E6" w:rsidRPr="00613A5C">
        <w:rPr>
          <w:noProof/>
        </w:rPr>
        <w:t xml:space="preserve">firmed </w:t>
      </w:r>
      <w:r w:rsidRPr="00613A5C">
        <w:rPr>
          <w:noProof/>
        </w:rPr>
        <w:t xml:space="preserve">the Commission’s exclusive competence and that Member States must ensure their actions respect this division of competences so that businesses can invest and make use of the </w:t>
      </w:r>
      <w:r w:rsidR="00DD6470">
        <w:rPr>
          <w:noProof/>
        </w:rPr>
        <w:t>S</w:t>
      </w:r>
      <w:r w:rsidRPr="00613A5C">
        <w:rPr>
          <w:noProof/>
        </w:rPr>
        <w:t xml:space="preserve">ingle </w:t>
      </w:r>
      <w:r w:rsidR="00DD6470">
        <w:rPr>
          <w:noProof/>
        </w:rPr>
        <w:t>M</w:t>
      </w:r>
      <w:r w:rsidRPr="00613A5C">
        <w:rPr>
          <w:noProof/>
        </w:rPr>
        <w:t>arket with confidence</w:t>
      </w:r>
      <w:r w:rsidR="005B4ED5">
        <w:rPr>
          <w:noProof/>
        </w:rPr>
        <w:t>.</w:t>
      </w:r>
    </w:p>
    <w:p w14:paraId="7313E98A" w14:textId="77777777" w:rsidR="00F44682" w:rsidRPr="00EF26B8" w:rsidRDefault="00F44682" w:rsidP="005B4ED5">
      <w:pPr>
        <w:pStyle w:val="Heading3"/>
        <w:spacing w:after="120"/>
        <w:rPr>
          <w:noProof/>
          <w:sz w:val="24"/>
        </w:rPr>
      </w:pPr>
      <w:r w:rsidRPr="00EF26B8">
        <w:rPr>
          <w:noProof/>
          <w:sz w:val="24"/>
        </w:rPr>
        <w:t>State aid control contributed to the digital transition and the resilience of the Single Market</w:t>
      </w:r>
    </w:p>
    <w:p w14:paraId="5DF35967" w14:textId="77777777" w:rsidR="007B6309" w:rsidRDefault="00F96D00" w:rsidP="00081FFD">
      <w:pPr>
        <w:spacing w:after="120"/>
        <w:rPr>
          <w:noProof/>
        </w:rPr>
      </w:pPr>
      <w:r w:rsidRPr="00F96D00">
        <w:rPr>
          <w:noProof/>
        </w:rPr>
        <w:t xml:space="preserve">State aid </w:t>
      </w:r>
      <w:r w:rsidR="00081FFD">
        <w:rPr>
          <w:noProof/>
        </w:rPr>
        <w:t>projects</w:t>
      </w:r>
      <w:r>
        <w:rPr>
          <w:noProof/>
        </w:rPr>
        <w:t xml:space="preserve"> </w:t>
      </w:r>
      <w:r w:rsidR="00081FFD">
        <w:rPr>
          <w:noProof/>
        </w:rPr>
        <w:t>contribute</w:t>
      </w:r>
      <w:r w:rsidR="00003F80">
        <w:rPr>
          <w:noProof/>
        </w:rPr>
        <w:t xml:space="preserve">, </w:t>
      </w:r>
      <w:r w:rsidR="00EF22CA">
        <w:rPr>
          <w:noProof/>
        </w:rPr>
        <w:t>among other things</w:t>
      </w:r>
      <w:r w:rsidR="00003F80">
        <w:rPr>
          <w:noProof/>
        </w:rPr>
        <w:t>,</w:t>
      </w:r>
      <w:r w:rsidRPr="00F96D00">
        <w:rPr>
          <w:noProof/>
        </w:rPr>
        <w:t xml:space="preserve"> to the roll-out of high performance broadband networks in the EU in areas where there is no </w:t>
      </w:r>
      <w:r w:rsidR="008F05A4">
        <w:rPr>
          <w:noProof/>
        </w:rPr>
        <w:t xml:space="preserve">or little </w:t>
      </w:r>
      <w:r w:rsidRPr="00F96D00">
        <w:rPr>
          <w:noProof/>
        </w:rPr>
        <w:t xml:space="preserve">incentive for commercial operators to provide sufficient broadband coverage. </w:t>
      </w:r>
      <w:r w:rsidR="007B6309" w:rsidRPr="007B6309">
        <w:rPr>
          <w:noProof/>
        </w:rPr>
        <w:t xml:space="preserve">To </w:t>
      </w:r>
      <w:r w:rsidR="007B6309">
        <w:rPr>
          <w:noProof/>
        </w:rPr>
        <w:t xml:space="preserve">balance the aid </w:t>
      </w:r>
      <w:r w:rsidR="007B6309" w:rsidRPr="007B6309">
        <w:rPr>
          <w:noProof/>
        </w:rPr>
        <w:t xml:space="preserve">across the </w:t>
      </w:r>
      <w:r w:rsidR="007B6309">
        <w:rPr>
          <w:noProof/>
        </w:rPr>
        <w:t>EU</w:t>
      </w:r>
      <w:r w:rsidR="007B6309" w:rsidRPr="007B6309">
        <w:rPr>
          <w:noProof/>
        </w:rPr>
        <w:t xml:space="preserve">, the </w:t>
      </w:r>
      <w:r w:rsidR="003D1005" w:rsidRPr="00937722">
        <w:rPr>
          <w:noProof/>
        </w:rPr>
        <w:t>Commission has work</w:t>
      </w:r>
      <w:r w:rsidR="00EF22CA">
        <w:rPr>
          <w:noProof/>
        </w:rPr>
        <w:t>ed</w:t>
      </w:r>
      <w:r w:rsidR="003D1005" w:rsidRPr="00937722">
        <w:rPr>
          <w:noProof/>
        </w:rPr>
        <w:t xml:space="preserve"> in close cooperation with Member States to ensure that national support measures can be put in place as quickly and effectively as possible.</w:t>
      </w:r>
      <w:r w:rsidR="007B6309">
        <w:rPr>
          <w:noProof/>
        </w:rPr>
        <w:t xml:space="preserve"> </w:t>
      </w:r>
    </w:p>
    <w:p w14:paraId="5BB9B170" w14:textId="77777777" w:rsidR="007B712C" w:rsidRDefault="00B37D06" w:rsidP="00E542AF">
      <w:pPr>
        <w:spacing w:after="120"/>
        <w:rPr>
          <w:noProof/>
        </w:rPr>
      </w:pPr>
      <w:r>
        <w:rPr>
          <w:noProof/>
        </w:rPr>
        <w:t>For example, i</w:t>
      </w:r>
      <w:r w:rsidR="007B712C" w:rsidRPr="00937722">
        <w:rPr>
          <w:noProof/>
        </w:rPr>
        <w:t xml:space="preserve">n January 2022, the Commission approved a EUR 3.8 billion Italian scheme </w:t>
      </w:r>
      <w:r w:rsidR="00B05F70">
        <w:rPr>
          <w:noProof/>
        </w:rPr>
        <w:t xml:space="preserve">supported by </w:t>
      </w:r>
      <w:r w:rsidR="007B712C" w:rsidRPr="00937722">
        <w:rPr>
          <w:noProof/>
        </w:rPr>
        <w:t>the</w:t>
      </w:r>
      <w:r w:rsidR="00824751">
        <w:rPr>
          <w:noProof/>
        </w:rPr>
        <w:t xml:space="preserve"> </w:t>
      </w:r>
      <w:r w:rsidR="00824751" w:rsidRPr="00937722">
        <w:rPr>
          <w:noProof/>
        </w:rPr>
        <w:t>Recovery and Resilience Facility</w:t>
      </w:r>
      <w:r w:rsidR="007B712C" w:rsidRPr="00937722">
        <w:rPr>
          <w:noProof/>
        </w:rPr>
        <w:t xml:space="preserve"> </w:t>
      </w:r>
      <w:r w:rsidR="00302C87" w:rsidRPr="000162FD">
        <w:rPr>
          <w:noProof/>
        </w:rPr>
        <w:t>(</w:t>
      </w:r>
      <w:r w:rsidR="001B31E9" w:rsidRPr="008C3B7C">
        <w:rPr>
          <w:noProof/>
        </w:rPr>
        <w:t>‘</w:t>
      </w:r>
      <w:r w:rsidR="007B712C" w:rsidRPr="000162FD">
        <w:rPr>
          <w:noProof/>
        </w:rPr>
        <w:t>RRF</w:t>
      </w:r>
      <w:r w:rsidR="001B31E9" w:rsidRPr="008C3B7C">
        <w:rPr>
          <w:noProof/>
        </w:rPr>
        <w:t>’</w:t>
      </w:r>
      <w:r w:rsidR="00302C87">
        <w:rPr>
          <w:noProof/>
        </w:rPr>
        <w:t>)</w:t>
      </w:r>
      <w:r w:rsidR="007B712C" w:rsidRPr="00937722">
        <w:rPr>
          <w:noProof/>
        </w:rPr>
        <w:t xml:space="preserve"> to deploy high-performing gigabit networks in areas of the country where there is no current or planned network able to provide </w:t>
      </w:r>
      <w:r w:rsidR="00EF22CA">
        <w:rPr>
          <w:noProof/>
        </w:rPr>
        <w:t xml:space="preserve">download speeds of </w:t>
      </w:r>
      <w:r w:rsidR="007B712C" w:rsidRPr="00937722">
        <w:rPr>
          <w:noProof/>
        </w:rPr>
        <w:t xml:space="preserve">at least 300 megabits per second. The measure is </w:t>
      </w:r>
      <w:r w:rsidR="00EF22CA">
        <w:rPr>
          <w:noProof/>
        </w:rPr>
        <w:t xml:space="preserve">a </w:t>
      </w:r>
      <w:r w:rsidR="007B712C" w:rsidRPr="00937722">
        <w:rPr>
          <w:noProof/>
        </w:rPr>
        <w:t xml:space="preserve">part of </w:t>
      </w:r>
      <w:r w:rsidR="00EF22CA">
        <w:rPr>
          <w:noProof/>
        </w:rPr>
        <w:t xml:space="preserve">Italy’s </w:t>
      </w:r>
      <w:r w:rsidR="00A01FC4">
        <w:rPr>
          <w:noProof/>
        </w:rPr>
        <w:t>national</w:t>
      </w:r>
      <w:r w:rsidR="007B712C" w:rsidRPr="00937722">
        <w:rPr>
          <w:noProof/>
        </w:rPr>
        <w:t xml:space="preserve"> digitalisation </w:t>
      </w:r>
      <w:r w:rsidR="00A01FC4">
        <w:rPr>
          <w:noProof/>
        </w:rPr>
        <w:t>plan</w:t>
      </w:r>
      <w:r w:rsidR="003D1005" w:rsidRPr="00937722">
        <w:rPr>
          <w:rStyle w:val="FootnoteReference"/>
          <w:noProof/>
          <w:color w:val="000000" w:themeColor="text1"/>
          <w:sz w:val="24"/>
          <w:szCs w:val="24"/>
        </w:rPr>
        <w:footnoteReference w:id="102"/>
      </w:r>
      <w:r w:rsidR="003D1005" w:rsidRPr="00937722">
        <w:rPr>
          <w:noProof/>
        </w:rPr>
        <w:t>.</w:t>
      </w:r>
    </w:p>
    <w:p w14:paraId="7DD8FA8A" w14:textId="77777777" w:rsidR="00E32F5D" w:rsidRDefault="00E32F5D" w:rsidP="00E32F5D">
      <w:pPr>
        <w:spacing w:after="120"/>
        <w:rPr>
          <w:noProof/>
        </w:rPr>
      </w:pPr>
      <w:r>
        <w:rPr>
          <w:noProof/>
        </w:rPr>
        <w:t>In October 2022, the Commission approved a EUR 292.5 million Italian measure supported by the RRF to support STMicroelectronics constructing a plant in the semiconductor value chain</w:t>
      </w:r>
      <w:r>
        <w:rPr>
          <w:rStyle w:val="FootnoteReference"/>
          <w:noProof/>
        </w:rPr>
        <w:footnoteReference w:id="103"/>
      </w:r>
      <w:r>
        <w:rPr>
          <w:noProof/>
        </w:rPr>
        <w:t xml:space="preserve">. The assessment was made in line with the principles announced by the Commission in the communication adopted in February 2022, for example </w:t>
      </w:r>
      <w:r w:rsidR="00E971C8">
        <w:rPr>
          <w:noProof/>
        </w:rPr>
        <w:t>the positive impact on the value chain with regard to ensuring security of supply</w:t>
      </w:r>
      <w:r>
        <w:rPr>
          <w:noProof/>
        </w:rPr>
        <w:t>, and accompanying the Commission’s proposal for a Chips Act regulation</w:t>
      </w:r>
      <w:r>
        <w:rPr>
          <w:rStyle w:val="FootnoteReference"/>
          <w:noProof/>
        </w:rPr>
        <w:footnoteReference w:id="104"/>
      </w:r>
      <w:r>
        <w:rPr>
          <w:noProof/>
        </w:rPr>
        <w:t>.</w:t>
      </w:r>
    </w:p>
    <w:p w14:paraId="08106CB5" w14:textId="77777777" w:rsidR="00B37D06" w:rsidRDefault="00EF22CA" w:rsidP="00E542AF">
      <w:pPr>
        <w:spacing w:after="120"/>
        <w:rPr>
          <w:noProof/>
        </w:rPr>
      </w:pPr>
      <w:r>
        <w:rPr>
          <w:noProof/>
        </w:rPr>
        <w:t>I</w:t>
      </w:r>
      <w:r w:rsidR="00B37D06">
        <w:rPr>
          <w:noProof/>
        </w:rPr>
        <w:t xml:space="preserve">n </w:t>
      </w:r>
      <w:r w:rsidR="00E32F5D">
        <w:rPr>
          <w:noProof/>
        </w:rPr>
        <w:t xml:space="preserve">addition, in </w:t>
      </w:r>
      <w:r w:rsidR="00B37D06">
        <w:rPr>
          <w:noProof/>
        </w:rPr>
        <w:t xml:space="preserve">November 2022, the Commission approved a EUR 500 million </w:t>
      </w:r>
      <w:r w:rsidR="00C90760">
        <w:rPr>
          <w:noProof/>
        </w:rPr>
        <w:t xml:space="preserve">Spanish </w:t>
      </w:r>
      <w:r w:rsidR="00B37D06">
        <w:rPr>
          <w:noProof/>
        </w:rPr>
        <w:t xml:space="preserve">scheme </w:t>
      </w:r>
      <w:r w:rsidR="00B05F70">
        <w:rPr>
          <w:noProof/>
        </w:rPr>
        <w:t xml:space="preserve">supported by </w:t>
      </w:r>
      <w:r w:rsidR="00B37D06">
        <w:rPr>
          <w:noProof/>
        </w:rPr>
        <w:t xml:space="preserve">the RRF to </w:t>
      </w:r>
      <w:r w:rsidR="00B37D06" w:rsidRPr="00B37D06">
        <w:rPr>
          <w:noProof/>
        </w:rPr>
        <w:t xml:space="preserve">help consumers and business in rural areas access high quality mobile services, contributing to </w:t>
      </w:r>
      <w:r w:rsidR="00A01FC4">
        <w:rPr>
          <w:noProof/>
        </w:rPr>
        <w:t xml:space="preserve">Spain’s </w:t>
      </w:r>
      <w:r w:rsidR="00B37D06" w:rsidRPr="00B37D06">
        <w:rPr>
          <w:noProof/>
        </w:rPr>
        <w:t xml:space="preserve">economic and to the EU's </w:t>
      </w:r>
      <w:r w:rsidR="00A01FC4">
        <w:rPr>
          <w:noProof/>
        </w:rPr>
        <w:t>overall digital</w:t>
      </w:r>
      <w:r w:rsidR="00B37D06" w:rsidRPr="00B37D06">
        <w:rPr>
          <w:noProof/>
        </w:rPr>
        <w:t xml:space="preserve"> objectives</w:t>
      </w:r>
      <w:r w:rsidR="00B37D06">
        <w:rPr>
          <w:rStyle w:val="FootnoteReference"/>
          <w:noProof/>
          <w:color w:val="000000" w:themeColor="text1"/>
          <w:sz w:val="24"/>
          <w:szCs w:val="24"/>
        </w:rPr>
        <w:footnoteReference w:id="105"/>
      </w:r>
      <w:r w:rsidR="00B37D06">
        <w:rPr>
          <w:noProof/>
        </w:rPr>
        <w:t>.</w:t>
      </w:r>
    </w:p>
    <w:p w14:paraId="792716DF" w14:textId="77777777" w:rsidR="00CB5813" w:rsidRDefault="00EF22CA" w:rsidP="00E542AF">
      <w:pPr>
        <w:spacing w:after="120"/>
        <w:rPr>
          <w:noProof/>
        </w:rPr>
      </w:pPr>
      <w:r>
        <w:rPr>
          <w:noProof/>
        </w:rPr>
        <w:t>M</w:t>
      </w:r>
      <w:r w:rsidRPr="00F17826">
        <w:rPr>
          <w:noProof/>
        </w:rPr>
        <w:t>edia fr</w:t>
      </w:r>
      <w:r>
        <w:rPr>
          <w:noProof/>
        </w:rPr>
        <w:t xml:space="preserve">eedom and media pluralism </w:t>
      </w:r>
      <w:r w:rsidR="00CB5813" w:rsidRPr="00F17826">
        <w:rPr>
          <w:noProof/>
        </w:rPr>
        <w:t>play a key role for democracy. In 2022, the Commission approved a number of support measures for the media sector, help</w:t>
      </w:r>
      <w:r w:rsidR="00CB5813">
        <w:rPr>
          <w:noProof/>
        </w:rPr>
        <w:t>ing</w:t>
      </w:r>
      <w:r w:rsidR="00CB5813" w:rsidRPr="00F17826">
        <w:rPr>
          <w:noProof/>
        </w:rPr>
        <w:t xml:space="preserve"> the </w:t>
      </w:r>
      <w:r w:rsidR="00CB5813">
        <w:rPr>
          <w:noProof/>
        </w:rPr>
        <w:t xml:space="preserve">media </w:t>
      </w:r>
      <w:r w:rsidR="00CB5813" w:rsidRPr="00F17826">
        <w:rPr>
          <w:noProof/>
        </w:rPr>
        <w:t xml:space="preserve">sector </w:t>
      </w:r>
      <w:r w:rsidR="00CB5813">
        <w:rPr>
          <w:noProof/>
        </w:rPr>
        <w:t xml:space="preserve">to </w:t>
      </w:r>
      <w:r w:rsidR="00CB5813" w:rsidRPr="00F17826">
        <w:rPr>
          <w:noProof/>
        </w:rPr>
        <w:t xml:space="preserve">recover from the </w:t>
      </w:r>
      <w:r w:rsidR="00CB5813">
        <w:rPr>
          <w:noProof/>
        </w:rPr>
        <w:t xml:space="preserve">two </w:t>
      </w:r>
      <w:r w:rsidR="00CB5813" w:rsidRPr="00F17826">
        <w:rPr>
          <w:noProof/>
        </w:rPr>
        <w:t>cris</w:t>
      </w:r>
      <w:r w:rsidR="00CB5813">
        <w:rPr>
          <w:noProof/>
        </w:rPr>
        <w:t>es the EU is facing</w:t>
      </w:r>
      <w:r w:rsidR="00CB5813" w:rsidRPr="00F17826">
        <w:rPr>
          <w:noProof/>
        </w:rPr>
        <w:t xml:space="preserve"> </w:t>
      </w:r>
      <w:r w:rsidR="00CB5813">
        <w:rPr>
          <w:noProof/>
        </w:rPr>
        <w:t>while minimising anti-competitive effects.</w:t>
      </w:r>
      <w:r w:rsidR="00CB5813" w:rsidRPr="00F17826">
        <w:rPr>
          <w:noProof/>
        </w:rPr>
        <w:t xml:space="preserve"> </w:t>
      </w:r>
      <w:r w:rsidR="00CB5813">
        <w:rPr>
          <w:noProof/>
        </w:rPr>
        <w:t>Moreover, t</w:t>
      </w:r>
      <w:r w:rsidR="00CB5813" w:rsidRPr="00F17826">
        <w:rPr>
          <w:noProof/>
        </w:rPr>
        <w:t>he Commission approved boost</w:t>
      </w:r>
      <w:r w:rsidR="00CB5813">
        <w:rPr>
          <w:noProof/>
        </w:rPr>
        <w:t xml:space="preserve">ing </w:t>
      </w:r>
      <w:r w:rsidR="00CB5813" w:rsidRPr="00F17826">
        <w:rPr>
          <w:noProof/>
        </w:rPr>
        <w:t>digital transformation and technological i</w:t>
      </w:r>
      <w:r w:rsidR="00CB5813">
        <w:rPr>
          <w:noProof/>
        </w:rPr>
        <w:t>nnovation in the media i</w:t>
      </w:r>
      <w:r w:rsidR="005B4ED5">
        <w:rPr>
          <w:noProof/>
        </w:rPr>
        <w:t>ndustry.</w:t>
      </w:r>
    </w:p>
    <w:p w14:paraId="6BA54EE9" w14:textId="556279A2" w:rsidR="00F44682" w:rsidRPr="00E2562B" w:rsidRDefault="008D1296" w:rsidP="00E16E8F">
      <w:pPr>
        <w:pStyle w:val="Heading2"/>
      </w:pPr>
      <w:bookmarkStart w:id="27" w:name="_Toc122109057"/>
      <w:bookmarkStart w:id="28" w:name="_Toc130224418"/>
      <w:r w:rsidRPr="00937722">
        <w:t>4.2</w:t>
      </w:r>
      <w:r w:rsidR="00F44682" w:rsidRPr="00937722">
        <w:t xml:space="preserve"> Competition policy enforcement contributed to the </w:t>
      </w:r>
      <w:r w:rsidR="003049E0">
        <w:t>g</w:t>
      </w:r>
      <w:r w:rsidR="00EC33B7" w:rsidRPr="00937722">
        <w:t xml:space="preserve">reen </w:t>
      </w:r>
      <w:r w:rsidR="00F44682" w:rsidRPr="00937722">
        <w:t>transition</w:t>
      </w:r>
      <w:bookmarkEnd w:id="27"/>
      <w:bookmarkEnd w:id="28"/>
    </w:p>
    <w:p w14:paraId="3FD1420C" w14:textId="77777777" w:rsidR="00E53FA7" w:rsidRDefault="00A01FC4" w:rsidP="00E542AF">
      <w:pPr>
        <w:spacing w:after="120"/>
        <w:rPr>
          <w:rFonts w:cs="Times New Roman"/>
          <w:noProof/>
        </w:rPr>
      </w:pPr>
      <w:r>
        <w:rPr>
          <w:noProof/>
          <w:lang w:val="en-US"/>
        </w:rPr>
        <w:t>C</w:t>
      </w:r>
      <w:r w:rsidR="00E2562B" w:rsidRPr="00937722">
        <w:rPr>
          <w:noProof/>
          <w:lang w:val="en-US"/>
        </w:rPr>
        <w:t>ompetition policy contribute</w:t>
      </w:r>
      <w:r w:rsidR="00DA7137">
        <w:rPr>
          <w:noProof/>
          <w:lang w:val="en-US"/>
        </w:rPr>
        <w:t>s</w:t>
      </w:r>
      <w:r w:rsidR="00E2562B" w:rsidRPr="00937722">
        <w:rPr>
          <w:noProof/>
          <w:lang w:val="en-US"/>
        </w:rPr>
        <w:t xml:space="preserve"> </w:t>
      </w:r>
      <w:r w:rsidR="00E2562B" w:rsidRPr="00937722">
        <w:rPr>
          <w:noProof/>
        </w:rPr>
        <w:t xml:space="preserve">to the EU’s environmental objectives and climate targets, </w:t>
      </w:r>
      <w:r w:rsidR="00DA7137">
        <w:rPr>
          <w:noProof/>
        </w:rPr>
        <w:t>for example t</w:t>
      </w:r>
      <w:r w:rsidR="00E2562B" w:rsidRPr="00937722">
        <w:rPr>
          <w:noProof/>
        </w:rPr>
        <w:t xml:space="preserve">he decarbonisation of the economy and the transport sector </w:t>
      </w:r>
      <w:r w:rsidR="00DA7137">
        <w:rPr>
          <w:noProof/>
        </w:rPr>
        <w:t xml:space="preserve">shift </w:t>
      </w:r>
      <w:r w:rsidR="00E2562B" w:rsidRPr="00937722">
        <w:rPr>
          <w:noProof/>
        </w:rPr>
        <w:t xml:space="preserve">from fossil fuels to alternative fuels. </w:t>
      </w:r>
      <w:r w:rsidR="00E2562B" w:rsidRPr="00937722">
        <w:rPr>
          <w:rFonts w:cs="Times New Roman"/>
          <w:noProof/>
        </w:rPr>
        <w:t>Competition law enforcement contributes to the European Green Deal</w:t>
      </w:r>
      <w:r w:rsidR="00E2562B" w:rsidRPr="00937722">
        <w:rPr>
          <w:rStyle w:val="FootnoteReference"/>
          <w:rFonts w:cs="Times New Roman"/>
          <w:noProof/>
          <w:sz w:val="24"/>
          <w:szCs w:val="24"/>
        </w:rPr>
        <w:footnoteReference w:id="106"/>
      </w:r>
      <w:r w:rsidR="00E2562B" w:rsidRPr="00937722">
        <w:rPr>
          <w:rFonts w:cs="Times New Roman"/>
          <w:noProof/>
        </w:rPr>
        <w:t xml:space="preserve"> by keeping markets </w:t>
      </w:r>
      <w:r w:rsidR="00C1646C">
        <w:rPr>
          <w:rFonts w:cs="Times New Roman"/>
          <w:noProof/>
        </w:rPr>
        <w:t>efficient, fair and innovative.</w:t>
      </w:r>
    </w:p>
    <w:p w14:paraId="59DF9482" w14:textId="77777777" w:rsidR="002C5F97" w:rsidRDefault="00DA7137" w:rsidP="00C1646C">
      <w:pPr>
        <w:spacing w:after="120"/>
        <w:rPr>
          <w:rFonts w:cs="Times New Roman"/>
          <w:noProof/>
        </w:rPr>
      </w:pPr>
      <w:r>
        <w:rPr>
          <w:rFonts w:cs="Times New Roman"/>
          <w:noProof/>
        </w:rPr>
        <w:t>T</w:t>
      </w:r>
      <w:r w:rsidR="00C1646C" w:rsidRPr="00C1646C">
        <w:rPr>
          <w:rFonts w:cs="Times New Roman"/>
          <w:noProof/>
        </w:rPr>
        <w:t xml:space="preserve">o </w:t>
      </w:r>
      <w:r>
        <w:rPr>
          <w:rFonts w:cs="Times New Roman"/>
          <w:noProof/>
        </w:rPr>
        <w:t xml:space="preserve">ensure </w:t>
      </w:r>
      <w:r w:rsidR="00C1646C" w:rsidRPr="00C1646C">
        <w:rPr>
          <w:rFonts w:cs="Times New Roman"/>
          <w:noProof/>
        </w:rPr>
        <w:t>that competition policy enforcement assist the green transition</w:t>
      </w:r>
      <w:r>
        <w:rPr>
          <w:rFonts w:cs="Times New Roman"/>
          <w:noProof/>
        </w:rPr>
        <w:t xml:space="preserve">, </w:t>
      </w:r>
      <w:r w:rsidR="00C1646C" w:rsidRPr="00C1646C">
        <w:rPr>
          <w:rFonts w:cs="Times New Roman"/>
          <w:noProof/>
        </w:rPr>
        <w:t>prepar</w:t>
      </w:r>
      <w:r>
        <w:rPr>
          <w:rFonts w:cs="Times New Roman"/>
          <w:noProof/>
        </w:rPr>
        <w:t>ing</w:t>
      </w:r>
      <w:r w:rsidR="00C1646C" w:rsidRPr="00C1646C">
        <w:rPr>
          <w:rFonts w:cs="Times New Roman"/>
          <w:noProof/>
        </w:rPr>
        <w:t xml:space="preserve"> the way </w:t>
      </w:r>
      <w:r>
        <w:rPr>
          <w:rFonts w:cs="Times New Roman"/>
          <w:noProof/>
        </w:rPr>
        <w:t>to</w:t>
      </w:r>
      <w:r w:rsidR="00C1646C" w:rsidRPr="00C1646C">
        <w:rPr>
          <w:rFonts w:cs="Times New Roman"/>
          <w:noProof/>
        </w:rPr>
        <w:t xml:space="preserve"> green mobility the Commission commissioned </w:t>
      </w:r>
      <w:r>
        <w:rPr>
          <w:rFonts w:cs="Times New Roman"/>
          <w:noProof/>
        </w:rPr>
        <w:t xml:space="preserve">in 2022 </w:t>
      </w:r>
      <w:r w:rsidR="00C1646C" w:rsidRPr="00C1646C">
        <w:rPr>
          <w:rFonts w:cs="Times New Roman"/>
          <w:noProof/>
        </w:rPr>
        <w:t xml:space="preserve">a study </w:t>
      </w:r>
      <w:r>
        <w:rPr>
          <w:rFonts w:cs="Times New Roman"/>
          <w:noProof/>
        </w:rPr>
        <w:t>analys</w:t>
      </w:r>
      <w:r w:rsidR="000E3859">
        <w:rPr>
          <w:rFonts w:cs="Times New Roman"/>
          <w:noProof/>
        </w:rPr>
        <w:t>ing</w:t>
      </w:r>
      <w:r>
        <w:rPr>
          <w:rFonts w:cs="Times New Roman"/>
          <w:noProof/>
        </w:rPr>
        <w:t xml:space="preserve"> the </w:t>
      </w:r>
      <w:r w:rsidR="00C1646C" w:rsidRPr="00C1646C">
        <w:rPr>
          <w:rFonts w:cs="Times New Roman"/>
          <w:noProof/>
        </w:rPr>
        <w:t xml:space="preserve">competitive dynamics </w:t>
      </w:r>
      <w:r>
        <w:rPr>
          <w:rFonts w:cs="Times New Roman"/>
          <w:noProof/>
        </w:rPr>
        <w:t xml:space="preserve">in </w:t>
      </w:r>
      <w:r w:rsidR="00C1646C" w:rsidRPr="00C1646C">
        <w:rPr>
          <w:rFonts w:cs="Times New Roman"/>
          <w:noProof/>
        </w:rPr>
        <w:t>the market</w:t>
      </w:r>
      <w:r w:rsidR="000E3859">
        <w:rPr>
          <w:rFonts w:cs="Times New Roman"/>
          <w:noProof/>
        </w:rPr>
        <w:t>s</w:t>
      </w:r>
      <w:r w:rsidR="00C1646C" w:rsidRPr="00C1646C">
        <w:rPr>
          <w:rFonts w:cs="Times New Roman"/>
          <w:noProof/>
        </w:rPr>
        <w:t xml:space="preserve"> for publicly accessible recharging infrastructure. The study </w:t>
      </w:r>
      <w:r w:rsidR="000E3859">
        <w:rPr>
          <w:rFonts w:cs="Times New Roman"/>
          <w:noProof/>
        </w:rPr>
        <w:t>will be finalised in 2</w:t>
      </w:r>
      <w:r w:rsidR="00C1646C" w:rsidRPr="00C1646C">
        <w:rPr>
          <w:rFonts w:cs="Times New Roman"/>
          <w:noProof/>
        </w:rPr>
        <w:t>023</w:t>
      </w:r>
      <w:r w:rsidR="00F84A2A">
        <w:rPr>
          <w:rStyle w:val="FootnoteReference"/>
          <w:rFonts w:cs="Times New Roman"/>
          <w:noProof/>
        </w:rPr>
        <w:footnoteReference w:id="107"/>
      </w:r>
      <w:r w:rsidR="00C1646C" w:rsidRPr="00C1646C">
        <w:rPr>
          <w:rFonts w:cs="Times New Roman"/>
          <w:noProof/>
        </w:rPr>
        <w:t xml:space="preserve">. </w:t>
      </w:r>
    </w:p>
    <w:p w14:paraId="71512A5F" w14:textId="77777777" w:rsidR="00552BF0" w:rsidRPr="00552BF0" w:rsidRDefault="00DA7137" w:rsidP="00D61C71">
      <w:pPr>
        <w:spacing w:after="120"/>
        <w:rPr>
          <w:rFonts w:cs="Times New Roman"/>
          <w:noProof/>
        </w:rPr>
      </w:pPr>
      <w:r>
        <w:rPr>
          <w:rFonts w:cs="Times New Roman"/>
          <w:noProof/>
        </w:rPr>
        <w:t>Moreover, t</w:t>
      </w:r>
      <w:r w:rsidR="00C1646C" w:rsidRPr="00C1646C">
        <w:rPr>
          <w:rFonts w:cs="Times New Roman"/>
          <w:noProof/>
        </w:rPr>
        <w:t xml:space="preserve">he Commission supports EU energy objectives and the European Green Deal through its antitrust work. In 2022, the Commission continued its investigation of </w:t>
      </w:r>
      <w:r w:rsidR="000E3859">
        <w:rPr>
          <w:rFonts w:cs="Times New Roman"/>
          <w:noProof/>
        </w:rPr>
        <w:t xml:space="preserve">firms </w:t>
      </w:r>
      <w:r w:rsidR="00C1646C" w:rsidRPr="00C1646C">
        <w:rPr>
          <w:rFonts w:cs="Times New Roman"/>
          <w:noProof/>
        </w:rPr>
        <w:t xml:space="preserve">suspected of colluding to </w:t>
      </w:r>
      <w:r w:rsidR="00552BF0" w:rsidRPr="00492CA0">
        <w:rPr>
          <w:rFonts w:cs="Times New Roman"/>
          <w:noProof/>
        </w:rPr>
        <w:t>influence</w:t>
      </w:r>
      <w:r w:rsidR="00552BF0">
        <w:rPr>
          <w:rFonts w:cs="Times New Roman"/>
          <w:noProof/>
        </w:rPr>
        <w:t xml:space="preserve"> </w:t>
      </w:r>
      <w:r w:rsidR="00C1646C" w:rsidRPr="00C1646C">
        <w:rPr>
          <w:rFonts w:cs="Times New Roman"/>
          <w:noProof/>
        </w:rPr>
        <w:t xml:space="preserve">price benchmarks for </w:t>
      </w:r>
      <w:r>
        <w:rPr>
          <w:rFonts w:cs="Times New Roman"/>
          <w:noProof/>
        </w:rPr>
        <w:t>ethanol biofuel</w:t>
      </w:r>
      <w:r w:rsidR="004E28D3">
        <w:rPr>
          <w:rStyle w:val="FootnoteReference"/>
          <w:rFonts w:cs="Times New Roman"/>
          <w:noProof/>
        </w:rPr>
        <w:footnoteReference w:id="108"/>
      </w:r>
      <w:r w:rsidR="000E3859">
        <w:rPr>
          <w:rFonts w:cs="Times New Roman"/>
          <w:noProof/>
        </w:rPr>
        <w:t xml:space="preserve">. </w:t>
      </w:r>
    </w:p>
    <w:p w14:paraId="51D374F9" w14:textId="77777777" w:rsidR="00D61C71" w:rsidRDefault="00D61C71" w:rsidP="00D61C71">
      <w:pPr>
        <w:spacing w:after="120"/>
        <w:rPr>
          <w:rFonts w:cs="Times New Roman"/>
          <w:noProof/>
        </w:rPr>
      </w:pPr>
      <w:r>
        <w:rPr>
          <w:rFonts w:cs="Times New Roman"/>
          <w:noProof/>
        </w:rPr>
        <w:t>The Commission</w:t>
      </w:r>
      <w:r w:rsidRPr="00D61C71">
        <w:rPr>
          <w:rFonts w:cs="Times New Roman"/>
          <w:noProof/>
        </w:rPr>
        <w:t xml:space="preserve"> initiated an </w:t>
      </w:r>
      <w:r w:rsidRPr="00D61C71">
        <w:rPr>
          <w:rFonts w:cs="Times New Roman"/>
          <w:i/>
          <w:noProof/>
        </w:rPr>
        <w:t xml:space="preserve">ex officio </w:t>
      </w:r>
      <w:r w:rsidRPr="00D61C71">
        <w:rPr>
          <w:rFonts w:cs="Times New Roman"/>
          <w:noProof/>
        </w:rPr>
        <w:t xml:space="preserve">investigation into the natural gas markets in Europe to </w:t>
      </w:r>
      <w:r w:rsidR="00967857">
        <w:rPr>
          <w:rFonts w:cs="Times New Roman"/>
          <w:noProof/>
        </w:rPr>
        <w:t xml:space="preserve">assess </w:t>
      </w:r>
      <w:r w:rsidRPr="00D61C71">
        <w:rPr>
          <w:rFonts w:cs="Times New Roman"/>
          <w:noProof/>
        </w:rPr>
        <w:t>whether commercial conduct by market participants may have contributed to th</w:t>
      </w:r>
      <w:r>
        <w:rPr>
          <w:rFonts w:cs="Times New Roman"/>
          <w:noProof/>
        </w:rPr>
        <w:t xml:space="preserve">e </w:t>
      </w:r>
      <w:r w:rsidR="00C31FE1" w:rsidRPr="00C31FE1">
        <w:rPr>
          <w:rFonts w:cs="Times New Roman"/>
          <w:noProof/>
        </w:rPr>
        <w:t xml:space="preserve">disruptions of the energy markets and </w:t>
      </w:r>
      <w:r w:rsidR="00C31FE1">
        <w:rPr>
          <w:rFonts w:cs="Times New Roman"/>
          <w:noProof/>
        </w:rPr>
        <w:t xml:space="preserve">gas </w:t>
      </w:r>
      <w:r w:rsidR="00C31FE1" w:rsidRPr="00C31FE1">
        <w:rPr>
          <w:rFonts w:cs="Times New Roman"/>
          <w:noProof/>
        </w:rPr>
        <w:t>prices</w:t>
      </w:r>
      <w:r w:rsidR="00C31FE1">
        <w:rPr>
          <w:rFonts w:cs="Times New Roman"/>
          <w:noProof/>
        </w:rPr>
        <w:t xml:space="preserve"> </w:t>
      </w:r>
      <w:r>
        <w:rPr>
          <w:rFonts w:cs="Times New Roman"/>
          <w:noProof/>
        </w:rPr>
        <w:t>in Europe</w:t>
      </w:r>
      <w:r>
        <w:rPr>
          <w:rStyle w:val="FootnoteReference"/>
          <w:rFonts w:cs="Times New Roman"/>
          <w:noProof/>
        </w:rPr>
        <w:footnoteReference w:id="109"/>
      </w:r>
      <w:r>
        <w:rPr>
          <w:rFonts w:cs="Times New Roman"/>
          <w:noProof/>
        </w:rPr>
        <w:t xml:space="preserve">. </w:t>
      </w:r>
      <w:r w:rsidR="00C31FE1">
        <w:rPr>
          <w:rFonts w:cs="Times New Roman"/>
          <w:noProof/>
        </w:rPr>
        <w:t>In December 2021</w:t>
      </w:r>
      <w:r w:rsidR="00C31FE1" w:rsidRPr="00C31FE1">
        <w:rPr>
          <w:rFonts w:cs="Times New Roman"/>
          <w:noProof/>
        </w:rPr>
        <w:t>, Ukrainian gas producer Naftogaz submitted a formal antitrust complaint against Gazprom, alleging that the company has been abusing its dominant position on a number of gas markets in the EEA.</w:t>
      </w:r>
      <w:r w:rsidR="00C31FE1">
        <w:rPr>
          <w:rFonts w:cs="Times New Roman"/>
          <w:noProof/>
        </w:rPr>
        <w:t xml:space="preserve"> </w:t>
      </w:r>
      <w:r>
        <w:rPr>
          <w:rFonts w:cs="Times New Roman"/>
          <w:noProof/>
        </w:rPr>
        <w:t>As part of its investigation, in</w:t>
      </w:r>
      <w:r w:rsidRPr="00D61C71">
        <w:rPr>
          <w:rFonts w:cs="Times New Roman"/>
          <w:noProof/>
        </w:rPr>
        <w:t xml:space="preserve"> March 2022, </w:t>
      </w:r>
      <w:r w:rsidR="00C31FE1">
        <w:rPr>
          <w:rFonts w:cs="Times New Roman"/>
          <w:noProof/>
        </w:rPr>
        <w:t>the Commission</w:t>
      </w:r>
      <w:r w:rsidRPr="00D61C71">
        <w:rPr>
          <w:rFonts w:cs="Times New Roman"/>
          <w:noProof/>
        </w:rPr>
        <w:t xml:space="preserve"> carried out unannounced inspections at the premises of several companies in Germany active in the supply, transmission and storage of natural gas</w:t>
      </w:r>
      <w:r w:rsidR="00C31FE1">
        <w:rPr>
          <w:rStyle w:val="FootnoteReference"/>
          <w:noProof/>
          <w:lang w:val="en-IE"/>
        </w:rPr>
        <w:footnoteReference w:id="110"/>
      </w:r>
      <w:r w:rsidR="00C31FE1">
        <w:rPr>
          <w:rFonts w:cs="Times New Roman"/>
          <w:noProof/>
        </w:rPr>
        <w:t xml:space="preserve">. </w:t>
      </w:r>
      <w:r w:rsidR="00EF22CA">
        <w:rPr>
          <w:rFonts w:cs="Times New Roman"/>
          <w:noProof/>
        </w:rPr>
        <w:t xml:space="preserve">Amont other things, </w:t>
      </w:r>
      <w:r w:rsidR="00C31FE1">
        <w:rPr>
          <w:rFonts w:cs="Times New Roman"/>
          <w:noProof/>
        </w:rPr>
        <w:t>Commission</w:t>
      </w:r>
      <w:r w:rsidRPr="00D61C71">
        <w:rPr>
          <w:rFonts w:cs="Times New Roman"/>
          <w:noProof/>
        </w:rPr>
        <w:t xml:space="preserve"> is looking into whether Gazprom’s conduct may have contributed to increased gas prices on the European spot market and, as a result, benefitted Gazprom with regard to its hub-indexed long-term con</w:t>
      </w:r>
      <w:r w:rsidR="00ED7C7F">
        <w:rPr>
          <w:rFonts w:cs="Times New Roman"/>
          <w:noProof/>
        </w:rPr>
        <w:t>tracts with European customers.</w:t>
      </w:r>
    </w:p>
    <w:p w14:paraId="383B550A" w14:textId="77777777" w:rsidR="002C5F97" w:rsidRPr="00937722" w:rsidRDefault="002C5F97" w:rsidP="002C5F97">
      <w:pPr>
        <w:spacing w:before="120"/>
        <w:rPr>
          <w:noProof/>
        </w:rPr>
      </w:pPr>
      <w:r w:rsidRPr="00937722">
        <w:rPr>
          <w:noProof/>
        </w:rPr>
        <w:t xml:space="preserve">Encouraging travellers to shift from road to rail transport </w:t>
      </w:r>
      <w:r>
        <w:rPr>
          <w:noProof/>
        </w:rPr>
        <w:t>represents an important contribution to</w:t>
      </w:r>
      <w:r w:rsidRPr="00937722">
        <w:rPr>
          <w:noProof/>
        </w:rPr>
        <w:t xml:space="preserve"> the European Green Deal's objectives</w:t>
      </w:r>
      <w:r w:rsidR="00AD32A2">
        <w:rPr>
          <w:rStyle w:val="FootnoteReference"/>
          <w:noProof/>
        </w:rPr>
        <w:footnoteReference w:id="111"/>
      </w:r>
      <w:r>
        <w:rPr>
          <w:noProof/>
        </w:rPr>
        <w:t>.</w:t>
      </w:r>
      <w:r w:rsidRPr="00937722">
        <w:rPr>
          <w:noProof/>
        </w:rPr>
        <w:t xml:space="preserve"> </w:t>
      </w:r>
      <w:r>
        <w:rPr>
          <w:noProof/>
        </w:rPr>
        <w:t>At the same time,</w:t>
      </w:r>
      <w:r w:rsidRPr="00937722">
        <w:rPr>
          <w:noProof/>
        </w:rPr>
        <w:t xml:space="preserve"> healthy competition</w:t>
      </w:r>
      <w:r>
        <w:rPr>
          <w:noProof/>
        </w:rPr>
        <w:t xml:space="preserve"> ensures </w:t>
      </w:r>
      <w:r w:rsidRPr="00937722">
        <w:rPr>
          <w:noProof/>
        </w:rPr>
        <w:t xml:space="preserve">European citizens </w:t>
      </w:r>
      <w:r>
        <w:rPr>
          <w:noProof/>
        </w:rPr>
        <w:t>are</w:t>
      </w:r>
      <w:r w:rsidRPr="00937722">
        <w:rPr>
          <w:noProof/>
        </w:rPr>
        <w:t xml:space="preserve"> able to benefit from good quality and affordable rail passenger services. </w:t>
      </w:r>
      <w:r>
        <w:rPr>
          <w:noProof/>
        </w:rPr>
        <w:t>In the field of antitrust, i</w:t>
      </w:r>
      <w:r w:rsidRPr="00937722">
        <w:rPr>
          <w:noProof/>
        </w:rPr>
        <w:t xml:space="preserve">n June 2022, the Commission informed </w:t>
      </w:r>
      <w:r w:rsidRPr="00937722">
        <w:rPr>
          <w:i/>
          <w:noProof/>
        </w:rPr>
        <w:t>České dráhy</w:t>
      </w:r>
      <w:r w:rsidRPr="00937722">
        <w:rPr>
          <w:noProof/>
        </w:rPr>
        <w:t xml:space="preserve"> and </w:t>
      </w:r>
      <w:r w:rsidRPr="00937722">
        <w:rPr>
          <w:i/>
          <w:noProof/>
        </w:rPr>
        <w:t>Österreichische Bundesbahnen</w:t>
      </w:r>
      <w:r w:rsidRPr="00937722">
        <w:rPr>
          <w:noProof/>
        </w:rPr>
        <w:t>, the Czech and Austrian rail incumbents, of its preliminary view that the two companies ha</w:t>
      </w:r>
      <w:r>
        <w:rPr>
          <w:noProof/>
        </w:rPr>
        <w:t>d</w:t>
      </w:r>
      <w:r w:rsidRPr="00937722">
        <w:rPr>
          <w:noProof/>
        </w:rPr>
        <w:t xml:space="preserve"> breached EU antitrust rules by colluding in the market for used passenger railway wagons with the aim </w:t>
      </w:r>
      <w:r>
        <w:rPr>
          <w:noProof/>
        </w:rPr>
        <w:t>of</w:t>
      </w:r>
      <w:r w:rsidRPr="00937722">
        <w:rPr>
          <w:noProof/>
        </w:rPr>
        <w:t xml:space="preserve"> distort</w:t>
      </w:r>
      <w:r>
        <w:rPr>
          <w:noProof/>
        </w:rPr>
        <w:t>ing</w:t>
      </w:r>
      <w:r w:rsidRPr="00937722">
        <w:rPr>
          <w:noProof/>
        </w:rPr>
        <w:t xml:space="preserve"> competition in the rail passenger transport market</w:t>
      </w:r>
      <w:r w:rsidRPr="00937722">
        <w:rPr>
          <w:rStyle w:val="FootnoteReference"/>
          <w:iCs/>
          <w:noProof/>
          <w:sz w:val="24"/>
          <w:szCs w:val="24"/>
        </w:rPr>
        <w:footnoteReference w:id="112"/>
      </w:r>
      <w:r>
        <w:rPr>
          <w:noProof/>
        </w:rPr>
        <w:t>.</w:t>
      </w:r>
      <w:r w:rsidRPr="00937722">
        <w:rPr>
          <w:noProof/>
        </w:rPr>
        <w:t xml:space="preserve"> </w:t>
      </w:r>
      <w:r>
        <w:rPr>
          <w:noProof/>
        </w:rPr>
        <w:t>I</w:t>
      </w:r>
      <w:r w:rsidRPr="0050736F">
        <w:rPr>
          <w:noProof/>
        </w:rPr>
        <w:t xml:space="preserve">n a separate case relating to </w:t>
      </w:r>
      <w:r>
        <w:rPr>
          <w:noProof/>
        </w:rPr>
        <w:t>a predatory pricing investigation into České dráhy, the Commission in September 2022 closed its investigation without an infringement decision. The Commission found that the evidence it gathered since sending České dráhy a statement of objections</w:t>
      </w:r>
      <w:r w:rsidR="00BE2B88">
        <w:rPr>
          <w:rStyle w:val="FootnoteReference"/>
          <w:noProof/>
        </w:rPr>
        <w:footnoteReference w:id="113"/>
      </w:r>
      <w:r>
        <w:rPr>
          <w:noProof/>
        </w:rPr>
        <w:t xml:space="preserve"> in October 2020 did not confirm its initial concerns that the rail incumbent charged prices below costs in attempt of illegally shutting out new rivals</w:t>
      </w:r>
      <w:r w:rsidR="002162EC">
        <w:rPr>
          <w:rStyle w:val="FootnoteReference"/>
          <w:noProof/>
        </w:rPr>
        <w:footnoteReference w:id="114"/>
      </w:r>
      <w:r>
        <w:rPr>
          <w:noProof/>
        </w:rPr>
        <w:t>.</w:t>
      </w:r>
    </w:p>
    <w:p w14:paraId="573A3FA4" w14:textId="2E6CC8F1" w:rsidR="002C5F97" w:rsidRDefault="002C5F97" w:rsidP="002C5F97">
      <w:pPr>
        <w:spacing w:after="120"/>
        <w:rPr>
          <w:noProof/>
        </w:rPr>
      </w:pPr>
      <w:r w:rsidRPr="00937722">
        <w:rPr>
          <w:noProof/>
        </w:rPr>
        <w:t xml:space="preserve">In the field of merger control, the Commission, in July 2022, approved with conditions the acquisition of </w:t>
      </w:r>
      <w:r w:rsidRPr="00937722">
        <w:rPr>
          <w:i/>
          <w:noProof/>
        </w:rPr>
        <w:t>Equans</w:t>
      </w:r>
      <w:r w:rsidRPr="00937722">
        <w:rPr>
          <w:noProof/>
        </w:rPr>
        <w:t xml:space="preserve"> by </w:t>
      </w:r>
      <w:r w:rsidRPr="00937722">
        <w:rPr>
          <w:i/>
          <w:noProof/>
        </w:rPr>
        <w:t>Bouygues</w:t>
      </w:r>
      <w:r w:rsidRPr="00937722">
        <w:rPr>
          <w:noProof/>
          <w:vertAlign w:val="superscript"/>
        </w:rPr>
        <w:footnoteReference w:id="115"/>
      </w:r>
      <w:r w:rsidRPr="00937722">
        <w:rPr>
          <w:noProof/>
        </w:rPr>
        <w:t>. The Commission's investigation revealed that the merged entity would have large market shares and only face competition from very few participants</w:t>
      </w:r>
      <w:r>
        <w:rPr>
          <w:noProof/>
        </w:rPr>
        <w:t>.</w:t>
      </w:r>
      <w:r w:rsidRPr="00937722">
        <w:rPr>
          <w:noProof/>
        </w:rPr>
        <w:t xml:space="preserve"> </w:t>
      </w:r>
      <w:r>
        <w:rPr>
          <w:noProof/>
        </w:rPr>
        <w:t>T</w:t>
      </w:r>
      <w:r w:rsidRPr="00937722">
        <w:rPr>
          <w:noProof/>
        </w:rPr>
        <w:t xml:space="preserve">his could give rise to higher prices for electrical engineering services for railway contact lines in Belgium. To address the Commission's competition concerns, Bouygues offered to divest </w:t>
      </w:r>
      <w:r w:rsidRPr="00937722">
        <w:rPr>
          <w:i/>
          <w:noProof/>
        </w:rPr>
        <w:t>Colas Rail Belgium</w:t>
      </w:r>
      <w:r w:rsidRPr="00937722">
        <w:rPr>
          <w:noProof/>
        </w:rPr>
        <w:t xml:space="preserve"> in its entirety, including all assets, personnel and ongoing and future contracts of both its railway contact lines and track installation businesses. </w:t>
      </w:r>
      <w:r w:rsidRPr="0039665D">
        <w:rPr>
          <w:noProof/>
        </w:rPr>
        <w:t xml:space="preserve">Competition in the rail passenger transport sector can drive prices down and service quality up to the benefit of consumers. The </w:t>
      </w:r>
      <w:r>
        <w:rPr>
          <w:noProof/>
        </w:rPr>
        <w:t>Commission’s intervention</w:t>
      </w:r>
      <w:r w:rsidRPr="0039665D">
        <w:rPr>
          <w:noProof/>
        </w:rPr>
        <w:t xml:space="preserve"> ensure</w:t>
      </w:r>
      <w:r>
        <w:rPr>
          <w:noProof/>
        </w:rPr>
        <w:t>s</w:t>
      </w:r>
      <w:r w:rsidRPr="0039665D">
        <w:rPr>
          <w:noProof/>
        </w:rPr>
        <w:t xml:space="preserve"> that </w:t>
      </w:r>
      <w:r w:rsidR="00E16E8F">
        <w:rPr>
          <w:noProof/>
        </w:rPr>
        <w:t>another competitor</w:t>
      </w:r>
      <w:r w:rsidRPr="0039665D">
        <w:rPr>
          <w:noProof/>
        </w:rPr>
        <w:t xml:space="preserve"> will remain in the market continuing to exert competitive pressure in the relevant Belgian market while customers will </w:t>
      </w:r>
      <w:r w:rsidR="00E16E8F">
        <w:rPr>
          <w:noProof/>
        </w:rPr>
        <w:t>benefit from a wider</w:t>
      </w:r>
      <w:r w:rsidR="00E16E8F" w:rsidRPr="0039665D">
        <w:rPr>
          <w:noProof/>
        </w:rPr>
        <w:t xml:space="preserve"> </w:t>
      </w:r>
      <w:r w:rsidRPr="0039665D">
        <w:rPr>
          <w:noProof/>
        </w:rPr>
        <w:t>choice of suppliers and competitive prices</w:t>
      </w:r>
      <w:r>
        <w:rPr>
          <w:noProof/>
        </w:rPr>
        <w:t>.</w:t>
      </w:r>
    </w:p>
    <w:p w14:paraId="70A85CB4" w14:textId="77777777" w:rsidR="00DD1637" w:rsidRDefault="000E3859" w:rsidP="00C1646C">
      <w:pPr>
        <w:spacing w:after="120"/>
        <w:rPr>
          <w:rFonts w:cs="Times New Roman"/>
          <w:noProof/>
        </w:rPr>
      </w:pPr>
      <w:r>
        <w:rPr>
          <w:rFonts w:cs="Times New Roman"/>
          <w:noProof/>
        </w:rPr>
        <w:t xml:space="preserve">In October </w:t>
      </w:r>
      <w:r w:rsidR="00C1646C" w:rsidRPr="00C1646C">
        <w:rPr>
          <w:rFonts w:cs="Times New Roman"/>
          <w:noProof/>
        </w:rPr>
        <w:t>2022, the Commission proposed a new emergency regulation to mitigate the impact of high gas prices in the EU</w:t>
      </w:r>
      <w:r w:rsidR="00F84A2A">
        <w:rPr>
          <w:rStyle w:val="FootnoteReference"/>
          <w:rFonts w:cs="Times New Roman"/>
          <w:noProof/>
        </w:rPr>
        <w:footnoteReference w:id="116"/>
      </w:r>
      <w:r w:rsidR="00C1646C" w:rsidRPr="00C1646C">
        <w:rPr>
          <w:rFonts w:cs="Times New Roman"/>
          <w:noProof/>
        </w:rPr>
        <w:t>.</w:t>
      </w:r>
      <w:r w:rsidR="002C30D2">
        <w:rPr>
          <w:rFonts w:cs="Times New Roman"/>
          <w:noProof/>
        </w:rPr>
        <w:t xml:space="preserve"> </w:t>
      </w:r>
      <w:r w:rsidR="00C1646C" w:rsidRPr="00C1646C">
        <w:rPr>
          <w:rFonts w:cs="Times New Roman"/>
          <w:noProof/>
        </w:rPr>
        <w:t xml:space="preserve">The </w:t>
      </w:r>
      <w:r w:rsidR="00F84A2A">
        <w:rPr>
          <w:rFonts w:cs="Times New Roman"/>
          <w:noProof/>
        </w:rPr>
        <w:t>Regulation</w:t>
      </w:r>
      <w:r w:rsidR="002C30D2">
        <w:rPr>
          <w:rFonts w:cs="Times New Roman"/>
          <w:noProof/>
        </w:rPr>
        <w:t xml:space="preserve"> was adopted in December 2022</w:t>
      </w:r>
      <w:r w:rsidR="002C30D2">
        <w:rPr>
          <w:rStyle w:val="FootnoteReference"/>
          <w:rFonts w:cs="Times New Roman"/>
          <w:noProof/>
        </w:rPr>
        <w:footnoteReference w:id="117"/>
      </w:r>
      <w:r w:rsidR="002C30D2">
        <w:rPr>
          <w:rFonts w:cs="Times New Roman"/>
          <w:noProof/>
        </w:rPr>
        <w:t>.</w:t>
      </w:r>
      <w:r w:rsidR="00F84A2A">
        <w:rPr>
          <w:rFonts w:cs="Times New Roman"/>
          <w:noProof/>
        </w:rPr>
        <w:t xml:space="preserve"> </w:t>
      </w:r>
      <w:r w:rsidR="002C30D2">
        <w:rPr>
          <w:rFonts w:cs="Times New Roman"/>
          <w:noProof/>
        </w:rPr>
        <w:t xml:space="preserve">It </w:t>
      </w:r>
      <w:r w:rsidR="00F84A2A">
        <w:rPr>
          <w:rFonts w:cs="Times New Roman"/>
          <w:noProof/>
        </w:rPr>
        <w:t>include</w:t>
      </w:r>
      <w:r w:rsidR="002C30D2">
        <w:rPr>
          <w:rFonts w:cs="Times New Roman"/>
          <w:noProof/>
        </w:rPr>
        <w:t>s</w:t>
      </w:r>
      <w:r w:rsidR="00C1646C" w:rsidRPr="00C1646C">
        <w:rPr>
          <w:rFonts w:cs="Times New Roman"/>
          <w:noProof/>
        </w:rPr>
        <w:t xml:space="preserve">, among other </w:t>
      </w:r>
      <w:r w:rsidR="002C30D2">
        <w:rPr>
          <w:rFonts w:cs="Times New Roman"/>
          <w:noProof/>
        </w:rPr>
        <w:t>elements</w:t>
      </w:r>
      <w:r w:rsidR="00C1646C" w:rsidRPr="00C1646C">
        <w:rPr>
          <w:rFonts w:cs="Times New Roman"/>
          <w:noProof/>
        </w:rPr>
        <w:t xml:space="preserve">, a joint purchasing mechanism for gas to </w:t>
      </w:r>
      <w:r>
        <w:rPr>
          <w:rFonts w:cs="Times New Roman"/>
          <w:noProof/>
        </w:rPr>
        <w:t xml:space="preserve">enable </w:t>
      </w:r>
      <w:r w:rsidR="00C1646C" w:rsidRPr="00C1646C">
        <w:rPr>
          <w:rFonts w:cs="Times New Roman"/>
          <w:noProof/>
        </w:rPr>
        <w:t xml:space="preserve">gas companies and gas consumers </w:t>
      </w:r>
      <w:r>
        <w:rPr>
          <w:rFonts w:cs="Times New Roman"/>
          <w:noProof/>
        </w:rPr>
        <w:t xml:space="preserve">to </w:t>
      </w:r>
      <w:r w:rsidR="00C1646C" w:rsidRPr="00C1646C">
        <w:rPr>
          <w:rFonts w:cs="Times New Roman"/>
          <w:noProof/>
        </w:rPr>
        <w:t xml:space="preserve">negotiate </w:t>
      </w:r>
      <w:r>
        <w:rPr>
          <w:rFonts w:cs="Times New Roman"/>
          <w:noProof/>
        </w:rPr>
        <w:t xml:space="preserve">lower </w:t>
      </w:r>
      <w:r w:rsidR="00C1646C" w:rsidRPr="00C1646C">
        <w:rPr>
          <w:rFonts w:cs="Times New Roman"/>
          <w:noProof/>
        </w:rPr>
        <w:t>prices</w:t>
      </w:r>
      <w:r>
        <w:rPr>
          <w:rFonts w:cs="Times New Roman"/>
          <w:noProof/>
        </w:rPr>
        <w:t xml:space="preserve"> </w:t>
      </w:r>
      <w:r w:rsidR="00C1646C" w:rsidRPr="00C1646C">
        <w:rPr>
          <w:rFonts w:cs="Times New Roman"/>
          <w:noProof/>
        </w:rPr>
        <w:t xml:space="preserve">and </w:t>
      </w:r>
      <w:r>
        <w:rPr>
          <w:rFonts w:cs="Times New Roman"/>
          <w:noProof/>
        </w:rPr>
        <w:t xml:space="preserve">secure energy </w:t>
      </w:r>
      <w:r w:rsidR="00C1646C" w:rsidRPr="00C1646C">
        <w:rPr>
          <w:rFonts w:cs="Times New Roman"/>
          <w:noProof/>
        </w:rPr>
        <w:t>suppl</w:t>
      </w:r>
      <w:r>
        <w:rPr>
          <w:rFonts w:cs="Times New Roman"/>
          <w:noProof/>
        </w:rPr>
        <w:t xml:space="preserve">ies in view of potential energy </w:t>
      </w:r>
      <w:r w:rsidR="00C1646C" w:rsidRPr="00C1646C">
        <w:rPr>
          <w:rFonts w:cs="Times New Roman"/>
          <w:noProof/>
        </w:rPr>
        <w:t>supply shortage</w:t>
      </w:r>
      <w:r>
        <w:rPr>
          <w:rFonts w:cs="Times New Roman"/>
          <w:noProof/>
        </w:rPr>
        <w:t>s</w:t>
      </w:r>
      <w:r w:rsidR="00C1646C" w:rsidRPr="00C1646C">
        <w:rPr>
          <w:rFonts w:cs="Times New Roman"/>
          <w:noProof/>
        </w:rPr>
        <w:t xml:space="preserve">. </w:t>
      </w:r>
    </w:p>
    <w:p w14:paraId="05F95556" w14:textId="77777777" w:rsidR="00DD1637" w:rsidRDefault="00DD1637" w:rsidP="00C1646C">
      <w:pPr>
        <w:spacing w:after="120"/>
        <w:rPr>
          <w:rFonts w:cs="Times New Roman"/>
          <w:noProof/>
        </w:rPr>
      </w:pPr>
      <w:r w:rsidRPr="00DD1637">
        <w:rPr>
          <w:rFonts w:cs="Times New Roman"/>
          <w:noProof/>
        </w:rPr>
        <w:t xml:space="preserve">The Commission </w:t>
      </w:r>
      <w:r w:rsidR="00E81F7E">
        <w:rPr>
          <w:rFonts w:cs="Times New Roman"/>
          <w:noProof/>
        </w:rPr>
        <w:t>is to</w:t>
      </w:r>
      <w:r w:rsidRPr="00DD1637">
        <w:rPr>
          <w:rFonts w:cs="Times New Roman"/>
          <w:noProof/>
        </w:rPr>
        <w:t xml:space="preserve"> contract a service provider to organise demand aggregation at EU level, grouping together gas import needs and seek offers on the market to match the demand. Companies would be allowed to form a European gas purchasing consortium, in compliance with EU competition rules. Joint purchasing </w:t>
      </w:r>
      <w:r>
        <w:rPr>
          <w:rFonts w:cs="Times New Roman"/>
          <w:noProof/>
        </w:rPr>
        <w:t>would</w:t>
      </w:r>
      <w:r w:rsidRPr="00DD1637">
        <w:rPr>
          <w:rFonts w:cs="Times New Roman"/>
          <w:noProof/>
        </w:rPr>
        <w:t xml:space="preserve"> help smaller Member States and </w:t>
      </w:r>
      <w:r w:rsidR="00C94183">
        <w:rPr>
          <w:rFonts w:cs="Times New Roman"/>
          <w:noProof/>
        </w:rPr>
        <w:t xml:space="preserve">in particular </w:t>
      </w:r>
      <w:r w:rsidRPr="00DD1637">
        <w:rPr>
          <w:rFonts w:cs="Times New Roman"/>
          <w:noProof/>
        </w:rPr>
        <w:t xml:space="preserve">companies in a less favourable situation as buyers to </w:t>
      </w:r>
      <w:r w:rsidR="00C94183">
        <w:rPr>
          <w:rFonts w:cs="Times New Roman"/>
          <w:noProof/>
        </w:rPr>
        <w:t>buy</w:t>
      </w:r>
      <w:r w:rsidRPr="00DD1637">
        <w:rPr>
          <w:rFonts w:cs="Times New Roman"/>
          <w:noProof/>
        </w:rPr>
        <w:t xml:space="preserve"> gas at better conditions.</w:t>
      </w:r>
      <w:r w:rsidRPr="00DD1637">
        <w:rPr>
          <w:noProof/>
        </w:rPr>
        <w:t xml:space="preserve"> </w:t>
      </w:r>
      <w:r w:rsidRPr="00DD1637">
        <w:rPr>
          <w:rFonts w:cs="Times New Roman"/>
          <w:noProof/>
        </w:rPr>
        <w:t>The Regulation also includes provisions to enhance transparency of intended and concluded gas supply purchases, in order to assess whether the objectives of security of supply and energy solidarity are met.</w:t>
      </w:r>
    </w:p>
    <w:p w14:paraId="494B861B" w14:textId="77777777" w:rsidR="00C1646C" w:rsidRDefault="00C1646C" w:rsidP="009614E3">
      <w:pPr>
        <w:spacing w:after="240"/>
        <w:rPr>
          <w:rFonts w:cs="Times New Roman"/>
          <w:noProof/>
        </w:rPr>
      </w:pPr>
      <w:r w:rsidRPr="00C1646C">
        <w:rPr>
          <w:rFonts w:cs="Times New Roman"/>
          <w:noProof/>
        </w:rPr>
        <w:t xml:space="preserve">The Commission stands ready to </w:t>
      </w:r>
      <w:r w:rsidR="000E3859">
        <w:rPr>
          <w:rFonts w:cs="Times New Roman"/>
          <w:noProof/>
        </w:rPr>
        <w:t xml:space="preserve">assist firms </w:t>
      </w:r>
      <w:r w:rsidR="00836AED">
        <w:rPr>
          <w:rFonts w:cs="Times New Roman"/>
          <w:noProof/>
        </w:rPr>
        <w:t xml:space="preserve">when </w:t>
      </w:r>
      <w:r w:rsidRPr="00C1646C">
        <w:rPr>
          <w:rFonts w:cs="Times New Roman"/>
          <w:noProof/>
        </w:rPr>
        <w:t>design</w:t>
      </w:r>
      <w:r w:rsidR="000E3859">
        <w:rPr>
          <w:rFonts w:cs="Times New Roman"/>
          <w:noProof/>
        </w:rPr>
        <w:t>ing</w:t>
      </w:r>
      <w:r w:rsidRPr="00C1646C">
        <w:rPr>
          <w:rFonts w:cs="Times New Roman"/>
          <w:noProof/>
        </w:rPr>
        <w:t xml:space="preserve"> </w:t>
      </w:r>
      <w:r w:rsidR="000E3859">
        <w:rPr>
          <w:rFonts w:cs="Times New Roman"/>
          <w:noProof/>
        </w:rPr>
        <w:t>p</w:t>
      </w:r>
      <w:r w:rsidRPr="00C1646C">
        <w:rPr>
          <w:rFonts w:cs="Times New Roman"/>
          <w:noProof/>
        </w:rPr>
        <w:t>ossible joint gas purchasing consorti</w:t>
      </w:r>
      <w:r w:rsidR="000E3859">
        <w:rPr>
          <w:rFonts w:cs="Times New Roman"/>
          <w:noProof/>
        </w:rPr>
        <w:t xml:space="preserve">a </w:t>
      </w:r>
      <w:r w:rsidR="00810D4C">
        <w:rPr>
          <w:rFonts w:cs="Times New Roman"/>
          <w:noProof/>
        </w:rPr>
        <w:t>in conformity with the EU competition rules</w:t>
      </w:r>
      <w:r w:rsidR="00836AED">
        <w:rPr>
          <w:rFonts w:cs="Times New Roman"/>
          <w:noProof/>
        </w:rPr>
        <w:t>.</w:t>
      </w:r>
    </w:p>
    <w:p w14:paraId="716486AF" w14:textId="77777777" w:rsidR="00AE71B3" w:rsidRDefault="00AE71B3" w:rsidP="009614E3">
      <w:pPr>
        <w:spacing w:after="240"/>
        <w:rPr>
          <w:noProof/>
          <w:lang w:val="en-IE"/>
        </w:rPr>
      </w:pPr>
      <w:r>
        <w:rPr>
          <w:noProof/>
        </w:rPr>
        <w:t xml:space="preserve">In </w:t>
      </w:r>
      <w:r w:rsidRPr="005E4026">
        <w:rPr>
          <w:noProof/>
        </w:rPr>
        <w:t xml:space="preserve">2022, the Commission approved two Important Projects of Common European Interest (‘IPCEIs’) in the hydrogen technology chain. </w:t>
      </w:r>
      <w:r w:rsidRPr="005E4026">
        <w:rPr>
          <w:noProof/>
          <w:lang w:val="en-IE"/>
        </w:rPr>
        <w:t xml:space="preserve">The two IPCEIs support </w:t>
      </w:r>
      <w:r w:rsidR="00924E00">
        <w:rPr>
          <w:noProof/>
          <w:lang w:val="en-IE"/>
        </w:rPr>
        <w:t xml:space="preserve">the development of </w:t>
      </w:r>
      <w:r w:rsidRPr="005E4026">
        <w:rPr>
          <w:noProof/>
          <w:lang w:val="en-IE"/>
        </w:rPr>
        <w:t>key strategic value and technology chain</w:t>
      </w:r>
      <w:r w:rsidR="00924E00">
        <w:rPr>
          <w:noProof/>
          <w:lang w:val="en-IE"/>
        </w:rPr>
        <w:t>s</w:t>
      </w:r>
      <w:r w:rsidRPr="005E4026">
        <w:rPr>
          <w:noProof/>
          <w:lang w:val="en-IE"/>
        </w:rPr>
        <w:t xml:space="preserve">, as well as the objectives of the European Green Deal, the EU Hydrogen Strategy and </w:t>
      </w:r>
      <w:r w:rsidR="00924E00">
        <w:rPr>
          <w:noProof/>
          <w:lang w:val="en-IE"/>
        </w:rPr>
        <w:t xml:space="preserve">the </w:t>
      </w:r>
      <w:r w:rsidRPr="005E4026">
        <w:rPr>
          <w:noProof/>
          <w:lang w:val="en-IE"/>
        </w:rPr>
        <w:t>REPowerEU</w:t>
      </w:r>
      <w:r w:rsidR="00924E00">
        <w:rPr>
          <w:noProof/>
          <w:lang w:val="en-IE"/>
        </w:rPr>
        <w:t xml:space="preserve"> initiative</w:t>
      </w:r>
      <w:r w:rsidRPr="005E4026">
        <w:rPr>
          <w:noProof/>
          <w:lang w:val="en-IE"/>
        </w:rPr>
        <w:t>.</w:t>
      </w:r>
    </w:p>
    <w:p w14:paraId="388FCF5A" w14:textId="77777777" w:rsidR="00AE71B3" w:rsidRPr="0018779C" w:rsidRDefault="00AE71B3" w:rsidP="00BB72EE">
      <w:pPr>
        <w:pStyle w:val="NoSpacing"/>
        <w:keepNext/>
        <w:pBdr>
          <w:top w:val="single" w:sz="4" w:space="1" w:color="auto"/>
          <w:left w:val="single" w:sz="4" w:space="1" w:color="auto"/>
          <w:bottom w:val="single" w:sz="4" w:space="1" w:color="auto"/>
          <w:right w:val="single" w:sz="4" w:space="1" w:color="auto"/>
        </w:pBdr>
        <w:spacing w:after="60"/>
        <w:rPr>
          <w:b/>
          <w:i/>
          <w:noProof/>
          <w:color w:val="0070C0"/>
        </w:rPr>
      </w:pPr>
      <w:r w:rsidRPr="0018779C">
        <w:rPr>
          <w:b/>
          <w:i/>
          <w:noProof/>
          <w:color w:val="0070C0"/>
        </w:rPr>
        <w:t xml:space="preserve">IPCEI Hy2Tech </w:t>
      </w:r>
    </w:p>
    <w:p w14:paraId="00127934" w14:textId="77777777" w:rsidR="00AE71B3" w:rsidRPr="0018779C" w:rsidRDefault="00AE71B3" w:rsidP="009614E3">
      <w:pPr>
        <w:pBdr>
          <w:top w:val="single" w:sz="4" w:space="1" w:color="auto"/>
          <w:left w:val="single" w:sz="4" w:space="1" w:color="auto"/>
          <w:bottom w:val="single" w:sz="4" w:space="1" w:color="auto"/>
          <w:right w:val="single" w:sz="4" w:space="1" w:color="auto"/>
        </w:pBdr>
        <w:spacing w:after="120" w:line="240" w:lineRule="auto"/>
        <w:rPr>
          <w:noProof/>
          <w:color w:val="0070C0"/>
          <w:sz w:val="22"/>
        </w:rPr>
      </w:pPr>
      <w:r w:rsidRPr="0018779C">
        <w:rPr>
          <w:noProof/>
          <w:color w:val="0070C0"/>
          <w:sz w:val="22"/>
        </w:rPr>
        <w:t>The first IPCEI was approved in July 2022 and support</w:t>
      </w:r>
      <w:r w:rsidR="003D1BA7" w:rsidRPr="0018779C">
        <w:rPr>
          <w:noProof/>
          <w:color w:val="0070C0"/>
          <w:sz w:val="22"/>
        </w:rPr>
        <w:t>s</w:t>
      </w:r>
      <w:r w:rsidRPr="0018779C">
        <w:rPr>
          <w:noProof/>
          <w:color w:val="0070C0"/>
          <w:sz w:val="22"/>
        </w:rPr>
        <w:t xml:space="preserve"> research</w:t>
      </w:r>
      <w:r w:rsidR="00924E00" w:rsidRPr="0018779C">
        <w:rPr>
          <w:noProof/>
          <w:color w:val="0070C0"/>
          <w:sz w:val="22"/>
        </w:rPr>
        <w:t>,</w:t>
      </w:r>
      <w:r w:rsidRPr="0018779C">
        <w:rPr>
          <w:noProof/>
          <w:color w:val="0070C0"/>
          <w:sz w:val="22"/>
        </w:rPr>
        <w:t xml:space="preserve"> innovation and industrial deployment in the hydrogen technology value chain. For this project 15 Member States</w:t>
      </w:r>
      <w:r w:rsidRPr="0018779C">
        <w:rPr>
          <w:rStyle w:val="FootnoteReference"/>
          <w:noProof/>
          <w:color w:val="0070C0"/>
          <w:sz w:val="22"/>
        </w:rPr>
        <w:footnoteReference w:id="118"/>
      </w:r>
      <w:r w:rsidRPr="0018779C">
        <w:rPr>
          <w:noProof/>
          <w:color w:val="0070C0"/>
          <w:sz w:val="22"/>
        </w:rPr>
        <w:t xml:space="preserve"> will provide up to EUR 5.4 billion in public funding, which </w:t>
      </w:r>
      <w:r w:rsidR="00924E00" w:rsidRPr="0018779C">
        <w:rPr>
          <w:noProof/>
          <w:color w:val="0070C0"/>
          <w:sz w:val="22"/>
        </w:rPr>
        <w:t>is expected to</w:t>
      </w:r>
      <w:r w:rsidR="003D1BA7" w:rsidRPr="0018779C">
        <w:rPr>
          <w:noProof/>
          <w:color w:val="0070C0"/>
          <w:sz w:val="22"/>
        </w:rPr>
        <w:t xml:space="preserve"> </w:t>
      </w:r>
      <w:r w:rsidRPr="0018779C">
        <w:rPr>
          <w:noProof/>
          <w:color w:val="0070C0"/>
          <w:sz w:val="22"/>
        </w:rPr>
        <w:t xml:space="preserve">unlock </w:t>
      </w:r>
      <w:r w:rsidR="00A01FC4" w:rsidRPr="0018779C">
        <w:rPr>
          <w:noProof/>
          <w:color w:val="0070C0"/>
          <w:sz w:val="22"/>
        </w:rPr>
        <w:t xml:space="preserve">an </w:t>
      </w:r>
      <w:r w:rsidRPr="0018779C">
        <w:rPr>
          <w:noProof/>
          <w:color w:val="0070C0"/>
          <w:sz w:val="22"/>
        </w:rPr>
        <w:t>additional EUR 8.8 billion in private investments. Thirty</w:t>
      </w:r>
      <w:r w:rsidR="00937722" w:rsidRPr="0018779C">
        <w:rPr>
          <w:noProof/>
          <w:color w:val="0070C0"/>
          <w:sz w:val="22"/>
        </w:rPr>
        <w:t>-</w:t>
      </w:r>
      <w:r w:rsidRPr="0018779C">
        <w:rPr>
          <w:noProof/>
          <w:color w:val="0070C0"/>
          <w:sz w:val="22"/>
        </w:rPr>
        <w:t>five companies, including SMEs and start-ups</w:t>
      </w:r>
      <w:r w:rsidR="00924E00" w:rsidRPr="0018779C">
        <w:rPr>
          <w:noProof/>
          <w:color w:val="0070C0"/>
          <w:sz w:val="22"/>
        </w:rPr>
        <w:t xml:space="preserve"> will </w:t>
      </w:r>
      <w:r w:rsidRPr="0018779C">
        <w:rPr>
          <w:noProof/>
          <w:color w:val="0070C0"/>
          <w:sz w:val="22"/>
        </w:rPr>
        <w:t>participate in 41 projects</w:t>
      </w:r>
      <w:r w:rsidRPr="0018779C">
        <w:rPr>
          <w:noProof/>
          <w:color w:val="0070C0"/>
          <w:sz w:val="22"/>
          <w:vertAlign w:val="superscript"/>
        </w:rPr>
        <w:footnoteReference w:id="119"/>
      </w:r>
      <w:r w:rsidRPr="0018779C">
        <w:rPr>
          <w:noProof/>
          <w:color w:val="0070C0"/>
          <w:sz w:val="22"/>
        </w:rPr>
        <w:t xml:space="preserve">. The </w:t>
      </w:r>
      <w:r w:rsidRPr="0018779C">
        <w:rPr>
          <w:i/>
          <w:noProof/>
          <w:color w:val="0070C0"/>
          <w:sz w:val="22"/>
        </w:rPr>
        <w:t xml:space="preserve">IPCEI </w:t>
      </w:r>
      <w:r w:rsidR="00DF6252" w:rsidRPr="0018779C">
        <w:rPr>
          <w:i/>
          <w:noProof/>
          <w:color w:val="0070C0"/>
          <w:sz w:val="22"/>
        </w:rPr>
        <w:t>Hy2Tech</w:t>
      </w:r>
      <w:r w:rsidR="00DF6252" w:rsidRPr="0018779C">
        <w:rPr>
          <w:noProof/>
          <w:color w:val="0070C0"/>
          <w:sz w:val="22"/>
        </w:rPr>
        <w:t xml:space="preserve"> </w:t>
      </w:r>
      <w:r w:rsidRPr="0018779C">
        <w:rPr>
          <w:noProof/>
          <w:color w:val="0070C0"/>
          <w:sz w:val="22"/>
        </w:rPr>
        <w:t>cover</w:t>
      </w:r>
      <w:r w:rsidR="003D1BA7" w:rsidRPr="0018779C">
        <w:rPr>
          <w:noProof/>
          <w:color w:val="0070C0"/>
          <w:sz w:val="22"/>
        </w:rPr>
        <w:t>s</w:t>
      </w:r>
      <w:r w:rsidRPr="0018779C">
        <w:rPr>
          <w:noProof/>
          <w:color w:val="0070C0"/>
          <w:sz w:val="22"/>
        </w:rPr>
        <w:t xml:space="preserve"> large part</w:t>
      </w:r>
      <w:r w:rsidR="00924E00" w:rsidRPr="0018779C">
        <w:rPr>
          <w:noProof/>
          <w:color w:val="0070C0"/>
          <w:sz w:val="22"/>
        </w:rPr>
        <w:t>s</w:t>
      </w:r>
      <w:r w:rsidRPr="0018779C">
        <w:rPr>
          <w:noProof/>
          <w:color w:val="0070C0"/>
          <w:sz w:val="22"/>
        </w:rPr>
        <w:t xml:space="preserve"> of the hydrogen technology value chain including: (i) </w:t>
      </w:r>
      <w:r w:rsidR="005835CC" w:rsidRPr="0018779C">
        <w:rPr>
          <w:noProof/>
          <w:color w:val="0070C0"/>
          <w:sz w:val="22"/>
        </w:rPr>
        <w:t xml:space="preserve">facilities and equipment for </w:t>
      </w:r>
      <w:r w:rsidRPr="0018779C">
        <w:rPr>
          <w:noProof/>
          <w:color w:val="0070C0"/>
          <w:sz w:val="22"/>
        </w:rPr>
        <w:t xml:space="preserve">generation of hydrogen; (ii) </w:t>
      </w:r>
      <w:r w:rsidR="00836AED" w:rsidRPr="0018779C">
        <w:rPr>
          <w:noProof/>
          <w:color w:val="0070C0"/>
          <w:sz w:val="22"/>
        </w:rPr>
        <w:t xml:space="preserve">production of </w:t>
      </w:r>
      <w:r w:rsidRPr="0018779C">
        <w:rPr>
          <w:noProof/>
          <w:color w:val="0070C0"/>
          <w:sz w:val="22"/>
        </w:rPr>
        <w:t>fuel cells; (iii) storage, transportation and distribution of hydrogen; and (iv)</w:t>
      </w:r>
      <w:r w:rsidR="00836AED" w:rsidRPr="0018779C">
        <w:rPr>
          <w:noProof/>
          <w:color w:val="0070C0"/>
          <w:sz w:val="22"/>
        </w:rPr>
        <w:t xml:space="preserve"> </w:t>
      </w:r>
      <w:r w:rsidRPr="0018779C">
        <w:rPr>
          <w:noProof/>
          <w:color w:val="0070C0"/>
          <w:sz w:val="22"/>
        </w:rPr>
        <w:t>end-user applications, in particular in the mobility sector. It contribute</w:t>
      </w:r>
      <w:r w:rsidR="003D1BA7" w:rsidRPr="0018779C">
        <w:rPr>
          <w:noProof/>
          <w:color w:val="0070C0"/>
          <w:sz w:val="22"/>
        </w:rPr>
        <w:t>s</w:t>
      </w:r>
      <w:r w:rsidRPr="0018779C">
        <w:rPr>
          <w:noProof/>
          <w:color w:val="0070C0"/>
          <w:sz w:val="22"/>
        </w:rPr>
        <w:t xml:space="preserve"> to the development of important technological breakthroughs, including new highly efficient electrode materials, more performant fuel cells and innovative transport technologies. The IPCEI Hy2Tech </w:t>
      </w:r>
      <w:r w:rsidR="00DF6252" w:rsidRPr="0018779C">
        <w:rPr>
          <w:noProof/>
          <w:color w:val="0070C0"/>
          <w:sz w:val="22"/>
        </w:rPr>
        <w:t>is expected to</w:t>
      </w:r>
      <w:r w:rsidR="003D1BA7" w:rsidRPr="0018779C">
        <w:rPr>
          <w:noProof/>
          <w:color w:val="0070C0"/>
          <w:sz w:val="22"/>
        </w:rPr>
        <w:t xml:space="preserve"> </w:t>
      </w:r>
      <w:r w:rsidRPr="0018779C">
        <w:rPr>
          <w:noProof/>
          <w:color w:val="0070C0"/>
          <w:sz w:val="22"/>
        </w:rPr>
        <w:t xml:space="preserve">create </w:t>
      </w:r>
      <w:r w:rsidR="00A01FC4" w:rsidRPr="0018779C">
        <w:rPr>
          <w:noProof/>
          <w:color w:val="0070C0"/>
          <w:sz w:val="22"/>
        </w:rPr>
        <w:t xml:space="preserve">some </w:t>
      </w:r>
      <w:r w:rsidRPr="0018779C">
        <w:rPr>
          <w:noProof/>
          <w:color w:val="0070C0"/>
          <w:sz w:val="22"/>
        </w:rPr>
        <w:t>20.000 direct jobs.</w:t>
      </w:r>
    </w:p>
    <w:p w14:paraId="5FC07AA2" w14:textId="77777777" w:rsidR="00AE71B3" w:rsidRPr="0018779C" w:rsidRDefault="00AE71B3" w:rsidP="00AE71B3">
      <w:pPr>
        <w:pStyle w:val="NoSpacing"/>
        <w:pBdr>
          <w:top w:val="single" w:sz="4" w:space="1" w:color="auto"/>
          <w:left w:val="single" w:sz="4" w:space="1" w:color="auto"/>
          <w:bottom w:val="single" w:sz="4" w:space="1" w:color="auto"/>
          <w:right w:val="single" w:sz="4" w:space="1" w:color="auto"/>
        </w:pBdr>
        <w:spacing w:after="60"/>
        <w:rPr>
          <w:b/>
          <w:i/>
          <w:noProof/>
          <w:color w:val="0070C0"/>
        </w:rPr>
      </w:pPr>
      <w:r w:rsidRPr="0018779C">
        <w:rPr>
          <w:b/>
          <w:i/>
          <w:noProof/>
          <w:color w:val="0070C0"/>
        </w:rPr>
        <w:t>IPCEI</w:t>
      </w:r>
      <w:r w:rsidR="00DF6252" w:rsidRPr="0018779C">
        <w:rPr>
          <w:b/>
          <w:i/>
          <w:noProof/>
          <w:color w:val="0070C0"/>
        </w:rPr>
        <w:t xml:space="preserve"> </w:t>
      </w:r>
      <w:r w:rsidRPr="0018779C">
        <w:rPr>
          <w:b/>
          <w:i/>
          <w:noProof/>
          <w:color w:val="0070C0"/>
        </w:rPr>
        <w:t>Hy2Use</w:t>
      </w:r>
    </w:p>
    <w:p w14:paraId="762D8246" w14:textId="77777777" w:rsidR="00AE71B3" w:rsidRPr="0018779C" w:rsidRDefault="00AE71B3" w:rsidP="009614E3">
      <w:pPr>
        <w:pStyle w:val="NoSpacing"/>
        <w:pBdr>
          <w:top w:val="single" w:sz="4" w:space="1" w:color="auto"/>
          <w:left w:val="single" w:sz="4" w:space="1" w:color="auto"/>
          <w:bottom w:val="single" w:sz="4" w:space="1" w:color="auto"/>
          <w:right w:val="single" w:sz="4" w:space="1" w:color="auto"/>
        </w:pBdr>
        <w:spacing w:after="120"/>
        <w:rPr>
          <w:noProof/>
          <w:lang w:val="en-IE"/>
        </w:rPr>
      </w:pPr>
      <w:r w:rsidRPr="0018779C">
        <w:rPr>
          <w:noProof/>
          <w:color w:val="0070C0"/>
        </w:rPr>
        <w:t xml:space="preserve">The </w:t>
      </w:r>
      <w:r w:rsidRPr="0018779C">
        <w:rPr>
          <w:i/>
          <w:noProof/>
          <w:color w:val="0070C0"/>
        </w:rPr>
        <w:t xml:space="preserve">IPCEI </w:t>
      </w:r>
      <w:r w:rsidR="00DF6252" w:rsidRPr="0018779C">
        <w:rPr>
          <w:i/>
          <w:noProof/>
          <w:color w:val="0070C0"/>
        </w:rPr>
        <w:t xml:space="preserve">Hy2Use </w:t>
      </w:r>
      <w:r w:rsidRPr="0018779C">
        <w:rPr>
          <w:noProof/>
          <w:color w:val="0070C0"/>
        </w:rPr>
        <w:t xml:space="preserve">was approved in September 2022 and </w:t>
      </w:r>
      <w:r w:rsidR="00DF6252" w:rsidRPr="0018779C">
        <w:rPr>
          <w:noProof/>
          <w:color w:val="0070C0"/>
        </w:rPr>
        <w:t xml:space="preserve">will </w:t>
      </w:r>
      <w:r w:rsidRPr="0018779C">
        <w:rPr>
          <w:noProof/>
          <w:color w:val="0070C0"/>
          <w:lang w:val="en-IE"/>
        </w:rPr>
        <w:t xml:space="preserve">boost the supply of renewable and low-carbon hydrogen and the development and </w:t>
      </w:r>
      <w:r w:rsidR="00A01FC4" w:rsidRPr="0018779C">
        <w:rPr>
          <w:noProof/>
          <w:color w:val="0070C0"/>
          <w:lang w:val="en-IE"/>
        </w:rPr>
        <w:t xml:space="preserve">initial </w:t>
      </w:r>
      <w:r w:rsidRPr="0018779C">
        <w:rPr>
          <w:noProof/>
          <w:color w:val="0070C0"/>
          <w:lang w:val="en-IE"/>
        </w:rPr>
        <w:t>industrial deployment of clean and innovative hydrogen technologies in other industrial sectors, such as cement, steel and glass</w:t>
      </w:r>
      <w:r w:rsidR="00DF6252" w:rsidRPr="0018779C">
        <w:rPr>
          <w:noProof/>
          <w:color w:val="0070C0"/>
          <w:lang w:val="en-IE"/>
        </w:rPr>
        <w:t>. These products</w:t>
      </w:r>
      <w:r w:rsidRPr="0018779C">
        <w:rPr>
          <w:noProof/>
          <w:color w:val="0070C0"/>
          <w:lang w:val="en-IE"/>
        </w:rPr>
        <w:t xml:space="preserve"> typically face higher barriers to decarbonis</w:t>
      </w:r>
      <w:r w:rsidR="00DF6252" w:rsidRPr="0018779C">
        <w:rPr>
          <w:noProof/>
          <w:color w:val="0070C0"/>
          <w:lang w:val="en-IE"/>
        </w:rPr>
        <w:t>ation</w:t>
      </w:r>
      <w:r w:rsidRPr="0018779C">
        <w:rPr>
          <w:noProof/>
          <w:color w:val="0070C0"/>
          <w:lang w:val="en-IE"/>
        </w:rPr>
        <w:t>. For this project 13 Member States</w:t>
      </w:r>
      <w:r w:rsidRPr="0018779C">
        <w:rPr>
          <w:rStyle w:val="FootnoteReference"/>
          <w:noProof/>
          <w:color w:val="0070C0"/>
          <w:lang w:val="en-IE"/>
        </w:rPr>
        <w:footnoteReference w:id="120"/>
      </w:r>
      <w:r w:rsidRPr="0018779C">
        <w:rPr>
          <w:noProof/>
          <w:color w:val="0070C0"/>
          <w:lang w:val="en-IE"/>
        </w:rPr>
        <w:t xml:space="preserve"> will provide up to EUR 5.2 billion in public funding, which </w:t>
      </w:r>
      <w:r w:rsidR="00DF6252" w:rsidRPr="0018779C">
        <w:rPr>
          <w:noProof/>
          <w:color w:val="0070C0"/>
          <w:lang w:val="en-IE"/>
        </w:rPr>
        <w:t>is expected to</w:t>
      </w:r>
      <w:r w:rsidR="003D1BA7" w:rsidRPr="0018779C">
        <w:rPr>
          <w:noProof/>
          <w:color w:val="0070C0"/>
          <w:lang w:val="en-IE"/>
        </w:rPr>
        <w:t xml:space="preserve"> </w:t>
      </w:r>
      <w:r w:rsidRPr="0018779C">
        <w:rPr>
          <w:noProof/>
          <w:color w:val="0070C0"/>
          <w:lang w:val="en-IE"/>
        </w:rPr>
        <w:t xml:space="preserve">unlock </w:t>
      </w:r>
      <w:r w:rsidR="00DF6252" w:rsidRPr="0018779C">
        <w:rPr>
          <w:noProof/>
          <w:color w:val="0070C0"/>
          <w:lang w:val="en-IE"/>
        </w:rPr>
        <w:t xml:space="preserve">an </w:t>
      </w:r>
      <w:r w:rsidRPr="0018779C">
        <w:rPr>
          <w:noProof/>
          <w:color w:val="0070C0"/>
          <w:lang w:val="en-IE"/>
        </w:rPr>
        <w:t xml:space="preserve">additional EUR 7 billion in private investments. </w:t>
      </w:r>
      <w:r w:rsidR="003D1BA7" w:rsidRPr="0018779C">
        <w:rPr>
          <w:noProof/>
          <w:color w:val="0070C0"/>
          <w:lang w:val="en-IE"/>
        </w:rPr>
        <w:t xml:space="preserve">The </w:t>
      </w:r>
      <w:r w:rsidRPr="003C7AE7">
        <w:rPr>
          <w:noProof/>
          <w:color w:val="0070C0"/>
        </w:rPr>
        <w:t>I</w:t>
      </w:r>
      <w:r w:rsidRPr="0018779C">
        <w:rPr>
          <w:noProof/>
          <w:color w:val="0070C0"/>
        </w:rPr>
        <w:t>PCEI</w:t>
      </w:r>
      <w:r w:rsidR="00DF6252" w:rsidRPr="0018779C">
        <w:rPr>
          <w:noProof/>
          <w:color w:val="0070C0"/>
        </w:rPr>
        <w:t xml:space="preserve"> </w:t>
      </w:r>
      <w:r w:rsidRPr="0018779C">
        <w:rPr>
          <w:noProof/>
          <w:color w:val="0070C0"/>
        </w:rPr>
        <w:t xml:space="preserve">Hy2Use </w:t>
      </w:r>
      <w:r w:rsidRPr="0018779C">
        <w:rPr>
          <w:noProof/>
          <w:color w:val="0070C0"/>
          <w:lang w:val="en-IE"/>
        </w:rPr>
        <w:t>involves 29 companies and 35 projects</w:t>
      </w:r>
      <w:r w:rsidRPr="0018779C">
        <w:rPr>
          <w:noProof/>
          <w:color w:val="0070C0"/>
          <w:vertAlign w:val="superscript"/>
          <w:lang w:val="en-IE"/>
        </w:rPr>
        <w:footnoteReference w:id="121"/>
      </w:r>
      <w:r w:rsidRPr="0018779C">
        <w:rPr>
          <w:noProof/>
          <w:color w:val="0070C0"/>
          <w:lang w:val="en-IE"/>
        </w:rPr>
        <w:t>.</w:t>
      </w:r>
    </w:p>
    <w:p w14:paraId="4AEBB4B6" w14:textId="0313FA4A" w:rsidR="00A247E0" w:rsidRDefault="00A247E0" w:rsidP="00506E55">
      <w:pPr>
        <w:spacing w:before="120" w:after="120"/>
        <w:rPr>
          <w:noProof/>
        </w:rPr>
      </w:pPr>
      <w:r>
        <w:rPr>
          <w:noProof/>
        </w:rPr>
        <w:t xml:space="preserve">Also in the hydrogen sector, the </w:t>
      </w:r>
      <w:r w:rsidRPr="00A247E0">
        <w:rPr>
          <w:noProof/>
        </w:rPr>
        <w:t>Commission approved</w:t>
      </w:r>
      <w:r>
        <w:rPr>
          <w:noProof/>
        </w:rPr>
        <w:t xml:space="preserve"> in October 2022 </w:t>
      </w:r>
      <w:r w:rsidRPr="00A247E0">
        <w:rPr>
          <w:noProof/>
        </w:rPr>
        <w:t xml:space="preserve">a </w:t>
      </w:r>
      <w:r w:rsidR="00350888">
        <w:rPr>
          <w:noProof/>
        </w:rPr>
        <w:t xml:space="preserve">EUR </w:t>
      </w:r>
      <w:r w:rsidRPr="00A247E0">
        <w:rPr>
          <w:noProof/>
        </w:rPr>
        <w:t xml:space="preserve">220 million Spanish </w:t>
      </w:r>
      <w:r>
        <w:rPr>
          <w:noProof/>
        </w:rPr>
        <w:t xml:space="preserve">State aid project </w:t>
      </w:r>
      <w:r w:rsidRPr="00A247E0">
        <w:rPr>
          <w:noProof/>
        </w:rPr>
        <w:t xml:space="preserve">to support </w:t>
      </w:r>
      <w:r w:rsidRPr="009901A5">
        <w:rPr>
          <w:i/>
          <w:noProof/>
        </w:rPr>
        <w:t>Cobra Instalaciones y Servicios, S.A</w:t>
      </w:r>
      <w:r w:rsidRPr="00A247E0">
        <w:rPr>
          <w:noProof/>
        </w:rPr>
        <w:t>. (‘COBRA')</w:t>
      </w:r>
      <w:r w:rsidR="001F4486" w:rsidRPr="005E4026">
        <w:rPr>
          <w:rStyle w:val="FootnoteReference"/>
          <w:rFonts w:eastAsia="Times New Roman" w:cs="Times New Roman"/>
          <w:noProof/>
          <w:color w:val="000000" w:themeColor="text1"/>
          <w:sz w:val="24"/>
          <w:szCs w:val="24"/>
        </w:rPr>
        <w:footnoteReference w:id="122"/>
      </w:r>
      <w:r w:rsidR="00FA3EFA" w:rsidRPr="00FA3EFA">
        <w:rPr>
          <w:noProof/>
        </w:rPr>
        <w:t xml:space="preserve"> </w:t>
      </w:r>
      <w:r w:rsidR="00FA3EFA">
        <w:rPr>
          <w:noProof/>
        </w:rPr>
        <w:t>under the CEEAG</w:t>
      </w:r>
      <w:r>
        <w:rPr>
          <w:rStyle w:val="FootnoteReference"/>
          <w:noProof/>
        </w:rPr>
        <w:footnoteReference w:id="123"/>
      </w:r>
      <w:r>
        <w:rPr>
          <w:noProof/>
        </w:rPr>
        <w:t xml:space="preserve">. COBRA will produce </w:t>
      </w:r>
      <w:r w:rsidRPr="00A247E0">
        <w:rPr>
          <w:noProof/>
        </w:rPr>
        <w:t>renewable hydrogen</w:t>
      </w:r>
      <w:r>
        <w:rPr>
          <w:noProof/>
        </w:rPr>
        <w:t xml:space="preserve"> and </w:t>
      </w:r>
      <w:r w:rsidRPr="00A247E0">
        <w:rPr>
          <w:noProof/>
        </w:rPr>
        <w:t>promot</w:t>
      </w:r>
      <w:r>
        <w:rPr>
          <w:noProof/>
        </w:rPr>
        <w:t>e</w:t>
      </w:r>
      <w:r w:rsidRPr="00A247E0">
        <w:rPr>
          <w:noProof/>
        </w:rPr>
        <w:t xml:space="preserve"> its use in industrials sectors. The </w:t>
      </w:r>
      <w:r>
        <w:rPr>
          <w:noProof/>
        </w:rPr>
        <w:t xml:space="preserve">State aid </w:t>
      </w:r>
      <w:r w:rsidRPr="00A247E0">
        <w:rPr>
          <w:noProof/>
        </w:rPr>
        <w:t xml:space="preserve">measure </w:t>
      </w:r>
      <w:r>
        <w:rPr>
          <w:noProof/>
        </w:rPr>
        <w:t xml:space="preserve">– supported by the RRF </w:t>
      </w:r>
      <w:r w:rsidR="00262820">
        <w:rPr>
          <w:noProof/>
        </w:rPr>
        <w:t>–</w:t>
      </w:r>
      <w:r>
        <w:rPr>
          <w:noProof/>
        </w:rPr>
        <w:t xml:space="preserve"> </w:t>
      </w:r>
      <w:r w:rsidRPr="00A247E0">
        <w:rPr>
          <w:noProof/>
        </w:rPr>
        <w:t>contributes to the achievement of the EU Hydrogen Strategy and the European Green Deal targets, while helping reduce dependence on Russian fossil fuels and fast forward the green transition in line with the REPowerEU Plan.</w:t>
      </w:r>
    </w:p>
    <w:p w14:paraId="4F807891" w14:textId="77777777" w:rsidR="00BB72EE" w:rsidRDefault="00E53FA7" w:rsidP="00506E55">
      <w:pPr>
        <w:spacing w:before="120" w:after="120"/>
        <w:rPr>
          <w:noProof/>
        </w:rPr>
      </w:pPr>
      <w:r w:rsidRPr="00E53FA7">
        <w:rPr>
          <w:noProof/>
        </w:rPr>
        <w:t xml:space="preserve">The pace of developments </w:t>
      </w:r>
      <w:r w:rsidR="00937013">
        <w:rPr>
          <w:noProof/>
        </w:rPr>
        <w:t>was</w:t>
      </w:r>
      <w:r w:rsidRPr="00E53FA7">
        <w:rPr>
          <w:noProof/>
        </w:rPr>
        <w:t xml:space="preserve"> fast in 2022 and the Commission reacted </w:t>
      </w:r>
      <w:r w:rsidR="00937013">
        <w:rPr>
          <w:noProof/>
        </w:rPr>
        <w:t xml:space="preserve">by </w:t>
      </w:r>
      <w:r w:rsidRPr="00E53FA7">
        <w:rPr>
          <w:noProof/>
        </w:rPr>
        <w:t xml:space="preserve">adjusting the State aid framework and putting in place energy crisis measures </w:t>
      </w:r>
      <w:r w:rsidR="00DF6252">
        <w:rPr>
          <w:noProof/>
        </w:rPr>
        <w:t xml:space="preserve">intended </w:t>
      </w:r>
      <w:r w:rsidRPr="00E53FA7">
        <w:rPr>
          <w:noProof/>
        </w:rPr>
        <w:t xml:space="preserve">to relieve </w:t>
      </w:r>
      <w:r w:rsidR="00DF6252">
        <w:rPr>
          <w:noProof/>
        </w:rPr>
        <w:t xml:space="preserve">the </w:t>
      </w:r>
      <w:r w:rsidRPr="00E53FA7">
        <w:rPr>
          <w:noProof/>
        </w:rPr>
        <w:t>pressure on energy bill payers.</w:t>
      </w:r>
      <w:r>
        <w:rPr>
          <w:noProof/>
        </w:rPr>
        <w:t xml:space="preserve"> </w:t>
      </w:r>
    </w:p>
    <w:p w14:paraId="0E9E3356" w14:textId="77777777" w:rsidR="00AF01D1" w:rsidRDefault="00E53FA7" w:rsidP="009614E3">
      <w:pPr>
        <w:spacing w:before="120"/>
        <w:rPr>
          <w:noProof/>
          <w:lang w:val="en-IE"/>
        </w:rPr>
      </w:pPr>
      <w:r>
        <w:rPr>
          <w:noProof/>
        </w:rPr>
        <w:t>For instance, t</w:t>
      </w:r>
      <w:r w:rsidR="00AF01D1" w:rsidRPr="00937722">
        <w:rPr>
          <w:noProof/>
          <w:lang w:val="en-IE"/>
        </w:rPr>
        <w:t>o promote green district heating based on renewable energy and waste heat, the Commission approved, in August 2022, a EUR 2.98 billion German scheme. This scheme will support the construction of more efficient district heating systems and the decarbonisation of existing ones, increasing the share of renewable energy and waste heat in the heating sector</w:t>
      </w:r>
      <w:r w:rsidR="00A01FC4">
        <w:rPr>
          <w:noProof/>
          <w:lang w:val="en-IE"/>
        </w:rPr>
        <w:t>. This will lead to a</w:t>
      </w:r>
      <w:r w:rsidR="00AF01D1" w:rsidRPr="00937722">
        <w:rPr>
          <w:noProof/>
          <w:lang w:val="en-IE"/>
        </w:rPr>
        <w:t xml:space="preserve"> considerabl</w:t>
      </w:r>
      <w:r w:rsidR="00A01FC4">
        <w:rPr>
          <w:noProof/>
          <w:lang w:val="en-IE"/>
        </w:rPr>
        <w:t>e</w:t>
      </w:r>
      <w:r w:rsidR="00AF01D1" w:rsidRPr="00937722">
        <w:rPr>
          <w:noProof/>
          <w:lang w:val="en-IE"/>
        </w:rPr>
        <w:t xml:space="preserve"> decreas</w:t>
      </w:r>
      <w:r w:rsidR="00A01FC4">
        <w:rPr>
          <w:noProof/>
          <w:lang w:val="en-IE"/>
        </w:rPr>
        <w:t>e</w:t>
      </w:r>
      <w:r w:rsidR="00AF01D1" w:rsidRPr="00937722">
        <w:rPr>
          <w:noProof/>
          <w:lang w:val="en-IE"/>
        </w:rPr>
        <w:t xml:space="preserve"> i</w:t>
      </w:r>
      <w:r w:rsidR="00A01FC4">
        <w:rPr>
          <w:noProof/>
          <w:lang w:val="en-IE"/>
        </w:rPr>
        <w:t>n</w:t>
      </w:r>
      <w:r w:rsidR="00AF01D1" w:rsidRPr="00937722">
        <w:rPr>
          <w:noProof/>
          <w:lang w:val="en-IE"/>
        </w:rPr>
        <w:t xml:space="preserve"> emissions</w:t>
      </w:r>
      <w:r w:rsidR="00AF01D1" w:rsidRPr="00937722">
        <w:rPr>
          <w:rStyle w:val="FootnoteReference"/>
          <w:noProof/>
          <w:sz w:val="24"/>
          <w:szCs w:val="24"/>
          <w:lang w:val="en-IE"/>
        </w:rPr>
        <w:footnoteReference w:id="124"/>
      </w:r>
      <w:r w:rsidR="00AF01D1" w:rsidRPr="00937722">
        <w:rPr>
          <w:noProof/>
          <w:lang w:val="en-IE"/>
        </w:rPr>
        <w:t>.</w:t>
      </w:r>
      <w:r w:rsidR="00E21988">
        <w:rPr>
          <w:noProof/>
          <w:lang w:val="en-IE"/>
        </w:rPr>
        <w:t xml:space="preserve"> Furthermore, the Commission approved a modification of a German scheme to support electricity production from renewable energy sources. The scheme reflects a recent amendment by Germany to its Renewable Energy Act. The Act has an overall budget of EUR 28 billion and aim at achieving a share of 80% of electricity produced from renewable energy sources by 2030, with a view to achieving climate neutrality by 2045</w:t>
      </w:r>
      <w:r w:rsidR="00111DCA">
        <w:rPr>
          <w:rStyle w:val="FootnoteReference"/>
          <w:noProof/>
          <w:lang w:val="en-IE"/>
        </w:rPr>
        <w:footnoteReference w:id="125"/>
      </w:r>
      <w:r w:rsidR="00E21988">
        <w:rPr>
          <w:noProof/>
          <w:lang w:val="en-IE"/>
        </w:rPr>
        <w:t>.</w:t>
      </w:r>
    </w:p>
    <w:p w14:paraId="662429DB" w14:textId="77777777" w:rsidR="00F44682" w:rsidRDefault="008D1296" w:rsidP="00E16E8F">
      <w:pPr>
        <w:pStyle w:val="Heading2"/>
      </w:pPr>
      <w:bookmarkStart w:id="29" w:name="_Toc122109058"/>
      <w:bookmarkStart w:id="30" w:name="_Toc130224419"/>
      <w:r w:rsidRPr="00937722">
        <w:t>4.3</w:t>
      </w:r>
      <w:r w:rsidR="00F44682" w:rsidRPr="00937722">
        <w:t>. Competition policy contributed to an economy that works for people</w:t>
      </w:r>
      <w:bookmarkEnd w:id="29"/>
      <w:bookmarkEnd w:id="30"/>
    </w:p>
    <w:p w14:paraId="14669891" w14:textId="77777777" w:rsidR="00AC41F1" w:rsidRPr="00EF26B8" w:rsidRDefault="00F44682" w:rsidP="0018779C">
      <w:pPr>
        <w:pStyle w:val="Heading3"/>
        <w:spacing w:after="120"/>
        <w:rPr>
          <w:noProof/>
          <w:sz w:val="24"/>
        </w:rPr>
      </w:pPr>
      <w:r w:rsidRPr="00EF26B8">
        <w:rPr>
          <w:noProof/>
          <w:sz w:val="24"/>
        </w:rPr>
        <w:t>A conference that reviewed and debated the impact of compe</w:t>
      </w:r>
      <w:r w:rsidR="00AC41F1" w:rsidRPr="00EF26B8">
        <w:rPr>
          <w:noProof/>
          <w:sz w:val="24"/>
        </w:rPr>
        <w:t>tition policy on people’s lives</w:t>
      </w:r>
    </w:p>
    <w:p w14:paraId="3EF7BCA1" w14:textId="77777777" w:rsidR="00F15558" w:rsidRPr="00937722" w:rsidRDefault="00686497" w:rsidP="00E542AF">
      <w:pPr>
        <w:spacing w:after="120"/>
        <w:rPr>
          <w:noProof/>
        </w:rPr>
      </w:pPr>
      <w:r w:rsidRPr="00937722">
        <w:rPr>
          <w:noProof/>
        </w:rPr>
        <w:t>In October 2022, DG Competition organised a conference</w:t>
      </w:r>
      <w:r w:rsidRPr="00937722">
        <w:rPr>
          <w:rStyle w:val="FootnoteReference"/>
          <w:noProof/>
          <w:sz w:val="24"/>
          <w:szCs w:val="24"/>
        </w:rPr>
        <w:footnoteReference w:id="126"/>
      </w:r>
      <w:r w:rsidRPr="00937722">
        <w:rPr>
          <w:noProof/>
        </w:rPr>
        <w:t xml:space="preserve"> to discuss the significance of maintaining, nourishing, and developing </w:t>
      </w:r>
      <w:r w:rsidR="00786875" w:rsidRPr="00937722">
        <w:rPr>
          <w:noProof/>
        </w:rPr>
        <w:t>a European social market economy</w:t>
      </w:r>
      <w:r w:rsidR="00545E99">
        <w:rPr>
          <w:noProof/>
        </w:rPr>
        <w:t xml:space="preserve"> and the role </w:t>
      </w:r>
      <w:r w:rsidR="009050BF">
        <w:rPr>
          <w:noProof/>
        </w:rPr>
        <w:t xml:space="preserve">of </w:t>
      </w:r>
      <w:r w:rsidR="00545E99">
        <w:rPr>
          <w:noProof/>
        </w:rPr>
        <w:t>competition policy</w:t>
      </w:r>
      <w:r w:rsidR="00786875" w:rsidRPr="00937722">
        <w:rPr>
          <w:noProof/>
        </w:rPr>
        <w:t xml:space="preserve">. </w:t>
      </w:r>
      <w:r w:rsidR="00AD417F" w:rsidRPr="00937722">
        <w:rPr>
          <w:noProof/>
        </w:rPr>
        <w:t>In her keynote speech</w:t>
      </w:r>
      <w:r w:rsidR="00D806E9" w:rsidRPr="00937722">
        <w:rPr>
          <w:noProof/>
        </w:rPr>
        <w:t>,</w:t>
      </w:r>
      <w:r w:rsidR="00AD417F" w:rsidRPr="00937722">
        <w:rPr>
          <w:noProof/>
        </w:rPr>
        <w:t xml:space="preserve"> </w:t>
      </w:r>
      <w:r w:rsidRPr="00937722">
        <w:rPr>
          <w:noProof/>
        </w:rPr>
        <w:t xml:space="preserve">Executive Vice-President </w:t>
      </w:r>
      <w:r w:rsidRPr="00AA79B2">
        <w:rPr>
          <w:noProof/>
        </w:rPr>
        <w:t>Vestager</w:t>
      </w:r>
      <w:r w:rsidRPr="00937722">
        <w:rPr>
          <w:noProof/>
        </w:rPr>
        <w:t xml:space="preserve"> </w:t>
      </w:r>
      <w:r w:rsidR="00786875" w:rsidRPr="00937722">
        <w:rPr>
          <w:noProof/>
        </w:rPr>
        <w:t>highlighted the main aspects of an economy that truly works for people and how competition policy is playing a vital role in this respect</w:t>
      </w:r>
      <w:r w:rsidRPr="00937722">
        <w:rPr>
          <w:rStyle w:val="FootnoteReference"/>
          <w:noProof/>
          <w:sz w:val="24"/>
          <w:szCs w:val="24"/>
        </w:rPr>
        <w:footnoteReference w:id="127"/>
      </w:r>
      <w:r w:rsidR="00786875" w:rsidRPr="00937722">
        <w:rPr>
          <w:noProof/>
        </w:rPr>
        <w:t>.</w:t>
      </w:r>
      <w:r w:rsidRPr="00937722">
        <w:rPr>
          <w:noProof/>
        </w:rPr>
        <w:t xml:space="preserve"> </w:t>
      </w:r>
      <w:r w:rsidR="00786875" w:rsidRPr="00937722">
        <w:rPr>
          <w:noProof/>
        </w:rPr>
        <w:t xml:space="preserve">This includes </w:t>
      </w:r>
      <w:r w:rsidRPr="00937722">
        <w:rPr>
          <w:noProof/>
        </w:rPr>
        <w:t xml:space="preserve">a fairer distribution of new opportunities, while </w:t>
      </w:r>
      <w:r w:rsidR="00786875" w:rsidRPr="00937722">
        <w:rPr>
          <w:noProof/>
        </w:rPr>
        <w:t xml:space="preserve">at the same time </w:t>
      </w:r>
      <w:r w:rsidRPr="00937722">
        <w:rPr>
          <w:noProof/>
        </w:rPr>
        <w:t>keeping prices low</w:t>
      </w:r>
      <w:r w:rsidR="00786875" w:rsidRPr="00937722">
        <w:rPr>
          <w:noProof/>
        </w:rPr>
        <w:t xml:space="preserve">, maintaining choice and fostering innovative products and services. This is even more important in today’s </w:t>
      </w:r>
      <w:r w:rsidR="009C70F3">
        <w:rPr>
          <w:noProof/>
        </w:rPr>
        <w:t xml:space="preserve">volatile </w:t>
      </w:r>
      <w:r w:rsidRPr="00937722">
        <w:rPr>
          <w:noProof/>
        </w:rPr>
        <w:t>world</w:t>
      </w:r>
      <w:r w:rsidR="009C70F3">
        <w:rPr>
          <w:noProof/>
        </w:rPr>
        <w:t>, in which</w:t>
      </w:r>
      <w:r w:rsidR="00E27492">
        <w:rPr>
          <w:noProof/>
        </w:rPr>
        <w:t xml:space="preserve"> </w:t>
      </w:r>
      <w:r w:rsidRPr="00937722">
        <w:rPr>
          <w:noProof/>
        </w:rPr>
        <w:t>new challenges</w:t>
      </w:r>
      <w:r w:rsidR="009C70F3">
        <w:rPr>
          <w:noProof/>
        </w:rPr>
        <w:t xml:space="preserve"> emerge</w:t>
      </w:r>
      <w:r w:rsidR="00786875" w:rsidRPr="00937722">
        <w:rPr>
          <w:noProof/>
        </w:rPr>
        <w:t xml:space="preserve">, requiring </w:t>
      </w:r>
      <w:r w:rsidRPr="00937722">
        <w:rPr>
          <w:noProof/>
        </w:rPr>
        <w:t>new solutions</w:t>
      </w:r>
      <w:r w:rsidR="00AD417F" w:rsidRPr="00937722">
        <w:rPr>
          <w:noProof/>
        </w:rPr>
        <w:t xml:space="preserve">. </w:t>
      </w:r>
      <w:r w:rsidR="002F6781" w:rsidRPr="00937722">
        <w:rPr>
          <w:noProof/>
        </w:rPr>
        <w:t xml:space="preserve">Competition policy should ensure the best possible conditions </w:t>
      </w:r>
      <w:r w:rsidR="00AD417F" w:rsidRPr="00937722">
        <w:rPr>
          <w:noProof/>
        </w:rPr>
        <w:t>for consumers</w:t>
      </w:r>
      <w:r w:rsidR="009C70F3">
        <w:rPr>
          <w:noProof/>
        </w:rPr>
        <w:t>,</w:t>
      </w:r>
      <w:r w:rsidR="002F6781" w:rsidRPr="00937722">
        <w:rPr>
          <w:noProof/>
        </w:rPr>
        <w:t xml:space="preserve"> </w:t>
      </w:r>
      <w:r w:rsidR="00AD417F" w:rsidRPr="00937722">
        <w:rPr>
          <w:noProof/>
        </w:rPr>
        <w:t xml:space="preserve">but </w:t>
      </w:r>
      <w:r w:rsidR="00A06FB1" w:rsidRPr="00937722">
        <w:rPr>
          <w:noProof/>
        </w:rPr>
        <w:t xml:space="preserve">should not stand in the way of other policies pursuing </w:t>
      </w:r>
      <w:r w:rsidR="00AD417F" w:rsidRPr="00937722">
        <w:rPr>
          <w:noProof/>
        </w:rPr>
        <w:t xml:space="preserve">other policy </w:t>
      </w:r>
      <w:r w:rsidR="00A06FB1" w:rsidRPr="00937722">
        <w:rPr>
          <w:noProof/>
        </w:rPr>
        <w:t>goals</w:t>
      </w:r>
      <w:r w:rsidR="00E542AF">
        <w:rPr>
          <w:noProof/>
        </w:rPr>
        <w:t>.</w:t>
      </w:r>
      <w:r w:rsidR="00BB72EE" w:rsidRPr="00BB72EE">
        <w:rPr>
          <w:noProof/>
        </w:rPr>
        <w:t xml:space="preserve"> </w:t>
      </w:r>
      <w:r w:rsidR="00BB72EE" w:rsidRPr="00937722">
        <w:rPr>
          <w:noProof/>
        </w:rPr>
        <w:t>The interplay between regulation and competition policy should therefore be seen as complementary.</w:t>
      </w:r>
    </w:p>
    <w:p w14:paraId="410C510B" w14:textId="77777777" w:rsidR="00F44682" w:rsidRPr="00EF26B8" w:rsidRDefault="00344754" w:rsidP="0018779C">
      <w:pPr>
        <w:pStyle w:val="Heading3"/>
        <w:spacing w:after="120"/>
        <w:rPr>
          <w:noProof/>
          <w:sz w:val="24"/>
        </w:rPr>
      </w:pPr>
      <w:r w:rsidRPr="00EF26B8">
        <w:rPr>
          <w:noProof/>
          <w:sz w:val="24"/>
        </w:rPr>
        <w:t>Competition policy enforcement contributed to r</w:t>
      </w:r>
      <w:r w:rsidR="00F44682" w:rsidRPr="00EF26B8">
        <w:rPr>
          <w:noProof/>
          <w:sz w:val="24"/>
        </w:rPr>
        <w:t>esilient European financial services</w:t>
      </w:r>
    </w:p>
    <w:p w14:paraId="108DE3B2" w14:textId="77777777" w:rsidR="003A7DDD" w:rsidRPr="00937722" w:rsidRDefault="00D51EFF" w:rsidP="00E542AF">
      <w:pPr>
        <w:spacing w:after="120"/>
        <w:rPr>
          <w:noProof/>
        </w:rPr>
      </w:pPr>
      <w:r>
        <w:rPr>
          <w:noProof/>
        </w:rPr>
        <w:t>State aid enforcement</w:t>
      </w:r>
      <w:r w:rsidRPr="00D51EFF">
        <w:rPr>
          <w:noProof/>
        </w:rPr>
        <w:t xml:space="preserve"> played </w:t>
      </w:r>
      <w:r w:rsidR="009C70F3">
        <w:rPr>
          <w:noProof/>
        </w:rPr>
        <w:t xml:space="preserve">a </w:t>
      </w:r>
      <w:r w:rsidRPr="00D51EFF">
        <w:rPr>
          <w:noProof/>
        </w:rPr>
        <w:t xml:space="preserve">crucial role in protecting the Single </w:t>
      </w:r>
      <w:r w:rsidR="009C70F3">
        <w:rPr>
          <w:noProof/>
        </w:rPr>
        <w:t>M</w:t>
      </w:r>
      <w:r w:rsidR="009C70F3" w:rsidRPr="00D51EFF">
        <w:rPr>
          <w:noProof/>
        </w:rPr>
        <w:t xml:space="preserve">arket </w:t>
      </w:r>
      <w:r w:rsidRPr="00D51EFF">
        <w:rPr>
          <w:noProof/>
        </w:rPr>
        <w:t>and supporting EU economic policies</w:t>
      </w:r>
      <w:r>
        <w:rPr>
          <w:noProof/>
        </w:rPr>
        <w:t xml:space="preserve"> in 2022</w:t>
      </w:r>
      <w:r w:rsidRPr="00D51EFF">
        <w:rPr>
          <w:noProof/>
        </w:rPr>
        <w:t xml:space="preserve">. </w:t>
      </w:r>
      <w:r w:rsidR="003A7DDD" w:rsidRPr="00937722">
        <w:rPr>
          <w:noProof/>
        </w:rPr>
        <w:t xml:space="preserve">The Commission authorised </w:t>
      </w:r>
      <w:r w:rsidR="003B3FCE" w:rsidRPr="003B3FCE">
        <w:rPr>
          <w:noProof/>
        </w:rPr>
        <w:t>aid to support the</w:t>
      </w:r>
      <w:r w:rsidR="003B3FCE">
        <w:rPr>
          <w:noProof/>
        </w:rPr>
        <w:t xml:space="preserve"> resolution of </w:t>
      </w:r>
      <w:r w:rsidR="003B3FCE" w:rsidRPr="00AA79B2">
        <w:rPr>
          <w:i/>
          <w:noProof/>
        </w:rPr>
        <w:t>Getin Noble Bank</w:t>
      </w:r>
      <w:r w:rsidR="003B3FCE">
        <w:rPr>
          <w:rStyle w:val="FootnoteReference"/>
          <w:noProof/>
        </w:rPr>
        <w:footnoteReference w:id="128"/>
      </w:r>
      <w:r w:rsidR="003B3FCE" w:rsidRPr="003B3FCE">
        <w:rPr>
          <w:noProof/>
        </w:rPr>
        <w:t>, one of the ten largest Polish banks</w:t>
      </w:r>
      <w:r w:rsidR="00C94183">
        <w:rPr>
          <w:noProof/>
        </w:rPr>
        <w:t xml:space="preserve">. The Commission also </w:t>
      </w:r>
      <w:r w:rsidR="003A7DDD" w:rsidRPr="00937722">
        <w:rPr>
          <w:noProof/>
        </w:rPr>
        <w:t>prolong</w:t>
      </w:r>
      <w:r w:rsidR="00C94183">
        <w:rPr>
          <w:noProof/>
        </w:rPr>
        <w:t>ed</w:t>
      </w:r>
      <w:r w:rsidR="003A7DDD" w:rsidRPr="00937722">
        <w:rPr>
          <w:noProof/>
        </w:rPr>
        <w:t xml:space="preserve"> several existing State aid schemes </w:t>
      </w:r>
      <w:r w:rsidR="00C94183">
        <w:rPr>
          <w:noProof/>
        </w:rPr>
        <w:t xml:space="preserve">which </w:t>
      </w:r>
      <w:r w:rsidR="003A7DDD" w:rsidRPr="00937722">
        <w:rPr>
          <w:noProof/>
        </w:rPr>
        <w:t>allow Member States to strengthen the resilience of the financial sector without having to grant new State aid to individual financial institutions. In particular, the Commission authorised the prolongation of schemes for the restructuring or orderly market exit of banks in distress in Poland</w:t>
      </w:r>
      <w:r w:rsidR="003A7DDD" w:rsidRPr="00937722">
        <w:rPr>
          <w:rStyle w:val="FootnoteReference"/>
          <w:noProof/>
          <w:sz w:val="24"/>
          <w:szCs w:val="24"/>
        </w:rPr>
        <w:footnoteReference w:id="129"/>
      </w:r>
      <w:r w:rsidR="003A7DDD" w:rsidRPr="00937722">
        <w:rPr>
          <w:noProof/>
        </w:rPr>
        <w:t>, Ireland</w:t>
      </w:r>
      <w:r w:rsidR="003A7DDD" w:rsidRPr="00937722">
        <w:rPr>
          <w:rStyle w:val="FootnoteReference"/>
          <w:noProof/>
          <w:sz w:val="24"/>
          <w:szCs w:val="24"/>
        </w:rPr>
        <w:footnoteReference w:id="130"/>
      </w:r>
      <w:r w:rsidR="003A7DDD" w:rsidRPr="00937722">
        <w:rPr>
          <w:noProof/>
        </w:rPr>
        <w:t xml:space="preserve"> and Italy</w:t>
      </w:r>
      <w:r w:rsidR="003A7DDD" w:rsidRPr="00937722">
        <w:rPr>
          <w:rStyle w:val="FootnoteReference"/>
          <w:noProof/>
          <w:sz w:val="24"/>
          <w:szCs w:val="24"/>
        </w:rPr>
        <w:footnoteReference w:id="131"/>
      </w:r>
      <w:r w:rsidR="003A7DDD" w:rsidRPr="00937722">
        <w:rPr>
          <w:noProof/>
        </w:rPr>
        <w:t xml:space="preserve">. </w:t>
      </w:r>
    </w:p>
    <w:p w14:paraId="2E64EF31" w14:textId="77777777" w:rsidR="003A7DDD" w:rsidRDefault="003A7DDD" w:rsidP="00E542AF">
      <w:pPr>
        <w:spacing w:after="120"/>
        <w:rPr>
          <w:noProof/>
        </w:rPr>
      </w:pPr>
      <w:r w:rsidRPr="00937722">
        <w:rPr>
          <w:noProof/>
        </w:rPr>
        <w:t>In addition, the Commission continue</w:t>
      </w:r>
      <w:r w:rsidR="00766B1C" w:rsidRPr="00937722">
        <w:rPr>
          <w:noProof/>
        </w:rPr>
        <w:t>d</w:t>
      </w:r>
      <w:r w:rsidRPr="00937722">
        <w:rPr>
          <w:noProof/>
        </w:rPr>
        <w:t xml:space="preserve"> to authorise Member States’ support of recently founded SMEs and start-ups frequently held back by limited access to finance. To this end, the Commission approved a second modification of the existing risk finance scheme in France</w:t>
      </w:r>
      <w:r w:rsidRPr="00937722">
        <w:rPr>
          <w:rStyle w:val="FootnoteReference"/>
          <w:noProof/>
          <w:sz w:val="24"/>
          <w:szCs w:val="24"/>
        </w:rPr>
        <w:footnoteReference w:id="132"/>
      </w:r>
      <w:r w:rsidRPr="00937722">
        <w:rPr>
          <w:noProof/>
        </w:rPr>
        <w:t>.</w:t>
      </w:r>
    </w:p>
    <w:p w14:paraId="7139083C" w14:textId="77777777" w:rsidR="002844C0" w:rsidRPr="00937722" w:rsidRDefault="002844C0" w:rsidP="002844C0">
      <w:pPr>
        <w:rPr>
          <w:noProof/>
        </w:rPr>
      </w:pPr>
      <w:r>
        <w:rPr>
          <w:noProof/>
        </w:rPr>
        <w:t>Also i</w:t>
      </w:r>
      <w:r w:rsidRPr="00836AED">
        <w:rPr>
          <w:noProof/>
        </w:rPr>
        <w:t>n the financial services sector</w:t>
      </w:r>
      <w:r>
        <w:rPr>
          <w:noProof/>
        </w:rPr>
        <w:t>,</w:t>
      </w:r>
      <w:r w:rsidRPr="00836AED">
        <w:rPr>
          <w:noProof/>
        </w:rPr>
        <w:t xml:space="preserve"> the Commission completed in 2022 its investigation into the access conditions to the Insurance Link data sharing system administered by </w:t>
      </w:r>
      <w:r w:rsidRPr="00836AED">
        <w:rPr>
          <w:i/>
          <w:noProof/>
        </w:rPr>
        <w:t>Insurance Ireland</w:t>
      </w:r>
      <w:r w:rsidRPr="00836AED">
        <w:rPr>
          <w:noProof/>
        </w:rPr>
        <w:t xml:space="preserve"> in the Irish motor insurance market. Following the Commission’s intervention, access to Insurance Link is now available on a fair, transparent, objective and non-discriminatory basis</w:t>
      </w:r>
      <w:r>
        <w:rPr>
          <w:rStyle w:val="FootnoteReference"/>
          <w:noProof/>
        </w:rPr>
        <w:footnoteReference w:id="133"/>
      </w:r>
      <w:r w:rsidRPr="00836AED">
        <w:rPr>
          <w:noProof/>
        </w:rPr>
        <w:t>.</w:t>
      </w:r>
    </w:p>
    <w:p w14:paraId="33FDD30B" w14:textId="77777777" w:rsidR="002844C0" w:rsidRPr="00EF26B8" w:rsidRDefault="002844C0" w:rsidP="002844C0">
      <w:pPr>
        <w:pStyle w:val="Heading3"/>
        <w:spacing w:after="120"/>
        <w:rPr>
          <w:noProof/>
          <w:sz w:val="24"/>
        </w:rPr>
      </w:pPr>
      <w:r w:rsidRPr="00EF26B8">
        <w:rPr>
          <w:noProof/>
          <w:sz w:val="24"/>
        </w:rPr>
        <w:t xml:space="preserve">Competition policy enforcement </w:t>
      </w:r>
      <w:r>
        <w:rPr>
          <w:noProof/>
          <w:sz w:val="24"/>
        </w:rPr>
        <w:t>complementing tax policy</w:t>
      </w:r>
    </w:p>
    <w:p w14:paraId="2B96208B" w14:textId="77777777" w:rsidR="006E2A63" w:rsidRPr="00E542AF" w:rsidRDefault="006E2A63" w:rsidP="00937722">
      <w:pPr>
        <w:pBdr>
          <w:top w:val="single" w:sz="4" w:space="1" w:color="auto"/>
          <w:left w:val="single" w:sz="4" w:space="4" w:color="auto"/>
          <w:bottom w:val="single" w:sz="4" w:space="1" w:color="auto"/>
          <w:right w:val="single" w:sz="4" w:space="4" w:color="auto"/>
        </w:pBdr>
        <w:spacing w:after="60" w:line="240" w:lineRule="auto"/>
        <w:jc w:val="left"/>
        <w:rPr>
          <w:b/>
          <w:bCs/>
          <w:noProof/>
          <w:color w:val="0070C0"/>
          <w:sz w:val="22"/>
        </w:rPr>
      </w:pPr>
      <w:r w:rsidRPr="00E542AF">
        <w:rPr>
          <w:b/>
          <w:bCs/>
          <w:noProof/>
          <w:color w:val="0070C0"/>
          <w:sz w:val="22"/>
        </w:rPr>
        <w:t>Court of Justice judgment in the Fiat Chrysler/Luxembourg case</w:t>
      </w:r>
    </w:p>
    <w:p w14:paraId="396B3C47" w14:textId="77777777" w:rsidR="00CD03E6" w:rsidRPr="00E542AF" w:rsidRDefault="00CD03E6" w:rsidP="00EB2AFD">
      <w:pPr>
        <w:pBdr>
          <w:top w:val="single" w:sz="4" w:space="1" w:color="auto"/>
          <w:left w:val="single" w:sz="4" w:space="4" w:color="auto"/>
          <w:bottom w:val="single" w:sz="4" w:space="1" w:color="auto"/>
          <w:right w:val="single" w:sz="4" w:space="4" w:color="auto"/>
        </w:pBdr>
        <w:spacing w:line="240" w:lineRule="auto"/>
        <w:rPr>
          <w:noProof/>
          <w:color w:val="0070C0"/>
          <w:sz w:val="22"/>
        </w:rPr>
      </w:pPr>
      <w:r w:rsidRPr="00E542AF">
        <w:rPr>
          <w:noProof/>
          <w:color w:val="0070C0"/>
          <w:sz w:val="22"/>
        </w:rPr>
        <w:t xml:space="preserve">In </w:t>
      </w:r>
      <w:r w:rsidR="002844C0">
        <w:rPr>
          <w:noProof/>
          <w:color w:val="0070C0"/>
          <w:sz w:val="22"/>
        </w:rPr>
        <w:t xml:space="preserve">November </w:t>
      </w:r>
      <w:r w:rsidRPr="00E542AF">
        <w:rPr>
          <w:noProof/>
          <w:color w:val="0070C0"/>
          <w:sz w:val="22"/>
        </w:rPr>
        <w:t>2022, the Court of Justice set aside the General Court’s judgment</w:t>
      </w:r>
      <w:r w:rsidRPr="00E542AF">
        <w:rPr>
          <w:rStyle w:val="FootnoteReference"/>
          <w:noProof/>
          <w:color w:val="0070C0"/>
          <w:sz w:val="22"/>
        </w:rPr>
        <w:footnoteReference w:id="134"/>
      </w:r>
      <w:r w:rsidRPr="00E542AF">
        <w:rPr>
          <w:noProof/>
          <w:color w:val="0070C0"/>
          <w:sz w:val="22"/>
        </w:rPr>
        <w:t xml:space="preserve"> and annulled the Commission’s 2015 decision which </w:t>
      </w:r>
      <w:r w:rsidR="002A1BE2">
        <w:rPr>
          <w:noProof/>
          <w:color w:val="0070C0"/>
          <w:sz w:val="22"/>
        </w:rPr>
        <w:t xml:space="preserve">had </w:t>
      </w:r>
      <w:r w:rsidRPr="00E542AF">
        <w:rPr>
          <w:noProof/>
          <w:color w:val="0070C0"/>
          <w:sz w:val="22"/>
        </w:rPr>
        <w:t>found that Luxembourg had, by way of a tax ruling, granted Fiat Chrysler</w:t>
      </w:r>
      <w:r w:rsidR="002A1BE2">
        <w:rPr>
          <w:noProof/>
          <w:color w:val="0070C0"/>
          <w:sz w:val="22"/>
        </w:rPr>
        <w:t>/Luxembourg</w:t>
      </w:r>
      <w:r w:rsidRPr="00E542AF">
        <w:rPr>
          <w:noProof/>
          <w:color w:val="0070C0"/>
          <w:sz w:val="22"/>
        </w:rPr>
        <w:t xml:space="preserve"> an illegal tax break</w:t>
      </w:r>
      <w:r w:rsidR="00AB4F55">
        <w:rPr>
          <w:rStyle w:val="FootnoteReference"/>
          <w:noProof/>
          <w:color w:val="0070C0"/>
          <w:sz w:val="22"/>
        </w:rPr>
        <w:footnoteReference w:id="135"/>
      </w:r>
      <w:r w:rsidRPr="00E542AF">
        <w:rPr>
          <w:noProof/>
          <w:color w:val="0070C0"/>
          <w:sz w:val="22"/>
        </w:rPr>
        <w:t xml:space="preserve">. The </w:t>
      </w:r>
      <w:r w:rsidR="002A1BE2">
        <w:rPr>
          <w:noProof/>
          <w:color w:val="0070C0"/>
          <w:sz w:val="22"/>
        </w:rPr>
        <w:t>Court of Justice</w:t>
      </w:r>
      <w:r w:rsidRPr="00E542AF">
        <w:rPr>
          <w:noProof/>
          <w:color w:val="0070C0"/>
          <w:sz w:val="22"/>
        </w:rPr>
        <w:t xml:space="preserve"> stated that only the national law applicable in the Member State concerned </w:t>
      </w:r>
      <w:r w:rsidR="002A1BE2">
        <w:rPr>
          <w:noProof/>
          <w:color w:val="0070C0"/>
          <w:sz w:val="22"/>
        </w:rPr>
        <w:t>should</w:t>
      </w:r>
      <w:r w:rsidRPr="00E542AF">
        <w:rPr>
          <w:noProof/>
          <w:color w:val="0070C0"/>
          <w:sz w:val="22"/>
        </w:rPr>
        <w:t xml:space="preserve"> be taken into account when identifying the normal taxation system to </w:t>
      </w:r>
      <w:r w:rsidR="002A1BE2">
        <w:rPr>
          <w:noProof/>
          <w:color w:val="0070C0"/>
          <w:sz w:val="22"/>
        </w:rPr>
        <w:t xml:space="preserve">be used as reference when </w:t>
      </w:r>
      <w:r w:rsidRPr="00E542AF">
        <w:rPr>
          <w:noProof/>
          <w:color w:val="0070C0"/>
          <w:sz w:val="22"/>
        </w:rPr>
        <w:t>determin</w:t>
      </w:r>
      <w:r w:rsidR="002A1BE2">
        <w:rPr>
          <w:noProof/>
          <w:color w:val="0070C0"/>
          <w:sz w:val="22"/>
        </w:rPr>
        <w:t>ing</w:t>
      </w:r>
      <w:r w:rsidRPr="00E542AF">
        <w:rPr>
          <w:noProof/>
          <w:color w:val="0070C0"/>
          <w:sz w:val="22"/>
        </w:rPr>
        <w:t xml:space="preserve"> if </w:t>
      </w:r>
      <w:r w:rsidR="002A1BE2">
        <w:rPr>
          <w:noProof/>
          <w:color w:val="0070C0"/>
          <w:sz w:val="22"/>
        </w:rPr>
        <w:t>the S</w:t>
      </w:r>
      <w:r w:rsidRPr="00E542AF">
        <w:rPr>
          <w:noProof/>
          <w:color w:val="0070C0"/>
          <w:sz w:val="22"/>
        </w:rPr>
        <w:t xml:space="preserve">tate aid has </w:t>
      </w:r>
      <w:r w:rsidR="002A1BE2">
        <w:rPr>
          <w:noProof/>
          <w:color w:val="0070C0"/>
          <w:sz w:val="22"/>
        </w:rPr>
        <w:t>generated</w:t>
      </w:r>
      <w:r w:rsidRPr="00E542AF">
        <w:rPr>
          <w:noProof/>
          <w:color w:val="0070C0"/>
          <w:sz w:val="22"/>
        </w:rPr>
        <w:t xml:space="preserve"> an illegal selective advantage to a company. The C</w:t>
      </w:r>
      <w:r w:rsidR="002A1BE2">
        <w:rPr>
          <w:noProof/>
          <w:color w:val="0070C0"/>
          <w:sz w:val="22"/>
        </w:rPr>
        <w:t>ourt of Justice</w:t>
      </w:r>
      <w:r w:rsidRPr="00E542AF">
        <w:rPr>
          <w:noProof/>
          <w:color w:val="0070C0"/>
          <w:sz w:val="22"/>
        </w:rPr>
        <w:t xml:space="preserve"> confirmed that </w:t>
      </w:r>
      <w:r w:rsidR="002A1BE2">
        <w:rPr>
          <w:noProof/>
          <w:color w:val="0070C0"/>
          <w:sz w:val="22"/>
        </w:rPr>
        <w:t xml:space="preserve">State subsidies </w:t>
      </w:r>
      <w:r w:rsidR="00A42F6A">
        <w:rPr>
          <w:noProof/>
          <w:color w:val="0070C0"/>
          <w:sz w:val="22"/>
        </w:rPr>
        <w:t>granted</w:t>
      </w:r>
      <w:r w:rsidRPr="00E542AF">
        <w:rPr>
          <w:noProof/>
          <w:color w:val="0070C0"/>
          <w:sz w:val="22"/>
        </w:rPr>
        <w:t xml:space="preserve"> by Member States in areas that are not subject to harmoni</w:t>
      </w:r>
      <w:r w:rsidR="002A1BE2">
        <w:rPr>
          <w:noProof/>
          <w:color w:val="0070C0"/>
          <w:sz w:val="22"/>
        </w:rPr>
        <w:t>s</w:t>
      </w:r>
      <w:r w:rsidRPr="00E542AF">
        <w:rPr>
          <w:noProof/>
          <w:color w:val="0070C0"/>
          <w:sz w:val="22"/>
        </w:rPr>
        <w:t xml:space="preserve">ation by EU law </w:t>
      </w:r>
      <w:r w:rsidR="002A1BE2">
        <w:rPr>
          <w:noProof/>
          <w:color w:val="0070C0"/>
          <w:sz w:val="22"/>
        </w:rPr>
        <w:t>are</w:t>
      </w:r>
      <w:r w:rsidRPr="00E542AF">
        <w:rPr>
          <w:noProof/>
          <w:color w:val="0070C0"/>
          <w:sz w:val="22"/>
        </w:rPr>
        <w:t xml:space="preserve"> not excluded from the State aid</w:t>
      </w:r>
      <w:r w:rsidR="002A1BE2">
        <w:rPr>
          <w:noProof/>
          <w:color w:val="0070C0"/>
          <w:sz w:val="22"/>
        </w:rPr>
        <w:t xml:space="preserve"> rules</w:t>
      </w:r>
      <w:r w:rsidRPr="00E542AF">
        <w:rPr>
          <w:noProof/>
          <w:color w:val="0070C0"/>
          <w:sz w:val="22"/>
        </w:rPr>
        <w:t xml:space="preserve">. </w:t>
      </w:r>
    </w:p>
    <w:p w14:paraId="61F44A14" w14:textId="77777777" w:rsidR="002C45F7" w:rsidRPr="00937722" w:rsidRDefault="004F3A34" w:rsidP="00E542AF">
      <w:pPr>
        <w:rPr>
          <w:noProof/>
        </w:rPr>
      </w:pPr>
      <w:r w:rsidRPr="00937722">
        <w:rPr>
          <w:noProof/>
        </w:rPr>
        <w:t xml:space="preserve">The Commission will continue using all the tools at its disposal to ensure </w:t>
      </w:r>
      <w:r w:rsidR="00393118" w:rsidRPr="00937722">
        <w:rPr>
          <w:noProof/>
        </w:rPr>
        <w:t xml:space="preserve">that free and </w:t>
      </w:r>
      <w:r w:rsidRPr="00937722">
        <w:rPr>
          <w:noProof/>
        </w:rPr>
        <w:t>fair competition is not distorted in the Single Market by Member States granting illegal tax breaks or implementing aggressive tax planning measures favouring international firms. This includes using EU State aid rules</w:t>
      </w:r>
      <w:r w:rsidR="009C70F3">
        <w:rPr>
          <w:noProof/>
        </w:rPr>
        <w:t>,</w:t>
      </w:r>
      <w:r w:rsidRPr="00937722">
        <w:rPr>
          <w:noProof/>
        </w:rPr>
        <w:t xml:space="preserve"> while fully taking into account the case law of the C</w:t>
      </w:r>
      <w:r w:rsidR="00A42F6A">
        <w:rPr>
          <w:noProof/>
        </w:rPr>
        <w:t>ourt of Justice</w:t>
      </w:r>
      <w:r w:rsidRPr="00937722">
        <w:rPr>
          <w:noProof/>
        </w:rPr>
        <w:t>.</w:t>
      </w:r>
    </w:p>
    <w:p w14:paraId="73CADCBF" w14:textId="77777777" w:rsidR="00F44682" w:rsidRPr="00937722" w:rsidRDefault="00B1360A" w:rsidP="00EF26B8">
      <w:pPr>
        <w:pStyle w:val="Heading1"/>
        <w:spacing w:after="200"/>
        <w:rPr>
          <w:noProof/>
        </w:rPr>
      </w:pPr>
      <w:bookmarkStart w:id="31" w:name="_Toc122109059"/>
      <w:bookmarkStart w:id="32" w:name="_Toc130224420"/>
      <w:r w:rsidRPr="00937722">
        <w:rPr>
          <w:noProof/>
        </w:rPr>
        <w:t xml:space="preserve">5. </w:t>
      </w:r>
      <w:r w:rsidR="00F44682" w:rsidRPr="00937722">
        <w:rPr>
          <w:noProof/>
        </w:rPr>
        <w:t>Competition policy in a European and global context</w:t>
      </w:r>
      <w:bookmarkEnd w:id="31"/>
      <w:bookmarkEnd w:id="32"/>
    </w:p>
    <w:p w14:paraId="4883726A" w14:textId="49605584" w:rsidR="00F44682" w:rsidRPr="00937722" w:rsidRDefault="00B1360A" w:rsidP="00E16E8F">
      <w:pPr>
        <w:pStyle w:val="Heading2"/>
      </w:pPr>
      <w:bookmarkStart w:id="33" w:name="_Toc122109060"/>
      <w:bookmarkStart w:id="34" w:name="_Toc130224421"/>
      <w:r>
        <w:t>5.1</w:t>
      </w:r>
      <w:r w:rsidR="00F44682" w:rsidRPr="00AA53E9">
        <w:t xml:space="preserve"> </w:t>
      </w:r>
      <w:r w:rsidR="00F44682" w:rsidRPr="00937722">
        <w:t xml:space="preserve">Joining forces shaping a European and </w:t>
      </w:r>
      <w:r w:rsidR="003049E0">
        <w:t>g</w:t>
      </w:r>
      <w:r w:rsidR="00F44682" w:rsidRPr="00937722">
        <w:t>lobal competition culture</w:t>
      </w:r>
      <w:bookmarkEnd w:id="33"/>
      <w:bookmarkEnd w:id="34"/>
    </w:p>
    <w:p w14:paraId="75C91D0E" w14:textId="77777777" w:rsidR="00F44682" w:rsidRPr="00EF26B8" w:rsidRDefault="00F44682" w:rsidP="0018779C">
      <w:pPr>
        <w:pStyle w:val="Heading3"/>
        <w:spacing w:after="120"/>
        <w:rPr>
          <w:noProof/>
          <w:sz w:val="24"/>
        </w:rPr>
      </w:pPr>
      <w:r w:rsidRPr="00EF26B8">
        <w:rPr>
          <w:noProof/>
          <w:sz w:val="24"/>
        </w:rPr>
        <w:t>Policy cohesion through the European Competition Network</w:t>
      </w:r>
    </w:p>
    <w:p w14:paraId="3F6C860A" w14:textId="77777777" w:rsidR="00471481" w:rsidRDefault="00471481" w:rsidP="00471481">
      <w:pPr>
        <w:rPr>
          <w:noProof/>
        </w:rPr>
      </w:pPr>
      <w:r>
        <w:rPr>
          <w:noProof/>
        </w:rPr>
        <w:t>In 2022, the Commission continued to ensure the coherent application of Artic</w:t>
      </w:r>
      <w:r w:rsidR="007113FE">
        <w:rPr>
          <w:noProof/>
        </w:rPr>
        <w:t>les 101 and 102 through the ECN</w:t>
      </w:r>
      <w:r w:rsidR="00940CEA">
        <w:rPr>
          <w:rStyle w:val="FootnoteReference"/>
          <w:noProof/>
        </w:rPr>
        <w:footnoteReference w:id="136"/>
      </w:r>
      <w:r>
        <w:rPr>
          <w:noProof/>
        </w:rPr>
        <w:t xml:space="preserve">. Two of the key cooperation and support mechanisms in Regulation 1/2003 are first, the national competition </w:t>
      </w:r>
      <w:r w:rsidRPr="00E34FC8">
        <w:rPr>
          <w:noProof/>
        </w:rPr>
        <w:t>authorities’ (</w:t>
      </w:r>
      <w:r w:rsidR="001B31E9" w:rsidRPr="00E16E8F">
        <w:rPr>
          <w:noProof/>
        </w:rPr>
        <w:t>‘</w:t>
      </w:r>
      <w:r w:rsidRPr="00E34FC8">
        <w:rPr>
          <w:noProof/>
        </w:rPr>
        <w:t>NCAs</w:t>
      </w:r>
      <w:r w:rsidR="001B31E9" w:rsidRPr="008C3B7C">
        <w:rPr>
          <w:noProof/>
        </w:rPr>
        <w:t>’</w:t>
      </w:r>
      <w:r w:rsidRPr="00E34FC8">
        <w:rPr>
          <w:noProof/>
        </w:rPr>
        <w:t>)</w:t>
      </w:r>
      <w:r>
        <w:rPr>
          <w:noProof/>
        </w:rPr>
        <w:t xml:space="preserve"> obligation to inform the Commission about new inv</w:t>
      </w:r>
      <w:r w:rsidR="007113FE">
        <w:rPr>
          <w:noProof/>
        </w:rPr>
        <w:t xml:space="preserve">estigations already at the </w:t>
      </w:r>
      <w:r>
        <w:rPr>
          <w:noProof/>
        </w:rPr>
        <w:t>moment of the first formal investigative measure and, second, their obligation to consult the Commission on envisaged decisions. In 2022</w:t>
      </w:r>
      <w:r w:rsidRPr="00620BE1">
        <w:rPr>
          <w:noProof/>
        </w:rPr>
        <w:t xml:space="preserve">, </w:t>
      </w:r>
      <w:r w:rsidR="00FF4CA4">
        <w:rPr>
          <w:noProof/>
        </w:rPr>
        <w:t>148</w:t>
      </w:r>
      <w:r w:rsidRPr="00620BE1">
        <w:rPr>
          <w:noProof/>
        </w:rPr>
        <w:t xml:space="preserve"> new</w:t>
      </w:r>
      <w:r>
        <w:rPr>
          <w:noProof/>
        </w:rPr>
        <w:t xml:space="preserve"> investigations were launched within the network and </w:t>
      </w:r>
      <w:r w:rsidR="00FF4CA4">
        <w:rPr>
          <w:noProof/>
        </w:rPr>
        <w:t>78</w:t>
      </w:r>
      <w:r w:rsidRPr="00620BE1">
        <w:rPr>
          <w:noProof/>
        </w:rPr>
        <w:t xml:space="preserve"> env</w:t>
      </w:r>
      <w:r>
        <w:rPr>
          <w:noProof/>
        </w:rPr>
        <w:t>isaged decisions were submitted.</w:t>
      </w:r>
    </w:p>
    <w:p w14:paraId="415F1376" w14:textId="77777777" w:rsidR="00471481" w:rsidRDefault="00471481" w:rsidP="00471481">
      <w:pPr>
        <w:rPr>
          <w:noProof/>
        </w:rPr>
      </w:pPr>
      <w:r>
        <w:rPr>
          <w:noProof/>
        </w:rPr>
        <w:t xml:space="preserve">In addition to the cooperation set out in Regulation 1/2003, other ECN cooperation mechanisms ensure a coherent enforcement of the EU competition rules across jurisdictions. ECN members meet regularly to discuss recently opened cases, policy issues and matters of strategic importance. In 2022, horizontal working groups and sector-specific sub-groups </w:t>
      </w:r>
      <w:r w:rsidRPr="00620BE1">
        <w:rPr>
          <w:noProof/>
        </w:rPr>
        <w:t xml:space="preserve">held </w:t>
      </w:r>
      <w:r w:rsidR="00940CEA">
        <w:rPr>
          <w:noProof/>
        </w:rPr>
        <w:t>45</w:t>
      </w:r>
      <w:r>
        <w:rPr>
          <w:noProof/>
        </w:rPr>
        <w:t xml:space="preserve"> meetings where NCA officials exchanged views and experience.</w:t>
      </w:r>
    </w:p>
    <w:p w14:paraId="777A69EF" w14:textId="77777777" w:rsidR="00B1360A" w:rsidRPr="00EF26B8" w:rsidRDefault="00B1360A" w:rsidP="0018779C">
      <w:pPr>
        <w:pStyle w:val="Heading3"/>
        <w:spacing w:after="120"/>
        <w:rPr>
          <w:noProof/>
          <w:sz w:val="24"/>
        </w:rPr>
      </w:pPr>
      <w:bookmarkStart w:id="35" w:name="_Toc94190129"/>
      <w:bookmarkStart w:id="36" w:name="_Toc94281777"/>
      <w:bookmarkStart w:id="37" w:name="_Toc94695865"/>
      <w:r w:rsidRPr="00EF26B8">
        <w:rPr>
          <w:noProof/>
          <w:sz w:val="24"/>
        </w:rPr>
        <w:t>A regular and constructive inter-institutional dialogue</w:t>
      </w:r>
      <w:bookmarkEnd w:id="35"/>
      <w:bookmarkEnd w:id="36"/>
      <w:bookmarkEnd w:id="37"/>
    </w:p>
    <w:p w14:paraId="2E3EEE63" w14:textId="77777777" w:rsidR="00651947" w:rsidRDefault="00651947" w:rsidP="00530F6C">
      <w:pPr>
        <w:rPr>
          <w:noProof/>
        </w:rPr>
      </w:pPr>
      <w:r w:rsidRPr="00651947">
        <w:rPr>
          <w:noProof/>
        </w:rPr>
        <w:t xml:space="preserve">The European Parliament, the Council, the European Economic and Social Committee and the European Committee of the Regions are key partners to the Commission in the continuing dialogues on competition policy. </w:t>
      </w:r>
    </w:p>
    <w:p w14:paraId="3F4C097B" w14:textId="0C4866DC" w:rsidR="00FF4CA4" w:rsidRDefault="00FF4CA4" w:rsidP="00530F6C">
      <w:pPr>
        <w:rPr>
          <w:noProof/>
        </w:rPr>
      </w:pPr>
      <w:r w:rsidRPr="00FF4CA4">
        <w:rPr>
          <w:noProof/>
        </w:rPr>
        <w:t xml:space="preserve">In the European Parliament, Executive Vice-President Vestager participated in 2022 in a number of </w:t>
      </w:r>
      <w:r w:rsidRPr="00E16E8F">
        <w:rPr>
          <w:noProof/>
        </w:rPr>
        <w:t xml:space="preserve">exchanges of views or structured dialogues, including with the Economic and Monetary Affairs </w:t>
      </w:r>
      <w:r w:rsidR="003A36B3" w:rsidRPr="00E16E8F">
        <w:rPr>
          <w:noProof/>
        </w:rPr>
        <w:t>(‘ECON’)</w:t>
      </w:r>
      <w:r w:rsidR="003A36B3" w:rsidRPr="00E16E8F" w:rsidDel="003A36B3">
        <w:rPr>
          <w:noProof/>
        </w:rPr>
        <w:t xml:space="preserve"> </w:t>
      </w:r>
      <w:r w:rsidR="003A36B3" w:rsidRPr="00E16E8F">
        <w:rPr>
          <w:noProof/>
        </w:rPr>
        <w:t>Committee</w:t>
      </w:r>
      <w:r w:rsidRPr="00E16E8F">
        <w:rPr>
          <w:noProof/>
        </w:rPr>
        <w:t>, the Industry Research and Energy (</w:t>
      </w:r>
      <w:r w:rsidR="003A36B3" w:rsidRPr="00E16E8F">
        <w:rPr>
          <w:noProof/>
        </w:rPr>
        <w:t>‘</w:t>
      </w:r>
      <w:r w:rsidRPr="00E16E8F">
        <w:rPr>
          <w:noProof/>
        </w:rPr>
        <w:t>ITRE</w:t>
      </w:r>
      <w:r w:rsidR="003A36B3" w:rsidRPr="00E16E8F">
        <w:rPr>
          <w:noProof/>
        </w:rPr>
        <w:t>’</w:t>
      </w:r>
      <w:r w:rsidRPr="00E16E8F">
        <w:rPr>
          <w:noProof/>
        </w:rPr>
        <w:t>) Committee, the Internal Market and Consumer Protection (</w:t>
      </w:r>
      <w:r w:rsidR="003A36B3" w:rsidRPr="00E16E8F">
        <w:rPr>
          <w:noProof/>
        </w:rPr>
        <w:t>‘</w:t>
      </w:r>
      <w:r w:rsidRPr="00E16E8F">
        <w:rPr>
          <w:noProof/>
        </w:rPr>
        <w:t>IMCO</w:t>
      </w:r>
      <w:r w:rsidR="003A36B3" w:rsidRPr="00E16E8F">
        <w:rPr>
          <w:noProof/>
        </w:rPr>
        <w:t>’</w:t>
      </w:r>
      <w:r w:rsidRPr="00E16E8F">
        <w:rPr>
          <w:noProof/>
        </w:rPr>
        <w:t>) Committee, and the Employment and Social Affairs (</w:t>
      </w:r>
      <w:r w:rsidR="003A36B3" w:rsidRPr="00E16E8F">
        <w:rPr>
          <w:noProof/>
        </w:rPr>
        <w:t>‘</w:t>
      </w:r>
      <w:r w:rsidRPr="00E16E8F">
        <w:rPr>
          <w:noProof/>
        </w:rPr>
        <w:t>EMPL</w:t>
      </w:r>
      <w:r w:rsidR="003A36B3" w:rsidRPr="00E16E8F">
        <w:rPr>
          <w:noProof/>
        </w:rPr>
        <w:t>’</w:t>
      </w:r>
      <w:r w:rsidRPr="00FF4CA4">
        <w:rPr>
          <w:noProof/>
        </w:rPr>
        <w:t>) Committee. In addition, Executive Vice-President Vestager participated in plenary debates on competition policy, on the Digital Markets Act, on the Foreign Subsidies Regulation and on the EU response (including through State aid) to the US Inflation Reduction Act.</w:t>
      </w:r>
    </w:p>
    <w:p w14:paraId="63149264" w14:textId="77777777" w:rsidR="00FF4CA4" w:rsidRDefault="00651947" w:rsidP="006E0AC1">
      <w:pPr>
        <w:rPr>
          <w:noProof/>
        </w:rPr>
      </w:pPr>
      <w:r w:rsidRPr="00651947">
        <w:rPr>
          <w:noProof/>
        </w:rPr>
        <w:t>In it</w:t>
      </w:r>
      <w:r w:rsidR="00FF4CA4">
        <w:rPr>
          <w:noProof/>
        </w:rPr>
        <w:t xml:space="preserve">s written response of July 2022 </w:t>
      </w:r>
      <w:r w:rsidRPr="00651947">
        <w:rPr>
          <w:noProof/>
        </w:rPr>
        <w:t xml:space="preserve">to the Parliament’s resolution on competition policy (rapporteur </w:t>
      </w:r>
      <w:r w:rsidR="00FF4CA4">
        <w:rPr>
          <w:noProof/>
        </w:rPr>
        <w:t>Schwab; E</w:t>
      </w:r>
      <w:r w:rsidR="00A4151B">
        <w:rPr>
          <w:noProof/>
        </w:rPr>
        <w:t>P</w:t>
      </w:r>
      <w:r w:rsidR="00FF4CA4">
        <w:rPr>
          <w:noProof/>
        </w:rPr>
        <w:t>P, DE</w:t>
      </w:r>
      <w:r w:rsidRPr="00651947">
        <w:rPr>
          <w:noProof/>
        </w:rPr>
        <w:t xml:space="preserve">), the Commission highlighted, </w:t>
      </w:r>
      <w:r w:rsidR="00FF4CA4" w:rsidRPr="00FF4CA4">
        <w:rPr>
          <w:noProof/>
        </w:rPr>
        <w:t>among other things, the phase-out of the COVID-19 Temporary State aid Framework, the adoption of the Temporary Crisis Framework in response to the negative economic impact of Russia’s invasion of Ukraine, the Foreign Subsidies Regulation and the finalisation of trilogue negotiations, the Digital Markets Act and its smooth and rapid implementation, the unprecedented ongoing review of competition rules, including the adoption of the new CEEAG</w:t>
      </w:r>
      <w:r w:rsidR="001F4486" w:rsidRPr="005E4026">
        <w:rPr>
          <w:rStyle w:val="FootnoteReference"/>
          <w:rFonts w:eastAsia="Times New Roman" w:cs="Times New Roman"/>
          <w:noProof/>
          <w:color w:val="000000" w:themeColor="text1"/>
          <w:sz w:val="24"/>
          <w:szCs w:val="24"/>
        </w:rPr>
        <w:footnoteReference w:id="137"/>
      </w:r>
      <w:r w:rsidR="00FF4CA4" w:rsidRPr="00FF4CA4">
        <w:rPr>
          <w:noProof/>
        </w:rPr>
        <w:t>, the new Vertical Block Exemption Regulation and new Vertical Guidelines, and the ongoing review of the Market Definition Notice.</w:t>
      </w:r>
    </w:p>
    <w:p w14:paraId="2740F6F2" w14:textId="77777777" w:rsidR="00651947" w:rsidRDefault="00651947" w:rsidP="0018779C">
      <w:pPr>
        <w:spacing w:after="120"/>
        <w:rPr>
          <w:i/>
          <w:noProof/>
        </w:rPr>
      </w:pPr>
      <w:r w:rsidRPr="00651947">
        <w:rPr>
          <w:noProof/>
        </w:rPr>
        <w:t xml:space="preserve">In </w:t>
      </w:r>
      <w:r w:rsidR="0013754B" w:rsidRPr="00651947">
        <w:rPr>
          <w:noProof/>
        </w:rPr>
        <w:t>202</w:t>
      </w:r>
      <w:r w:rsidR="0013754B">
        <w:rPr>
          <w:noProof/>
        </w:rPr>
        <w:t>2</w:t>
      </w:r>
      <w:r w:rsidRPr="00651947">
        <w:rPr>
          <w:noProof/>
        </w:rPr>
        <w:t xml:space="preserve">, in the Council, Executive Vice-President Vestager participated in exchanges of views and debates on competition policy matters, including several meetings of the Competitiveness </w:t>
      </w:r>
      <w:r w:rsidR="00FF4CA4">
        <w:rPr>
          <w:noProof/>
        </w:rPr>
        <w:t>Council (</w:t>
      </w:r>
      <w:r w:rsidRPr="00651947">
        <w:rPr>
          <w:noProof/>
        </w:rPr>
        <w:t>Internal market and industry</w:t>
      </w:r>
      <w:r w:rsidR="00FF4CA4">
        <w:rPr>
          <w:noProof/>
        </w:rPr>
        <w:t>)</w:t>
      </w:r>
      <w:r w:rsidRPr="00651947">
        <w:rPr>
          <w:noProof/>
        </w:rPr>
        <w:t>.</w:t>
      </w:r>
    </w:p>
    <w:p w14:paraId="024E7BFB" w14:textId="77777777" w:rsidR="00F44682" w:rsidRDefault="00B1360A" w:rsidP="00E16E8F">
      <w:pPr>
        <w:pStyle w:val="Heading2"/>
      </w:pPr>
      <w:bookmarkStart w:id="38" w:name="_Toc122109061"/>
      <w:bookmarkStart w:id="39" w:name="_Toc130224422"/>
      <w:r>
        <w:t>5</w:t>
      </w:r>
      <w:r w:rsidR="00F44682" w:rsidRPr="00AA53E9">
        <w:t>.2. Competition policy cooperation across the world</w:t>
      </w:r>
      <w:bookmarkEnd w:id="38"/>
      <w:bookmarkEnd w:id="39"/>
    </w:p>
    <w:p w14:paraId="17F70C66" w14:textId="77777777" w:rsidR="00AC41F1" w:rsidRPr="00EF26B8" w:rsidRDefault="00F1029B" w:rsidP="005B4ED5">
      <w:pPr>
        <w:pStyle w:val="Heading3"/>
        <w:spacing w:after="120"/>
        <w:rPr>
          <w:i w:val="0"/>
          <w:noProof/>
          <w:sz w:val="24"/>
        </w:rPr>
      </w:pPr>
      <w:r w:rsidRPr="00EF26B8">
        <w:rPr>
          <w:noProof/>
          <w:sz w:val="24"/>
        </w:rPr>
        <w:t>Multilateral relations</w:t>
      </w:r>
    </w:p>
    <w:p w14:paraId="7BA37214" w14:textId="77777777" w:rsidR="00F1029B" w:rsidRPr="00937722" w:rsidRDefault="00F1029B" w:rsidP="00E542AF">
      <w:pPr>
        <w:spacing w:after="120"/>
        <w:rPr>
          <w:noProof/>
        </w:rPr>
      </w:pPr>
      <w:r w:rsidRPr="00937722">
        <w:rPr>
          <w:noProof/>
        </w:rPr>
        <w:t>In 2022, the Commission continued its active engagement in international competition fora such as the OECD Competition Committee, the International Competition Network (</w:t>
      </w:r>
      <w:r w:rsidR="004F3A34" w:rsidRPr="00937722">
        <w:rPr>
          <w:noProof/>
        </w:rPr>
        <w:t>‘</w:t>
      </w:r>
      <w:r w:rsidRPr="00937722">
        <w:rPr>
          <w:noProof/>
        </w:rPr>
        <w:t>ICN</w:t>
      </w:r>
      <w:r w:rsidR="004F3A34" w:rsidRPr="00937722">
        <w:rPr>
          <w:noProof/>
        </w:rPr>
        <w:t>’</w:t>
      </w:r>
      <w:r w:rsidRPr="00937722">
        <w:rPr>
          <w:noProof/>
        </w:rPr>
        <w:t>),</w:t>
      </w:r>
      <w:r w:rsidR="00765825">
        <w:rPr>
          <w:noProof/>
        </w:rPr>
        <w:t xml:space="preserve"> where</w:t>
      </w:r>
      <w:r w:rsidRPr="00937722">
        <w:rPr>
          <w:noProof/>
        </w:rPr>
        <w:t xml:space="preserve"> </w:t>
      </w:r>
      <w:r w:rsidR="00765825" w:rsidRPr="00765825">
        <w:rPr>
          <w:noProof/>
        </w:rPr>
        <w:t>the Commission took up a three-year co-chair role in the Merger Working Group</w:t>
      </w:r>
      <w:r w:rsidR="00765825">
        <w:rPr>
          <w:noProof/>
        </w:rPr>
        <w:t xml:space="preserve">, </w:t>
      </w:r>
      <w:r w:rsidRPr="00937722">
        <w:rPr>
          <w:noProof/>
        </w:rPr>
        <w:t xml:space="preserve">and </w:t>
      </w:r>
      <w:r w:rsidR="009C70F3">
        <w:rPr>
          <w:noProof/>
        </w:rPr>
        <w:t xml:space="preserve">the </w:t>
      </w:r>
      <w:r w:rsidRPr="00937722">
        <w:rPr>
          <w:noProof/>
        </w:rPr>
        <w:t>United Nations Conference on Trade and Development (</w:t>
      </w:r>
      <w:r w:rsidR="004F3A34" w:rsidRPr="00937722">
        <w:rPr>
          <w:noProof/>
        </w:rPr>
        <w:t>‘</w:t>
      </w:r>
      <w:r w:rsidRPr="00937722">
        <w:rPr>
          <w:noProof/>
        </w:rPr>
        <w:t>UNCTAD</w:t>
      </w:r>
      <w:r w:rsidR="004F3A34" w:rsidRPr="00937722">
        <w:rPr>
          <w:noProof/>
        </w:rPr>
        <w:t>’</w:t>
      </w:r>
      <w:r w:rsidRPr="00937722">
        <w:rPr>
          <w:noProof/>
        </w:rPr>
        <w:t>).</w:t>
      </w:r>
      <w:r w:rsidR="00E90096">
        <w:rPr>
          <w:noProof/>
        </w:rPr>
        <w:t xml:space="preserve"> T</w:t>
      </w:r>
      <w:r w:rsidRPr="00937722">
        <w:rPr>
          <w:noProof/>
        </w:rPr>
        <w:t>he Commission continued its endeavours to improve international rules for subsidies. Reforming the subsidy rules is one of the EU’s main priorities for the mo</w:t>
      </w:r>
      <w:r w:rsidR="0015711B">
        <w:rPr>
          <w:noProof/>
        </w:rPr>
        <w:t>dernisation of WTO trade rules.</w:t>
      </w:r>
    </w:p>
    <w:p w14:paraId="485C75FB" w14:textId="77777777" w:rsidR="00F1029B" w:rsidRPr="00937722" w:rsidRDefault="00F1029B" w:rsidP="00530F6C">
      <w:pPr>
        <w:spacing w:after="120"/>
        <w:rPr>
          <w:rFonts w:eastAsiaTheme="majorEastAsia" w:cs="Times New Roman"/>
          <w:i/>
          <w:noProof/>
          <w:color w:val="0070C0"/>
          <w:sz w:val="24"/>
          <w:szCs w:val="24"/>
        </w:rPr>
      </w:pPr>
      <w:r w:rsidRPr="00937722">
        <w:rPr>
          <w:rFonts w:eastAsiaTheme="majorEastAsia" w:cs="Times New Roman"/>
          <w:i/>
          <w:noProof/>
          <w:color w:val="0070C0"/>
          <w:sz w:val="24"/>
          <w:szCs w:val="24"/>
        </w:rPr>
        <w:t>Bilateral relations</w:t>
      </w:r>
    </w:p>
    <w:p w14:paraId="1E26FCD2" w14:textId="6D0ED5CA" w:rsidR="00F84A2A" w:rsidRDefault="00F1029B" w:rsidP="007B5F59">
      <w:pPr>
        <w:rPr>
          <w:noProof/>
          <w:lang w:val="en-US"/>
        </w:rPr>
      </w:pPr>
      <w:r w:rsidRPr="00937722">
        <w:rPr>
          <w:noProof/>
        </w:rPr>
        <w:t>In October 2022, the Commission and the U</w:t>
      </w:r>
      <w:r w:rsidR="00E16E8F">
        <w:rPr>
          <w:noProof/>
        </w:rPr>
        <w:t>.</w:t>
      </w:r>
      <w:r w:rsidRPr="00937722">
        <w:rPr>
          <w:noProof/>
        </w:rPr>
        <w:t>S</w:t>
      </w:r>
      <w:r w:rsidR="00E16E8F">
        <w:rPr>
          <w:noProof/>
        </w:rPr>
        <w:t>.</w:t>
      </w:r>
      <w:r w:rsidRPr="00937722">
        <w:rPr>
          <w:noProof/>
        </w:rPr>
        <w:t xml:space="preserve"> Competition Authorit</w:t>
      </w:r>
      <w:r w:rsidR="00AE40CA" w:rsidRPr="00937722">
        <w:rPr>
          <w:noProof/>
        </w:rPr>
        <w:t>ies</w:t>
      </w:r>
      <w:r w:rsidRPr="00937722">
        <w:rPr>
          <w:noProof/>
        </w:rPr>
        <w:t xml:space="preserve"> held the second meeting of the Joint Technology Competition Policy Dialogue, discuss</w:t>
      </w:r>
      <w:r w:rsidR="00F84A2A">
        <w:rPr>
          <w:noProof/>
        </w:rPr>
        <w:t>ing</w:t>
      </w:r>
      <w:r w:rsidRPr="00937722">
        <w:rPr>
          <w:noProof/>
        </w:rPr>
        <w:t xml:space="preserve"> cooperation efforts to ensure and promote fair competition in the digital sector</w:t>
      </w:r>
      <w:r w:rsidR="00941968" w:rsidRPr="00937722">
        <w:rPr>
          <w:rStyle w:val="FootnoteReference"/>
          <w:noProof/>
          <w:sz w:val="24"/>
          <w:szCs w:val="24"/>
        </w:rPr>
        <w:footnoteReference w:id="138"/>
      </w:r>
      <w:r w:rsidRPr="00937722">
        <w:rPr>
          <w:noProof/>
        </w:rPr>
        <w:t xml:space="preserve">. </w:t>
      </w:r>
      <w:r w:rsidR="00752404" w:rsidRPr="00F84A2A">
        <w:rPr>
          <w:noProof/>
          <w:lang w:val="en-US"/>
        </w:rPr>
        <w:t>Two ministerial meetings took place in</w:t>
      </w:r>
      <w:r w:rsidR="009A2B33" w:rsidRPr="00F84A2A">
        <w:rPr>
          <w:noProof/>
          <w:color w:val="FF0000"/>
        </w:rPr>
        <w:t xml:space="preserve"> </w:t>
      </w:r>
      <w:r w:rsidR="009A2B33" w:rsidRPr="00F84A2A">
        <w:rPr>
          <w:noProof/>
        </w:rPr>
        <w:t>May and December 2022</w:t>
      </w:r>
      <w:r w:rsidR="00752404" w:rsidRPr="00F84A2A">
        <w:rPr>
          <w:noProof/>
          <w:lang w:val="en-US"/>
        </w:rPr>
        <w:t xml:space="preserve"> </w:t>
      </w:r>
      <w:r w:rsidR="00936609" w:rsidRPr="00F84A2A">
        <w:rPr>
          <w:noProof/>
          <w:lang w:val="en-US"/>
        </w:rPr>
        <w:t xml:space="preserve">in </w:t>
      </w:r>
      <w:r w:rsidR="00752404" w:rsidRPr="00F84A2A">
        <w:rPr>
          <w:noProof/>
          <w:lang w:val="en-US"/>
        </w:rPr>
        <w:t>the EU-U</w:t>
      </w:r>
      <w:r w:rsidR="00FA4C83">
        <w:rPr>
          <w:noProof/>
          <w:lang w:val="en-US"/>
        </w:rPr>
        <w:t>.</w:t>
      </w:r>
      <w:r w:rsidR="00752404" w:rsidRPr="00F84A2A">
        <w:rPr>
          <w:noProof/>
          <w:lang w:val="en-US"/>
        </w:rPr>
        <w:t>S</w:t>
      </w:r>
      <w:r w:rsidR="00FA4C83">
        <w:rPr>
          <w:noProof/>
          <w:lang w:val="en-US"/>
        </w:rPr>
        <w:t>.</w:t>
      </w:r>
      <w:r w:rsidR="00752404" w:rsidRPr="00F84A2A">
        <w:rPr>
          <w:noProof/>
          <w:lang w:val="en-US"/>
        </w:rPr>
        <w:t xml:space="preserve"> Trade and Technology Council</w:t>
      </w:r>
      <w:r w:rsidR="00F84A2A">
        <w:rPr>
          <w:noProof/>
          <w:lang w:val="en-US"/>
        </w:rPr>
        <w:t>.</w:t>
      </w:r>
      <w:r w:rsidR="00752404" w:rsidRPr="00F84A2A">
        <w:rPr>
          <w:noProof/>
          <w:lang w:val="en-US"/>
        </w:rPr>
        <w:t xml:space="preserve"> </w:t>
      </w:r>
      <w:r w:rsidR="00F84A2A">
        <w:rPr>
          <w:noProof/>
          <w:lang w:val="en-US"/>
        </w:rPr>
        <w:t xml:space="preserve">The meetings </w:t>
      </w:r>
      <w:r w:rsidR="00752404" w:rsidRPr="00F84A2A">
        <w:rPr>
          <w:noProof/>
          <w:lang w:val="en-US"/>
        </w:rPr>
        <w:t>le</w:t>
      </w:r>
      <w:r w:rsidR="00F84A2A">
        <w:rPr>
          <w:noProof/>
          <w:lang w:val="en-US"/>
        </w:rPr>
        <w:t>d</w:t>
      </w:r>
      <w:r w:rsidR="00752404" w:rsidRPr="00F84A2A">
        <w:rPr>
          <w:noProof/>
          <w:lang w:val="en-US"/>
        </w:rPr>
        <w:t xml:space="preserve"> to an administrative arrangement on a common mechanism for reciprocal </w:t>
      </w:r>
      <w:r w:rsidR="00F84A2A">
        <w:rPr>
          <w:noProof/>
          <w:lang w:val="en-US"/>
        </w:rPr>
        <w:t>information s</w:t>
      </w:r>
      <w:r w:rsidR="00752404" w:rsidRPr="00752404">
        <w:rPr>
          <w:noProof/>
          <w:lang w:val="en-US"/>
        </w:rPr>
        <w:t xml:space="preserve">haring about public support provided </w:t>
      </w:r>
      <w:r w:rsidR="00F84A2A">
        <w:rPr>
          <w:noProof/>
          <w:lang w:val="en-US"/>
        </w:rPr>
        <w:t>by the EU and the U</w:t>
      </w:r>
      <w:r w:rsidR="00E16E8F">
        <w:rPr>
          <w:noProof/>
          <w:lang w:val="en-US"/>
        </w:rPr>
        <w:t>.</w:t>
      </w:r>
      <w:r w:rsidR="00F84A2A">
        <w:rPr>
          <w:noProof/>
          <w:lang w:val="en-US"/>
        </w:rPr>
        <w:t>S</w:t>
      </w:r>
      <w:r w:rsidR="00E16E8F">
        <w:rPr>
          <w:noProof/>
          <w:lang w:val="en-US"/>
        </w:rPr>
        <w:t>.</w:t>
      </w:r>
      <w:r w:rsidR="00F84A2A">
        <w:rPr>
          <w:noProof/>
          <w:lang w:val="en-US"/>
        </w:rPr>
        <w:t xml:space="preserve"> </w:t>
      </w:r>
      <w:r w:rsidR="00574A9D">
        <w:rPr>
          <w:noProof/>
          <w:lang w:val="en-US"/>
        </w:rPr>
        <w:t xml:space="preserve">to </w:t>
      </w:r>
      <w:r w:rsidR="00752404" w:rsidRPr="00752404">
        <w:rPr>
          <w:noProof/>
          <w:lang w:val="en-US"/>
        </w:rPr>
        <w:t>the semiconductor</w:t>
      </w:r>
      <w:r w:rsidR="004F096E">
        <w:rPr>
          <w:noProof/>
          <w:lang w:val="en-US"/>
        </w:rPr>
        <w:t xml:space="preserve"> industry</w:t>
      </w:r>
      <w:r w:rsidR="00752404">
        <w:rPr>
          <w:rStyle w:val="FootnoteReference"/>
          <w:noProof/>
          <w:lang w:val="en-US"/>
        </w:rPr>
        <w:footnoteReference w:id="139"/>
      </w:r>
      <w:r w:rsidR="00752404" w:rsidRPr="00752404">
        <w:rPr>
          <w:noProof/>
          <w:lang w:val="en-US"/>
        </w:rPr>
        <w:t>.</w:t>
      </w:r>
    </w:p>
    <w:p w14:paraId="58BDC793" w14:textId="416B3C4B" w:rsidR="00994D6E" w:rsidRDefault="00F84A2A" w:rsidP="0020524F">
      <w:pPr>
        <w:rPr>
          <w:noProof/>
        </w:rPr>
      </w:pPr>
      <w:r>
        <w:rPr>
          <w:noProof/>
        </w:rPr>
        <w:t>I</w:t>
      </w:r>
      <w:r w:rsidR="00F1029B" w:rsidRPr="00937722">
        <w:rPr>
          <w:noProof/>
        </w:rPr>
        <w:t xml:space="preserve">n 2022, the Commission continued its cooperation in competition policy </w:t>
      </w:r>
      <w:r w:rsidR="00BC4235">
        <w:rPr>
          <w:noProof/>
        </w:rPr>
        <w:t>with third countries, including technical cooperation programmes with several Asian</w:t>
      </w:r>
      <w:r w:rsidR="00BC4235">
        <w:rPr>
          <w:rStyle w:val="FootnoteReference"/>
          <w:noProof/>
        </w:rPr>
        <w:footnoteReference w:id="140"/>
      </w:r>
      <w:r w:rsidR="00BC4235">
        <w:rPr>
          <w:noProof/>
        </w:rPr>
        <w:t xml:space="preserve"> and African</w:t>
      </w:r>
      <w:r w:rsidR="00BC4235">
        <w:rPr>
          <w:rStyle w:val="FootnoteReference"/>
          <w:noProof/>
        </w:rPr>
        <w:footnoteReference w:id="141"/>
      </w:r>
      <w:r w:rsidR="00BC4235">
        <w:rPr>
          <w:noProof/>
        </w:rPr>
        <w:t xml:space="preserve"> countries</w:t>
      </w:r>
      <w:r w:rsidR="00F1029B" w:rsidRPr="00937722">
        <w:rPr>
          <w:noProof/>
        </w:rPr>
        <w:t>. In 2022, the Commission continued</w:t>
      </w:r>
      <w:r w:rsidR="00E90096">
        <w:rPr>
          <w:noProof/>
        </w:rPr>
        <w:t xml:space="preserve"> negotiations to conclude Free Trade Agreements (‘</w:t>
      </w:r>
      <w:r w:rsidR="00F1029B" w:rsidRPr="00937722">
        <w:rPr>
          <w:noProof/>
        </w:rPr>
        <w:t>FTA</w:t>
      </w:r>
      <w:r w:rsidR="00E90096">
        <w:rPr>
          <w:noProof/>
        </w:rPr>
        <w:t>’</w:t>
      </w:r>
      <w:r w:rsidR="002149E0">
        <w:rPr>
          <w:noProof/>
        </w:rPr>
        <w:t>)</w:t>
      </w:r>
      <w:r w:rsidR="00F1029B" w:rsidRPr="00937722">
        <w:rPr>
          <w:noProof/>
        </w:rPr>
        <w:t xml:space="preserve"> with Australia, India, Indonesia, and concluded the </w:t>
      </w:r>
      <w:r w:rsidR="005C6163">
        <w:rPr>
          <w:noProof/>
        </w:rPr>
        <w:t xml:space="preserve">FTA </w:t>
      </w:r>
      <w:r w:rsidR="00F1029B" w:rsidRPr="00937722">
        <w:rPr>
          <w:noProof/>
        </w:rPr>
        <w:t>negotiations with New Zealand and Uzbekistan.</w:t>
      </w:r>
      <w:r w:rsidR="00E90096">
        <w:rPr>
          <w:noProof/>
        </w:rPr>
        <w:t xml:space="preserve"> As </w:t>
      </w:r>
      <w:r w:rsidR="00F1029B" w:rsidRPr="00937722">
        <w:rPr>
          <w:noProof/>
        </w:rPr>
        <w:t>regards candidate</w:t>
      </w:r>
      <w:r w:rsidR="00790D75">
        <w:rPr>
          <w:noProof/>
        </w:rPr>
        <w:t xml:space="preserve"> countries</w:t>
      </w:r>
      <w:r w:rsidR="00170401" w:rsidRPr="00937722">
        <w:rPr>
          <w:rStyle w:val="FootnoteReference"/>
          <w:noProof/>
          <w:sz w:val="24"/>
          <w:szCs w:val="24"/>
        </w:rPr>
        <w:footnoteReference w:id="142"/>
      </w:r>
      <w:r w:rsidR="00F1029B" w:rsidRPr="00937722">
        <w:rPr>
          <w:noProof/>
        </w:rPr>
        <w:t xml:space="preserve"> and potential candidate</w:t>
      </w:r>
      <w:r w:rsidR="00790D75">
        <w:rPr>
          <w:noProof/>
        </w:rPr>
        <w:t>s</w:t>
      </w:r>
      <w:r w:rsidR="00170401" w:rsidRPr="00937722">
        <w:rPr>
          <w:rStyle w:val="FootnoteReference"/>
          <w:noProof/>
          <w:sz w:val="24"/>
          <w:szCs w:val="24"/>
        </w:rPr>
        <w:footnoteReference w:id="143"/>
      </w:r>
      <w:r w:rsidR="00F1029B" w:rsidRPr="00937722">
        <w:rPr>
          <w:noProof/>
        </w:rPr>
        <w:t xml:space="preserve">, the Commission’s main policy objective is to </w:t>
      </w:r>
      <w:r w:rsidR="005C6163">
        <w:rPr>
          <w:noProof/>
        </w:rPr>
        <w:t xml:space="preserve">assist </w:t>
      </w:r>
      <w:r w:rsidR="00F1029B" w:rsidRPr="00937722">
        <w:rPr>
          <w:noProof/>
        </w:rPr>
        <w:t xml:space="preserve">these countries to create legislative frameworks with well-functioning </w:t>
      </w:r>
      <w:r w:rsidR="00E90096">
        <w:rPr>
          <w:noProof/>
        </w:rPr>
        <w:t xml:space="preserve">and </w:t>
      </w:r>
      <w:r w:rsidR="00F1029B" w:rsidRPr="00937722">
        <w:rPr>
          <w:noProof/>
        </w:rPr>
        <w:t>operationally independent competition</w:t>
      </w:r>
      <w:r w:rsidR="00E90096">
        <w:rPr>
          <w:noProof/>
        </w:rPr>
        <w:t xml:space="preserve"> authorities</w:t>
      </w:r>
      <w:r w:rsidR="003F1F1C">
        <w:rPr>
          <w:noProof/>
        </w:rPr>
        <w:t>.</w:t>
      </w:r>
    </w:p>
    <w:p w14:paraId="039E3097" w14:textId="77777777" w:rsidR="00994D6E" w:rsidRPr="009614E3" w:rsidRDefault="00302C87" w:rsidP="009614E3">
      <w:pPr>
        <w:jc w:val="center"/>
        <w:rPr>
          <w:noProof/>
        </w:rPr>
      </w:pPr>
      <w:r>
        <w:rPr>
          <w:noProof/>
          <w:lang w:eastAsia="en-GB"/>
        </w:rPr>
        <w:drawing>
          <wp:inline distT="0" distB="0" distL="0" distR="0" wp14:anchorId="1272F7B2" wp14:editId="5F951285">
            <wp:extent cx="5836920" cy="822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 a glance 2022.PNG"/>
                    <pic:cNvPicPr/>
                  </pic:nvPicPr>
                  <pic:blipFill>
                    <a:blip r:embed="rId21">
                      <a:extLst>
                        <a:ext uri="{28A0092B-C50C-407E-A947-70E740481C1C}">
                          <a14:useLocalDpi xmlns:a14="http://schemas.microsoft.com/office/drawing/2010/main" val="0"/>
                        </a:ext>
                      </a:extLst>
                    </a:blip>
                    <a:stretch>
                      <a:fillRect/>
                    </a:stretch>
                  </pic:blipFill>
                  <pic:spPr>
                    <a:xfrm>
                      <a:off x="0" y="0"/>
                      <a:ext cx="5836920" cy="8229600"/>
                    </a:xfrm>
                    <a:prstGeom prst="rect">
                      <a:avLst/>
                    </a:prstGeom>
                  </pic:spPr>
                </pic:pic>
              </a:graphicData>
            </a:graphic>
          </wp:inline>
        </w:drawing>
      </w:r>
    </w:p>
    <w:sectPr w:rsidR="00994D6E" w:rsidRPr="009614E3" w:rsidSect="008D4B25">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FF07" w16cex:dateUtc="2023-03-20T14:49:00Z"/>
  <w16cex:commentExtensible w16cex:durableId="27C3011D" w16cex:dateUtc="2023-03-20T14:58:00Z"/>
  <w16cex:commentExtensible w16cex:durableId="27C301BB" w16cex:dateUtc="2023-03-20T15:00:00Z"/>
  <w16cex:commentExtensible w16cex:durableId="27C305D2" w16cex:dateUtc="2023-03-20T15:18:00Z"/>
  <w16cex:commentExtensible w16cex:durableId="27C306C9" w16cex:dateUtc="2023-03-20T15:22:00Z"/>
  <w16cex:commentExtensible w16cex:durableId="27C3075B" w16cex:dateUtc="2023-03-20T15:24:00Z"/>
  <w16cex:commentExtensible w16cex:durableId="27C306F2" w16cex:dateUtc="2023-03-20T15:23:00Z"/>
  <w16cex:commentExtensible w16cex:durableId="27C307BA" w16cex:dateUtc="2023-03-20T15:26:00Z"/>
  <w16cex:commentExtensible w16cex:durableId="27C308D5" w16cex:dateUtc="2023-03-20T15:31:00Z"/>
  <w16cex:commentExtensible w16cex:durableId="27C30DB4" w16cex:dateUtc="2023-03-20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39A302" w16cid:durableId="27C2FF07"/>
  <w16cid:commentId w16cid:paraId="04E654F6" w16cid:durableId="27C3011D"/>
  <w16cid:commentId w16cid:paraId="75C0F346" w16cid:durableId="27C301BB"/>
  <w16cid:commentId w16cid:paraId="271325A7" w16cid:durableId="27C305D2"/>
  <w16cid:commentId w16cid:paraId="7B9D6029" w16cid:durableId="27C306C9"/>
  <w16cid:commentId w16cid:paraId="7500416F" w16cid:durableId="27C3075B"/>
  <w16cid:commentId w16cid:paraId="63D45086" w16cid:durableId="27C306F2"/>
  <w16cid:commentId w16cid:paraId="4014FB94" w16cid:durableId="27C307BA"/>
  <w16cid:commentId w16cid:paraId="536D1661" w16cid:durableId="27C308D5"/>
  <w16cid:commentId w16cid:paraId="6548264D" w16cid:durableId="27C30D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288EC" w14:textId="77777777" w:rsidR="007072BB" w:rsidRDefault="007072BB" w:rsidP="00103038">
      <w:pPr>
        <w:spacing w:after="0" w:line="240" w:lineRule="auto"/>
      </w:pPr>
      <w:r>
        <w:separator/>
      </w:r>
    </w:p>
    <w:p w14:paraId="153B8ECB" w14:textId="77777777" w:rsidR="007072BB" w:rsidRDefault="007072BB"/>
  </w:endnote>
  <w:endnote w:type="continuationSeparator" w:id="0">
    <w:p w14:paraId="7684B6C8" w14:textId="77777777" w:rsidR="007072BB" w:rsidRDefault="007072BB" w:rsidP="00103038">
      <w:pPr>
        <w:spacing w:after="0" w:line="240" w:lineRule="auto"/>
      </w:pPr>
      <w:r>
        <w:continuationSeparator/>
      </w:r>
    </w:p>
    <w:p w14:paraId="5C65040D" w14:textId="77777777" w:rsidR="007072BB" w:rsidRDefault="007072BB"/>
  </w:endnote>
  <w:endnote w:type="continuationNotice" w:id="1">
    <w:p w14:paraId="3E2E190D" w14:textId="77777777" w:rsidR="007072BB" w:rsidRDefault="007072BB">
      <w:pPr>
        <w:spacing w:after="0" w:line="240" w:lineRule="auto"/>
      </w:pPr>
    </w:p>
    <w:p w14:paraId="0983EB02" w14:textId="77777777" w:rsidR="007072BB" w:rsidRDefault="00707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0E180" w14:textId="77777777" w:rsidR="0089748A" w:rsidRPr="0089748A" w:rsidRDefault="0089748A" w:rsidP="00897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05587" w14:textId="55CF765B" w:rsidR="00B36507" w:rsidRPr="0089748A" w:rsidRDefault="0089748A" w:rsidP="0089748A">
    <w:pPr>
      <w:pStyle w:val="FooterCoverPage"/>
      <w:rPr>
        <w:rFonts w:ascii="Arial" w:hAnsi="Arial" w:cs="Arial"/>
        <w:b/>
        <w:sz w:val="48"/>
      </w:rPr>
    </w:pPr>
    <w:r w:rsidRPr="0089748A">
      <w:rPr>
        <w:rFonts w:ascii="Arial" w:hAnsi="Arial" w:cs="Arial"/>
        <w:b/>
        <w:sz w:val="48"/>
      </w:rPr>
      <w:t>EN</w:t>
    </w:r>
    <w:r w:rsidRPr="0089748A">
      <w:rPr>
        <w:rFonts w:ascii="Arial" w:hAnsi="Arial" w:cs="Arial"/>
        <w:b/>
        <w:sz w:val="48"/>
      </w:rPr>
      <w:tab/>
    </w:r>
    <w:r w:rsidRPr="0089748A">
      <w:rPr>
        <w:rFonts w:ascii="Arial" w:hAnsi="Arial" w:cs="Arial"/>
        <w:b/>
        <w:sz w:val="48"/>
      </w:rPr>
      <w:tab/>
    </w:r>
    <w:r w:rsidRPr="0089748A">
      <w:tab/>
    </w:r>
    <w:r w:rsidRPr="0089748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5F1ED" w14:textId="77777777" w:rsidR="0089748A" w:rsidRPr="0089748A" w:rsidRDefault="0089748A" w:rsidP="0089748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AA882" w14:textId="77777777" w:rsidR="007072BB" w:rsidRDefault="007072BB">
    <w:pPr>
      <w:pStyle w:val="Footer"/>
    </w:pPr>
  </w:p>
  <w:p w14:paraId="060F5F64" w14:textId="77777777" w:rsidR="007072BB" w:rsidRDefault="007072B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054259"/>
      <w:docPartObj>
        <w:docPartGallery w:val="Page Numbers (Bottom of Page)"/>
        <w:docPartUnique/>
      </w:docPartObj>
    </w:sdtPr>
    <w:sdtEndPr>
      <w:rPr>
        <w:noProof/>
      </w:rPr>
    </w:sdtEndPr>
    <w:sdtContent>
      <w:p w14:paraId="0ECFFED6" w14:textId="0E6D3E59" w:rsidR="007072BB" w:rsidRDefault="007072BB" w:rsidP="00257B7D">
        <w:pPr>
          <w:pStyle w:val="Footer"/>
          <w:jc w:val="center"/>
        </w:pPr>
        <w:r>
          <w:fldChar w:fldCharType="begin"/>
        </w:r>
        <w:r>
          <w:instrText xml:space="preserve"> PAGE   \* MERGEFORMAT </w:instrText>
        </w:r>
        <w:r>
          <w:fldChar w:fldCharType="separate"/>
        </w:r>
        <w:r w:rsidR="0089748A">
          <w:rPr>
            <w:noProof/>
          </w:rPr>
          <w:t>28</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933B3" w14:textId="77777777" w:rsidR="007072BB" w:rsidRDefault="00707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A28D0" w14:textId="77777777" w:rsidR="007072BB" w:rsidRDefault="007072BB">
      <w:r>
        <w:separator/>
      </w:r>
    </w:p>
  </w:footnote>
  <w:footnote w:type="continuationSeparator" w:id="0">
    <w:p w14:paraId="3AD885A9" w14:textId="77777777" w:rsidR="007072BB" w:rsidRDefault="007072BB" w:rsidP="00673168">
      <w:pPr>
        <w:spacing w:after="0" w:line="240" w:lineRule="auto"/>
      </w:pPr>
      <w:r>
        <w:separator/>
      </w:r>
    </w:p>
  </w:footnote>
  <w:footnote w:type="continuationNotice" w:id="1">
    <w:p w14:paraId="694712D3" w14:textId="77777777" w:rsidR="007072BB" w:rsidRDefault="007072BB">
      <w:pPr>
        <w:spacing w:after="0" w:line="240" w:lineRule="auto"/>
      </w:pPr>
    </w:p>
    <w:p w14:paraId="66AA10CD" w14:textId="77777777" w:rsidR="007072BB" w:rsidRDefault="007072BB"/>
  </w:footnote>
  <w:footnote w:id="2">
    <w:p w14:paraId="2FF9A0DE" w14:textId="77777777" w:rsidR="007072BB" w:rsidRPr="00BD163F" w:rsidRDefault="007072BB">
      <w:pPr>
        <w:pStyle w:val="FootnoteText"/>
      </w:pPr>
      <w:r>
        <w:rPr>
          <w:rStyle w:val="FootnoteReference"/>
        </w:rPr>
        <w:footnoteRef/>
      </w:r>
      <w:r>
        <w:t xml:space="preserve"> </w:t>
      </w:r>
      <w:r w:rsidRPr="00BD163F">
        <w:t>Communication from the Commission to the European Parliament, the European Council, the Council, the European Economic and Social Committee and the Committee of the Regions: REPowerEU Plan, COM(2022) 230, 18.5.2022.</w:t>
      </w:r>
    </w:p>
  </w:footnote>
  <w:footnote w:id="3">
    <w:p w14:paraId="169D20BE" w14:textId="77777777" w:rsidR="007072BB" w:rsidRPr="00BD163F" w:rsidRDefault="007072BB">
      <w:pPr>
        <w:pStyle w:val="FootnoteText"/>
      </w:pPr>
      <w:r>
        <w:rPr>
          <w:rStyle w:val="FootnoteReference"/>
        </w:rPr>
        <w:footnoteRef/>
      </w:r>
      <w:r>
        <w:t xml:space="preserve"> </w:t>
      </w:r>
      <w:r w:rsidRPr="00BD163F">
        <w:t>Communication from the Commission to the European Parliament, the European Council, the Council, the European Economic and Social Committee and the Committee of the Regions: REPowerEU: Joint European Action for more affordable, secure and sustainable energy</w:t>
      </w:r>
      <w:r>
        <w:t>, COM(2022) 108, 8.3.2022.</w:t>
      </w:r>
    </w:p>
  </w:footnote>
  <w:footnote w:id="4">
    <w:p w14:paraId="24FDE66D" w14:textId="6572E9B2" w:rsidR="007072BB" w:rsidRPr="00721A36" w:rsidRDefault="007072BB" w:rsidP="00721A36">
      <w:pPr>
        <w:pStyle w:val="FootnoteText"/>
      </w:pPr>
      <w:r>
        <w:rPr>
          <w:rStyle w:val="FootnoteReference"/>
        </w:rPr>
        <w:footnoteRef/>
      </w:r>
      <w:r>
        <w:t xml:space="preserve"> Proposal for a Council Regulation: Enhancing solidarity through better coordination of gas purchases, exchanges of gas across borders and reliable price benchmarks, COM/2022/549 final, 18.10 2022.</w:t>
      </w:r>
    </w:p>
  </w:footnote>
  <w:footnote w:id="5">
    <w:p w14:paraId="3B7DAF6D" w14:textId="0F6B2DDE" w:rsidR="007072BB" w:rsidRPr="00BD163F" w:rsidRDefault="007072BB" w:rsidP="008A4946">
      <w:pPr>
        <w:pStyle w:val="FootnoteText"/>
        <w:rPr>
          <w:szCs w:val="16"/>
          <w:lang w:val="en-IE"/>
        </w:rPr>
      </w:pPr>
      <w:r w:rsidRPr="00BD163F">
        <w:rPr>
          <w:rStyle w:val="FootnoteReference"/>
          <w:szCs w:val="16"/>
        </w:rPr>
        <w:footnoteRef/>
      </w:r>
      <w:r w:rsidRPr="00BD163F">
        <w:rPr>
          <w:szCs w:val="16"/>
        </w:rPr>
        <w:t xml:space="preserve"> Commission Communication of 18 November 2021</w:t>
      </w:r>
      <w:r>
        <w:rPr>
          <w:szCs w:val="16"/>
        </w:rPr>
        <w:t>:</w:t>
      </w:r>
      <w:r w:rsidRPr="00BD163F">
        <w:rPr>
          <w:szCs w:val="16"/>
        </w:rPr>
        <w:t xml:space="preserve"> ‘A competition policy fit for new challenges’</w:t>
      </w:r>
      <w:r>
        <w:rPr>
          <w:szCs w:val="16"/>
        </w:rPr>
        <w:t>,</w:t>
      </w:r>
      <w:r w:rsidRPr="00BD163F">
        <w:rPr>
          <w:szCs w:val="16"/>
        </w:rPr>
        <w:t xml:space="preserve"> COM(2021) 713 final.</w:t>
      </w:r>
    </w:p>
  </w:footnote>
  <w:footnote w:id="6">
    <w:p w14:paraId="5FBFBB8B" w14:textId="77777777" w:rsidR="007072BB" w:rsidRPr="0094366F" w:rsidRDefault="007072BB">
      <w:pPr>
        <w:pStyle w:val="FootnoteText"/>
      </w:pPr>
      <w:r>
        <w:rPr>
          <w:rStyle w:val="FootnoteReference"/>
        </w:rPr>
        <w:footnoteRef/>
      </w:r>
      <w:r>
        <w:t xml:space="preserve"> </w:t>
      </w:r>
      <w:r w:rsidRPr="0094366F">
        <w:t>Regulation (EU) 2022/1925 of the European Parliament and of the Council of 14 September 2022 on contestable and fair markets in the digital sector and amending Directives (EU) 2019/1937 and (EU) 2020/1828 (Digital Markets Act), OJ L 265, 12.10.2022, p. 1.</w:t>
      </w:r>
    </w:p>
  </w:footnote>
  <w:footnote w:id="7">
    <w:p w14:paraId="598AA042" w14:textId="570883A1" w:rsidR="007072BB" w:rsidRPr="003D2AC2" w:rsidRDefault="007072BB" w:rsidP="00752D72">
      <w:pPr>
        <w:pStyle w:val="FootnoteText"/>
        <w:rPr>
          <w:szCs w:val="16"/>
          <w:lang w:val="en-IE"/>
        </w:rPr>
      </w:pPr>
      <w:r w:rsidRPr="00947B7D">
        <w:rPr>
          <w:rStyle w:val="FootnoteReference"/>
          <w:szCs w:val="16"/>
        </w:rPr>
        <w:footnoteRef/>
      </w:r>
      <w:r w:rsidRPr="00947B7D">
        <w:rPr>
          <w:szCs w:val="16"/>
        </w:rPr>
        <w:t xml:space="preserve"> </w:t>
      </w:r>
      <w:r w:rsidRPr="00215C96">
        <w:rPr>
          <w:rFonts w:cs="Times New Roman"/>
          <w:szCs w:val="16"/>
          <w:lang w:val="en-IE"/>
        </w:rPr>
        <w:t>Regulation (EU) 2021/690 of the European Parliament and of the Council of 28 April 2021 establishing a programme for the internal market, competitiveness of enterprises, including small and medium-sized enterprises, the area of plants, animals, food and feed, and European statistics (Single Market Programme) and repealing Regulations (EU) No 99/2013, (EU) No 1287/2013, (EU) No 254/2014 and (EU) No 652/2014 (Text with EEA relevance), OJ L 153, 3.5.2021, p. 1. The Regulation applies retroactively, from 1 January 2021</w:t>
      </w:r>
      <w:r w:rsidRPr="00947B7D">
        <w:rPr>
          <w:szCs w:val="16"/>
          <w:lang w:val="en-IE"/>
        </w:rPr>
        <w:t>.</w:t>
      </w:r>
    </w:p>
  </w:footnote>
  <w:footnote w:id="8">
    <w:p w14:paraId="3632D8DF" w14:textId="1ED9F416" w:rsidR="007072BB" w:rsidRPr="00CD5BEA" w:rsidRDefault="007072BB" w:rsidP="00967786">
      <w:pPr>
        <w:pStyle w:val="FootnoteText"/>
        <w:rPr>
          <w:szCs w:val="16"/>
        </w:rPr>
      </w:pPr>
      <w:r>
        <w:rPr>
          <w:rStyle w:val="FootnoteReference"/>
        </w:rPr>
        <w:footnoteRef/>
      </w:r>
      <w:r>
        <w:t xml:space="preserve"> </w:t>
      </w:r>
      <w:r w:rsidRPr="00CD5BEA">
        <w:rPr>
          <w:szCs w:val="16"/>
        </w:rPr>
        <w:t>Communication</w:t>
      </w:r>
      <w:r w:rsidRPr="00CD5BEA">
        <w:rPr>
          <w:iCs/>
          <w:szCs w:val="16"/>
          <w:lang w:val="en-IE"/>
        </w:rPr>
        <w:t xml:space="preserve"> from the Commission </w:t>
      </w:r>
      <w:r w:rsidRPr="00CD5BEA">
        <w:rPr>
          <w:iCs/>
          <w:szCs w:val="16"/>
        </w:rPr>
        <w:t xml:space="preserve">on the Temporary Crisis Framework for State aid measures to support the economy following the aggression against Ukraine by Russia (OJ C 426, 28. 10.2022, p. 1). </w:t>
      </w:r>
      <w:r w:rsidRPr="00CD5BEA">
        <w:rPr>
          <w:iCs/>
          <w:szCs w:val="16"/>
          <w:lang w:val="en-IE"/>
        </w:rPr>
        <w:t xml:space="preserve">This </w:t>
      </w:r>
      <w:r w:rsidRPr="00CD5BEA">
        <w:rPr>
          <w:iCs/>
          <w:szCs w:val="16"/>
        </w:rPr>
        <w:t xml:space="preserve">Temporary Crisis Framework </w:t>
      </w:r>
      <w:r w:rsidRPr="00CD5BEA">
        <w:rPr>
          <w:iCs/>
          <w:szCs w:val="16"/>
          <w:lang w:val="en-IE"/>
        </w:rPr>
        <w:t>replace</w:t>
      </w:r>
      <w:r>
        <w:rPr>
          <w:iCs/>
          <w:szCs w:val="16"/>
          <w:lang w:val="en-IE"/>
        </w:rPr>
        <w:t>d</w:t>
      </w:r>
      <w:r w:rsidRPr="00CD5BEA">
        <w:rPr>
          <w:iCs/>
          <w:szCs w:val="16"/>
          <w:lang w:val="en-IE"/>
        </w:rPr>
        <w:t xml:space="preserve"> the Temporary Crisis Framework adopted on 23 March 2022 (</w:t>
      </w:r>
      <w:r w:rsidRPr="00CD5BEA">
        <w:rPr>
          <w:iCs/>
          <w:szCs w:val="16"/>
        </w:rPr>
        <w:t>OJ C 131I, 24.3.2022, p. 1),</w:t>
      </w:r>
      <w:r w:rsidRPr="00CD5BEA">
        <w:rPr>
          <w:iCs/>
          <w:szCs w:val="16"/>
          <w:lang w:val="en-IE"/>
        </w:rPr>
        <w:t xml:space="preserve"> as amended on 20 July 2022 (OJ C 280, 21.7.2022, p. 1)</w:t>
      </w:r>
      <w:r>
        <w:rPr>
          <w:iCs/>
          <w:szCs w:val="16"/>
          <w:lang w:val="en-IE"/>
        </w:rPr>
        <w:t>.</w:t>
      </w:r>
    </w:p>
    <w:p w14:paraId="57B6B522" w14:textId="77777777" w:rsidR="007072BB" w:rsidRPr="00B44820" w:rsidRDefault="007072BB" w:rsidP="00967786">
      <w:pPr>
        <w:pStyle w:val="FootnoteText"/>
        <w:rPr>
          <w:szCs w:val="16"/>
        </w:rPr>
      </w:pPr>
    </w:p>
  </w:footnote>
  <w:footnote w:id="9">
    <w:p w14:paraId="174FB631" w14:textId="77777777" w:rsidR="007072BB" w:rsidRPr="00C54140" w:rsidRDefault="007072BB" w:rsidP="0083497B">
      <w:pPr>
        <w:pStyle w:val="FootnoteText"/>
        <w:rPr>
          <w:szCs w:val="16"/>
        </w:rPr>
      </w:pPr>
      <w:r>
        <w:rPr>
          <w:rStyle w:val="FootnoteReference"/>
        </w:rPr>
        <w:footnoteRef/>
      </w:r>
      <w:r>
        <w:t xml:space="preserve"> </w:t>
      </w:r>
      <w:r w:rsidRPr="00C54140">
        <w:rPr>
          <w:szCs w:val="16"/>
        </w:rPr>
        <w:t xml:space="preserve">REPowerEU is the Commission’s plan to make Europe independent from Russian fossil fuels before 2030, in light of Russia's invasion of Ukraine. Communication from the </w:t>
      </w:r>
      <w:r>
        <w:rPr>
          <w:szCs w:val="16"/>
        </w:rPr>
        <w:t>C</w:t>
      </w:r>
      <w:r w:rsidRPr="00C54140">
        <w:rPr>
          <w:szCs w:val="16"/>
        </w:rPr>
        <w:t xml:space="preserve">ommission to the </w:t>
      </w:r>
      <w:r>
        <w:rPr>
          <w:szCs w:val="16"/>
        </w:rPr>
        <w:t>E</w:t>
      </w:r>
      <w:r w:rsidRPr="00C54140">
        <w:rPr>
          <w:szCs w:val="16"/>
        </w:rPr>
        <w:t xml:space="preserve">uropean </w:t>
      </w:r>
      <w:r>
        <w:rPr>
          <w:szCs w:val="16"/>
        </w:rPr>
        <w:t>P</w:t>
      </w:r>
      <w:r w:rsidRPr="00C54140">
        <w:rPr>
          <w:szCs w:val="16"/>
        </w:rPr>
        <w:t xml:space="preserve">arliament, the </w:t>
      </w:r>
      <w:r>
        <w:rPr>
          <w:szCs w:val="16"/>
        </w:rPr>
        <w:t>E</w:t>
      </w:r>
      <w:r w:rsidRPr="00C54140">
        <w:rPr>
          <w:szCs w:val="16"/>
        </w:rPr>
        <w:t xml:space="preserve">uropean </w:t>
      </w:r>
      <w:r>
        <w:rPr>
          <w:szCs w:val="16"/>
        </w:rPr>
        <w:t>C</w:t>
      </w:r>
      <w:r w:rsidRPr="00C54140">
        <w:rPr>
          <w:szCs w:val="16"/>
        </w:rPr>
        <w:t xml:space="preserve">ouncil, the </w:t>
      </w:r>
      <w:r>
        <w:rPr>
          <w:szCs w:val="16"/>
        </w:rPr>
        <w:t>C</w:t>
      </w:r>
      <w:r w:rsidRPr="00C54140">
        <w:rPr>
          <w:szCs w:val="16"/>
        </w:rPr>
        <w:t xml:space="preserve">ouncil, the </w:t>
      </w:r>
      <w:r>
        <w:rPr>
          <w:szCs w:val="16"/>
        </w:rPr>
        <w:t>E</w:t>
      </w:r>
      <w:r w:rsidRPr="00C54140">
        <w:rPr>
          <w:szCs w:val="16"/>
        </w:rPr>
        <w:t xml:space="preserve">uropean </w:t>
      </w:r>
      <w:r>
        <w:rPr>
          <w:szCs w:val="16"/>
        </w:rPr>
        <w:t>E</w:t>
      </w:r>
      <w:r w:rsidRPr="00C54140">
        <w:rPr>
          <w:szCs w:val="16"/>
        </w:rPr>
        <w:t xml:space="preserve">conomic and </w:t>
      </w:r>
      <w:r>
        <w:rPr>
          <w:szCs w:val="16"/>
        </w:rPr>
        <w:t>S</w:t>
      </w:r>
      <w:r w:rsidRPr="00C54140">
        <w:rPr>
          <w:szCs w:val="16"/>
        </w:rPr>
        <w:t xml:space="preserve">ocial </w:t>
      </w:r>
      <w:r>
        <w:rPr>
          <w:szCs w:val="16"/>
        </w:rPr>
        <w:t>C</w:t>
      </w:r>
      <w:r w:rsidRPr="00C54140">
        <w:rPr>
          <w:szCs w:val="16"/>
        </w:rPr>
        <w:t xml:space="preserve">ommittee and the </w:t>
      </w:r>
      <w:r>
        <w:rPr>
          <w:szCs w:val="16"/>
        </w:rPr>
        <w:t>C</w:t>
      </w:r>
      <w:r w:rsidRPr="00C54140">
        <w:rPr>
          <w:szCs w:val="16"/>
        </w:rPr>
        <w:t xml:space="preserve">ommittee of the </w:t>
      </w:r>
      <w:r>
        <w:rPr>
          <w:szCs w:val="16"/>
        </w:rPr>
        <w:t>R</w:t>
      </w:r>
      <w:r w:rsidRPr="00C54140">
        <w:rPr>
          <w:szCs w:val="16"/>
        </w:rPr>
        <w:t>egions</w:t>
      </w:r>
      <w:r>
        <w:rPr>
          <w:szCs w:val="16"/>
        </w:rPr>
        <w:t xml:space="preserve">: </w:t>
      </w:r>
      <w:r w:rsidRPr="00C54140">
        <w:rPr>
          <w:szCs w:val="16"/>
        </w:rPr>
        <w:t>REPowerEU Plan, COM(2022) 230, 18.5.2022.</w:t>
      </w:r>
    </w:p>
  </w:footnote>
  <w:footnote w:id="10">
    <w:p w14:paraId="680D2B4C" w14:textId="77777777" w:rsidR="007072BB" w:rsidRDefault="007072BB" w:rsidP="003C2305">
      <w:pPr>
        <w:pStyle w:val="FootnoteText"/>
      </w:pPr>
      <w:r>
        <w:rPr>
          <w:rStyle w:val="FootnoteReference"/>
        </w:rPr>
        <w:footnoteRef/>
      </w:r>
      <w:r>
        <w:t xml:space="preserve"> </w:t>
      </w:r>
      <w:r w:rsidRPr="003641C3">
        <w:t>Communication from the Commission Temporary Crisis Framework for State Aid measures to support the economy following the aggression against Ukraine by Russia</w:t>
      </w:r>
      <w:r>
        <w:t>, OJ, C 426, 9.11.2022, p. 1</w:t>
      </w:r>
    </w:p>
  </w:footnote>
  <w:footnote w:id="11">
    <w:p w14:paraId="5C42F6F9" w14:textId="7E036C81" w:rsidR="007072BB" w:rsidRPr="00BD3588" w:rsidRDefault="007072BB" w:rsidP="00BD3588">
      <w:pPr>
        <w:pStyle w:val="FootnoteText"/>
        <w:rPr>
          <w:szCs w:val="16"/>
        </w:rPr>
      </w:pPr>
      <w:r w:rsidRPr="00BD3588">
        <w:rPr>
          <w:rStyle w:val="FootnoteReference"/>
          <w:szCs w:val="16"/>
        </w:rPr>
        <w:footnoteRef/>
      </w:r>
      <w:r w:rsidRPr="00BD3588">
        <w:rPr>
          <w:szCs w:val="16"/>
        </w:rPr>
        <w:t xml:space="preserve"> Case SA.104273, </w:t>
      </w:r>
      <w:r w:rsidRPr="00BD3588">
        <w:rPr>
          <w:i/>
          <w:szCs w:val="16"/>
        </w:rPr>
        <w:t xml:space="preserve">Belgium </w:t>
      </w:r>
      <w:r>
        <w:rPr>
          <w:i/>
          <w:szCs w:val="16"/>
        </w:rPr>
        <w:t>–</w:t>
      </w:r>
      <w:r w:rsidRPr="00BD3588">
        <w:rPr>
          <w:i/>
          <w:szCs w:val="16"/>
        </w:rPr>
        <w:t xml:space="preserve"> TCF - State aid scheme in the context of the economic crisis caused by Russia’s aggression against Ukraine</w:t>
      </w:r>
      <w:r w:rsidRPr="00BD3588">
        <w:rPr>
          <w:szCs w:val="16"/>
        </w:rPr>
        <w:t xml:space="preserve">; Case SA.104602, </w:t>
      </w:r>
      <w:r w:rsidRPr="00BD3588">
        <w:rPr>
          <w:i/>
          <w:szCs w:val="16"/>
        </w:rPr>
        <w:t>Denmark – TCF - Guarantee scheme for financial collaterals for electricity and gas companies</w:t>
      </w:r>
      <w:r w:rsidRPr="00BD3588">
        <w:rPr>
          <w:szCs w:val="16"/>
        </w:rPr>
        <w:t xml:space="preserve">; Case SA.104224, </w:t>
      </w:r>
      <w:r w:rsidRPr="00BD3588">
        <w:rPr>
          <w:i/>
          <w:szCs w:val="16"/>
        </w:rPr>
        <w:t>Finland – TCF - State Aid liquidity support in the energy sector</w:t>
      </w:r>
      <w:r w:rsidRPr="00BD3588">
        <w:rPr>
          <w:szCs w:val="16"/>
        </w:rPr>
        <w:t xml:space="preserve">; Case SA.104267, </w:t>
      </w:r>
      <w:r w:rsidRPr="00BD3588">
        <w:rPr>
          <w:i/>
          <w:szCs w:val="16"/>
        </w:rPr>
        <w:t>Finland - TCF - Subsidised loans in energy sector</w:t>
      </w:r>
      <w:r w:rsidRPr="00BD3588">
        <w:rPr>
          <w:szCs w:val="16"/>
        </w:rPr>
        <w:t>.</w:t>
      </w:r>
    </w:p>
  </w:footnote>
  <w:footnote w:id="12">
    <w:p w14:paraId="10098BAC" w14:textId="64668DFE" w:rsidR="007072BB" w:rsidRPr="00C30BEC" w:rsidRDefault="007072BB" w:rsidP="00C30BEC">
      <w:pPr>
        <w:pStyle w:val="FootnoteText"/>
        <w:rPr>
          <w:szCs w:val="16"/>
        </w:rPr>
      </w:pPr>
      <w:r w:rsidRPr="00C30BEC">
        <w:rPr>
          <w:rStyle w:val="FootnoteReference"/>
          <w:szCs w:val="16"/>
        </w:rPr>
        <w:footnoteRef/>
      </w:r>
      <w:r w:rsidRPr="00C30BEC">
        <w:rPr>
          <w:szCs w:val="16"/>
        </w:rPr>
        <w:t xml:space="preserve"> Case SA.103791, </w:t>
      </w:r>
      <w:r w:rsidRPr="00C30BEC">
        <w:rPr>
          <w:i/>
          <w:szCs w:val="16"/>
        </w:rPr>
        <w:t xml:space="preserve">Germany </w:t>
      </w:r>
      <w:r>
        <w:rPr>
          <w:i/>
          <w:szCs w:val="16"/>
        </w:rPr>
        <w:t>–</w:t>
      </w:r>
      <w:r w:rsidRPr="00C30BEC">
        <w:rPr>
          <w:i/>
          <w:szCs w:val="16"/>
        </w:rPr>
        <w:t xml:space="preserve"> Recapitalisation of Uniper SE</w:t>
      </w:r>
      <w:r>
        <w:rPr>
          <w:szCs w:val="16"/>
        </w:rPr>
        <w:t>. See:</w:t>
      </w:r>
      <w:r w:rsidRPr="00C30BEC">
        <w:rPr>
          <w:szCs w:val="16"/>
        </w:rPr>
        <w:t xml:space="preserve"> </w:t>
      </w:r>
      <w:hyperlink r:id="rId1" w:history="1">
        <w:r w:rsidRPr="00C30BEC">
          <w:rPr>
            <w:rStyle w:val="Hyperlink"/>
            <w:szCs w:val="16"/>
          </w:rPr>
          <w:t>https://ec.europa.eu/commission/presscorner/detail/en/IP_22_7830</w:t>
        </w:r>
      </w:hyperlink>
    </w:p>
  </w:footnote>
  <w:footnote w:id="13">
    <w:p w14:paraId="593FF776" w14:textId="4D62304D" w:rsidR="007072BB" w:rsidRPr="009B115E" w:rsidRDefault="007072BB" w:rsidP="00C30BEC">
      <w:pPr>
        <w:pStyle w:val="FootnoteText"/>
        <w:rPr>
          <w:sz w:val="19"/>
          <w:szCs w:val="19"/>
          <w:lang w:val="en-IE"/>
        </w:rPr>
      </w:pPr>
      <w:r w:rsidRPr="00C30BEC">
        <w:rPr>
          <w:rStyle w:val="FootnoteReference"/>
          <w:szCs w:val="16"/>
        </w:rPr>
        <w:footnoteRef/>
      </w:r>
      <w:r w:rsidRPr="00C30BEC">
        <w:rPr>
          <w:szCs w:val="16"/>
        </w:rPr>
        <w:t xml:space="preserve"> Case SA.105001, </w:t>
      </w:r>
      <w:r w:rsidRPr="00C30BEC">
        <w:rPr>
          <w:i/>
          <w:szCs w:val="16"/>
        </w:rPr>
        <w:t xml:space="preserve">Germany </w:t>
      </w:r>
      <w:r>
        <w:rPr>
          <w:i/>
          <w:szCs w:val="16"/>
        </w:rPr>
        <w:t>–</w:t>
      </w:r>
      <w:r w:rsidRPr="00C30BEC">
        <w:rPr>
          <w:i/>
          <w:szCs w:val="16"/>
        </w:rPr>
        <w:t xml:space="preserve"> Recapitalisation of SEFE GmbH</w:t>
      </w:r>
      <w:r>
        <w:rPr>
          <w:szCs w:val="16"/>
        </w:rPr>
        <w:t>.</w:t>
      </w:r>
      <w:r w:rsidRPr="00C30BEC">
        <w:rPr>
          <w:szCs w:val="16"/>
        </w:rPr>
        <w:t xml:space="preserve"> </w:t>
      </w:r>
      <w:r>
        <w:rPr>
          <w:szCs w:val="16"/>
        </w:rPr>
        <w:t xml:space="preserve">See: </w:t>
      </w:r>
      <w:hyperlink r:id="rId2" w:history="1">
        <w:r w:rsidRPr="00C30BEC">
          <w:rPr>
            <w:rStyle w:val="Hyperlink"/>
            <w:szCs w:val="16"/>
          </w:rPr>
          <w:t>https://ec.europa.eu/commission/presscorner/detail/en/IP_22_7828</w:t>
        </w:r>
      </w:hyperlink>
    </w:p>
  </w:footnote>
  <w:footnote w:id="14">
    <w:p w14:paraId="060549A1" w14:textId="3FF68404" w:rsidR="007072BB" w:rsidRPr="00663050" w:rsidRDefault="007072BB" w:rsidP="00590056">
      <w:pPr>
        <w:pStyle w:val="FootnoteText"/>
        <w:rPr>
          <w:szCs w:val="16"/>
        </w:rPr>
      </w:pPr>
      <w:r>
        <w:rPr>
          <w:rStyle w:val="FootnoteReference"/>
        </w:rPr>
        <w:footnoteRef/>
      </w:r>
      <w:r>
        <w:t xml:space="preserve"> </w:t>
      </w:r>
      <w:r w:rsidRPr="00590056">
        <w:t>For example, Germany notified an umbrella scheme with a EUR 11 billion budget. The German scheme included State guarantees for loans and subsidised loans, ensuring capital liquidity for companies in need</w:t>
      </w:r>
      <w:r>
        <w:t>.</w:t>
      </w:r>
      <w:r w:rsidRPr="00590056">
        <w:t xml:space="preserve"> </w:t>
      </w:r>
      <w:r>
        <w:t xml:space="preserve">Case SA.102631, </w:t>
      </w:r>
      <w:r w:rsidRPr="00CB0C4C">
        <w:rPr>
          <w:i/>
        </w:rPr>
        <w:t>Germany TCF: Umbrella schemes for guarantees on loans and subsidised loans</w:t>
      </w:r>
      <w:r>
        <w:t xml:space="preserve">, OJ </w:t>
      </w:r>
      <w:r w:rsidRPr="00CB0C4C">
        <w:t>C 337, 2.9.2022,</w:t>
      </w:r>
      <w:r>
        <w:t xml:space="preserve"> p. 18.</w:t>
      </w:r>
      <w:r w:rsidRPr="00590056">
        <w:t xml:space="preserve"> Spain notified a EUR 1.3 billion umbrella scheme. </w:t>
      </w:r>
      <w:r w:rsidRPr="007072BB">
        <w:t>The Spanish umbrella scheme included liquidity support in the form of loan guarantees and loans with subsidised interest rates</w:t>
      </w:r>
      <w:r>
        <w:t>.</w:t>
      </w:r>
      <w:r w:rsidRPr="00590056">
        <w:rPr>
          <w:lang w:val="en-US"/>
        </w:rPr>
        <w:t xml:space="preserve"> </w:t>
      </w:r>
      <w:r>
        <w:rPr>
          <w:lang w:val="en-US"/>
        </w:rPr>
        <w:t xml:space="preserve">Case SA. 102771 </w:t>
      </w:r>
      <w:r w:rsidRPr="00625470">
        <w:rPr>
          <w:i/>
          <w:lang w:val="en-US"/>
        </w:rPr>
        <w:t>Spain TCF: Umbrella Scheme</w:t>
      </w:r>
      <w:r>
        <w:rPr>
          <w:lang w:val="en-US"/>
        </w:rPr>
        <w:t xml:space="preserve">, </w:t>
      </w:r>
      <w:r w:rsidRPr="00625470">
        <w:rPr>
          <w:iCs/>
          <w:lang w:val="en-US"/>
        </w:rPr>
        <w:t>OJ C 348, 9.9.2022, p. 9</w:t>
      </w:r>
      <w:r>
        <w:rPr>
          <w:iCs/>
          <w:lang w:val="en-US"/>
        </w:rPr>
        <w:t xml:space="preserve">. </w:t>
      </w:r>
      <w:r w:rsidRPr="00A537F8">
        <w:rPr>
          <w:iCs/>
          <w:lang w:val="en-US"/>
        </w:rPr>
        <w:t>Italy notified an umbrella scheme amounting to EUR 1.2 billion. The support was targeted to the agricultural, forestry, fishery and aquaculture sectors, including direct grants, tax or payment advantages, repayable advances and reduction or exemption from making social security and welfare contributions</w:t>
      </w:r>
      <w:r>
        <w:rPr>
          <w:iCs/>
          <w:lang w:val="en-US"/>
        </w:rPr>
        <w:t>.</w:t>
      </w:r>
      <w:r w:rsidRPr="00A537F8">
        <w:t xml:space="preserve"> </w:t>
      </w:r>
      <w:r>
        <w:t xml:space="preserve">Case SA. 102896, </w:t>
      </w:r>
      <w:r w:rsidRPr="00625470">
        <w:rPr>
          <w:i/>
        </w:rPr>
        <w:t xml:space="preserve">Italy </w:t>
      </w:r>
      <w:r>
        <w:rPr>
          <w:i/>
        </w:rPr>
        <w:t xml:space="preserve">– </w:t>
      </w:r>
      <w:r w:rsidRPr="00625470">
        <w:rPr>
          <w:i/>
        </w:rPr>
        <w:t>TCF</w:t>
      </w:r>
      <w:r>
        <w:rPr>
          <w:i/>
        </w:rPr>
        <w:t xml:space="preserve"> –</w:t>
      </w:r>
      <w:r>
        <w:t xml:space="preserve"> </w:t>
      </w:r>
      <w:r w:rsidRPr="00625470">
        <w:rPr>
          <w:i/>
        </w:rPr>
        <w:t>Umbrella scheme for the measures to support undertakings active in the agricultural, forestry, fishery, and aquaculture sectors in compliance with the Temporary Crisis Framework</w:t>
      </w:r>
      <w:r>
        <w:t xml:space="preserve">, </w:t>
      </w:r>
      <w:r w:rsidRPr="00625470">
        <w:rPr>
          <w:iCs/>
        </w:rPr>
        <w:t>OJ C 337, 2.9.2022, p. 17</w:t>
      </w:r>
      <w:r>
        <w:rPr>
          <w:iCs/>
        </w:rPr>
        <w:t>.</w:t>
      </w:r>
    </w:p>
  </w:footnote>
  <w:footnote w:id="15">
    <w:p w14:paraId="13E65E36" w14:textId="77777777" w:rsidR="007072BB" w:rsidRPr="00A81487" w:rsidRDefault="007072BB" w:rsidP="00370192">
      <w:pPr>
        <w:pStyle w:val="FootnoteText"/>
        <w:rPr>
          <w:szCs w:val="16"/>
        </w:rPr>
      </w:pPr>
      <w:r w:rsidRPr="00A81487">
        <w:rPr>
          <w:rStyle w:val="FootnoteReference"/>
          <w:szCs w:val="16"/>
        </w:rPr>
        <w:footnoteRef/>
      </w:r>
      <w:r w:rsidRPr="00A81487">
        <w:rPr>
          <w:szCs w:val="16"/>
        </w:rPr>
        <w:t xml:space="preserve"> </w:t>
      </w:r>
      <w:r>
        <w:rPr>
          <w:szCs w:val="16"/>
        </w:rPr>
        <w:t>Source: DG Competition internal database</w:t>
      </w:r>
      <w:r w:rsidRPr="00A81487">
        <w:rPr>
          <w:szCs w:val="16"/>
        </w:rPr>
        <w:t>.</w:t>
      </w:r>
    </w:p>
  </w:footnote>
  <w:footnote w:id="16">
    <w:p w14:paraId="07B9045A" w14:textId="174B1B4F" w:rsidR="007072BB" w:rsidRPr="00B8661B" w:rsidRDefault="007072BB" w:rsidP="00FB7869">
      <w:pPr>
        <w:pStyle w:val="FootnoteText"/>
      </w:pPr>
      <w:r w:rsidRPr="00663050">
        <w:rPr>
          <w:rStyle w:val="FootnoteReference"/>
          <w:szCs w:val="16"/>
        </w:rPr>
        <w:footnoteRef/>
      </w:r>
      <w:r>
        <w:rPr>
          <w:rFonts w:cs="Times New Roman"/>
          <w:szCs w:val="16"/>
        </w:rPr>
        <w:t xml:space="preserve"> </w:t>
      </w:r>
      <w:r w:rsidRPr="00663050">
        <w:rPr>
          <w:rFonts w:cs="Times New Roman"/>
          <w:szCs w:val="16"/>
        </w:rPr>
        <w:t>Communication from the Commission: Temporary framework for State aid measures</w:t>
      </w:r>
      <w:r w:rsidRPr="00C54140">
        <w:rPr>
          <w:rFonts w:cs="Times New Roman"/>
          <w:szCs w:val="16"/>
        </w:rPr>
        <w:t xml:space="preserve"> to support the economy in the current COVID-19 outbreak (OJ C 91I, 20.3.2020, p. 1), as amended by Commission Communications C(2020) 2215 (OJ C 112I, 4.4.2020, p. 1), C(2020) 3156 (OJ C 164, 13.5.2020, p. 3), C(2020) 4509 (OJ C 218, 2.7.2020, p. 3), C(2020) 7127 (OJ C 340I, 13.10.2020, p. 1), C(2021) 564 (OJ C 34, 1.2.2021, p. 6) and C(2021) 8442 (OJ C 473, 24.11.2021, p. 1)</w:t>
      </w:r>
      <w:r>
        <w:rPr>
          <w:rFonts w:cs="Times New Roman"/>
          <w:szCs w:val="16"/>
        </w:rPr>
        <w:t>.</w:t>
      </w:r>
    </w:p>
  </w:footnote>
  <w:footnote w:id="17">
    <w:p w14:paraId="5FE8B627" w14:textId="77777777" w:rsidR="007072BB" w:rsidRPr="009D1497" w:rsidRDefault="007072BB" w:rsidP="00FB7869">
      <w:pPr>
        <w:pStyle w:val="FootnoteText"/>
        <w:rPr>
          <w:szCs w:val="16"/>
        </w:rPr>
      </w:pPr>
      <w:r w:rsidRPr="00937722">
        <w:rPr>
          <w:rStyle w:val="FootnoteReference"/>
          <w:szCs w:val="16"/>
        </w:rPr>
        <w:footnoteRef/>
      </w:r>
      <w:r w:rsidRPr="00937722">
        <w:rPr>
          <w:szCs w:val="16"/>
        </w:rPr>
        <w:t xml:space="preserve"> See Staff Working Document, Annex </w:t>
      </w:r>
      <w:r>
        <w:rPr>
          <w:szCs w:val="16"/>
        </w:rPr>
        <w:t>1 and Annex 2</w:t>
      </w:r>
      <w:r w:rsidRPr="00937722">
        <w:rPr>
          <w:szCs w:val="16"/>
        </w:rPr>
        <w:t xml:space="preserve"> for a complete list of COVID-related Commission decisions.</w:t>
      </w:r>
    </w:p>
  </w:footnote>
  <w:footnote w:id="18">
    <w:p w14:paraId="7DA0DE9D" w14:textId="77777777" w:rsidR="007072BB" w:rsidRPr="0011750D" w:rsidRDefault="007072BB" w:rsidP="00E9062B">
      <w:pPr>
        <w:pStyle w:val="FootnoteText"/>
      </w:pPr>
      <w:r>
        <w:rPr>
          <w:rStyle w:val="FootnoteReference"/>
        </w:rPr>
        <w:footnoteRef/>
      </w:r>
      <w:r>
        <w:t xml:space="preserve"> </w:t>
      </w:r>
      <w:r w:rsidRPr="0011750D">
        <w:t xml:space="preserve">Communication from the Commission: </w:t>
      </w:r>
      <w:r>
        <w:t xml:space="preserve">Amendment to the </w:t>
      </w:r>
      <w:r w:rsidRPr="0011750D">
        <w:t>Temporary framework for State aid measures to support the economy in the current COVID-19 outbreak</w:t>
      </w:r>
      <w:r>
        <w:t>,</w:t>
      </w:r>
      <w:r w:rsidRPr="00E9062B">
        <w:t xml:space="preserve"> OJ C </w:t>
      </w:r>
      <w:r>
        <w:t>423, 7.11.2022, p. 9</w:t>
      </w:r>
      <w:r w:rsidRPr="00E9062B">
        <w:t>.</w:t>
      </w:r>
    </w:p>
  </w:footnote>
  <w:footnote w:id="19">
    <w:p w14:paraId="1F89352F" w14:textId="77777777" w:rsidR="007072BB" w:rsidRPr="004F0103" w:rsidRDefault="007072BB" w:rsidP="004F0103">
      <w:pPr>
        <w:pStyle w:val="FootnoteText"/>
        <w:rPr>
          <w:szCs w:val="16"/>
        </w:rPr>
      </w:pPr>
      <w:r w:rsidRPr="008C3B7C">
        <w:rPr>
          <w:rStyle w:val="FootnoteReference"/>
          <w:szCs w:val="16"/>
        </w:rPr>
        <w:footnoteRef/>
      </w:r>
      <w:r w:rsidRPr="008C3B7C">
        <w:rPr>
          <w:szCs w:val="16"/>
        </w:rPr>
        <w:t xml:space="preserve"> </w:t>
      </w:r>
      <w:r w:rsidRPr="004F0103">
        <w:rPr>
          <w:szCs w:val="16"/>
        </w:rPr>
        <w:t>See</w:t>
      </w:r>
      <w:r>
        <w:rPr>
          <w:szCs w:val="16"/>
        </w:rPr>
        <w:t>:</w:t>
      </w:r>
      <w:r w:rsidRPr="004F0103">
        <w:rPr>
          <w:szCs w:val="16"/>
        </w:rPr>
        <w:t xml:space="preserve"> </w:t>
      </w:r>
      <w:hyperlink r:id="rId3" w:history="1">
        <w:r w:rsidRPr="004F0103">
          <w:rPr>
            <w:rStyle w:val="Hyperlink"/>
            <w:szCs w:val="16"/>
          </w:rPr>
          <w:t>https://ec.europa.eu/commission/presscorner/detail/en/IP_22_3131</w:t>
        </w:r>
      </w:hyperlink>
    </w:p>
  </w:footnote>
  <w:footnote w:id="20">
    <w:p w14:paraId="6DCA0132" w14:textId="77777777" w:rsidR="007072BB" w:rsidRPr="00ED4CE1" w:rsidRDefault="007072BB" w:rsidP="00EF254B">
      <w:pPr>
        <w:pStyle w:val="FootnoteText"/>
      </w:pPr>
      <w:r>
        <w:rPr>
          <w:rStyle w:val="FootnoteReference"/>
        </w:rPr>
        <w:footnoteRef/>
      </w:r>
      <w:r>
        <w:t xml:space="preserve"> </w:t>
      </w:r>
      <w:r w:rsidRPr="009151AC">
        <w:rPr>
          <w:szCs w:val="16"/>
        </w:rPr>
        <w:t xml:space="preserve">See the Recovery and Resilience Scoreboard, which gives an overview of how the implementation of the Recovery and Resilience Facility (RRF) and the national recovery and resilience plans is progressing: </w:t>
      </w:r>
      <w:hyperlink r:id="rId4" w:history="1">
        <w:r w:rsidRPr="009151AC">
          <w:rPr>
            <w:rStyle w:val="Hyperlink"/>
            <w:szCs w:val="16"/>
          </w:rPr>
          <w:t>https://ec.europa.eu/economy_finance/recovery-and-resilience-scoreboard/index.html?lang=en</w:t>
        </w:r>
      </w:hyperlink>
    </w:p>
  </w:footnote>
  <w:footnote w:id="21">
    <w:p w14:paraId="799CD30C" w14:textId="3C8F90F0" w:rsidR="007072BB" w:rsidRDefault="007072BB">
      <w:pPr>
        <w:pStyle w:val="FootnoteText"/>
      </w:pPr>
      <w:r>
        <w:rPr>
          <w:rStyle w:val="FootnoteReference"/>
        </w:rPr>
        <w:footnoteRef/>
      </w:r>
      <w:r>
        <w:t xml:space="preserve"> </w:t>
      </w:r>
      <w:r w:rsidRPr="00AE2A20">
        <w:t>Mainly Commission Regulation (EU) No 651/2014 of 17 June 2014 declaring certain categories of aid compatible with the internal market in application of Articles 107 and 108 of the Treaty, OJ L 187, 26.6.2014, p.</w:t>
      </w:r>
      <w:r>
        <w:t xml:space="preserve"> </w:t>
      </w:r>
      <w:r w:rsidRPr="00AE2A20">
        <w:t>1, as last amended by Commi</w:t>
      </w:r>
      <w:r>
        <w:t xml:space="preserve">ssion Regulation (EU) 2021/1237, </w:t>
      </w:r>
      <w:r w:rsidRPr="00AE2A20">
        <w:t>OJ L 270, 29.7.2021, p. 39.</w:t>
      </w:r>
    </w:p>
  </w:footnote>
  <w:footnote w:id="22">
    <w:p w14:paraId="1059652E" w14:textId="458D1FCF" w:rsidR="007072BB" w:rsidRDefault="007072BB">
      <w:pPr>
        <w:pStyle w:val="FootnoteText"/>
      </w:pPr>
      <w:r>
        <w:rPr>
          <w:rStyle w:val="FootnoteReference"/>
        </w:rPr>
        <w:footnoteRef/>
      </w:r>
      <w:r>
        <w:t xml:space="preserve"> </w:t>
      </w:r>
      <w:r w:rsidRPr="00AE2A20">
        <w:t xml:space="preserve">Mainly Commission Regulation (EU) No1407/2013 of 18 December 2013 on the application of Articles 107 and 108 of the Treaty on the Functioning of the European Union to </w:t>
      </w:r>
      <w:r w:rsidRPr="00AE2A20">
        <w:rPr>
          <w:i/>
        </w:rPr>
        <w:t>de minimis</w:t>
      </w:r>
      <w:r>
        <w:t xml:space="preserve"> aid, OJ</w:t>
      </w:r>
      <w:r w:rsidRPr="00AE2A20">
        <w:t xml:space="preserve"> L 352, 24.12.2013, p. 1.</w:t>
      </w:r>
    </w:p>
  </w:footnote>
  <w:footnote w:id="23">
    <w:p w14:paraId="508B45E4" w14:textId="77777777" w:rsidR="007072BB" w:rsidRPr="009D1497" w:rsidRDefault="007072BB" w:rsidP="00697E7D">
      <w:pPr>
        <w:pStyle w:val="FootnoteText"/>
        <w:rPr>
          <w:szCs w:val="16"/>
        </w:rPr>
      </w:pPr>
      <w:r w:rsidRPr="009D1497">
        <w:rPr>
          <w:rStyle w:val="FootnoteReference"/>
          <w:szCs w:val="16"/>
        </w:rPr>
        <w:footnoteRef/>
      </w:r>
      <w:r w:rsidRPr="009D1497">
        <w:rPr>
          <w:szCs w:val="16"/>
        </w:rPr>
        <w:t xml:space="preserve"> </w:t>
      </w:r>
      <w:r w:rsidRPr="009D1497">
        <w:rPr>
          <w:szCs w:val="16"/>
          <w:lang w:val="en-IE"/>
        </w:rPr>
        <w:t>Regulation (EU) 2022/1925 of the European Parliament and of the Council of 14 September 2022 on contestable and fair markets in the digital sector and amending Directives (EU) 2019/1937 and (EU) 2020/1828 (Digital Markets Act)</w:t>
      </w:r>
      <w:r>
        <w:rPr>
          <w:szCs w:val="16"/>
          <w:lang w:val="en-IE"/>
        </w:rPr>
        <w:t>, OJ L 265, 12.10.2022, p. 1.</w:t>
      </w:r>
    </w:p>
  </w:footnote>
  <w:footnote w:id="24">
    <w:p w14:paraId="0A050DCE" w14:textId="77777777" w:rsidR="007072BB" w:rsidRPr="006933CF" w:rsidRDefault="007072BB">
      <w:pPr>
        <w:pStyle w:val="FootnoteText"/>
      </w:pPr>
      <w:r>
        <w:rPr>
          <w:rStyle w:val="FootnoteReference"/>
        </w:rPr>
        <w:footnoteRef/>
      </w:r>
      <w:r>
        <w:t xml:space="preserve"> </w:t>
      </w:r>
      <w:r w:rsidRPr="006933CF">
        <w:t>The DMA will apply as of 2 May 2023</w:t>
      </w:r>
      <w:r>
        <w:t xml:space="preserve">. In 2022, the </w:t>
      </w:r>
      <w:r w:rsidRPr="006933CF">
        <w:t>Commission prepar</w:t>
      </w:r>
      <w:r>
        <w:t>ed</w:t>
      </w:r>
      <w:r w:rsidRPr="006933CF">
        <w:t xml:space="preserve"> for enforcing the DMA, for example by </w:t>
      </w:r>
      <w:r>
        <w:t>drafting</w:t>
      </w:r>
      <w:r w:rsidRPr="006933CF">
        <w:t xml:space="preserve"> implementing acts, developing decision templates and setting up internal procedures for the operation of registries and IT systems.</w:t>
      </w:r>
    </w:p>
  </w:footnote>
  <w:footnote w:id="25">
    <w:p w14:paraId="7EEF405E" w14:textId="6D50F79A" w:rsidR="007072BB" w:rsidRPr="006835CD" w:rsidRDefault="007072BB">
      <w:pPr>
        <w:pStyle w:val="FootnoteText"/>
      </w:pPr>
      <w:r w:rsidRPr="005B710E">
        <w:rPr>
          <w:rStyle w:val="FootnoteReference"/>
        </w:rPr>
        <w:footnoteRef/>
      </w:r>
      <w:r w:rsidRPr="005B710E">
        <w:t xml:space="preserve"> R</w:t>
      </w:r>
      <w:r w:rsidRPr="00A81487">
        <w:t>egulation</w:t>
      </w:r>
      <w:r w:rsidRPr="005B710E">
        <w:t xml:space="preserve"> (EU) 2022/2560 </w:t>
      </w:r>
      <w:r w:rsidRPr="00A81487">
        <w:t>of</w:t>
      </w:r>
      <w:r w:rsidRPr="005B710E">
        <w:t xml:space="preserve"> </w:t>
      </w:r>
      <w:r w:rsidRPr="00A81487">
        <w:t>the</w:t>
      </w:r>
      <w:r w:rsidRPr="005B710E">
        <w:t xml:space="preserve"> E</w:t>
      </w:r>
      <w:r w:rsidRPr="00A81487">
        <w:t>uropean</w:t>
      </w:r>
      <w:r w:rsidRPr="005B710E">
        <w:t xml:space="preserve"> P</w:t>
      </w:r>
      <w:r w:rsidRPr="00A81487">
        <w:t>arliament</w:t>
      </w:r>
      <w:r w:rsidRPr="005B710E">
        <w:t xml:space="preserve"> </w:t>
      </w:r>
      <w:r w:rsidRPr="00A81487">
        <w:t>and</w:t>
      </w:r>
      <w:r w:rsidRPr="005B710E">
        <w:t xml:space="preserve"> </w:t>
      </w:r>
      <w:r w:rsidRPr="00A81487">
        <w:t>of</w:t>
      </w:r>
      <w:r w:rsidRPr="005B710E">
        <w:t xml:space="preserve"> </w:t>
      </w:r>
      <w:r w:rsidRPr="00A81487">
        <w:t>the</w:t>
      </w:r>
      <w:r w:rsidRPr="005B710E">
        <w:t xml:space="preserve"> </w:t>
      </w:r>
      <w:r w:rsidRPr="003C7AE7">
        <w:t>C</w:t>
      </w:r>
      <w:r w:rsidRPr="005B710E">
        <w:t>ouncil of 14 December 2022 on foreign subsidies distorting the internal market, OJ L330, 23.12.2022, p.</w:t>
      </w:r>
      <w:r>
        <w:t xml:space="preserve"> </w:t>
      </w:r>
      <w:r w:rsidRPr="005B710E">
        <w:t>1.</w:t>
      </w:r>
    </w:p>
  </w:footnote>
  <w:footnote w:id="26">
    <w:p w14:paraId="3B85609E" w14:textId="77777777" w:rsidR="007072BB" w:rsidRPr="00D12C8F" w:rsidRDefault="007072BB" w:rsidP="00AD2A16">
      <w:pPr>
        <w:pStyle w:val="FootnoteText"/>
      </w:pPr>
      <w:r>
        <w:rPr>
          <w:rStyle w:val="FootnoteReference"/>
        </w:rPr>
        <w:footnoteRef/>
      </w:r>
      <w:r>
        <w:t xml:space="preserve"> </w:t>
      </w:r>
      <w:r w:rsidRPr="00D12C8F">
        <w:t xml:space="preserve">Commission Regulation (EU) </w:t>
      </w:r>
      <w:r>
        <w:t xml:space="preserve">No </w:t>
      </w:r>
      <w:r w:rsidRPr="00D12C8F">
        <w:t>2022/720 of 10 May 2022 on the application of Article 101(3) of the Treaty on the Functioning of the European Union to categories of vertical agreements</w:t>
      </w:r>
      <w:r>
        <w:t xml:space="preserve"> and concerted practices (VBER), OJ L 134, 11.5.2022, p. 4.</w:t>
      </w:r>
    </w:p>
  </w:footnote>
  <w:footnote w:id="27">
    <w:p w14:paraId="06D85AA7" w14:textId="77777777" w:rsidR="007072BB" w:rsidRPr="00D12C8F" w:rsidRDefault="007072BB" w:rsidP="00AD2A16">
      <w:pPr>
        <w:pStyle w:val="FootnoteText"/>
      </w:pPr>
      <w:r>
        <w:rPr>
          <w:rStyle w:val="FootnoteReference"/>
        </w:rPr>
        <w:footnoteRef/>
      </w:r>
      <w:r>
        <w:t xml:space="preserve"> Commission Notice: </w:t>
      </w:r>
      <w:r w:rsidRPr="00D12C8F">
        <w:t>Guidelines on v</w:t>
      </w:r>
      <w:r>
        <w:t>ertical restraints, OJ C 248, 30.6.2022, p. 1.</w:t>
      </w:r>
    </w:p>
  </w:footnote>
  <w:footnote w:id="28">
    <w:p w14:paraId="351A768F" w14:textId="77777777" w:rsidR="007072BB" w:rsidRPr="009C73F8" w:rsidRDefault="007072BB" w:rsidP="00AD2A16">
      <w:pPr>
        <w:pStyle w:val="FootnoteText"/>
      </w:pPr>
      <w:r>
        <w:rPr>
          <w:rStyle w:val="FootnoteReference"/>
        </w:rPr>
        <w:footnoteRef/>
      </w:r>
      <w:r>
        <w:t xml:space="preserve"> </w:t>
      </w:r>
      <w:r w:rsidRPr="009C73F8">
        <w:t>Public consultation on the draft revised Horizontal Block Exemption Regulations and Horizontal Guidelines</w:t>
      </w:r>
      <w:r>
        <w:t>, from 1.3.2022 to 26.4</w:t>
      </w:r>
      <w:r w:rsidRPr="009C73F8">
        <w:t>.2022. See:</w:t>
      </w:r>
      <w:r>
        <w:t xml:space="preserve"> </w:t>
      </w:r>
      <w:hyperlink r:id="rId5" w:history="1">
        <w:r w:rsidRPr="00523268">
          <w:rPr>
            <w:rStyle w:val="Hyperlink"/>
          </w:rPr>
          <w:t>https://competition-policy.ec.europa.eu/public-consultations/2022-hbers_en</w:t>
        </w:r>
      </w:hyperlink>
    </w:p>
  </w:footnote>
  <w:footnote w:id="29">
    <w:p w14:paraId="53432723" w14:textId="088A5493" w:rsidR="007072BB" w:rsidRPr="00476397" w:rsidRDefault="007072BB">
      <w:pPr>
        <w:pStyle w:val="FootnoteText"/>
      </w:pPr>
      <w:r>
        <w:rPr>
          <w:rStyle w:val="FootnoteReference"/>
        </w:rPr>
        <w:footnoteRef/>
      </w:r>
      <w:r>
        <w:t xml:space="preserve"> </w:t>
      </w:r>
      <w:r w:rsidRPr="00476397">
        <w:t>Commission Regulation (EU) 2022/2455 of 8 December 2022 amending Regulation (EU) No 1217/2010 on the application of Article 101(3) of the Treaty on the Functioning of the European Union to certain categories of research and development agreements</w:t>
      </w:r>
      <w:r>
        <w:t>, OJ</w:t>
      </w:r>
      <w:r w:rsidRPr="00476397">
        <w:t xml:space="preserve"> L 321, 15.12.2022, p. 1</w:t>
      </w:r>
      <w:r>
        <w:t xml:space="preserve">; and </w:t>
      </w:r>
      <w:r w:rsidRPr="00476397">
        <w:t>Commission Regulation (EU) 2022/2456 of 8 December 2022 amending Regulation (EU) No 1218/2010 on the application of Article 101(3) of the Treaty on the Functioning of the European Union to certain categories of specialisation agreements</w:t>
      </w:r>
      <w:r>
        <w:t>, OJ</w:t>
      </w:r>
      <w:r w:rsidRPr="00476397">
        <w:t xml:space="preserve"> L 321, 15.12.2022, p. 3</w:t>
      </w:r>
      <w:r>
        <w:t>.</w:t>
      </w:r>
    </w:p>
  </w:footnote>
  <w:footnote w:id="30">
    <w:p w14:paraId="524145BA" w14:textId="77777777" w:rsidR="007072BB" w:rsidRPr="0042444F" w:rsidRDefault="007072BB" w:rsidP="0033173E">
      <w:pPr>
        <w:pStyle w:val="FootnoteText"/>
      </w:pPr>
      <w:r>
        <w:rPr>
          <w:rStyle w:val="FootnoteReference"/>
        </w:rPr>
        <w:footnoteRef/>
      </w:r>
      <w:r>
        <w:t xml:space="preserve"> The Motor Vehicle </w:t>
      </w:r>
      <w:r w:rsidRPr="0042444F">
        <w:t>Block</w:t>
      </w:r>
      <w:r>
        <w:t xml:space="preserve"> Exemption Regulation (‘MVBER’</w:t>
      </w:r>
      <w:r w:rsidRPr="0042444F">
        <w:t>) regime consists of: (i) the Vertical Block</w:t>
      </w:r>
      <w:r>
        <w:t xml:space="preserve"> Exemption Regulation (‘VBER’</w:t>
      </w:r>
      <w:r w:rsidRPr="0042444F">
        <w:t>) and the Guid</w:t>
      </w:r>
      <w:r>
        <w:t>elines on Vertical Restraints (‘</w:t>
      </w:r>
      <w:r w:rsidRPr="0042444F">
        <w:t>VGL</w:t>
      </w:r>
      <w:r>
        <w:t>’</w:t>
      </w:r>
      <w:r w:rsidRPr="0042444F">
        <w:t xml:space="preserve">); and (ii) the sector-specific block exemption provisions, as provided for in the MVBER and the </w:t>
      </w:r>
      <w:r w:rsidRPr="00320F0D">
        <w:t>Supplementary Guidelines</w:t>
      </w:r>
      <w:r w:rsidRPr="0042444F">
        <w:t xml:space="preserve"> </w:t>
      </w:r>
      <w:r>
        <w:t>(‘</w:t>
      </w:r>
      <w:r w:rsidRPr="0042444F">
        <w:t>SGL</w:t>
      </w:r>
      <w:r>
        <w:t>’)</w:t>
      </w:r>
      <w:r w:rsidRPr="0042444F">
        <w:t>, applicable to the distribution of spare parts and repair and maintenance services for motor vehicles.</w:t>
      </w:r>
    </w:p>
  </w:footnote>
  <w:footnote w:id="31">
    <w:p w14:paraId="2D1CCC82" w14:textId="77777777" w:rsidR="007072BB" w:rsidRPr="0042444F" w:rsidRDefault="007072BB" w:rsidP="00AD2A16">
      <w:pPr>
        <w:pStyle w:val="FootnoteText"/>
      </w:pPr>
      <w:r>
        <w:rPr>
          <w:rStyle w:val="FootnoteReference"/>
        </w:rPr>
        <w:footnoteRef/>
      </w:r>
      <w:r>
        <w:t xml:space="preserve"> </w:t>
      </w:r>
      <w:r w:rsidRPr="0042444F">
        <w:t>Commission Regulation (EU) No 461/2010 of 27 May 2010 on the application of Article 101(3) of the Treaty on the Functioning of the European Union to categories of vertical agreements and concerted practic</w:t>
      </w:r>
      <w:r>
        <w:t>es in the motor vehicle sector, OJ L 129, 28.5.2010, p. 52</w:t>
      </w:r>
      <w:r w:rsidRPr="0042444F">
        <w:t>.</w:t>
      </w:r>
    </w:p>
  </w:footnote>
  <w:footnote w:id="32">
    <w:p w14:paraId="44DE6C32" w14:textId="77777777" w:rsidR="007072BB" w:rsidRPr="0042444F" w:rsidRDefault="007072BB" w:rsidP="00AD2A16">
      <w:pPr>
        <w:pStyle w:val="FootnoteText"/>
      </w:pPr>
      <w:r>
        <w:rPr>
          <w:rStyle w:val="FootnoteReference"/>
        </w:rPr>
        <w:footnoteRef/>
      </w:r>
      <w:r>
        <w:t xml:space="preserve"> Commission Notice: </w:t>
      </w:r>
      <w:r w:rsidRPr="0042444F">
        <w:t xml:space="preserve">Supplementary guidelines on vertical restraints in agreements for the sale and repair of motor vehicles and for the distribution of </w:t>
      </w:r>
      <w:r>
        <w:t>spare parts for motor vehicles, OJ C 138, 28.5.2010, p. 16</w:t>
      </w:r>
      <w:r w:rsidRPr="0042444F">
        <w:t>.</w:t>
      </w:r>
    </w:p>
  </w:footnote>
  <w:footnote w:id="33">
    <w:p w14:paraId="23E99341" w14:textId="77777777" w:rsidR="007072BB" w:rsidRPr="004E0209" w:rsidRDefault="007072BB" w:rsidP="00156DA5">
      <w:pPr>
        <w:pStyle w:val="FootnoteText"/>
        <w:rPr>
          <w:lang w:val="en-IE"/>
        </w:rPr>
      </w:pPr>
      <w:r>
        <w:rPr>
          <w:rStyle w:val="FootnoteReference"/>
        </w:rPr>
        <w:footnoteRef/>
      </w:r>
      <w:r>
        <w:t xml:space="preserve"> Communication from the C</w:t>
      </w:r>
      <w:r w:rsidRPr="004E0209">
        <w:t>ommission</w:t>
      </w:r>
      <w:r>
        <w:t>:</w:t>
      </w:r>
      <w:r w:rsidRPr="004E0209">
        <w:t xml:space="preserve"> Guidelines on the application of Union competition law to collective agreements regarding the working conditions of solo self-employed persons</w:t>
      </w:r>
      <w:r>
        <w:t>, OJ C 374, 30.9.2022, p. 2.</w:t>
      </w:r>
    </w:p>
  </w:footnote>
  <w:footnote w:id="34">
    <w:p w14:paraId="52C2FD54" w14:textId="77777777" w:rsidR="007072BB" w:rsidRPr="00C30BEC" w:rsidRDefault="007072BB" w:rsidP="00C30BEC">
      <w:pPr>
        <w:pStyle w:val="FootnoteText"/>
        <w:rPr>
          <w:szCs w:val="16"/>
        </w:rPr>
      </w:pPr>
      <w:r w:rsidRPr="00C30BEC">
        <w:rPr>
          <w:rStyle w:val="FootnoteReference"/>
          <w:szCs w:val="16"/>
        </w:rPr>
        <w:footnoteRef/>
      </w:r>
      <w:r w:rsidRPr="00C30BEC">
        <w:rPr>
          <w:szCs w:val="16"/>
        </w:rPr>
        <w:t xml:space="preserve"> Judgment of the Court of Justice of 4.12.2014, Case C-413/13, </w:t>
      </w:r>
      <w:r w:rsidRPr="00C30BEC">
        <w:rPr>
          <w:i/>
          <w:szCs w:val="16"/>
        </w:rPr>
        <w:t>FNV Kunsten Informatie en Media v Staat der Nederlanden</w:t>
      </w:r>
      <w:r w:rsidRPr="00C30BEC">
        <w:rPr>
          <w:szCs w:val="16"/>
        </w:rPr>
        <w:t xml:space="preserve">, EU:C:2014:2411; judgment of the Court of Justice of 21.12.1999, Case C-67/96, </w:t>
      </w:r>
      <w:r w:rsidRPr="00C30BEC">
        <w:rPr>
          <w:i/>
          <w:szCs w:val="16"/>
        </w:rPr>
        <w:t xml:space="preserve">Albany International BV v Stichting Bedrijfspensioenfonds Textielindustrie, </w:t>
      </w:r>
      <w:r w:rsidRPr="00C30BEC">
        <w:rPr>
          <w:szCs w:val="16"/>
        </w:rPr>
        <w:t xml:space="preserve">EU:C:1999:430. </w:t>
      </w:r>
    </w:p>
  </w:footnote>
  <w:footnote w:id="35">
    <w:p w14:paraId="1D7D5BC1" w14:textId="77777777" w:rsidR="007072BB" w:rsidRPr="0098381B" w:rsidRDefault="007072BB" w:rsidP="00AD2A16">
      <w:pPr>
        <w:pStyle w:val="FootnoteText"/>
      </w:pPr>
      <w:r>
        <w:rPr>
          <w:rStyle w:val="FootnoteReference"/>
        </w:rPr>
        <w:footnoteRef/>
      </w:r>
      <w:r>
        <w:t xml:space="preserve"> Commission Notice on informal guidance relating to novel or unresolved questions concerning Articles 101 and 102 of the Treaty on the Functioning of the European Union that arise in individual cases (guidance letters) of 3</w:t>
      </w:r>
      <w:r w:rsidRPr="0098381B">
        <w:t xml:space="preserve"> </w:t>
      </w:r>
      <w:r>
        <w:t>October</w:t>
      </w:r>
      <w:r w:rsidRPr="0098381B">
        <w:t xml:space="preserve"> </w:t>
      </w:r>
      <w:r>
        <w:t>2022, SWD(2022</w:t>
      </w:r>
      <w:r w:rsidRPr="0098381B">
        <w:t xml:space="preserve">) </w:t>
      </w:r>
      <w:r>
        <w:t xml:space="preserve">326, 3.10.2022. See: </w:t>
      </w:r>
      <w:hyperlink r:id="rId6" w:history="1">
        <w:r w:rsidRPr="00523268">
          <w:rPr>
            <w:rStyle w:val="Hyperlink"/>
          </w:rPr>
          <w:t>https://competition-policy.ec.europa.eu/system/files/2022-10/coronavirus_informal_guidance_notice_antitrust_2022.pdf</w:t>
        </w:r>
      </w:hyperlink>
    </w:p>
  </w:footnote>
  <w:footnote w:id="36">
    <w:p w14:paraId="6D35C597" w14:textId="77777777" w:rsidR="007072BB" w:rsidRPr="00027E9F" w:rsidRDefault="007072BB">
      <w:pPr>
        <w:pStyle w:val="FootnoteText"/>
        <w:rPr>
          <w:lang w:val="en-IE"/>
        </w:rPr>
      </w:pPr>
      <w:r>
        <w:rPr>
          <w:rStyle w:val="FootnoteReference"/>
        </w:rPr>
        <w:footnoteRef/>
      </w:r>
      <w:r>
        <w:t xml:space="preserve"> See European Commission Communication from the Commission, draft Commission Notice on the definition of the relevant market for the purposes of union competition law. See: </w:t>
      </w:r>
      <w:hyperlink r:id="rId7" w:history="1">
        <w:r w:rsidRPr="003059D5">
          <w:rPr>
            <w:rStyle w:val="Hyperlink"/>
          </w:rPr>
          <w:t>https://competition-policy.ec.europa.eu/public-consultations/2022-market-definition-notice_en</w:t>
        </w:r>
      </w:hyperlink>
      <w:r>
        <w:t xml:space="preserve"> </w:t>
      </w:r>
    </w:p>
  </w:footnote>
  <w:footnote w:id="37">
    <w:p w14:paraId="42EA20D3" w14:textId="77777777" w:rsidR="007072BB" w:rsidRPr="00286602" w:rsidRDefault="007072BB" w:rsidP="00E72CDD">
      <w:pPr>
        <w:pStyle w:val="FootnoteText"/>
        <w:jc w:val="left"/>
      </w:pPr>
      <w:r>
        <w:rPr>
          <w:rStyle w:val="FootnoteReference"/>
        </w:rPr>
        <w:footnoteRef/>
      </w:r>
      <w:r>
        <w:t xml:space="preserve"> </w:t>
      </w:r>
      <w:r w:rsidRPr="00286602">
        <w:t xml:space="preserve">Commission Staff Working Document, </w:t>
      </w:r>
      <w:r>
        <w:t xml:space="preserve">Executive summary of the evaluation </w:t>
      </w:r>
      <w:r w:rsidRPr="00286602">
        <w:t>of procedural and jurisdictional aspects of EU merger control</w:t>
      </w:r>
      <w:r>
        <w:t xml:space="preserve"> of 26 March 2021, SWD(2021) 66, 26.3</w:t>
      </w:r>
      <w:r w:rsidRPr="00286602">
        <w:t xml:space="preserve">.2021. See: </w:t>
      </w:r>
      <w:hyperlink r:id="rId8" w:history="1">
        <w:r w:rsidRPr="00523268">
          <w:rPr>
            <w:rStyle w:val="Hyperlink"/>
          </w:rPr>
          <w:t>https://competition-policy.ec.europa.eu/system/files/2021-04/SWD_findings_of_evaluation_summary.pdf</w:t>
        </w:r>
      </w:hyperlink>
    </w:p>
  </w:footnote>
  <w:footnote w:id="38">
    <w:p w14:paraId="2AFA18F1" w14:textId="651FBC1D" w:rsidR="007072BB" w:rsidRPr="001721AB" w:rsidRDefault="007072BB" w:rsidP="005C24D2">
      <w:pPr>
        <w:pStyle w:val="FootnoteText"/>
      </w:pPr>
      <w:r>
        <w:rPr>
          <w:rStyle w:val="FootnoteReference"/>
        </w:rPr>
        <w:footnoteRef/>
      </w:r>
      <w:r>
        <w:t xml:space="preserve"> Commission Implementing Regulation (EU) No 1269/2013 of 5 December 2013 amending Regulation (EC) No 802/2004 implementing Council Regulation (EC) No 139/2004 on the control of concentrations between undertakings, OJ L 336, 14.12.2013, p. 1.</w:t>
      </w:r>
    </w:p>
  </w:footnote>
  <w:footnote w:id="39">
    <w:p w14:paraId="579BAAAB" w14:textId="77777777" w:rsidR="007072BB" w:rsidRPr="00D12980" w:rsidRDefault="007072BB" w:rsidP="005C24D2">
      <w:pPr>
        <w:pStyle w:val="FootnoteText"/>
      </w:pPr>
      <w:r>
        <w:rPr>
          <w:rStyle w:val="FootnoteReference"/>
        </w:rPr>
        <w:footnoteRef/>
      </w:r>
      <w:r>
        <w:t xml:space="preserve"> </w:t>
      </w:r>
      <w:r w:rsidRPr="00D12980">
        <w:t>Commission Notice on a simplified procedure for treatment of certain concentrations under Council Regulation (EC) No 139/2004</w:t>
      </w:r>
      <w:r>
        <w:t>, OJ C 366, 14.12.2013, p. 5.</w:t>
      </w:r>
    </w:p>
  </w:footnote>
  <w:footnote w:id="40">
    <w:p w14:paraId="09EF4927" w14:textId="6D9F8674" w:rsidR="007072BB" w:rsidRPr="00D12980" w:rsidRDefault="007072BB" w:rsidP="005C24D2">
      <w:pPr>
        <w:pStyle w:val="FootnoteText"/>
      </w:pPr>
      <w:r>
        <w:rPr>
          <w:rStyle w:val="FootnoteReference"/>
        </w:rPr>
        <w:footnoteRef/>
      </w:r>
      <w:r>
        <w:t xml:space="preserve"> Commission Implementing Regulation (EU) No 1269/2013 of 5 December 2013 amending Regulation (EC) No 802/2004 implementing Council Regulation (EC) No 139/2004 on the control of concentrations between undertakings, OJ L 336, 14.12.2013, p. 1.</w:t>
      </w:r>
    </w:p>
  </w:footnote>
  <w:footnote w:id="41">
    <w:p w14:paraId="3BD60747" w14:textId="77777777" w:rsidR="007072BB" w:rsidRPr="000124E1" w:rsidRDefault="007072BB" w:rsidP="005C24D2">
      <w:pPr>
        <w:pStyle w:val="FootnoteText"/>
      </w:pPr>
      <w:r>
        <w:rPr>
          <w:rStyle w:val="FootnoteReference"/>
        </w:rPr>
        <w:footnoteRef/>
      </w:r>
      <w:r>
        <w:t xml:space="preserve"> </w:t>
      </w:r>
      <w:r w:rsidRPr="000124E1">
        <w:t xml:space="preserve">Public consultation on the </w:t>
      </w:r>
      <w:r>
        <w:t xml:space="preserve">Merger control in the EU – further simplification of procedures, from 6.5.2022 to 3.6.2022. See: </w:t>
      </w:r>
      <w:hyperlink r:id="rId9" w:history="1">
        <w:r w:rsidRPr="00523268">
          <w:rPr>
            <w:rStyle w:val="Hyperlink"/>
          </w:rPr>
          <w:t>https://competition-policy.ec.europa.eu/public-consultations/2022-merger-simplification_en</w:t>
        </w:r>
      </w:hyperlink>
    </w:p>
  </w:footnote>
  <w:footnote w:id="42">
    <w:p w14:paraId="1CE20BC8" w14:textId="5593D6F8" w:rsidR="007072BB" w:rsidRPr="00FA5A42" w:rsidRDefault="007072BB" w:rsidP="004B766F">
      <w:pPr>
        <w:pStyle w:val="FootnoteText"/>
        <w:rPr>
          <w:lang w:val="en-IE"/>
        </w:rPr>
      </w:pPr>
      <w:r>
        <w:rPr>
          <w:rStyle w:val="FootnoteReference"/>
        </w:rPr>
        <w:footnoteRef/>
      </w:r>
      <w:r>
        <w:t xml:space="preserve"> Article 210</w:t>
      </w:r>
      <w:r w:rsidR="00F10A31">
        <w:t>(a)</w:t>
      </w:r>
      <w:r>
        <w:t xml:space="preserve"> of </w:t>
      </w:r>
      <w:r w:rsidRPr="00827861">
        <w:t>Regulation (EU) No 1308/2013 of the European Parliament</w:t>
      </w:r>
      <w:r>
        <w:t xml:space="preserve"> and of the Council of 17 Decemb</w:t>
      </w:r>
      <w:r w:rsidRPr="00827861">
        <w:t>er 2013 establishing a common organisation of the markets in agricultural products and repealing Council Regulation (EEC) No 922/72, (EEC) No 234/79, (EC) No 1037/2001 and (EC) 1234/2007, OJ L 347, 20.12.2013, p. 671.</w:t>
      </w:r>
    </w:p>
  </w:footnote>
  <w:footnote w:id="43">
    <w:p w14:paraId="26EABB18" w14:textId="77777777" w:rsidR="007072BB" w:rsidRPr="00FA5A42" w:rsidRDefault="007072BB" w:rsidP="004B766F">
      <w:pPr>
        <w:pStyle w:val="FootnoteText"/>
        <w:rPr>
          <w:lang w:val="en-IE"/>
        </w:rPr>
      </w:pPr>
      <w:r>
        <w:rPr>
          <w:rStyle w:val="FootnoteReference"/>
        </w:rPr>
        <w:footnoteRef/>
      </w:r>
      <w:r w:rsidRPr="00FA5A42">
        <w:rPr>
          <w:lang w:val="en-IE"/>
        </w:rPr>
        <w:t xml:space="preserve"> </w:t>
      </w:r>
      <w:r>
        <w:rPr>
          <w:lang w:val="en-IE"/>
        </w:rPr>
        <w:t xml:space="preserve">Public consultation on sustainability agreements in agriculture – guidelines on antitrust derogation – evaluation, from 28.2.2022 to 23.5.2022. See: </w:t>
      </w:r>
      <w:hyperlink r:id="rId10" w:history="1">
        <w:r w:rsidRPr="00FA5A42">
          <w:rPr>
            <w:rStyle w:val="Hyperlink"/>
            <w:lang w:val="en-IE"/>
          </w:rPr>
          <w:t>https://ec.europa.eu/info/law/better-regulation/have-your-say/initiatives/13305-Sustainability-agreements-in-agriculture-guidelines-on-antitrust-derogation_en</w:t>
        </w:r>
      </w:hyperlink>
    </w:p>
  </w:footnote>
  <w:footnote w:id="44">
    <w:p w14:paraId="16184D7B" w14:textId="77777777" w:rsidR="007072BB" w:rsidRDefault="007072BB" w:rsidP="002B1AC4">
      <w:pPr>
        <w:pStyle w:val="FootnoteText"/>
        <w:jc w:val="left"/>
      </w:pPr>
      <w:r>
        <w:rPr>
          <w:rStyle w:val="FootnoteReference"/>
        </w:rPr>
        <w:footnoteRef/>
      </w:r>
      <w:r>
        <w:t xml:space="preserve"> Commission Regulation (EC) No 906/2009 of 28 September 2009 on the application of Article 81(3) of the Treaty to certain categories of agreements, decisions and concerted practices between liner shipping companies (consortia), OJ L 256, 29.9.2009, p. 31.</w:t>
      </w:r>
    </w:p>
  </w:footnote>
  <w:footnote w:id="45">
    <w:p w14:paraId="3D611F48" w14:textId="77777777" w:rsidR="007072BB" w:rsidRPr="00B343C1" w:rsidRDefault="007072BB" w:rsidP="000E3ECD">
      <w:pPr>
        <w:pStyle w:val="FootnoteText"/>
      </w:pPr>
      <w:r>
        <w:rPr>
          <w:rStyle w:val="FootnoteReference"/>
        </w:rPr>
        <w:footnoteRef/>
      </w:r>
      <w:r>
        <w:t xml:space="preserve"> </w:t>
      </w:r>
      <w:r w:rsidRPr="00B343C1">
        <w:t>Council Regulation (EC) No 1/2003 of 16 December 2002 on the implementation of the rules on competition laid down in Articles 81 and 82 of the Treaty (Text with EEA relevance)</w:t>
      </w:r>
      <w:r>
        <w:t>, OJ L 1, 4.1.2003, p. 1.</w:t>
      </w:r>
    </w:p>
  </w:footnote>
  <w:footnote w:id="46">
    <w:p w14:paraId="51F9DE74" w14:textId="77777777" w:rsidR="007072BB" w:rsidRPr="00B343C1" w:rsidRDefault="007072BB" w:rsidP="000E3ECD">
      <w:pPr>
        <w:pStyle w:val="FootnoteText"/>
      </w:pPr>
      <w:r>
        <w:rPr>
          <w:rStyle w:val="FootnoteReference"/>
        </w:rPr>
        <w:footnoteRef/>
      </w:r>
      <w:r>
        <w:t xml:space="preserve"> </w:t>
      </w:r>
      <w:r w:rsidRPr="00B343C1">
        <w:t>Commission Regulation (EC) No 773/2004 of 7 April 2004 relating to the conduct of proceedings by the Commission pursuant to Articles 81 and 82 of the EC Treaty (Text with EEA relevance)</w:t>
      </w:r>
      <w:r>
        <w:t>, OJ L 123, 27.4.2004, p. 18.</w:t>
      </w:r>
    </w:p>
  </w:footnote>
  <w:footnote w:id="47">
    <w:p w14:paraId="79D7E50C" w14:textId="77777777" w:rsidR="007072BB" w:rsidRPr="00ED5CF6" w:rsidRDefault="007072BB" w:rsidP="000E3ECD">
      <w:pPr>
        <w:pStyle w:val="FootnoteText"/>
      </w:pPr>
      <w:r>
        <w:rPr>
          <w:rStyle w:val="FootnoteReference"/>
        </w:rPr>
        <w:footnoteRef/>
      </w:r>
      <w:r>
        <w:t xml:space="preserve"> </w:t>
      </w:r>
      <w:r w:rsidRPr="00ED5CF6">
        <w:t>Public consultation on the</w:t>
      </w:r>
      <w:r>
        <w:t xml:space="preserve"> EU antitrust procedural rules - evaluation, from 30.6.2022 to 6.10.2022</w:t>
      </w:r>
      <w:r w:rsidRPr="00ED5CF6">
        <w:t xml:space="preserve">. See: </w:t>
      </w:r>
      <w:hyperlink r:id="rId11" w:history="1">
        <w:r w:rsidRPr="00523268">
          <w:rPr>
            <w:rStyle w:val="Hyperlink"/>
          </w:rPr>
          <w:t>https://ec.europa.eu/info/law/better-regulation/have-your-say/initiatives/13431-EU-antitrust-procedural-rules-evaluation_en</w:t>
        </w:r>
      </w:hyperlink>
    </w:p>
  </w:footnote>
  <w:footnote w:id="48">
    <w:p w14:paraId="6A7B068D" w14:textId="77777777" w:rsidR="007072BB" w:rsidRPr="002C4D7B" w:rsidRDefault="007072BB" w:rsidP="00266675">
      <w:pPr>
        <w:pStyle w:val="FootnoteText"/>
      </w:pPr>
      <w:r>
        <w:rPr>
          <w:rStyle w:val="FootnoteReference"/>
        </w:rPr>
        <w:footnoteRef/>
      </w:r>
      <w:r>
        <w:t xml:space="preserve"> </w:t>
      </w:r>
      <w:r w:rsidRPr="002C4D7B">
        <w:t>Comm</w:t>
      </w:r>
      <w:r>
        <w:t xml:space="preserve">unication from the Commission: </w:t>
      </w:r>
      <w:r w:rsidRPr="002C4D7B">
        <w:t>Guidelines on State aid for climate, environmental protection and energy</w:t>
      </w:r>
      <w:r>
        <w:t>, OJ C 80, 18.2.2022, p. 1.</w:t>
      </w:r>
    </w:p>
  </w:footnote>
  <w:footnote w:id="49">
    <w:p w14:paraId="0CB73F8B" w14:textId="77777777" w:rsidR="007072BB" w:rsidRPr="007B0FA5" w:rsidRDefault="007072BB">
      <w:pPr>
        <w:pStyle w:val="FootnoteText"/>
        <w:rPr>
          <w:lang w:val="en-IE"/>
        </w:rPr>
      </w:pPr>
      <w:r>
        <w:rPr>
          <w:rStyle w:val="FootnoteReference"/>
        </w:rPr>
        <w:footnoteRef/>
      </w:r>
      <w:r>
        <w:t xml:space="preserve"> </w:t>
      </w:r>
      <w:r w:rsidRPr="00156154">
        <w:t>Communication from the Commission</w:t>
      </w:r>
      <w:r>
        <w:t>:</w:t>
      </w:r>
      <w:r w:rsidRPr="00156154">
        <w:t xml:space="preserve"> Guidelines on State aid for environmental </w:t>
      </w:r>
      <w:r>
        <w:t xml:space="preserve">protection and energy 2014-2020, </w:t>
      </w:r>
      <w:r w:rsidRPr="007B0FA5">
        <w:t>OJ C 200, 28.6.2014, p. 1</w:t>
      </w:r>
      <w:r w:rsidRPr="00156154">
        <w:t>.</w:t>
      </w:r>
    </w:p>
  </w:footnote>
  <w:footnote w:id="50">
    <w:p w14:paraId="6D0D75AF" w14:textId="77777777" w:rsidR="007072BB" w:rsidRPr="002C4D7B" w:rsidRDefault="007072BB" w:rsidP="001F4486">
      <w:pPr>
        <w:pStyle w:val="FootnoteText"/>
      </w:pPr>
      <w:r>
        <w:rPr>
          <w:rStyle w:val="FootnoteReference"/>
        </w:rPr>
        <w:footnoteRef/>
      </w:r>
      <w:r>
        <w:t xml:space="preserve"> </w:t>
      </w:r>
      <w:r w:rsidRPr="002C4D7B">
        <w:t>Comm</w:t>
      </w:r>
      <w:r>
        <w:t xml:space="preserve">unication from the Commission: </w:t>
      </w:r>
      <w:r w:rsidRPr="002C4D7B">
        <w:t>Guidelines on State aid for climate, environmental protection and energy</w:t>
      </w:r>
      <w:r>
        <w:t>, OJ C 80, 18.2.2022, p. 1.</w:t>
      </w:r>
    </w:p>
  </w:footnote>
  <w:footnote w:id="51">
    <w:p w14:paraId="3868B1A3" w14:textId="77777777" w:rsidR="007072BB" w:rsidRPr="00CA11F8" w:rsidRDefault="007072BB" w:rsidP="007732E2">
      <w:pPr>
        <w:pStyle w:val="FootnoteText"/>
      </w:pPr>
      <w:r>
        <w:rPr>
          <w:rStyle w:val="FootnoteReference"/>
        </w:rPr>
        <w:footnoteRef/>
      </w:r>
      <w:r>
        <w:t xml:space="preserve"> Communication from the Commission to the European Parliament, the Council, the European Economic and Social Committee and the Committee of the Regions – A New European Innovation Agenda, COM(2022)332, 5.7.2022.</w:t>
      </w:r>
    </w:p>
  </w:footnote>
  <w:footnote w:id="52">
    <w:p w14:paraId="237385D2" w14:textId="77777777" w:rsidR="007072BB" w:rsidRPr="00965139" w:rsidRDefault="007072BB" w:rsidP="00331BC1">
      <w:pPr>
        <w:pStyle w:val="FootnoteText"/>
      </w:pPr>
      <w:r>
        <w:rPr>
          <w:rStyle w:val="FootnoteReference"/>
        </w:rPr>
        <w:footnoteRef/>
      </w:r>
      <w:r>
        <w:t xml:space="preserve"> Communication from the Commission: </w:t>
      </w:r>
      <w:r w:rsidRPr="00965139">
        <w:t>Framework for State aid for research and development and innovation</w:t>
      </w:r>
      <w:r>
        <w:t xml:space="preserve">, OJ </w:t>
      </w:r>
      <w:r w:rsidRPr="00C26E46">
        <w:t>C 7388, 19.10.2022, p. 1.</w:t>
      </w:r>
    </w:p>
  </w:footnote>
  <w:footnote w:id="53">
    <w:p w14:paraId="21E18755" w14:textId="77777777" w:rsidR="007072BB" w:rsidRPr="00576ED9" w:rsidRDefault="007072BB" w:rsidP="00A90101">
      <w:pPr>
        <w:pStyle w:val="FootnoteText"/>
      </w:pPr>
      <w:r>
        <w:rPr>
          <w:rStyle w:val="FootnoteReference"/>
        </w:rPr>
        <w:footnoteRef/>
      </w:r>
      <w:r>
        <w:t xml:space="preserve"> </w:t>
      </w:r>
      <w:r w:rsidRPr="00576ED9">
        <w:t>Regulation (EU) 2021/2115 of the European Parliament and of</w:t>
      </w:r>
      <w:r>
        <w:t xml:space="preserve"> the Council </w:t>
      </w:r>
      <w:r w:rsidRPr="00576ED9">
        <w:t>establishing rules on support for strategic plans to be drawn up by Member States under the common agricultural policy (CAP Strategic Plans) and financed by the European Agricultural Guarantee Fund (</w:t>
      </w:r>
      <w:r>
        <w:t>‘</w:t>
      </w:r>
      <w:r w:rsidRPr="00576ED9">
        <w:t>EAGF</w:t>
      </w:r>
      <w:r>
        <w:t>’</w:t>
      </w:r>
      <w:r w:rsidRPr="00576ED9">
        <w:t>) and by the European Agricultural Fund for Rural Development (EAFRD) and repealing Regulations (EU) No 1305/2013 and (EU) No 1307/2013</w:t>
      </w:r>
      <w:r>
        <w:t>, OJ L 435, 6.12.2021, p. 1.</w:t>
      </w:r>
    </w:p>
  </w:footnote>
  <w:footnote w:id="54">
    <w:p w14:paraId="64118AA3" w14:textId="77777777" w:rsidR="007072BB" w:rsidRPr="0011336A" w:rsidRDefault="007072BB" w:rsidP="0054101F">
      <w:pPr>
        <w:pStyle w:val="FootnoteText"/>
      </w:pPr>
      <w:r>
        <w:rPr>
          <w:rStyle w:val="FootnoteReference"/>
        </w:rPr>
        <w:footnoteRef/>
      </w:r>
      <w:r>
        <w:t xml:space="preserve"> Commission Regulation (EU) 2022/2473 of 14 December 2022 declaring certain categories of aid to undertakings active in the production, processing and marketing of fishery and aquaculture products compatible with the internal market in application of Articles 107 and 108 of the Treaty on the Functioning of the European Union, OJ L 327, 21.12.2022, p. 82. </w:t>
      </w:r>
    </w:p>
  </w:footnote>
  <w:footnote w:id="55">
    <w:p w14:paraId="1000895A" w14:textId="24BA0D1B" w:rsidR="007072BB" w:rsidRPr="0054101F" w:rsidRDefault="007072BB" w:rsidP="0054101F">
      <w:pPr>
        <w:pStyle w:val="FootnoteText"/>
      </w:pPr>
      <w:r>
        <w:rPr>
          <w:rStyle w:val="FootnoteReference"/>
        </w:rPr>
        <w:footnoteRef/>
      </w:r>
      <w:r>
        <w:t xml:space="preserve"> Communication from the Commission: Guidelines for the examination of State aid to the fishery and aquaculture sector, OJ C 217, 2.7.2015, p. 1.</w:t>
      </w:r>
    </w:p>
  </w:footnote>
  <w:footnote w:id="56">
    <w:p w14:paraId="7FA1F804" w14:textId="77777777" w:rsidR="007072BB" w:rsidRPr="00576ED9" w:rsidRDefault="007072BB" w:rsidP="008347B0">
      <w:pPr>
        <w:pStyle w:val="FootnoteText"/>
      </w:pPr>
      <w:r>
        <w:rPr>
          <w:rStyle w:val="FootnoteReference"/>
        </w:rPr>
        <w:footnoteRef/>
      </w:r>
      <w:r>
        <w:t xml:space="preserve"> </w:t>
      </w:r>
      <w:r w:rsidRPr="00576ED9">
        <w:t>Regulation (EU) 2021/1139 of the European Parliament and of the Council establishing the European Maritime, Fisheries and Aquaculture Fund and amending Regulation (EU) 2017/1004</w:t>
      </w:r>
      <w:r>
        <w:t>, OJ L 247, 13.7.2022, p. 1.</w:t>
      </w:r>
    </w:p>
  </w:footnote>
  <w:footnote w:id="57">
    <w:p w14:paraId="03B4A5BF" w14:textId="77777777" w:rsidR="007072BB" w:rsidRPr="00F160D8" w:rsidRDefault="007072BB" w:rsidP="00F160D8">
      <w:pPr>
        <w:pStyle w:val="FootnoteText"/>
      </w:pPr>
      <w:r>
        <w:rPr>
          <w:rStyle w:val="FootnoteReference"/>
        </w:rPr>
        <w:footnoteRef/>
      </w:r>
      <w:r>
        <w:t xml:space="preserve"> Commission Regulation (EU) No 717/2014 of 27 June 2014 on the application of Articles 107 and 108 of the Treaty on the Functioning of the European Union to de minimis aid in the fishery and aquaculture sector, OJ L 190, 28.6.2014, p. 45.</w:t>
      </w:r>
    </w:p>
  </w:footnote>
  <w:footnote w:id="58">
    <w:p w14:paraId="44474044" w14:textId="77777777" w:rsidR="007072BB" w:rsidRPr="005E4026" w:rsidRDefault="007072BB" w:rsidP="00477107">
      <w:pPr>
        <w:pStyle w:val="FootnoteText"/>
      </w:pPr>
      <w:r w:rsidRPr="005E4026">
        <w:rPr>
          <w:rStyle w:val="FootnoteReference"/>
          <w:szCs w:val="16"/>
        </w:rPr>
        <w:footnoteRef/>
      </w:r>
      <w:r w:rsidRPr="005E4026">
        <w:rPr>
          <w:szCs w:val="16"/>
        </w:rPr>
        <w:t xml:space="preserve"> </w:t>
      </w:r>
      <w:r w:rsidRPr="005E4026">
        <w:t>Commission Regulation (EU) No 651/2014 of 17 June 2014 declaring certain categories of aid compatible with the internal market in application of Articles 107 and 108 of the Treaty.</w:t>
      </w:r>
    </w:p>
  </w:footnote>
  <w:footnote w:id="59">
    <w:p w14:paraId="7C794D29" w14:textId="77777777" w:rsidR="007072BB" w:rsidRPr="002D38DE" w:rsidRDefault="007072BB">
      <w:pPr>
        <w:pStyle w:val="FootnoteText"/>
      </w:pPr>
      <w:r>
        <w:rPr>
          <w:rStyle w:val="FootnoteReference"/>
        </w:rPr>
        <w:footnoteRef/>
      </w:r>
      <w:r>
        <w:t xml:space="preserve"> </w:t>
      </w:r>
      <w:r w:rsidRPr="002D38DE">
        <w:t>Communication from the Commission Guidelines on regional State aid, OJ C 153, 29.4.2021, p. 1</w:t>
      </w:r>
      <w:r>
        <w:t>.</w:t>
      </w:r>
    </w:p>
  </w:footnote>
  <w:footnote w:id="60">
    <w:p w14:paraId="549223A4" w14:textId="033A76B8" w:rsidR="007072BB" w:rsidRPr="003D2AC2" w:rsidRDefault="007072BB" w:rsidP="00BD0680">
      <w:pPr>
        <w:pStyle w:val="FootnoteText"/>
        <w:rPr>
          <w:szCs w:val="16"/>
          <w:lang w:val="en-IE"/>
        </w:rPr>
      </w:pPr>
      <w:r w:rsidRPr="00215C96">
        <w:rPr>
          <w:rStyle w:val="FootnoteReference"/>
          <w:rFonts w:cs="Times New Roman"/>
          <w:szCs w:val="16"/>
        </w:rPr>
        <w:footnoteRef/>
      </w:r>
      <w:r w:rsidRPr="00215C96">
        <w:rPr>
          <w:rFonts w:cs="Times New Roman"/>
          <w:szCs w:val="16"/>
        </w:rPr>
        <w:t xml:space="preserve"> Draft </w:t>
      </w:r>
      <w:r w:rsidRPr="00215C96">
        <w:rPr>
          <w:rFonts w:cs="Times New Roman"/>
          <w:szCs w:val="16"/>
          <w:lang w:val="en-US"/>
        </w:rPr>
        <w:t>Communication from the Commission Guidelines on State aid for broadband networks, 19.11.2021</w:t>
      </w:r>
      <w:r>
        <w:rPr>
          <w:rFonts w:cs="Times New Roman"/>
          <w:szCs w:val="16"/>
          <w:lang w:val="en-US"/>
        </w:rPr>
        <w:t>.</w:t>
      </w:r>
      <w:r w:rsidRPr="00215C96">
        <w:rPr>
          <w:rFonts w:cs="Times New Roman"/>
          <w:szCs w:val="16"/>
          <w:lang w:val="en-US"/>
        </w:rPr>
        <w:t xml:space="preserve"> </w:t>
      </w:r>
    </w:p>
  </w:footnote>
  <w:footnote w:id="61">
    <w:p w14:paraId="056E2D43" w14:textId="63960483" w:rsidR="007072BB" w:rsidRPr="007D7490" w:rsidRDefault="007072BB" w:rsidP="00BD0680">
      <w:pPr>
        <w:pStyle w:val="FootnoteText"/>
        <w:rPr>
          <w:lang w:val="en-US"/>
        </w:rPr>
      </w:pPr>
      <w:r w:rsidRPr="00215C96">
        <w:rPr>
          <w:rStyle w:val="FootnoteReference"/>
          <w:rFonts w:cs="Times New Roman"/>
          <w:szCs w:val="16"/>
        </w:rPr>
        <w:footnoteRef/>
      </w:r>
      <w:r>
        <w:rPr>
          <w:lang w:val="en-US"/>
        </w:rPr>
        <w:t xml:space="preserve"> </w:t>
      </w:r>
      <w:r w:rsidRPr="00232CEE">
        <w:rPr>
          <w:lang w:val="en-US"/>
        </w:rPr>
        <w:t>Communication from the Commission: Guidelines on State aid for broadband networks, C</w:t>
      </w:r>
      <w:r>
        <w:rPr>
          <w:lang w:val="en-US"/>
        </w:rPr>
        <w:t>OM</w:t>
      </w:r>
      <w:r w:rsidRPr="00232CEE">
        <w:rPr>
          <w:lang w:val="en-US"/>
        </w:rPr>
        <w:t>(2022) 9343 final</w:t>
      </w:r>
      <w:r>
        <w:rPr>
          <w:lang w:val="en-US"/>
        </w:rPr>
        <w:t xml:space="preserve">, </w:t>
      </w:r>
      <w:r w:rsidRPr="00232CEE">
        <w:rPr>
          <w:lang w:val="en-US"/>
        </w:rPr>
        <w:t>12.12.2022.</w:t>
      </w:r>
    </w:p>
  </w:footnote>
  <w:footnote w:id="62">
    <w:p w14:paraId="6ECB1F48" w14:textId="77777777" w:rsidR="007072BB" w:rsidRPr="00046CB1" w:rsidRDefault="007072BB">
      <w:pPr>
        <w:pStyle w:val="FootnoteText"/>
      </w:pPr>
      <w:r>
        <w:rPr>
          <w:rStyle w:val="FootnoteReference"/>
        </w:rPr>
        <w:footnoteRef/>
      </w:r>
      <w:r>
        <w:t xml:space="preserve"> See: </w:t>
      </w:r>
      <w:hyperlink r:id="rId12" w:history="1">
        <w:r w:rsidRPr="00B87AED">
          <w:rPr>
            <w:rStyle w:val="Hyperlink"/>
          </w:rPr>
          <w:t>https://ec.europa.eu/commission/presscorner/detail/en/ip_22_7595</w:t>
        </w:r>
      </w:hyperlink>
      <w:r>
        <w:t xml:space="preserve"> </w:t>
      </w:r>
    </w:p>
  </w:footnote>
  <w:footnote w:id="63">
    <w:p w14:paraId="017BF2FD" w14:textId="77777777" w:rsidR="007072BB" w:rsidRDefault="007072BB" w:rsidP="005C4687">
      <w:pPr>
        <w:pStyle w:val="FootnoteText"/>
      </w:pPr>
      <w:r>
        <w:rPr>
          <w:rStyle w:val="FootnoteReference"/>
        </w:rPr>
        <w:footnoteRef/>
      </w:r>
      <w:r>
        <w:t xml:space="preserve"> Proposal for a Council Regulation on the application of Articles 93, 107 and 108 of the Treaty on the Functioning of the European Union to certain categories of State aid in the rail, inland waterway and multimodal transport sector, COM(2022) 327 final, 6.7.2022.</w:t>
      </w:r>
    </w:p>
  </w:footnote>
  <w:footnote w:id="64">
    <w:p w14:paraId="0B2581B2" w14:textId="77777777" w:rsidR="007072BB" w:rsidRPr="00821D1C" w:rsidRDefault="007072BB" w:rsidP="005C4687">
      <w:pPr>
        <w:pStyle w:val="FootnoteText"/>
      </w:pPr>
      <w:r w:rsidRPr="00821D1C">
        <w:rPr>
          <w:rStyle w:val="FootnoteReference"/>
        </w:rPr>
        <w:footnoteRef/>
      </w:r>
      <w:r w:rsidRPr="00821D1C">
        <w:t xml:space="preserve"> Communication from the Commission: Guidelines on State aid to airports and airlines, of 4 April 2014, OJ C 99, 4.4.2014, p. 3.</w:t>
      </w:r>
    </w:p>
  </w:footnote>
  <w:footnote w:id="65">
    <w:p w14:paraId="38ED3C78" w14:textId="77777777" w:rsidR="007072BB" w:rsidRPr="009A3DA0" w:rsidRDefault="007072BB" w:rsidP="009C291B">
      <w:pPr>
        <w:pStyle w:val="FootnoteText"/>
        <w:rPr>
          <w:szCs w:val="16"/>
        </w:rPr>
      </w:pPr>
      <w:r>
        <w:rPr>
          <w:rStyle w:val="FootnoteReference"/>
        </w:rPr>
        <w:footnoteRef/>
      </w:r>
      <w:r>
        <w:t xml:space="preserve"> </w:t>
      </w:r>
      <w:r w:rsidRPr="0027317F">
        <w:rPr>
          <w:szCs w:val="16"/>
        </w:rPr>
        <w:t>Communication to the Commission</w:t>
      </w:r>
      <w:r>
        <w:rPr>
          <w:szCs w:val="16"/>
        </w:rPr>
        <w:t>:</w:t>
      </w:r>
      <w:r w:rsidRPr="009A3DA0">
        <w:rPr>
          <w:szCs w:val="16"/>
        </w:rPr>
        <w:t xml:space="preserve"> European Commission digital strategy Next generation digital Commission, Brussels, C(2022) 4388</w:t>
      </w:r>
      <w:r>
        <w:rPr>
          <w:szCs w:val="16"/>
        </w:rPr>
        <w:t xml:space="preserve">, </w:t>
      </w:r>
      <w:r w:rsidRPr="00426D21">
        <w:rPr>
          <w:szCs w:val="16"/>
        </w:rPr>
        <w:t>30.6.2022</w:t>
      </w:r>
      <w:r w:rsidRPr="009A3DA0">
        <w:rPr>
          <w:szCs w:val="16"/>
        </w:rPr>
        <w:t xml:space="preserve">. </w:t>
      </w:r>
    </w:p>
  </w:footnote>
  <w:footnote w:id="66">
    <w:p w14:paraId="00358C6B" w14:textId="77777777" w:rsidR="007072BB" w:rsidRPr="000A20F4" w:rsidRDefault="007072BB">
      <w:pPr>
        <w:pStyle w:val="FootnoteText"/>
      </w:pPr>
      <w:r>
        <w:rPr>
          <w:rStyle w:val="FootnoteReference"/>
        </w:rPr>
        <w:footnoteRef/>
      </w:r>
      <w:r>
        <w:t xml:space="preserve"> </w:t>
      </w:r>
      <w:r w:rsidRPr="000A20F4">
        <w:rPr>
          <w:szCs w:val="16"/>
        </w:rPr>
        <w:t xml:space="preserve">See for example the animation published on YouTube: </w:t>
      </w:r>
      <w:hyperlink r:id="rId13" w:history="1">
        <w:r w:rsidRPr="000A20F4">
          <w:rPr>
            <w:rStyle w:val="Hyperlink"/>
            <w:szCs w:val="16"/>
          </w:rPr>
          <w:t>https://youtu.be/3yQkOwvdl-Q</w:t>
        </w:r>
      </w:hyperlink>
      <w:r>
        <w:t xml:space="preserve"> </w:t>
      </w:r>
    </w:p>
  </w:footnote>
  <w:footnote w:id="67">
    <w:p w14:paraId="2158A550" w14:textId="7C0FFC8B" w:rsidR="007072BB" w:rsidRPr="00BF1855" w:rsidRDefault="007072BB" w:rsidP="00752D72">
      <w:pPr>
        <w:pStyle w:val="FootnoteText"/>
      </w:pPr>
      <w:r>
        <w:rPr>
          <w:rStyle w:val="FootnoteReference"/>
        </w:rPr>
        <w:footnoteRef/>
      </w:r>
      <w:r>
        <w:t xml:space="preserve"> See </w:t>
      </w:r>
      <w:r w:rsidRPr="002E3224">
        <w:t>Competition Policy Brief 2022/1</w:t>
      </w:r>
      <w:r>
        <w:t>,</w:t>
      </w:r>
      <w:r w:rsidRPr="002E3224">
        <w:t xml:space="preserve"> Customer savings generated by the Commission’s antitrust and merger enforcement: </w:t>
      </w:r>
      <w:r>
        <w:t>a</w:t>
      </w:r>
      <w:r w:rsidRPr="002E3224">
        <w:t xml:space="preserve"> </w:t>
      </w:r>
      <w:r>
        <w:t>10-</w:t>
      </w:r>
      <w:r w:rsidRPr="002E3224">
        <w:t>year</w:t>
      </w:r>
      <w:r>
        <w:t xml:space="preserve"> </w:t>
      </w:r>
      <w:r w:rsidRPr="002E3224">
        <w:t>perspective</w:t>
      </w:r>
      <w:r>
        <w:t xml:space="preserve">. See: </w:t>
      </w:r>
      <w:hyperlink r:id="rId14" w:history="1">
        <w:r w:rsidRPr="00192C18">
          <w:rPr>
            <w:rStyle w:val="Hyperlink"/>
          </w:rPr>
          <w:t>https://op.europa.eu/en/publication-detail/-/publication/dbfa0d39-5350-11ed-92ed-01aa75ed71a1/language-en/format-PDF/source-273802603</w:t>
        </w:r>
      </w:hyperlink>
    </w:p>
  </w:footnote>
  <w:footnote w:id="68">
    <w:p w14:paraId="60CAA9A1" w14:textId="77777777" w:rsidR="007072BB" w:rsidRPr="002E3224" w:rsidRDefault="007072BB" w:rsidP="002E3224">
      <w:pPr>
        <w:pStyle w:val="FootnoteText"/>
      </w:pPr>
      <w:r>
        <w:rPr>
          <w:rStyle w:val="FootnoteReference"/>
        </w:rPr>
        <w:footnoteRef/>
      </w:r>
      <w:r>
        <w:t xml:space="preserve"> European Commission (2022), ‘Modelling the macroeconomic impact of competition policy: 2021 update and further development’, report prepared by the Directorate-General for Competition, the Joint Research Centre and the Directorate-General for Economic and Financial Affairs, Publications Office of the European Union.</w:t>
      </w:r>
    </w:p>
  </w:footnote>
  <w:footnote w:id="69">
    <w:p w14:paraId="59DA7D39" w14:textId="0613ED12" w:rsidR="007072BB" w:rsidRPr="002E3224" w:rsidRDefault="007072BB">
      <w:pPr>
        <w:pStyle w:val="FootnoteText"/>
      </w:pPr>
      <w:r>
        <w:rPr>
          <w:rStyle w:val="FootnoteReference"/>
        </w:rPr>
        <w:footnoteRef/>
      </w:r>
      <w:r>
        <w:t xml:space="preserve"> </w:t>
      </w:r>
      <w:r w:rsidRPr="002E3224">
        <w:t>See Competition Policy Brief 2022/1</w:t>
      </w:r>
      <w:r>
        <w:t>,</w:t>
      </w:r>
      <w:r w:rsidRPr="002E3224">
        <w:t xml:space="preserve"> Customer savings generated by the Commission’s antitrust and merger enforcement: </w:t>
      </w:r>
      <w:r>
        <w:t>a</w:t>
      </w:r>
      <w:r w:rsidRPr="002E3224">
        <w:t xml:space="preserve"> </w:t>
      </w:r>
      <w:r>
        <w:t>10-</w:t>
      </w:r>
      <w:r w:rsidRPr="002E3224">
        <w:t>year</w:t>
      </w:r>
      <w:r>
        <w:t xml:space="preserve"> </w:t>
      </w:r>
      <w:r w:rsidRPr="002E3224">
        <w:t>perspective,</w:t>
      </w:r>
      <w:r>
        <w:t xml:space="preserve"> p. 6-7.</w:t>
      </w:r>
    </w:p>
  </w:footnote>
  <w:footnote w:id="70">
    <w:p w14:paraId="2E02D796" w14:textId="77777777" w:rsidR="007072BB" w:rsidRPr="00193A19" w:rsidRDefault="007072BB" w:rsidP="00752D72">
      <w:pPr>
        <w:pStyle w:val="FootnoteText"/>
      </w:pPr>
      <w:r>
        <w:rPr>
          <w:rStyle w:val="FootnoteReference"/>
        </w:rPr>
        <w:footnoteRef/>
      </w:r>
      <w:r>
        <w:t xml:space="preserve"> See: </w:t>
      </w:r>
      <w:hyperlink r:id="rId15" w:history="1">
        <w:r w:rsidRPr="00523268">
          <w:rPr>
            <w:rStyle w:val="Hyperlink"/>
          </w:rPr>
          <w:t>https://ec.europa.eu/commission/presscorner/detail/en/ip_22_6374</w:t>
        </w:r>
      </w:hyperlink>
      <w:r>
        <w:t xml:space="preserve"> </w:t>
      </w:r>
    </w:p>
  </w:footnote>
  <w:footnote w:id="71">
    <w:p w14:paraId="3E157434" w14:textId="1BDBD765" w:rsidR="007072BB" w:rsidRPr="00390830" w:rsidRDefault="007072BB" w:rsidP="00341993">
      <w:pPr>
        <w:pStyle w:val="FootnoteText"/>
        <w:rPr>
          <w:szCs w:val="16"/>
        </w:rPr>
      </w:pPr>
      <w:r>
        <w:rPr>
          <w:rStyle w:val="FootnoteReference"/>
        </w:rPr>
        <w:footnoteRef/>
      </w:r>
      <w:r>
        <w:t xml:space="preserve"> </w:t>
      </w:r>
      <w:r w:rsidRPr="00390830">
        <w:rPr>
          <w:szCs w:val="16"/>
        </w:rPr>
        <w:t xml:space="preserve">The importance of competition and innovation is also highlighted in the </w:t>
      </w:r>
      <w:r w:rsidRPr="00AE3DD6">
        <w:rPr>
          <w:szCs w:val="16"/>
        </w:rPr>
        <w:t>Communication from the Commission to the European Parliament, the Council, the European Economic and Social and the Committee of the Regions</w:t>
      </w:r>
      <w:r>
        <w:rPr>
          <w:szCs w:val="16"/>
        </w:rPr>
        <w:t>,</w:t>
      </w:r>
      <w:r w:rsidRPr="00AE3DD6">
        <w:rPr>
          <w:szCs w:val="16"/>
        </w:rPr>
        <w:t xml:space="preserve"> </w:t>
      </w:r>
      <w:r>
        <w:rPr>
          <w:szCs w:val="16"/>
        </w:rPr>
        <w:t>‘</w:t>
      </w:r>
      <w:r w:rsidRPr="00AE3DD6">
        <w:rPr>
          <w:szCs w:val="16"/>
        </w:rPr>
        <w:t>An SME Strategy for a sustainable and digit</w:t>
      </w:r>
      <w:r>
        <w:rPr>
          <w:szCs w:val="16"/>
        </w:rPr>
        <w:t xml:space="preserve">al Europe, 10.3.2020, </w:t>
      </w:r>
      <w:r w:rsidRPr="00632596">
        <w:rPr>
          <w:szCs w:val="16"/>
          <w:lang w:val="en-US"/>
        </w:rPr>
        <w:t>COM(2020) 103 final</w:t>
      </w:r>
      <w:r>
        <w:rPr>
          <w:szCs w:val="16"/>
          <w:lang w:val="en-US"/>
        </w:rPr>
        <w:t>;</w:t>
      </w:r>
      <w:r w:rsidRPr="00AE3DD6">
        <w:rPr>
          <w:szCs w:val="16"/>
        </w:rPr>
        <w:t xml:space="preserve"> and in the </w:t>
      </w:r>
      <w:r w:rsidRPr="00AE3DD6">
        <w:rPr>
          <w:rFonts w:cs="Times New Roman"/>
          <w:szCs w:val="16"/>
        </w:rPr>
        <w:t>C</w:t>
      </w:r>
      <w:r w:rsidRPr="00AE3DD6">
        <w:rPr>
          <w:szCs w:val="16"/>
        </w:rPr>
        <w:t>ommunication from the Commission to the European Parliament, the Council, the European Economic and Social and the Committee of the Regi</w:t>
      </w:r>
      <w:r w:rsidRPr="00C04247">
        <w:rPr>
          <w:szCs w:val="16"/>
        </w:rPr>
        <w:t>ons</w:t>
      </w:r>
      <w:r>
        <w:rPr>
          <w:szCs w:val="16"/>
        </w:rPr>
        <w:t>,</w:t>
      </w:r>
      <w:r w:rsidRPr="00C04247">
        <w:rPr>
          <w:szCs w:val="16"/>
        </w:rPr>
        <w:t xml:space="preserve"> </w:t>
      </w:r>
      <w:r>
        <w:rPr>
          <w:szCs w:val="16"/>
        </w:rPr>
        <w:t>‘</w:t>
      </w:r>
      <w:r w:rsidRPr="0066080A">
        <w:rPr>
          <w:rFonts w:cs="Times New Roman"/>
          <w:szCs w:val="16"/>
        </w:rPr>
        <w:t>Updating the 2020 New Industrial Strategy: Building a stronger Single Market for Europe’s</w:t>
      </w:r>
      <w:r>
        <w:rPr>
          <w:rFonts w:cs="Times New Roman"/>
          <w:szCs w:val="16"/>
        </w:rPr>
        <w:t xml:space="preserve"> recovery’, 25.5.2021, </w:t>
      </w:r>
      <w:r w:rsidRPr="00632596">
        <w:rPr>
          <w:rFonts w:cs="Times New Roman"/>
          <w:szCs w:val="16"/>
          <w:lang w:val="en-US"/>
        </w:rPr>
        <w:t>COM(2021) 350 final</w:t>
      </w:r>
      <w:r w:rsidRPr="00F171E5">
        <w:rPr>
          <w:rFonts w:cs="Times New Roman"/>
          <w:szCs w:val="16"/>
        </w:rPr>
        <w:t>.</w:t>
      </w:r>
    </w:p>
  </w:footnote>
  <w:footnote w:id="72">
    <w:p w14:paraId="5817B925" w14:textId="77777777" w:rsidR="007072BB" w:rsidRPr="00D91A08" w:rsidRDefault="007072BB" w:rsidP="009C291B">
      <w:pPr>
        <w:pStyle w:val="FootnoteText"/>
        <w:jc w:val="left"/>
        <w:rPr>
          <w:lang w:val="en-IE"/>
        </w:rPr>
      </w:pPr>
      <w:r w:rsidRPr="00937722">
        <w:rPr>
          <w:rStyle w:val="FootnoteReference"/>
        </w:rPr>
        <w:footnoteRef/>
      </w:r>
      <w:r w:rsidRPr="00937722">
        <w:rPr>
          <w:lang w:val="en-IE"/>
        </w:rPr>
        <w:t xml:space="preserve"> </w:t>
      </w:r>
      <w:r w:rsidRPr="00330091">
        <w:rPr>
          <w:lang w:val="en-IE"/>
        </w:rPr>
        <w:t xml:space="preserve">The commitments are available at </w:t>
      </w:r>
      <w:hyperlink r:id="rId16" w:history="1">
        <w:r w:rsidRPr="00330091">
          <w:rPr>
            <w:rStyle w:val="Hyperlink"/>
            <w:lang w:val="en-IE"/>
          </w:rPr>
          <w:t>https://ec.europa.eu/competition/elojade/isef/case_details.cfm?proc_code=1_40305</w:t>
        </w:r>
      </w:hyperlink>
    </w:p>
  </w:footnote>
  <w:footnote w:id="73">
    <w:p w14:paraId="21269A82" w14:textId="2DA3D66F" w:rsidR="007072BB" w:rsidRPr="00CD346D" w:rsidRDefault="007072BB" w:rsidP="009C291B">
      <w:pPr>
        <w:pStyle w:val="FootnoteText"/>
      </w:pPr>
      <w:r>
        <w:rPr>
          <w:rStyle w:val="FootnoteReference"/>
        </w:rPr>
        <w:footnoteRef/>
      </w:r>
      <w:r>
        <w:t xml:space="preserve"> Case AT.40462, </w:t>
      </w:r>
      <w:r>
        <w:rPr>
          <w:i/>
        </w:rPr>
        <w:t>Amazon Marketplace</w:t>
      </w:r>
      <w:r>
        <w:t xml:space="preserve"> and Case AT.40703, </w:t>
      </w:r>
      <w:r>
        <w:rPr>
          <w:i/>
        </w:rPr>
        <w:t>Amazon Buy Box</w:t>
      </w:r>
      <w:r>
        <w:t xml:space="preserve">, Commitment proposal. See: </w:t>
      </w:r>
      <w:hyperlink r:id="rId17" w:history="1">
        <w:r w:rsidRPr="00192C18">
          <w:rPr>
            <w:rStyle w:val="Hyperlink"/>
          </w:rPr>
          <w:t>https://ec.europa.eu/competition/antitrust/cases1/202229/AT_40462_8414012_7971_3.pdf</w:t>
        </w:r>
      </w:hyperlink>
      <w:r>
        <w:t xml:space="preserve"> </w:t>
      </w:r>
    </w:p>
  </w:footnote>
  <w:footnote w:id="74">
    <w:p w14:paraId="61022D70" w14:textId="7F98DF2B" w:rsidR="007072BB" w:rsidRPr="00CD346D" w:rsidRDefault="007072BB" w:rsidP="00296BBF">
      <w:pPr>
        <w:pStyle w:val="FootnoteText"/>
      </w:pPr>
      <w:r>
        <w:rPr>
          <w:rStyle w:val="FootnoteReference"/>
        </w:rPr>
        <w:footnoteRef/>
      </w:r>
      <w:r>
        <w:t xml:space="preserve"> Case AT.40462, </w:t>
      </w:r>
      <w:r>
        <w:rPr>
          <w:i/>
        </w:rPr>
        <w:t>Amazon Marketplace</w:t>
      </w:r>
      <w:r>
        <w:t xml:space="preserve"> and Case AT.40703, </w:t>
      </w:r>
      <w:r>
        <w:rPr>
          <w:i/>
        </w:rPr>
        <w:t>Amazon Buy Box</w:t>
      </w:r>
      <w:r>
        <w:t xml:space="preserve">, Commission decision of 20 December 2022. See: </w:t>
      </w:r>
      <w:hyperlink r:id="rId18" w:history="1">
        <w:r w:rsidRPr="00512216">
          <w:rPr>
            <w:rStyle w:val="Hyperlink"/>
          </w:rPr>
          <w:t>https://ec.europa.eu/commission/presscorner/detail/en/ip_22_7777</w:t>
        </w:r>
      </w:hyperlink>
      <w:r>
        <w:t xml:space="preserve"> </w:t>
      </w:r>
    </w:p>
  </w:footnote>
  <w:footnote w:id="75">
    <w:p w14:paraId="2B961514" w14:textId="77777777" w:rsidR="007072BB" w:rsidRPr="00D91A08" w:rsidRDefault="007072BB" w:rsidP="00DB316F">
      <w:pPr>
        <w:pStyle w:val="FootnoteText"/>
        <w:jc w:val="left"/>
        <w:rPr>
          <w:lang w:val="en-IE"/>
        </w:rPr>
      </w:pPr>
      <w:r w:rsidRPr="00937722">
        <w:rPr>
          <w:rStyle w:val="FootnoteReference"/>
        </w:rPr>
        <w:footnoteRef/>
      </w:r>
      <w:r w:rsidRPr="00937722">
        <w:rPr>
          <w:lang w:val="en-IE"/>
        </w:rPr>
        <w:t xml:space="preserve"> </w:t>
      </w:r>
      <w:r>
        <w:rPr>
          <w:lang w:val="en-IE"/>
        </w:rPr>
        <w:t xml:space="preserve">See </w:t>
      </w:r>
      <w:hyperlink r:id="rId19" w:history="1">
        <w:r w:rsidRPr="00512216">
          <w:rPr>
            <w:rStyle w:val="Hyperlink"/>
            <w:lang w:val="en-IE"/>
          </w:rPr>
          <w:t>https://ec.europa.eu/commission/presscorner/detail/en/ip_22_7728</w:t>
        </w:r>
      </w:hyperlink>
    </w:p>
  </w:footnote>
  <w:footnote w:id="76">
    <w:p w14:paraId="37B36F9E" w14:textId="77777777" w:rsidR="007072BB" w:rsidRPr="00A519CD" w:rsidRDefault="007072BB" w:rsidP="00981A7B">
      <w:pPr>
        <w:pStyle w:val="FootnoteText"/>
        <w:jc w:val="left"/>
        <w:rPr>
          <w:szCs w:val="16"/>
        </w:rPr>
      </w:pPr>
      <w:r w:rsidRPr="00A519CD">
        <w:rPr>
          <w:rStyle w:val="FootnoteReference"/>
          <w:szCs w:val="16"/>
        </w:rPr>
        <w:footnoteRef/>
      </w:r>
      <w:r w:rsidRPr="00A519CD">
        <w:rPr>
          <w:szCs w:val="16"/>
        </w:rPr>
        <w:t xml:space="preserve"> Case AT.40774</w:t>
      </w:r>
      <w:r w:rsidRPr="00A519CD">
        <w:rPr>
          <w:szCs w:val="16"/>
          <w:lang w:val="en-IE"/>
        </w:rPr>
        <w:t xml:space="preserve">, </w:t>
      </w:r>
      <w:r w:rsidRPr="00A519CD">
        <w:rPr>
          <w:i/>
          <w:szCs w:val="16"/>
        </w:rPr>
        <w:t>Google-Facebook (Open Bidding) agreement</w:t>
      </w:r>
      <w:r w:rsidRPr="00A519CD">
        <w:rPr>
          <w:szCs w:val="16"/>
        </w:rPr>
        <w:t xml:space="preserve">; see also the press release of 11.3.2022: </w:t>
      </w:r>
      <w:hyperlink r:id="rId20" w:history="1">
        <w:r w:rsidRPr="00A519CD">
          <w:rPr>
            <w:rStyle w:val="Hyperlink"/>
            <w:szCs w:val="16"/>
          </w:rPr>
          <w:t>https://ec.europa.eu/commission/presscorner/detail/en/ip_22_1703</w:t>
        </w:r>
      </w:hyperlink>
    </w:p>
  </w:footnote>
  <w:footnote w:id="77">
    <w:p w14:paraId="79CDC195" w14:textId="77777777" w:rsidR="007072BB" w:rsidRPr="00E72DED" w:rsidRDefault="007072BB" w:rsidP="00F63D95">
      <w:pPr>
        <w:pStyle w:val="FootnoteText"/>
      </w:pPr>
      <w:r>
        <w:rPr>
          <w:rStyle w:val="FootnoteReference"/>
        </w:rPr>
        <w:footnoteRef/>
      </w:r>
      <w:r>
        <w:t xml:space="preserve"> </w:t>
      </w:r>
      <w:r w:rsidRPr="00215C96">
        <w:rPr>
          <w:rFonts w:cs="Times New Roman"/>
          <w:szCs w:val="16"/>
        </w:rPr>
        <w:t>Case AT.</w:t>
      </w:r>
      <w:r>
        <w:rPr>
          <w:rFonts w:cs="Times New Roman"/>
          <w:szCs w:val="16"/>
        </w:rPr>
        <w:t>40452</w:t>
      </w:r>
      <w:r w:rsidRPr="00215C96">
        <w:rPr>
          <w:rFonts w:cs="Times New Roman"/>
          <w:szCs w:val="16"/>
        </w:rPr>
        <w:t xml:space="preserve">, </w:t>
      </w:r>
      <w:r>
        <w:rPr>
          <w:rFonts w:cs="Times New Roman"/>
          <w:i/>
          <w:szCs w:val="16"/>
        </w:rPr>
        <w:t>Apple – Mobile payments</w:t>
      </w:r>
      <w:r w:rsidRPr="00215C96">
        <w:rPr>
          <w:rFonts w:cs="Times New Roman"/>
          <w:szCs w:val="16"/>
        </w:rPr>
        <w:t xml:space="preserve">. See: </w:t>
      </w:r>
      <w:hyperlink r:id="rId21" w:history="1">
        <w:r w:rsidRPr="005203F6">
          <w:rPr>
            <w:rStyle w:val="Hyperlink"/>
            <w:rFonts w:cs="Times New Roman"/>
            <w:szCs w:val="16"/>
          </w:rPr>
          <w:t>https://ec.europa.eu/competition/elojade/isef/case_details.cfm?proc_code=1_AT_40452</w:t>
        </w:r>
      </w:hyperlink>
      <w:r>
        <w:rPr>
          <w:rFonts w:cs="Times New Roman"/>
          <w:szCs w:val="16"/>
        </w:rPr>
        <w:t>.</w:t>
      </w:r>
    </w:p>
  </w:footnote>
  <w:footnote w:id="78">
    <w:p w14:paraId="65887261" w14:textId="77777777" w:rsidR="007072BB" w:rsidRPr="00E72DED" w:rsidRDefault="007072BB" w:rsidP="00F63D95">
      <w:pPr>
        <w:pStyle w:val="FootnoteText"/>
      </w:pPr>
      <w:r>
        <w:rPr>
          <w:rStyle w:val="FootnoteReference"/>
        </w:rPr>
        <w:footnoteRef/>
      </w:r>
      <w:r>
        <w:t xml:space="preserve"> </w:t>
      </w:r>
      <w:r w:rsidRPr="00E72DED">
        <w:rPr>
          <w:szCs w:val="16"/>
        </w:rPr>
        <w:t xml:space="preserve">See: </w:t>
      </w:r>
      <w:hyperlink r:id="rId22" w:history="1">
        <w:r w:rsidRPr="005203F6">
          <w:rPr>
            <w:rStyle w:val="Hyperlink"/>
            <w:szCs w:val="16"/>
          </w:rPr>
          <w:t>https://ec.europa.eu/commission/presscorner/detail/en/ip_22_2764</w:t>
        </w:r>
      </w:hyperlink>
    </w:p>
  </w:footnote>
  <w:footnote w:id="79">
    <w:p w14:paraId="3E98D9D1" w14:textId="77777777" w:rsidR="007072BB" w:rsidRPr="00E62639" w:rsidRDefault="007072BB" w:rsidP="00E70AED">
      <w:pPr>
        <w:pStyle w:val="FootnoteText"/>
        <w:rPr>
          <w:lang w:val="en-IE"/>
        </w:rPr>
      </w:pPr>
      <w:r>
        <w:rPr>
          <w:rStyle w:val="FootnoteReference"/>
        </w:rPr>
        <w:footnoteRef/>
      </w:r>
      <w:r>
        <w:t xml:space="preserve"> </w:t>
      </w:r>
      <w:r>
        <w:rPr>
          <w:lang w:val="en-IE"/>
        </w:rPr>
        <w:t xml:space="preserve">Judgment of the General Court of 14.9.2022, Case T-604/18, </w:t>
      </w:r>
      <w:r>
        <w:rPr>
          <w:i/>
          <w:lang w:val="en-IE"/>
        </w:rPr>
        <w:t>Google LLC and Alphabet, Inc. v</w:t>
      </w:r>
      <w:r w:rsidRPr="00E62639">
        <w:rPr>
          <w:i/>
          <w:lang w:val="en-IE"/>
        </w:rPr>
        <w:t xml:space="preserve"> European Commission</w:t>
      </w:r>
      <w:r w:rsidRPr="00E62639">
        <w:rPr>
          <w:lang w:val="en-IE"/>
        </w:rPr>
        <w:t>,</w:t>
      </w:r>
      <w:r>
        <w:rPr>
          <w:lang w:val="en-IE"/>
        </w:rPr>
        <w:t xml:space="preserve"> EU:T:2022:54.</w:t>
      </w:r>
    </w:p>
  </w:footnote>
  <w:footnote w:id="80">
    <w:p w14:paraId="08E8F3F5" w14:textId="77777777" w:rsidR="007072BB" w:rsidRPr="00A9032F" w:rsidRDefault="007072BB" w:rsidP="00E70AED">
      <w:pPr>
        <w:pStyle w:val="FootnoteText"/>
        <w:rPr>
          <w:lang w:val="en-IE"/>
        </w:rPr>
      </w:pPr>
      <w:r>
        <w:rPr>
          <w:rStyle w:val="FootnoteReference"/>
        </w:rPr>
        <w:footnoteRef/>
      </w:r>
      <w:r>
        <w:t xml:space="preserve"> Case AT.40099, </w:t>
      </w:r>
      <w:r>
        <w:rPr>
          <w:i/>
        </w:rPr>
        <w:t xml:space="preserve">Google Android. </w:t>
      </w:r>
      <w:r>
        <w:t xml:space="preserve">See: </w:t>
      </w:r>
      <w:hyperlink r:id="rId23" w:history="1">
        <w:r w:rsidRPr="00523268">
          <w:rPr>
            <w:rStyle w:val="Hyperlink"/>
          </w:rPr>
          <w:t>https://ec.europa.eu/competition/elojade/isef/case_details.cfm?proc_code=1_AT_40099</w:t>
        </w:r>
      </w:hyperlink>
      <w:r>
        <w:t xml:space="preserve"> </w:t>
      </w:r>
    </w:p>
  </w:footnote>
  <w:footnote w:id="81">
    <w:p w14:paraId="6BE3A6FD" w14:textId="6B11E20C" w:rsidR="007072BB" w:rsidRPr="008D5E59" w:rsidRDefault="007072BB" w:rsidP="00FF0797">
      <w:pPr>
        <w:pStyle w:val="FootnoteText"/>
      </w:pPr>
      <w:r>
        <w:rPr>
          <w:rStyle w:val="FootnoteReference"/>
        </w:rPr>
        <w:footnoteRef/>
      </w:r>
      <w:r>
        <w:t xml:space="preserve"> Judgment of the General Court of 1.8.2022, Case T-235/18, </w:t>
      </w:r>
      <w:r w:rsidRPr="008D5E59">
        <w:rPr>
          <w:i/>
        </w:rPr>
        <w:t>Qualcomm v Commission</w:t>
      </w:r>
      <w:r>
        <w:t>, EU:T:2022:</w:t>
      </w:r>
      <w:r w:rsidRPr="00F20B96">
        <w:t>358</w:t>
      </w:r>
      <w:r>
        <w:t>.</w:t>
      </w:r>
    </w:p>
  </w:footnote>
  <w:footnote w:id="82">
    <w:p w14:paraId="178A1F77" w14:textId="77777777" w:rsidR="007072BB" w:rsidRPr="00D06734" w:rsidRDefault="007072BB" w:rsidP="00FF0797">
      <w:pPr>
        <w:pStyle w:val="FootnoteText"/>
      </w:pPr>
      <w:r>
        <w:rPr>
          <w:rStyle w:val="FootnoteReference"/>
        </w:rPr>
        <w:footnoteRef/>
      </w:r>
      <w:r>
        <w:t xml:space="preserve"> Judgment of the General Court of 26.1.2022, </w:t>
      </w:r>
      <w:r w:rsidRPr="00FC6968">
        <w:t>Case T-286/9</w:t>
      </w:r>
      <w:r w:rsidRPr="00F25F9E">
        <w:rPr>
          <w:i/>
        </w:rPr>
        <w:t>, Intel Corporation, Inc. v Commission</w:t>
      </w:r>
      <w:r>
        <w:t xml:space="preserve">, </w:t>
      </w:r>
      <w:r w:rsidRPr="00F25F9E">
        <w:t>EU:T:2022:19</w:t>
      </w:r>
      <w:r>
        <w:t>.</w:t>
      </w:r>
    </w:p>
  </w:footnote>
  <w:footnote w:id="83">
    <w:p w14:paraId="28E5CCE8" w14:textId="7018E690" w:rsidR="007072BB" w:rsidRPr="00E04729" w:rsidRDefault="007072BB" w:rsidP="00262118">
      <w:pPr>
        <w:pStyle w:val="FootnoteText"/>
        <w:jc w:val="left"/>
      </w:pPr>
      <w:r>
        <w:rPr>
          <w:rStyle w:val="FootnoteReference"/>
        </w:rPr>
        <w:footnoteRef/>
      </w:r>
      <w:r>
        <w:t xml:space="preserve"> Case M.9343, </w:t>
      </w:r>
      <w:r w:rsidRPr="005C0D65">
        <w:rPr>
          <w:i/>
        </w:rPr>
        <w:t xml:space="preserve">Hyundai Heavy Industries Holdings/Daewoo Shipbuilding &amp; Marine </w:t>
      </w:r>
      <w:r w:rsidRPr="00E04729">
        <w:rPr>
          <w:i/>
        </w:rPr>
        <w:t>Engineering</w:t>
      </w:r>
      <w:r>
        <w:t>.</w:t>
      </w:r>
      <w:r w:rsidRPr="00E04729">
        <w:t xml:space="preserve"> </w:t>
      </w:r>
      <w:r>
        <w:t xml:space="preserve">See: </w:t>
      </w:r>
      <w:hyperlink r:id="rId24" w:history="1">
        <w:r w:rsidRPr="001D5411">
          <w:rPr>
            <w:rStyle w:val="Hyperlink"/>
          </w:rPr>
          <w:t>https://ec.europa.eu/competition/elojade/isef/case_details.cfm?proc_code=2_M_9343</w:t>
        </w:r>
      </w:hyperlink>
      <w:r>
        <w:t xml:space="preserve"> </w:t>
      </w:r>
    </w:p>
  </w:footnote>
  <w:footnote w:id="84">
    <w:p w14:paraId="12F2AE5C" w14:textId="66F19D82" w:rsidR="007072BB" w:rsidRPr="00E04729" w:rsidRDefault="007072BB" w:rsidP="00CD4F19">
      <w:pPr>
        <w:pStyle w:val="FootnoteText"/>
        <w:jc w:val="left"/>
      </w:pPr>
      <w:r w:rsidRPr="00E04729">
        <w:rPr>
          <w:rStyle w:val="FootnoteReference"/>
        </w:rPr>
        <w:footnoteRef/>
      </w:r>
      <w:r w:rsidRPr="00E04729">
        <w:t xml:space="preserve"> Case M.10262, </w:t>
      </w:r>
      <w:r w:rsidRPr="00E04729">
        <w:rPr>
          <w:i/>
        </w:rPr>
        <w:t>Meta (Formerly Facebook)/Kustomer</w:t>
      </w:r>
      <w:r w:rsidRPr="00E04729">
        <w:t xml:space="preserve">. </w:t>
      </w:r>
      <w:r>
        <w:t xml:space="preserve">See: </w:t>
      </w:r>
      <w:hyperlink r:id="rId25" w:history="1">
        <w:r w:rsidRPr="00CD4F19">
          <w:rPr>
            <w:rStyle w:val="Hyperlink"/>
          </w:rPr>
          <w:t>https://ec.europa.eu/competition/mergers/cases1/202242/M_10262_8559915_3054_3.pdf</w:t>
        </w:r>
      </w:hyperlink>
    </w:p>
  </w:footnote>
  <w:footnote w:id="85">
    <w:p w14:paraId="0317BD3E" w14:textId="77777777" w:rsidR="007072BB" w:rsidRPr="0074434C" w:rsidRDefault="007072BB">
      <w:pPr>
        <w:pStyle w:val="FootnoteText"/>
      </w:pPr>
      <w:r>
        <w:rPr>
          <w:rStyle w:val="FootnoteReference"/>
        </w:rPr>
        <w:footnoteRef/>
      </w:r>
      <w:r>
        <w:t xml:space="preserve"> </w:t>
      </w:r>
      <w:r w:rsidRPr="0074434C">
        <w:t>A public API access commitment: Meta commits to guarantee non-discriminatory access, without charge to its publicly available APIs for its messaging channels to competing customer service CRM software providers and new entrants.</w:t>
      </w:r>
      <w:r>
        <w:t xml:space="preserve"> </w:t>
      </w:r>
      <w:r w:rsidRPr="0074434C">
        <w:t>A core API access-parity commitment: To the extent any features or functionalities of Messenger, Instagram messaging or WhatsApp that are used by Kustomer's customers today may be improved or updated, Meta commits to also make available equivalent improvements to Kustomer's rivals and new entrants. This would also hold for any new features or functionalities of Meta messaging channels in the future if used by a sizeable proportion of Kustomer's customers.</w:t>
      </w:r>
    </w:p>
  </w:footnote>
  <w:footnote w:id="86">
    <w:p w14:paraId="40C3A161" w14:textId="1A823E6B" w:rsidR="007072BB" w:rsidRPr="00E04729" w:rsidRDefault="007072BB" w:rsidP="00533F5B">
      <w:pPr>
        <w:pStyle w:val="FootnoteText"/>
      </w:pPr>
      <w:r w:rsidRPr="00E04729">
        <w:rPr>
          <w:rStyle w:val="FootnoteReference"/>
        </w:rPr>
        <w:footnoteRef/>
      </w:r>
      <w:r w:rsidRPr="00E04729">
        <w:t xml:space="preserve"> Case M.10431, </w:t>
      </w:r>
      <w:r w:rsidRPr="00E04729">
        <w:rPr>
          <w:i/>
        </w:rPr>
        <w:t>Ali Group</w:t>
      </w:r>
      <w:r w:rsidRPr="00E04729">
        <w:t>/</w:t>
      </w:r>
      <w:r w:rsidRPr="00E04729">
        <w:rPr>
          <w:i/>
        </w:rPr>
        <w:t>Welbilt</w:t>
      </w:r>
      <w:r w:rsidRPr="00FA55DB">
        <w:t xml:space="preserve">, </w:t>
      </w:r>
      <w:r>
        <w:t xml:space="preserve">OJ C 469, 9.12.2022, p. 16. </w:t>
      </w:r>
    </w:p>
  </w:footnote>
  <w:footnote w:id="87">
    <w:p w14:paraId="2C12E660" w14:textId="75388272" w:rsidR="007072BB" w:rsidRPr="00E04729" w:rsidRDefault="007072BB" w:rsidP="00533F5B">
      <w:pPr>
        <w:pStyle w:val="FootnoteText"/>
      </w:pPr>
      <w:r w:rsidRPr="00E04729">
        <w:rPr>
          <w:rStyle w:val="FootnoteReference"/>
        </w:rPr>
        <w:footnoteRef/>
      </w:r>
      <w:r w:rsidRPr="00E04729">
        <w:t xml:space="preserve"> Case M.10188, </w:t>
      </w:r>
      <w:r>
        <w:rPr>
          <w:i/>
        </w:rPr>
        <w:t>Illumina/GRAIL.</w:t>
      </w:r>
      <w:r w:rsidRPr="00E04729">
        <w:rPr>
          <w:i/>
        </w:rPr>
        <w:t xml:space="preserve"> </w:t>
      </w:r>
      <w:r>
        <w:t xml:space="preserve">See: </w:t>
      </w:r>
      <w:hyperlink r:id="rId26" w:history="1">
        <w:r w:rsidRPr="001D5411">
          <w:rPr>
            <w:rStyle w:val="Hyperlink"/>
          </w:rPr>
          <w:t>https://ec.europa.eu/commission/presscorner/detail/en/IP_22_5364</w:t>
        </w:r>
      </w:hyperlink>
      <w:r>
        <w:t xml:space="preserve"> </w:t>
      </w:r>
    </w:p>
  </w:footnote>
  <w:footnote w:id="88">
    <w:p w14:paraId="6C1CBD13" w14:textId="3B7E821F" w:rsidR="007072BB" w:rsidRPr="00DB42B2" w:rsidRDefault="007072BB">
      <w:pPr>
        <w:pStyle w:val="FootnoteText"/>
      </w:pPr>
      <w:r>
        <w:rPr>
          <w:rStyle w:val="FootnoteReference"/>
        </w:rPr>
        <w:footnoteRef/>
      </w:r>
      <w:r>
        <w:t xml:space="preserve"> Case M.10493, </w:t>
      </w:r>
      <w:r w:rsidRPr="009E2C44">
        <w:rPr>
          <w:i/>
        </w:rPr>
        <w:t>Illumina/GRAIL (Interim measures under Art. 8(5)a)</w:t>
      </w:r>
      <w:r>
        <w:rPr>
          <w:i/>
        </w:rPr>
        <w:t>.</w:t>
      </w:r>
      <w:r>
        <w:t xml:space="preserve"> See: </w:t>
      </w:r>
      <w:hyperlink r:id="rId27" w:history="1">
        <w:r w:rsidRPr="00192C18">
          <w:rPr>
            <w:rStyle w:val="Hyperlink"/>
          </w:rPr>
          <w:t>https://ec.europa.eu/commission/presscorner/detail/en/ip_21_5661</w:t>
        </w:r>
      </w:hyperlink>
      <w:r>
        <w:t xml:space="preserve"> </w:t>
      </w:r>
    </w:p>
  </w:footnote>
  <w:footnote w:id="89">
    <w:p w14:paraId="258E77B1" w14:textId="444C31EE" w:rsidR="007072BB" w:rsidRPr="00D032FF" w:rsidRDefault="007072BB">
      <w:pPr>
        <w:pStyle w:val="FootnoteText"/>
      </w:pPr>
      <w:r>
        <w:rPr>
          <w:rStyle w:val="FootnoteReference"/>
        </w:rPr>
        <w:footnoteRef/>
      </w:r>
      <w:r>
        <w:t xml:space="preserve"> Case M.10483, </w:t>
      </w:r>
      <w:r w:rsidRPr="009E2C44">
        <w:rPr>
          <w:i/>
        </w:rPr>
        <w:t>Illum</w:t>
      </w:r>
      <w:r>
        <w:rPr>
          <w:i/>
        </w:rPr>
        <w:t>ina/GRAIL (Art. 14 procedure).</w:t>
      </w:r>
      <w:r>
        <w:t xml:space="preserve"> See: </w:t>
      </w:r>
      <w:hyperlink r:id="rId28" w:history="1">
        <w:r w:rsidRPr="00192C18">
          <w:rPr>
            <w:rStyle w:val="Hyperlink"/>
          </w:rPr>
          <w:t>https://ec.europa.eu/commission/presscorner/detail/en/ip_22_4604</w:t>
        </w:r>
      </w:hyperlink>
      <w:r>
        <w:t xml:space="preserve"> </w:t>
      </w:r>
    </w:p>
  </w:footnote>
  <w:footnote w:id="90">
    <w:p w14:paraId="65928974" w14:textId="0B620296" w:rsidR="007072BB" w:rsidRPr="006F6DDE" w:rsidRDefault="007072BB">
      <w:pPr>
        <w:pStyle w:val="FootnoteText"/>
      </w:pPr>
      <w:r>
        <w:rPr>
          <w:rStyle w:val="FootnoteReference"/>
        </w:rPr>
        <w:footnoteRef/>
      </w:r>
      <w:r>
        <w:t xml:space="preserve"> </w:t>
      </w:r>
      <w:r w:rsidRPr="009E2C44">
        <w:t>Case M.10939</w:t>
      </w:r>
      <w:r w:rsidRPr="00177321">
        <w:rPr>
          <w:i/>
        </w:rPr>
        <w:t>, Illumina/GRAIL</w:t>
      </w:r>
      <w:r>
        <w:t xml:space="preserve">. See: </w:t>
      </w:r>
      <w:hyperlink r:id="rId29" w:history="1">
        <w:r w:rsidRPr="00192C18">
          <w:rPr>
            <w:rStyle w:val="Hyperlink"/>
          </w:rPr>
          <w:t>https://ec.europa.eu/commission/presscorner/detail/en/IP_22_7403</w:t>
        </w:r>
      </w:hyperlink>
    </w:p>
  </w:footnote>
  <w:footnote w:id="91">
    <w:p w14:paraId="41B02445" w14:textId="2FF80DD9" w:rsidR="007072BB" w:rsidRPr="0061448B" w:rsidRDefault="007072BB" w:rsidP="00AA79B2">
      <w:pPr>
        <w:pStyle w:val="FootnoteText"/>
      </w:pPr>
      <w:r>
        <w:rPr>
          <w:rStyle w:val="FootnoteReference"/>
        </w:rPr>
        <w:footnoteRef/>
      </w:r>
      <w:r>
        <w:t xml:space="preserve"> </w:t>
      </w:r>
      <w:r w:rsidRPr="0061448B">
        <w:t xml:space="preserve">Judgment of the General Court of 13.7.2022, Case T-227/21, </w:t>
      </w:r>
      <w:r w:rsidRPr="008C3B7C">
        <w:rPr>
          <w:i/>
          <w:iCs/>
        </w:rPr>
        <w:t>Illumina</w:t>
      </w:r>
      <w:r>
        <w:rPr>
          <w:i/>
          <w:iCs/>
        </w:rPr>
        <w:t>, Inc.</w:t>
      </w:r>
      <w:r w:rsidRPr="008C3B7C">
        <w:rPr>
          <w:i/>
          <w:iCs/>
        </w:rPr>
        <w:t xml:space="preserve"> v European Commission</w:t>
      </w:r>
      <w:r w:rsidRPr="0061448B">
        <w:t>, EU:T:2022:447.</w:t>
      </w:r>
    </w:p>
  </w:footnote>
  <w:footnote w:id="92">
    <w:p w14:paraId="1D6C51F2" w14:textId="77777777" w:rsidR="007072BB" w:rsidRDefault="007072BB" w:rsidP="00BE2B88">
      <w:pPr>
        <w:pStyle w:val="FootnoteText"/>
      </w:pPr>
      <w:r>
        <w:rPr>
          <w:rStyle w:val="FootnoteReference"/>
        </w:rPr>
        <w:footnoteRef/>
      </w:r>
      <w:r>
        <w:t xml:space="preserve"> Speech by EVP Vestager of 11.9.2020 on ‘The Future of EU Merger Control’, </w:t>
      </w:r>
      <w:hyperlink r:id="rId30" w:history="1">
        <w:r w:rsidRPr="00C64EC7">
          <w:rPr>
            <w:rStyle w:val="Hyperlink"/>
          </w:rPr>
          <w:t>https://ec.europa.eu/commission/commissioners/2019-2024/vestager/announcements/future-eu-merger-control_en</w:t>
        </w:r>
      </w:hyperlink>
      <w:r>
        <w:t xml:space="preserve">. </w:t>
      </w:r>
    </w:p>
  </w:footnote>
  <w:footnote w:id="93">
    <w:p w14:paraId="5F907373" w14:textId="77777777" w:rsidR="007072BB" w:rsidRPr="00E91812" w:rsidRDefault="007072BB" w:rsidP="00BE2B88">
      <w:pPr>
        <w:pStyle w:val="FootnoteText"/>
      </w:pPr>
      <w:r>
        <w:rPr>
          <w:rStyle w:val="FootnoteReference"/>
        </w:rPr>
        <w:footnoteRef/>
      </w:r>
      <w:r>
        <w:t xml:space="preserve"> Communication from the Commission: Commission Guidance on the application of the referral mechanism set out in Article 22 of the Merger Regulation to certain categories of cases, 26.3.2021 C(2021) 1959 final.</w:t>
      </w:r>
    </w:p>
  </w:footnote>
  <w:footnote w:id="94">
    <w:p w14:paraId="43A9E801" w14:textId="77777777" w:rsidR="007072BB" w:rsidRPr="005C7867" w:rsidRDefault="007072BB" w:rsidP="00BE2B88">
      <w:pPr>
        <w:pStyle w:val="FootnoteText"/>
      </w:pPr>
      <w:r>
        <w:rPr>
          <w:rStyle w:val="FootnoteReference"/>
        </w:rPr>
        <w:footnoteRef/>
      </w:r>
      <w:r>
        <w:t xml:space="preserve"> </w:t>
      </w:r>
      <w:r w:rsidRPr="00795B27">
        <w:t>Practical information on implementation of the ‘Guidance on the application of the referral mechanism set out in Article 22 of the Merger Regulation to certain categories of cases’ - Frequently Asked Questions and Answers (Q&amp;A).</w:t>
      </w:r>
      <w:r>
        <w:t xml:space="preserve"> See: </w:t>
      </w:r>
      <w:hyperlink r:id="rId31" w:history="1">
        <w:r w:rsidRPr="00A650E6">
          <w:rPr>
            <w:rStyle w:val="Hyperlink"/>
          </w:rPr>
          <w:t>https://competition-policy.ec.europa.eu/system/files/2022-12/article22_recalibrated_approach_QandA.pdf</w:t>
        </w:r>
      </w:hyperlink>
      <w:r>
        <w:t xml:space="preserve">. </w:t>
      </w:r>
    </w:p>
  </w:footnote>
  <w:footnote w:id="95">
    <w:p w14:paraId="68365769" w14:textId="06F6A006" w:rsidR="007072BB" w:rsidRPr="005F3C22" w:rsidRDefault="007072BB" w:rsidP="00BE2B88">
      <w:pPr>
        <w:pStyle w:val="FootnoteText"/>
        <w:rPr>
          <w:rFonts w:cs="Times New Roman"/>
          <w:lang w:val="en-IE"/>
        </w:rPr>
      </w:pPr>
      <w:r w:rsidRPr="005F3C22">
        <w:rPr>
          <w:rStyle w:val="FootnoteReference"/>
          <w:rFonts w:cs="Times New Roman"/>
        </w:rPr>
        <w:footnoteRef/>
      </w:r>
      <w:r w:rsidRPr="005F3C22">
        <w:rPr>
          <w:rFonts w:cs="Times New Roman"/>
        </w:rPr>
        <w:t xml:space="preserve"> Judgment of the </w:t>
      </w:r>
      <w:r>
        <w:rPr>
          <w:rFonts w:cs="Times New Roman"/>
        </w:rPr>
        <w:t>General Court</w:t>
      </w:r>
      <w:r w:rsidRPr="005F3C22">
        <w:rPr>
          <w:rFonts w:cs="Times New Roman"/>
        </w:rPr>
        <w:t xml:space="preserve"> of 13.07.2022, T-227/21, </w:t>
      </w:r>
      <w:r w:rsidRPr="005F3C22">
        <w:rPr>
          <w:rFonts w:cs="Times New Roman"/>
          <w:i/>
        </w:rPr>
        <w:t>Illumina</w:t>
      </w:r>
      <w:r>
        <w:rPr>
          <w:rFonts w:cs="Times New Roman"/>
          <w:i/>
        </w:rPr>
        <w:t>,</w:t>
      </w:r>
      <w:r w:rsidRPr="005F3C22">
        <w:rPr>
          <w:rFonts w:cs="Times New Roman"/>
          <w:i/>
        </w:rPr>
        <w:t xml:space="preserve"> </w:t>
      </w:r>
      <w:r>
        <w:rPr>
          <w:rFonts w:cs="Times New Roman"/>
          <w:i/>
        </w:rPr>
        <w:t>I</w:t>
      </w:r>
      <w:r w:rsidRPr="005F3C22">
        <w:rPr>
          <w:rFonts w:cs="Times New Roman"/>
          <w:i/>
        </w:rPr>
        <w:t xml:space="preserve">nc. v European Commission, </w:t>
      </w:r>
      <w:r w:rsidRPr="005F3C22">
        <w:rPr>
          <w:rFonts w:cs="Times New Roman"/>
        </w:rPr>
        <w:t>EU:T:2022:447.</w:t>
      </w:r>
    </w:p>
  </w:footnote>
  <w:footnote w:id="96">
    <w:p w14:paraId="07C44A50" w14:textId="77777777" w:rsidR="007072BB" w:rsidRPr="00C5661F" w:rsidRDefault="007072BB" w:rsidP="00BE2B88">
      <w:pPr>
        <w:pStyle w:val="FootnoteText"/>
        <w:rPr>
          <w:rFonts w:cs="Times New Roman"/>
        </w:rPr>
      </w:pPr>
      <w:r w:rsidRPr="00C5661F">
        <w:rPr>
          <w:rStyle w:val="FootnoteReference"/>
          <w:rFonts w:cs="Times New Roman"/>
        </w:rPr>
        <w:footnoteRef/>
      </w:r>
      <w:r w:rsidRPr="00C5661F">
        <w:rPr>
          <w:rFonts w:cs="Times New Roman"/>
        </w:rPr>
        <w:t xml:space="preserve"> Appeal brought by</w:t>
      </w:r>
      <w:r>
        <w:rPr>
          <w:rFonts w:cs="Times New Roman"/>
        </w:rPr>
        <w:t xml:space="preserve"> Illumina on 22.09.2022 in case </w:t>
      </w:r>
      <w:r w:rsidRPr="00EA5C57">
        <w:rPr>
          <w:rFonts w:cs="Times New Roman"/>
        </w:rPr>
        <w:t>C-611/22 P</w:t>
      </w:r>
      <w:r>
        <w:rPr>
          <w:rFonts w:cs="Times New Roman"/>
        </w:rPr>
        <w:t xml:space="preserve"> – </w:t>
      </w:r>
      <w:r w:rsidRPr="00EA5C57">
        <w:rPr>
          <w:rFonts w:cs="Times New Roman"/>
          <w:i/>
        </w:rPr>
        <w:t>Illumina v Commission</w:t>
      </w:r>
      <w:r>
        <w:rPr>
          <w:rFonts w:cs="Times New Roman"/>
        </w:rPr>
        <w:t xml:space="preserve"> and by GRAIL</w:t>
      </w:r>
      <w:r w:rsidRPr="00C5661F">
        <w:rPr>
          <w:rFonts w:cs="Times New Roman"/>
        </w:rPr>
        <w:t xml:space="preserve"> on 30.09.2022, in case C-625/22 P </w:t>
      </w:r>
      <w:r w:rsidRPr="002D31AB">
        <w:rPr>
          <w:rFonts w:cs="Times New Roman"/>
        </w:rPr>
        <w:t>–</w:t>
      </w:r>
      <w:r w:rsidRPr="00C5661F">
        <w:rPr>
          <w:rFonts w:cs="Times New Roman"/>
        </w:rPr>
        <w:t xml:space="preserve"> </w:t>
      </w:r>
      <w:r w:rsidRPr="00C5661F">
        <w:rPr>
          <w:rFonts w:cs="Times New Roman"/>
          <w:i/>
        </w:rPr>
        <w:t>Grail v Commission and Illumina</w:t>
      </w:r>
      <w:r>
        <w:rPr>
          <w:rFonts w:cs="Times New Roman"/>
          <w:i/>
        </w:rPr>
        <w:t>.</w:t>
      </w:r>
    </w:p>
  </w:footnote>
  <w:footnote w:id="97">
    <w:p w14:paraId="10639983" w14:textId="7DF763E8" w:rsidR="007072BB" w:rsidRPr="00E04729" w:rsidRDefault="007072BB" w:rsidP="00533F5B">
      <w:pPr>
        <w:pStyle w:val="FootnoteText"/>
      </w:pPr>
      <w:r w:rsidRPr="00E04729">
        <w:rPr>
          <w:rStyle w:val="FootnoteReference"/>
        </w:rPr>
        <w:footnoteRef/>
      </w:r>
      <w:r w:rsidRPr="00E04729">
        <w:t xml:space="preserve"> Case M.10663, </w:t>
      </w:r>
      <w:r w:rsidRPr="00E04729">
        <w:rPr>
          <w:i/>
        </w:rPr>
        <w:t>Orange/VOO/Brutele</w:t>
      </w:r>
      <w:r w:rsidRPr="00E04729">
        <w:t xml:space="preserve">, </w:t>
      </w:r>
      <w:r w:rsidRPr="00CF4281">
        <w:t>See:</w:t>
      </w:r>
      <w:r>
        <w:t xml:space="preserve"> </w:t>
      </w:r>
      <w:hyperlink r:id="rId32" w:history="1">
        <w:r w:rsidRPr="00192C18">
          <w:rPr>
            <w:rStyle w:val="Hyperlink"/>
          </w:rPr>
          <w:t>https://ec.europa.eu/commission/presscorner/detail/en/ip_22_4762</w:t>
        </w:r>
      </w:hyperlink>
      <w:r>
        <w:t xml:space="preserve"> </w:t>
      </w:r>
    </w:p>
  </w:footnote>
  <w:footnote w:id="98">
    <w:p w14:paraId="5804DDC7" w14:textId="123DA08B" w:rsidR="007072BB" w:rsidRPr="0035670A" w:rsidRDefault="007072BB" w:rsidP="00F17826">
      <w:pPr>
        <w:pStyle w:val="FootnoteText"/>
      </w:pPr>
      <w:r w:rsidRPr="00E04729">
        <w:rPr>
          <w:rStyle w:val="FootnoteReference"/>
        </w:rPr>
        <w:footnoteRef/>
      </w:r>
      <w:r w:rsidRPr="00E04729">
        <w:t xml:space="preserve"> Case M.10646, </w:t>
      </w:r>
      <w:r w:rsidRPr="00E04729">
        <w:rPr>
          <w:i/>
        </w:rPr>
        <w:t>Microsoft</w:t>
      </w:r>
      <w:r w:rsidRPr="00E04729">
        <w:t>/</w:t>
      </w:r>
      <w:r w:rsidRPr="00E04729">
        <w:rPr>
          <w:i/>
        </w:rPr>
        <w:t>Activision Blizzard</w:t>
      </w:r>
      <w:r w:rsidRPr="00FA55DB">
        <w:rPr>
          <w:i/>
        </w:rPr>
        <w:t xml:space="preserve">, </w:t>
      </w:r>
      <w:r w:rsidRPr="00FA55DB">
        <w:t xml:space="preserve">See: </w:t>
      </w:r>
      <w:hyperlink r:id="rId33" w:history="1">
        <w:r w:rsidRPr="00523268">
          <w:rPr>
            <w:rStyle w:val="Hyperlink"/>
          </w:rPr>
          <w:t>https://ec.europa.eu/commission/presscorner/detail/en/IP_22_6578</w:t>
        </w:r>
      </w:hyperlink>
      <w:r>
        <w:t xml:space="preserve"> </w:t>
      </w:r>
    </w:p>
  </w:footnote>
  <w:footnote w:id="99">
    <w:p w14:paraId="4DBCF50E" w14:textId="77777777" w:rsidR="007072BB" w:rsidRPr="00CF4281" w:rsidRDefault="007072BB" w:rsidP="00CF4281">
      <w:pPr>
        <w:pStyle w:val="FootnoteText"/>
        <w:jc w:val="left"/>
        <w:rPr>
          <w:szCs w:val="16"/>
          <w:lang w:val="en-IE"/>
        </w:rPr>
      </w:pPr>
      <w:r w:rsidRPr="00CF4281">
        <w:rPr>
          <w:rStyle w:val="FootnoteReference"/>
          <w:szCs w:val="16"/>
        </w:rPr>
        <w:footnoteRef/>
      </w:r>
      <w:r w:rsidRPr="00CF4281">
        <w:rPr>
          <w:szCs w:val="16"/>
        </w:rPr>
        <w:t xml:space="preserve"> Case </w:t>
      </w:r>
      <w:r w:rsidRPr="00CF4281">
        <w:rPr>
          <w:bCs/>
          <w:szCs w:val="16"/>
          <w:lang w:val="en-IE"/>
        </w:rPr>
        <w:t xml:space="preserve">M.10433, </w:t>
      </w:r>
      <w:r w:rsidRPr="00CF4281">
        <w:rPr>
          <w:bCs/>
          <w:i/>
          <w:szCs w:val="16"/>
          <w:lang w:val="en-IE"/>
        </w:rPr>
        <w:t>Vivendi/Lagardere</w:t>
      </w:r>
      <w:r>
        <w:rPr>
          <w:bCs/>
          <w:szCs w:val="16"/>
          <w:lang w:val="en-IE"/>
        </w:rPr>
        <w:t>, S</w:t>
      </w:r>
      <w:r w:rsidRPr="00CF4281">
        <w:rPr>
          <w:bCs/>
          <w:szCs w:val="16"/>
          <w:lang w:val="en-IE"/>
        </w:rPr>
        <w:t>ee</w:t>
      </w:r>
      <w:r>
        <w:rPr>
          <w:bCs/>
          <w:szCs w:val="16"/>
          <w:lang w:val="en-IE"/>
        </w:rPr>
        <w:t>:</w:t>
      </w:r>
      <w:r w:rsidRPr="00CF4281">
        <w:rPr>
          <w:bCs/>
          <w:szCs w:val="16"/>
          <w:lang w:val="en-IE"/>
        </w:rPr>
        <w:t xml:space="preserve"> </w:t>
      </w:r>
      <w:hyperlink r:id="rId34" w:history="1">
        <w:r w:rsidRPr="00A650E6">
          <w:rPr>
            <w:rStyle w:val="Hyperlink"/>
            <w:szCs w:val="16"/>
            <w:lang w:val="en-IE"/>
          </w:rPr>
          <w:t>https://ec.europa.eu/commission/presscorner/detail/en/ip_22_7243</w:t>
        </w:r>
      </w:hyperlink>
    </w:p>
  </w:footnote>
  <w:footnote w:id="100">
    <w:p w14:paraId="65120B27" w14:textId="0E28E0A6" w:rsidR="007072BB" w:rsidRPr="00081FFD" w:rsidRDefault="007072BB">
      <w:pPr>
        <w:pStyle w:val="FootnoteText"/>
      </w:pPr>
      <w:r>
        <w:rPr>
          <w:rStyle w:val="FootnoteReference"/>
        </w:rPr>
        <w:footnoteRef/>
      </w:r>
      <w:r>
        <w:t xml:space="preserve"> Case M.10806, </w:t>
      </w:r>
      <w:r>
        <w:rPr>
          <w:i/>
        </w:rPr>
        <w:t>Broadcom/V</w:t>
      </w:r>
      <w:r w:rsidRPr="00081FFD">
        <w:rPr>
          <w:i/>
        </w:rPr>
        <w:t xml:space="preserve">Mware, </w:t>
      </w:r>
      <w:r>
        <w:t xml:space="preserve">See: </w:t>
      </w:r>
      <w:hyperlink r:id="rId35" w:history="1">
        <w:r w:rsidRPr="00A650E6">
          <w:rPr>
            <w:rStyle w:val="Hyperlink"/>
          </w:rPr>
          <w:t>https://ec.europa.eu/commission/presscorner/detail/en/ip_22_7835</w:t>
        </w:r>
      </w:hyperlink>
      <w:r>
        <w:t xml:space="preserve"> </w:t>
      </w:r>
    </w:p>
  </w:footnote>
  <w:footnote w:id="101">
    <w:p w14:paraId="0042B4AF" w14:textId="77777777" w:rsidR="007072BB" w:rsidRPr="00613A5C" w:rsidRDefault="007072BB">
      <w:pPr>
        <w:pStyle w:val="FootnoteText"/>
      </w:pPr>
      <w:r>
        <w:rPr>
          <w:rStyle w:val="FootnoteReference"/>
        </w:rPr>
        <w:footnoteRef/>
      </w:r>
      <w:r>
        <w:t xml:space="preserve"> </w:t>
      </w:r>
      <w:r w:rsidRPr="00613A5C">
        <w:t xml:space="preserve">See: </w:t>
      </w:r>
      <w:hyperlink r:id="rId36" w:history="1">
        <w:r w:rsidRPr="00523268">
          <w:rPr>
            <w:rStyle w:val="Hyperlink"/>
          </w:rPr>
          <w:t>https://ec.europa.eu/commission/presscorner/detail/en/IP_22_1258</w:t>
        </w:r>
      </w:hyperlink>
    </w:p>
  </w:footnote>
  <w:footnote w:id="102">
    <w:p w14:paraId="1A1A4510" w14:textId="77777777" w:rsidR="007072BB" w:rsidRPr="002B29A1" w:rsidRDefault="007072BB" w:rsidP="003D1005">
      <w:pPr>
        <w:pStyle w:val="FootnoteText"/>
      </w:pPr>
      <w:r>
        <w:rPr>
          <w:rStyle w:val="FootnoteReference"/>
        </w:rPr>
        <w:footnoteRef/>
      </w:r>
      <w:r>
        <w:t xml:space="preserve"> Case SA.63170, </w:t>
      </w:r>
      <w:r w:rsidRPr="002B29A1">
        <w:rPr>
          <w:i/>
        </w:rPr>
        <w:t>RRF- Italy - Plan 1 Gbps</w:t>
      </w:r>
      <w:r>
        <w:t xml:space="preserve">, OJ C 116, 11.03.2022, p. 3. </w:t>
      </w:r>
    </w:p>
  </w:footnote>
  <w:footnote w:id="103">
    <w:p w14:paraId="7CD84616" w14:textId="77777777" w:rsidR="007072BB" w:rsidRPr="00CF4281" w:rsidRDefault="007072BB" w:rsidP="00E32F5D">
      <w:pPr>
        <w:pStyle w:val="FootnoteText"/>
      </w:pPr>
      <w:r>
        <w:rPr>
          <w:rStyle w:val="FootnoteReference"/>
        </w:rPr>
        <w:footnoteRef/>
      </w:r>
      <w:r>
        <w:t xml:space="preserve"> Case SA.103083</w:t>
      </w:r>
      <w:r w:rsidRPr="00CF4281">
        <w:rPr>
          <w:i/>
        </w:rPr>
        <w:t xml:space="preserve">, RRF - STMICROELECTRONICS S.R.L. (ST) – </w:t>
      </w:r>
      <w:r>
        <w:rPr>
          <w:i/>
        </w:rPr>
        <w:t>New SIC substrates plant in Catania.</w:t>
      </w:r>
    </w:p>
  </w:footnote>
  <w:footnote w:id="104">
    <w:p w14:paraId="1005A8F2" w14:textId="77777777" w:rsidR="007072BB" w:rsidRPr="00F87418" w:rsidRDefault="007072BB" w:rsidP="00E32F5D">
      <w:pPr>
        <w:pStyle w:val="FootnoteText"/>
      </w:pPr>
      <w:r>
        <w:rPr>
          <w:rStyle w:val="FootnoteReference"/>
        </w:rPr>
        <w:footnoteRef/>
      </w:r>
      <w:r>
        <w:t xml:space="preserve"> </w:t>
      </w:r>
      <w:r w:rsidRPr="00F87418">
        <w:t>Communication from the Commission to the European Parliament, the Council, the European Economic and Social Committee and the Committee of the Regions, A Chips Act for Europe, 8.2.2022, COM/2022/45 final.</w:t>
      </w:r>
    </w:p>
  </w:footnote>
  <w:footnote w:id="105">
    <w:p w14:paraId="442F07A2" w14:textId="77777777" w:rsidR="007072BB" w:rsidRPr="00870A7C" w:rsidRDefault="007072BB">
      <w:pPr>
        <w:pStyle w:val="FootnoteText"/>
        <w:rPr>
          <w:i/>
          <w:lang w:val="en-IE"/>
        </w:rPr>
      </w:pPr>
      <w:r>
        <w:rPr>
          <w:rStyle w:val="FootnoteReference"/>
        </w:rPr>
        <w:footnoteRef/>
      </w:r>
      <w:r>
        <w:t xml:space="preserve"> </w:t>
      </w:r>
      <w:r>
        <w:rPr>
          <w:lang w:val="en-IE"/>
        </w:rPr>
        <w:t xml:space="preserve">Case SA.103451, </w:t>
      </w:r>
      <w:r w:rsidRPr="0086791B">
        <w:rPr>
          <w:i/>
          <w:lang w:val="en-IE"/>
        </w:rPr>
        <w:t>RRF- ES - Deployment of backhaul networks for mobile connectivity</w:t>
      </w:r>
      <w:r>
        <w:rPr>
          <w:i/>
          <w:lang w:val="en-IE"/>
        </w:rPr>
        <w:t xml:space="preserve">, </w:t>
      </w:r>
      <w:r w:rsidRPr="00AA79B2">
        <w:rPr>
          <w:lang w:val="en-IE"/>
        </w:rPr>
        <w:t>OJ C 449, 25.11.2022, p. 2.</w:t>
      </w:r>
    </w:p>
  </w:footnote>
  <w:footnote w:id="106">
    <w:p w14:paraId="5B44A2C6" w14:textId="77777777" w:rsidR="007072BB" w:rsidRPr="00215C96" w:rsidRDefault="007072BB" w:rsidP="00E2562B">
      <w:pPr>
        <w:pStyle w:val="FootnoteText"/>
        <w:rPr>
          <w:rFonts w:cs="Times New Roman"/>
          <w:szCs w:val="16"/>
        </w:rPr>
      </w:pPr>
      <w:r w:rsidRPr="00215C96">
        <w:rPr>
          <w:rStyle w:val="FootnoteReference"/>
          <w:rFonts w:cs="Times New Roman"/>
          <w:szCs w:val="16"/>
        </w:rPr>
        <w:footnoteRef/>
      </w:r>
      <w:r w:rsidRPr="00215C96">
        <w:rPr>
          <w:rFonts w:cs="Times New Roman"/>
          <w:szCs w:val="16"/>
        </w:rPr>
        <w:t xml:space="preserve"> Communication from the Commission to the European Parliament, the European Council, the Council, the European Economic and Social</w:t>
      </w:r>
      <w:r>
        <w:rPr>
          <w:rFonts w:cs="Times New Roman"/>
          <w:szCs w:val="16"/>
        </w:rPr>
        <w:t xml:space="preserve"> </w:t>
      </w:r>
      <w:r w:rsidRPr="00215C96">
        <w:rPr>
          <w:rFonts w:cs="Times New Roman"/>
          <w:szCs w:val="16"/>
        </w:rPr>
        <w:t>Committee and the Committee of the Regions, the European Green Deal, COM(2019) 640 final.</w:t>
      </w:r>
    </w:p>
  </w:footnote>
  <w:footnote w:id="107">
    <w:p w14:paraId="7325665C" w14:textId="77777777" w:rsidR="007072BB" w:rsidRPr="00733E48" w:rsidRDefault="007072BB">
      <w:pPr>
        <w:pStyle w:val="FootnoteText"/>
        <w:rPr>
          <w:lang w:val="en-US"/>
        </w:rPr>
      </w:pPr>
      <w:r>
        <w:rPr>
          <w:rStyle w:val="FootnoteReference"/>
        </w:rPr>
        <w:footnoteRef/>
      </w:r>
      <w:r>
        <w:t xml:space="preserve"> See: </w:t>
      </w:r>
      <w:hyperlink r:id="rId37" w:history="1">
        <w:r w:rsidRPr="007217DC">
          <w:rPr>
            <w:rStyle w:val="Hyperlink"/>
            <w:lang w:val="en-US"/>
          </w:rPr>
          <w:t>https://competition-policy.ec.europa.eu/single-market-programme-smp/calls-tenders-contracts/ex-ante-publicity-low-and-middle-value-contracts_en</w:t>
        </w:r>
      </w:hyperlink>
      <w:r>
        <w:rPr>
          <w:lang w:val="en-US"/>
        </w:rPr>
        <w:t xml:space="preserve"> </w:t>
      </w:r>
    </w:p>
  </w:footnote>
  <w:footnote w:id="108">
    <w:p w14:paraId="7CD4CEDB" w14:textId="77777777" w:rsidR="007072BB" w:rsidRPr="004E28D3" w:rsidRDefault="007072BB">
      <w:pPr>
        <w:pStyle w:val="FootnoteText"/>
      </w:pPr>
      <w:r>
        <w:rPr>
          <w:rStyle w:val="FootnoteReference"/>
        </w:rPr>
        <w:footnoteRef/>
      </w:r>
      <w:r>
        <w:t xml:space="preserve"> </w:t>
      </w:r>
      <w:r w:rsidRPr="004E28D3">
        <w:t xml:space="preserve">Case AT.40054, </w:t>
      </w:r>
      <w:r w:rsidRPr="008C3B7C">
        <w:rPr>
          <w:i/>
          <w:iCs/>
        </w:rPr>
        <w:t>Ethanol benchmarks</w:t>
      </w:r>
      <w:r w:rsidRPr="004E28D3">
        <w:t xml:space="preserve">. See: </w:t>
      </w:r>
      <w:hyperlink r:id="rId38" w:history="1">
        <w:r w:rsidRPr="003343DD">
          <w:rPr>
            <w:rStyle w:val="Hyperlink"/>
          </w:rPr>
          <w:t>https://ec.europa.eu/commission/presscorner/detail/en/ip_21_6769</w:t>
        </w:r>
      </w:hyperlink>
    </w:p>
  </w:footnote>
  <w:footnote w:id="109">
    <w:p w14:paraId="0B109615" w14:textId="77777777" w:rsidR="007072BB" w:rsidRPr="00D61C71" w:rsidRDefault="007072BB">
      <w:pPr>
        <w:pStyle w:val="FootnoteText"/>
      </w:pPr>
      <w:r>
        <w:rPr>
          <w:rStyle w:val="FootnoteReference"/>
        </w:rPr>
        <w:footnoteRef/>
      </w:r>
      <w:r>
        <w:t xml:space="preserve"> </w:t>
      </w:r>
      <w:r w:rsidRPr="00D61C71">
        <w:t xml:space="preserve">In its complaint, </w:t>
      </w:r>
      <w:r w:rsidRPr="00AC5493">
        <w:rPr>
          <w:i/>
        </w:rPr>
        <w:t>Naftogaz</w:t>
      </w:r>
      <w:r w:rsidRPr="00D61C71">
        <w:t xml:space="preserve"> inter alia alleges that Gazprom has engaged in a deliberate refusal to refill EU gas storage facilities, has stopped selling gas through its own Electronic Sales Platform without a justification, and continues to block gas exports to Europe by independent Russian and Central Asian gas producers.</w:t>
      </w:r>
    </w:p>
  </w:footnote>
  <w:footnote w:id="110">
    <w:p w14:paraId="165A541C" w14:textId="77777777" w:rsidR="007072BB" w:rsidRPr="004E28D3" w:rsidRDefault="007072BB" w:rsidP="00C31FE1">
      <w:pPr>
        <w:pStyle w:val="FootnoteText"/>
        <w:rPr>
          <w:szCs w:val="16"/>
        </w:rPr>
      </w:pPr>
      <w:r w:rsidRPr="004E28D3">
        <w:rPr>
          <w:rStyle w:val="FootnoteReference"/>
          <w:szCs w:val="16"/>
        </w:rPr>
        <w:footnoteRef/>
      </w:r>
      <w:r w:rsidRPr="004E28D3">
        <w:rPr>
          <w:szCs w:val="16"/>
        </w:rPr>
        <w:t xml:space="preserve"> See the press release of 31.3.2022: </w:t>
      </w:r>
      <w:hyperlink r:id="rId39" w:history="1">
        <w:r w:rsidRPr="004E28D3">
          <w:rPr>
            <w:rStyle w:val="Hyperlink"/>
            <w:szCs w:val="16"/>
          </w:rPr>
          <w:t>https://ec.europa.eu/commission/presscorner/detail/en/IP_22_2202</w:t>
        </w:r>
      </w:hyperlink>
      <w:r w:rsidRPr="004E28D3">
        <w:rPr>
          <w:szCs w:val="16"/>
        </w:rPr>
        <w:t xml:space="preserve"> </w:t>
      </w:r>
    </w:p>
  </w:footnote>
  <w:footnote w:id="111">
    <w:p w14:paraId="22597DA8" w14:textId="0BBFD8C6" w:rsidR="007072BB" w:rsidRPr="00AD32A2" w:rsidRDefault="007072BB">
      <w:pPr>
        <w:pStyle w:val="FootnoteText"/>
      </w:pPr>
      <w:r>
        <w:rPr>
          <w:rStyle w:val="FootnoteReference"/>
        </w:rPr>
        <w:footnoteRef/>
      </w:r>
      <w:r>
        <w:t xml:space="preserve"> See for example: Report published by t</w:t>
      </w:r>
      <w:r w:rsidRPr="00AD32A2">
        <w:t>he European Union Agency for Railways - Fostering the railway sector through the European Green Deal</w:t>
      </w:r>
      <w:r>
        <w:t xml:space="preserve">, 16.7.2020 (updated 12.10.2022). See </w:t>
      </w:r>
      <w:hyperlink r:id="rId40" w:history="1">
        <w:r w:rsidRPr="006C12C8">
          <w:rPr>
            <w:rStyle w:val="Hyperlink"/>
          </w:rPr>
          <w:t>https://www.era.europa.eu/content/report-fostering-railway-sector-through-european-green-deal_en</w:t>
        </w:r>
      </w:hyperlink>
      <w:r>
        <w:t xml:space="preserve"> </w:t>
      </w:r>
    </w:p>
  </w:footnote>
  <w:footnote w:id="112">
    <w:p w14:paraId="5E365472" w14:textId="77777777" w:rsidR="007072BB" w:rsidRPr="00865671" w:rsidRDefault="007072BB" w:rsidP="002C5F97">
      <w:pPr>
        <w:pStyle w:val="FootnoteText"/>
        <w:rPr>
          <w:lang w:val="de-DE"/>
        </w:rPr>
      </w:pPr>
      <w:r>
        <w:rPr>
          <w:rStyle w:val="FootnoteReference"/>
        </w:rPr>
        <w:footnoteRef/>
      </w:r>
      <w:r w:rsidRPr="00865671">
        <w:rPr>
          <w:lang w:val="de-DE"/>
        </w:rPr>
        <w:t xml:space="preserve"> Case AT.40401, </w:t>
      </w:r>
      <w:r w:rsidRPr="00865671">
        <w:rPr>
          <w:i/>
          <w:lang w:val="de-DE"/>
        </w:rPr>
        <w:t>České dráhy and Österreichische Bundesbahnen</w:t>
      </w:r>
      <w:r>
        <w:rPr>
          <w:lang w:val="de-DE"/>
        </w:rPr>
        <w:t>.</w:t>
      </w:r>
    </w:p>
  </w:footnote>
  <w:footnote w:id="113">
    <w:p w14:paraId="65527F04" w14:textId="1E8A911E" w:rsidR="007072BB" w:rsidRPr="0050736F" w:rsidRDefault="007072BB" w:rsidP="00BE2B88">
      <w:pPr>
        <w:pStyle w:val="FootnoteText"/>
        <w:rPr>
          <w:lang w:val="en-IE"/>
        </w:rPr>
      </w:pPr>
      <w:r>
        <w:rPr>
          <w:rStyle w:val="FootnoteReference"/>
        </w:rPr>
        <w:footnoteRef/>
      </w:r>
      <w:r>
        <w:t xml:space="preserve"> </w:t>
      </w:r>
      <w:r>
        <w:rPr>
          <w:lang w:val="en-IE"/>
        </w:rPr>
        <w:t xml:space="preserve">Case AT.40156, </w:t>
      </w:r>
      <w:r w:rsidRPr="0050736F">
        <w:rPr>
          <w:i/>
          <w:lang w:val="en-IE"/>
        </w:rPr>
        <w:t>Czech Rail</w:t>
      </w:r>
      <w:r>
        <w:rPr>
          <w:lang w:val="en-IE"/>
        </w:rPr>
        <w:t xml:space="preserve">. See: </w:t>
      </w:r>
      <w:hyperlink r:id="rId41" w:history="1">
        <w:r w:rsidRPr="007217DC">
          <w:rPr>
            <w:rStyle w:val="Hyperlink"/>
            <w:lang w:val="en-IE"/>
          </w:rPr>
          <w:t>https://ec.europa.eu/commission/presscorner/detail/en/ip_20_2017</w:t>
        </w:r>
      </w:hyperlink>
      <w:r>
        <w:rPr>
          <w:lang w:val="en-IE"/>
        </w:rPr>
        <w:t xml:space="preserve"> </w:t>
      </w:r>
    </w:p>
  </w:footnote>
  <w:footnote w:id="114">
    <w:p w14:paraId="28DFA1FC" w14:textId="77777777" w:rsidR="007072BB" w:rsidRPr="002162EC" w:rsidRDefault="007072BB">
      <w:pPr>
        <w:pStyle w:val="FootnoteText"/>
      </w:pPr>
      <w:r>
        <w:rPr>
          <w:rStyle w:val="FootnoteReference"/>
        </w:rPr>
        <w:footnoteRef/>
      </w:r>
      <w:r>
        <w:t xml:space="preserve"> Commission Daily News, 30.9.2022: </w:t>
      </w:r>
      <w:r w:rsidRPr="002162EC">
        <w:t>https://ec.europa.eu/commission/presscorner/detail/en/mex_22_5911</w:t>
      </w:r>
    </w:p>
  </w:footnote>
  <w:footnote w:id="115">
    <w:p w14:paraId="2655F8BF" w14:textId="05DB094C" w:rsidR="007072BB" w:rsidRPr="00865671" w:rsidRDefault="007072BB" w:rsidP="002C5F97">
      <w:pPr>
        <w:pStyle w:val="FootnoteText"/>
      </w:pPr>
      <w:r>
        <w:rPr>
          <w:rStyle w:val="FootnoteReference"/>
        </w:rPr>
        <w:footnoteRef/>
      </w:r>
      <w:r>
        <w:t xml:space="preserve"> Case M.10575, </w:t>
      </w:r>
      <w:r w:rsidRPr="00865671">
        <w:rPr>
          <w:i/>
        </w:rPr>
        <w:t>Bouygues/Equans</w:t>
      </w:r>
      <w:r>
        <w:t xml:space="preserve">. See: </w:t>
      </w:r>
      <w:hyperlink r:id="rId42" w:history="1">
        <w:r w:rsidRPr="00B97928">
          <w:rPr>
            <w:rStyle w:val="Hyperlink"/>
          </w:rPr>
          <w:t>https://ec.europa.eu/commission/presscorner/detail/en/IP_22_4603</w:t>
        </w:r>
      </w:hyperlink>
    </w:p>
  </w:footnote>
  <w:footnote w:id="116">
    <w:p w14:paraId="4B3473B4" w14:textId="77777777" w:rsidR="007072BB" w:rsidRPr="005C6163" w:rsidRDefault="007072BB">
      <w:pPr>
        <w:pStyle w:val="FootnoteText"/>
        <w:rPr>
          <w:lang w:val="en-IE"/>
        </w:rPr>
      </w:pPr>
      <w:r>
        <w:rPr>
          <w:rStyle w:val="FootnoteReference"/>
        </w:rPr>
        <w:footnoteRef/>
      </w:r>
      <w:r>
        <w:t xml:space="preserve"> </w:t>
      </w:r>
      <w:r w:rsidRPr="00F84A2A">
        <w:rPr>
          <w:lang w:val="en-IE"/>
        </w:rPr>
        <w:t>Proposal for a Council Regulation Enhancing solidarity through better coordination of gas purchases, exchanges of gas across borders and reliable price benchmarks</w:t>
      </w:r>
      <w:r>
        <w:rPr>
          <w:lang w:val="en-IE"/>
        </w:rPr>
        <w:t>, COM(2022) 549 final.</w:t>
      </w:r>
    </w:p>
  </w:footnote>
  <w:footnote w:id="117">
    <w:p w14:paraId="3647A2B3" w14:textId="77777777" w:rsidR="007072BB" w:rsidRPr="002C30D2" w:rsidRDefault="007072BB" w:rsidP="002C30D2">
      <w:pPr>
        <w:pStyle w:val="FootnoteText"/>
      </w:pPr>
      <w:r>
        <w:rPr>
          <w:rStyle w:val="FootnoteReference"/>
        </w:rPr>
        <w:footnoteRef/>
      </w:r>
      <w:r>
        <w:t xml:space="preserve"> Council Regulation (EU) 2022/2576 of 19 December 2022 Enhancing solidarity through better coordination of gas purchases, reliable price benchmarks and exchanges of gas across borders, OJ L 335, 29.12.2022, p. 1.</w:t>
      </w:r>
    </w:p>
  </w:footnote>
  <w:footnote w:id="118">
    <w:p w14:paraId="75396C7D" w14:textId="77777777" w:rsidR="007072BB" w:rsidRPr="00BA3306" w:rsidRDefault="007072BB" w:rsidP="00AE71B3">
      <w:pPr>
        <w:pStyle w:val="FootnoteText"/>
      </w:pPr>
      <w:r>
        <w:rPr>
          <w:rStyle w:val="FootnoteReference"/>
        </w:rPr>
        <w:footnoteRef/>
      </w:r>
      <w:r>
        <w:t xml:space="preserve"> </w:t>
      </w:r>
      <w:r w:rsidRPr="00BA3306">
        <w:t>AT, BE, CZ, DK, EE, FI, FR, DE, EL, IT, NL, PL, PT, SK and ES</w:t>
      </w:r>
      <w:r>
        <w:t>.</w:t>
      </w:r>
    </w:p>
  </w:footnote>
  <w:footnote w:id="119">
    <w:p w14:paraId="3703F1D8" w14:textId="24727A62" w:rsidR="007072BB" w:rsidRPr="0009491E" w:rsidRDefault="007072BB" w:rsidP="00AE71B3">
      <w:pPr>
        <w:pStyle w:val="FootnoteText"/>
        <w:rPr>
          <w:lang w:val="en-IE"/>
        </w:rPr>
      </w:pPr>
      <w:r>
        <w:rPr>
          <w:rStyle w:val="FootnoteReference"/>
        </w:rPr>
        <w:footnoteRef/>
      </w:r>
      <w:r w:rsidRPr="0009491E">
        <w:rPr>
          <w:lang w:val="en-IE"/>
        </w:rPr>
        <w:t xml:space="preserve"> </w:t>
      </w:r>
      <w:r>
        <w:rPr>
          <w:lang w:val="en-IE"/>
        </w:rPr>
        <w:t xml:space="preserve">See: </w:t>
      </w:r>
      <w:hyperlink r:id="rId43" w:history="1">
        <w:r w:rsidRPr="00262820">
          <w:rPr>
            <w:rStyle w:val="Hyperlink"/>
            <w:lang w:val="en-IE"/>
          </w:rPr>
          <w:t>https://ec.europa.eu/commission/presscorner/detail/en/ip_22_4544</w:t>
        </w:r>
      </w:hyperlink>
      <w:r w:rsidRPr="0009491E">
        <w:rPr>
          <w:lang w:val="en-IE"/>
        </w:rPr>
        <w:t xml:space="preserve"> </w:t>
      </w:r>
    </w:p>
  </w:footnote>
  <w:footnote w:id="120">
    <w:p w14:paraId="2D61BDD1" w14:textId="77777777" w:rsidR="007072BB" w:rsidRPr="00BA3306" w:rsidRDefault="007072BB" w:rsidP="00AE71B3">
      <w:pPr>
        <w:pStyle w:val="FootnoteText"/>
      </w:pPr>
      <w:r>
        <w:rPr>
          <w:rStyle w:val="FootnoteReference"/>
        </w:rPr>
        <w:footnoteRef/>
      </w:r>
      <w:r>
        <w:t xml:space="preserve"> </w:t>
      </w:r>
      <w:r w:rsidRPr="00BA3306">
        <w:t>AT, BE, DK, FI, FR, EL, IT, NL, PL, PT, SK, ES and SE</w:t>
      </w:r>
      <w:r>
        <w:t>.</w:t>
      </w:r>
    </w:p>
  </w:footnote>
  <w:footnote w:id="121">
    <w:p w14:paraId="19BBC64E" w14:textId="77777777" w:rsidR="007072BB" w:rsidRPr="0009491E" w:rsidRDefault="007072BB" w:rsidP="00AE71B3">
      <w:pPr>
        <w:pStyle w:val="FootnoteText"/>
        <w:rPr>
          <w:lang w:val="en-IE"/>
        </w:rPr>
      </w:pPr>
      <w:r>
        <w:rPr>
          <w:rStyle w:val="FootnoteReference"/>
        </w:rPr>
        <w:footnoteRef/>
      </w:r>
      <w:r w:rsidRPr="0009491E">
        <w:rPr>
          <w:lang w:val="en-IE"/>
        </w:rPr>
        <w:t xml:space="preserve"> </w:t>
      </w:r>
      <w:r>
        <w:rPr>
          <w:lang w:val="en-IE"/>
        </w:rPr>
        <w:t xml:space="preserve">See: </w:t>
      </w:r>
      <w:hyperlink r:id="rId44" w:history="1">
        <w:r w:rsidRPr="0009491E">
          <w:rPr>
            <w:rStyle w:val="Hyperlink"/>
            <w:lang w:val="en-IE"/>
          </w:rPr>
          <w:t>https://ec.europa.eu/commission/presscorner/detail/en/statement_22_5677</w:t>
        </w:r>
      </w:hyperlink>
      <w:r w:rsidRPr="0009491E">
        <w:rPr>
          <w:lang w:val="en-IE"/>
        </w:rPr>
        <w:t xml:space="preserve"> </w:t>
      </w:r>
    </w:p>
  </w:footnote>
  <w:footnote w:id="122">
    <w:p w14:paraId="53B36DD5" w14:textId="77777777" w:rsidR="007072BB" w:rsidRPr="002C4D7B" w:rsidRDefault="007072BB" w:rsidP="001F4486">
      <w:pPr>
        <w:pStyle w:val="FootnoteText"/>
      </w:pPr>
      <w:r>
        <w:rPr>
          <w:rStyle w:val="FootnoteReference"/>
        </w:rPr>
        <w:footnoteRef/>
      </w:r>
      <w:r>
        <w:t xml:space="preserve"> </w:t>
      </w:r>
      <w:r w:rsidRPr="002C4D7B">
        <w:t>Comm</w:t>
      </w:r>
      <w:r>
        <w:t xml:space="preserve">unication from the Commission: </w:t>
      </w:r>
      <w:r w:rsidRPr="002C4D7B">
        <w:t>Guidelines on State aid for climate, environmental protection and energy</w:t>
      </w:r>
      <w:r>
        <w:t>, OJ C 80, 18.2.2022, p. 1.</w:t>
      </w:r>
    </w:p>
  </w:footnote>
  <w:footnote w:id="123">
    <w:p w14:paraId="258979DE" w14:textId="77777777" w:rsidR="007072BB" w:rsidRPr="00A247E0" w:rsidRDefault="007072BB">
      <w:pPr>
        <w:pStyle w:val="FootnoteText"/>
      </w:pPr>
      <w:r>
        <w:rPr>
          <w:rStyle w:val="FootnoteReference"/>
        </w:rPr>
        <w:footnoteRef/>
      </w:r>
      <w:r>
        <w:t xml:space="preserve"> Case </w:t>
      </w:r>
      <w:r w:rsidRPr="00A247E0">
        <w:t>SA.104361</w:t>
      </w:r>
      <w:r>
        <w:t xml:space="preserve">, </w:t>
      </w:r>
      <w:r w:rsidRPr="003C7AE7">
        <w:rPr>
          <w:i/>
        </w:rPr>
        <w:t>Spain - Project Green Cobra</w:t>
      </w:r>
      <w:r>
        <w:t xml:space="preserve">. Decision not yet published. </w:t>
      </w:r>
    </w:p>
  </w:footnote>
  <w:footnote w:id="124">
    <w:p w14:paraId="26150C4C" w14:textId="77777777" w:rsidR="007072BB" w:rsidRPr="008F656B" w:rsidRDefault="007072BB" w:rsidP="00AF01D1">
      <w:pPr>
        <w:pStyle w:val="FootnoteText"/>
        <w:rPr>
          <w:lang w:val="en-IE"/>
        </w:rPr>
      </w:pPr>
      <w:r>
        <w:rPr>
          <w:rStyle w:val="FootnoteReference"/>
        </w:rPr>
        <w:footnoteRef/>
      </w:r>
      <w:r>
        <w:t xml:space="preserve"> </w:t>
      </w:r>
      <w:r>
        <w:rPr>
          <w:lang w:val="en-IE"/>
        </w:rPr>
        <w:t xml:space="preserve">Case SA.63177, </w:t>
      </w:r>
      <w:r w:rsidRPr="002A7AB4">
        <w:rPr>
          <w:i/>
          <w:lang w:val="en-IE"/>
        </w:rPr>
        <w:t>Germany - Federal support for efficient heat networks</w:t>
      </w:r>
      <w:r w:rsidRPr="00BE3E73">
        <w:rPr>
          <w:lang w:val="en-IE"/>
        </w:rPr>
        <w:t>, OJ C 366, 23.9</w:t>
      </w:r>
      <w:r>
        <w:rPr>
          <w:lang w:val="en-IE"/>
        </w:rPr>
        <w:t>.2022, p. 2</w:t>
      </w:r>
      <w:r w:rsidRPr="00BE3E73">
        <w:rPr>
          <w:lang w:val="en-IE"/>
        </w:rPr>
        <w:t>.</w:t>
      </w:r>
    </w:p>
  </w:footnote>
  <w:footnote w:id="125">
    <w:p w14:paraId="10858080" w14:textId="0F550E11" w:rsidR="007072BB" w:rsidRPr="00111DCA" w:rsidRDefault="007072BB">
      <w:pPr>
        <w:pStyle w:val="FootnoteText"/>
      </w:pPr>
      <w:r>
        <w:rPr>
          <w:rStyle w:val="FootnoteReference"/>
        </w:rPr>
        <w:footnoteRef/>
      </w:r>
      <w:r>
        <w:t xml:space="preserve"> </w:t>
      </w:r>
      <w:r w:rsidRPr="00C959D1">
        <w:rPr>
          <w:lang w:val="en-IE"/>
        </w:rPr>
        <w:t xml:space="preserve">Case SA.102084, </w:t>
      </w:r>
      <w:r w:rsidRPr="00C959D1">
        <w:rPr>
          <w:i/>
          <w:lang w:val="en-IE"/>
        </w:rPr>
        <w:t>Germany –</w:t>
      </w:r>
      <w:r w:rsidRPr="00C959D1">
        <w:rPr>
          <w:i/>
        </w:rPr>
        <w:t xml:space="preserve"> EEG 2023</w:t>
      </w:r>
      <w:r>
        <w:t xml:space="preserve">. See: </w:t>
      </w:r>
      <w:hyperlink r:id="rId45" w:history="1">
        <w:r w:rsidRPr="00B87AED">
          <w:rPr>
            <w:rStyle w:val="Hyperlink"/>
          </w:rPr>
          <w:t>https://ec.europa.eu/commission/presscorner/detail/en/ip_22_7794</w:t>
        </w:r>
      </w:hyperlink>
    </w:p>
  </w:footnote>
  <w:footnote w:id="126">
    <w:p w14:paraId="6C9F6D83" w14:textId="77777777" w:rsidR="007072BB" w:rsidRPr="00435F70" w:rsidRDefault="007072BB" w:rsidP="00686497">
      <w:pPr>
        <w:pStyle w:val="FootnoteText"/>
      </w:pPr>
      <w:r>
        <w:rPr>
          <w:rStyle w:val="FootnoteReference"/>
        </w:rPr>
        <w:footnoteRef/>
      </w:r>
      <w:r>
        <w:t xml:space="preserve"> See:</w:t>
      </w:r>
      <w:r>
        <w:rPr>
          <w:rStyle w:val="Hyperlink"/>
        </w:rPr>
        <w:t xml:space="preserve"> </w:t>
      </w:r>
      <w:r w:rsidRPr="003F1F1C">
        <w:rPr>
          <w:rStyle w:val="Hyperlink"/>
        </w:rPr>
        <w:t>https://competition-policy.ec.europa.eu/policy/making-markets-work-people_en</w:t>
      </w:r>
    </w:p>
  </w:footnote>
  <w:footnote w:id="127">
    <w:p w14:paraId="3B393194" w14:textId="77777777" w:rsidR="007072BB" w:rsidRPr="00386B2D" w:rsidRDefault="007072BB" w:rsidP="00177321">
      <w:pPr>
        <w:pStyle w:val="FootnoteText"/>
        <w:jc w:val="left"/>
      </w:pPr>
      <w:r>
        <w:rPr>
          <w:rStyle w:val="FootnoteReference"/>
        </w:rPr>
        <w:footnoteRef/>
      </w:r>
      <w:r>
        <w:t xml:space="preserve"> See: </w:t>
      </w:r>
      <w:hyperlink r:id="rId46" w:history="1">
        <w:r w:rsidRPr="00192C18">
          <w:rPr>
            <w:rStyle w:val="Hyperlink"/>
          </w:rPr>
          <w:t>https://ec.europa.eu/commission/presscorner/detail/en/SPEECH_22_6445</w:t>
        </w:r>
      </w:hyperlink>
    </w:p>
  </w:footnote>
  <w:footnote w:id="128">
    <w:p w14:paraId="1C2FBF54" w14:textId="54823563" w:rsidR="007072BB" w:rsidRPr="003B3FCE" w:rsidRDefault="007072BB">
      <w:pPr>
        <w:pStyle w:val="FootnoteText"/>
      </w:pPr>
      <w:r>
        <w:rPr>
          <w:rStyle w:val="FootnoteReference"/>
        </w:rPr>
        <w:footnoteRef/>
      </w:r>
      <w:r>
        <w:t xml:space="preserve"> Case </w:t>
      </w:r>
      <w:r w:rsidRPr="003B3FCE">
        <w:t>SA.100687</w:t>
      </w:r>
      <w:r>
        <w:t>,</w:t>
      </w:r>
      <w:r w:rsidRPr="003B3FCE">
        <w:t xml:space="preserve"> </w:t>
      </w:r>
      <w:r w:rsidRPr="008C3B7C">
        <w:rPr>
          <w:i/>
          <w:iCs/>
        </w:rPr>
        <w:t>Poland – Liquidation aid to Getin Noble Bank S.A</w:t>
      </w:r>
      <w:r w:rsidRPr="003B3FCE">
        <w:t>.</w:t>
      </w:r>
      <w:r>
        <w:t xml:space="preserve"> See: </w:t>
      </w:r>
      <w:hyperlink r:id="rId47" w:history="1">
        <w:r w:rsidRPr="00A238D9">
          <w:rPr>
            <w:rStyle w:val="Hyperlink"/>
          </w:rPr>
          <w:t>https://ec.europa.eu/commission/presscorner/detail/en/IP_22_5922</w:t>
        </w:r>
      </w:hyperlink>
    </w:p>
  </w:footnote>
  <w:footnote w:id="129">
    <w:p w14:paraId="6ECBB4B5" w14:textId="6CA5642D" w:rsidR="007072BB" w:rsidRPr="00B957C9" w:rsidRDefault="007072BB" w:rsidP="003A7DDD">
      <w:pPr>
        <w:pStyle w:val="FootnoteText"/>
        <w:rPr>
          <w:rFonts w:cs="Times New Roman"/>
        </w:rPr>
      </w:pPr>
      <w:r>
        <w:rPr>
          <w:rStyle w:val="FootnoteReference"/>
        </w:rPr>
        <w:footnoteRef/>
      </w:r>
      <w:r>
        <w:t xml:space="preserve"> </w:t>
      </w:r>
      <w:r w:rsidRPr="00B957C9">
        <w:rPr>
          <w:rFonts w:cs="Times New Roman"/>
        </w:rPr>
        <w:t xml:space="preserve">Case SA.103437, </w:t>
      </w:r>
      <w:r w:rsidRPr="00B957C9">
        <w:rPr>
          <w:rFonts w:cs="Times New Roman"/>
          <w:i/>
        </w:rPr>
        <w:t xml:space="preserve">Poland </w:t>
      </w:r>
      <w:r>
        <w:rPr>
          <w:rFonts w:cs="Times New Roman"/>
          <w:i/>
        </w:rPr>
        <w:t>–</w:t>
      </w:r>
      <w:r w:rsidRPr="00B957C9">
        <w:rPr>
          <w:rFonts w:cs="Times New Roman"/>
          <w:i/>
        </w:rPr>
        <w:t xml:space="preserve"> Twelfth prolongation of the Credit Unions Orderly Liquidation Scheme</w:t>
      </w:r>
      <w:r w:rsidRPr="00B957C9">
        <w:rPr>
          <w:rFonts w:cs="Times New Roman"/>
        </w:rPr>
        <w:t>, OJ C 348, 9.9.2022, p.</w:t>
      </w:r>
      <w:r>
        <w:rPr>
          <w:rFonts w:cs="Times New Roman"/>
        </w:rPr>
        <w:t xml:space="preserve"> </w:t>
      </w:r>
      <w:r w:rsidRPr="00B957C9">
        <w:rPr>
          <w:rFonts w:cs="Times New Roman"/>
        </w:rPr>
        <w:t>8.</w:t>
      </w:r>
    </w:p>
  </w:footnote>
  <w:footnote w:id="130">
    <w:p w14:paraId="17E070A1" w14:textId="6807C483" w:rsidR="007072BB" w:rsidRPr="00B957C9" w:rsidRDefault="007072BB" w:rsidP="003A7DDD">
      <w:pPr>
        <w:pStyle w:val="FootnoteText"/>
        <w:rPr>
          <w:rFonts w:cs="Times New Roman"/>
        </w:rPr>
      </w:pPr>
      <w:r>
        <w:rPr>
          <w:rStyle w:val="FootnoteReference"/>
        </w:rPr>
        <w:footnoteRef/>
      </w:r>
      <w:r>
        <w:t xml:space="preserve"> </w:t>
      </w:r>
      <w:r w:rsidRPr="00B957C9">
        <w:rPr>
          <w:rFonts w:cs="Times New Roman"/>
        </w:rPr>
        <w:t xml:space="preserve">Case SA.102499, </w:t>
      </w:r>
      <w:r w:rsidRPr="00B957C9">
        <w:rPr>
          <w:rFonts w:cs="Times New Roman"/>
          <w:i/>
        </w:rPr>
        <w:t>Ireland</w:t>
      </w:r>
      <w:r>
        <w:rPr>
          <w:rFonts w:cs="Times New Roman"/>
          <w:i/>
        </w:rPr>
        <w:t xml:space="preserve"> </w:t>
      </w:r>
      <w:r w:rsidRPr="00B957C9">
        <w:rPr>
          <w:rFonts w:cs="Times New Roman"/>
          <w:i/>
        </w:rPr>
        <w:t>– 15th prolongation of the restructuring and stabilisation scheme for the Credit Union sector</w:t>
      </w:r>
      <w:r w:rsidRPr="00B957C9">
        <w:rPr>
          <w:rFonts w:cs="Times New Roman"/>
        </w:rPr>
        <w:t>, OJ C 220, 3.6.2022, p.</w:t>
      </w:r>
      <w:r>
        <w:rPr>
          <w:rFonts w:cs="Times New Roman"/>
        </w:rPr>
        <w:t> </w:t>
      </w:r>
      <w:r w:rsidRPr="00B957C9">
        <w:rPr>
          <w:rFonts w:cs="Times New Roman"/>
        </w:rPr>
        <w:t xml:space="preserve">1; Case SA.104441, </w:t>
      </w:r>
      <w:r w:rsidRPr="00B957C9">
        <w:rPr>
          <w:rFonts w:cs="Times New Roman"/>
          <w:i/>
        </w:rPr>
        <w:t xml:space="preserve">Ireland </w:t>
      </w:r>
      <w:r>
        <w:rPr>
          <w:rFonts w:cs="Times New Roman"/>
          <w:i/>
        </w:rPr>
        <w:t>–</w:t>
      </w:r>
      <w:r w:rsidRPr="00B957C9">
        <w:rPr>
          <w:rFonts w:cs="Times New Roman"/>
          <w:i/>
        </w:rPr>
        <w:t xml:space="preserve"> 16th prolongation of the restructuring and stabilisation scheme for the Credit Union sector</w:t>
      </w:r>
      <w:r w:rsidRPr="00B957C9">
        <w:rPr>
          <w:rFonts w:cs="Times New Roman"/>
        </w:rPr>
        <w:t xml:space="preserve">, </w:t>
      </w:r>
      <w:r>
        <w:rPr>
          <w:rFonts w:cs="Times New Roman"/>
        </w:rPr>
        <w:t>OJ C 422, 4.11.2022, p. 2.</w:t>
      </w:r>
    </w:p>
  </w:footnote>
  <w:footnote w:id="131">
    <w:p w14:paraId="184D811F" w14:textId="3264B1DD" w:rsidR="007072BB" w:rsidRPr="00906641" w:rsidRDefault="007072BB" w:rsidP="00346D74">
      <w:pPr>
        <w:pStyle w:val="FootnoteText"/>
      </w:pPr>
      <w:r>
        <w:rPr>
          <w:rStyle w:val="FootnoteReference"/>
        </w:rPr>
        <w:footnoteRef/>
      </w:r>
      <w:r>
        <w:t xml:space="preserve"> </w:t>
      </w:r>
      <w:r w:rsidRPr="00906641">
        <w:rPr>
          <w:rFonts w:cs="Times New Roman"/>
        </w:rPr>
        <w:t xml:space="preserve">Case SA.100262, </w:t>
      </w:r>
      <w:r w:rsidRPr="00906641">
        <w:rPr>
          <w:rFonts w:cs="Times New Roman"/>
          <w:i/>
        </w:rPr>
        <w:t xml:space="preserve">Italy </w:t>
      </w:r>
      <w:r>
        <w:rPr>
          <w:rFonts w:cs="Times New Roman"/>
          <w:i/>
        </w:rPr>
        <w:t>–</w:t>
      </w:r>
      <w:r w:rsidRPr="00906641">
        <w:rPr>
          <w:rFonts w:cs="Times New Roman"/>
          <w:i/>
        </w:rPr>
        <w:t xml:space="preserve"> COVID-19 – Prolongation of the Italian orderly liquidation scheme for small banks</w:t>
      </w:r>
      <w:r w:rsidRPr="00906641">
        <w:rPr>
          <w:rFonts w:cs="Times New Roman"/>
        </w:rPr>
        <w:t>, OJ C 1235, 25.3.2022, p. 2.</w:t>
      </w:r>
    </w:p>
  </w:footnote>
  <w:footnote w:id="132">
    <w:p w14:paraId="705F3150" w14:textId="69B56030" w:rsidR="007072BB" w:rsidRPr="00D361C4" w:rsidRDefault="007072BB" w:rsidP="00346D74">
      <w:pPr>
        <w:pStyle w:val="FootnoteText"/>
        <w:rPr>
          <w:lang w:val="fr-BE"/>
        </w:rPr>
      </w:pPr>
      <w:r>
        <w:rPr>
          <w:rStyle w:val="FootnoteReference"/>
        </w:rPr>
        <w:footnoteRef/>
      </w:r>
      <w:r w:rsidRPr="00D361C4">
        <w:rPr>
          <w:lang w:val="fr-BE"/>
        </w:rPr>
        <w:t xml:space="preserve"> Case </w:t>
      </w:r>
      <w:r>
        <w:rPr>
          <w:lang w:val="fr-BE"/>
        </w:rPr>
        <w:t xml:space="preserve">SA.100943, </w:t>
      </w:r>
      <w:r w:rsidRPr="00D361C4">
        <w:rPr>
          <w:i/>
          <w:lang w:val="fr-BE"/>
        </w:rPr>
        <w:t xml:space="preserve">France </w:t>
      </w:r>
      <w:r>
        <w:rPr>
          <w:i/>
          <w:lang w:val="fr-BE"/>
        </w:rPr>
        <w:t>–</w:t>
      </w:r>
      <w:r w:rsidRPr="00D361C4">
        <w:rPr>
          <w:i/>
          <w:lang w:val="fr-BE"/>
        </w:rPr>
        <w:t xml:space="preserve"> 2e modification du dispositif IR-PME pour les investissements dans les FCPI et FIP</w:t>
      </w:r>
      <w:r>
        <w:rPr>
          <w:lang w:val="fr-BE"/>
        </w:rPr>
        <w:t>, OJ C 135, 25.3.2022, p. 4.</w:t>
      </w:r>
    </w:p>
  </w:footnote>
  <w:footnote w:id="133">
    <w:p w14:paraId="0EF3CCF7" w14:textId="3F74221C" w:rsidR="007072BB" w:rsidRPr="00B4023A" w:rsidRDefault="007072BB" w:rsidP="002844C0">
      <w:pPr>
        <w:pStyle w:val="FootnoteText"/>
      </w:pPr>
      <w:r>
        <w:rPr>
          <w:rStyle w:val="FootnoteReference"/>
        </w:rPr>
        <w:footnoteRef/>
      </w:r>
      <w:r>
        <w:t xml:space="preserve"> Case AT.40511 - </w:t>
      </w:r>
      <w:r w:rsidRPr="00E34FC8">
        <w:rPr>
          <w:i/>
        </w:rPr>
        <w:t>Insurance Ireland</w:t>
      </w:r>
      <w:r w:rsidRPr="00615B56">
        <w:rPr>
          <w:i/>
        </w:rPr>
        <w:t xml:space="preserve"> - Insurance claims database and conditions of access</w:t>
      </w:r>
      <w:r>
        <w:t xml:space="preserve">. See: </w:t>
      </w:r>
      <w:hyperlink r:id="rId48" w:history="1">
        <w:r w:rsidRPr="00B4023A">
          <w:rPr>
            <w:rStyle w:val="Hyperlink"/>
          </w:rPr>
          <w:t>AT_40511_8511226_4076_3.pdf (europa.eu)</w:t>
        </w:r>
      </w:hyperlink>
    </w:p>
  </w:footnote>
  <w:footnote w:id="134">
    <w:p w14:paraId="3A0ADFCB" w14:textId="143B161B" w:rsidR="007072BB" w:rsidRPr="00E5735D" w:rsidRDefault="007072BB" w:rsidP="00346D74">
      <w:pPr>
        <w:pStyle w:val="FootnoteText"/>
      </w:pPr>
      <w:r>
        <w:rPr>
          <w:rStyle w:val="FootnoteReference"/>
        </w:rPr>
        <w:footnoteRef/>
      </w:r>
      <w:r>
        <w:t xml:space="preserve"> Judgment of the General Court of 24.9.2019, T-755/15 and T-759/15, </w:t>
      </w:r>
      <w:r w:rsidRPr="00FC6968">
        <w:rPr>
          <w:i/>
        </w:rPr>
        <w:t>Luxembourg and Fiat Chrysler Finance Europe v Commission</w:t>
      </w:r>
      <w:r>
        <w:t xml:space="preserve">, </w:t>
      </w:r>
      <w:r w:rsidRPr="004D2F5A">
        <w:t>EU:T:2019:670</w:t>
      </w:r>
      <w:r>
        <w:t>.</w:t>
      </w:r>
    </w:p>
  </w:footnote>
  <w:footnote w:id="135">
    <w:p w14:paraId="4E385433" w14:textId="77777777" w:rsidR="007072BB" w:rsidRPr="00AB4F55" w:rsidRDefault="007072BB" w:rsidP="00346D74">
      <w:pPr>
        <w:pStyle w:val="FootnoteText"/>
      </w:pPr>
      <w:r>
        <w:rPr>
          <w:rStyle w:val="FootnoteReference"/>
        </w:rPr>
        <w:footnoteRef/>
      </w:r>
      <w:r>
        <w:t xml:space="preserve"> </w:t>
      </w:r>
      <w:r w:rsidRPr="00AB4F55">
        <w:t>Judgment of the Court (Grand Chamber) of 8.11.2022, Joined Cas</w:t>
      </w:r>
      <w:r>
        <w:t>es C-885/19 P and C-898/19 P,</w:t>
      </w:r>
      <w:r w:rsidRPr="00AB4F55">
        <w:t xml:space="preserve"> </w:t>
      </w:r>
      <w:r w:rsidRPr="00AB4F55">
        <w:rPr>
          <w:i/>
        </w:rPr>
        <w:t>Fiat Chrysler Finance Europe and Ireland v European Commission</w:t>
      </w:r>
      <w:r w:rsidRPr="00AB4F55">
        <w:t>, EU:C:2022:859</w:t>
      </w:r>
      <w:r>
        <w:t>.</w:t>
      </w:r>
    </w:p>
  </w:footnote>
  <w:footnote w:id="136">
    <w:p w14:paraId="6203001E" w14:textId="467A839E" w:rsidR="007072BB" w:rsidRPr="00940CEA" w:rsidRDefault="007072BB">
      <w:pPr>
        <w:pStyle w:val="FootnoteText"/>
      </w:pPr>
      <w:r>
        <w:rPr>
          <w:rStyle w:val="FootnoteReference"/>
        </w:rPr>
        <w:footnoteRef/>
      </w:r>
      <w:r>
        <w:t xml:space="preserve"> </w:t>
      </w:r>
      <w:r w:rsidRPr="00940CEA">
        <w:t>Commission Notice on cooperation within the Network of Competition Authorities, OJ C 101, 27.4.2004, p. 43 and OJ C 374, 13.10.2016, p.</w:t>
      </w:r>
      <w:r>
        <w:t> </w:t>
      </w:r>
      <w:r w:rsidRPr="00940CEA">
        <w:t>10.</w:t>
      </w:r>
    </w:p>
  </w:footnote>
  <w:footnote w:id="137">
    <w:p w14:paraId="282865B4" w14:textId="77777777" w:rsidR="007072BB" w:rsidRPr="002C4D7B" w:rsidRDefault="007072BB" w:rsidP="001F4486">
      <w:pPr>
        <w:pStyle w:val="FootnoteText"/>
      </w:pPr>
      <w:r>
        <w:rPr>
          <w:rStyle w:val="FootnoteReference"/>
        </w:rPr>
        <w:footnoteRef/>
      </w:r>
      <w:r>
        <w:t xml:space="preserve"> </w:t>
      </w:r>
      <w:r w:rsidRPr="002C4D7B">
        <w:t>Comm</w:t>
      </w:r>
      <w:r>
        <w:t xml:space="preserve">unication from the Commission: </w:t>
      </w:r>
      <w:r w:rsidRPr="002C4D7B">
        <w:t>Guidelines on State aid for climate, environmental protection and energy</w:t>
      </w:r>
      <w:r>
        <w:t>, OJ C 80, 18.2.2022, p. 1.</w:t>
      </w:r>
    </w:p>
  </w:footnote>
  <w:footnote w:id="138">
    <w:p w14:paraId="30D265F6" w14:textId="77777777" w:rsidR="007072BB" w:rsidRPr="006E4A59" w:rsidRDefault="007072BB">
      <w:pPr>
        <w:pStyle w:val="FootnoteText"/>
        <w:rPr>
          <w:lang w:val="en-IE"/>
        </w:rPr>
      </w:pPr>
      <w:r>
        <w:rPr>
          <w:rStyle w:val="FootnoteReference"/>
        </w:rPr>
        <w:footnoteRef/>
      </w:r>
      <w:r>
        <w:t xml:space="preserve"> See: </w:t>
      </w:r>
      <w:hyperlink r:id="rId49" w:history="1">
        <w:r w:rsidRPr="00523268">
          <w:rPr>
            <w:rStyle w:val="Hyperlink"/>
          </w:rPr>
          <w:t>https://ec.europa.eu/commission/presscorner/detail/en/ip_22_6167</w:t>
        </w:r>
      </w:hyperlink>
    </w:p>
  </w:footnote>
  <w:footnote w:id="139">
    <w:p w14:paraId="129E515B" w14:textId="77777777" w:rsidR="007072BB" w:rsidRPr="00752404" w:rsidRDefault="007072BB">
      <w:pPr>
        <w:pStyle w:val="FootnoteText"/>
      </w:pPr>
      <w:r>
        <w:rPr>
          <w:rStyle w:val="FootnoteReference"/>
        </w:rPr>
        <w:footnoteRef/>
      </w:r>
      <w:r>
        <w:t xml:space="preserve"> See: </w:t>
      </w:r>
      <w:hyperlink r:id="rId50" w:history="1">
        <w:r w:rsidRPr="00523268">
          <w:rPr>
            <w:rStyle w:val="Hyperlink"/>
          </w:rPr>
          <w:t>https://ec.europa.eu/commission/presscorner/detail/en/ip_22_7433</w:t>
        </w:r>
      </w:hyperlink>
    </w:p>
  </w:footnote>
  <w:footnote w:id="140">
    <w:p w14:paraId="5EA3D25E" w14:textId="77777777" w:rsidR="007072BB" w:rsidRPr="00F9186F" w:rsidRDefault="007072BB" w:rsidP="00BC4235">
      <w:pPr>
        <w:pStyle w:val="FootnoteText"/>
      </w:pPr>
      <w:r>
        <w:rPr>
          <w:rStyle w:val="FootnoteReference"/>
        </w:rPr>
        <w:footnoteRef/>
      </w:r>
      <w:r>
        <w:t xml:space="preserve"> See: </w:t>
      </w:r>
      <w:hyperlink r:id="rId51" w:history="1">
        <w:r w:rsidRPr="00523268">
          <w:rPr>
            <w:rStyle w:val="Hyperlink"/>
          </w:rPr>
          <w:t>https://asia.competitioncooperation.eu</w:t>
        </w:r>
      </w:hyperlink>
    </w:p>
  </w:footnote>
  <w:footnote w:id="141">
    <w:p w14:paraId="4DCA56D6" w14:textId="77777777" w:rsidR="007072BB" w:rsidRPr="00F9186F" w:rsidRDefault="007072BB" w:rsidP="00BC4235">
      <w:pPr>
        <w:pStyle w:val="FootnoteText"/>
      </w:pPr>
      <w:r>
        <w:rPr>
          <w:rStyle w:val="FootnoteReference"/>
        </w:rPr>
        <w:footnoteRef/>
      </w:r>
      <w:r>
        <w:t xml:space="preserve"> See: </w:t>
      </w:r>
      <w:hyperlink r:id="rId52" w:history="1">
        <w:r w:rsidRPr="00523268">
          <w:rPr>
            <w:rStyle w:val="Hyperlink"/>
          </w:rPr>
          <w:t>https://africa.competitioncooperation.eu</w:t>
        </w:r>
      </w:hyperlink>
    </w:p>
  </w:footnote>
  <w:footnote w:id="142">
    <w:p w14:paraId="66721ECA" w14:textId="77777777" w:rsidR="007072BB" w:rsidRPr="006E4A59" w:rsidRDefault="007072BB">
      <w:pPr>
        <w:pStyle w:val="FootnoteText"/>
        <w:rPr>
          <w:lang w:val="en-IE"/>
        </w:rPr>
      </w:pPr>
      <w:r>
        <w:rPr>
          <w:rStyle w:val="FootnoteReference"/>
        </w:rPr>
        <w:footnoteRef/>
      </w:r>
      <w:r>
        <w:t xml:space="preserve"> </w:t>
      </w:r>
      <w:r>
        <w:rPr>
          <w:lang w:val="en-IE"/>
        </w:rPr>
        <w:t xml:space="preserve">Countries granted candidate country status by the European Council on the basis of a recommendation by the European Commission: Albania, </w:t>
      </w:r>
      <w:r w:rsidRPr="00790D75">
        <w:rPr>
          <w:lang w:val="en-IE"/>
        </w:rPr>
        <w:t>Bosnia and Herzegovina</w:t>
      </w:r>
      <w:r>
        <w:rPr>
          <w:lang w:val="en-IE"/>
        </w:rPr>
        <w:t>,</w:t>
      </w:r>
      <w:r w:rsidRPr="00790D75">
        <w:rPr>
          <w:lang w:val="en-IE"/>
        </w:rPr>
        <w:t xml:space="preserve"> </w:t>
      </w:r>
      <w:r>
        <w:rPr>
          <w:lang w:val="en-IE"/>
        </w:rPr>
        <w:t xml:space="preserve">Moldova, Montenegro, </w:t>
      </w:r>
      <w:r w:rsidRPr="00790D75">
        <w:rPr>
          <w:lang w:val="en-IE"/>
        </w:rPr>
        <w:t>North Macedonia</w:t>
      </w:r>
      <w:r>
        <w:rPr>
          <w:lang w:val="en-IE"/>
        </w:rPr>
        <w:t xml:space="preserve">, Serbia, </w:t>
      </w:r>
      <w:r w:rsidRPr="0046600D">
        <w:rPr>
          <w:lang w:val="en-IE"/>
        </w:rPr>
        <w:t>Türkiye</w:t>
      </w:r>
      <w:r>
        <w:rPr>
          <w:lang w:val="en-IE"/>
        </w:rPr>
        <w:t xml:space="preserve"> and Ukraine.</w:t>
      </w:r>
    </w:p>
  </w:footnote>
  <w:footnote w:id="143">
    <w:p w14:paraId="43141D6C" w14:textId="77777777" w:rsidR="007072BB" w:rsidRPr="006E4A59" w:rsidRDefault="007072BB">
      <w:pPr>
        <w:pStyle w:val="FootnoteText"/>
        <w:rPr>
          <w:lang w:val="en-IE"/>
        </w:rPr>
      </w:pPr>
      <w:r>
        <w:rPr>
          <w:rStyle w:val="FootnoteReference"/>
        </w:rPr>
        <w:footnoteRef/>
      </w:r>
      <w:r>
        <w:t xml:space="preserve"> Potential candidates for EU membership: Georgia and Kosovo.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48222" w14:textId="77777777" w:rsidR="0089748A" w:rsidRPr="0089748A" w:rsidRDefault="0089748A" w:rsidP="00897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18F2B" w14:textId="77777777" w:rsidR="0089748A" w:rsidRPr="0089748A" w:rsidRDefault="0089748A" w:rsidP="0089748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B142A" w14:textId="77777777" w:rsidR="0089748A" w:rsidRPr="0089748A" w:rsidRDefault="0089748A" w:rsidP="0089748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B1CC8" w14:textId="77777777" w:rsidR="007072BB" w:rsidRDefault="007072BB">
    <w:pPr>
      <w:pStyle w:val="Header"/>
    </w:pPr>
  </w:p>
  <w:p w14:paraId="63CC15DF" w14:textId="77777777" w:rsidR="007072BB" w:rsidRDefault="007072B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52F7B" w14:textId="77777777" w:rsidR="007072BB" w:rsidRDefault="007072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B3504" w14:textId="77777777" w:rsidR="007072BB" w:rsidRDefault="00707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7C2"/>
    <w:multiLevelType w:val="hybridMultilevel"/>
    <w:tmpl w:val="E82CA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6503E"/>
    <w:multiLevelType w:val="hybridMultilevel"/>
    <w:tmpl w:val="54F25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30D66"/>
    <w:multiLevelType w:val="hybridMultilevel"/>
    <w:tmpl w:val="D5C09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51E12"/>
    <w:multiLevelType w:val="multilevel"/>
    <w:tmpl w:val="AAFAEEE2"/>
    <w:styleLink w:val="LegalHeadings"/>
    <w:lvl w:ilvl="0">
      <w:start w:val="1"/>
      <w:numFmt w:val="decimal"/>
      <w:isLgl/>
      <w:suff w:val="nothing"/>
      <w:lvlText w:val="%1  "/>
      <w:lvlJc w:val="left"/>
      <w:pPr>
        <w:ind w:left="0" w:firstLine="0"/>
      </w:pPr>
    </w:lvl>
    <w:lvl w:ilvl="1">
      <w:start w:val="1"/>
      <w:numFmt w:val="decimal"/>
      <w:isLgl/>
      <w:suff w:val="nothing"/>
      <w:lvlText w:val="%1.%2  "/>
      <w:lvlJc w:val="left"/>
      <w:pPr>
        <w:ind w:left="0" w:firstLine="0"/>
      </w:pPr>
    </w:lvl>
    <w:lvl w:ilvl="2">
      <w:start w:val="1"/>
      <w:numFmt w:val="decimal"/>
      <w:isLgl/>
      <w:suff w:val="nothing"/>
      <w:lvlText w:val="%1.%2.%3  "/>
      <w:lvlJc w:val="left"/>
      <w:pPr>
        <w:ind w:left="0" w:firstLine="0"/>
      </w:pPr>
    </w:lvl>
    <w:lvl w:ilvl="3">
      <w:start w:val="1"/>
      <w:numFmt w:val="decimal"/>
      <w:isLgl/>
      <w:suff w:val="nothing"/>
      <w:lvlText w:val="%1.%2.%3.%4  "/>
      <w:lvlJc w:val="left"/>
      <w:pPr>
        <w:ind w:left="0" w:firstLine="0"/>
      </w:pPr>
    </w:lvl>
    <w:lvl w:ilvl="4">
      <w:start w:val="1"/>
      <w:numFmt w:val="decimal"/>
      <w:isLgl/>
      <w:suff w:val="nothing"/>
      <w:lvlText w:val="%1.%2.%3.%4.%5  "/>
      <w:lvlJc w:val="left"/>
      <w:pPr>
        <w:ind w:left="0" w:firstLine="0"/>
      </w:pPr>
    </w:lvl>
    <w:lvl w:ilvl="5">
      <w:start w:val="1"/>
      <w:numFmt w:val="decimal"/>
      <w:isLgl/>
      <w:suff w:val="nothing"/>
      <w:lvlText w:val="%1.%2.%3.%4.%5.%6  "/>
      <w:lvlJc w:val="left"/>
      <w:pPr>
        <w:ind w:left="0" w:firstLine="0"/>
      </w:pPr>
    </w:lvl>
    <w:lvl w:ilvl="6">
      <w:start w:val="1"/>
      <w:numFmt w:val="decimal"/>
      <w:lvlRestart w:val="1"/>
      <w:isLgl/>
      <w:suff w:val="nothing"/>
      <w:lvlText w:val="%1.%7.  "/>
      <w:lvlJc w:val="left"/>
      <w:pPr>
        <w:ind w:left="0" w:firstLine="0"/>
      </w:pPr>
    </w:lvl>
    <w:lvl w:ilvl="7">
      <w:start w:val="1"/>
      <w:numFmt w:val="lowerLetter"/>
      <w:lvlText w:val="%8."/>
      <w:lvlJc w:val="left"/>
      <w:pPr>
        <w:tabs>
          <w:tab w:val="num" w:pos="1134"/>
        </w:tabs>
        <w:ind w:left="1134" w:hanging="567"/>
      </w:pPr>
    </w:lvl>
    <w:lvl w:ilvl="8">
      <w:start w:val="1"/>
      <w:numFmt w:val="lowerRoman"/>
      <w:lvlText w:val="%9."/>
      <w:lvlJc w:val="left"/>
      <w:pPr>
        <w:tabs>
          <w:tab w:val="num" w:pos="1701"/>
        </w:tabs>
        <w:ind w:left="1701" w:hanging="567"/>
      </w:pPr>
    </w:lvl>
  </w:abstractNum>
  <w:abstractNum w:abstractNumId="4" w15:restartNumberingAfterBreak="0">
    <w:nsid w:val="5F3A06F1"/>
    <w:multiLevelType w:val="multilevel"/>
    <w:tmpl w:val="014AF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da-DK" w:vendorID="64" w:dllVersion="0" w:nlCheck="1" w:checkStyle="0"/>
  <w:activeWritingStyle w:appName="MSWord" w:lang="de-DE" w:vendorID="64" w:dllVersion="0" w:nlCheck="1" w:checkStyle="0"/>
  <w:activeWritingStyle w:appName="MSWord" w:lang="fr-BE" w:vendorID="64" w:dllVersion="0" w:nlCheck="1" w:checkStyle="0"/>
  <w:activeWritingStyle w:appName="MSWord" w:lang="da-DK" w:vendorID="64" w:dllVersion="6"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de-DE" w:vendorID="64" w:dllVersion="131078" w:nlCheck="1" w:checkStyle="0"/>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6F5A7AF9-6455-4467-8868-716F7214BFF2"/>
    <w:docVar w:name="LW_COVERPAGE_TYPE" w:val="1"/>
    <w:docVar w:name="LW_CROSSREFERENCE" w:val="{SWD(2023) 76 final}"/>
    <w:docVar w:name="LW_DocType" w:val="NORMAL"/>
    <w:docVar w:name="LW_EMISSION" w:val="4.4.2023"/>
    <w:docVar w:name="LW_EMISSION_ISODATE" w:val="2023-04-04"/>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1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port on Competition Policy 2022"/>
    <w:docVar w:name="LW_TYPE.DOC.CP" w:val="REPORT FROM THE COMMISSION"/>
    <w:docVar w:name="LwApiVersions" w:val="LW4CoDe 1.23.2.0; LW 8.0, Build 20211117"/>
  </w:docVars>
  <w:rsids>
    <w:rsidRoot w:val="00103038"/>
    <w:rsid w:val="0000052D"/>
    <w:rsid w:val="0000076F"/>
    <w:rsid w:val="00003538"/>
    <w:rsid w:val="00003D88"/>
    <w:rsid w:val="00003F80"/>
    <w:rsid w:val="0001175F"/>
    <w:rsid w:val="00012C99"/>
    <w:rsid w:val="00013C68"/>
    <w:rsid w:val="00014534"/>
    <w:rsid w:val="000162FD"/>
    <w:rsid w:val="00021625"/>
    <w:rsid w:val="00021A3D"/>
    <w:rsid w:val="000258EE"/>
    <w:rsid w:val="00026907"/>
    <w:rsid w:val="00027E9F"/>
    <w:rsid w:val="0003201D"/>
    <w:rsid w:val="00032672"/>
    <w:rsid w:val="0003583B"/>
    <w:rsid w:val="00040E6D"/>
    <w:rsid w:val="00043A6F"/>
    <w:rsid w:val="00043F42"/>
    <w:rsid w:val="00044A97"/>
    <w:rsid w:val="00046CB1"/>
    <w:rsid w:val="0005163D"/>
    <w:rsid w:val="00052D6E"/>
    <w:rsid w:val="00054360"/>
    <w:rsid w:val="0005520E"/>
    <w:rsid w:val="00060B6A"/>
    <w:rsid w:val="00060EE1"/>
    <w:rsid w:val="000637D8"/>
    <w:rsid w:val="00064769"/>
    <w:rsid w:val="00070B65"/>
    <w:rsid w:val="0007617E"/>
    <w:rsid w:val="000815E6"/>
    <w:rsid w:val="00081FFD"/>
    <w:rsid w:val="00083624"/>
    <w:rsid w:val="00083947"/>
    <w:rsid w:val="000841D2"/>
    <w:rsid w:val="00092F29"/>
    <w:rsid w:val="000931DD"/>
    <w:rsid w:val="00093387"/>
    <w:rsid w:val="00094CBF"/>
    <w:rsid w:val="00095691"/>
    <w:rsid w:val="00095880"/>
    <w:rsid w:val="000959AB"/>
    <w:rsid w:val="00096E62"/>
    <w:rsid w:val="000A1C54"/>
    <w:rsid w:val="000A20F4"/>
    <w:rsid w:val="000A308D"/>
    <w:rsid w:val="000A6CCC"/>
    <w:rsid w:val="000A7202"/>
    <w:rsid w:val="000B0528"/>
    <w:rsid w:val="000B3A60"/>
    <w:rsid w:val="000B4EAB"/>
    <w:rsid w:val="000B5B74"/>
    <w:rsid w:val="000B5DF2"/>
    <w:rsid w:val="000C0AD6"/>
    <w:rsid w:val="000C2433"/>
    <w:rsid w:val="000C2CE2"/>
    <w:rsid w:val="000C3744"/>
    <w:rsid w:val="000C6A00"/>
    <w:rsid w:val="000D3B7C"/>
    <w:rsid w:val="000D48A8"/>
    <w:rsid w:val="000D49E9"/>
    <w:rsid w:val="000D6E28"/>
    <w:rsid w:val="000E01AD"/>
    <w:rsid w:val="000E073D"/>
    <w:rsid w:val="000E1CC8"/>
    <w:rsid w:val="000E2ECD"/>
    <w:rsid w:val="000E3859"/>
    <w:rsid w:val="000E3ECD"/>
    <w:rsid w:val="000E571A"/>
    <w:rsid w:val="000E6BD3"/>
    <w:rsid w:val="000E7581"/>
    <w:rsid w:val="000F17A2"/>
    <w:rsid w:val="000F1ACA"/>
    <w:rsid w:val="000F2AF5"/>
    <w:rsid w:val="000F5720"/>
    <w:rsid w:val="000F5E43"/>
    <w:rsid w:val="00100B33"/>
    <w:rsid w:val="00101072"/>
    <w:rsid w:val="00103038"/>
    <w:rsid w:val="00103478"/>
    <w:rsid w:val="001067B0"/>
    <w:rsid w:val="00106F62"/>
    <w:rsid w:val="00111DCA"/>
    <w:rsid w:val="00112F7D"/>
    <w:rsid w:val="0011336A"/>
    <w:rsid w:val="00114039"/>
    <w:rsid w:val="00117133"/>
    <w:rsid w:val="0011750D"/>
    <w:rsid w:val="00121FC7"/>
    <w:rsid w:val="00125E02"/>
    <w:rsid w:val="00127B17"/>
    <w:rsid w:val="0013325F"/>
    <w:rsid w:val="0013754B"/>
    <w:rsid w:val="001378CD"/>
    <w:rsid w:val="001412EE"/>
    <w:rsid w:val="00143562"/>
    <w:rsid w:val="00144D26"/>
    <w:rsid w:val="0014582D"/>
    <w:rsid w:val="00147761"/>
    <w:rsid w:val="00147889"/>
    <w:rsid w:val="0015083F"/>
    <w:rsid w:val="00150DE9"/>
    <w:rsid w:val="00153C1A"/>
    <w:rsid w:val="0015496F"/>
    <w:rsid w:val="00156154"/>
    <w:rsid w:val="00156DA5"/>
    <w:rsid w:val="00156E5E"/>
    <w:rsid w:val="00156F46"/>
    <w:rsid w:val="0015711B"/>
    <w:rsid w:val="00162181"/>
    <w:rsid w:val="00164B7F"/>
    <w:rsid w:val="0016545C"/>
    <w:rsid w:val="0016640A"/>
    <w:rsid w:val="001672E2"/>
    <w:rsid w:val="0017027E"/>
    <w:rsid w:val="00170401"/>
    <w:rsid w:val="001704B0"/>
    <w:rsid w:val="001721F8"/>
    <w:rsid w:val="00172CF7"/>
    <w:rsid w:val="0017492E"/>
    <w:rsid w:val="00177321"/>
    <w:rsid w:val="0017765D"/>
    <w:rsid w:val="0018122F"/>
    <w:rsid w:val="00181D53"/>
    <w:rsid w:val="00184C04"/>
    <w:rsid w:val="00185E58"/>
    <w:rsid w:val="0018779C"/>
    <w:rsid w:val="00191519"/>
    <w:rsid w:val="00192FF7"/>
    <w:rsid w:val="00193A19"/>
    <w:rsid w:val="00193AEC"/>
    <w:rsid w:val="00193FF4"/>
    <w:rsid w:val="00195510"/>
    <w:rsid w:val="00196634"/>
    <w:rsid w:val="001A19A8"/>
    <w:rsid w:val="001A2B60"/>
    <w:rsid w:val="001A4BF6"/>
    <w:rsid w:val="001A6BF5"/>
    <w:rsid w:val="001B0318"/>
    <w:rsid w:val="001B1C17"/>
    <w:rsid w:val="001B1DB7"/>
    <w:rsid w:val="001B28BE"/>
    <w:rsid w:val="001B31E9"/>
    <w:rsid w:val="001B3687"/>
    <w:rsid w:val="001B399A"/>
    <w:rsid w:val="001B490B"/>
    <w:rsid w:val="001B57A5"/>
    <w:rsid w:val="001B5D0A"/>
    <w:rsid w:val="001B7EA8"/>
    <w:rsid w:val="001C125E"/>
    <w:rsid w:val="001C1E03"/>
    <w:rsid w:val="001C25B8"/>
    <w:rsid w:val="001C3815"/>
    <w:rsid w:val="001C7799"/>
    <w:rsid w:val="001D27D7"/>
    <w:rsid w:val="001D2E3A"/>
    <w:rsid w:val="001E4131"/>
    <w:rsid w:val="001E5984"/>
    <w:rsid w:val="001F0438"/>
    <w:rsid w:val="001F1D82"/>
    <w:rsid w:val="001F2772"/>
    <w:rsid w:val="001F30D5"/>
    <w:rsid w:val="001F4486"/>
    <w:rsid w:val="001F4C9C"/>
    <w:rsid w:val="001F5732"/>
    <w:rsid w:val="001F5C49"/>
    <w:rsid w:val="002020CD"/>
    <w:rsid w:val="002030D7"/>
    <w:rsid w:val="00203371"/>
    <w:rsid w:val="00204E82"/>
    <w:rsid w:val="0020524F"/>
    <w:rsid w:val="00206A1C"/>
    <w:rsid w:val="002073EE"/>
    <w:rsid w:val="00211367"/>
    <w:rsid w:val="002121D7"/>
    <w:rsid w:val="00213A67"/>
    <w:rsid w:val="002149E0"/>
    <w:rsid w:val="002162EC"/>
    <w:rsid w:val="00216F5E"/>
    <w:rsid w:val="00217737"/>
    <w:rsid w:val="002215D7"/>
    <w:rsid w:val="00222CCB"/>
    <w:rsid w:val="00222E2D"/>
    <w:rsid w:val="0022669C"/>
    <w:rsid w:val="00227CC1"/>
    <w:rsid w:val="00230CAE"/>
    <w:rsid w:val="00232CEE"/>
    <w:rsid w:val="00233A28"/>
    <w:rsid w:val="002356E6"/>
    <w:rsid w:val="002403CB"/>
    <w:rsid w:val="00242007"/>
    <w:rsid w:val="0024395A"/>
    <w:rsid w:val="002520E2"/>
    <w:rsid w:val="00256948"/>
    <w:rsid w:val="00257B7D"/>
    <w:rsid w:val="00262118"/>
    <w:rsid w:val="00262224"/>
    <w:rsid w:val="00262820"/>
    <w:rsid w:val="002647F5"/>
    <w:rsid w:val="00265F55"/>
    <w:rsid w:val="002660E7"/>
    <w:rsid w:val="00266297"/>
    <w:rsid w:val="00266675"/>
    <w:rsid w:val="00266A78"/>
    <w:rsid w:val="00267E7C"/>
    <w:rsid w:val="0027156C"/>
    <w:rsid w:val="00272390"/>
    <w:rsid w:val="00272DBA"/>
    <w:rsid w:val="002751FE"/>
    <w:rsid w:val="00275F15"/>
    <w:rsid w:val="002844C0"/>
    <w:rsid w:val="00284664"/>
    <w:rsid w:val="002865F0"/>
    <w:rsid w:val="00290E56"/>
    <w:rsid w:val="002933ED"/>
    <w:rsid w:val="002946F1"/>
    <w:rsid w:val="002961AB"/>
    <w:rsid w:val="002963A3"/>
    <w:rsid w:val="00296BBF"/>
    <w:rsid w:val="002A00D3"/>
    <w:rsid w:val="002A17B3"/>
    <w:rsid w:val="002A1BE2"/>
    <w:rsid w:val="002A29D3"/>
    <w:rsid w:val="002A4619"/>
    <w:rsid w:val="002A46E3"/>
    <w:rsid w:val="002A548B"/>
    <w:rsid w:val="002A70E7"/>
    <w:rsid w:val="002A7179"/>
    <w:rsid w:val="002A7AB4"/>
    <w:rsid w:val="002A7CD9"/>
    <w:rsid w:val="002B1799"/>
    <w:rsid w:val="002B1AC4"/>
    <w:rsid w:val="002B1DF0"/>
    <w:rsid w:val="002B3ED3"/>
    <w:rsid w:val="002B66CC"/>
    <w:rsid w:val="002B6A75"/>
    <w:rsid w:val="002C1667"/>
    <w:rsid w:val="002C30D2"/>
    <w:rsid w:val="002C31AF"/>
    <w:rsid w:val="002C3403"/>
    <w:rsid w:val="002C45F7"/>
    <w:rsid w:val="002C5F97"/>
    <w:rsid w:val="002D0C94"/>
    <w:rsid w:val="002D16E3"/>
    <w:rsid w:val="002D219A"/>
    <w:rsid w:val="002D2F03"/>
    <w:rsid w:val="002D38DE"/>
    <w:rsid w:val="002D471C"/>
    <w:rsid w:val="002D4ACE"/>
    <w:rsid w:val="002D6204"/>
    <w:rsid w:val="002D6601"/>
    <w:rsid w:val="002D793A"/>
    <w:rsid w:val="002E3224"/>
    <w:rsid w:val="002E42AA"/>
    <w:rsid w:val="002E6278"/>
    <w:rsid w:val="002E70F2"/>
    <w:rsid w:val="002F08DC"/>
    <w:rsid w:val="002F09F8"/>
    <w:rsid w:val="002F4ED2"/>
    <w:rsid w:val="002F5BE8"/>
    <w:rsid w:val="002F6781"/>
    <w:rsid w:val="00301761"/>
    <w:rsid w:val="00302C87"/>
    <w:rsid w:val="003049E0"/>
    <w:rsid w:val="0031064B"/>
    <w:rsid w:val="00312DBF"/>
    <w:rsid w:val="00314A89"/>
    <w:rsid w:val="0031769B"/>
    <w:rsid w:val="0032237B"/>
    <w:rsid w:val="003235AF"/>
    <w:rsid w:val="003245DD"/>
    <w:rsid w:val="00325B11"/>
    <w:rsid w:val="00327F71"/>
    <w:rsid w:val="00330091"/>
    <w:rsid w:val="00331449"/>
    <w:rsid w:val="0033173E"/>
    <w:rsid w:val="00331BC1"/>
    <w:rsid w:val="0033617B"/>
    <w:rsid w:val="00341993"/>
    <w:rsid w:val="003422CC"/>
    <w:rsid w:val="003435AC"/>
    <w:rsid w:val="0034439C"/>
    <w:rsid w:val="00344754"/>
    <w:rsid w:val="00346D74"/>
    <w:rsid w:val="00346D7B"/>
    <w:rsid w:val="00346F3C"/>
    <w:rsid w:val="00347ABF"/>
    <w:rsid w:val="00350888"/>
    <w:rsid w:val="00351591"/>
    <w:rsid w:val="00351EF6"/>
    <w:rsid w:val="0035209E"/>
    <w:rsid w:val="0035281B"/>
    <w:rsid w:val="0035670A"/>
    <w:rsid w:val="0035678D"/>
    <w:rsid w:val="00360329"/>
    <w:rsid w:val="003603BA"/>
    <w:rsid w:val="003612CD"/>
    <w:rsid w:val="003641C3"/>
    <w:rsid w:val="00370192"/>
    <w:rsid w:val="003703FD"/>
    <w:rsid w:val="00370F09"/>
    <w:rsid w:val="00372523"/>
    <w:rsid w:val="00373ED3"/>
    <w:rsid w:val="00375718"/>
    <w:rsid w:val="0037668B"/>
    <w:rsid w:val="00385A62"/>
    <w:rsid w:val="0038605C"/>
    <w:rsid w:val="00391C38"/>
    <w:rsid w:val="00391E8F"/>
    <w:rsid w:val="0039238A"/>
    <w:rsid w:val="00393118"/>
    <w:rsid w:val="003938E2"/>
    <w:rsid w:val="00395A71"/>
    <w:rsid w:val="0039665D"/>
    <w:rsid w:val="00397E9C"/>
    <w:rsid w:val="003A0069"/>
    <w:rsid w:val="003A25D2"/>
    <w:rsid w:val="003A36B3"/>
    <w:rsid w:val="003A3B08"/>
    <w:rsid w:val="003A4D0E"/>
    <w:rsid w:val="003A583D"/>
    <w:rsid w:val="003A7DDD"/>
    <w:rsid w:val="003B138E"/>
    <w:rsid w:val="003B1FCE"/>
    <w:rsid w:val="003B3FCE"/>
    <w:rsid w:val="003B4B12"/>
    <w:rsid w:val="003C22D3"/>
    <w:rsid w:val="003C2305"/>
    <w:rsid w:val="003C30E6"/>
    <w:rsid w:val="003C4D39"/>
    <w:rsid w:val="003C69D9"/>
    <w:rsid w:val="003C7685"/>
    <w:rsid w:val="003C7AE7"/>
    <w:rsid w:val="003D0E81"/>
    <w:rsid w:val="003D1005"/>
    <w:rsid w:val="003D1BA7"/>
    <w:rsid w:val="003D2826"/>
    <w:rsid w:val="003D67AA"/>
    <w:rsid w:val="003D6C9C"/>
    <w:rsid w:val="003E3886"/>
    <w:rsid w:val="003E3AB2"/>
    <w:rsid w:val="003E4269"/>
    <w:rsid w:val="003E470B"/>
    <w:rsid w:val="003F0677"/>
    <w:rsid w:val="003F1F1C"/>
    <w:rsid w:val="003F48EE"/>
    <w:rsid w:val="003F576C"/>
    <w:rsid w:val="003F5E04"/>
    <w:rsid w:val="004008C6"/>
    <w:rsid w:val="00402FF0"/>
    <w:rsid w:val="00407CB1"/>
    <w:rsid w:val="004115C4"/>
    <w:rsid w:val="004131CD"/>
    <w:rsid w:val="0041348D"/>
    <w:rsid w:val="0041412A"/>
    <w:rsid w:val="00414738"/>
    <w:rsid w:val="00414F66"/>
    <w:rsid w:val="00415845"/>
    <w:rsid w:val="0042301E"/>
    <w:rsid w:val="004240EA"/>
    <w:rsid w:val="00424AF8"/>
    <w:rsid w:val="0042625E"/>
    <w:rsid w:val="00426D21"/>
    <w:rsid w:val="00426D5B"/>
    <w:rsid w:val="00427C61"/>
    <w:rsid w:val="00431C8A"/>
    <w:rsid w:val="00435F70"/>
    <w:rsid w:val="004379F1"/>
    <w:rsid w:val="00440EC5"/>
    <w:rsid w:val="00442072"/>
    <w:rsid w:val="00442157"/>
    <w:rsid w:val="004434A4"/>
    <w:rsid w:val="0044643C"/>
    <w:rsid w:val="0045641F"/>
    <w:rsid w:val="00457AF8"/>
    <w:rsid w:val="004630AF"/>
    <w:rsid w:val="00463302"/>
    <w:rsid w:val="00465498"/>
    <w:rsid w:val="00465743"/>
    <w:rsid w:val="00465FC0"/>
    <w:rsid w:val="0046600D"/>
    <w:rsid w:val="004664D9"/>
    <w:rsid w:val="00466E6B"/>
    <w:rsid w:val="00467016"/>
    <w:rsid w:val="00467C50"/>
    <w:rsid w:val="004709CF"/>
    <w:rsid w:val="00470B2A"/>
    <w:rsid w:val="00471481"/>
    <w:rsid w:val="004735C5"/>
    <w:rsid w:val="00474EAB"/>
    <w:rsid w:val="00476397"/>
    <w:rsid w:val="00476545"/>
    <w:rsid w:val="00477107"/>
    <w:rsid w:val="0047782E"/>
    <w:rsid w:val="00481BC1"/>
    <w:rsid w:val="00492CA0"/>
    <w:rsid w:val="00494017"/>
    <w:rsid w:val="00494482"/>
    <w:rsid w:val="00495061"/>
    <w:rsid w:val="004963F4"/>
    <w:rsid w:val="00497591"/>
    <w:rsid w:val="004A3573"/>
    <w:rsid w:val="004B5511"/>
    <w:rsid w:val="004B766F"/>
    <w:rsid w:val="004C2DB5"/>
    <w:rsid w:val="004C51F8"/>
    <w:rsid w:val="004C58B4"/>
    <w:rsid w:val="004C6634"/>
    <w:rsid w:val="004D0CDD"/>
    <w:rsid w:val="004D29B6"/>
    <w:rsid w:val="004D3166"/>
    <w:rsid w:val="004D34C6"/>
    <w:rsid w:val="004D7803"/>
    <w:rsid w:val="004E28D3"/>
    <w:rsid w:val="004E32BE"/>
    <w:rsid w:val="004E7B52"/>
    <w:rsid w:val="004F00BC"/>
    <w:rsid w:val="004F0103"/>
    <w:rsid w:val="004F096E"/>
    <w:rsid w:val="004F3A34"/>
    <w:rsid w:val="004F5771"/>
    <w:rsid w:val="004F59EB"/>
    <w:rsid w:val="0050267B"/>
    <w:rsid w:val="005032D8"/>
    <w:rsid w:val="005034AD"/>
    <w:rsid w:val="00505E58"/>
    <w:rsid w:val="005065E5"/>
    <w:rsid w:val="00506E55"/>
    <w:rsid w:val="00507160"/>
    <w:rsid w:val="0050736F"/>
    <w:rsid w:val="005153C8"/>
    <w:rsid w:val="005243CC"/>
    <w:rsid w:val="00524489"/>
    <w:rsid w:val="00524BD6"/>
    <w:rsid w:val="00530E14"/>
    <w:rsid w:val="00530F6C"/>
    <w:rsid w:val="00532950"/>
    <w:rsid w:val="00533F5B"/>
    <w:rsid w:val="00534724"/>
    <w:rsid w:val="00540B2D"/>
    <w:rsid w:val="00540B93"/>
    <w:rsid w:val="0054101F"/>
    <w:rsid w:val="00541190"/>
    <w:rsid w:val="005412BA"/>
    <w:rsid w:val="00542B11"/>
    <w:rsid w:val="00543AE0"/>
    <w:rsid w:val="00544E42"/>
    <w:rsid w:val="00545E99"/>
    <w:rsid w:val="00550CAB"/>
    <w:rsid w:val="005529FD"/>
    <w:rsid w:val="00552BF0"/>
    <w:rsid w:val="00555BA1"/>
    <w:rsid w:val="0056040B"/>
    <w:rsid w:val="00561D73"/>
    <w:rsid w:val="00562635"/>
    <w:rsid w:val="00563A7D"/>
    <w:rsid w:val="00563CD7"/>
    <w:rsid w:val="005654EE"/>
    <w:rsid w:val="005658FD"/>
    <w:rsid w:val="005706C5"/>
    <w:rsid w:val="0057193F"/>
    <w:rsid w:val="00573DDD"/>
    <w:rsid w:val="005740D2"/>
    <w:rsid w:val="00574A9D"/>
    <w:rsid w:val="005778BF"/>
    <w:rsid w:val="00577FE3"/>
    <w:rsid w:val="0058211F"/>
    <w:rsid w:val="005835CC"/>
    <w:rsid w:val="005859F1"/>
    <w:rsid w:val="00590056"/>
    <w:rsid w:val="0059323B"/>
    <w:rsid w:val="00594255"/>
    <w:rsid w:val="00596602"/>
    <w:rsid w:val="005A2464"/>
    <w:rsid w:val="005A25EE"/>
    <w:rsid w:val="005A2E18"/>
    <w:rsid w:val="005A4A32"/>
    <w:rsid w:val="005A4F3A"/>
    <w:rsid w:val="005A7E6E"/>
    <w:rsid w:val="005B1BDA"/>
    <w:rsid w:val="005B3199"/>
    <w:rsid w:val="005B4ED5"/>
    <w:rsid w:val="005B617D"/>
    <w:rsid w:val="005B6252"/>
    <w:rsid w:val="005B710E"/>
    <w:rsid w:val="005B76B9"/>
    <w:rsid w:val="005C0764"/>
    <w:rsid w:val="005C0E0E"/>
    <w:rsid w:val="005C24D2"/>
    <w:rsid w:val="005C3B51"/>
    <w:rsid w:val="005C4687"/>
    <w:rsid w:val="005C6163"/>
    <w:rsid w:val="005C6B5A"/>
    <w:rsid w:val="005C7111"/>
    <w:rsid w:val="005C77DE"/>
    <w:rsid w:val="005C7867"/>
    <w:rsid w:val="005D147B"/>
    <w:rsid w:val="005D25CE"/>
    <w:rsid w:val="005D417F"/>
    <w:rsid w:val="005E0E5A"/>
    <w:rsid w:val="005E1599"/>
    <w:rsid w:val="005E16D4"/>
    <w:rsid w:val="005E4490"/>
    <w:rsid w:val="005E4D0E"/>
    <w:rsid w:val="005E52AF"/>
    <w:rsid w:val="005F54DA"/>
    <w:rsid w:val="005F6971"/>
    <w:rsid w:val="005F78FF"/>
    <w:rsid w:val="00602379"/>
    <w:rsid w:val="00603EDB"/>
    <w:rsid w:val="00610434"/>
    <w:rsid w:val="00611665"/>
    <w:rsid w:val="0061217E"/>
    <w:rsid w:val="006129A1"/>
    <w:rsid w:val="006139E9"/>
    <w:rsid w:val="00613A5C"/>
    <w:rsid w:val="0061448B"/>
    <w:rsid w:val="00615B56"/>
    <w:rsid w:val="00620945"/>
    <w:rsid w:val="00620BE1"/>
    <w:rsid w:val="0062169B"/>
    <w:rsid w:val="0062301C"/>
    <w:rsid w:val="00625310"/>
    <w:rsid w:val="00625470"/>
    <w:rsid w:val="00627FAF"/>
    <w:rsid w:val="006309B8"/>
    <w:rsid w:val="00633D01"/>
    <w:rsid w:val="00635873"/>
    <w:rsid w:val="006372E3"/>
    <w:rsid w:val="0063749D"/>
    <w:rsid w:val="00637D43"/>
    <w:rsid w:val="00641E39"/>
    <w:rsid w:val="00644912"/>
    <w:rsid w:val="0064650E"/>
    <w:rsid w:val="006509AE"/>
    <w:rsid w:val="00651947"/>
    <w:rsid w:val="00651E85"/>
    <w:rsid w:val="006529BD"/>
    <w:rsid w:val="006544C2"/>
    <w:rsid w:val="00656CF4"/>
    <w:rsid w:val="006624B7"/>
    <w:rsid w:val="00663050"/>
    <w:rsid w:val="00663D86"/>
    <w:rsid w:val="00664684"/>
    <w:rsid w:val="00664805"/>
    <w:rsid w:val="006648BB"/>
    <w:rsid w:val="006675F4"/>
    <w:rsid w:val="00670121"/>
    <w:rsid w:val="00671043"/>
    <w:rsid w:val="00671D72"/>
    <w:rsid w:val="006727BF"/>
    <w:rsid w:val="006728B9"/>
    <w:rsid w:val="00673168"/>
    <w:rsid w:val="006735CD"/>
    <w:rsid w:val="0067376A"/>
    <w:rsid w:val="006745D5"/>
    <w:rsid w:val="006749AB"/>
    <w:rsid w:val="00676462"/>
    <w:rsid w:val="00676690"/>
    <w:rsid w:val="00677847"/>
    <w:rsid w:val="00680E2F"/>
    <w:rsid w:val="00681886"/>
    <w:rsid w:val="00683171"/>
    <w:rsid w:val="0068341B"/>
    <w:rsid w:val="006835CD"/>
    <w:rsid w:val="00683C51"/>
    <w:rsid w:val="00686497"/>
    <w:rsid w:val="00686B57"/>
    <w:rsid w:val="006933CF"/>
    <w:rsid w:val="00694E12"/>
    <w:rsid w:val="00695B50"/>
    <w:rsid w:val="00697E7D"/>
    <w:rsid w:val="006A4D99"/>
    <w:rsid w:val="006A676E"/>
    <w:rsid w:val="006B0CEA"/>
    <w:rsid w:val="006B131C"/>
    <w:rsid w:val="006B29C1"/>
    <w:rsid w:val="006B2DF8"/>
    <w:rsid w:val="006B46EB"/>
    <w:rsid w:val="006C33AD"/>
    <w:rsid w:val="006C3A40"/>
    <w:rsid w:val="006C4E63"/>
    <w:rsid w:val="006D20E4"/>
    <w:rsid w:val="006E0493"/>
    <w:rsid w:val="006E0AC1"/>
    <w:rsid w:val="006E2A63"/>
    <w:rsid w:val="006E30FA"/>
    <w:rsid w:val="006E40BE"/>
    <w:rsid w:val="006E4A59"/>
    <w:rsid w:val="006E52EF"/>
    <w:rsid w:val="006E70BE"/>
    <w:rsid w:val="006E774E"/>
    <w:rsid w:val="006F25C6"/>
    <w:rsid w:val="006F2E2B"/>
    <w:rsid w:val="006F5A9E"/>
    <w:rsid w:val="006F6B2F"/>
    <w:rsid w:val="006F6C15"/>
    <w:rsid w:val="006F6DDE"/>
    <w:rsid w:val="00703779"/>
    <w:rsid w:val="007072BB"/>
    <w:rsid w:val="00707FA6"/>
    <w:rsid w:val="007113FE"/>
    <w:rsid w:val="00712942"/>
    <w:rsid w:val="00712CE1"/>
    <w:rsid w:val="007131C2"/>
    <w:rsid w:val="007147F2"/>
    <w:rsid w:val="00715266"/>
    <w:rsid w:val="007162AD"/>
    <w:rsid w:val="00716342"/>
    <w:rsid w:val="00716903"/>
    <w:rsid w:val="00717691"/>
    <w:rsid w:val="0072173E"/>
    <w:rsid w:val="00721A36"/>
    <w:rsid w:val="00722AFC"/>
    <w:rsid w:val="00722BE3"/>
    <w:rsid w:val="00724160"/>
    <w:rsid w:val="0072656D"/>
    <w:rsid w:val="007307B9"/>
    <w:rsid w:val="007308FC"/>
    <w:rsid w:val="00731603"/>
    <w:rsid w:val="0073224E"/>
    <w:rsid w:val="00732A54"/>
    <w:rsid w:val="00732C4A"/>
    <w:rsid w:val="00733E48"/>
    <w:rsid w:val="00734A4E"/>
    <w:rsid w:val="00735FCF"/>
    <w:rsid w:val="0073660D"/>
    <w:rsid w:val="00737307"/>
    <w:rsid w:val="00740771"/>
    <w:rsid w:val="00741233"/>
    <w:rsid w:val="007436A3"/>
    <w:rsid w:val="0074434C"/>
    <w:rsid w:val="007470CC"/>
    <w:rsid w:val="00750674"/>
    <w:rsid w:val="00751C61"/>
    <w:rsid w:val="00752281"/>
    <w:rsid w:val="00752404"/>
    <w:rsid w:val="00752D72"/>
    <w:rsid w:val="00753492"/>
    <w:rsid w:val="007557BB"/>
    <w:rsid w:val="00755A69"/>
    <w:rsid w:val="00757C41"/>
    <w:rsid w:val="0076090E"/>
    <w:rsid w:val="007620C5"/>
    <w:rsid w:val="00763C49"/>
    <w:rsid w:val="0076417E"/>
    <w:rsid w:val="00764C00"/>
    <w:rsid w:val="00765825"/>
    <w:rsid w:val="00766B1C"/>
    <w:rsid w:val="00767477"/>
    <w:rsid w:val="0076760F"/>
    <w:rsid w:val="00767938"/>
    <w:rsid w:val="00771810"/>
    <w:rsid w:val="00772BA1"/>
    <w:rsid w:val="007732E2"/>
    <w:rsid w:val="00776EE5"/>
    <w:rsid w:val="007821FF"/>
    <w:rsid w:val="00786875"/>
    <w:rsid w:val="00790D75"/>
    <w:rsid w:val="007926E1"/>
    <w:rsid w:val="0079321F"/>
    <w:rsid w:val="007959C0"/>
    <w:rsid w:val="00795B27"/>
    <w:rsid w:val="007A0D47"/>
    <w:rsid w:val="007A2C9F"/>
    <w:rsid w:val="007A3843"/>
    <w:rsid w:val="007A6947"/>
    <w:rsid w:val="007A7284"/>
    <w:rsid w:val="007B01BB"/>
    <w:rsid w:val="007B0FA5"/>
    <w:rsid w:val="007B1914"/>
    <w:rsid w:val="007B4F1E"/>
    <w:rsid w:val="007B5EE1"/>
    <w:rsid w:val="007B5F59"/>
    <w:rsid w:val="007B6309"/>
    <w:rsid w:val="007B6A9F"/>
    <w:rsid w:val="007B712C"/>
    <w:rsid w:val="007C10AA"/>
    <w:rsid w:val="007C393B"/>
    <w:rsid w:val="007C49EF"/>
    <w:rsid w:val="007C5D0D"/>
    <w:rsid w:val="007C7637"/>
    <w:rsid w:val="007C78B3"/>
    <w:rsid w:val="007D5F75"/>
    <w:rsid w:val="007D7490"/>
    <w:rsid w:val="007D7DB1"/>
    <w:rsid w:val="007D7EB1"/>
    <w:rsid w:val="007E0575"/>
    <w:rsid w:val="007E410C"/>
    <w:rsid w:val="007E6D94"/>
    <w:rsid w:val="007F04E2"/>
    <w:rsid w:val="007F2533"/>
    <w:rsid w:val="007F3BAF"/>
    <w:rsid w:val="007F3E94"/>
    <w:rsid w:val="007F4EFA"/>
    <w:rsid w:val="007F5C3E"/>
    <w:rsid w:val="00803F26"/>
    <w:rsid w:val="00805BC9"/>
    <w:rsid w:val="008066FE"/>
    <w:rsid w:val="00807550"/>
    <w:rsid w:val="00810D4C"/>
    <w:rsid w:val="008128A5"/>
    <w:rsid w:val="00812985"/>
    <w:rsid w:val="00813489"/>
    <w:rsid w:val="008145CE"/>
    <w:rsid w:val="0081520B"/>
    <w:rsid w:val="008200F8"/>
    <w:rsid w:val="008219B4"/>
    <w:rsid w:val="00821D1C"/>
    <w:rsid w:val="00823665"/>
    <w:rsid w:val="00824751"/>
    <w:rsid w:val="00825D65"/>
    <w:rsid w:val="008261DC"/>
    <w:rsid w:val="00831260"/>
    <w:rsid w:val="0083253E"/>
    <w:rsid w:val="008347B0"/>
    <w:rsid w:val="0083497B"/>
    <w:rsid w:val="00834FDA"/>
    <w:rsid w:val="00836AED"/>
    <w:rsid w:val="00836E8B"/>
    <w:rsid w:val="00841162"/>
    <w:rsid w:val="00845994"/>
    <w:rsid w:val="00850E88"/>
    <w:rsid w:val="00851690"/>
    <w:rsid w:val="00851FB4"/>
    <w:rsid w:val="00853CD4"/>
    <w:rsid w:val="00853F3B"/>
    <w:rsid w:val="00857E5E"/>
    <w:rsid w:val="00862BF7"/>
    <w:rsid w:val="00863526"/>
    <w:rsid w:val="00863CDA"/>
    <w:rsid w:val="00865159"/>
    <w:rsid w:val="0086684F"/>
    <w:rsid w:val="00867855"/>
    <w:rsid w:val="0086791B"/>
    <w:rsid w:val="00870A7C"/>
    <w:rsid w:val="00872989"/>
    <w:rsid w:val="008828F2"/>
    <w:rsid w:val="008839EF"/>
    <w:rsid w:val="00890E29"/>
    <w:rsid w:val="008941AC"/>
    <w:rsid w:val="00895F41"/>
    <w:rsid w:val="0089748A"/>
    <w:rsid w:val="008A02F2"/>
    <w:rsid w:val="008A120D"/>
    <w:rsid w:val="008A122E"/>
    <w:rsid w:val="008A4946"/>
    <w:rsid w:val="008A60E7"/>
    <w:rsid w:val="008A6180"/>
    <w:rsid w:val="008A67E2"/>
    <w:rsid w:val="008A6965"/>
    <w:rsid w:val="008A6B23"/>
    <w:rsid w:val="008B0CF0"/>
    <w:rsid w:val="008B72E9"/>
    <w:rsid w:val="008B7478"/>
    <w:rsid w:val="008B7E3A"/>
    <w:rsid w:val="008C2D0B"/>
    <w:rsid w:val="008C3B7C"/>
    <w:rsid w:val="008C5161"/>
    <w:rsid w:val="008C756D"/>
    <w:rsid w:val="008C7BBE"/>
    <w:rsid w:val="008D01CE"/>
    <w:rsid w:val="008D09CB"/>
    <w:rsid w:val="008D1296"/>
    <w:rsid w:val="008D20B2"/>
    <w:rsid w:val="008D25E1"/>
    <w:rsid w:val="008D3FBB"/>
    <w:rsid w:val="008D45B6"/>
    <w:rsid w:val="008D4B25"/>
    <w:rsid w:val="008D6940"/>
    <w:rsid w:val="008E3A35"/>
    <w:rsid w:val="008E3EF0"/>
    <w:rsid w:val="008E3EFF"/>
    <w:rsid w:val="008E49A2"/>
    <w:rsid w:val="008E7EC8"/>
    <w:rsid w:val="008F05A4"/>
    <w:rsid w:val="008F56A7"/>
    <w:rsid w:val="008F5D15"/>
    <w:rsid w:val="008F62A4"/>
    <w:rsid w:val="00900FA1"/>
    <w:rsid w:val="0090335B"/>
    <w:rsid w:val="009050BF"/>
    <w:rsid w:val="0090567B"/>
    <w:rsid w:val="009064F9"/>
    <w:rsid w:val="00906822"/>
    <w:rsid w:val="00906B19"/>
    <w:rsid w:val="009074C1"/>
    <w:rsid w:val="009132B7"/>
    <w:rsid w:val="009134D4"/>
    <w:rsid w:val="00913BFF"/>
    <w:rsid w:val="009142D0"/>
    <w:rsid w:val="009151AC"/>
    <w:rsid w:val="00916CD4"/>
    <w:rsid w:val="00920E9F"/>
    <w:rsid w:val="009220C6"/>
    <w:rsid w:val="00924E00"/>
    <w:rsid w:val="00930BFD"/>
    <w:rsid w:val="009333CF"/>
    <w:rsid w:val="00936609"/>
    <w:rsid w:val="00936D4A"/>
    <w:rsid w:val="00937013"/>
    <w:rsid w:val="00937722"/>
    <w:rsid w:val="009407AA"/>
    <w:rsid w:val="00940CEA"/>
    <w:rsid w:val="00941968"/>
    <w:rsid w:val="009432E8"/>
    <w:rsid w:val="009433E2"/>
    <w:rsid w:val="0094366F"/>
    <w:rsid w:val="009459B3"/>
    <w:rsid w:val="00950243"/>
    <w:rsid w:val="00951B1C"/>
    <w:rsid w:val="00952B9E"/>
    <w:rsid w:val="00952C3C"/>
    <w:rsid w:val="0095476B"/>
    <w:rsid w:val="00955057"/>
    <w:rsid w:val="00961021"/>
    <w:rsid w:val="009614E3"/>
    <w:rsid w:val="00967786"/>
    <w:rsid w:val="00967857"/>
    <w:rsid w:val="009715C4"/>
    <w:rsid w:val="009756B9"/>
    <w:rsid w:val="00975BC1"/>
    <w:rsid w:val="00977A47"/>
    <w:rsid w:val="0098124B"/>
    <w:rsid w:val="00981A7B"/>
    <w:rsid w:val="009901A5"/>
    <w:rsid w:val="00990CCC"/>
    <w:rsid w:val="0099470F"/>
    <w:rsid w:val="00994D6E"/>
    <w:rsid w:val="00995D9E"/>
    <w:rsid w:val="00995E7C"/>
    <w:rsid w:val="00997083"/>
    <w:rsid w:val="009971CC"/>
    <w:rsid w:val="009A1880"/>
    <w:rsid w:val="009A2B33"/>
    <w:rsid w:val="009A5CA8"/>
    <w:rsid w:val="009A6C23"/>
    <w:rsid w:val="009B0683"/>
    <w:rsid w:val="009B29FB"/>
    <w:rsid w:val="009B391B"/>
    <w:rsid w:val="009B3B7A"/>
    <w:rsid w:val="009B54C2"/>
    <w:rsid w:val="009C009E"/>
    <w:rsid w:val="009C291B"/>
    <w:rsid w:val="009C538A"/>
    <w:rsid w:val="009C63BD"/>
    <w:rsid w:val="009C70F3"/>
    <w:rsid w:val="009C726C"/>
    <w:rsid w:val="009C7B9B"/>
    <w:rsid w:val="009D1497"/>
    <w:rsid w:val="009D1F62"/>
    <w:rsid w:val="009D341C"/>
    <w:rsid w:val="009E13F1"/>
    <w:rsid w:val="009E1927"/>
    <w:rsid w:val="009E2C44"/>
    <w:rsid w:val="009E372E"/>
    <w:rsid w:val="009E3A23"/>
    <w:rsid w:val="009E5D0F"/>
    <w:rsid w:val="009F1B68"/>
    <w:rsid w:val="009F3D9D"/>
    <w:rsid w:val="009F3F2C"/>
    <w:rsid w:val="009F404B"/>
    <w:rsid w:val="009F4495"/>
    <w:rsid w:val="009F5BFC"/>
    <w:rsid w:val="009F60E2"/>
    <w:rsid w:val="009F65B6"/>
    <w:rsid w:val="009F6F24"/>
    <w:rsid w:val="009F7DA1"/>
    <w:rsid w:val="00A01FC4"/>
    <w:rsid w:val="00A02199"/>
    <w:rsid w:val="00A026A6"/>
    <w:rsid w:val="00A032B9"/>
    <w:rsid w:val="00A049FB"/>
    <w:rsid w:val="00A06FB1"/>
    <w:rsid w:val="00A07694"/>
    <w:rsid w:val="00A102B7"/>
    <w:rsid w:val="00A166D2"/>
    <w:rsid w:val="00A16D9C"/>
    <w:rsid w:val="00A20718"/>
    <w:rsid w:val="00A20FAE"/>
    <w:rsid w:val="00A22640"/>
    <w:rsid w:val="00A23C8E"/>
    <w:rsid w:val="00A247E0"/>
    <w:rsid w:val="00A250B1"/>
    <w:rsid w:val="00A26046"/>
    <w:rsid w:val="00A26269"/>
    <w:rsid w:val="00A26A20"/>
    <w:rsid w:val="00A305F8"/>
    <w:rsid w:val="00A34419"/>
    <w:rsid w:val="00A367CA"/>
    <w:rsid w:val="00A4061A"/>
    <w:rsid w:val="00A4151B"/>
    <w:rsid w:val="00A4196D"/>
    <w:rsid w:val="00A424E7"/>
    <w:rsid w:val="00A42678"/>
    <w:rsid w:val="00A428F0"/>
    <w:rsid w:val="00A42F6A"/>
    <w:rsid w:val="00A44955"/>
    <w:rsid w:val="00A45349"/>
    <w:rsid w:val="00A45C5D"/>
    <w:rsid w:val="00A4799E"/>
    <w:rsid w:val="00A519CD"/>
    <w:rsid w:val="00A526C7"/>
    <w:rsid w:val="00A537F8"/>
    <w:rsid w:val="00A541EA"/>
    <w:rsid w:val="00A547F6"/>
    <w:rsid w:val="00A574FB"/>
    <w:rsid w:val="00A57577"/>
    <w:rsid w:val="00A61CF5"/>
    <w:rsid w:val="00A63FBB"/>
    <w:rsid w:val="00A6586F"/>
    <w:rsid w:val="00A664A7"/>
    <w:rsid w:val="00A70D62"/>
    <w:rsid w:val="00A74EC7"/>
    <w:rsid w:val="00A75DF3"/>
    <w:rsid w:val="00A8033F"/>
    <w:rsid w:val="00A81487"/>
    <w:rsid w:val="00A82A11"/>
    <w:rsid w:val="00A847AB"/>
    <w:rsid w:val="00A8587B"/>
    <w:rsid w:val="00A862AB"/>
    <w:rsid w:val="00A86644"/>
    <w:rsid w:val="00A8792C"/>
    <w:rsid w:val="00A8799A"/>
    <w:rsid w:val="00A90101"/>
    <w:rsid w:val="00A94126"/>
    <w:rsid w:val="00A973D6"/>
    <w:rsid w:val="00AA07E5"/>
    <w:rsid w:val="00AA1280"/>
    <w:rsid w:val="00AA2418"/>
    <w:rsid w:val="00AA2F74"/>
    <w:rsid w:val="00AA53FA"/>
    <w:rsid w:val="00AA5AD7"/>
    <w:rsid w:val="00AA71A2"/>
    <w:rsid w:val="00AA79B2"/>
    <w:rsid w:val="00AB0957"/>
    <w:rsid w:val="00AB0E86"/>
    <w:rsid w:val="00AB161F"/>
    <w:rsid w:val="00AB2F12"/>
    <w:rsid w:val="00AB32EB"/>
    <w:rsid w:val="00AB34CA"/>
    <w:rsid w:val="00AB3CDD"/>
    <w:rsid w:val="00AB4F55"/>
    <w:rsid w:val="00AB7286"/>
    <w:rsid w:val="00AB742A"/>
    <w:rsid w:val="00AC0E34"/>
    <w:rsid w:val="00AC1C3B"/>
    <w:rsid w:val="00AC2B37"/>
    <w:rsid w:val="00AC41F1"/>
    <w:rsid w:val="00AC4BAB"/>
    <w:rsid w:val="00AC5485"/>
    <w:rsid w:val="00AC5493"/>
    <w:rsid w:val="00AC638B"/>
    <w:rsid w:val="00AD09F3"/>
    <w:rsid w:val="00AD2A16"/>
    <w:rsid w:val="00AD32A2"/>
    <w:rsid w:val="00AD3D78"/>
    <w:rsid w:val="00AD417F"/>
    <w:rsid w:val="00AD4CFB"/>
    <w:rsid w:val="00AE1078"/>
    <w:rsid w:val="00AE2A20"/>
    <w:rsid w:val="00AE2A5D"/>
    <w:rsid w:val="00AE3144"/>
    <w:rsid w:val="00AE40CA"/>
    <w:rsid w:val="00AE58A2"/>
    <w:rsid w:val="00AE6C62"/>
    <w:rsid w:val="00AE71B3"/>
    <w:rsid w:val="00AF01D1"/>
    <w:rsid w:val="00AF1B86"/>
    <w:rsid w:val="00AF1CED"/>
    <w:rsid w:val="00AF5CCB"/>
    <w:rsid w:val="00B05F70"/>
    <w:rsid w:val="00B0608B"/>
    <w:rsid w:val="00B06397"/>
    <w:rsid w:val="00B06B2A"/>
    <w:rsid w:val="00B077BB"/>
    <w:rsid w:val="00B10968"/>
    <w:rsid w:val="00B12FEC"/>
    <w:rsid w:val="00B1360A"/>
    <w:rsid w:val="00B13C8A"/>
    <w:rsid w:val="00B211B9"/>
    <w:rsid w:val="00B2321A"/>
    <w:rsid w:val="00B24052"/>
    <w:rsid w:val="00B24A2B"/>
    <w:rsid w:val="00B24E4F"/>
    <w:rsid w:val="00B27ABD"/>
    <w:rsid w:val="00B325F1"/>
    <w:rsid w:val="00B3445A"/>
    <w:rsid w:val="00B34D41"/>
    <w:rsid w:val="00B36507"/>
    <w:rsid w:val="00B36D27"/>
    <w:rsid w:val="00B37D06"/>
    <w:rsid w:val="00B4023A"/>
    <w:rsid w:val="00B403D0"/>
    <w:rsid w:val="00B41D0C"/>
    <w:rsid w:val="00B428E3"/>
    <w:rsid w:val="00B44820"/>
    <w:rsid w:val="00B45932"/>
    <w:rsid w:val="00B519D0"/>
    <w:rsid w:val="00B51F6F"/>
    <w:rsid w:val="00B56B9F"/>
    <w:rsid w:val="00B63B10"/>
    <w:rsid w:val="00B6437A"/>
    <w:rsid w:val="00B65178"/>
    <w:rsid w:val="00B67820"/>
    <w:rsid w:val="00B70C6D"/>
    <w:rsid w:val="00B74A03"/>
    <w:rsid w:val="00B75865"/>
    <w:rsid w:val="00B75C6A"/>
    <w:rsid w:val="00B76F84"/>
    <w:rsid w:val="00B81F19"/>
    <w:rsid w:val="00B84BFD"/>
    <w:rsid w:val="00B853F5"/>
    <w:rsid w:val="00B8753D"/>
    <w:rsid w:val="00B924B1"/>
    <w:rsid w:val="00B93C36"/>
    <w:rsid w:val="00B9630B"/>
    <w:rsid w:val="00B979A0"/>
    <w:rsid w:val="00BA3306"/>
    <w:rsid w:val="00BA5DB8"/>
    <w:rsid w:val="00BB03C4"/>
    <w:rsid w:val="00BB5639"/>
    <w:rsid w:val="00BB72EE"/>
    <w:rsid w:val="00BB7F81"/>
    <w:rsid w:val="00BC2CC8"/>
    <w:rsid w:val="00BC4235"/>
    <w:rsid w:val="00BC470F"/>
    <w:rsid w:val="00BC481D"/>
    <w:rsid w:val="00BC61D6"/>
    <w:rsid w:val="00BC7DDD"/>
    <w:rsid w:val="00BD0680"/>
    <w:rsid w:val="00BD163F"/>
    <w:rsid w:val="00BD1ABC"/>
    <w:rsid w:val="00BD3588"/>
    <w:rsid w:val="00BD433D"/>
    <w:rsid w:val="00BD54C0"/>
    <w:rsid w:val="00BE1B68"/>
    <w:rsid w:val="00BE2A8B"/>
    <w:rsid w:val="00BE2B88"/>
    <w:rsid w:val="00BE3DD7"/>
    <w:rsid w:val="00BE3E73"/>
    <w:rsid w:val="00BE45F5"/>
    <w:rsid w:val="00BF007C"/>
    <w:rsid w:val="00BF108A"/>
    <w:rsid w:val="00BF25F9"/>
    <w:rsid w:val="00BF379D"/>
    <w:rsid w:val="00BF5D21"/>
    <w:rsid w:val="00BF66F2"/>
    <w:rsid w:val="00C004CE"/>
    <w:rsid w:val="00C00796"/>
    <w:rsid w:val="00C02306"/>
    <w:rsid w:val="00C044EB"/>
    <w:rsid w:val="00C04992"/>
    <w:rsid w:val="00C04BB5"/>
    <w:rsid w:val="00C05797"/>
    <w:rsid w:val="00C1646C"/>
    <w:rsid w:val="00C16F7F"/>
    <w:rsid w:val="00C21B8B"/>
    <w:rsid w:val="00C225E5"/>
    <w:rsid w:val="00C22B24"/>
    <w:rsid w:val="00C236ED"/>
    <w:rsid w:val="00C26C41"/>
    <w:rsid w:val="00C26C94"/>
    <w:rsid w:val="00C26E46"/>
    <w:rsid w:val="00C30BEC"/>
    <w:rsid w:val="00C317E1"/>
    <w:rsid w:val="00C31FE1"/>
    <w:rsid w:val="00C33269"/>
    <w:rsid w:val="00C347F2"/>
    <w:rsid w:val="00C34B7C"/>
    <w:rsid w:val="00C35E63"/>
    <w:rsid w:val="00C37841"/>
    <w:rsid w:val="00C456A9"/>
    <w:rsid w:val="00C45DA5"/>
    <w:rsid w:val="00C50441"/>
    <w:rsid w:val="00C5286E"/>
    <w:rsid w:val="00C5375B"/>
    <w:rsid w:val="00C53991"/>
    <w:rsid w:val="00C55F0D"/>
    <w:rsid w:val="00C568D3"/>
    <w:rsid w:val="00C60B62"/>
    <w:rsid w:val="00C63BC9"/>
    <w:rsid w:val="00C63EAC"/>
    <w:rsid w:val="00C645FC"/>
    <w:rsid w:val="00C64B87"/>
    <w:rsid w:val="00C64EEA"/>
    <w:rsid w:val="00C653C8"/>
    <w:rsid w:val="00C71722"/>
    <w:rsid w:val="00C73AE6"/>
    <w:rsid w:val="00C77304"/>
    <w:rsid w:val="00C84E35"/>
    <w:rsid w:val="00C90760"/>
    <w:rsid w:val="00C91ADC"/>
    <w:rsid w:val="00C92830"/>
    <w:rsid w:val="00C94183"/>
    <w:rsid w:val="00C959D1"/>
    <w:rsid w:val="00C95C7B"/>
    <w:rsid w:val="00C960F8"/>
    <w:rsid w:val="00CA00E2"/>
    <w:rsid w:val="00CA0365"/>
    <w:rsid w:val="00CA11EB"/>
    <w:rsid w:val="00CA23FA"/>
    <w:rsid w:val="00CA33DD"/>
    <w:rsid w:val="00CA56B5"/>
    <w:rsid w:val="00CB002B"/>
    <w:rsid w:val="00CB018F"/>
    <w:rsid w:val="00CB0850"/>
    <w:rsid w:val="00CB0C4C"/>
    <w:rsid w:val="00CB5813"/>
    <w:rsid w:val="00CB68D9"/>
    <w:rsid w:val="00CB6989"/>
    <w:rsid w:val="00CC1FD0"/>
    <w:rsid w:val="00CC54F8"/>
    <w:rsid w:val="00CC6C4D"/>
    <w:rsid w:val="00CD03E6"/>
    <w:rsid w:val="00CD41B9"/>
    <w:rsid w:val="00CD4D6B"/>
    <w:rsid w:val="00CD4F19"/>
    <w:rsid w:val="00CD5425"/>
    <w:rsid w:val="00CE22E9"/>
    <w:rsid w:val="00CE48E2"/>
    <w:rsid w:val="00CF039F"/>
    <w:rsid w:val="00CF0D34"/>
    <w:rsid w:val="00CF4281"/>
    <w:rsid w:val="00CF5C51"/>
    <w:rsid w:val="00CF7E0D"/>
    <w:rsid w:val="00D02A21"/>
    <w:rsid w:val="00D031A0"/>
    <w:rsid w:val="00D032FF"/>
    <w:rsid w:val="00D0406C"/>
    <w:rsid w:val="00D077FF"/>
    <w:rsid w:val="00D13E24"/>
    <w:rsid w:val="00D14133"/>
    <w:rsid w:val="00D160FF"/>
    <w:rsid w:val="00D249FA"/>
    <w:rsid w:val="00D25673"/>
    <w:rsid w:val="00D2571B"/>
    <w:rsid w:val="00D26C4F"/>
    <w:rsid w:val="00D31301"/>
    <w:rsid w:val="00D31898"/>
    <w:rsid w:val="00D321EF"/>
    <w:rsid w:val="00D32FAC"/>
    <w:rsid w:val="00D33CF4"/>
    <w:rsid w:val="00D34926"/>
    <w:rsid w:val="00D3597B"/>
    <w:rsid w:val="00D401EB"/>
    <w:rsid w:val="00D41616"/>
    <w:rsid w:val="00D41ADF"/>
    <w:rsid w:val="00D43E80"/>
    <w:rsid w:val="00D44503"/>
    <w:rsid w:val="00D46DC4"/>
    <w:rsid w:val="00D47D5B"/>
    <w:rsid w:val="00D51EFF"/>
    <w:rsid w:val="00D5653A"/>
    <w:rsid w:val="00D56902"/>
    <w:rsid w:val="00D61C71"/>
    <w:rsid w:val="00D62A27"/>
    <w:rsid w:val="00D646B1"/>
    <w:rsid w:val="00D67A7A"/>
    <w:rsid w:val="00D70A2D"/>
    <w:rsid w:val="00D735D1"/>
    <w:rsid w:val="00D737F7"/>
    <w:rsid w:val="00D746DD"/>
    <w:rsid w:val="00D75405"/>
    <w:rsid w:val="00D77594"/>
    <w:rsid w:val="00D80415"/>
    <w:rsid w:val="00D806E9"/>
    <w:rsid w:val="00D9082F"/>
    <w:rsid w:val="00D91BFE"/>
    <w:rsid w:val="00D9275D"/>
    <w:rsid w:val="00D9681F"/>
    <w:rsid w:val="00DA3E6B"/>
    <w:rsid w:val="00DA51D3"/>
    <w:rsid w:val="00DA7137"/>
    <w:rsid w:val="00DB0EE1"/>
    <w:rsid w:val="00DB316F"/>
    <w:rsid w:val="00DB375A"/>
    <w:rsid w:val="00DB42B2"/>
    <w:rsid w:val="00DB58B8"/>
    <w:rsid w:val="00DB61E8"/>
    <w:rsid w:val="00DC2F8D"/>
    <w:rsid w:val="00DC720F"/>
    <w:rsid w:val="00DC765C"/>
    <w:rsid w:val="00DC7B61"/>
    <w:rsid w:val="00DD1637"/>
    <w:rsid w:val="00DD2023"/>
    <w:rsid w:val="00DD209D"/>
    <w:rsid w:val="00DD6470"/>
    <w:rsid w:val="00DD76CB"/>
    <w:rsid w:val="00DE09B7"/>
    <w:rsid w:val="00DE12B6"/>
    <w:rsid w:val="00DE63E7"/>
    <w:rsid w:val="00DF2772"/>
    <w:rsid w:val="00DF2791"/>
    <w:rsid w:val="00DF4ED5"/>
    <w:rsid w:val="00DF6086"/>
    <w:rsid w:val="00DF6252"/>
    <w:rsid w:val="00DF661A"/>
    <w:rsid w:val="00DF78F4"/>
    <w:rsid w:val="00E00AF7"/>
    <w:rsid w:val="00E038C4"/>
    <w:rsid w:val="00E03FC8"/>
    <w:rsid w:val="00E0423C"/>
    <w:rsid w:val="00E04729"/>
    <w:rsid w:val="00E047E7"/>
    <w:rsid w:val="00E06D71"/>
    <w:rsid w:val="00E0747C"/>
    <w:rsid w:val="00E07D9F"/>
    <w:rsid w:val="00E07FB1"/>
    <w:rsid w:val="00E101B3"/>
    <w:rsid w:val="00E10570"/>
    <w:rsid w:val="00E119DD"/>
    <w:rsid w:val="00E138C3"/>
    <w:rsid w:val="00E13C4E"/>
    <w:rsid w:val="00E14A4C"/>
    <w:rsid w:val="00E16E8F"/>
    <w:rsid w:val="00E21988"/>
    <w:rsid w:val="00E2250B"/>
    <w:rsid w:val="00E25625"/>
    <w:rsid w:val="00E2562B"/>
    <w:rsid w:val="00E27492"/>
    <w:rsid w:val="00E27F7C"/>
    <w:rsid w:val="00E32F5D"/>
    <w:rsid w:val="00E3471A"/>
    <w:rsid w:val="00E34FC8"/>
    <w:rsid w:val="00E43A16"/>
    <w:rsid w:val="00E44BE1"/>
    <w:rsid w:val="00E466E4"/>
    <w:rsid w:val="00E50231"/>
    <w:rsid w:val="00E50235"/>
    <w:rsid w:val="00E5104D"/>
    <w:rsid w:val="00E51408"/>
    <w:rsid w:val="00E533AF"/>
    <w:rsid w:val="00E53FA7"/>
    <w:rsid w:val="00E542AF"/>
    <w:rsid w:val="00E5564A"/>
    <w:rsid w:val="00E56A10"/>
    <w:rsid w:val="00E5735D"/>
    <w:rsid w:val="00E57CBE"/>
    <w:rsid w:val="00E61430"/>
    <w:rsid w:val="00E6149F"/>
    <w:rsid w:val="00E62E5A"/>
    <w:rsid w:val="00E63226"/>
    <w:rsid w:val="00E637DA"/>
    <w:rsid w:val="00E64494"/>
    <w:rsid w:val="00E64B3C"/>
    <w:rsid w:val="00E64E20"/>
    <w:rsid w:val="00E678DA"/>
    <w:rsid w:val="00E70AED"/>
    <w:rsid w:val="00E72CDD"/>
    <w:rsid w:val="00E72DED"/>
    <w:rsid w:val="00E747E0"/>
    <w:rsid w:val="00E77603"/>
    <w:rsid w:val="00E80DE1"/>
    <w:rsid w:val="00E81F7E"/>
    <w:rsid w:val="00E84E83"/>
    <w:rsid w:val="00E85280"/>
    <w:rsid w:val="00E8586C"/>
    <w:rsid w:val="00E87020"/>
    <w:rsid w:val="00E87887"/>
    <w:rsid w:val="00E90096"/>
    <w:rsid w:val="00E9062B"/>
    <w:rsid w:val="00E939C0"/>
    <w:rsid w:val="00E971C8"/>
    <w:rsid w:val="00EA42FC"/>
    <w:rsid w:val="00EA4350"/>
    <w:rsid w:val="00EA64EB"/>
    <w:rsid w:val="00EA67D2"/>
    <w:rsid w:val="00EA6E0B"/>
    <w:rsid w:val="00EA7406"/>
    <w:rsid w:val="00EB2AFD"/>
    <w:rsid w:val="00EB3C04"/>
    <w:rsid w:val="00EB52E6"/>
    <w:rsid w:val="00EB56CD"/>
    <w:rsid w:val="00EB5FD6"/>
    <w:rsid w:val="00EB6491"/>
    <w:rsid w:val="00EB7AD3"/>
    <w:rsid w:val="00EC33B7"/>
    <w:rsid w:val="00EC47BF"/>
    <w:rsid w:val="00EC55E0"/>
    <w:rsid w:val="00ED2411"/>
    <w:rsid w:val="00ED2E4D"/>
    <w:rsid w:val="00ED2F7A"/>
    <w:rsid w:val="00ED7C7F"/>
    <w:rsid w:val="00EE0631"/>
    <w:rsid w:val="00EE0CEE"/>
    <w:rsid w:val="00EE7044"/>
    <w:rsid w:val="00EE7284"/>
    <w:rsid w:val="00EF04D1"/>
    <w:rsid w:val="00EF0C02"/>
    <w:rsid w:val="00EF178E"/>
    <w:rsid w:val="00EF22CA"/>
    <w:rsid w:val="00EF254B"/>
    <w:rsid w:val="00EF26B8"/>
    <w:rsid w:val="00EF3560"/>
    <w:rsid w:val="00EF478A"/>
    <w:rsid w:val="00EF5951"/>
    <w:rsid w:val="00EF5F08"/>
    <w:rsid w:val="00F01922"/>
    <w:rsid w:val="00F02C46"/>
    <w:rsid w:val="00F1029B"/>
    <w:rsid w:val="00F109E8"/>
    <w:rsid w:val="00F10A31"/>
    <w:rsid w:val="00F15558"/>
    <w:rsid w:val="00F160D8"/>
    <w:rsid w:val="00F169F1"/>
    <w:rsid w:val="00F16DA7"/>
    <w:rsid w:val="00F17826"/>
    <w:rsid w:val="00F20B96"/>
    <w:rsid w:val="00F21765"/>
    <w:rsid w:val="00F235C8"/>
    <w:rsid w:val="00F31041"/>
    <w:rsid w:val="00F31D3F"/>
    <w:rsid w:val="00F367FB"/>
    <w:rsid w:val="00F370E3"/>
    <w:rsid w:val="00F40A0F"/>
    <w:rsid w:val="00F435D7"/>
    <w:rsid w:val="00F44682"/>
    <w:rsid w:val="00F447E1"/>
    <w:rsid w:val="00F44BA1"/>
    <w:rsid w:val="00F46BBE"/>
    <w:rsid w:val="00F47C6D"/>
    <w:rsid w:val="00F47D15"/>
    <w:rsid w:val="00F47EF5"/>
    <w:rsid w:val="00F51094"/>
    <w:rsid w:val="00F514DF"/>
    <w:rsid w:val="00F52494"/>
    <w:rsid w:val="00F5366D"/>
    <w:rsid w:val="00F557AF"/>
    <w:rsid w:val="00F615D6"/>
    <w:rsid w:val="00F616B0"/>
    <w:rsid w:val="00F61A5B"/>
    <w:rsid w:val="00F6342D"/>
    <w:rsid w:val="00F63BCE"/>
    <w:rsid w:val="00F63D95"/>
    <w:rsid w:val="00F65336"/>
    <w:rsid w:val="00F66E07"/>
    <w:rsid w:val="00F7235B"/>
    <w:rsid w:val="00F72A88"/>
    <w:rsid w:val="00F749E3"/>
    <w:rsid w:val="00F76AFE"/>
    <w:rsid w:val="00F80011"/>
    <w:rsid w:val="00F81F8A"/>
    <w:rsid w:val="00F83D33"/>
    <w:rsid w:val="00F84A2A"/>
    <w:rsid w:val="00F858EB"/>
    <w:rsid w:val="00F87418"/>
    <w:rsid w:val="00F9349E"/>
    <w:rsid w:val="00F94079"/>
    <w:rsid w:val="00F949B4"/>
    <w:rsid w:val="00F96D00"/>
    <w:rsid w:val="00FA3EFA"/>
    <w:rsid w:val="00FA4522"/>
    <w:rsid w:val="00FA4576"/>
    <w:rsid w:val="00FA4C83"/>
    <w:rsid w:val="00FA55DB"/>
    <w:rsid w:val="00FA6D9D"/>
    <w:rsid w:val="00FB0CD6"/>
    <w:rsid w:val="00FB13ED"/>
    <w:rsid w:val="00FB2A3C"/>
    <w:rsid w:val="00FB3DFD"/>
    <w:rsid w:val="00FB7869"/>
    <w:rsid w:val="00FC5C13"/>
    <w:rsid w:val="00FC6968"/>
    <w:rsid w:val="00FC7DAE"/>
    <w:rsid w:val="00FD0423"/>
    <w:rsid w:val="00FD0BA0"/>
    <w:rsid w:val="00FD20CF"/>
    <w:rsid w:val="00FD40E8"/>
    <w:rsid w:val="00FD628E"/>
    <w:rsid w:val="00FE4041"/>
    <w:rsid w:val="00FE6424"/>
    <w:rsid w:val="00FE66E6"/>
    <w:rsid w:val="00FF0797"/>
    <w:rsid w:val="00FF1754"/>
    <w:rsid w:val="00FF1D0A"/>
    <w:rsid w:val="00FF2824"/>
    <w:rsid w:val="00FF2864"/>
    <w:rsid w:val="00FF44D9"/>
    <w:rsid w:val="00FF4646"/>
    <w:rsid w:val="00FF4CA4"/>
    <w:rsid w:val="00FF5A1F"/>
    <w:rsid w:val="00FF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81F181"/>
  <w15:chartTrackingRefBased/>
  <w15:docId w15:val="{F4230940-4E57-44C2-8067-992F3E00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91B"/>
    <w:pPr>
      <w:spacing w:after="200" w:line="276" w:lineRule="auto"/>
      <w:jc w:val="both"/>
    </w:pPr>
    <w:rPr>
      <w:rFonts w:ascii="Times New Roman" w:hAnsi="Times New Roman"/>
      <w:sz w:val="23"/>
      <w:lang w:val="en-GB"/>
    </w:rPr>
  </w:style>
  <w:style w:type="paragraph" w:styleId="Heading1">
    <w:name w:val="heading 1"/>
    <w:basedOn w:val="Normal"/>
    <w:next w:val="Normal"/>
    <w:link w:val="Heading1Char"/>
    <w:uiPriority w:val="2"/>
    <w:qFormat/>
    <w:rsid w:val="00083624"/>
    <w:pPr>
      <w:keepNext/>
      <w:keepLines/>
      <w:spacing w:before="240" w:after="120"/>
      <w:outlineLvl w:val="0"/>
    </w:pPr>
    <w:rPr>
      <w:rFonts w:eastAsiaTheme="majorEastAsia" w:cstheme="majorBidi"/>
      <w:color w:val="2E74B5" w:themeColor="accent1" w:themeShade="BF"/>
      <w:sz w:val="30"/>
      <w:szCs w:val="32"/>
    </w:rPr>
  </w:style>
  <w:style w:type="paragraph" w:styleId="Heading2">
    <w:name w:val="heading 2"/>
    <w:basedOn w:val="Normal"/>
    <w:next w:val="Normal"/>
    <w:link w:val="Heading2Char"/>
    <w:autoRedefine/>
    <w:uiPriority w:val="2"/>
    <w:unhideWhenUsed/>
    <w:qFormat/>
    <w:rsid w:val="00E16E8F"/>
    <w:pPr>
      <w:keepNext/>
      <w:keepLines/>
      <w:tabs>
        <w:tab w:val="left" w:pos="7843"/>
      </w:tabs>
      <w:spacing w:before="40" w:after="120"/>
      <w:outlineLvl w:val="1"/>
    </w:pPr>
    <w:rPr>
      <w:rFonts w:eastAsiaTheme="majorEastAsia" w:cs="Times New Roman"/>
      <w:i/>
      <w:noProof/>
      <w:color w:val="0070C0"/>
      <w:sz w:val="24"/>
      <w:szCs w:val="26"/>
    </w:rPr>
  </w:style>
  <w:style w:type="paragraph" w:styleId="Heading3">
    <w:name w:val="heading 3"/>
    <w:basedOn w:val="Normal"/>
    <w:next w:val="Normal"/>
    <w:link w:val="Heading3Char"/>
    <w:uiPriority w:val="2"/>
    <w:unhideWhenUsed/>
    <w:qFormat/>
    <w:rsid w:val="00651947"/>
    <w:pPr>
      <w:keepNext/>
      <w:keepLines/>
      <w:spacing w:before="40" w:after="0"/>
      <w:outlineLvl w:val="2"/>
    </w:pPr>
    <w:rPr>
      <w:rFonts w:eastAsiaTheme="majorEastAsia" w:cstheme="majorBidi"/>
      <w:i/>
      <w:color w:val="0070C0"/>
      <w:szCs w:val="24"/>
    </w:rPr>
  </w:style>
  <w:style w:type="paragraph" w:styleId="Heading4">
    <w:name w:val="heading 4"/>
    <w:basedOn w:val="Normal"/>
    <w:next w:val="Normal"/>
    <w:link w:val="Heading4Char"/>
    <w:uiPriority w:val="2"/>
    <w:semiHidden/>
    <w:unhideWhenUsed/>
    <w:qFormat/>
    <w:rsid w:val="005412B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autoRedefine/>
    <w:uiPriority w:val="2"/>
    <w:unhideWhenUsed/>
    <w:qFormat/>
    <w:rsid w:val="00103038"/>
    <w:pPr>
      <w:keepNext/>
      <w:keepLines/>
      <w:spacing w:before="40" w:after="60" w:line="240" w:lineRule="auto"/>
      <w:outlineLvl w:val="4"/>
    </w:pPr>
    <w:rPr>
      <w:rFonts w:eastAsia="Times New Roman" w:cs="Times New Roman"/>
      <w:b/>
      <w:noProof/>
      <w:color w:val="0070C0"/>
      <w:lang w:val="en-US"/>
    </w:rPr>
  </w:style>
  <w:style w:type="paragraph" w:styleId="Heading6">
    <w:name w:val="heading 6"/>
    <w:basedOn w:val="Normal"/>
    <w:link w:val="Heading6Char"/>
    <w:uiPriority w:val="2"/>
    <w:semiHidden/>
    <w:unhideWhenUsed/>
    <w:qFormat/>
    <w:rsid w:val="00D70A2D"/>
    <w:pPr>
      <w:keepNext/>
      <w:spacing w:after="240" w:line="240" w:lineRule="auto"/>
      <w:outlineLvl w:val="5"/>
    </w:pPr>
    <w:rPr>
      <w:rFonts w:ascii="Verdana" w:hAnsi="Verdana" w:cs="Times New Roman"/>
      <w:b/>
      <w:bCs/>
      <w:color w:val="006283"/>
      <w:sz w:val="18"/>
      <w:szCs w:val="18"/>
      <w:lang w:val="fr-B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E16E8F"/>
    <w:rPr>
      <w:rFonts w:ascii="Times New Roman" w:eastAsiaTheme="majorEastAsia" w:hAnsi="Times New Roman" w:cs="Times New Roman"/>
      <w:i/>
      <w:noProof/>
      <w:color w:val="0070C0"/>
      <w:sz w:val="24"/>
      <w:szCs w:val="26"/>
      <w:lang w:val="en-GB"/>
    </w:rPr>
  </w:style>
  <w:style w:type="character" w:customStyle="1" w:styleId="Heading3Char">
    <w:name w:val="Heading 3 Char"/>
    <w:basedOn w:val="DefaultParagraphFont"/>
    <w:link w:val="Heading3"/>
    <w:uiPriority w:val="2"/>
    <w:rsid w:val="00651947"/>
    <w:rPr>
      <w:rFonts w:ascii="Times New Roman" w:eastAsiaTheme="majorEastAsia" w:hAnsi="Times New Roman" w:cstheme="majorBidi"/>
      <w:i/>
      <w:color w:val="0070C0"/>
      <w:sz w:val="23"/>
      <w:szCs w:val="24"/>
      <w:lang w:val="en-GB"/>
    </w:rPr>
  </w:style>
  <w:style w:type="character" w:customStyle="1" w:styleId="Heading5Char">
    <w:name w:val="Heading 5 Char"/>
    <w:basedOn w:val="DefaultParagraphFont"/>
    <w:link w:val="Heading5"/>
    <w:uiPriority w:val="9"/>
    <w:rsid w:val="00103038"/>
    <w:rPr>
      <w:rFonts w:ascii="Times New Roman" w:eastAsia="Times New Roman" w:hAnsi="Times New Roman" w:cs="Times New Roman"/>
      <w:b/>
      <w:noProof/>
      <w:color w:val="0070C0"/>
    </w:rPr>
  </w:style>
  <w:style w:type="character" w:styleId="Hyperlink">
    <w:name w:val="Hyperlink"/>
    <w:basedOn w:val="DefaultParagraphFont"/>
    <w:uiPriority w:val="99"/>
    <w:unhideWhenUsed/>
    <w:rsid w:val="00103038"/>
    <w:rPr>
      <w:color w:val="0563C1" w:themeColor="hyperlink"/>
      <w:u w:val="single"/>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ußnot,fn,f,C,Voetnootteks,Fußnote"/>
    <w:basedOn w:val="Normal"/>
    <w:link w:val="FootnoteTextChar"/>
    <w:uiPriority w:val="99"/>
    <w:unhideWhenUsed/>
    <w:qFormat/>
    <w:rsid w:val="000B5DF2"/>
    <w:pPr>
      <w:spacing w:after="0" w:line="240" w:lineRule="auto"/>
    </w:pPr>
    <w:rPr>
      <w:sz w:val="16"/>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uiPriority w:val="99"/>
    <w:qFormat/>
    <w:rsid w:val="00103038"/>
    <w:rPr>
      <w:rFonts w:ascii="Times New Roman" w:hAnsi="Times New Roman"/>
      <w:sz w:val="16"/>
      <w:szCs w:val="20"/>
      <w:lang w:val="en-GB"/>
    </w:rPr>
  </w:style>
  <w:style w:type="character" w:styleId="FootnoteReference">
    <w:name w:val="footnote reference"/>
    <w:aliases w:val="Ref Char,de nota al pie Char,Footnote Char,Footnote number Char,Footnote symbol Char,note TESI Char,(NECG) Footnote Reference Char,Nota Char,fr Char,o Char,Fußnotenzeichen3 Char,Footnote Reference Number Char,BVI fnr Char,Char, Char"/>
    <w:basedOn w:val="DefaultParagraphFont"/>
    <w:link w:val="Ref"/>
    <w:uiPriority w:val="99"/>
    <w:unhideWhenUsed/>
    <w:qFormat/>
    <w:rsid w:val="00103038"/>
    <w:rPr>
      <w:vertAlign w:val="superscript"/>
    </w:rPr>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de nota al pi..."/>
    <w:basedOn w:val="Normal"/>
    <w:link w:val="FootnoteReference"/>
    <w:uiPriority w:val="99"/>
    <w:rsid w:val="00103038"/>
    <w:pPr>
      <w:spacing w:after="160" w:line="240" w:lineRule="exact"/>
    </w:pPr>
    <w:rPr>
      <w:rFonts w:asciiTheme="minorHAnsi" w:hAnsiTheme="minorHAnsi"/>
      <w:vertAlign w:val="superscript"/>
      <w:lang w:val="en-US"/>
    </w:rPr>
  </w:style>
  <w:style w:type="table" w:styleId="TableGrid">
    <w:name w:val="Table Grid"/>
    <w:basedOn w:val="TableNormal"/>
    <w:uiPriority w:val="59"/>
    <w:rsid w:val="00103038"/>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83624"/>
    <w:rPr>
      <w:rFonts w:ascii="Times New Roman" w:eastAsiaTheme="majorEastAsia" w:hAnsi="Times New Roman" w:cstheme="majorBidi"/>
      <w:color w:val="2E74B5" w:themeColor="accent1" w:themeShade="BF"/>
      <w:sz w:val="30"/>
      <w:szCs w:val="32"/>
      <w:lang w:val="en-GB"/>
    </w:rPr>
  </w:style>
  <w:style w:type="paragraph" w:styleId="BalloonText">
    <w:name w:val="Balloon Text"/>
    <w:basedOn w:val="Normal"/>
    <w:link w:val="BalloonTextChar"/>
    <w:uiPriority w:val="99"/>
    <w:semiHidden/>
    <w:unhideWhenUsed/>
    <w:rsid w:val="00562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635"/>
    <w:rPr>
      <w:rFonts w:ascii="Segoe UI" w:hAnsi="Segoe UI" w:cs="Segoe UI"/>
      <w:sz w:val="18"/>
      <w:szCs w:val="18"/>
      <w:lang w:val="en-GB"/>
    </w:rPr>
  </w:style>
  <w:style w:type="character" w:styleId="CommentReference">
    <w:name w:val="annotation reference"/>
    <w:basedOn w:val="DefaultParagraphFont"/>
    <w:uiPriority w:val="99"/>
    <w:semiHidden/>
    <w:unhideWhenUsed/>
    <w:rsid w:val="00CB018F"/>
    <w:rPr>
      <w:sz w:val="16"/>
      <w:szCs w:val="16"/>
    </w:rPr>
  </w:style>
  <w:style w:type="paragraph" w:styleId="CommentText">
    <w:name w:val="annotation text"/>
    <w:basedOn w:val="Normal"/>
    <w:link w:val="CommentTextChar"/>
    <w:uiPriority w:val="99"/>
    <w:unhideWhenUsed/>
    <w:rsid w:val="00CB018F"/>
    <w:pPr>
      <w:spacing w:line="240" w:lineRule="auto"/>
    </w:pPr>
    <w:rPr>
      <w:sz w:val="20"/>
      <w:szCs w:val="20"/>
    </w:rPr>
  </w:style>
  <w:style w:type="character" w:customStyle="1" w:styleId="CommentTextChar">
    <w:name w:val="Comment Text Char"/>
    <w:basedOn w:val="DefaultParagraphFont"/>
    <w:link w:val="CommentText"/>
    <w:uiPriority w:val="99"/>
    <w:rsid w:val="00CB018F"/>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CB018F"/>
    <w:rPr>
      <w:b/>
      <w:bCs/>
    </w:rPr>
  </w:style>
  <w:style w:type="character" w:customStyle="1" w:styleId="CommentSubjectChar">
    <w:name w:val="Comment Subject Char"/>
    <w:basedOn w:val="CommentTextChar"/>
    <w:link w:val="CommentSubject"/>
    <w:uiPriority w:val="99"/>
    <w:semiHidden/>
    <w:rsid w:val="00CB018F"/>
    <w:rPr>
      <w:rFonts w:ascii="Times New Roman" w:hAnsi="Times New Roman"/>
      <w:b/>
      <w:bCs/>
      <w:sz w:val="20"/>
      <w:szCs w:val="20"/>
      <w:lang w:val="en-GB"/>
    </w:rPr>
  </w:style>
  <w:style w:type="paragraph" w:styleId="Header">
    <w:name w:val="header"/>
    <w:basedOn w:val="Normal"/>
    <w:link w:val="HeaderChar"/>
    <w:uiPriority w:val="99"/>
    <w:unhideWhenUsed/>
    <w:rsid w:val="00913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BFF"/>
    <w:rPr>
      <w:rFonts w:ascii="Times New Roman" w:hAnsi="Times New Roman"/>
      <w:lang w:val="en-GB"/>
    </w:rPr>
  </w:style>
  <w:style w:type="paragraph" w:styleId="Footer">
    <w:name w:val="footer"/>
    <w:basedOn w:val="Normal"/>
    <w:link w:val="FooterChar"/>
    <w:uiPriority w:val="99"/>
    <w:unhideWhenUsed/>
    <w:rsid w:val="00913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BFF"/>
    <w:rPr>
      <w:rFonts w:ascii="Times New Roman" w:hAnsi="Times New Roman"/>
      <w:lang w:val="en-GB"/>
    </w:rPr>
  </w:style>
  <w:style w:type="paragraph" w:styleId="Revision">
    <w:name w:val="Revision"/>
    <w:hidden/>
    <w:uiPriority w:val="99"/>
    <w:semiHidden/>
    <w:rsid w:val="008261DC"/>
    <w:pPr>
      <w:spacing w:after="0" w:line="240" w:lineRule="auto"/>
    </w:pPr>
    <w:rPr>
      <w:rFonts w:ascii="Times New Roman" w:hAnsi="Times New Roman"/>
      <w:lang w:val="en-GB"/>
    </w:rPr>
  </w:style>
  <w:style w:type="paragraph" w:styleId="NoSpacing">
    <w:name w:val="No Spacing"/>
    <w:uiPriority w:val="1"/>
    <w:qFormat/>
    <w:rsid w:val="00D32FAC"/>
    <w:pPr>
      <w:spacing w:after="0" w:line="240" w:lineRule="auto"/>
      <w:jc w:val="both"/>
    </w:pPr>
    <w:rPr>
      <w:rFonts w:ascii="Times New Roman" w:hAnsi="Times New Roman"/>
      <w:lang w:val="en-GB"/>
    </w:rPr>
  </w:style>
  <w:style w:type="character" w:styleId="FollowedHyperlink">
    <w:name w:val="FollowedHyperlink"/>
    <w:basedOn w:val="DefaultParagraphFont"/>
    <w:uiPriority w:val="99"/>
    <w:semiHidden/>
    <w:unhideWhenUsed/>
    <w:rsid w:val="00AB0957"/>
    <w:rPr>
      <w:color w:val="954F72" w:themeColor="followedHyperlink"/>
      <w:u w:val="single"/>
    </w:rPr>
  </w:style>
  <w:style w:type="character" w:customStyle="1" w:styleId="OPDarkBlueEmphasis">
    <w:name w:val="OP_Dark Blue Emphasis"/>
    <w:rsid w:val="00813489"/>
    <w:rPr>
      <w:b/>
      <w:noProof/>
      <w:color w:val="0E4194"/>
      <w:bdr w:val="none" w:sz="0" w:space="0" w:color="auto"/>
      <w:shd w:val="clear" w:color="auto" w:fill="auto"/>
      <w:lang w:val="en-GB"/>
    </w:rPr>
  </w:style>
  <w:style w:type="character" w:customStyle="1" w:styleId="OPDarkOrangeEmphasis">
    <w:name w:val="OP_Dark Orange Emphasis"/>
    <w:rsid w:val="005412BA"/>
    <w:rPr>
      <w:b/>
      <w:noProof/>
      <w:color w:val="D2460F"/>
      <w:bdr w:val="none" w:sz="0" w:space="0" w:color="auto"/>
      <w:shd w:val="clear" w:color="auto" w:fill="auto"/>
      <w:lang w:val="en-GB"/>
    </w:rPr>
  </w:style>
  <w:style w:type="character" w:customStyle="1" w:styleId="Heading4Char">
    <w:name w:val="Heading 4 Char"/>
    <w:basedOn w:val="DefaultParagraphFont"/>
    <w:link w:val="Heading4"/>
    <w:uiPriority w:val="9"/>
    <w:semiHidden/>
    <w:rsid w:val="005412BA"/>
    <w:rPr>
      <w:rFonts w:asciiTheme="majorHAnsi" w:eastAsiaTheme="majorEastAsia" w:hAnsiTheme="majorHAnsi" w:cstheme="majorBidi"/>
      <w:i/>
      <w:iCs/>
      <w:color w:val="2E74B5" w:themeColor="accent1" w:themeShade="BF"/>
      <w:lang w:val="en-GB"/>
    </w:rPr>
  </w:style>
  <w:style w:type="character" w:styleId="Emphasis">
    <w:name w:val="Emphasis"/>
    <w:basedOn w:val="DefaultParagraphFont"/>
    <w:uiPriority w:val="20"/>
    <w:qFormat/>
    <w:rsid w:val="009F6F24"/>
    <w:rPr>
      <w:i/>
      <w:iCs/>
    </w:rPr>
  </w:style>
  <w:style w:type="character" w:customStyle="1" w:styleId="s5">
    <w:name w:val="s5"/>
    <w:basedOn w:val="DefaultParagraphFont"/>
    <w:rsid w:val="00B44820"/>
  </w:style>
  <w:style w:type="paragraph" w:customStyle="1" w:styleId="Typedudocument">
    <w:name w:val="Type du document"/>
    <w:basedOn w:val="Normal"/>
    <w:next w:val="Normal"/>
    <w:rsid w:val="002A46E3"/>
    <w:pPr>
      <w:spacing w:before="360" w:after="0" w:line="240" w:lineRule="auto"/>
      <w:jc w:val="center"/>
    </w:pPr>
    <w:rPr>
      <w:rFonts w:cs="Times New Roman"/>
      <w:b/>
      <w:sz w:val="24"/>
    </w:rPr>
  </w:style>
  <w:style w:type="paragraph" w:customStyle="1" w:styleId="Titreobjet">
    <w:name w:val="Titre objet"/>
    <w:basedOn w:val="Normal"/>
    <w:next w:val="Normal"/>
    <w:rsid w:val="002A46E3"/>
    <w:pPr>
      <w:spacing w:before="360" w:after="360" w:line="240" w:lineRule="auto"/>
      <w:jc w:val="center"/>
    </w:pPr>
    <w:rPr>
      <w:rFonts w:cs="Times New Roman"/>
      <w:b/>
      <w:sz w:val="24"/>
    </w:rPr>
  </w:style>
  <w:style w:type="paragraph" w:styleId="TOCHeading">
    <w:name w:val="TOC Heading"/>
    <w:basedOn w:val="Heading1"/>
    <w:next w:val="Normal"/>
    <w:uiPriority w:val="39"/>
    <w:unhideWhenUsed/>
    <w:qFormat/>
    <w:rsid w:val="002A46E3"/>
    <w:pPr>
      <w:spacing w:after="0" w:line="259" w:lineRule="auto"/>
      <w:jc w:val="left"/>
      <w:outlineLvl w:val="9"/>
    </w:pPr>
    <w:rPr>
      <w:rFonts w:asciiTheme="majorHAnsi" w:hAnsiTheme="majorHAnsi"/>
      <w:sz w:val="32"/>
      <w:lang w:val="en-US"/>
    </w:rPr>
  </w:style>
  <w:style w:type="paragraph" w:styleId="TOC1">
    <w:name w:val="toc 1"/>
    <w:basedOn w:val="Normal"/>
    <w:next w:val="Normal"/>
    <w:autoRedefine/>
    <w:uiPriority w:val="39"/>
    <w:unhideWhenUsed/>
    <w:rsid w:val="003049E0"/>
    <w:pPr>
      <w:tabs>
        <w:tab w:val="right" w:leader="dot" w:pos="9350"/>
      </w:tabs>
      <w:spacing w:after="100"/>
    </w:pPr>
  </w:style>
  <w:style w:type="paragraph" w:styleId="TOC2">
    <w:name w:val="toc 2"/>
    <w:basedOn w:val="Normal"/>
    <w:next w:val="Normal"/>
    <w:autoRedefine/>
    <w:uiPriority w:val="39"/>
    <w:unhideWhenUsed/>
    <w:rsid w:val="00A81487"/>
    <w:pPr>
      <w:tabs>
        <w:tab w:val="right" w:leader="dot" w:pos="9350"/>
      </w:tabs>
      <w:spacing w:after="100"/>
      <w:ind w:left="230"/>
    </w:pPr>
  </w:style>
  <w:style w:type="paragraph" w:styleId="TOC3">
    <w:name w:val="toc 3"/>
    <w:basedOn w:val="Normal"/>
    <w:next w:val="Normal"/>
    <w:autoRedefine/>
    <w:uiPriority w:val="39"/>
    <w:unhideWhenUsed/>
    <w:rsid w:val="002A46E3"/>
    <w:pPr>
      <w:spacing w:after="100"/>
      <w:ind w:left="460"/>
    </w:pPr>
  </w:style>
  <w:style w:type="character" w:styleId="Strong">
    <w:name w:val="Strong"/>
    <w:basedOn w:val="DefaultParagraphFont"/>
    <w:uiPriority w:val="22"/>
    <w:qFormat/>
    <w:rsid w:val="00296BBF"/>
    <w:rPr>
      <w:b/>
      <w:bCs/>
    </w:rPr>
  </w:style>
  <w:style w:type="paragraph" w:customStyle="1" w:styleId="CharCharChar1">
    <w:name w:val="Char Char Char1"/>
    <w:basedOn w:val="Normal"/>
    <w:uiPriority w:val="99"/>
    <w:rsid w:val="00981A7B"/>
    <w:pPr>
      <w:spacing w:after="160" w:line="240" w:lineRule="exact"/>
      <w:ind w:left="2016"/>
    </w:pPr>
    <w:rPr>
      <w:rFonts w:eastAsia="Calibri" w:cs="Times New Roman"/>
      <w:sz w:val="20"/>
      <w:szCs w:val="20"/>
      <w:vertAlign w:val="superscript"/>
      <w:lang w:eastAsia="en-GB"/>
    </w:rPr>
  </w:style>
  <w:style w:type="character" w:customStyle="1" w:styleId="Heading6Char">
    <w:name w:val="Heading 6 Char"/>
    <w:basedOn w:val="DefaultParagraphFont"/>
    <w:link w:val="Heading6"/>
    <w:uiPriority w:val="2"/>
    <w:semiHidden/>
    <w:rsid w:val="00D70A2D"/>
    <w:rPr>
      <w:rFonts w:ascii="Verdana" w:hAnsi="Verdana" w:cs="Times New Roman"/>
      <w:b/>
      <w:bCs/>
      <w:color w:val="006283"/>
      <w:sz w:val="18"/>
      <w:szCs w:val="18"/>
      <w:lang w:val="fr-BE" w:eastAsia="fr-BE"/>
    </w:rPr>
  </w:style>
  <w:style w:type="paragraph" w:styleId="BodyText">
    <w:name w:val="Body Text"/>
    <w:basedOn w:val="Normal"/>
    <w:link w:val="BodyTextChar"/>
    <w:uiPriority w:val="1"/>
    <w:semiHidden/>
    <w:unhideWhenUsed/>
    <w:rsid w:val="00D70A2D"/>
    <w:pPr>
      <w:spacing w:after="240" w:line="240" w:lineRule="auto"/>
    </w:pPr>
    <w:rPr>
      <w:rFonts w:ascii="Verdana" w:hAnsi="Verdana" w:cs="Times New Roman"/>
      <w:sz w:val="18"/>
      <w:szCs w:val="18"/>
      <w:lang w:val="fr-BE" w:eastAsia="fr-BE"/>
    </w:rPr>
  </w:style>
  <w:style w:type="character" w:customStyle="1" w:styleId="BodyTextChar">
    <w:name w:val="Body Text Char"/>
    <w:basedOn w:val="DefaultParagraphFont"/>
    <w:link w:val="BodyText"/>
    <w:uiPriority w:val="1"/>
    <w:semiHidden/>
    <w:rsid w:val="00D70A2D"/>
    <w:rPr>
      <w:rFonts w:ascii="Verdana" w:hAnsi="Verdana" w:cs="Times New Roman"/>
      <w:sz w:val="18"/>
      <w:szCs w:val="18"/>
      <w:lang w:val="fr-BE" w:eastAsia="fr-BE"/>
    </w:rPr>
  </w:style>
  <w:style w:type="paragraph" w:styleId="BodyText2">
    <w:name w:val="Body Text 2"/>
    <w:basedOn w:val="Normal"/>
    <w:link w:val="BodyText2Char"/>
    <w:uiPriority w:val="1"/>
    <w:semiHidden/>
    <w:unhideWhenUsed/>
    <w:rsid w:val="00D70A2D"/>
    <w:pPr>
      <w:tabs>
        <w:tab w:val="num" w:pos="1134"/>
      </w:tabs>
      <w:spacing w:after="240" w:line="240" w:lineRule="auto"/>
      <w:ind w:left="1134" w:hanging="567"/>
    </w:pPr>
    <w:rPr>
      <w:rFonts w:ascii="Verdana" w:hAnsi="Verdana" w:cs="Times New Roman"/>
      <w:sz w:val="18"/>
      <w:szCs w:val="18"/>
      <w:lang w:val="fr-BE" w:eastAsia="fr-BE"/>
    </w:rPr>
  </w:style>
  <w:style w:type="character" w:customStyle="1" w:styleId="BodyText2Char">
    <w:name w:val="Body Text 2 Char"/>
    <w:basedOn w:val="DefaultParagraphFont"/>
    <w:link w:val="BodyText2"/>
    <w:uiPriority w:val="1"/>
    <w:semiHidden/>
    <w:rsid w:val="00D70A2D"/>
    <w:rPr>
      <w:rFonts w:ascii="Verdana" w:hAnsi="Verdana" w:cs="Times New Roman"/>
      <w:sz w:val="18"/>
      <w:szCs w:val="18"/>
      <w:lang w:val="fr-BE" w:eastAsia="fr-BE"/>
    </w:rPr>
  </w:style>
  <w:style w:type="paragraph" w:styleId="BodyText3">
    <w:name w:val="Body Text 3"/>
    <w:basedOn w:val="Normal"/>
    <w:link w:val="BodyText3Char"/>
    <w:uiPriority w:val="1"/>
    <w:semiHidden/>
    <w:unhideWhenUsed/>
    <w:rsid w:val="00D70A2D"/>
    <w:pPr>
      <w:tabs>
        <w:tab w:val="num" w:pos="1701"/>
      </w:tabs>
      <w:spacing w:after="240" w:line="240" w:lineRule="auto"/>
      <w:ind w:left="1701" w:hanging="567"/>
    </w:pPr>
    <w:rPr>
      <w:rFonts w:ascii="Verdana" w:hAnsi="Verdana" w:cs="Times New Roman"/>
      <w:sz w:val="18"/>
      <w:szCs w:val="18"/>
      <w:lang w:val="fr-BE" w:eastAsia="fr-BE"/>
    </w:rPr>
  </w:style>
  <w:style w:type="character" w:customStyle="1" w:styleId="BodyText3Char">
    <w:name w:val="Body Text 3 Char"/>
    <w:basedOn w:val="DefaultParagraphFont"/>
    <w:link w:val="BodyText3"/>
    <w:uiPriority w:val="1"/>
    <w:semiHidden/>
    <w:rsid w:val="00D70A2D"/>
    <w:rPr>
      <w:rFonts w:ascii="Verdana" w:hAnsi="Verdana" w:cs="Times New Roman"/>
      <w:sz w:val="18"/>
      <w:szCs w:val="18"/>
      <w:lang w:val="fr-BE" w:eastAsia="fr-BE"/>
    </w:rPr>
  </w:style>
  <w:style w:type="numbering" w:customStyle="1" w:styleId="LegalHeadings">
    <w:name w:val="LegalHeadings"/>
    <w:uiPriority w:val="99"/>
    <w:rsid w:val="00D70A2D"/>
    <w:pPr>
      <w:numPr>
        <w:numId w:val="3"/>
      </w:numPr>
    </w:pPr>
  </w:style>
  <w:style w:type="character" w:customStyle="1" w:styleId="Marker">
    <w:name w:val="Marker"/>
    <w:basedOn w:val="DefaultParagraphFont"/>
    <w:rsid w:val="008D4B25"/>
    <w:rPr>
      <w:color w:val="0000FF"/>
      <w:shd w:val="clear" w:color="auto" w:fill="auto"/>
    </w:rPr>
  </w:style>
  <w:style w:type="paragraph" w:customStyle="1" w:styleId="Pagedecouverture">
    <w:name w:val="Page de couverture"/>
    <w:basedOn w:val="Normal"/>
    <w:next w:val="Normal"/>
    <w:rsid w:val="008D4B25"/>
    <w:pPr>
      <w:spacing w:after="0" w:line="240" w:lineRule="auto"/>
    </w:pPr>
    <w:rPr>
      <w:rFonts w:cs="Times New Roman"/>
      <w:sz w:val="24"/>
    </w:rPr>
  </w:style>
  <w:style w:type="paragraph" w:customStyle="1" w:styleId="FooterCoverPage">
    <w:name w:val="Footer Cover Page"/>
    <w:basedOn w:val="Normal"/>
    <w:link w:val="FooterCoverPageChar"/>
    <w:rsid w:val="008D4B25"/>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sid w:val="008D4B25"/>
    <w:rPr>
      <w:rFonts w:ascii="Times New Roman" w:hAnsi="Times New Roman"/>
      <w:sz w:val="24"/>
      <w:lang w:val="en-GB"/>
    </w:rPr>
  </w:style>
  <w:style w:type="paragraph" w:customStyle="1" w:styleId="FooterSensitivity">
    <w:name w:val="Footer Sensitivity"/>
    <w:basedOn w:val="Normal"/>
    <w:link w:val="FooterSensitivityChar"/>
    <w:rsid w:val="008D4B2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sid w:val="008D4B25"/>
    <w:rPr>
      <w:rFonts w:ascii="Times New Roman" w:hAnsi="Times New Roman"/>
      <w:b/>
      <w:sz w:val="32"/>
      <w:lang w:val="en-GB"/>
    </w:rPr>
  </w:style>
  <w:style w:type="paragraph" w:customStyle="1" w:styleId="HeaderCoverPage">
    <w:name w:val="Header Cover Page"/>
    <w:basedOn w:val="Normal"/>
    <w:link w:val="HeaderCoverPageChar"/>
    <w:rsid w:val="008D4B25"/>
    <w:pPr>
      <w:tabs>
        <w:tab w:val="center" w:pos="4535"/>
        <w:tab w:val="right" w:pos="9071"/>
      </w:tabs>
      <w:spacing w:after="120" w:line="240" w:lineRule="auto"/>
    </w:pPr>
    <w:rPr>
      <w:sz w:val="24"/>
    </w:rPr>
  </w:style>
  <w:style w:type="character" w:customStyle="1" w:styleId="HeaderCoverPageChar">
    <w:name w:val="Header Cover Page Char"/>
    <w:basedOn w:val="DefaultParagraphFont"/>
    <w:link w:val="HeaderCoverPage"/>
    <w:rsid w:val="008D4B25"/>
    <w:rPr>
      <w:rFonts w:ascii="Times New Roman" w:hAnsi="Times New Roman"/>
      <w:sz w:val="24"/>
      <w:lang w:val="en-GB"/>
    </w:rPr>
  </w:style>
  <w:style w:type="paragraph" w:customStyle="1" w:styleId="HeaderSensitivity">
    <w:name w:val="Header Sensitivity"/>
    <w:basedOn w:val="Normal"/>
    <w:link w:val="HeaderSensitivityChar"/>
    <w:rsid w:val="008D4B25"/>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8D4B25"/>
    <w:rPr>
      <w:rFonts w:ascii="Times New Roman" w:hAnsi="Times New Roman"/>
      <w:b/>
      <w:sz w:val="32"/>
      <w:lang w:val="en-GB"/>
    </w:rPr>
  </w:style>
  <w:style w:type="paragraph" w:customStyle="1" w:styleId="HeaderSensitivityRight">
    <w:name w:val="Header Sensitivity Right"/>
    <w:basedOn w:val="Normal"/>
    <w:link w:val="HeaderSensitivityRightChar"/>
    <w:rsid w:val="008D4B25"/>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8D4B25"/>
    <w:rPr>
      <w:rFonts w:ascii="Times New Roman" w:hAnsi="Times New Roman"/>
      <w:sz w:val="28"/>
      <w:lang w:val="en-GB"/>
    </w:rPr>
  </w:style>
  <w:style w:type="paragraph" w:styleId="ListParagraph">
    <w:name w:val="List Paragraph"/>
    <w:basedOn w:val="Normal"/>
    <w:uiPriority w:val="34"/>
    <w:qFormat/>
    <w:rsid w:val="00552BF0"/>
    <w:pPr>
      <w:ind w:left="720"/>
      <w:contextualSpacing/>
      <w:jc w:val="left"/>
    </w:pPr>
    <w:rPr>
      <w:rFonts w:asciiTheme="minorHAnsi" w:eastAsiaTheme="minorEastAsia" w:hAnsiTheme="minorHAnsi"/>
      <w:sz w:val="22"/>
      <w:lang w:val="en-US" w:eastAsia="zh-CN"/>
    </w:rPr>
  </w:style>
  <w:style w:type="character" w:customStyle="1" w:styleId="UnresolvedMention">
    <w:name w:val="Unresolved Mention"/>
    <w:basedOn w:val="DefaultParagraphFont"/>
    <w:uiPriority w:val="99"/>
    <w:semiHidden/>
    <w:unhideWhenUsed/>
    <w:rsid w:val="00016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76815">
      <w:bodyDiv w:val="1"/>
      <w:marLeft w:val="0"/>
      <w:marRight w:val="0"/>
      <w:marTop w:val="0"/>
      <w:marBottom w:val="0"/>
      <w:divBdr>
        <w:top w:val="none" w:sz="0" w:space="0" w:color="auto"/>
        <w:left w:val="none" w:sz="0" w:space="0" w:color="auto"/>
        <w:bottom w:val="none" w:sz="0" w:space="0" w:color="auto"/>
        <w:right w:val="none" w:sz="0" w:space="0" w:color="auto"/>
      </w:divBdr>
    </w:div>
    <w:div w:id="167794628">
      <w:bodyDiv w:val="1"/>
      <w:marLeft w:val="0"/>
      <w:marRight w:val="0"/>
      <w:marTop w:val="0"/>
      <w:marBottom w:val="0"/>
      <w:divBdr>
        <w:top w:val="none" w:sz="0" w:space="0" w:color="auto"/>
        <w:left w:val="none" w:sz="0" w:space="0" w:color="auto"/>
        <w:bottom w:val="none" w:sz="0" w:space="0" w:color="auto"/>
        <w:right w:val="none" w:sz="0" w:space="0" w:color="auto"/>
      </w:divBdr>
    </w:div>
    <w:div w:id="304941636">
      <w:bodyDiv w:val="1"/>
      <w:marLeft w:val="0"/>
      <w:marRight w:val="0"/>
      <w:marTop w:val="0"/>
      <w:marBottom w:val="0"/>
      <w:divBdr>
        <w:top w:val="none" w:sz="0" w:space="0" w:color="auto"/>
        <w:left w:val="none" w:sz="0" w:space="0" w:color="auto"/>
        <w:bottom w:val="none" w:sz="0" w:space="0" w:color="auto"/>
        <w:right w:val="none" w:sz="0" w:space="0" w:color="auto"/>
      </w:divBdr>
    </w:div>
    <w:div w:id="349722267">
      <w:bodyDiv w:val="1"/>
      <w:marLeft w:val="0"/>
      <w:marRight w:val="0"/>
      <w:marTop w:val="0"/>
      <w:marBottom w:val="0"/>
      <w:divBdr>
        <w:top w:val="none" w:sz="0" w:space="0" w:color="auto"/>
        <w:left w:val="none" w:sz="0" w:space="0" w:color="auto"/>
        <w:bottom w:val="none" w:sz="0" w:space="0" w:color="auto"/>
        <w:right w:val="none" w:sz="0" w:space="0" w:color="auto"/>
      </w:divBdr>
    </w:div>
    <w:div w:id="431778475">
      <w:bodyDiv w:val="1"/>
      <w:marLeft w:val="0"/>
      <w:marRight w:val="0"/>
      <w:marTop w:val="0"/>
      <w:marBottom w:val="0"/>
      <w:divBdr>
        <w:top w:val="none" w:sz="0" w:space="0" w:color="auto"/>
        <w:left w:val="none" w:sz="0" w:space="0" w:color="auto"/>
        <w:bottom w:val="none" w:sz="0" w:space="0" w:color="auto"/>
        <w:right w:val="none" w:sz="0" w:space="0" w:color="auto"/>
      </w:divBdr>
    </w:div>
    <w:div w:id="449863336">
      <w:bodyDiv w:val="1"/>
      <w:marLeft w:val="0"/>
      <w:marRight w:val="0"/>
      <w:marTop w:val="0"/>
      <w:marBottom w:val="0"/>
      <w:divBdr>
        <w:top w:val="none" w:sz="0" w:space="0" w:color="auto"/>
        <w:left w:val="none" w:sz="0" w:space="0" w:color="auto"/>
        <w:bottom w:val="none" w:sz="0" w:space="0" w:color="auto"/>
        <w:right w:val="none" w:sz="0" w:space="0" w:color="auto"/>
      </w:divBdr>
    </w:div>
    <w:div w:id="459304546">
      <w:bodyDiv w:val="1"/>
      <w:marLeft w:val="0"/>
      <w:marRight w:val="0"/>
      <w:marTop w:val="0"/>
      <w:marBottom w:val="0"/>
      <w:divBdr>
        <w:top w:val="none" w:sz="0" w:space="0" w:color="auto"/>
        <w:left w:val="none" w:sz="0" w:space="0" w:color="auto"/>
        <w:bottom w:val="none" w:sz="0" w:space="0" w:color="auto"/>
        <w:right w:val="none" w:sz="0" w:space="0" w:color="auto"/>
      </w:divBdr>
    </w:div>
    <w:div w:id="699205693">
      <w:bodyDiv w:val="1"/>
      <w:marLeft w:val="0"/>
      <w:marRight w:val="0"/>
      <w:marTop w:val="0"/>
      <w:marBottom w:val="0"/>
      <w:divBdr>
        <w:top w:val="none" w:sz="0" w:space="0" w:color="auto"/>
        <w:left w:val="none" w:sz="0" w:space="0" w:color="auto"/>
        <w:bottom w:val="none" w:sz="0" w:space="0" w:color="auto"/>
        <w:right w:val="none" w:sz="0" w:space="0" w:color="auto"/>
      </w:divBdr>
    </w:div>
    <w:div w:id="738215813">
      <w:bodyDiv w:val="1"/>
      <w:marLeft w:val="0"/>
      <w:marRight w:val="0"/>
      <w:marTop w:val="0"/>
      <w:marBottom w:val="0"/>
      <w:divBdr>
        <w:top w:val="none" w:sz="0" w:space="0" w:color="auto"/>
        <w:left w:val="none" w:sz="0" w:space="0" w:color="auto"/>
        <w:bottom w:val="none" w:sz="0" w:space="0" w:color="auto"/>
        <w:right w:val="none" w:sz="0" w:space="0" w:color="auto"/>
      </w:divBdr>
    </w:div>
    <w:div w:id="924146695">
      <w:bodyDiv w:val="1"/>
      <w:marLeft w:val="0"/>
      <w:marRight w:val="0"/>
      <w:marTop w:val="0"/>
      <w:marBottom w:val="0"/>
      <w:divBdr>
        <w:top w:val="none" w:sz="0" w:space="0" w:color="auto"/>
        <w:left w:val="none" w:sz="0" w:space="0" w:color="auto"/>
        <w:bottom w:val="none" w:sz="0" w:space="0" w:color="auto"/>
        <w:right w:val="none" w:sz="0" w:space="0" w:color="auto"/>
      </w:divBdr>
    </w:div>
    <w:div w:id="1127624701">
      <w:bodyDiv w:val="1"/>
      <w:marLeft w:val="0"/>
      <w:marRight w:val="0"/>
      <w:marTop w:val="0"/>
      <w:marBottom w:val="0"/>
      <w:divBdr>
        <w:top w:val="none" w:sz="0" w:space="0" w:color="auto"/>
        <w:left w:val="none" w:sz="0" w:space="0" w:color="auto"/>
        <w:bottom w:val="none" w:sz="0" w:space="0" w:color="auto"/>
        <w:right w:val="none" w:sz="0" w:space="0" w:color="auto"/>
      </w:divBdr>
    </w:div>
    <w:div w:id="1230730426">
      <w:bodyDiv w:val="1"/>
      <w:marLeft w:val="0"/>
      <w:marRight w:val="0"/>
      <w:marTop w:val="0"/>
      <w:marBottom w:val="0"/>
      <w:divBdr>
        <w:top w:val="none" w:sz="0" w:space="0" w:color="auto"/>
        <w:left w:val="none" w:sz="0" w:space="0" w:color="auto"/>
        <w:bottom w:val="none" w:sz="0" w:space="0" w:color="auto"/>
        <w:right w:val="none" w:sz="0" w:space="0" w:color="auto"/>
      </w:divBdr>
    </w:div>
    <w:div w:id="1254320404">
      <w:bodyDiv w:val="1"/>
      <w:marLeft w:val="0"/>
      <w:marRight w:val="0"/>
      <w:marTop w:val="0"/>
      <w:marBottom w:val="0"/>
      <w:divBdr>
        <w:top w:val="none" w:sz="0" w:space="0" w:color="auto"/>
        <w:left w:val="none" w:sz="0" w:space="0" w:color="auto"/>
        <w:bottom w:val="none" w:sz="0" w:space="0" w:color="auto"/>
        <w:right w:val="none" w:sz="0" w:space="0" w:color="auto"/>
      </w:divBdr>
    </w:div>
    <w:div w:id="1509446135">
      <w:bodyDiv w:val="1"/>
      <w:marLeft w:val="0"/>
      <w:marRight w:val="0"/>
      <w:marTop w:val="0"/>
      <w:marBottom w:val="0"/>
      <w:divBdr>
        <w:top w:val="none" w:sz="0" w:space="0" w:color="auto"/>
        <w:left w:val="none" w:sz="0" w:space="0" w:color="auto"/>
        <w:bottom w:val="none" w:sz="0" w:space="0" w:color="auto"/>
        <w:right w:val="none" w:sz="0" w:space="0" w:color="auto"/>
      </w:divBdr>
    </w:div>
    <w:div w:id="1518352451">
      <w:bodyDiv w:val="1"/>
      <w:marLeft w:val="0"/>
      <w:marRight w:val="0"/>
      <w:marTop w:val="0"/>
      <w:marBottom w:val="0"/>
      <w:divBdr>
        <w:top w:val="none" w:sz="0" w:space="0" w:color="auto"/>
        <w:left w:val="none" w:sz="0" w:space="0" w:color="auto"/>
        <w:bottom w:val="none" w:sz="0" w:space="0" w:color="auto"/>
        <w:right w:val="none" w:sz="0" w:space="0" w:color="auto"/>
      </w:divBdr>
      <w:divsChild>
        <w:div w:id="284195000">
          <w:marLeft w:val="0"/>
          <w:marRight w:val="0"/>
          <w:marTop w:val="0"/>
          <w:marBottom w:val="0"/>
          <w:divBdr>
            <w:top w:val="none" w:sz="0" w:space="0" w:color="auto"/>
            <w:left w:val="none" w:sz="0" w:space="0" w:color="auto"/>
            <w:bottom w:val="none" w:sz="0" w:space="0" w:color="auto"/>
            <w:right w:val="none" w:sz="0" w:space="0" w:color="auto"/>
          </w:divBdr>
          <w:divsChild>
            <w:div w:id="2148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9628">
      <w:bodyDiv w:val="1"/>
      <w:marLeft w:val="0"/>
      <w:marRight w:val="0"/>
      <w:marTop w:val="0"/>
      <w:marBottom w:val="0"/>
      <w:divBdr>
        <w:top w:val="none" w:sz="0" w:space="0" w:color="auto"/>
        <w:left w:val="none" w:sz="0" w:space="0" w:color="auto"/>
        <w:bottom w:val="none" w:sz="0" w:space="0" w:color="auto"/>
        <w:right w:val="none" w:sz="0" w:space="0" w:color="auto"/>
      </w:divBdr>
      <w:divsChild>
        <w:div w:id="1645155235">
          <w:marLeft w:val="0"/>
          <w:marRight w:val="0"/>
          <w:marTop w:val="0"/>
          <w:marBottom w:val="0"/>
          <w:divBdr>
            <w:top w:val="none" w:sz="0" w:space="0" w:color="auto"/>
            <w:left w:val="none" w:sz="0" w:space="0" w:color="auto"/>
            <w:bottom w:val="none" w:sz="0" w:space="0" w:color="auto"/>
            <w:right w:val="none" w:sz="0" w:space="0" w:color="auto"/>
          </w:divBdr>
          <w:divsChild>
            <w:div w:id="3166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5315">
      <w:bodyDiv w:val="1"/>
      <w:marLeft w:val="0"/>
      <w:marRight w:val="0"/>
      <w:marTop w:val="0"/>
      <w:marBottom w:val="0"/>
      <w:divBdr>
        <w:top w:val="none" w:sz="0" w:space="0" w:color="auto"/>
        <w:left w:val="none" w:sz="0" w:space="0" w:color="auto"/>
        <w:bottom w:val="none" w:sz="0" w:space="0" w:color="auto"/>
        <w:right w:val="none" w:sz="0" w:space="0" w:color="auto"/>
      </w:divBdr>
    </w:div>
    <w:div w:id="1829130529">
      <w:bodyDiv w:val="1"/>
      <w:marLeft w:val="0"/>
      <w:marRight w:val="0"/>
      <w:marTop w:val="0"/>
      <w:marBottom w:val="0"/>
      <w:divBdr>
        <w:top w:val="none" w:sz="0" w:space="0" w:color="auto"/>
        <w:left w:val="none" w:sz="0" w:space="0" w:color="auto"/>
        <w:bottom w:val="none" w:sz="0" w:space="0" w:color="auto"/>
        <w:right w:val="none" w:sz="0" w:space="0" w:color="auto"/>
      </w:divBdr>
    </w:div>
    <w:div w:id="1887720852">
      <w:bodyDiv w:val="1"/>
      <w:marLeft w:val="0"/>
      <w:marRight w:val="0"/>
      <w:marTop w:val="0"/>
      <w:marBottom w:val="0"/>
      <w:divBdr>
        <w:top w:val="none" w:sz="0" w:space="0" w:color="auto"/>
        <w:left w:val="none" w:sz="0" w:space="0" w:color="auto"/>
        <w:bottom w:val="none" w:sz="0" w:space="0" w:color="auto"/>
        <w:right w:val="none" w:sz="0" w:space="0" w:color="auto"/>
      </w:divBdr>
    </w:div>
    <w:div w:id="1977106966">
      <w:bodyDiv w:val="1"/>
      <w:marLeft w:val="0"/>
      <w:marRight w:val="0"/>
      <w:marTop w:val="0"/>
      <w:marBottom w:val="0"/>
      <w:divBdr>
        <w:top w:val="none" w:sz="0" w:space="0" w:color="auto"/>
        <w:left w:val="none" w:sz="0" w:space="0" w:color="auto"/>
        <w:bottom w:val="none" w:sz="0" w:space="0" w:color="auto"/>
        <w:right w:val="none" w:sz="0" w:space="0" w:color="auto"/>
      </w:divBdr>
    </w:div>
    <w:div w:id="2046707755">
      <w:bodyDiv w:val="1"/>
      <w:marLeft w:val="0"/>
      <w:marRight w:val="0"/>
      <w:marTop w:val="0"/>
      <w:marBottom w:val="0"/>
      <w:divBdr>
        <w:top w:val="none" w:sz="0" w:space="0" w:color="auto"/>
        <w:left w:val="none" w:sz="0" w:space="0" w:color="auto"/>
        <w:bottom w:val="none" w:sz="0" w:space="0" w:color="auto"/>
        <w:right w:val="none" w:sz="0" w:space="0" w:color="auto"/>
      </w:divBdr>
    </w:div>
    <w:div w:id="206224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4.PNG"/><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13" Type="http://schemas.openxmlformats.org/officeDocument/2006/relationships/hyperlink" Target="https://youtu.be/3yQkOwvdl-Q" TargetMode="External"/><Relationship Id="rId18" Type="http://schemas.openxmlformats.org/officeDocument/2006/relationships/hyperlink" Target="https://ec.europa.eu/commission/presscorner/detail/en/ip_22_7777" TargetMode="External"/><Relationship Id="rId26" Type="http://schemas.openxmlformats.org/officeDocument/2006/relationships/hyperlink" Target="https://ec.europa.eu/commission/presscorner/detail/en/IP_22_5364" TargetMode="External"/><Relationship Id="rId39" Type="http://schemas.openxmlformats.org/officeDocument/2006/relationships/hyperlink" Target="https://ec.europa.eu/commission/presscorner/detail/en/IP_22_2202" TargetMode="External"/><Relationship Id="rId3" Type="http://schemas.openxmlformats.org/officeDocument/2006/relationships/hyperlink" Target="https://ec.europa.eu/commission/presscorner/detail/en/IP_22_3131" TargetMode="External"/><Relationship Id="rId21" Type="http://schemas.openxmlformats.org/officeDocument/2006/relationships/hyperlink" Target="https://ec.europa.eu/competition/elojade/isef/case_details.cfm?proc_code=1_AT_40452" TargetMode="External"/><Relationship Id="rId34" Type="http://schemas.openxmlformats.org/officeDocument/2006/relationships/hyperlink" Target="https://ec.europa.eu/commission/presscorner/detail/en/ip_22_7243" TargetMode="External"/><Relationship Id="rId42" Type="http://schemas.openxmlformats.org/officeDocument/2006/relationships/hyperlink" Target="https://ec.europa.eu/commission/presscorner/detail/en/IP_22_4603" TargetMode="External"/><Relationship Id="rId47" Type="http://schemas.openxmlformats.org/officeDocument/2006/relationships/hyperlink" Target="https://ec.europa.eu/commission/presscorner/detail/en/IP_22_5922" TargetMode="External"/><Relationship Id="rId50" Type="http://schemas.openxmlformats.org/officeDocument/2006/relationships/hyperlink" Target="https://ec.europa.eu/commission/presscorner/detail/en/ip_22_7433" TargetMode="External"/><Relationship Id="rId7" Type="http://schemas.openxmlformats.org/officeDocument/2006/relationships/hyperlink" Target="https://competition-policy.ec.europa.eu/public-consultations/2022-market-definition-notice_en" TargetMode="External"/><Relationship Id="rId12" Type="http://schemas.openxmlformats.org/officeDocument/2006/relationships/hyperlink" Target="https://ec.europa.eu/commission/presscorner/detail/en/ip_22_7595" TargetMode="External"/><Relationship Id="rId17" Type="http://schemas.openxmlformats.org/officeDocument/2006/relationships/hyperlink" Target="https://ec.europa.eu/competition/antitrust/cases1/202229/AT_40462_8414012_7971_3.pdf" TargetMode="External"/><Relationship Id="rId25" Type="http://schemas.openxmlformats.org/officeDocument/2006/relationships/hyperlink" Target="https://ec.europa.eu/competition/mergers/cases1/202242/M_10262_8559915_3054_3.pdf" TargetMode="External"/><Relationship Id="rId33" Type="http://schemas.openxmlformats.org/officeDocument/2006/relationships/hyperlink" Target="https://ec.europa.eu/commission/presscorner/detail/en/IP_22_6578" TargetMode="External"/><Relationship Id="rId38" Type="http://schemas.openxmlformats.org/officeDocument/2006/relationships/hyperlink" Target="https://ec.europa.eu/commission/presscorner/detail/en/ip_21_6769" TargetMode="External"/><Relationship Id="rId46" Type="http://schemas.openxmlformats.org/officeDocument/2006/relationships/hyperlink" Target="https://ec.europa.eu/commission/presscorner/detail/en/SPEECH_22_6445" TargetMode="External"/><Relationship Id="rId2" Type="http://schemas.openxmlformats.org/officeDocument/2006/relationships/hyperlink" Target="https://ec.europa.eu/commission/presscorner/detail/en/IP_22_7828" TargetMode="External"/><Relationship Id="rId16" Type="http://schemas.openxmlformats.org/officeDocument/2006/relationships/hyperlink" Target="https://ec.europa.eu/competition/elojade/isef/case_details.cfm?proc_code=1_40305" TargetMode="External"/><Relationship Id="rId20" Type="http://schemas.openxmlformats.org/officeDocument/2006/relationships/hyperlink" Target="https://ec.europa.eu/commission/presscorner/detail/en/ip_22_1703" TargetMode="External"/><Relationship Id="rId29" Type="http://schemas.openxmlformats.org/officeDocument/2006/relationships/hyperlink" Target="https://ec.europa.eu/commission/presscorner/detail/en/IP_22_7403" TargetMode="External"/><Relationship Id="rId41" Type="http://schemas.openxmlformats.org/officeDocument/2006/relationships/hyperlink" Target="https://ec.europa.eu/commission/presscorner/detail/en/ip_20_2017" TargetMode="External"/><Relationship Id="rId1" Type="http://schemas.openxmlformats.org/officeDocument/2006/relationships/hyperlink" Target="https://ec.europa.eu/commission/presscorner/detail/en/IP_22_7830" TargetMode="External"/><Relationship Id="rId6" Type="http://schemas.openxmlformats.org/officeDocument/2006/relationships/hyperlink" Target="https://competition-policy.ec.europa.eu/system/files/2022-10/coronavirus_informal_guidance_notice_antitrust_2022.pdf" TargetMode="External"/><Relationship Id="rId11" Type="http://schemas.openxmlformats.org/officeDocument/2006/relationships/hyperlink" Target="https://ec.europa.eu/info/law/better-regulation/have-your-say/initiatives/13431-EU-antitrust-procedural-rules-evaluation_en" TargetMode="External"/><Relationship Id="rId24" Type="http://schemas.openxmlformats.org/officeDocument/2006/relationships/hyperlink" Target="https://ec.europa.eu/competition/elojade/isef/case_details.cfm?proc_code=2_M_9343" TargetMode="External"/><Relationship Id="rId32" Type="http://schemas.openxmlformats.org/officeDocument/2006/relationships/hyperlink" Target="https://ec.europa.eu/commission/presscorner/detail/en/ip_22_4762" TargetMode="External"/><Relationship Id="rId37" Type="http://schemas.openxmlformats.org/officeDocument/2006/relationships/hyperlink" Target="https://competition-policy.ec.europa.eu/single-market-programme-smp/calls-tenders-contracts/ex-ante-publicity-low-and-middle-value-contracts_en" TargetMode="External"/><Relationship Id="rId40" Type="http://schemas.openxmlformats.org/officeDocument/2006/relationships/hyperlink" Target="https://www.era.europa.eu/content/report-fostering-railway-sector-through-european-green-deal_en" TargetMode="External"/><Relationship Id="rId45" Type="http://schemas.openxmlformats.org/officeDocument/2006/relationships/hyperlink" Target="https://ec.europa.eu/commission/presscorner/detail/en/ip_22_7794" TargetMode="External"/><Relationship Id="rId5" Type="http://schemas.openxmlformats.org/officeDocument/2006/relationships/hyperlink" Target="https://competition-policy.ec.europa.eu/public-consultations/2022-hbers_en" TargetMode="External"/><Relationship Id="rId15" Type="http://schemas.openxmlformats.org/officeDocument/2006/relationships/hyperlink" Target="https://ec.europa.eu/commission/presscorner/detail/en/ip_22_6374" TargetMode="External"/><Relationship Id="rId23" Type="http://schemas.openxmlformats.org/officeDocument/2006/relationships/hyperlink" Target="https://ec.europa.eu/competition/elojade/isef/case_details.cfm?proc_code=1_AT_40099" TargetMode="External"/><Relationship Id="rId28" Type="http://schemas.openxmlformats.org/officeDocument/2006/relationships/hyperlink" Target="https://ec.europa.eu/commission/presscorner/detail/en/ip_22_4604" TargetMode="External"/><Relationship Id="rId36" Type="http://schemas.openxmlformats.org/officeDocument/2006/relationships/hyperlink" Target="https://ec.europa.eu/commission/presscorner/detail/en/IP_22_1258" TargetMode="External"/><Relationship Id="rId49" Type="http://schemas.openxmlformats.org/officeDocument/2006/relationships/hyperlink" Target="https://ec.europa.eu/commission/presscorner/detail/en/ip_22_6167" TargetMode="External"/><Relationship Id="rId10" Type="http://schemas.openxmlformats.org/officeDocument/2006/relationships/hyperlink" Target="https://ec.europa.eu/info/law/better-regulation/have-your-say/initiatives/13305-Sustainability-agreements-in-agriculture-guidelines-on-antitrust-derogation_en" TargetMode="External"/><Relationship Id="rId19" Type="http://schemas.openxmlformats.org/officeDocument/2006/relationships/hyperlink" Target="https://ec.europa.eu/commission/presscorner/detail/en/ip_22_7728" TargetMode="External"/><Relationship Id="rId31" Type="http://schemas.openxmlformats.org/officeDocument/2006/relationships/hyperlink" Target="https://competition-policy.ec.europa.eu/system/files/2022-12/article22_recalibrated_approach_QandA.pdf" TargetMode="External"/><Relationship Id="rId44" Type="http://schemas.openxmlformats.org/officeDocument/2006/relationships/hyperlink" Target="https://ec.europa.eu/commission/presscorner/detail/en/statement_22_5677" TargetMode="External"/><Relationship Id="rId52" Type="http://schemas.openxmlformats.org/officeDocument/2006/relationships/hyperlink" Target="https://africa.competitioncooperation.eu" TargetMode="External"/><Relationship Id="rId4" Type="http://schemas.openxmlformats.org/officeDocument/2006/relationships/hyperlink" Target="https://ec.europa.eu/economy_finance/recovery-and-resilience-scoreboard/index.html?lang=en" TargetMode="External"/><Relationship Id="rId9" Type="http://schemas.openxmlformats.org/officeDocument/2006/relationships/hyperlink" Target="https://competition-policy.ec.europa.eu/public-consultations/2022-merger-simplification_en" TargetMode="External"/><Relationship Id="rId14" Type="http://schemas.openxmlformats.org/officeDocument/2006/relationships/hyperlink" Target="https://op.europa.eu/en/publication-detail/-/publication/dbfa0d39-5350-11ed-92ed-01aa75ed71a1/language-en/format-PDF/source-273802603" TargetMode="External"/><Relationship Id="rId22" Type="http://schemas.openxmlformats.org/officeDocument/2006/relationships/hyperlink" Target="https://ec.europa.eu/commission/presscorner/detail/en/ip_22_2764" TargetMode="External"/><Relationship Id="rId27" Type="http://schemas.openxmlformats.org/officeDocument/2006/relationships/hyperlink" Target="https://ec.europa.eu/commission/presscorner/detail/en/ip_21_5661" TargetMode="External"/><Relationship Id="rId30" Type="http://schemas.openxmlformats.org/officeDocument/2006/relationships/hyperlink" Target="https://ec.europa.eu/commission/commissioners/2019-2024/vestager/announcements/future-eu-merger-control_en" TargetMode="External"/><Relationship Id="rId35" Type="http://schemas.openxmlformats.org/officeDocument/2006/relationships/hyperlink" Target="https://ec.europa.eu/commission/presscorner/detail/en/ip_22_7835" TargetMode="External"/><Relationship Id="rId43" Type="http://schemas.openxmlformats.org/officeDocument/2006/relationships/hyperlink" Target="https://ec.europa.eu/commission/presscorner/detail/en/ip_22_4544" TargetMode="External"/><Relationship Id="rId48" Type="http://schemas.openxmlformats.org/officeDocument/2006/relationships/hyperlink" Target="https://ec.europa.eu/competition/antitrust/cases1/202239/AT_40511_8511226_4076_3.pdf" TargetMode="External"/><Relationship Id="rId8" Type="http://schemas.openxmlformats.org/officeDocument/2006/relationships/hyperlink" Target="https://competition-policy.ec.europa.eu/system/files/2021-04/SWD_findings_of_evaluation_summary.pdf" TargetMode="External"/><Relationship Id="rId51" Type="http://schemas.openxmlformats.org/officeDocument/2006/relationships/hyperlink" Target="https://asia.competitioncooperation.eu"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n-US" sz="1400" b="1" dirty="0"/>
              <a:t>Customer savings (2012-2021) in </a:t>
            </a:r>
            <a:r>
              <a:rPr lang="en-US" sz="1400" b="1" dirty="0" err="1"/>
              <a:t>bn</a:t>
            </a:r>
            <a:r>
              <a:rPr lang="en-US" sz="1400" b="1" dirty="0"/>
              <a:t> EUR</a:t>
            </a:r>
          </a:p>
        </c:rich>
      </c:tx>
      <c:layout>
        <c:manualLayout>
          <c:xMode val="edge"/>
          <c:yMode val="edge"/>
          <c:x val="0.19943328659260057"/>
          <c:y val="0"/>
        </c:manualLayout>
      </c:layout>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580927384076991E-2"/>
          <c:y val="0.11494252873563218"/>
          <c:w val="0.85821248973095243"/>
          <c:h val="0.63964379732459675"/>
        </c:manualLayout>
      </c:layout>
      <c:barChart>
        <c:barDir val="col"/>
        <c:grouping val="stacked"/>
        <c:varyColors val="0"/>
        <c:ser>
          <c:idx val="3"/>
          <c:order val="0"/>
          <c:tx>
            <c:strRef>
              <c:f>'Fig total savings'!$D$3</c:f>
              <c:strCache>
                <c:ptCount val="1"/>
                <c:pt idx="0">
                  <c:v>Merger</c:v>
                </c:pt>
              </c:strCache>
            </c:strRef>
          </c:tx>
          <c:spPr>
            <a:solidFill>
              <a:schemeClr val="accent5">
                <a:lumMod val="75000"/>
              </a:schemeClr>
            </a:solidFill>
            <a:ln>
              <a:noFill/>
            </a:ln>
            <a:effectLst/>
          </c:spPr>
          <c:invertIfNegative val="0"/>
          <c:cat>
            <c:strRef>
              <c:f>'Fig total savings'!$A$4:$A$14</c:f>
              <c:strCache>
                <c:ptCount val="11"/>
                <c:pt idx="0">
                  <c:v>2012</c:v>
                </c:pt>
                <c:pt idx="1">
                  <c:v>2013</c:v>
                </c:pt>
                <c:pt idx="2">
                  <c:v>2014</c:v>
                </c:pt>
                <c:pt idx="3">
                  <c:v>2015</c:v>
                </c:pt>
                <c:pt idx="4">
                  <c:v>2016</c:v>
                </c:pt>
                <c:pt idx="5">
                  <c:v>2017</c:v>
                </c:pt>
                <c:pt idx="6">
                  <c:v>2018</c:v>
                </c:pt>
                <c:pt idx="7">
                  <c:v>2019</c:v>
                </c:pt>
                <c:pt idx="8">
                  <c:v>2020</c:v>
                </c:pt>
                <c:pt idx="9">
                  <c:v>2021</c:v>
                </c:pt>
                <c:pt idx="10">
                  <c:v>Average</c:v>
                </c:pt>
              </c:strCache>
            </c:strRef>
          </c:cat>
          <c:val>
            <c:numRef>
              <c:f>'Fig total savings'!$D$4:$D$14</c:f>
              <c:numCache>
                <c:formatCode>General</c:formatCode>
                <c:ptCount val="11"/>
                <c:pt idx="0">
                  <c:v>7.3</c:v>
                </c:pt>
                <c:pt idx="1">
                  <c:v>0.5</c:v>
                </c:pt>
                <c:pt idx="2">
                  <c:v>2.85</c:v>
                </c:pt>
                <c:pt idx="3">
                  <c:v>2.2999999999999998</c:v>
                </c:pt>
                <c:pt idx="4">
                  <c:v>24.35</c:v>
                </c:pt>
                <c:pt idx="5">
                  <c:v>3.25</c:v>
                </c:pt>
                <c:pt idx="6">
                  <c:v>20</c:v>
                </c:pt>
                <c:pt idx="7">
                  <c:v>7.5500000000000007</c:v>
                </c:pt>
                <c:pt idx="8">
                  <c:v>18.399999999999999</c:v>
                </c:pt>
                <c:pt idx="9">
                  <c:v>12.25</c:v>
                </c:pt>
                <c:pt idx="10" formatCode="0.00">
                  <c:v>9.875</c:v>
                </c:pt>
              </c:numCache>
            </c:numRef>
          </c:val>
          <c:extLst>
            <c:ext xmlns:c16="http://schemas.microsoft.com/office/drawing/2014/chart" uri="{C3380CC4-5D6E-409C-BE32-E72D297353CC}">
              <c16:uniqueId val="{00000000-526E-46D9-A6AF-2FB5791F6C84}"/>
            </c:ext>
          </c:extLst>
        </c:ser>
        <c:ser>
          <c:idx val="2"/>
          <c:order val="1"/>
          <c:tx>
            <c:strRef>
              <c:f>'Fig total savings'!$C$3</c:f>
              <c:strCache>
                <c:ptCount val="1"/>
                <c:pt idx="0">
                  <c:v>Cartel</c:v>
                </c:pt>
              </c:strCache>
            </c:strRef>
          </c:tx>
          <c:spPr>
            <a:solidFill>
              <a:schemeClr val="accent5">
                <a:lumMod val="60000"/>
                <a:lumOff val="40000"/>
              </a:schemeClr>
            </a:solidFill>
            <a:ln>
              <a:noFill/>
            </a:ln>
            <a:effectLst/>
          </c:spPr>
          <c:invertIfNegative val="0"/>
          <c:cat>
            <c:strRef>
              <c:f>'Fig total savings'!$A$4:$A$14</c:f>
              <c:strCache>
                <c:ptCount val="11"/>
                <c:pt idx="0">
                  <c:v>2012</c:v>
                </c:pt>
                <c:pt idx="1">
                  <c:v>2013</c:v>
                </c:pt>
                <c:pt idx="2">
                  <c:v>2014</c:v>
                </c:pt>
                <c:pt idx="3">
                  <c:v>2015</c:v>
                </c:pt>
                <c:pt idx="4">
                  <c:v>2016</c:v>
                </c:pt>
                <c:pt idx="5">
                  <c:v>2017</c:v>
                </c:pt>
                <c:pt idx="6">
                  <c:v>2018</c:v>
                </c:pt>
                <c:pt idx="7">
                  <c:v>2019</c:v>
                </c:pt>
                <c:pt idx="8">
                  <c:v>2020</c:v>
                </c:pt>
                <c:pt idx="9">
                  <c:v>2021</c:v>
                </c:pt>
                <c:pt idx="10">
                  <c:v>Average</c:v>
                </c:pt>
              </c:strCache>
            </c:strRef>
          </c:cat>
          <c:val>
            <c:numRef>
              <c:f>'Fig total savings'!$C$4:$C$14</c:f>
              <c:numCache>
                <c:formatCode>General</c:formatCode>
                <c:ptCount val="11"/>
                <c:pt idx="0">
                  <c:v>1.7</c:v>
                </c:pt>
                <c:pt idx="1">
                  <c:v>0.75</c:v>
                </c:pt>
                <c:pt idx="2">
                  <c:v>2.15</c:v>
                </c:pt>
                <c:pt idx="3">
                  <c:v>1.25</c:v>
                </c:pt>
                <c:pt idx="4">
                  <c:v>8.35</c:v>
                </c:pt>
                <c:pt idx="5">
                  <c:v>1.75</c:v>
                </c:pt>
                <c:pt idx="6">
                  <c:v>1.6</c:v>
                </c:pt>
                <c:pt idx="7">
                  <c:v>1.9</c:v>
                </c:pt>
                <c:pt idx="8">
                  <c:v>0.25</c:v>
                </c:pt>
                <c:pt idx="9">
                  <c:v>1.6</c:v>
                </c:pt>
                <c:pt idx="10" formatCode="0.00">
                  <c:v>2.13</c:v>
                </c:pt>
              </c:numCache>
            </c:numRef>
          </c:val>
          <c:extLst>
            <c:ext xmlns:c16="http://schemas.microsoft.com/office/drawing/2014/chart" uri="{C3380CC4-5D6E-409C-BE32-E72D297353CC}">
              <c16:uniqueId val="{00000001-526E-46D9-A6AF-2FB5791F6C84}"/>
            </c:ext>
          </c:extLst>
        </c:ser>
        <c:ser>
          <c:idx val="1"/>
          <c:order val="2"/>
          <c:tx>
            <c:strRef>
              <c:f>'Fig total savings'!$B$3</c:f>
              <c:strCache>
                <c:ptCount val="1"/>
                <c:pt idx="0">
                  <c:v>Antitrust</c:v>
                </c:pt>
              </c:strCache>
            </c:strRef>
          </c:tx>
          <c:spPr>
            <a:solidFill>
              <a:schemeClr val="accent4"/>
            </a:solidFill>
            <a:ln>
              <a:noFill/>
            </a:ln>
            <a:effectLst/>
          </c:spPr>
          <c:invertIfNegative val="0"/>
          <c:cat>
            <c:strRef>
              <c:f>'Fig total savings'!$A$4:$A$14</c:f>
              <c:strCache>
                <c:ptCount val="11"/>
                <c:pt idx="0">
                  <c:v>2012</c:v>
                </c:pt>
                <c:pt idx="1">
                  <c:v>2013</c:v>
                </c:pt>
                <c:pt idx="2">
                  <c:v>2014</c:v>
                </c:pt>
                <c:pt idx="3">
                  <c:v>2015</c:v>
                </c:pt>
                <c:pt idx="4">
                  <c:v>2016</c:v>
                </c:pt>
                <c:pt idx="5">
                  <c:v>2017</c:v>
                </c:pt>
                <c:pt idx="6">
                  <c:v>2018</c:v>
                </c:pt>
                <c:pt idx="7">
                  <c:v>2019</c:v>
                </c:pt>
                <c:pt idx="8">
                  <c:v>2020</c:v>
                </c:pt>
                <c:pt idx="9">
                  <c:v>2021</c:v>
                </c:pt>
                <c:pt idx="10">
                  <c:v>Average</c:v>
                </c:pt>
              </c:strCache>
            </c:strRef>
          </c:cat>
          <c:val>
            <c:numRef>
              <c:f>'Fig total savings'!$B$4:$B$14</c:f>
              <c:numCache>
                <c:formatCode>0.00</c:formatCode>
                <c:ptCount val="11"/>
                <c:pt idx="0">
                  <c:v>0.12848999999999999</c:v>
                </c:pt>
                <c:pt idx="1">
                  <c:v>5.4496199999999995</c:v>
                </c:pt>
                <c:pt idx="2">
                  <c:v>5.0383800000000001</c:v>
                </c:pt>
                <c:pt idx="3">
                  <c:v>2.459835</c:v>
                </c:pt>
                <c:pt idx="4">
                  <c:v>2.1396849999999996</c:v>
                </c:pt>
                <c:pt idx="5">
                  <c:v>11.026274999999998</c:v>
                </c:pt>
                <c:pt idx="6">
                  <c:v>11.168005000000001</c:v>
                </c:pt>
                <c:pt idx="7">
                  <c:v>7.052435</c:v>
                </c:pt>
                <c:pt idx="8">
                  <c:v>2.4468049999999995</c:v>
                </c:pt>
                <c:pt idx="9">
                  <c:v>0.28983500000000006</c:v>
                </c:pt>
                <c:pt idx="10">
                  <c:v>4.7199365000000002</c:v>
                </c:pt>
              </c:numCache>
            </c:numRef>
          </c:val>
          <c:extLst>
            <c:ext xmlns:c16="http://schemas.microsoft.com/office/drawing/2014/chart" uri="{C3380CC4-5D6E-409C-BE32-E72D297353CC}">
              <c16:uniqueId val="{00000002-526E-46D9-A6AF-2FB5791F6C84}"/>
            </c:ext>
          </c:extLst>
        </c:ser>
        <c:dLbls>
          <c:showLegendKey val="0"/>
          <c:showVal val="0"/>
          <c:showCatName val="0"/>
          <c:showSerName val="0"/>
          <c:showPercent val="0"/>
          <c:showBubbleSize val="0"/>
        </c:dLbls>
        <c:gapWidth val="150"/>
        <c:overlap val="100"/>
        <c:axId val="623172088"/>
        <c:axId val="623176680"/>
        <c:extLst/>
      </c:barChart>
      <c:catAx>
        <c:axId val="623172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3176680"/>
        <c:crosses val="autoZero"/>
        <c:auto val="1"/>
        <c:lblAlgn val="ctr"/>
        <c:lblOffset val="100"/>
        <c:noMultiLvlLbl val="0"/>
      </c:catAx>
      <c:valAx>
        <c:axId val="623176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3172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d5eb3fd5-40ef-444f-9a8c-26a582d0e87f">EN</EC_Collab_DocumentLanguage>
    <EC_Collab_Status xmlns="d5eb3fd5-40ef-444f-9a8c-26a582d0e87f">Not Started</EC_Collab_Status>
    <EC_Collab_Reference xmlns="d5eb3fd5-40ef-444f-9a8c-26a582d0e8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9F1BD2D9621104F92E22D48AAFC4E8E" ma:contentTypeVersion="0" ma:contentTypeDescription="Create a new document in this library." ma:contentTypeScope="" ma:versionID="5186287d05c293bdaf67e4b7547d5834">
  <xsd:schema xmlns:xsd="http://www.w3.org/2001/XMLSchema" xmlns:xs="http://www.w3.org/2001/XMLSchema" xmlns:p="http://schemas.microsoft.com/office/2006/metadata/properties" xmlns:ns2="http://schemas.microsoft.com/sharepoint/v3/fields" xmlns:ns3="d5eb3fd5-40ef-444f-9a8c-26a582d0e87f" targetNamespace="http://schemas.microsoft.com/office/2006/metadata/properties" ma:root="true" ma:fieldsID="4ec51ef12ae1ee8e33981a38fd8a8b45" ns2:_="" ns3:_="">
    <xsd:import namespace="http://schemas.microsoft.com/sharepoint/v3/fields"/>
    <xsd:import namespace="d5eb3fd5-40ef-444f-9a8c-26a582d0e87f"/>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5eb3fd5-40ef-444f-9a8c-26a582d0e87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57F0B-D8BC-428C-BDE3-7AB0EE62E04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5eb3fd5-40ef-444f-9a8c-26a582d0e87f"/>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AA6E6FEB-F368-4E8D-99F9-6BFA739B9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5eb3fd5-40ef-444f-9a8c-26a582d0e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64CF9-0CBA-4470-BEF9-3DD38CA17AA5}">
  <ds:schemaRefs>
    <ds:schemaRef ds:uri="http://schemas.microsoft.com/sharepoint/v3/contenttype/forms"/>
  </ds:schemaRefs>
</ds:datastoreItem>
</file>

<file path=customXml/itemProps4.xml><?xml version="1.0" encoding="utf-8"?>
<ds:datastoreItem xmlns:ds="http://schemas.openxmlformats.org/officeDocument/2006/customXml" ds:itemID="{4FD78605-DE6E-4BE8-9B11-6B0D41B3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10266</Words>
  <Characters>58518</Characters>
  <Application>Microsoft Office Word</Application>
  <DocSecurity>0</DocSecurity>
  <Lines>812</Lines>
  <Paragraphs>210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29</cp:revision>
  <cp:lastPrinted>2023-03-14T12:56:00Z</cp:lastPrinted>
  <dcterms:created xsi:type="dcterms:W3CDTF">2023-03-27T14:24:00Z</dcterms:created>
  <dcterms:modified xsi:type="dcterms:W3CDTF">2023-03-28T07:26:00Z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0x010100258AA79CEB83498886A3A086811232500049F1BD2D9621104F92E22D48AAFC4E8E</vt:lpwstr>
  </property>
  <property fmtid="{D5CDD505-2E9C-101B-9397-08002B2CF9AE}" pid="3" name="_dlc_DocIdItemGuid">
    <vt:lpwstr>4607d789-7f53-4562-a989-5ce7905a363d</vt:lpwstr>
  </property>
  <property fmtid="{D5CDD505-2E9C-101B-9397-08002B2CF9AE}" pid="4" name="documentCaseTags">
    <vt:lpwstr/>
  </property>
  <property fmtid="{D5CDD505-2E9C-101B-9397-08002B2CF9AE}" pid="5" name="documentGeneralTags">
    <vt:lpwstr/>
  </property>
  <property fmtid="{D5CDD505-2E9C-101B-9397-08002B2CF9AE}" pid="6" name="MSIP_Label_6bd9ddd1-4d20-43f6-abfa-fc3c07406f94_Enabled">
    <vt:lpwstr>true</vt:lpwstr>
  </property>
  <property fmtid="{D5CDD505-2E9C-101B-9397-08002B2CF9AE}" pid="7" name="MSIP_Label_6bd9ddd1-4d20-43f6-abfa-fc3c07406f94_SetDate">
    <vt:lpwstr>2023-01-03T12:54:14Z</vt:lpwstr>
  </property>
  <property fmtid="{D5CDD505-2E9C-101B-9397-08002B2CF9AE}" pid="8" name="MSIP_Label_6bd9ddd1-4d20-43f6-abfa-fc3c07406f94_Method">
    <vt:lpwstr>Privileged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42524186-d2e2-437f-983c-3dae13cff7e6</vt:lpwstr>
  </property>
  <property fmtid="{D5CDD505-2E9C-101B-9397-08002B2CF9AE}" pid="12" name="MSIP_Label_6bd9ddd1-4d20-43f6-abfa-fc3c07406f94_ContentBits">
    <vt:lpwstr>0</vt:lpwstr>
  </property>
  <property fmtid="{D5CDD505-2E9C-101B-9397-08002B2CF9AE}" pid="13" name="dd40e745e9cf4f60b82b38935b8e36d6">
    <vt:lpwstr/>
  </property>
  <property fmtid="{D5CDD505-2E9C-101B-9397-08002B2CF9AE}" pid="14" name="pd28ca420ef14eacb855b7c6c32de918">
    <vt:lpwstr/>
  </property>
  <property fmtid="{D5CDD505-2E9C-101B-9397-08002B2CF9AE}" pid="15" name="EC_Collab_DocumentLanguage">
    <vt:lpwstr>EN</vt:lpwstr>
  </property>
  <property fmtid="{D5CDD505-2E9C-101B-9397-08002B2CF9AE}" pid="16" name="EC_Collab_Status">
    <vt:lpwstr>Not Started</vt:lpwstr>
  </property>
  <property fmtid="{D5CDD505-2E9C-101B-9397-08002B2CF9AE}" pid="17" name="Level of sensitivity">
    <vt:lpwstr>Standard treatment</vt:lpwstr>
  </property>
  <property fmtid="{D5CDD505-2E9C-101B-9397-08002B2CF9AE}" pid="18" name="Part">
    <vt:lpwstr>1</vt:lpwstr>
  </property>
  <property fmtid="{D5CDD505-2E9C-101B-9397-08002B2CF9AE}" pid="19" name="Total parts">
    <vt:lpwstr>1</vt:lpwstr>
  </property>
  <property fmtid="{D5CDD505-2E9C-101B-9397-08002B2CF9AE}" pid="20" name="DocStatus">
    <vt:lpwstr>Green</vt:lpwstr>
  </property>
  <property fmtid="{D5CDD505-2E9C-101B-9397-08002B2CF9AE}" pid="21" name="CPTemplateID">
    <vt:lpwstr>CP-003</vt:lpwstr>
  </property>
  <property fmtid="{D5CDD505-2E9C-101B-9397-08002B2CF9AE}" pid="22" name="Last edited using">
    <vt:lpwstr>LW 8.1, Build 20230124</vt:lpwstr>
  </property>
  <property fmtid="{D5CDD505-2E9C-101B-9397-08002B2CF9AE}" pid="23" name="Created using">
    <vt:lpwstr>LW 8.1, Build 20220902</vt:lpwstr>
  </property>
</Properties>
</file>