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A2" w:rsidRPr="008B4DA2" w:rsidRDefault="00D32FD5" w:rsidP="00D32FD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2DE4F127-71B7-49C9-8ABB-B03148C72865" style="width:455.25pt;height:454.5pt">
            <v:imagedata r:id="rId11" o:title=""/>
          </v:shape>
        </w:pict>
      </w:r>
    </w:p>
    <w:p w:rsidR="00DC2CA2" w:rsidRPr="008B4DA2" w:rsidRDefault="00DC2CA2" w:rsidP="00DC2CA2">
      <w:pPr>
        <w:rPr>
          <w:noProof/>
        </w:rPr>
        <w:sectPr w:rsidR="00DC2CA2" w:rsidRPr="008B4DA2" w:rsidSect="00D32FD5">
          <w:footerReference w:type="default" r:id="rId12"/>
          <w:pgSz w:w="11907" w:h="16839"/>
          <w:pgMar w:top="1134" w:right="1417" w:bottom="1134" w:left="1417" w:header="709" w:footer="709" w:gutter="0"/>
          <w:pgNumType w:start="0"/>
          <w:cols w:space="720"/>
          <w:docGrid w:linePitch="360"/>
        </w:sectPr>
      </w:pPr>
    </w:p>
    <w:p w:rsidR="003E33F3" w:rsidRPr="008B4DA2" w:rsidRDefault="003E33F3" w:rsidP="003E33F3">
      <w:pPr>
        <w:pStyle w:val="Exposdesmotifstitre"/>
        <w:rPr>
          <w:noProof/>
        </w:rPr>
      </w:pPr>
      <w:bookmarkStart w:id="0" w:name="_GoBack"/>
      <w:bookmarkEnd w:id="0"/>
      <w:r w:rsidRPr="008B4DA2">
        <w:rPr>
          <w:noProof/>
        </w:rPr>
        <w:lastRenderedPageBreak/>
        <w:t>UZASADNIENIE</w:t>
      </w:r>
    </w:p>
    <w:p w:rsidR="00BD67F9" w:rsidRPr="008B4DA2" w:rsidRDefault="00BD67F9" w:rsidP="00BD67F9">
      <w:pPr>
        <w:pStyle w:val="ManualHeading1"/>
        <w:rPr>
          <w:noProof/>
        </w:rPr>
      </w:pPr>
      <w:r w:rsidRPr="008B4DA2">
        <w:rPr>
          <w:noProof/>
        </w:rPr>
        <w:t>1.</w:t>
      </w:r>
      <w:r w:rsidRPr="008B4DA2">
        <w:rPr>
          <w:noProof/>
        </w:rPr>
        <w:tab/>
        <w:t>KONTEKST WNIOSKU</w:t>
      </w:r>
    </w:p>
    <w:p w:rsidR="00BD67F9" w:rsidRPr="008B4DA2" w:rsidRDefault="00BD67F9" w:rsidP="00BD67F9">
      <w:pPr>
        <w:spacing w:after="240"/>
        <w:rPr>
          <w:rFonts w:eastAsia="Arial Unicode MS"/>
          <w:noProof/>
          <w:bdr w:val="nil"/>
        </w:rPr>
      </w:pPr>
      <w:r w:rsidRPr="008B4DA2">
        <w:rPr>
          <w:noProof/>
        </w:rPr>
        <w:t>Niniejszy wniosek dotyczy gruntownej rewizji przepisów Unii dotyczących praw jazdy. Stanowi on trzecią rewizję tych przepisów, wprowadzonych po raz pierwszy</w:t>
      </w:r>
      <w:r w:rsidR="00B83C93" w:rsidRPr="008B4DA2">
        <w:rPr>
          <w:noProof/>
        </w:rPr>
        <w:t xml:space="preserve"> w</w:t>
      </w:r>
      <w:r w:rsidR="00B83C93">
        <w:rPr>
          <w:noProof/>
        </w:rPr>
        <w:t> </w:t>
      </w:r>
      <w:r w:rsidR="00B83C93" w:rsidRPr="008B4DA2">
        <w:rPr>
          <w:noProof/>
        </w:rPr>
        <w:t>1</w:t>
      </w:r>
      <w:r w:rsidRPr="008B4DA2">
        <w:rPr>
          <w:noProof/>
        </w:rPr>
        <w:t>9</w:t>
      </w:r>
      <w:r w:rsidRPr="00B83C93">
        <w:rPr>
          <w:noProof/>
        </w:rPr>
        <w:t>80</w:t>
      </w:r>
      <w:r w:rsidR="00B83C93" w:rsidRPr="00B83C93">
        <w:rPr>
          <w:noProof/>
        </w:rPr>
        <w:t> </w:t>
      </w:r>
      <w:r w:rsidRPr="00B83C93">
        <w:rPr>
          <w:noProof/>
        </w:rPr>
        <w:t>r.</w:t>
      </w:r>
      <w:r w:rsidRPr="008B4DA2">
        <w:rPr>
          <w:noProof/>
        </w:rPr>
        <w:t xml:space="preserve"> </w:t>
      </w:r>
      <w:r w:rsidRPr="008B4DA2">
        <w:rPr>
          <w:noProof/>
          <w:bdr w:val="nil"/>
        </w:rPr>
        <w:t>dyrektywą 80/1263/EWG</w:t>
      </w:r>
      <w:r w:rsidRPr="008B4DA2">
        <w:rPr>
          <w:rStyle w:val="FootnoteReference"/>
          <w:noProof/>
        </w:rPr>
        <w:footnoteReference w:id="2"/>
      </w:r>
      <w:r w:rsidRPr="008B4DA2">
        <w:rPr>
          <w:noProof/>
          <w:bdr w:val="nil"/>
        </w:rPr>
        <w:t>,</w:t>
      </w:r>
      <w:r w:rsidR="00B83C93" w:rsidRPr="008B4DA2">
        <w:rPr>
          <w:noProof/>
          <w:bdr w:val="nil"/>
        </w:rPr>
        <w:t xml:space="preserve"> a</w:t>
      </w:r>
      <w:r w:rsidR="00B83C93">
        <w:rPr>
          <w:noProof/>
          <w:bdr w:val="nil"/>
        </w:rPr>
        <w:t> </w:t>
      </w:r>
      <w:r w:rsidR="00B83C93" w:rsidRPr="008B4DA2">
        <w:rPr>
          <w:noProof/>
          <w:bdr w:val="nil"/>
        </w:rPr>
        <w:t>nas</w:t>
      </w:r>
      <w:r w:rsidRPr="008B4DA2">
        <w:rPr>
          <w:noProof/>
          <w:bdr w:val="nil"/>
        </w:rPr>
        <w:t>tępnie</w:t>
      </w:r>
      <w:r w:rsidRPr="008B4DA2">
        <w:rPr>
          <w:noProof/>
        </w:rPr>
        <w:t xml:space="preserve"> </w:t>
      </w:r>
      <w:r w:rsidRPr="008B4DA2">
        <w:rPr>
          <w:noProof/>
          <w:bdr w:val="nil"/>
        </w:rPr>
        <w:t>drugą dyrektywą 91/439/EWG</w:t>
      </w:r>
      <w:r w:rsidR="00B83C93" w:rsidRPr="008B4DA2">
        <w:rPr>
          <w:noProof/>
          <w:bdr w:val="nil"/>
        </w:rPr>
        <w:t xml:space="preserve"> w</w:t>
      </w:r>
      <w:r w:rsidR="00B83C93">
        <w:rPr>
          <w:noProof/>
          <w:bdr w:val="nil"/>
        </w:rPr>
        <w:t> </w:t>
      </w:r>
      <w:r w:rsidR="00B83C93" w:rsidRPr="008B4DA2">
        <w:rPr>
          <w:noProof/>
          <w:bdr w:val="nil"/>
        </w:rPr>
        <w:t>spr</w:t>
      </w:r>
      <w:r w:rsidRPr="008B4DA2">
        <w:rPr>
          <w:noProof/>
          <w:bdr w:val="nil"/>
        </w:rPr>
        <w:t>awie praw jazdy</w:t>
      </w:r>
      <w:r w:rsidRPr="008B4DA2">
        <w:rPr>
          <w:rStyle w:val="FootnoteReference"/>
          <w:noProof/>
        </w:rPr>
        <w:footnoteReference w:id="3"/>
      </w:r>
      <w:r w:rsidR="00B83C93" w:rsidRPr="008B4DA2">
        <w:rPr>
          <w:noProof/>
          <w:bdr w:val="nil"/>
        </w:rPr>
        <w:t xml:space="preserve"> i</w:t>
      </w:r>
      <w:r w:rsidR="00B83C93">
        <w:rPr>
          <w:noProof/>
          <w:bdr w:val="nil"/>
        </w:rPr>
        <w:t> </w:t>
      </w:r>
      <w:r w:rsidR="00B83C93" w:rsidRPr="008B4DA2">
        <w:rPr>
          <w:noProof/>
          <w:bdr w:val="nil"/>
        </w:rPr>
        <w:t>trz</w:t>
      </w:r>
      <w:r w:rsidRPr="008B4DA2">
        <w:rPr>
          <w:noProof/>
          <w:bdr w:val="nil"/>
        </w:rPr>
        <w:t>ecią dyrektywą 2006/126/WE</w:t>
      </w:r>
      <w:r w:rsidR="00B83C93" w:rsidRPr="008B4DA2">
        <w:rPr>
          <w:noProof/>
          <w:bdr w:val="nil"/>
        </w:rPr>
        <w:t xml:space="preserve"> w</w:t>
      </w:r>
      <w:r w:rsidR="00B83C93">
        <w:rPr>
          <w:noProof/>
          <w:bdr w:val="nil"/>
        </w:rPr>
        <w:t> </w:t>
      </w:r>
      <w:r w:rsidR="00B83C93" w:rsidRPr="008B4DA2">
        <w:rPr>
          <w:noProof/>
          <w:bdr w:val="nil"/>
        </w:rPr>
        <w:t>spr</w:t>
      </w:r>
      <w:r w:rsidRPr="008B4DA2">
        <w:rPr>
          <w:noProof/>
          <w:bdr w:val="nil"/>
        </w:rPr>
        <w:t>awie praw jazdy</w:t>
      </w:r>
      <w:r w:rsidRPr="008B4DA2">
        <w:rPr>
          <w:rStyle w:val="FootnoteReference"/>
          <w:noProof/>
        </w:rPr>
        <w:footnoteReference w:id="4"/>
      </w:r>
      <w:r w:rsidRPr="008B4DA2">
        <w:rPr>
          <w:noProof/>
          <w:bdr w:val="nil"/>
          <w:vertAlign w:val="superscript"/>
        </w:rPr>
        <w:t>,</w:t>
      </w:r>
      <w:r w:rsidRPr="008B4DA2">
        <w:rPr>
          <w:rStyle w:val="FootnoteReference"/>
          <w:noProof/>
        </w:rPr>
        <w:footnoteReference w:id="5"/>
      </w:r>
      <w:r w:rsidRPr="008B4DA2">
        <w:rPr>
          <w:noProof/>
          <w:bdr w:val="nil"/>
        </w:rPr>
        <w:t>.</w:t>
      </w:r>
    </w:p>
    <w:p w:rsidR="00BD67F9" w:rsidRPr="008B4DA2" w:rsidRDefault="00BD67F9" w:rsidP="00BD67F9">
      <w:pPr>
        <w:pStyle w:val="ManualHeading2"/>
        <w:rPr>
          <w:rFonts w:eastAsia="Arial Unicode MS"/>
          <w:noProof/>
        </w:rPr>
      </w:pPr>
      <w:r w:rsidRPr="008B4DA2">
        <w:rPr>
          <w:noProof/>
          <w:bdr w:val="nil"/>
        </w:rPr>
        <w:t>•</w:t>
      </w:r>
      <w:r w:rsidRPr="008B4DA2">
        <w:rPr>
          <w:noProof/>
        </w:rPr>
        <w:tab/>
        <w:t>Przyczyny</w:t>
      </w:r>
      <w:r w:rsidR="00B83C93" w:rsidRPr="008B4DA2">
        <w:rPr>
          <w:noProof/>
        </w:rPr>
        <w:t xml:space="preserve"> i</w:t>
      </w:r>
      <w:r w:rsidR="00B83C93">
        <w:rPr>
          <w:noProof/>
        </w:rPr>
        <w:t> </w:t>
      </w:r>
      <w:r w:rsidR="00B83C93" w:rsidRPr="008B4DA2">
        <w:rPr>
          <w:noProof/>
        </w:rPr>
        <w:t>cel</w:t>
      </w:r>
      <w:r w:rsidRPr="008B4DA2">
        <w:rPr>
          <w:noProof/>
        </w:rPr>
        <w:t>e wniosku</w:t>
      </w:r>
    </w:p>
    <w:p w:rsidR="00BD67F9" w:rsidRPr="008B4DA2" w:rsidRDefault="00BD67F9" w:rsidP="00BD67F9">
      <w:pPr>
        <w:widowControl w:val="0"/>
        <w:pBdr>
          <w:top w:val="nil"/>
          <w:left w:val="nil"/>
          <w:bottom w:val="nil"/>
          <w:right w:val="nil"/>
          <w:between w:val="nil"/>
          <w:bar w:val="nil"/>
        </w:pBdr>
        <w:rPr>
          <w:noProof/>
        </w:rPr>
      </w:pPr>
      <w:r w:rsidRPr="008B4DA2">
        <w:rPr>
          <w:noProof/>
        </w:rPr>
        <w:t>W ciągu ostatnich 20 lat bezpieczeństwo ruchu drogowego w UE znacznie się poprawiło. Liczba śmiertelnych ofiar wypadków drogowych spadła</w:t>
      </w:r>
      <w:r w:rsidR="00B83C93" w:rsidRPr="008B4DA2">
        <w:rPr>
          <w:noProof/>
        </w:rPr>
        <w:t xml:space="preserve"> o</w:t>
      </w:r>
      <w:r w:rsidR="00B83C93">
        <w:rPr>
          <w:noProof/>
        </w:rPr>
        <w:t> </w:t>
      </w:r>
      <w:r w:rsidR="00B83C93" w:rsidRPr="008B4DA2">
        <w:rPr>
          <w:noProof/>
        </w:rPr>
        <w:t>6</w:t>
      </w:r>
      <w:r w:rsidRPr="008B4DA2">
        <w:rPr>
          <w:noProof/>
        </w:rPr>
        <w:t>1,</w:t>
      </w:r>
      <w:r w:rsidRPr="00B83C93">
        <w:rPr>
          <w:noProof/>
        </w:rPr>
        <w:t>5</w:t>
      </w:r>
      <w:r w:rsidR="00B83C93" w:rsidRPr="00B83C93">
        <w:rPr>
          <w:noProof/>
        </w:rPr>
        <w:t> </w:t>
      </w:r>
      <w:r w:rsidRPr="00B83C93">
        <w:rPr>
          <w:noProof/>
        </w:rPr>
        <w:t>%</w:t>
      </w:r>
      <w:r w:rsidRPr="008B4DA2">
        <w:rPr>
          <w:noProof/>
        </w:rPr>
        <w:t>,</w:t>
      </w:r>
      <w:r w:rsidR="00B83C93" w:rsidRPr="008B4DA2">
        <w:rPr>
          <w:noProof/>
        </w:rPr>
        <w:t xml:space="preserve"> z</w:t>
      </w:r>
      <w:r w:rsidR="00B83C93">
        <w:rPr>
          <w:noProof/>
        </w:rPr>
        <w:t> </w:t>
      </w:r>
      <w:r w:rsidR="00B83C93" w:rsidRPr="008B4DA2">
        <w:rPr>
          <w:noProof/>
        </w:rPr>
        <w:t>oko</w:t>
      </w:r>
      <w:r w:rsidRPr="008B4DA2">
        <w:rPr>
          <w:noProof/>
        </w:rPr>
        <w:t>ło 51 400</w:t>
      </w:r>
      <w:r w:rsidR="00B83C93" w:rsidRPr="008B4DA2">
        <w:rPr>
          <w:noProof/>
        </w:rPr>
        <w:t xml:space="preserve"> w</w:t>
      </w:r>
      <w:r w:rsidR="00B83C93">
        <w:rPr>
          <w:noProof/>
        </w:rPr>
        <w:t> </w:t>
      </w:r>
      <w:r w:rsidR="00B83C93" w:rsidRPr="008B4DA2">
        <w:rPr>
          <w:noProof/>
        </w:rPr>
        <w:t>2</w:t>
      </w:r>
      <w:r w:rsidRPr="008B4DA2">
        <w:rPr>
          <w:noProof/>
        </w:rPr>
        <w:t>0</w:t>
      </w:r>
      <w:r w:rsidRPr="00B83C93">
        <w:rPr>
          <w:noProof/>
        </w:rPr>
        <w:t>01</w:t>
      </w:r>
      <w:r w:rsidR="00B83C93" w:rsidRPr="00B83C93">
        <w:rPr>
          <w:noProof/>
        </w:rPr>
        <w:t> </w:t>
      </w:r>
      <w:r w:rsidRPr="00B83C93">
        <w:rPr>
          <w:noProof/>
        </w:rPr>
        <w:t>r.</w:t>
      </w:r>
      <w:r w:rsidRPr="008B4DA2">
        <w:rPr>
          <w:noProof/>
        </w:rPr>
        <w:t xml:space="preserve"> do około 19 800</w:t>
      </w:r>
      <w:r w:rsidR="00B83C93" w:rsidRPr="008B4DA2">
        <w:rPr>
          <w:noProof/>
        </w:rPr>
        <w:t xml:space="preserve"> w</w:t>
      </w:r>
      <w:r w:rsidR="00B83C93">
        <w:rPr>
          <w:noProof/>
        </w:rPr>
        <w:t> </w:t>
      </w:r>
      <w:r w:rsidR="00B83C93" w:rsidRPr="008B4DA2">
        <w:rPr>
          <w:noProof/>
        </w:rPr>
        <w:t>2</w:t>
      </w:r>
      <w:r w:rsidRPr="008B4DA2">
        <w:rPr>
          <w:noProof/>
        </w:rPr>
        <w:t>0</w:t>
      </w:r>
      <w:r w:rsidRPr="00B83C93">
        <w:rPr>
          <w:noProof/>
        </w:rPr>
        <w:t>21</w:t>
      </w:r>
      <w:r w:rsidR="00B83C93" w:rsidRPr="00B83C93">
        <w:rPr>
          <w:noProof/>
        </w:rPr>
        <w:t> </w:t>
      </w:r>
      <w:r w:rsidRPr="00B83C93">
        <w:rPr>
          <w:noProof/>
        </w:rPr>
        <w:t>r.</w:t>
      </w:r>
      <w:r w:rsidRPr="008B4DA2">
        <w:rPr>
          <w:noProof/>
        </w:rPr>
        <w:t xml:space="preserve"> Poprawa bezpieczeństwa ruchu drogowego nie okazała się jednak tak duża, jak jest to konieczne. Spowolnienie spadku liczby ofiar śmiertelnych na drogach, które pojawiło się</w:t>
      </w:r>
      <w:r w:rsidR="00B83C93" w:rsidRPr="008B4DA2">
        <w:rPr>
          <w:noProof/>
        </w:rPr>
        <w:t xml:space="preserve"> w</w:t>
      </w:r>
      <w:r w:rsidR="00B83C93">
        <w:rPr>
          <w:noProof/>
        </w:rPr>
        <w:t> </w:t>
      </w:r>
      <w:r w:rsidR="00B83C93" w:rsidRPr="008B4DA2">
        <w:rPr>
          <w:noProof/>
        </w:rPr>
        <w:t>2</w:t>
      </w:r>
      <w:r w:rsidRPr="008B4DA2">
        <w:rPr>
          <w:noProof/>
        </w:rPr>
        <w:t>0</w:t>
      </w:r>
      <w:r w:rsidRPr="00B83C93">
        <w:rPr>
          <w:noProof/>
        </w:rPr>
        <w:t>14</w:t>
      </w:r>
      <w:r w:rsidR="00B83C93" w:rsidRPr="00B83C93">
        <w:rPr>
          <w:noProof/>
        </w:rPr>
        <w:t> </w:t>
      </w:r>
      <w:r w:rsidRPr="00B83C93">
        <w:rPr>
          <w:noProof/>
        </w:rPr>
        <w:t>r.</w:t>
      </w:r>
      <w:r w:rsidRPr="008B4DA2">
        <w:rPr>
          <w:noProof/>
        </w:rPr>
        <w:t>, skłoniło ministrów transportu w UE do wydania na nieformalnym posiedzeniu Rady ds. Transportu</w:t>
      </w:r>
      <w:r w:rsidR="00B83C93" w:rsidRPr="008B4DA2">
        <w:rPr>
          <w:noProof/>
        </w:rPr>
        <w:t xml:space="preserve"> w</w:t>
      </w:r>
      <w:r w:rsidR="00B83C93">
        <w:rPr>
          <w:noProof/>
        </w:rPr>
        <w:t> </w:t>
      </w:r>
      <w:r w:rsidR="00B83C93" w:rsidRPr="008B4DA2">
        <w:rPr>
          <w:noProof/>
        </w:rPr>
        <w:t>Val</w:t>
      </w:r>
      <w:r w:rsidRPr="008B4DA2">
        <w:rPr>
          <w:noProof/>
        </w:rPr>
        <w:t>letcie</w:t>
      </w:r>
      <w:r w:rsidR="00B83C93" w:rsidRPr="008B4DA2">
        <w:rPr>
          <w:noProof/>
        </w:rPr>
        <w:t xml:space="preserve"> w</w:t>
      </w:r>
      <w:r w:rsidR="00B83C93">
        <w:rPr>
          <w:noProof/>
        </w:rPr>
        <w:t> </w:t>
      </w:r>
      <w:r w:rsidR="00B83C93" w:rsidRPr="008B4DA2">
        <w:rPr>
          <w:noProof/>
        </w:rPr>
        <w:t>mar</w:t>
      </w:r>
      <w:r w:rsidRPr="008B4DA2">
        <w:rPr>
          <w:noProof/>
        </w:rPr>
        <w:t>cu 20</w:t>
      </w:r>
      <w:r w:rsidRPr="00B83C93">
        <w:rPr>
          <w:noProof/>
        </w:rPr>
        <w:t>17</w:t>
      </w:r>
      <w:r w:rsidR="00B83C93" w:rsidRPr="00B83C93">
        <w:rPr>
          <w:noProof/>
        </w:rPr>
        <w:t> </w:t>
      </w:r>
      <w:r w:rsidRPr="00B83C93">
        <w:rPr>
          <w:noProof/>
        </w:rPr>
        <w:t>r.</w:t>
      </w:r>
      <w:r w:rsidRPr="008B4DA2">
        <w:rPr>
          <w:noProof/>
        </w:rPr>
        <w:t xml:space="preserve"> oświadczenia ministerialnego</w:t>
      </w:r>
      <w:r w:rsidR="00B83C93" w:rsidRPr="008B4DA2">
        <w:rPr>
          <w:noProof/>
        </w:rPr>
        <w:t xml:space="preserve"> w</w:t>
      </w:r>
      <w:r w:rsidR="00B83C93">
        <w:rPr>
          <w:noProof/>
        </w:rPr>
        <w:t> </w:t>
      </w:r>
      <w:r w:rsidR="00B83C93" w:rsidRPr="008B4DA2">
        <w:rPr>
          <w:noProof/>
        </w:rPr>
        <w:t>spr</w:t>
      </w:r>
      <w:r w:rsidRPr="008B4DA2">
        <w:rPr>
          <w:noProof/>
        </w:rPr>
        <w:t>awie bezpieczeństwa ruchu drogowego</w:t>
      </w:r>
      <w:r w:rsidRPr="008B4DA2">
        <w:rPr>
          <w:rStyle w:val="FootnoteReference"/>
          <w:noProof/>
        </w:rPr>
        <w:footnoteReference w:id="6"/>
      </w:r>
      <w:r w:rsidRPr="008B4DA2">
        <w:rPr>
          <w:noProof/>
        </w:rPr>
        <w:t>,</w:t>
      </w:r>
      <w:r w:rsidR="00B83C93" w:rsidRPr="008B4DA2">
        <w:rPr>
          <w:noProof/>
        </w:rPr>
        <w:t xml:space="preserve"> w</w:t>
      </w:r>
      <w:r w:rsidR="00B83C93">
        <w:rPr>
          <w:noProof/>
        </w:rPr>
        <w:t> </w:t>
      </w:r>
      <w:r w:rsidR="00B83C93" w:rsidRPr="008B4DA2">
        <w:rPr>
          <w:noProof/>
        </w:rPr>
        <w:t>któ</w:t>
      </w:r>
      <w:r w:rsidRPr="008B4DA2">
        <w:rPr>
          <w:noProof/>
        </w:rPr>
        <w:t>rym państwa członkowskie wezwały Komisję do zbadania możliwości wzmocnienia unijnych ram prawnych</w:t>
      </w:r>
      <w:r w:rsidR="00B83C93" w:rsidRPr="008B4DA2">
        <w:rPr>
          <w:noProof/>
        </w:rPr>
        <w:t xml:space="preserve"> w</w:t>
      </w:r>
      <w:r w:rsidR="00B83C93">
        <w:rPr>
          <w:noProof/>
        </w:rPr>
        <w:t> </w:t>
      </w:r>
      <w:r w:rsidR="00B83C93" w:rsidRPr="008B4DA2">
        <w:rPr>
          <w:noProof/>
        </w:rPr>
        <w:t>zak</w:t>
      </w:r>
      <w:r w:rsidRPr="008B4DA2">
        <w:rPr>
          <w:noProof/>
        </w:rPr>
        <w:t xml:space="preserve">resie bezpieczeństwa ruchu drogowego, aby zmniejszyć liczbę śmiertelnych ofiar wypadków drogowych. </w:t>
      </w:r>
    </w:p>
    <w:p w:rsidR="00BD67F9" w:rsidRPr="008B4DA2" w:rsidRDefault="00BD67F9" w:rsidP="00BD67F9">
      <w:pPr>
        <w:widowControl w:val="0"/>
        <w:pBdr>
          <w:top w:val="nil"/>
          <w:left w:val="nil"/>
          <w:bottom w:val="nil"/>
          <w:right w:val="nil"/>
          <w:between w:val="nil"/>
          <w:bar w:val="nil"/>
        </w:pBdr>
        <w:rPr>
          <w:noProof/>
        </w:rPr>
      </w:pPr>
      <w:r w:rsidRPr="008B4DA2">
        <w:rPr>
          <w:noProof/>
        </w:rPr>
        <w:t>W ramach trzeciego pakietu na rzecz mobilności</w:t>
      </w:r>
      <w:r w:rsidR="00B83C93" w:rsidRPr="008B4DA2">
        <w:rPr>
          <w:noProof/>
        </w:rPr>
        <w:t xml:space="preserve"> z</w:t>
      </w:r>
      <w:r w:rsidR="00B83C93">
        <w:rPr>
          <w:noProof/>
        </w:rPr>
        <w:t> </w:t>
      </w:r>
      <w:r w:rsidR="00B83C93" w:rsidRPr="008B4DA2">
        <w:rPr>
          <w:noProof/>
        </w:rPr>
        <w:t>maj</w:t>
      </w:r>
      <w:r w:rsidRPr="008B4DA2">
        <w:rPr>
          <w:noProof/>
        </w:rPr>
        <w:t>a 20</w:t>
      </w:r>
      <w:r w:rsidRPr="00B83C93">
        <w:rPr>
          <w:noProof/>
        </w:rPr>
        <w:t>18</w:t>
      </w:r>
      <w:r w:rsidR="00B83C93" w:rsidRPr="00B83C93">
        <w:rPr>
          <w:noProof/>
        </w:rPr>
        <w:t> </w:t>
      </w:r>
      <w:r w:rsidRPr="00B83C93">
        <w:rPr>
          <w:noProof/>
        </w:rPr>
        <w:t>r.</w:t>
      </w:r>
      <w:r w:rsidRPr="008B4DA2">
        <w:rPr>
          <w:noProof/>
        </w:rPr>
        <w:t>, Komisja wydała „strategiczny plan działania na rzecz bezpieczeństwa ruchu drogowego”</w:t>
      </w:r>
      <w:r w:rsidRPr="008B4DA2">
        <w:rPr>
          <w:rStyle w:val="FootnoteReference"/>
          <w:noProof/>
        </w:rPr>
        <w:footnoteReference w:id="7"/>
      </w:r>
      <w:r w:rsidRPr="008B4DA2">
        <w:rPr>
          <w:noProof/>
        </w:rPr>
        <w:t>,</w:t>
      </w:r>
      <w:r w:rsidR="00B83C93" w:rsidRPr="008B4DA2">
        <w:rPr>
          <w:noProof/>
        </w:rPr>
        <w:t xml:space="preserve"> w</w:t>
      </w:r>
      <w:r w:rsidR="00B83C93">
        <w:rPr>
          <w:noProof/>
        </w:rPr>
        <w:t> </w:t>
      </w:r>
      <w:r w:rsidR="00B83C93" w:rsidRPr="008B4DA2">
        <w:rPr>
          <w:noProof/>
        </w:rPr>
        <w:t>któ</w:t>
      </w:r>
      <w:r w:rsidRPr="008B4DA2">
        <w:rPr>
          <w:noProof/>
        </w:rPr>
        <w:t>rym wezwała do przyjęcia nowego podejścia, aby przeciwdziałać stagnacji, jeśli chodzi</w:t>
      </w:r>
      <w:r w:rsidR="00B83C93" w:rsidRPr="008B4DA2">
        <w:rPr>
          <w:noProof/>
        </w:rPr>
        <w:t xml:space="preserve"> o</w:t>
      </w:r>
      <w:r w:rsidR="00B83C93">
        <w:rPr>
          <w:noProof/>
        </w:rPr>
        <w:t> </w:t>
      </w:r>
      <w:r w:rsidR="00B83C93" w:rsidRPr="008B4DA2">
        <w:rPr>
          <w:noProof/>
        </w:rPr>
        <w:t>dan</w:t>
      </w:r>
      <w:r w:rsidRPr="008B4DA2">
        <w:rPr>
          <w:noProof/>
        </w:rPr>
        <w:t>e liczbowe dotyczące bezpieczeństwa ruchu drogowego w UE,</w:t>
      </w:r>
      <w:r w:rsidR="00B83C93" w:rsidRPr="008B4DA2">
        <w:rPr>
          <w:noProof/>
        </w:rPr>
        <w:t xml:space="preserve"> i</w:t>
      </w:r>
      <w:r w:rsidR="00B83C93">
        <w:rPr>
          <w:noProof/>
        </w:rPr>
        <w:t> </w:t>
      </w:r>
      <w:r w:rsidR="00B83C93" w:rsidRPr="008B4DA2">
        <w:rPr>
          <w:noProof/>
        </w:rPr>
        <w:t>zbl</w:t>
      </w:r>
      <w:r w:rsidRPr="008B4DA2">
        <w:rPr>
          <w:noProof/>
        </w:rPr>
        <w:t xml:space="preserve">iżyć się do długoterminowego celu, którym jest brak śmiertelnych ofiar wypadków drogowych w UE </w:t>
      </w:r>
      <w:r w:rsidRPr="00B83C93">
        <w:rPr>
          <w:noProof/>
        </w:rPr>
        <w:t>do</w:t>
      </w:r>
      <w:r w:rsidR="00B83C93" w:rsidRPr="00B83C93">
        <w:rPr>
          <w:noProof/>
        </w:rPr>
        <w:t> </w:t>
      </w:r>
      <w:r w:rsidRPr="00B83C93">
        <w:rPr>
          <w:noProof/>
        </w:rPr>
        <w:t>2</w:t>
      </w:r>
      <w:r w:rsidRPr="008B4DA2">
        <w:rPr>
          <w:noProof/>
        </w:rPr>
        <w:t>0</w:t>
      </w:r>
      <w:r w:rsidRPr="00B83C93">
        <w:rPr>
          <w:noProof/>
        </w:rPr>
        <w:t>50</w:t>
      </w:r>
      <w:r w:rsidR="00B83C93" w:rsidRPr="00B83C93">
        <w:rPr>
          <w:noProof/>
        </w:rPr>
        <w:t> </w:t>
      </w:r>
      <w:r w:rsidRPr="00B83C93">
        <w:rPr>
          <w:noProof/>
        </w:rPr>
        <w:t>r.</w:t>
      </w:r>
      <w:r w:rsidRPr="008B4DA2">
        <w:rPr>
          <w:noProof/>
        </w:rPr>
        <w:t xml:space="preserve"> („wizja zero”)</w:t>
      </w:r>
      <w:r w:rsidR="00B83C93" w:rsidRPr="008B4DA2">
        <w:rPr>
          <w:noProof/>
        </w:rPr>
        <w:t>. W</w:t>
      </w:r>
      <w:r w:rsidR="00B83C93">
        <w:rPr>
          <w:noProof/>
        </w:rPr>
        <w:t> </w:t>
      </w:r>
      <w:r w:rsidR="00B83C93" w:rsidRPr="008B4DA2">
        <w:rPr>
          <w:noProof/>
        </w:rPr>
        <w:t>cze</w:t>
      </w:r>
      <w:r w:rsidRPr="008B4DA2">
        <w:rPr>
          <w:noProof/>
        </w:rPr>
        <w:t>rwcu 20</w:t>
      </w:r>
      <w:r w:rsidRPr="00B83C93">
        <w:rPr>
          <w:noProof/>
        </w:rPr>
        <w:t>19</w:t>
      </w:r>
      <w:r w:rsidR="00B83C93" w:rsidRPr="00B83C93">
        <w:rPr>
          <w:noProof/>
        </w:rPr>
        <w:t> </w:t>
      </w:r>
      <w:r w:rsidRPr="00B83C93">
        <w:rPr>
          <w:noProof/>
        </w:rPr>
        <w:t>r.</w:t>
      </w:r>
      <w:r w:rsidRPr="008B4DA2">
        <w:rPr>
          <w:noProof/>
        </w:rPr>
        <w:t xml:space="preserve"> Komisja opublikowała ramy polityki bezpieczeństwa ruchu drogowego UE na lata 2021–2030 – Kolejne kroki</w:t>
      </w:r>
      <w:r w:rsidR="00B83C93" w:rsidRPr="008B4DA2">
        <w:rPr>
          <w:noProof/>
        </w:rPr>
        <w:t xml:space="preserve"> w</w:t>
      </w:r>
      <w:r w:rsidR="00B83C93">
        <w:rPr>
          <w:noProof/>
        </w:rPr>
        <w:t> </w:t>
      </w:r>
      <w:r w:rsidR="00B83C93" w:rsidRPr="008B4DA2">
        <w:rPr>
          <w:noProof/>
        </w:rPr>
        <w:t>kie</w:t>
      </w:r>
      <w:r w:rsidRPr="008B4DA2">
        <w:rPr>
          <w:noProof/>
        </w:rPr>
        <w:t>runku realizacji „wizji zero”</w:t>
      </w:r>
      <w:r w:rsidRPr="008B4DA2">
        <w:rPr>
          <w:rStyle w:val="FootnoteReference"/>
          <w:noProof/>
        </w:rPr>
        <w:footnoteReference w:id="8"/>
      </w:r>
      <w:r w:rsidRPr="008B4DA2">
        <w:rPr>
          <w:noProof/>
        </w:rPr>
        <w:t>. We wspomnianych ramach Komisja zaproponowała nowe cele przejściowe zakładające zmniejszenie</w:t>
      </w:r>
      <w:r w:rsidR="00B83C93" w:rsidRPr="008B4DA2">
        <w:rPr>
          <w:noProof/>
        </w:rPr>
        <w:t xml:space="preserve"> o</w:t>
      </w:r>
      <w:r w:rsidR="00B83C93">
        <w:rPr>
          <w:noProof/>
        </w:rPr>
        <w:t> </w:t>
      </w:r>
      <w:r w:rsidR="00B83C93" w:rsidRPr="008B4DA2">
        <w:rPr>
          <w:noProof/>
        </w:rPr>
        <w:t>5</w:t>
      </w:r>
      <w:r w:rsidRPr="00B83C93">
        <w:rPr>
          <w:noProof/>
        </w:rPr>
        <w:t>0</w:t>
      </w:r>
      <w:r w:rsidR="00B83C93" w:rsidRPr="00B83C93">
        <w:rPr>
          <w:noProof/>
        </w:rPr>
        <w:t> </w:t>
      </w:r>
      <w:r w:rsidRPr="00B83C93">
        <w:rPr>
          <w:noProof/>
        </w:rPr>
        <w:t>%</w:t>
      </w:r>
      <w:r w:rsidRPr="008B4DA2">
        <w:rPr>
          <w:noProof/>
        </w:rPr>
        <w:t xml:space="preserve"> liczby ofiar śmiertelnych</w:t>
      </w:r>
      <w:r w:rsidR="00B83C93" w:rsidRPr="008B4DA2">
        <w:rPr>
          <w:noProof/>
        </w:rPr>
        <w:t xml:space="preserve"> w</w:t>
      </w:r>
      <w:r w:rsidR="00B83C93">
        <w:rPr>
          <w:noProof/>
        </w:rPr>
        <w:t> </w:t>
      </w:r>
      <w:r w:rsidR="00B83C93" w:rsidRPr="008B4DA2">
        <w:rPr>
          <w:noProof/>
        </w:rPr>
        <w:t>lat</w:t>
      </w:r>
      <w:r w:rsidRPr="008B4DA2">
        <w:rPr>
          <w:noProof/>
        </w:rPr>
        <w:t>ach 2020–2030 oraz ograniczenie</w:t>
      </w:r>
      <w:r w:rsidR="00B83C93" w:rsidRPr="008B4DA2">
        <w:rPr>
          <w:noProof/>
        </w:rPr>
        <w:t xml:space="preserve"> w</w:t>
      </w:r>
      <w:r w:rsidR="00B83C93">
        <w:rPr>
          <w:noProof/>
        </w:rPr>
        <w:t> </w:t>
      </w:r>
      <w:r w:rsidR="00B83C93" w:rsidRPr="008B4DA2">
        <w:rPr>
          <w:noProof/>
        </w:rPr>
        <w:t>tym</w:t>
      </w:r>
      <w:r w:rsidRPr="008B4DA2">
        <w:rPr>
          <w:noProof/>
        </w:rPr>
        <w:t xml:space="preserve"> okresie liczby poważnych urazów również</w:t>
      </w:r>
      <w:r w:rsidR="00B83C93" w:rsidRPr="008B4DA2">
        <w:rPr>
          <w:noProof/>
        </w:rPr>
        <w:t xml:space="preserve"> o</w:t>
      </w:r>
      <w:r w:rsidR="00B83C93">
        <w:rPr>
          <w:noProof/>
        </w:rPr>
        <w:t> </w:t>
      </w:r>
      <w:r w:rsidR="00B83C93" w:rsidRPr="008B4DA2">
        <w:rPr>
          <w:noProof/>
        </w:rPr>
        <w:t>5</w:t>
      </w:r>
      <w:r w:rsidRPr="00B83C93">
        <w:rPr>
          <w:noProof/>
        </w:rPr>
        <w:t>0</w:t>
      </w:r>
      <w:r w:rsidR="00B83C93" w:rsidRPr="00B83C93">
        <w:rPr>
          <w:noProof/>
        </w:rPr>
        <w:t> </w:t>
      </w:r>
      <w:r w:rsidRPr="00B83C93">
        <w:rPr>
          <w:noProof/>
        </w:rPr>
        <w:t>%</w:t>
      </w:r>
      <w:r w:rsidRPr="008B4DA2">
        <w:rPr>
          <w:noProof/>
        </w:rPr>
        <w:t>, zgodnie</w:t>
      </w:r>
      <w:r w:rsidR="00B83C93" w:rsidRPr="008B4DA2">
        <w:rPr>
          <w:noProof/>
        </w:rPr>
        <w:t xml:space="preserve"> z</w:t>
      </w:r>
      <w:r w:rsidR="00B83C93">
        <w:rPr>
          <w:noProof/>
        </w:rPr>
        <w:t> </w:t>
      </w:r>
      <w:r w:rsidR="00B83C93" w:rsidRPr="008B4DA2">
        <w:rPr>
          <w:noProof/>
        </w:rPr>
        <w:t>zal</w:t>
      </w:r>
      <w:r w:rsidRPr="008B4DA2">
        <w:rPr>
          <w:noProof/>
        </w:rPr>
        <w:t>eceniami</w:t>
      </w:r>
      <w:r w:rsidR="00B83C93" w:rsidRPr="008B4DA2">
        <w:rPr>
          <w:noProof/>
        </w:rPr>
        <w:t xml:space="preserve"> z</w:t>
      </w:r>
      <w:r w:rsidR="00B83C93">
        <w:rPr>
          <w:noProof/>
        </w:rPr>
        <w:t> </w:t>
      </w:r>
      <w:r w:rsidR="00B83C93" w:rsidRPr="008B4DA2">
        <w:rPr>
          <w:noProof/>
        </w:rPr>
        <w:t>ośw</w:t>
      </w:r>
      <w:r w:rsidRPr="008B4DA2">
        <w:rPr>
          <w:noProof/>
        </w:rPr>
        <w:t>iadczenia</w:t>
      </w:r>
      <w:r w:rsidR="00B83C93" w:rsidRPr="008B4DA2">
        <w:rPr>
          <w:noProof/>
        </w:rPr>
        <w:t xml:space="preserve"> z</w:t>
      </w:r>
      <w:r w:rsidR="00B83C93">
        <w:rPr>
          <w:noProof/>
        </w:rPr>
        <w:t> </w:t>
      </w:r>
      <w:r w:rsidR="00B83C93" w:rsidRPr="008B4DA2">
        <w:rPr>
          <w:noProof/>
        </w:rPr>
        <w:t>Val</w:t>
      </w:r>
      <w:r w:rsidRPr="008B4DA2">
        <w:rPr>
          <w:noProof/>
        </w:rPr>
        <w:t xml:space="preserve">letty. </w:t>
      </w:r>
    </w:p>
    <w:p w:rsidR="00BD67F9" w:rsidRPr="008B4DA2" w:rsidRDefault="00BD67F9" w:rsidP="00BD67F9">
      <w:pPr>
        <w:widowControl w:val="0"/>
        <w:pBdr>
          <w:top w:val="nil"/>
          <w:left w:val="nil"/>
          <w:bottom w:val="nil"/>
          <w:right w:val="nil"/>
          <w:between w:val="nil"/>
          <w:bar w:val="nil"/>
        </w:pBdr>
        <w:rPr>
          <w:noProof/>
        </w:rPr>
      </w:pPr>
      <w:r w:rsidRPr="008B4DA2">
        <w:rPr>
          <w:noProof/>
        </w:rPr>
        <w:t>W przyjętej</w:t>
      </w:r>
      <w:r w:rsidR="00B83C93" w:rsidRPr="008B4DA2">
        <w:rPr>
          <w:noProof/>
        </w:rPr>
        <w:t xml:space="preserve"> w</w:t>
      </w:r>
      <w:r w:rsidR="00B83C93">
        <w:rPr>
          <w:noProof/>
        </w:rPr>
        <w:t> </w:t>
      </w:r>
      <w:r w:rsidR="00B83C93" w:rsidRPr="008B4DA2">
        <w:rPr>
          <w:noProof/>
        </w:rPr>
        <w:t>2</w:t>
      </w:r>
      <w:r w:rsidRPr="008B4DA2">
        <w:rPr>
          <w:noProof/>
        </w:rPr>
        <w:t>0</w:t>
      </w:r>
      <w:r w:rsidRPr="00B83C93">
        <w:rPr>
          <w:noProof/>
        </w:rPr>
        <w:t>20</w:t>
      </w:r>
      <w:r w:rsidR="00B83C93" w:rsidRPr="00B83C93">
        <w:rPr>
          <w:noProof/>
        </w:rPr>
        <w:t> </w:t>
      </w:r>
      <w:r w:rsidRPr="00B83C93">
        <w:rPr>
          <w:noProof/>
        </w:rPr>
        <w:t>r.</w:t>
      </w:r>
      <w:r w:rsidRPr="008B4DA2">
        <w:rPr>
          <w:noProof/>
        </w:rPr>
        <w:t xml:space="preserve"> kompleksowej strategii na rzecz zrównoważonej</w:t>
      </w:r>
      <w:r w:rsidR="00B83C93" w:rsidRPr="008B4DA2">
        <w:rPr>
          <w:noProof/>
        </w:rPr>
        <w:t xml:space="preserve"> i</w:t>
      </w:r>
      <w:r w:rsidR="00B83C93">
        <w:rPr>
          <w:noProof/>
        </w:rPr>
        <w:t> </w:t>
      </w:r>
      <w:r w:rsidR="00B83C93" w:rsidRPr="008B4DA2">
        <w:rPr>
          <w:noProof/>
        </w:rPr>
        <w:t>int</w:t>
      </w:r>
      <w:r w:rsidRPr="008B4DA2">
        <w:rPr>
          <w:noProof/>
        </w:rPr>
        <w:t>eligentnej mobilności</w:t>
      </w:r>
      <w:r w:rsidRPr="008B4DA2">
        <w:rPr>
          <w:rStyle w:val="FootnoteReference"/>
          <w:noProof/>
        </w:rPr>
        <w:footnoteReference w:id="9"/>
      </w:r>
      <w:r w:rsidRPr="008B4DA2">
        <w:rPr>
          <w:noProof/>
        </w:rPr>
        <w:t xml:space="preserve"> Komisja powtórzyła cel polegający na osiągnięciu zerowej liczby wypadków śmiertelnych we wszystkich rodzajach transportu w UE </w:t>
      </w:r>
      <w:r w:rsidRPr="00B83C93">
        <w:rPr>
          <w:noProof/>
        </w:rPr>
        <w:t>do</w:t>
      </w:r>
      <w:r w:rsidR="00B83C93" w:rsidRPr="00B83C93">
        <w:rPr>
          <w:noProof/>
        </w:rPr>
        <w:t> </w:t>
      </w:r>
      <w:r w:rsidRPr="00B83C93">
        <w:rPr>
          <w:noProof/>
        </w:rPr>
        <w:t>2</w:t>
      </w:r>
      <w:r w:rsidRPr="008B4DA2">
        <w:rPr>
          <w:noProof/>
        </w:rPr>
        <w:t>0</w:t>
      </w:r>
      <w:r w:rsidRPr="00B83C93">
        <w:rPr>
          <w:noProof/>
        </w:rPr>
        <w:t>50</w:t>
      </w:r>
      <w:r w:rsidR="00B83C93" w:rsidRPr="00B83C93">
        <w:rPr>
          <w:noProof/>
        </w:rPr>
        <w:t> </w:t>
      </w:r>
      <w:r w:rsidRPr="00B83C93">
        <w:rPr>
          <w:noProof/>
        </w:rPr>
        <w:t>r.</w:t>
      </w:r>
      <w:r w:rsidRPr="008B4DA2">
        <w:rPr>
          <w:noProof/>
        </w:rPr>
        <w:t>,</w:t>
      </w:r>
      <w:r w:rsidR="00B83C93" w:rsidRPr="008B4DA2">
        <w:rPr>
          <w:noProof/>
        </w:rPr>
        <w:t xml:space="preserve"> a</w:t>
      </w:r>
      <w:r w:rsidR="00B83C93">
        <w:rPr>
          <w:noProof/>
        </w:rPr>
        <w:t> </w:t>
      </w:r>
      <w:r w:rsidR="00B83C93" w:rsidRPr="008B4DA2">
        <w:rPr>
          <w:noProof/>
        </w:rPr>
        <w:t>tak</w:t>
      </w:r>
      <w:r w:rsidRPr="008B4DA2">
        <w:rPr>
          <w:noProof/>
        </w:rPr>
        <w:t>że zapowiedziała zmianę dyrektywy</w:t>
      </w:r>
      <w:r w:rsidR="00B83C93" w:rsidRPr="008B4DA2">
        <w:rPr>
          <w:noProof/>
        </w:rPr>
        <w:t xml:space="preserve"> w</w:t>
      </w:r>
      <w:r w:rsidR="00B83C93">
        <w:rPr>
          <w:noProof/>
        </w:rPr>
        <w:t> </w:t>
      </w:r>
      <w:r w:rsidR="00B83C93" w:rsidRPr="008B4DA2">
        <w:rPr>
          <w:noProof/>
        </w:rPr>
        <w:t>spr</w:t>
      </w:r>
      <w:r w:rsidRPr="008B4DA2">
        <w:rPr>
          <w:noProof/>
        </w:rPr>
        <w:t>awie praw jazdy, m.in.</w:t>
      </w:r>
      <w:r w:rsidR="00B83C93" w:rsidRPr="008B4DA2">
        <w:rPr>
          <w:noProof/>
        </w:rPr>
        <w:t xml:space="preserve"> w</w:t>
      </w:r>
      <w:r w:rsidR="00B83C93">
        <w:rPr>
          <w:noProof/>
        </w:rPr>
        <w:t> </w:t>
      </w:r>
      <w:r w:rsidR="00B83C93" w:rsidRPr="008B4DA2">
        <w:rPr>
          <w:noProof/>
        </w:rPr>
        <w:t>cel</w:t>
      </w:r>
      <w:r w:rsidRPr="008B4DA2">
        <w:rPr>
          <w:noProof/>
        </w:rPr>
        <w:t>u uwzględnienia innowacji technologicznych,</w:t>
      </w:r>
      <w:r w:rsidR="00B83C93" w:rsidRPr="008B4DA2">
        <w:rPr>
          <w:noProof/>
        </w:rPr>
        <w:t xml:space="preserve"> w</w:t>
      </w:r>
      <w:r w:rsidR="00B83C93">
        <w:rPr>
          <w:noProof/>
        </w:rPr>
        <w:t> </w:t>
      </w:r>
      <w:r w:rsidR="00B83C93" w:rsidRPr="008B4DA2">
        <w:rPr>
          <w:noProof/>
        </w:rPr>
        <w:t>tym</w:t>
      </w:r>
      <w:r w:rsidRPr="008B4DA2">
        <w:rPr>
          <w:noProof/>
        </w:rPr>
        <w:t xml:space="preserve"> mobilnych praw jazdy,</w:t>
      </w:r>
      <w:r w:rsidR="00B83C93" w:rsidRPr="008B4DA2">
        <w:rPr>
          <w:noProof/>
        </w:rPr>
        <w:t xml:space="preserve"> w</w:t>
      </w:r>
      <w:r w:rsidR="00B83C93">
        <w:rPr>
          <w:noProof/>
        </w:rPr>
        <w:t> </w:t>
      </w:r>
      <w:r w:rsidR="00B83C93" w:rsidRPr="008B4DA2">
        <w:rPr>
          <w:noProof/>
        </w:rPr>
        <w:t>ram</w:t>
      </w:r>
      <w:r w:rsidRPr="008B4DA2">
        <w:rPr>
          <w:noProof/>
        </w:rPr>
        <w:t>ach inicjatywy przewodniej 10 – Poprawa bezpieczeństwa</w:t>
      </w:r>
      <w:r w:rsidR="00B83C93" w:rsidRPr="008B4DA2">
        <w:rPr>
          <w:noProof/>
        </w:rPr>
        <w:t xml:space="preserve"> i</w:t>
      </w:r>
      <w:r w:rsidR="00B83C93">
        <w:rPr>
          <w:noProof/>
        </w:rPr>
        <w:t> </w:t>
      </w:r>
      <w:r w:rsidR="00B83C93" w:rsidRPr="008B4DA2">
        <w:rPr>
          <w:noProof/>
        </w:rPr>
        <w:t>och</w:t>
      </w:r>
      <w:r w:rsidRPr="008B4DA2">
        <w:rPr>
          <w:noProof/>
        </w:rPr>
        <w:t>rony transportu</w:t>
      </w:r>
      <w:r w:rsidR="00B83C93" w:rsidRPr="008B4DA2">
        <w:rPr>
          <w:noProof/>
        </w:rPr>
        <w:t>. W</w:t>
      </w:r>
      <w:r w:rsidR="00B83C93">
        <w:rPr>
          <w:noProof/>
        </w:rPr>
        <w:t> </w:t>
      </w:r>
      <w:r w:rsidR="00B83C93" w:rsidRPr="008B4DA2">
        <w:rPr>
          <w:noProof/>
        </w:rPr>
        <w:t>paź</w:t>
      </w:r>
      <w:r w:rsidRPr="008B4DA2">
        <w:rPr>
          <w:noProof/>
        </w:rPr>
        <w:t>dzierniku 20</w:t>
      </w:r>
      <w:r w:rsidRPr="00B83C93">
        <w:rPr>
          <w:noProof/>
        </w:rPr>
        <w:t>21</w:t>
      </w:r>
      <w:r w:rsidR="00B83C93" w:rsidRPr="00B83C93">
        <w:rPr>
          <w:noProof/>
        </w:rPr>
        <w:t> </w:t>
      </w:r>
      <w:r w:rsidRPr="00B83C93">
        <w:rPr>
          <w:noProof/>
        </w:rPr>
        <w:t>r.</w:t>
      </w:r>
      <w:r w:rsidRPr="008B4DA2">
        <w:rPr>
          <w:noProof/>
        </w:rPr>
        <w:t xml:space="preserve"> Parlament Europejski przyjął rezolucję</w:t>
      </w:r>
      <w:r w:rsidR="00B83C93" w:rsidRPr="008B4DA2">
        <w:rPr>
          <w:noProof/>
        </w:rPr>
        <w:t xml:space="preserve"> w</w:t>
      </w:r>
      <w:r w:rsidR="00B83C93">
        <w:rPr>
          <w:noProof/>
        </w:rPr>
        <w:t> </w:t>
      </w:r>
      <w:r w:rsidR="00B83C93" w:rsidRPr="008B4DA2">
        <w:rPr>
          <w:noProof/>
        </w:rPr>
        <w:t>spr</w:t>
      </w:r>
      <w:r w:rsidRPr="008B4DA2">
        <w:rPr>
          <w:noProof/>
        </w:rPr>
        <w:t>awie ram polityki bezpieczeństwa ruchu drogowego UE na lata 2021–2030</w:t>
      </w:r>
      <w:r w:rsidRPr="008B4DA2">
        <w:rPr>
          <w:rStyle w:val="FootnoteReference"/>
          <w:noProof/>
        </w:rPr>
        <w:footnoteReference w:id="10"/>
      </w:r>
      <w:r w:rsidRPr="008B4DA2">
        <w:rPr>
          <w:noProof/>
        </w:rPr>
        <w:t>, wzywając Komisję do dalszego promowania bezpieczeństwa ruchu drogowego,</w:t>
      </w:r>
      <w:r w:rsidR="00B83C93" w:rsidRPr="008B4DA2">
        <w:rPr>
          <w:noProof/>
        </w:rPr>
        <w:t xml:space="preserve"> w</w:t>
      </w:r>
      <w:r w:rsidR="00B83C93">
        <w:rPr>
          <w:noProof/>
        </w:rPr>
        <w:t> </w:t>
      </w:r>
      <w:r w:rsidR="00B83C93" w:rsidRPr="008B4DA2">
        <w:rPr>
          <w:noProof/>
        </w:rPr>
        <w:t>szc</w:t>
      </w:r>
      <w:r w:rsidRPr="008B4DA2">
        <w:rPr>
          <w:noProof/>
        </w:rPr>
        <w:t xml:space="preserve">zególności dzięki wyższym standardom szkolenia kierowców. </w:t>
      </w:r>
    </w:p>
    <w:p w:rsidR="00BD67F9" w:rsidRPr="008B4DA2" w:rsidRDefault="00BD67F9" w:rsidP="00BD67F9">
      <w:pPr>
        <w:rPr>
          <w:noProof/>
        </w:rPr>
      </w:pPr>
      <w:r w:rsidRPr="008B4DA2">
        <w:rPr>
          <w:noProof/>
        </w:rPr>
        <w:t>Niniejszy wniosek zapowiedziano</w:t>
      </w:r>
      <w:r w:rsidR="00B83C93" w:rsidRPr="008B4DA2">
        <w:rPr>
          <w:noProof/>
        </w:rPr>
        <w:t xml:space="preserve"> w</w:t>
      </w:r>
      <w:r w:rsidR="00B83C93">
        <w:rPr>
          <w:noProof/>
        </w:rPr>
        <w:t> </w:t>
      </w:r>
      <w:r w:rsidR="00B83C93" w:rsidRPr="008B4DA2">
        <w:rPr>
          <w:noProof/>
        </w:rPr>
        <w:t>pro</w:t>
      </w:r>
      <w:r w:rsidRPr="008B4DA2">
        <w:rPr>
          <w:noProof/>
        </w:rPr>
        <w:t xml:space="preserve">gramie prac Komisji </w:t>
      </w:r>
      <w:r w:rsidRPr="00B83C93">
        <w:rPr>
          <w:noProof/>
        </w:rPr>
        <w:t>na</w:t>
      </w:r>
      <w:r w:rsidR="00B83C93" w:rsidRPr="00B83C93">
        <w:rPr>
          <w:noProof/>
        </w:rPr>
        <w:t> </w:t>
      </w:r>
      <w:r w:rsidRPr="00B83C93">
        <w:rPr>
          <w:noProof/>
        </w:rPr>
        <w:t>2</w:t>
      </w:r>
      <w:r w:rsidRPr="008B4DA2">
        <w:rPr>
          <w:noProof/>
        </w:rPr>
        <w:t>0</w:t>
      </w:r>
      <w:r w:rsidRPr="00B83C93">
        <w:rPr>
          <w:noProof/>
        </w:rPr>
        <w:t>22</w:t>
      </w:r>
      <w:r w:rsidR="00B83C93" w:rsidRPr="00B83C93">
        <w:rPr>
          <w:noProof/>
        </w:rPr>
        <w:t> </w:t>
      </w:r>
      <w:r w:rsidRPr="00B83C93">
        <w:rPr>
          <w:noProof/>
        </w:rPr>
        <w:t>r.</w:t>
      </w:r>
      <w:r w:rsidR="00B83C93" w:rsidRPr="008B4DA2">
        <w:rPr>
          <w:noProof/>
        </w:rPr>
        <w:t xml:space="preserve"> w</w:t>
      </w:r>
      <w:r w:rsidR="00B83C93">
        <w:rPr>
          <w:noProof/>
        </w:rPr>
        <w:t> </w:t>
      </w:r>
      <w:r w:rsidR="00B83C93" w:rsidRPr="008B4DA2">
        <w:rPr>
          <w:noProof/>
        </w:rPr>
        <w:t>zał</w:t>
      </w:r>
      <w:r w:rsidRPr="008B4DA2">
        <w:rPr>
          <w:noProof/>
        </w:rPr>
        <w:t>ączniku II (inicjatywy</w:t>
      </w:r>
      <w:r w:rsidR="00B83C93" w:rsidRPr="008B4DA2">
        <w:rPr>
          <w:noProof/>
        </w:rPr>
        <w:t xml:space="preserve"> w</w:t>
      </w:r>
      <w:r w:rsidR="00B83C93">
        <w:rPr>
          <w:noProof/>
        </w:rPr>
        <w:t> </w:t>
      </w:r>
      <w:r w:rsidR="00B83C93" w:rsidRPr="008B4DA2">
        <w:rPr>
          <w:noProof/>
        </w:rPr>
        <w:t>ram</w:t>
      </w:r>
      <w:r w:rsidRPr="008B4DA2">
        <w:rPr>
          <w:noProof/>
        </w:rPr>
        <w:t>ach programu REFIT)</w:t>
      </w:r>
      <w:r w:rsidR="00B83C93" w:rsidRPr="008B4DA2">
        <w:rPr>
          <w:noProof/>
        </w:rPr>
        <w:t xml:space="preserve"> w</w:t>
      </w:r>
      <w:r w:rsidR="00B83C93">
        <w:rPr>
          <w:noProof/>
        </w:rPr>
        <w:t> </w:t>
      </w:r>
      <w:r w:rsidR="00B83C93" w:rsidRPr="008B4DA2">
        <w:rPr>
          <w:noProof/>
        </w:rPr>
        <w:t>ram</w:t>
      </w:r>
      <w:r w:rsidRPr="008B4DA2">
        <w:rPr>
          <w:noProof/>
        </w:rPr>
        <w:t>ach nagłówka „Nowy impuls dla demokracji europejskiej”</w:t>
      </w:r>
      <w:r w:rsidRPr="008B4DA2">
        <w:rPr>
          <w:rStyle w:val="FootnoteReference"/>
          <w:noProof/>
        </w:rPr>
        <w:footnoteReference w:id="11"/>
      </w:r>
      <w:r w:rsidR="00B83C93" w:rsidRPr="008B4DA2">
        <w:rPr>
          <w:noProof/>
        </w:rPr>
        <w:t xml:space="preserve"> i</w:t>
      </w:r>
      <w:r w:rsidR="00B83C93">
        <w:rPr>
          <w:noProof/>
        </w:rPr>
        <w:t> </w:t>
      </w:r>
      <w:r w:rsidR="00B83C93" w:rsidRPr="008B4DA2">
        <w:rPr>
          <w:noProof/>
        </w:rPr>
        <w:t>sta</w:t>
      </w:r>
      <w:r w:rsidRPr="008B4DA2">
        <w:rPr>
          <w:noProof/>
        </w:rPr>
        <w:t>nowi on realizację Programu lepszego stanowienia prawa</w:t>
      </w:r>
      <w:r w:rsidRPr="008B4DA2">
        <w:rPr>
          <w:rStyle w:val="FootnoteReference"/>
          <w:noProof/>
        </w:rPr>
        <w:footnoteReference w:id="12"/>
      </w:r>
      <w:r w:rsidRPr="008B4DA2">
        <w:rPr>
          <w:noProof/>
        </w:rPr>
        <w:t>, zapewniając, aby obowiązujące prawodawstwo było prostsze</w:t>
      </w:r>
      <w:r w:rsidR="00B83C93" w:rsidRPr="008B4DA2">
        <w:rPr>
          <w:noProof/>
        </w:rPr>
        <w:t xml:space="preserve"> i</w:t>
      </w:r>
      <w:r w:rsidR="00B83C93">
        <w:rPr>
          <w:noProof/>
        </w:rPr>
        <w:t> </w:t>
      </w:r>
      <w:r w:rsidR="00B83C93" w:rsidRPr="008B4DA2">
        <w:rPr>
          <w:noProof/>
        </w:rPr>
        <w:t>jas</w:t>
      </w:r>
      <w:r w:rsidRPr="008B4DA2">
        <w:rPr>
          <w:noProof/>
        </w:rPr>
        <w:t>ne, nie powodowało niepotrzebnych obciążeń</w:t>
      </w:r>
      <w:r w:rsidR="00B83C93" w:rsidRPr="008B4DA2">
        <w:rPr>
          <w:noProof/>
        </w:rPr>
        <w:t xml:space="preserve"> i</w:t>
      </w:r>
      <w:r w:rsidR="00B83C93">
        <w:rPr>
          <w:noProof/>
        </w:rPr>
        <w:t> </w:t>
      </w:r>
      <w:r w:rsidR="00B83C93" w:rsidRPr="008B4DA2">
        <w:rPr>
          <w:noProof/>
        </w:rPr>
        <w:t>dot</w:t>
      </w:r>
      <w:r w:rsidRPr="008B4DA2">
        <w:rPr>
          <w:noProof/>
        </w:rPr>
        <w:t>rzymywało kroku zmianom politycznym, społecznym</w:t>
      </w:r>
      <w:r w:rsidR="00B83C93" w:rsidRPr="008B4DA2">
        <w:rPr>
          <w:noProof/>
        </w:rPr>
        <w:t xml:space="preserve"> i</w:t>
      </w:r>
      <w:r w:rsidR="00B83C93">
        <w:rPr>
          <w:noProof/>
        </w:rPr>
        <w:t> </w:t>
      </w:r>
      <w:r w:rsidR="00B83C93" w:rsidRPr="008B4DA2">
        <w:rPr>
          <w:noProof/>
        </w:rPr>
        <w:t>tec</w:t>
      </w:r>
      <w:r w:rsidRPr="008B4DA2">
        <w:rPr>
          <w:noProof/>
        </w:rPr>
        <w:t xml:space="preserve">hnologicznym. </w:t>
      </w:r>
    </w:p>
    <w:p w:rsidR="00BD67F9" w:rsidRPr="00B83C93" w:rsidRDefault="00BD67F9" w:rsidP="00BD67F9">
      <w:pPr>
        <w:pBdr>
          <w:top w:val="nil"/>
          <w:left w:val="nil"/>
          <w:bottom w:val="nil"/>
          <w:right w:val="nil"/>
          <w:between w:val="nil"/>
          <w:bar w:val="nil"/>
        </w:pBdr>
        <w:rPr>
          <w:noProof/>
        </w:rPr>
      </w:pPr>
      <w:r w:rsidRPr="008B4DA2">
        <w:rPr>
          <w:noProof/>
        </w:rPr>
        <w:t>W UE</w:t>
      </w:r>
      <w:r w:rsidR="00B83C93" w:rsidRPr="008B4DA2">
        <w:rPr>
          <w:noProof/>
        </w:rPr>
        <w:t xml:space="preserve"> i</w:t>
      </w:r>
      <w:r w:rsidR="00B83C93">
        <w:rPr>
          <w:noProof/>
        </w:rPr>
        <w:t> </w:t>
      </w:r>
      <w:r w:rsidR="00B83C93" w:rsidRPr="008B4DA2">
        <w:rPr>
          <w:noProof/>
        </w:rPr>
        <w:t>inn</w:t>
      </w:r>
      <w:r w:rsidRPr="008B4DA2">
        <w:rPr>
          <w:noProof/>
        </w:rPr>
        <w:t>ych państwach członkowskich EOG obowiązują i są stosowane ramy dotyczące praw jazdy, które należą do najbardziej zaawansowanych na świecie. Obejmują one łącznie ponad 250 mln kierowców. Podstawą tych ram jest dyrektywa</w:t>
      </w:r>
      <w:r w:rsidR="00B83C93" w:rsidRPr="008B4DA2">
        <w:rPr>
          <w:noProof/>
        </w:rPr>
        <w:t xml:space="preserve"> w</w:t>
      </w:r>
      <w:r w:rsidR="00B83C93">
        <w:rPr>
          <w:noProof/>
        </w:rPr>
        <w:t> </w:t>
      </w:r>
      <w:r w:rsidR="00B83C93" w:rsidRPr="008B4DA2">
        <w:rPr>
          <w:noProof/>
        </w:rPr>
        <w:t>spr</w:t>
      </w:r>
      <w:r w:rsidRPr="008B4DA2">
        <w:rPr>
          <w:noProof/>
        </w:rPr>
        <w:t>awie praw jazdy,</w:t>
      </w:r>
      <w:r w:rsidR="00B83C93" w:rsidRPr="008B4DA2">
        <w:rPr>
          <w:noProof/>
        </w:rPr>
        <w:t xml:space="preserve"> w</w:t>
      </w:r>
      <w:r w:rsidR="00B83C93">
        <w:rPr>
          <w:noProof/>
        </w:rPr>
        <w:t> </w:t>
      </w:r>
      <w:r w:rsidR="00B83C93" w:rsidRPr="008B4DA2">
        <w:rPr>
          <w:noProof/>
        </w:rPr>
        <w:t>któ</w:t>
      </w:r>
      <w:r w:rsidRPr="008B4DA2">
        <w:rPr>
          <w:noProof/>
        </w:rPr>
        <w:t>rej określono wspólne środki prawne</w:t>
      </w:r>
      <w:r w:rsidR="00B83C93" w:rsidRPr="008B4DA2">
        <w:rPr>
          <w:noProof/>
        </w:rPr>
        <w:t xml:space="preserve"> w</w:t>
      </w:r>
      <w:r w:rsidR="00B83C93">
        <w:rPr>
          <w:noProof/>
        </w:rPr>
        <w:t> </w:t>
      </w:r>
      <w:r w:rsidR="00B83C93" w:rsidRPr="008B4DA2">
        <w:rPr>
          <w:noProof/>
        </w:rPr>
        <w:t>zak</w:t>
      </w:r>
      <w:r w:rsidRPr="008B4DA2">
        <w:rPr>
          <w:noProof/>
        </w:rPr>
        <w:t>resie uznawania</w:t>
      </w:r>
      <w:r w:rsidR="00B83C93" w:rsidRPr="008B4DA2">
        <w:rPr>
          <w:noProof/>
        </w:rPr>
        <w:t xml:space="preserve"> i</w:t>
      </w:r>
      <w:r w:rsidR="00B83C93">
        <w:rPr>
          <w:noProof/>
        </w:rPr>
        <w:t> </w:t>
      </w:r>
      <w:r w:rsidR="00B83C93" w:rsidRPr="008B4DA2">
        <w:rPr>
          <w:noProof/>
        </w:rPr>
        <w:t>wyd</w:t>
      </w:r>
      <w:r w:rsidRPr="008B4DA2">
        <w:rPr>
          <w:noProof/>
        </w:rPr>
        <w:t>awania praw jazdy</w:t>
      </w:r>
      <w:r w:rsidR="00B83C93" w:rsidRPr="008B4DA2">
        <w:rPr>
          <w:noProof/>
        </w:rPr>
        <w:t xml:space="preserve"> w</w:t>
      </w:r>
      <w:r w:rsidR="00B83C93">
        <w:rPr>
          <w:noProof/>
        </w:rPr>
        <w:t> </w:t>
      </w:r>
      <w:r w:rsidR="00B83C93" w:rsidRPr="008B4DA2">
        <w:rPr>
          <w:noProof/>
        </w:rPr>
        <w:t>Uni</w:t>
      </w:r>
      <w:r w:rsidRPr="008B4DA2">
        <w:rPr>
          <w:noProof/>
        </w:rPr>
        <w:t>i Europejskiej. Ich celem jest poprawa bezpieczeństwa ruchu drogowego</w:t>
      </w:r>
      <w:r w:rsidR="00B83C93" w:rsidRPr="008B4DA2">
        <w:rPr>
          <w:noProof/>
        </w:rPr>
        <w:t xml:space="preserve"> i</w:t>
      </w:r>
      <w:r w:rsidR="00B83C93">
        <w:rPr>
          <w:noProof/>
        </w:rPr>
        <w:t> </w:t>
      </w:r>
      <w:r w:rsidR="00B83C93" w:rsidRPr="008B4DA2">
        <w:rPr>
          <w:noProof/>
        </w:rPr>
        <w:t>uła</w:t>
      </w:r>
      <w:r w:rsidRPr="008B4DA2">
        <w:rPr>
          <w:noProof/>
        </w:rPr>
        <w:t>twienie swobodnego przepływu obywateli na terenie UE. Wraz ze swobodą przemieszczania się ustanowioną dzięki jednolitemu rynkowi europejskiemu przepisy UE dotyczące praw jazdy przyczyniły się do ułatwienia podróży transgranicznych</w:t>
      </w:r>
      <w:r w:rsidR="00B83C93" w:rsidRPr="008B4DA2">
        <w:rPr>
          <w:noProof/>
        </w:rPr>
        <w:t xml:space="preserve"> i</w:t>
      </w:r>
      <w:r w:rsidR="00B83C93">
        <w:rPr>
          <w:noProof/>
        </w:rPr>
        <w:t> </w:t>
      </w:r>
      <w:r w:rsidR="00B83C93" w:rsidRPr="008B4DA2">
        <w:rPr>
          <w:noProof/>
        </w:rPr>
        <w:t>upr</w:t>
      </w:r>
      <w:r w:rsidRPr="008B4DA2">
        <w:rPr>
          <w:noProof/>
        </w:rPr>
        <w:t>ościły zmianę miejsca zamieszkania obywatelom osiedlającym się</w:t>
      </w:r>
      <w:r w:rsidR="00B83C93" w:rsidRPr="008B4DA2">
        <w:rPr>
          <w:noProof/>
        </w:rPr>
        <w:t xml:space="preserve"> w</w:t>
      </w:r>
      <w:r w:rsidR="00B83C93">
        <w:rPr>
          <w:noProof/>
        </w:rPr>
        <w:t> </w:t>
      </w:r>
      <w:r w:rsidR="00B83C93" w:rsidRPr="008B4DA2">
        <w:rPr>
          <w:noProof/>
        </w:rPr>
        <w:t>inn</w:t>
      </w:r>
      <w:r w:rsidRPr="008B4DA2">
        <w:rPr>
          <w:noProof/>
        </w:rPr>
        <w:t>ym państwie członkowskim. Obywatele wciąż napotykają jednak na niespójności między podejściami krajowymi, co</w:t>
      </w:r>
      <w:r w:rsidR="00B83C93" w:rsidRPr="008B4DA2">
        <w:rPr>
          <w:noProof/>
        </w:rPr>
        <w:t xml:space="preserve"> z</w:t>
      </w:r>
      <w:r w:rsidR="00B83C93">
        <w:rPr>
          <w:noProof/>
        </w:rPr>
        <w:t> </w:t>
      </w:r>
      <w:r w:rsidR="00B83C93" w:rsidRPr="008B4DA2">
        <w:rPr>
          <w:noProof/>
        </w:rPr>
        <w:t>kol</w:t>
      </w:r>
      <w:r w:rsidRPr="008B4DA2">
        <w:rPr>
          <w:noProof/>
        </w:rPr>
        <w:t>ei wpływa na ich uprawnienia do kierowania pojazdami. Muszą się również mierzyć</w:t>
      </w:r>
      <w:r w:rsidR="00B83C93" w:rsidRPr="008B4DA2">
        <w:rPr>
          <w:noProof/>
        </w:rPr>
        <w:t xml:space="preserve"> z</w:t>
      </w:r>
      <w:r w:rsidR="00B83C93">
        <w:rPr>
          <w:noProof/>
        </w:rPr>
        <w:t> </w:t>
      </w:r>
      <w:r w:rsidR="00B83C93" w:rsidRPr="008B4DA2">
        <w:rPr>
          <w:noProof/>
        </w:rPr>
        <w:t>nie</w:t>
      </w:r>
      <w:r w:rsidRPr="008B4DA2">
        <w:rPr>
          <w:noProof/>
        </w:rPr>
        <w:t>dociągnięciami</w:t>
      </w:r>
      <w:r w:rsidR="00B83C93" w:rsidRPr="008B4DA2">
        <w:rPr>
          <w:noProof/>
        </w:rPr>
        <w:t xml:space="preserve"> i</w:t>
      </w:r>
      <w:r w:rsidR="00B83C93">
        <w:rPr>
          <w:noProof/>
        </w:rPr>
        <w:t> </w:t>
      </w:r>
      <w:r w:rsidR="00B83C93" w:rsidRPr="008B4DA2">
        <w:rPr>
          <w:noProof/>
        </w:rPr>
        <w:t>tru</w:t>
      </w:r>
      <w:r w:rsidRPr="008B4DA2">
        <w:rPr>
          <w:noProof/>
        </w:rPr>
        <w:t>dnościami</w:t>
      </w:r>
      <w:r w:rsidR="00B83C93" w:rsidRPr="008B4DA2">
        <w:rPr>
          <w:noProof/>
        </w:rPr>
        <w:t xml:space="preserve"> w</w:t>
      </w:r>
      <w:r w:rsidR="00B83C93">
        <w:rPr>
          <w:noProof/>
        </w:rPr>
        <w:t> </w:t>
      </w:r>
      <w:r w:rsidR="00B83C93" w:rsidRPr="008B4DA2">
        <w:rPr>
          <w:noProof/>
        </w:rPr>
        <w:t>wyk</w:t>
      </w:r>
      <w:r w:rsidRPr="008B4DA2">
        <w:rPr>
          <w:noProof/>
        </w:rPr>
        <w:t>onywaniu dyrektywy</w:t>
      </w:r>
      <w:r w:rsidRPr="00B83C93">
        <w:rPr>
          <w:noProof/>
        </w:rPr>
        <w:t>.</w:t>
      </w:r>
      <w:r w:rsidR="00B83C93" w:rsidRPr="00B83C93">
        <w:rPr>
          <w:noProof/>
        </w:rPr>
        <w:t xml:space="preserve"> </w:t>
      </w:r>
    </w:p>
    <w:p w:rsidR="00BD67F9" w:rsidRPr="008B4DA2" w:rsidRDefault="00BD67F9" w:rsidP="00BD67F9">
      <w:pPr>
        <w:pBdr>
          <w:top w:val="nil"/>
          <w:left w:val="nil"/>
          <w:bottom w:val="nil"/>
          <w:right w:val="nil"/>
          <w:between w:val="nil"/>
          <w:bar w:val="nil"/>
        </w:pBdr>
        <w:rPr>
          <w:noProof/>
        </w:rPr>
      </w:pPr>
      <w:r w:rsidRPr="008B4DA2">
        <w:rPr>
          <w:noProof/>
        </w:rPr>
        <w:t>Podstawą niniejszej inicjatywy jest dyrektywa 2006/126/WE, której celem była poprawa bezpieczeństwa ruchu drogowego</w:t>
      </w:r>
      <w:r w:rsidR="00B83C93" w:rsidRPr="008B4DA2">
        <w:rPr>
          <w:noProof/>
        </w:rPr>
        <w:t xml:space="preserve"> i</w:t>
      </w:r>
      <w:r w:rsidR="00B83C93">
        <w:rPr>
          <w:noProof/>
        </w:rPr>
        <w:t> </w:t>
      </w:r>
      <w:r w:rsidR="00B83C93" w:rsidRPr="008B4DA2">
        <w:rPr>
          <w:noProof/>
        </w:rPr>
        <w:t>uła</w:t>
      </w:r>
      <w:r w:rsidRPr="008B4DA2">
        <w:rPr>
          <w:noProof/>
        </w:rPr>
        <w:t>twienie swobodnego przemieszczania się poprzez:</w:t>
      </w:r>
    </w:p>
    <w:p w:rsidR="00BD67F9" w:rsidRPr="008B4DA2" w:rsidRDefault="007978E7" w:rsidP="001404F6">
      <w:pPr>
        <w:pStyle w:val="Bullet0"/>
        <w:numPr>
          <w:ilvl w:val="0"/>
          <w:numId w:val="18"/>
        </w:numPr>
        <w:rPr>
          <w:noProof/>
        </w:rPr>
      </w:pPr>
      <w:r w:rsidRPr="008B4DA2">
        <w:rPr>
          <w:noProof/>
        </w:rPr>
        <w:t xml:space="preserve">wprowadzenie jednolitego unijnego wzoru prawa jazdy, obowiązkowego dla wszystkich kierowców </w:t>
      </w:r>
      <w:r w:rsidRPr="00B83C93">
        <w:rPr>
          <w:noProof/>
        </w:rPr>
        <w:t>od</w:t>
      </w:r>
      <w:r w:rsidR="00B83C93" w:rsidRPr="00B83C93">
        <w:rPr>
          <w:noProof/>
        </w:rPr>
        <w:t> </w:t>
      </w:r>
      <w:r w:rsidRPr="00B83C93">
        <w:rPr>
          <w:noProof/>
        </w:rPr>
        <w:t>2</w:t>
      </w:r>
      <w:r w:rsidRPr="008B4DA2">
        <w:rPr>
          <w:noProof/>
        </w:rPr>
        <w:t>0</w:t>
      </w:r>
      <w:r w:rsidRPr="00B83C93">
        <w:rPr>
          <w:noProof/>
        </w:rPr>
        <w:t>33</w:t>
      </w:r>
      <w:r w:rsidR="00B83C93" w:rsidRPr="00B83C93">
        <w:rPr>
          <w:noProof/>
        </w:rPr>
        <w:t> </w:t>
      </w:r>
      <w:r w:rsidRPr="00B83C93">
        <w:rPr>
          <w:noProof/>
        </w:rPr>
        <w:t>r.</w:t>
      </w:r>
      <w:r w:rsidRPr="008B4DA2">
        <w:rPr>
          <w:noProof/>
        </w:rPr>
        <w:t>,</w:t>
      </w:r>
      <w:r w:rsidR="00B83C93" w:rsidRPr="008B4DA2">
        <w:rPr>
          <w:noProof/>
        </w:rPr>
        <w:t xml:space="preserve"> w</w:t>
      </w:r>
      <w:r w:rsidR="00B83C93">
        <w:rPr>
          <w:noProof/>
        </w:rPr>
        <w:t> </w:t>
      </w:r>
      <w:r w:rsidR="00B83C93" w:rsidRPr="008B4DA2">
        <w:rPr>
          <w:noProof/>
        </w:rPr>
        <w:t>cel</w:t>
      </w:r>
      <w:r w:rsidRPr="008B4DA2">
        <w:rPr>
          <w:noProof/>
        </w:rPr>
        <w:t>u zapewnienia większej ochrony przed oszustwami</w:t>
      </w:r>
      <w:r w:rsidR="00B83C93" w:rsidRPr="008B4DA2">
        <w:rPr>
          <w:noProof/>
        </w:rPr>
        <w:t xml:space="preserve"> i</w:t>
      </w:r>
      <w:r w:rsidR="00B83C93">
        <w:rPr>
          <w:noProof/>
        </w:rPr>
        <w:t> </w:t>
      </w:r>
      <w:r w:rsidR="00B83C93" w:rsidRPr="008B4DA2">
        <w:rPr>
          <w:noProof/>
        </w:rPr>
        <w:t>fał</w:t>
      </w:r>
      <w:r w:rsidRPr="008B4DA2">
        <w:rPr>
          <w:noProof/>
        </w:rPr>
        <w:t xml:space="preserve">szerstwami; </w:t>
      </w:r>
    </w:p>
    <w:p w:rsidR="00BD67F9" w:rsidRPr="008B4DA2" w:rsidRDefault="007978E7" w:rsidP="00BD67F9">
      <w:pPr>
        <w:pStyle w:val="Bullet0"/>
        <w:rPr>
          <w:noProof/>
        </w:rPr>
      </w:pPr>
      <w:r w:rsidRPr="008B4DA2">
        <w:rPr>
          <w:noProof/>
        </w:rPr>
        <w:t>określenie kategorii praw jazdy według typów pojazdów</w:t>
      </w:r>
      <w:r w:rsidR="00B83C93" w:rsidRPr="008B4DA2">
        <w:rPr>
          <w:noProof/>
        </w:rPr>
        <w:t xml:space="preserve"> i</w:t>
      </w:r>
      <w:r w:rsidR="00B83C93">
        <w:rPr>
          <w:noProof/>
        </w:rPr>
        <w:t> </w:t>
      </w:r>
      <w:r w:rsidR="00B83C93" w:rsidRPr="008B4DA2">
        <w:rPr>
          <w:noProof/>
        </w:rPr>
        <w:t>dol</w:t>
      </w:r>
      <w:r w:rsidRPr="008B4DA2">
        <w:rPr>
          <w:noProof/>
        </w:rPr>
        <w:t>nych granic wieku warunkujących możliwość ich prowadzenia;</w:t>
      </w:r>
    </w:p>
    <w:p w:rsidR="00BD67F9" w:rsidRPr="008B4DA2" w:rsidRDefault="007978E7" w:rsidP="00BD67F9">
      <w:pPr>
        <w:pStyle w:val="Bullet0"/>
        <w:rPr>
          <w:noProof/>
        </w:rPr>
      </w:pPr>
      <w:r w:rsidRPr="008B4DA2">
        <w:rPr>
          <w:noProof/>
        </w:rPr>
        <w:t xml:space="preserve">obowiązkowe administracyjne przedłużanie okresu ważności wszystkich nowych praw jazdy </w:t>
      </w:r>
      <w:r w:rsidRPr="00B83C93">
        <w:rPr>
          <w:noProof/>
        </w:rPr>
        <w:t>co</w:t>
      </w:r>
      <w:r w:rsidR="00B83C93" w:rsidRPr="00B83C93">
        <w:rPr>
          <w:noProof/>
        </w:rPr>
        <w:t> </w:t>
      </w:r>
      <w:r w:rsidRPr="00B83C93">
        <w:rPr>
          <w:noProof/>
        </w:rPr>
        <w:t>1</w:t>
      </w:r>
      <w:r w:rsidRPr="008B4DA2">
        <w:rPr>
          <w:noProof/>
        </w:rPr>
        <w:t>0 lat;</w:t>
      </w:r>
    </w:p>
    <w:p w:rsidR="00BD67F9" w:rsidRPr="008B4DA2" w:rsidRDefault="007978E7" w:rsidP="00BD67F9">
      <w:pPr>
        <w:pStyle w:val="Bullet0"/>
        <w:rPr>
          <w:noProof/>
        </w:rPr>
      </w:pPr>
      <w:r w:rsidRPr="008B4DA2">
        <w:rPr>
          <w:noProof/>
        </w:rPr>
        <w:t xml:space="preserve">uproszczenia obciążeń administracyjnych nakładanych na kierowców zmieniających miejsce zamieszkania na inne państwo członkowskie; </w:t>
      </w:r>
    </w:p>
    <w:p w:rsidR="00BD67F9" w:rsidRPr="008B4DA2" w:rsidRDefault="007978E7" w:rsidP="00BD67F9">
      <w:pPr>
        <w:pStyle w:val="Bullet0"/>
        <w:rPr>
          <w:noProof/>
        </w:rPr>
      </w:pPr>
      <w:r w:rsidRPr="008B4DA2">
        <w:rPr>
          <w:noProof/>
        </w:rPr>
        <w:t>stosowanie wspólnych minimalnych standardów dotyczących umiejętności, wiedzy oraz fizycznej</w:t>
      </w:r>
      <w:r w:rsidR="00B83C93" w:rsidRPr="008B4DA2">
        <w:rPr>
          <w:noProof/>
        </w:rPr>
        <w:t xml:space="preserve"> i</w:t>
      </w:r>
      <w:r w:rsidR="00B83C93">
        <w:rPr>
          <w:noProof/>
        </w:rPr>
        <w:t> </w:t>
      </w:r>
      <w:r w:rsidR="00B83C93" w:rsidRPr="008B4DA2">
        <w:rPr>
          <w:noProof/>
        </w:rPr>
        <w:t>psy</w:t>
      </w:r>
      <w:r w:rsidRPr="008B4DA2">
        <w:rPr>
          <w:noProof/>
        </w:rPr>
        <w:t>chicznej zdolności kierowców do kierowania pojazdami;</w:t>
      </w:r>
    </w:p>
    <w:p w:rsidR="00BD67F9" w:rsidRPr="008B4DA2" w:rsidRDefault="007978E7" w:rsidP="00BD67F9">
      <w:pPr>
        <w:pStyle w:val="Bullet0"/>
        <w:rPr>
          <w:noProof/>
        </w:rPr>
      </w:pPr>
      <w:r w:rsidRPr="008B4DA2">
        <w:rPr>
          <w:noProof/>
        </w:rPr>
        <w:t>stopniowanie dostępu do motocykli</w:t>
      </w:r>
      <w:r w:rsidR="00B83C93" w:rsidRPr="008B4DA2">
        <w:rPr>
          <w:noProof/>
        </w:rPr>
        <w:t xml:space="preserve"> o</w:t>
      </w:r>
      <w:r w:rsidR="00B83C93">
        <w:rPr>
          <w:noProof/>
        </w:rPr>
        <w:t> </w:t>
      </w:r>
      <w:r w:rsidR="00B83C93" w:rsidRPr="008B4DA2">
        <w:rPr>
          <w:noProof/>
        </w:rPr>
        <w:t>duż</w:t>
      </w:r>
      <w:r w:rsidRPr="008B4DA2">
        <w:rPr>
          <w:noProof/>
        </w:rPr>
        <w:t>ej mocy na podstawie dolnej granicy wieku</w:t>
      </w:r>
      <w:r w:rsidR="00B83C93" w:rsidRPr="008B4DA2">
        <w:rPr>
          <w:noProof/>
        </w:rPr>
        <w:t xml:space="preserve"> i</w:t>
      </w:r>
      <w:r w:rsidR="00B83C93">
        <w:rPr>
          <w:noProof/>
        </w:rPr>
        <w:t> </w:t>
      </w:r>
      <w:r w:rsidR="00B83C93" w:rsidRPr="008B4DA2">
        <w:rPr>
          <w:noProof/>
        </w:rPr>
        <w:t>wcz</w:t>
      </w:r>
      <w:r w:rsidRPr="008B4DA2">
        <w:rPr>
          <w:noProof/>
        </w:rPr>
        <w:t>eśniejszego doświadczenia</w:t>
      </w:r>
      <w:r w:rsidR="00B83C93" w:rsidRPr="008B4DA2">
        <w:rPr>
          <w:noProof/>
        </w:rPr>
        <w:t xml:space="preserve"> w</w:t>
      </w:r>
      <w:r w:rsidR="00B83C93">
        <w:rPr>
          <w:noProof/>
        </w:rPr>
        <w:t> </w:t>
      </w:r>
      <w:r w:rsidR="00B83C93" w:rsidRPr="008B4DA2">
        <w:rPr>
          <w:noProof/>
        </w:rPr>
        <w:t>kie</w:t>
      </w:r>
      <w:r w:rsidRPr="008B4DA2">
        <w:rPr>
          <w:noProof/>
        </w:rPr>
        <w:t>rowaniu motocyklami</w:t>
      </w:r>
      <w:r w:rsidR="00B83C93" w:rsidRPr="008B4DA2">
        <w:rPr>
          <w:noProof/>
        </w:rPr>
        <w:t xml:space="preserve"> o</w:t>
      </w:r>
      <w:r w:rsidR="00B83C93">
        <w:rPr>
          <w:noProof/>
        </w:rPr>
        <w:t> </w:t>
      </w:r>
      <w:r w:rsidR="00B83C93" w:rsidRPr="008B4DA2">
        <w:rPr>
          <w:noProof/>
        </w:rPr>
        <w:t>mni</w:t>
      </w:r>
      <w:r w:rsidRPr="008B4DA2">
        <w:rPr>
          <w:noProof/>
        </w:rPr>
        <w:t>ejszej mocy;</w:t>
      </w:r>
    </w:p>
    <w:p w:rsidR="00BD67F9" w:rsidRPr="008B4DA2" w:rsidRDefault="007978E7" w:rsidP="00BD67F9">
      <w:pPr>
        <w:pStyle w:val="Bullet0"/>
        <w:rPr>
          <w:rFonts w:eastAsia="Arial Unicode MS"/>
          <w:noProof/>
        </w:rPr>
      </w:pPr>
      <w:r w:rsidRPr="008B4DA2">
        <w:rPr>
          <w:noProof/>
        </w:rPr>
        <w:t>utworzenie sieci wymiany informacji dotyczących praw jazdy pomiędzy organami krajowymi (RESPER).</w:t>
      </w:r>
    </w:p>
    <w:p w:rsidR="00BD67F9" w:rsidRPr="008B4DA2" w:rsidRDefault="00BD67F9" w:rsidP="00BD67F9">
      <w:pPr>
        <w:rPr>
          <w:noProof/>
        </w:rPr>
      </w:pPr>
      <w:r w:rsidRPr="008B4DA2">
        <w:rPr>
          <w:noProof/>
          <w:bdr w:val="nil"/>
        </w:rPr>
        <w:t>W sprawozdaniu</w:t>
      </w:r>
      <w:r w:rsidR="00B83C93" w:rsidRPr="008B4DA2">
        <w:rPr>
          <w:noProof/>
          <w:bdr w:val="nil"/>
        </w:rPr>
        <w:t xml:space="preserve"> z</w:t>
      </w:r>
      <w:r w:rsidR="00B83C93">
        <w:rPr>
          <w:noProof/>
          <w:bdr w:val="nil"/>
        </w:rPr>
        <w:t> </w:t>
      </w:r>
      <w:r w:rsidR="00B83C93" w:rsidRPr="008B4DA2">
        <w:rPr>
          <w:noProof/>
          <w:bdr w:val="nil"/>
        </w:rPr>
        <w:t>oce</w:t>
      </w:r>
      <w:r w:rsidRPr="008B4DA2">
        <w:rPr>
          <w:noProof/>
          <w:bdr w:val="nil"/>
        </w:rPr>
        <w:t>ny skutków</w:t>
      </w:r>
      <w:r w:rsidRPr="008B4DA2">
        <w:rPr>
          <w:rStyle w:val="FootnoteReference"/>
          <w:noProof/>
        </w:rPr>
        <w:footnoteReference w:id="13"/>
      </w:r>
      <w:r w:rsidRPr="008B4DA2">
        <w:rPr>
          <w:noProof/>
          <w:bdr w:val="nil"/>
        </w:rPr>
        <w:t xml:space="preserve"> potwierdzono potrzebę aktualizacji</w:t>
      </w:r>
      <w:r w:rsidRPr="008B4DA2">
        <w:rPr>
          <w:noProof/>
        </w:rPr>
        <w:t xml:space="preserve"> przepisów Unii regulujących prawa jazdy</w:t>
      </w:r>
      <w:r w:rsidR="00B83C93" w:rsidRPr="008B4DA2">
        <w:rPr>
          <w:noProof/>
        </w:rPr>
        <w:t xml:space="preserve"> w</w:t>
      </w:r>
      <w:r w:rsidR="00B83C93">
        <w:rPr>
          <w:noProof/>
        </w:rPr>
        <w:t> </w:t>
      </w:r>
      <w:r w:rsidR="00B83C93" w:rsidRPr="008B4DA2">
        <w:rPr>
          <w:noProof/>
        </w:rPr>
        <w:t>cel</w:t>
      </w:r>
      <w:r w:rsidRPr="008B4DA2">
        <w:rPr>
          <w:noProof/>
        </w:rPr>
        <w:t>u wsparcia działań na rzecz zmniejszenia liczby śmiertelnych ofiar wypadków drogowych</w:t>
      </w:r>
      <w:r w:rsidR="00B83C93" w:rsidRPr="008B4DA2">
        <w:rPr>
          <w:noProof/>
        </w:rPr>
        <w:t xml:space="preserve"> i</w:t>
      </w:r>
      <w:r w:rsidR="00B83C93">
        <w:rPr>
          <w:noProof/>
        </w:rPr>
        <w:t> </w:t>
      </w:r>
      <w:r w:rsidR="00B83C93" w:rsidRPr="008B4DA2">
        <w:rPr>
          <w:noProof/>
        </w:rPr>
        <w:t>pow</w:t>
      </w:r>
      <w:r w:rsidRPr="008B4DA2">
        <w:rPr>
          <w:noProof/>
        </w:rPr>
        <w:t>ażnych urazów oraz dalszej redukcji obciążeń administracyjnych</w:t>
      </w:r>
      <w:r w:rsidR="00B83C93" w:rsidRPr="008B4DA2">
        <w:rPr>
          <w:noProof/>
        </w:rPr>
        <w:t xml:space="preserve"> i</w:t>
      </w:r>
      <w:r w:rsidR="00B83C93">
        <w:rPr>
          <w:noProof/>
        </w:rPr>
        <w:t> </w:t>
      </w:r>
      <w:r w:rsidR="00B83C93" w:rsidRPr="008B4DA2">
        <w:rPr>
          <w:noProof/>
        </w:rPr>
        <w:t>prz</w:t>
      </w:r>
      <w:r w:rsidRPr="008B4DA2">
        <w:rPr>
          <w:noProof/>
        </w:rPr>
        <w:t>eszkód hamujących swobodny przepływ obywateli na terenie UE</w:t>
      </w:r>
      <w:r w:rsidR="00B83C93" w:rsidRPr="008B4DA2">
        <w:rPr>
          <w:noProof/>
        </w:rPr>
        <w:t>.</w:t>
      </w:r>
      <w:r w:rsidR="00B83C93" w:rsidRPr="008B4DA2">
        <w:rPr>
          <w:noProof/>
          <w:bdr w:val="nil"/>
        </w:rPr>
        <w:t xml:space="preserve"> </w:t>
      </w:r>
      <w:r w:rsidR="00B83C93" w:rsidRPr="008B4DA2">
        <w:rPr>
          <w:noProof/>
        </w:rPr>
        <w:t>W</w:t>
      </w:r>
      <w:r w:rsidR="00B83C93">
        <w:rPr>
          <w:noProof/>
        </w:rPr>
        <w:t> </w:t>
      </w:r>
      <w:r w:rsidR="00B83C93" w:rsidRPr="008B4DA2">
        <w:rPr>
          <w:noProof/>
        </w:rPr>
        <w:t>wie</w:t>
      </w:r>
      <w:r w:rsidRPr="008B4DA2">
        <w:rPr>
          <w:noProof/>
        </w:rPr>
        <w:t>lu poważnych kolizjach, których skutkiem są ofiary śmiertelne, znaczny uszczerbek na zdrowiu</w:t>
      </w:r>
      <w:r w:rsidR="00B83C93" w:rsidRPr="008B4DA2">
        <w:rPr>
          <w:noProof/>
        </w:rPr>
        <w:t xml:space="preserve"> i</w:t>
      </w:r>
      <w:r w:rsidR="00B83C93">
        <w:rPr>
          <w:noProof/>
        </w:rPr>
        <w:t> </w:t>
      </w:r>
      <w:r w:rsidR="00B83C93" w:rsidRPr="008B4DA2">
        <w:rPr>
          <w:noProof/>
        </w:rPr>
        <w:t>obr</w:t>
      </w:r>
      <w:r w:rsidRPr="008B4DA2">
        <w:rPr>
          <w:noProof/>
        </w:rPr>
        <w:t>ażenia bez skutku śmiertelnego, ważną rolę odgrywają umiejętności, wiedza, zachowanie</w:t>
      </w:r>
      <w:r w:rsidR="00B83C93" w:rsidRPr="008B4DA2">
        <w:rPr>
          <w:noProof/>
        </w:rPr>
        <w:t xml:space="preserve"> i</w:t>
      </w:r>
      <w:r w:rsidR="00B83C93">
        <w:rPr>
          <w:noProof/>
        </w:rPr>
        <w:t> </w:t>
      </w:r>
      <w:r w:rsidR="00B83C93" w:rsidRPr="008B4DA2">
        <w:rPr>
          <w:noProof/>
        </w:rPr>
        <w:t>kon</w:t>
      </w:r>
      <w:r w:rsidRPr="008B4DA2">
        <w:rPr>
          <w:noProof/>
        </w:rPr>
        <w:t>dycja zdrowotna kierowcy,</w:t>
      </w:r>
      <w:r w:rsidR="00B83C93" w:rsidRPr="008B4DA2">
        <w:rPr>
          <w:noProof/>
        </w:rPr>
        <w:t xml:space="preserve"> a</w:t>
      </w:r>
      <w:r w:rsidR="00B83C93">
        <w:rPr>
          <w:noProof/>
        </w:rPr>
        <w:t> </w:t>
      </w:r>
      <w:r w:rsidR="00B83C93" w:rsidRPr="008B4DA2">
        <w:rPr>
          <w:noProof/>
        </w:rPr>
        <w:t>wci</w:t>
      </w:r>
      <w:r w:rsidRPr="008B4DA2">
        <w:rPr>
          <w:noProof/>
        </w:rPr>
        <w:t>ąż jest zbyt wielu posiadaczy praw jazdy, których obecność na drogach UE stanowi zagrożenie</w:t>
      </w:r>
      <w:r w:rsidR="00B83C93" w:rsidRPr="008B4DA2">
        <w:rPr>
          <w:noProof/>
        </w:rPr>
        <w:t xml:space="preserve"> w</w:t>
      </w:r>
      <w:r w:rsidR="00B83C93">
        <w:rPr>
          <w:noProof/>
        </w:rPr>
        <w:t> </w:t>
      </w:r>
      <w:r w:rsidR="00B83C93" w:rsidRPr="008B4DA2">
        <w:rPr>
          <w:noProof/>
        </w:rPr>
        <w:t>zwi</w:t>
      </w:r>
      <w:r w:rsidRPr="008B4DA2">
        <w:rPr>
          <w:noProof/>
        </w:rPr>
        <w:t>ązku</w:t>
      </w:r>
      <w:r w:rsidR="00B83C93" w:rsidRPr="008B4DA2">
        <w:rPr>
          <w:noProof/>
        </w:rPr>
        <w:t xml:space="preserve"> z</w:t>
      </w:r>
      <w:r w:rsidR="00B83C93">
        <w:rPr>
          <w:noProof/>
        </w:rPr>
        <w:t> </w:t>
      </w:r>
      <w:r w:rsidR="00B83C93" w:rsidRPr="008B4DA2">
        <w:rPr>
          <w:noProof/>
        </w:rPr>
        <w:t>bra</w:t>
      </w:r>
      <w:r w:rsidRPr="008B4DA2">
        <w:rPr>
          <w:noProof/>
        </w:rPr>
        <w:t>kiem sprawności niezbędnej do kierowania pojazdami.</w:t>
      </w:r>
      <w:r w:rsidRPr="008B4DA2">
        <w:rPr>
          <w:noProof/>
          <w:bdr w:val="nil"/>
        </w:rPr>
        <w:t xml:space="preserve"> </w:t>
      </w:r>
      <w:r w:rsidRPr="008B4DA2">
        <w:rPr>
          <w:noProof/>
        </w:rPr>
        <w:t xml:space="preserve">Ocena </w:t>
      </w:r>
      <w:r w:rsidRPr="008B4DA2">
        <w:rPr>
          <w:i/>
          <w:noProof/>
        </w:rPr>
        <w:t>ex-post</w:t>
      </w:r>
      <w:r w:rsidRPr="008B4DA2">
        <w:rPr>
          <w:rStyle w:val="FootnoteReference"/>
          <w:noProof/>
        </w:rPr>
        <w:footnoteReference w:id="14"/>
      </w:r>
      <w:r w:rsidRPr="008B4DA2">
        <w:rPr>
          <w:noProof/>
        </w:rPr>
        <w:t xml:space="preserve"> wykazała, że obecna kontrola oparta na wieku nie jest już postrzegana jako najbardziej odpowiednia. Chociaż istnieją dowody na potencjalne pogorszenie stanu fizycznego</w:t>
      </w:r>
      <w:r w:rsidR="00B83C93" w:rsidRPr="008B4DA2">
        <w:rPr>
          <w:noProof/>
        </w:rPr>
        <w:t xml:space="preserve"> w</w:t>
      </w:r>
      <w:r w:rsidR="00B83C93">
        <w:rPr>
          <w:noProof/>
        </w:rPr>
        <w:t> </w:t>
      </w:r>
      <w:r w:rsidR="00B83C93" w:rsidRPr="008B4DA2">
        <w:rPr>
          <w:noProof/>
        </w:rPr>
        <w:t>zwi</w:t>
      </w:r>
      <w:r w:rsidRPr="008B4DA2">
        <w:rPr>
          <w:noProof/>
        </w:rPr>
        <w:t>ązku</w:t>
      </w:r>
      <w:r w:rsidR="00B83C93" w:rsidRPr="008B4DA2">
        <w:rPr>
          <w:noProof/>
        </w:rPr>
        <w:t xml:space="preserve"> z</w:t>
      </w:r>
      <w:r w:rsidR="00B83C93">
        <w:rPr>
          <w:noProof/>
        </w:rPr>
        <w:t> </w:t>
      </w:r>
      <w:r w:rsidR="00B83C93" w:rsidRPr="008B4DA2">
        <w:rPr>
          <w:noProof/>
        </w:rPr>
        <w:t>wie</w:t>
      </w:r>
      <w:r w:rsidRPr="008B4DA2">
        <w:rPr>
          <w:noProof/>
        </w:rPr>
        <w:t>kiem,</w:t>
      </w:r>
      <w:r w:rsidR="00B83C93" w:rsidRPr="008B4DA2">
        <w:rPr>
          <w:noProof/>
        </w:rPr>
        <w:t xml:space="preserve"> w</w:t>
      </w:r>
      <w:r w:rsidR="00B83C93">
        <w:rPr>
          <w:noProof/>
        </w:rPr>
        <w:t> </w:t>
      </w:r>
      <w:r w:rsidR="00B83C93" w:rsidRPr="008B4DA2">
        <w:rPr>
          <w:noProof/>
        </w:rPr>
        <w:t>nie</w:t>
      </w:r>
      <w:r w:rsidRPr="008B4DA2">
        <w:rPr>
          <w:noProof/>
        </w:rPr>
        <w:t>których badaniach stwierdzono, że określone schorzenia, takie jak nadużywanie substancji, choroby psychiczne, padaczka</w:t>
      </w:r>
      <w:r w:rsidR="00B83C93" w:rsidRPr="008B4DA2">
        <w:rPr>
          <w:noProof/>
        </w:rPr>
        <w:t xml:space="preserve"> i</w:t>
      </w:r>
      <w:r w:rsidR="00B83C93">
        <w:rPr>
          <w:noProof/>
        </w:rPr>
        <w:t> </w:t>
      </w:r>
      <w:r w:rsidR="00B83C93" w:rsidRPr="008B4DA2">
        <w:rPr>
          <w:noProof/>
        </w:rPr>
        <w:t>cuk</w:t>
      </w:r>
      <w:r w:rsidRPr="008B4DA2">
        <w:rPr>
          <w:noProof/>
        </w:rPr>
        <w:t>rzyca, choroby serca</w:t>
      </w:r>
      <w:r w:rsidR="00B83C93" w:rsidRPr="008B4DA2">
        <w:rPr>
          <w:noProof/>
        </w:rPr>
        <w:t xml:space="preserve"> i</w:t>
      </w:r>
      <w:r w:rsidR="00B83C93">
        <w:rPr>
          <w:noProof/>
        </w:rPr>
        <w:t> </w:t>
      </w:r>
      <w:r w:rsidR="00B83C93" w:rsidRPr="008B4DA2">
        <w:rPr>
          <w:noProof/>
        </w:rPr>
        <w:t>bez</w:t>
      </w:r>
      <w:r w:rsidRPr="008B4DA2">
        <w:rPr>
          <w:noProof/>
        </w:rPr>
        <w:t>dech senny, nie muszą być związane</w:t>
      </w:r>
      <w:r w:rsidR="00B83C93" w:rsidRPr="008B4DA2">
        <w:rPr>
          <w:noProof/>
        </w:rPr>
        <w:t xml:space="preserve"> z</w:t>
      </w:r>
      <w:r w:rsidR="00B83C93">
        <w:rPr>
          <w:noProof/>
        </w:rPr>
        <w:t> </w:t>
      </w:r>
      <w:r w:rsidR="00B83C93" w:rsidRPr="008B4DA2">
        <w:rPr>
          <w:noProof/>
        </w:rPr>
        <w:t>wie</w:t>
      </w:r>
      <w:r w:rsidRPr="008B4DA2">
        <w:rPr>
          <w:noProof/>
        </w:rPr>
        <w:t>kiem. Są one jednak czynnikami bardziej istotnymi niż wiek, jeżeli chodzi</w:t>
      </w:r>
      <w:r w:rsidR="00B83C93" w:rsidRPr="008B4DA2">
        <w:rPr>
          <w:noProof/>
        </w:rPr>
        <w:t xml:space="preserve"> o</w:t>
      </w:r>
      <w:r w:rsidR="00B83C93">
        <w:rPr>
          <w:noProof/>
        </w:rPr>
        <w:t> </w:t>
      </w:r>
      <w:r w:rsidR="00B83C93" w:rsidRPr="008B4DA2">
        <w:rPr>
          <w:noProof/>
        </w:rPr>
        <w:t>kon</w:t>
      </w:r>
      <w:r w:rsidRPr="008B4DA2">
        <w:rPr>
          <w:noProof/>
        </w:rPr>
        <w:t>dycję zdrowotną niezbędną do kierowania pojazdami.</w:t>
      </w:r>
    </w:p>
    <w:p w:rsidR="00BD67F9" w:rsidRPr="008B4DA2" w:rsidRDefault="00BD67F9" w:rsidP="00BD67F9">
      <w:pPr>
        <w:rPr>
          <w:noProof/>
        </w:rPr>
      </w:pPr>
      <w:r w:rsidRPr="008B4DA2">
        <w:rPr>
          <w:noProof/>
          <w:bdr w:val="nil"/>
        </w:rPr>
        <w:t>Umiejętności, wiedza, świadomość ryzyka</w:t>
      </w:r>
      <w:r w:rsidR="00B83C93" w:rsidRPr="008B4DA2">
        <w:rPr>
          <w:noProof/>
          <w:bdr w:val="nil"/>
        </w:rPr>
        <w:t xml:space="preserve"> i</w:t>
      </w:r>
      <w:r w:rsidR="00B83C93">
        <w:rPr>
          <w:noProof/>
          <w:bdr w:val="nil"/>
        </w:rPr>
        <w:t> </w:t>
      </w:r>
      <w:r w:rsidR="00B83C93" w:rsidRPr="008B4DA2">
        <w:rPr>
          <w:noProof/>
          <w:bdr w:val="nil"/>
        </w:rPr>
        <w:t>doś</w:t>
      </w:r>
      <w:r w:rsidRPr="008B4DA2">
        <w:rPr>
          <w:noProof/>
          <w:bdr w:val="nil"/>
        </w:rPr>
        <w:t>wiadczenie kierowców pozostają ograniczone, szczególnie</w:t>
      </w:r>
      <w:r w:rsidR="00B83C93" w:rsidRPr="008B4DA2">
        <w:rPr>
          <w:noProof/>
          <w:bdr w:val="nil"/>
        </w:rPr>
        <w:t xml:space="preserve"> w</w:t>
      </w:r>
      <w:r w:rsidR="00B83C93">
        <w:rPr>
          <w:noProof/>
          <w:bdr w:val="nil"/>
        </w:rPr>
        <w:t> </w:t>
      </w:r>
      <w:r w:rsidR="00B83C93" w:rsidRPr="008B4DA2">
        <w:rPr>
          <w:noProof/>
          <w:bdr w:val="nil"/>
        </w:rPr>
        <w:t>prz</w:t>
      </w:r>
      <w:r w:rsidRPr="008B4DA2">
        <w:rPr>
          <w:noProof/>
          <w:bdr w:val="nil"/>
        </w:rPr>
        <w:t>ypadku początkujących kierowców. Większa liczba wypadków</w:t>
      </w:r>
      <w:r w:rsidR="00B83C93" w:rsidRPr="008B4DA2">
        <w:rPr>
          <w:noProof/>
          <w:bdr w:val="nil"/>
        </w:rPr>
        <w:t xml:space="preserve"> i</w:t>
      </w:r>
      <w:r w:rsidR="00B83C93">
        <w:rPr>
          <w:noProof/>
          <w:bdr w:val="nil"/>
        </w:rPr>
        <w:t> </w:t>
      </w:r>
      <w:r w:rsidR="00B83C93" w:rsidRPr="008B4DA2">
        <w:rPr>
          <w:noProof/>
          <w:bdr w:val="nil"/>
        </w:rPr>
        <w:t>ofi</w:t>
      </w:r>
      <w:r w:rsidRPr="008B4DA2">
        <w:rPr>
          <w:noProof/>
          <w:bdr w:val="nil"/>
        </w:rPr>
        <w:t>ar śmiertelnych</w:t>
      </w:r>
      <w:r w:rsidR="00B83C93" w:rsidRPr="008B4DA2">
        <w:rPr>
          <w:noProof/>
          <w:bdr w:val="nil"/>
        </w:rPr>
        <w:t xml:space="preserve"> z</w:t>
      </w:r>
      <w:r w:rsidR="00B83C93">
        <w:rPr>
          <w:noProof/>
          <w:bdr w:val="nil"/>
        </w:rPr>
        <w:t> </w:t>
      </w:r>
      <w:r w:rsidR="00B83C93" w:rsidRPr="008B4DA2">
        <w:rPr>
          <w:noProof/>
          <w:bdr w:val="nil"/>
        </w:rPr>
        <w:t>udz</w:t>
      </w:r>
      <w:r w:rsidRPr="008B4DA2">
        <w:rPr>
          <w:noProof/>
          <w:bdr w:val="nil"/>
        </w:rPr>
        <w:t>iałem początkujących kierowców wskazuje na to, że wymogi dotyczące wydawania praw jazdy nie są</w:t>
      </w:r>
      <w:r w:rsidR="00B83C93" w:rsidRPr="008B4DA2">
        <w:rPr>
          <w:noProof/>
          <w:bdr w:val="nil"/>
        </w:rPr>
        <w:t xml:space="preserve"> w</w:t>
      </w:r>
      <w:r w:rsidR="00B83C93">
        <w:rPr>
          <w:noProof/>
          <w:bdr w:val="nil"/>
        </w:rPr>
        <w:t> </w:t>
      </w:r>
      <w:r w:rsidR="00B83C93" w:rsidRPr="008B4DA2">
        <w:rPr>
          <w:noProof/>
          <w:bdr w:val="nil"/>
        </w:rPr>
        <w:t>peł</w:t>
      </w:r>
      <w:r w:rsidRPr="008B4DA2">
        <w:rPr>
          <w:noProof/>
          <w:bdr w:val="nil"/>
        </w:rPr>
        <w:t>ni dostosowane do celów bezpieczeństwa ruchu drogowego</w:t>
      </w:r>
      <w:r w:rsidRPr="008B4DA2">
        <w:rPr>
          <w:noProof/>
        </w:rPr>
        <w:t>. Ponadto stopniowe wprowadzanie nowych technologii, takich jak zaawansowane systemy wspierania kierowców,</w:t>
      </w:r>
      <w:r w:rsidR="00B83C93" w:rsidRPr="008B4DA2">
        <w:rPr>
          <w:noProof/>
        </w:rPr>
        <w:t xml:space="preserve"> a</w:t>
      </w:r>
      <w:r w:rsidR="00B83C93">
        <w:rPr>
          <w:noProof/>
        </w:rPr>
        <w:t> </w:t>
      </w:r>
      <w:r w:rsidR="00B83C93" w:rsidRPr="008B4DA2">
        <w:rPr>
          <w:noProof/>
        </w:rPr>
        <w:t>w</w:t>
      </w:r>
      <w:r w:rsidR="00B83C93">
        <w:rPr>
          <w:noProof/>
        </w:rPr>
        <w:t> </w:t>
      </w:r>
      <w:r w:rsidR="00B83C93" w:rsidRPr="008B4DA2">
        <w:rPr>
          <w:noProof/>
        </w:rPr>
        <w:t>prz</w:t>
      </w:r>
      <w:r w:rsidRPr="008B4DA2">
        <w:rPr>
          <w:noProof/>
        </w:rPr>
        <w:t>yszłości pojazdy zautomatyzowane, będzie miało istotny wpływ na użytkowanie pojazdów. Chociaż takie technologie mają potencjał dotyczący poprawy bezpieczeństwa ruchu drogowego</w:t>
      </w:r>
      <w:r w:rsidR="00B83C93" w:rsidRPr="008B4DA2">
        <w:rPr>
          <w:noProof/>
        </w:rPr>
        <w:t xml:space="preserve"> i</w:t>
      </w:r>
      <w:r w:rsidR="00B83C93">
        <w:rPr>
          <w:noProof/>
        </w:rPr>
        <w:t> </w:t>
      </w:r>
      <w:r w:rsidR="00B83C93" w:rsidRPr="008B4DA2">
        <w:rPr>
          <w:noProof/>
        </w:rPr>
        <w:t>prz</w:t>
      </w:r>
      <w:r w:rsidRPr="008B4DA2">
        <w:rPr>
          <w:noProof/>
        </w:rPr>
        <w:t>yczynienia się do bardziej inkluzywnej mobilności, wiążą się również</w:t>
      </w:r>
      <w:r w:rsidR="00B83C93" w:rsidRPr="008B4DA2">
        <w:rPr>
          <w:noProof/>
        </w:rPr>
        <w:t xml:space="preserve"> z</w:t>
      </w:r>
      <w:r w:rsidR="00B83C93">
        <w:rPr>
          <w:noProof/>
        </w:rPr>
        <w:t> </w:t>
      </w:r>
      <w:r w:rsidR="00B83C93" w:rsidRPr="008B4DA2">
        <w:rPr>
          <w:noProof/>
        </w:rPr>
        <w:t>now</w:t>
      </w:r>
      <w:r w:rsidRPr="008B4DA2">
        <w:rPr>
          <w:noProof/>
        </w:rPr>
        <w:t>ymi wyzwaniami dla kierowców odnośnie do umiejętności</w:t>
      </w:r>
      <w:r w:rsidR="00B83C93" w:rsidRPr="008B4DA2">
        <w:rPr>
          <w:noProof/>
        </w:rPr>
        <w:t xml:space="preserve"> i</w:t>
      </w:r>
      <w:r w:rsidR="00B83C93">
        <w:rPr>
          <w:noProof/>
        </w:rPr>
        <w:t> </w:t>
      </w:r>
      <w:r w:rsidR="00B83C93" w:rsidRPr="008B4DA2">
        <w:rPr>
          <w:noProof/>
        </w:rPr>
        <w:t>wie</w:t>
      </w:r>
      <w:r w:rsidRPr="008B4DA2">
        <w:rPr>
          <w:noProof/>
        </w:rPr>
        <w:t xml:space="preserve">dzy na temat nowych funkcji, które to kwestie nie są objęte obecną dyrektywą. </w:t>
      </w:r>
    </w:p>
    <w:p w:rsidR="00BD67F9" w:rsidRPr="008B4DA2" w:rsidRDefault="00BD67F9" w:rsidP="00BD67F9">
      <w:pPr>
        <w:rPr>
          <w:noProof/>
          <w:bdr w:val="nil"/>
        </w:rPr>
      </w:pPr>
      <w:r w:rsidRPr="008B4DA2">
        <w:rPr>
          <w:noProof/>
        </w:rPr>
        <w:t>Jeżeli chodzi</w:t>
      </w:r>
      <w:r w:rsidR="00B83C93" w:rsidRPr="008B4DA2">
        <w:rPr>
          <w:noProof/>
        </w:rPr>
        <w:t xml:space="preserve"> o</w:t>
      </w:r>
      <w:r w:rsidR="00B83C93">
        <w:rPr>
          <w:noProof/>
        </w:rPr>
        <w:t> </w:t>
      </w:r>
      <w:r w:rsidR="00B83C93" w:rsidRPr="008B4DA2">
        <w:rPr>
          <w:noProof/>
        </w:rPr>
        <w:t>prz</w:t>
      </w:r>
      <w:r w:rsidRPr="008B4DA2">
        <w:rPr>
          <w:noProof/>
        </w:rPr>
        <w:t>eszkody dotyczące swobodnego przepływu osób</w:t>
      </w:r>
      <w:r w:rsidRPr="00B83C93">
        <w:rPr>
          <w:noProof/>
        </w:rPr>
        <w:t>,</w:t>
      </w:r>
      <w:r w:rsidR="00B83C93" w:rsidRPr="00B83C93">
        <w:rPr>
          <w:noProof/>
        </w:rPr>
        <w:t xml:space="preserve"> </w:t>
      </w:r>
      <w:r w:rsidRPr="00B83C93">
        <w:rPr>
          <w:noProof/>
          <w:bdr w:val="nil"/>
        </w:rPr>
        <w:t>n</w:t>
      </w:r>
      <w:r w:rsidRPr="008B4DA2">
        <w:rPr>
          <w:noProof/>
          <w:bdr w:val="nil"/>
        </w:rPr>
        <w:t>adal obowiązują niepotrzebne lub nieuzasadnione procedury niezbędne do uzyskania prawa jazdy lub wykonywania lub utrzymania uprawnień do kierowania pojazdami</w:t>
      </w:r>
      <w:r w:rsidR="00B83C93" w:rsidRPr="008B4DA2">
        <w:rPr>
          <w:noProof/>
          <w:bdr w:val="nil"/>
        </w:rPr>
        <w:t xml:space="preserve"> w</w:t>
      </w:r>
      <w:r w:rsidR="00B83C93">
        <w:rPr>
          <w:noProof/>
          <w:bdr w:val="nil"/>
        </w:rPr>
        <w:t> </w:t>
      </w:r>
      <w:r w:rsidR="00B83C93" w:rsidRPr="008B4DA2">
        <w:rPr>
          <w:noProof/>
          <w:bdr w:val="nil"/>
        </w:rPr>
        <w:t>inn</w:t>
      </w:r>
      <w:r w:rsidRPr="008B4DA2">
        <w:rPr>
          <w:noProof/>
          <w:bdr w:val="nil"/>
        </w:rPr>
        <w:t>ym państwie UE,</w:t>
      </w:r>
      <w:r w:rsidR="00B83C93" w:rsidRPr="008B4DA2">
        <w:rPr>
          <w:noProof/>
          <w:bdr w:val="nil"/>
        </w:rPr>
        <w:t xml:space="preserve"> w</w:t>
      </w:r>
      <w:r w:rsidR="00B83C93">
        <w:rPr>
          <w:noProof/>
          <w:bdr w:val="nil"/>
        </w:rPr>
        <w:t> </w:t>
      </w:r>
      <w:r w:rsidR="00B83C93" w:rsidRPr="008B4DA2">
        <w:rPr>
          <w:noProof/>
          <w:bdr w:val="nil"/>
        </w:rPr>
        <w:t>prz</w:t>
      </w:r>
      <w:r w:rsidRPr="008B4DA2">
        <w:rPr>
          <w:noProof/>
          <w:bdr w:val="nil"/>
        </w:rPr>
        <w:t>ypadku gdy kierowcy uzyskują prawo jazdy, korzystają</w:t>
      </w:r>
      <w:r w:rsidR="00B83C93" w:rsidRPr="008B4DA2">
        <w:rPr>
          <w:noProof/>
          <w:bdr w:val="nil"/>
        </w:rPr>
        <w:t xml:space="preserve"> z</w:t>
      </w:r>
      <w:r w:rsidR="00B83C93">
        <w:rPr>
          <w:noProof/>
          <w:bdr w:val="nil"/>
        </w:rPr>
        <w:t> </w:t>
      </w:r>
      <w:r w:rsidR="00B83C93" w:rsidRPr="008B4DA2">
        <w:rPr>
          <w:noProof/>
          <w:bdr w:val="nil"/>
        </w:rPr>
        <w:t>nie</w:t>
      </w:r>
      <w:r w:rsidRPr="008B4DA2">
        <w:rPr>
          <w:noProof/>
          <w:bdr w:val="nil"/>
        </w:rPr>
        <w:t>go, otrzymują wtórnik prawa jazdy, przedłużają okres ważności prawa jazdy lub wymieniają je</w:t>
      </w:r>
      <w:r w:rsidR="00B83C93" w:rsidRPr="008B4DA2">
        <w:rPr>
          <w:noProof/>
          <w:bdr w:val="nil"/>
        </w:rPr>
        <w:t>. W</w:t>
      </w:r>
      <w:r w:rsidR="00B83C93">
        <w:rPr>
          <w:noProof/>
          <w:bdr w:val="nil"/>
        </w:rPr>
        <w:t> </w:t>
      </w:r>
      <w:r w:rsidR="00B83C93" w:rsidRPr="008B4DA2">
        <w:rPr>
          <w:noProof/>
          <w:bdr w:val="nil"/>
        </w:rPr>
        <w:t>ost</w:t>
      </w:r>
      <w:r w:rsidRPr="008B4DA2">
        <w:rPr>
          <w:noProof/>
          <w:bdr w:val="nil"/>
        </w:rPr>
        <w:t>atecznym rozrachunku utrudnia to ich przemieszczanie się</w:t>
      </w:r>
      <w:r w:rsidR="00B83C93" w:rsidRPr="008B4DA2">
        <w:rPr>
          <w:noProof/>
          <w:bdr w:val="nil"/>
        </w:rPr>
        <w:t xml:space="preserve"> w</w:t>
      </w:r>
      <w:r w:rsidR="00B83C93">
        <w:rPr>
          <w:noProof/>
          <w:bdr w:val="nil"/>
        </w:rPr>
        <w:t> </w:t>
      </w:r>
      <w:r w:rsidR="00B83C93" w:rsidRPr="008B4DA2">
        <w:rPr>
          <w:noProof/>
          <w:bdr w:val="nil"/>
        </w:rPr>
        <w:t>obr</w:t>
      </w:r>
      <w:r w:rsidRPr="008B4DA2">
        <w:rPr>
          <w:noProof/>
          <w:bdr w:val="nil"/>
        </w:rPr>
        <w:t xml:space="preserve">ębie UE. </w:t>
      </w:r>
      <w:r w:rsidRPr="008B4DA2">
        <w:rPr>
          <w:noProof/>
        </w:rPr>
        <w:t>Zgodnie</w:t>
      </w:r>
      <w:r w:rsidR="00B83C93" w:rsidRPr="008B4DA2">
        <w:rPr>
          <w:noProof/>
        </w:rPr>
        <w:t xml:space="preserve"> z</w:t>
      </w:r>
      <w:r w:rsidR="00B83C93">
        <w:rPr>
          <w:noProof/>
        </w:rPr>
        <w:t> </w:t>
      </w:r>
      <w:r w:rsidR="00B83C93" w:rsidRPr="008B4DA2">
        <w:rPr>
          <w:noProof/>
        </w:rPr>
        <w:t>oce</w:t>
      </w:r>
      <w:r w:rsidRPr="008B4DA2">
        <w:rPr>
          <w:noProof/>
        </w:rPr>
        <w:t>ną niektóre środki przewidziane</w:t>
      </w:r>
      <w:r w:rsidR="00B83C93" w:rsidRPr="008B4DA2">
        <w:rPr>
          <w:noProof/>
        </w:rPr>
        <w:t xml:space="preserve"> w</w:t>
      </w:r>
      <w:r w:rsidR="00B83C93">
        <w:rPr>
          <w:noProof/>
        </w:rPr>
        <w:t> </w:t>
      </w:r>
      <w:r w:rsidR="00B83C93" w:rsidRPr="008B4DA2">
        <w:rPr>
          <w:noProof/>
        </w:rPr>
        <w:t>dyr</w:t>
      </w:r>
      <w:r w:rsidRPr="008B4DA2">
        <w:rPr>
          <w:noProof/>
        </w:rPr>
        <w:t>ektywie (takie jak koncepcja stałego zamieszkania) okazały się trudne do zastosowania</w:t>
      </w:r>
      <w:r w:rsidR="00B83C93" w:rsidRPr="008B4DA2">
        <w:rPr>
          <w:noProof/>
        </w:rPr>
        <w:t xml:space="preserve"> i</w:t>
      </w:r>
      <w:r w:rsidR="00B83C93">
        <w:rPr>
          <w:noProof/>
        </w:rPr>
        <w:t> </w:t>
      </w:r>
      <w:r w:rsidR="00B83C93" w:rsidRPr="008B4DA2">
        <w:rPr>
          <w:noProof/>
        </w:rPr>
        <w:t>mog</w:t>
      </w:r>
      <w:r w:rsidRPr="008B4DA2">
        <w:rPr>
          <w:noProof/>
        </w:rPr>
        <w:t>ły prowadzić do dużego obciążenia administracyjnego lub stanowiły przeszkodę dla realizacji zasady swobodnego przepływu.</w:t>
      </w:r>
      <w:r w:rsidRPr="008B4DA2">
        <w:rPr>
          <w:noProof/>
          <w:bdr w:val="nil"/>
        </w:rPr>
        <w:t xml:space="preserve"> </w:t>
      </w:r>
      <w:r w:rsidRPr="008B4DA2">
        <w:rPr>
          <w:noProof/>
        </w:rPr>
        <w:t>Obywatele posiadający dobrze udokumentowane uprawnienia do kierowania pojazdami, którzy napotykają na takie bariery, mogą</w:t>
      </w:r>
      <w:r w:rsidR="00B83C93" w:rsidRPr="008B4DA2">
        <w:rPr>
          <w:noProof/>
        </w:rPr>
        <w:t xml:space="preserve"> w</w:t>
      </w:r>
      <w:r w:rsidR="00B83C93">
        <w:rPr>
          <w:noProof/>
        </w:rPr>
        <w:t> </w:t>
      </w:r>
      <w:r w:rsidR="00B83C93" w:rsidRPr="008B4DA2">
        <w:rPr>
          <w:noProof/>
        </w:rPr>
        <w:t>pra</w:t>
      </w:r>
      <w:r w:rsidRPr="008B4DA2">
        <w:rPr>
          <w:noProof/>
        </w:rPr>
        <w:t>ktyce pozostawać bez prawa jazdy do sześciu miesięcy lub nawet dłużej.</w:t>
      </w:r>
      <w:r w:rsidRPr="008B4DA2">
        <w:rPr>
          <w:noProof/>
          <w:bdr w:val="nil"/>
        </w:rPr>
        <w:t xml:space="preserve"> </w:t>
      </w:r>
      <w:r w:rsidRPr="008B4DA2">
        <w:rPr>
          <w:noProof/>
        </w:rPr>
        <w:t>Obecna dyrektywa może ponadto</w:t>
      </w:r>
      <w:r w:rsidR="00B83C93" w:rsidRPr="008B4DA2">
        <w:rPr>
          <w:noProof/>
        </w:rPr>
        <w:t xml:space="preserve"> w</w:t>
      </w:r>
      <w:r w:rsidR="00B83C93">
        <w:rPr>
          <w:noProof/>
        </w:rPr>
        <w:t> </w:t>
      </w:r>
      <w:r w:rsidR="00B83C93" w:rsidRPr="008B4DA2">
        <w:rPr>
          <w:noProof/>
        </w:rPr>
        <w:t>nie</w:t>
      </w:r>
      <w:r w:rsidRPr="008B4DA2">
        <w:rPr>
          <w:noProof/>
        </w:rPr>
        <w:t>których przypadkach uniemożliwić obywatelom Unii uzyskanie prawa jazdy</w:t>
      </w:r>
      <w:r w:rsidR="00B83C93" w:rsidRPr="008B4DA2">
        <w:rPr>
          <w:noProof/>
        </w:rPr>
        <w:t xml:space="preserve"> w</w:t>
      </w:r>
      <w:r w:rsidR="00B83C93">
        <w:rPr>
          <w:noProof/>
        </w:rPr>
        <w:t> </w:t>
      </w:r>
      <w:r w:rsidR="00B83C93" w:rsidRPr="008B4DA2">
        <w:rPr>
          <w:noProof/>
        </w:rPr>
        <w:t>pań</w:t>
      </w:r>
      <w:r w:rsidRPr="008B4DA2">
        <w:rPr>
          <w:noProof/>
        </w:rPr>
        <w:t>stwach UE, gdy ich znajomość języka lokalnego jest niewystarczająca,</w:t>
      </w:r>
      <w:r w:rsidR="00B83C93" w:rsidRPr="008B4DA2">
        <w:rPr>
          <w:noProof/>
        </w:rPr>
        <w:t xml:space="preserve"> a</w:t>
      </w:r>
      <w:r w:rsidR="00B83C93">
        <w:rPr>
          <w:noProof/>
        </w:rPr>
        <w:t> </w:t>
      </w:r>
      <w:r w:rsidR="00B83C93" w:rsidRPr="008B4DA2">
        <w:rPr>
          <w:noProof/>
        </w:rPr>
        <w:t>w</w:t>
      </w:r>
      <w:r w:rsidR="00B83C93">
        <w:rPr>
          <w:noProof/>
        </w:rPr>
        <w:t> </w:t>
      </w:r>
      <w:r w:rsidR="00B83C93" w:rsidRPr="008B4DA2">
        <w:rPr>
          <w:noProof/>
        </w:rPr>
        <w:t>kra</w:t>
      </w:r>
      <w:r w:rsidRPr="008B4DA2">
        <w:rPr>
          <w:noProof/>
        </w:rPr>
        <w:t>jach tych podczas egzaminów nie można korzystać</w:t>
      </w:r>
      <w:r w:rsidR="00B83C93" w:rsidRPr="008B4DA2">
        <w:rPr>
          <w:noProof/>
        </w:rPr>
        <w:t xml:space="preserve"> z</w:t>
      </w:r>
      <w:r w:rsidR="00B83C93">
        <w:rPr>
          <w:noProof/>
        </w:rPr>
        <w:t> </w:t>
      </w:r>
      <w:r w:rsidR="00B83C93" w:rsidRPr="008B4DA2">
        <w:rPr>
          <w:noProof/>
        </w:rPr>
        <w:t>usł</w:t>
      </w:r>
      <w:r w:rsidRPr="008B4DA2">
        <w:rPr>
          <w:noProof/>
        </w:rPr>
        <w:t xml:space="preserve">ug tłumacza ustnego. </w:t>
      </w:r>
      <w:r w:rsidRPr="008B4DA2">
        <w:rPr>
          <w:noProof/>
          <w:bdr w:val="nil"/>
        </w:rPr>
        <w:t>Nie istnieją ponadto wspólne zasady dotyczące wymiany praw jazdy wydanych przez państwa trzecie, gdy posiadacz prawa jazdy ustanawia swoje miejsce zamieszkania</w:t>
      </w:r>
      <w:r w:rsidR="00B83C93" w:rsidRPr="008B4DA2">
        <w:rPr>
          <w:noProof/>
          <w:bdr w:val="nil"/>
        </w:rPr>
        <w:t xml:space="preserve"> w</w:t>
      </w:r>
      <w:r w:rsidR="00B83C93">
        <w:rPr>
          <w:noProof/>
          <w:bdr w:val="nil"/>
        </w:rPr>
        <w:t> </w:t>
      </w:r>
      <w:r w:rsidR="00B83C93" w:rsidRPr="008B4DA2">
        <w:rPr>
          <w:noProof/>
          <w:bdr w:val="nil"/>
        </w:rPr>
        <w:t>Uni</w:t>
      </w:r>
      <w:r w:rsidRPr="008B4DA2">
        <w:rPr>
          <w:noProof/>
          <w:bdr w:val="nil"/>
        </w:rPr>
        <w:t>i Europejskiej,</w:t>
      </w:r>
      <w:r w:rsidR="00B83C93" w:rsidRPr="008B4DA2">
        <w:rPr>
          <w:noProof/>
          <w:bdr w:val="nil"/>
        </w:rPr>
        <w:t xml:space="preserve"> a</w:t>
      </w:r>
      <w:r w:rsidR="00B83C93">
        <w:rPr>
          <w:noProof/>
          <w:bdr w:val="nil"/>
        </w:rPr>
        <w:t> </w:t>
      </w:r>
      <w:r w:rsidR="00B83C93" w:rsidRPr="008B4DA2">
        <w:rPr>
          <w:noProof/>
          <w:bdr w:val="nil"/>
        </w:rPr>
        <w:t>uni</w:t>
      </w:r>
      <w:r w:rsidRPr="008B4DA2">
        <w:rPr>
          <w:noProof/>
          <w:bdr w:val="nil"/>
        </w:rPr>
        <w:t>jne prawa jazdy uzyskane</w:t>
      </w:r>
      <w:r w:rsidR="00B83C93" w:rsidRPr="008B4DA2">
        <w:rPr>
          <w:noProof/>
          <w:bdr w:val="nil"/>
        </w:rPr>
        <w:t xml:space="preserve"> w</w:t>
      </w:r>
      <w:r w:rsidR="00B83C93">
        <w:rPr>
          <w:noProof/>
          <w:bdr w:val="nil"/>
        </w:rPr>
        <w:t> </w:t>
      </w:r>
      <w:r w:rsidR="00B83C93" w:rsidRPr="008B4DA2">
        <w:rPr>
          <w:noProof/>
          <w:bdr w:val="nil"/>
        </w:rPr>
        <w:t>jed</w:t>
      </w:r>
      <w:r w:rsidRPr="008B4DA2">
        <w:rPr>
          <w:noProof/>
          <w:bdr w:val="nil"/>
        </w:rPr>
        <w:t>nym państwie członkowskim</w:t>
      </w:r>
      <w:r w:rsidR="00B83C93" w:rsidRPr="008B4DA2">
        <w:rPr>
          <w:noProof/>
          <w:bdr w:val="nil"/>
        </w:rPr>
        <w:t xml:space="preserve"> w</w:t>
      </w:r>
      <w:r w:rsidR="00B83C93">
        <w:rPr>
          <w:noProof/>
          <w:bdr w:val="nil"/>
        </w:rPr>
        <w:t> </w:t>
      </w:r>
      <w:r w:rsidR="00B83C93" w:rsidRPr="008B4DA2">
        <w:rPr>
          <w:noProof/>
          <w:bdr w:val="nil"/>
        </w:rPr>
        <w:t>dro</w:t>
      </w:r>
      <w:r w:rsidRPr="008B4DA2">
        <w:rPr>
          <w:noProof/>
          <w:bdr w:val="nil"/>
        </w:rPr>
        <w:t>dze wymiany prawa jazdy wydanego</w:t>
      </w:r>
      <w:r w:rsidR="00B83C93" w:rsidRPr="008B4DA2">
        <w:rPr>
          <w:noProof/>
          <w:bdr w:val="nil"/>
        </w:rPr>
        <w:t xml:space="preserve"> w</w:t>
      </w:r>
      <w:r w:rsidR="00B83C93">
        <w:rPr>
          <w:noProof/>
          <w:bdr w:val="nil"/>
        </w:rPr>
        <w:t> </w:t>
      </w:r>
      <w:r w:rsidR="00B83C93" w:rsidRPr="008B4DA2">
        <w:rPr>
          <w:noProof/>
          <w:bdr w:val="nil"/>
        </w:rPr>
        <w:t>pań</w:t>
      </w:r>
      <w:r w:rsidRPr="008B4DA2">
        <w:rPr>
          <w:noProof/>
          <w:bdr w:val="nil"/>
        </w:rPr>
        <w:t>stwie trzecim mogą stracić ważność</w:t>
      </w:r>
      <w:r w:rsidR="00B83C93" w:rsidRPr="008B4DA2">
        <w:rPr>
          <w:noProof/>
          <w:bdr w:val="nil"/>
        </w:rPr>
        <w:t xml:space="preserve"> w</w:t>
      </w:r>
      <w:r w:rsidR="00B83C93">
        <w:rPr>
          <w:noProof/>
          <w:bdr w:val="nil"/>
        </w:rPr>
        <w:t> </w:t>
      </w:r>
      <w:r w:rsidR="00B83C93" w:rsidRPr="008B4DA2">
        <w:rPr>
          <w:noProof/>
          <w:bdr w:val="nil"/>
        </w:rPr>
        <w:t>prz</w:t>
      </w:r>
      <w:r w:rsidRPr="008B4DA2">
        <w:rPr>
          <w:noProof/>
          <w:bdr w:val="nil"/>
        </w:rPr>
        <w:t xml:space="preserve">ypadku, gdy osoba ta przenosi swoje miejsce zamieszkania do innego państwa członkowskiego. </w:t>
      </w:r>
    </w:p>
    <w:p w:rsidR="00BD67F9" w:rsidRPr="008B4DA2" w:rsidRDefault="00BD67F9" w:rsidP="00BD67F9">
      <w:pPr>
        <w:rPr>
          <w:noProof/>
        </w:rPr>
      </w:pPr>
      <w:r w:rsidRPr="008B4DA2">
        <w:rPr>
          <w:noProof/>
          <w:bdr w:val="nil"/>
          <w14:textOutline w14:w="0" w14:cap="flat" w14:cmpd="sng" w14:algn="ctr">
            <w14:noFill/>
            <w14:prstDash w14:val="solid"/>
            <w14:bevel/>
          </w14:textOutline>
        </w:rPr>
        <w:t>Szereg państw członkowskich wprowadziło ponadto lub planuje wprowadzić</w:t>
      </w:r>
      <w:r w:rsidRPr="008B4DA2">
        <w:rPr>
          <w:rStyle w:val="FootnoteReference"/>
          <w:noProof/>
        </w:rPr>
        <w:footnoteReference w:id="15"/>
      </w:r>
      <w:r w:rsidRPr="008B4DA2">
        <w:rPr>
          <w:noProof/>
          <w:bdr w:val="nil"/>
          <w14:textOutline w14:w="0" w14:cap="flat" w14:cmpd="sng" w14:algn="ctr">
            <w14:noFill/>
            <w14:prstDash w14:val="solid"/>
            <w14:bevel/>
          </w14:textOutline>
        </w:rPr>
        <w:t xml:space="preserve"> krajowe mobilne (cyfrowe) prawa jazdy, którym nie towarzyszy wydanie fizycznego dokumentu (tj. karty).</w:t>
      </w:r>
      <w:r w:rsidRPr="008B4DA2">
        <w:rPr>
          <w:noProof/>
        </w:rPr>
        <w:t>Ponieważ</w:t>
      </w:r>
      <w:r w:rsidR="00B83C93" w:rsidRPr="008B4DA2">
        <w:rPr>
          <w:noProof/>
        </w:rPr>
        <w:t xml:space="preserve"> w</w:t>
      </w:r>
      <w:r w:rsidR="00B83C93">
        <w:rPr>
          <w:noProof/>
        </w:rPr>
        <w:t> </w:t>
      </w:r>
      <w:r w:rsidR="00B83C93" w:rsidRPr="008B4DA2">
        <w:rPr>
          <w:noProof/>
        </w:rPr>
        <w:t>obe</w:t>
      </w:r>
      <w:r w:rsidRPr="008B4DA2">
        <w:rPr>
          <w:noProof/>
        </w:rPr>
        <w:t>cnej dyrektywie ustanowiono zasadę wzajemnego uznawania jedynie</w:t>
      </w:r>
      <w:r w:rsidR="00B83C93" w:rsidRPr="008B4DA2">
        <w:rPr>
          <w:noProof/>
        </w:rPr>
        <w:t xml:space="preserve"> w</w:t>
      </w:r>
      <w:r w:rsidR="00B83C93">
        <w:rPr>
          <w:noProof/>
        </w:rPr>
        <w:t> </w:t>
      </w:r>
      <w:r w:rsidR="00B83C93" w:rsidRPr="008B4DA2">
        <w:rPr>
          <w:noProof/>
        </w:rPr>
        <w:t>odn</w:t>
      </w:r>
      <w:r w:rsidRPr="008B4DA2">
        <w:rPr>
          <w:noProof/>
        </w:rPr>
        <w:t>iesieniu do fizycznych praw jazdy, mobilne prawa jazdy pozostaną zatem ważne wyłącznie na terytorium państwa wydającego</w:t>
      </w:r>
      <w:r w:rsidR="00B83C93" w:rsidRPr="008B4DA2">
        <w:rPr>
          <w:noProof/>
        </w:rPr>
        <w:t>. W</w:t>
      </w:r>
      <w:r w:rsidR="00B83C93">
        <w:rPr>
          <w:noProof/>
        </w:rPr>
        <w:t> </w:t>
      </w:r>
      <w:r w:rsidR="00B83C93" w:rsidRPr="008B4DA2">
        <w:rPr>
          <w:noProof/>
        </w:rPr>
        <w:t>zwi</w:t>
      </w:r>
      <w:r w:rsidRPr="008B4DA2">
        <w:rPr>
          <w:noProof/>
        </w:rPr>
        <w:t>ązku</w:t>
      </w:r>
      <w:r w:rsidR="00B83C93" w:rsidRPr="008B4DA2">
        <w:rPr>
          <w:noProof/>
        </w:rPr>
        <w:t xml:space="preserve"> z</w:t>
      </w:r>
      <w:r w:rsidR="00B83C93">
        <w:rPr>
          <w:noProof/>
        </w:rPr>
        <w:t> </w:t>
      </w:r>
      <w:r w:rsidR="00B83C93" w:rsidRPr="008B4DA2">
        <w:rPr>
          <w:noProof/>
        </w:rPr>
        <w:t>pow</w:t>
      </w:r>
      <w:r w:rsidRPr="008B4DA2">
        <w:rPr>
          <w:noProof/>
        </w:rPr>
        <w:t>yższym obecne ramy stanowią przeszkodę</w:t>
      </w:r>
      <w:r w:rsidR="00B83C93" w:rsidRPr="008B4DA2">
        <w:rPr>
          <w:noProof/>
        </w:rPr>
        <w:t xml:space="preserve"> w</w:t>
      </w:r>
      <w:r w:rsidR="00B83C93">
        <w:rPr>
          <w:noProof/>
        </w:rPr>
        <w:t> </w:t>
      </w:r>
      <w:r w:rsidR="00B83C93" w:rsidRPr="008B4DA2">
        <w:rPr>
          <w:noProof/>
        </w:rPr>
        <w:t>cze</w:t>
      </w:r>
      <w:r w:rsidRPr="008B4DA2">
        <w:rPr>
          <w:noProof/>
        </w:rPr>
        <w:t>rpaniu korzyści</w:t>
      </w:r>
      <w:r w:rsidR="00B83C93" w:rsidRPr="008B4DA2">
        <w:rPr>
          <w:noProof/>
        </w:rPr>
        <w:t xml:space="preserve"> z</w:t>
      </w:r>
      <w:r w:rsidR="00B83C93">
        <w:rPr>
          <w:noProof/>
        </w:rPr>
        <w:t> </w:t>
      </w:r>
      <w:r w:rsidR="00B83C93" w:rsidRPr="008B4DA2">
        <w:rPr>
          <w:noProof/>
        </w:rPr>
        <w:t>tra</w:t>
      </w:r>
      <w:r w:rsidRPr="008B4DA2">
        <w:rPr>
          <w:noProof/>
        </w:rPr>
        <w:t>nsformacji cyfrowej transportu drogowego na poziomie europejskim</w:t>
      </w:r>
      <w:r w:rsidR="00B83C93" w:rsidRPr="008B4DA2">
        <w:rPr>
          <w:noProof/>
        </w:rPr>
        <w:t xml:space="preserve"> i</w:t>
      </w:r>
      <w:r w:rsidR="00B83C93">
        <w:rPr>
          <w:noProof/>
        </w:rPr>
        <w:t> </w:t>
      </w:r>
      <w:r w:rsidR="00B83C93" w:rsidRPr="008B4DA2">
        <w:rPr>
          <w:noProof/>
        </w:rPr>
        <w:t>utr</w:t>
      </w:r>
      <w:r w:rsidRPr="008B4DA2">
        <w:rPr>
          <w:noProof/>
        </w:rPr>
        <w:t>udniają realizację zasady swobodnego przepływu</w:t>
      </w:r>
      <w:r w:rsidR="00B83C93" w:rsidRPr="008B4DA2">
        <w:rPr>
          <w:noProof/>
        </w:rPr>
        <w:t xml:space="preserve"> w</w:t>
      </w:r>
      <w:r w:rsidR="00B83C93">
        <w:rPr>
          <w:noProof/>
        </w:rPr>
        <w:t> </w:t>
      </w:r>
      <w:r w:rsidR="00B83C93" w:rsidRPr="008B4DA2">
        <w:rPr>
          <w:noProof/>
        </w:rPr>
        <w:t>cał</w:t>
      </w:r>
      <w:r w:rsidRPr="008B4DA2">
        <w:rPr>
          <w:noProof/>
        </w:rPr>
        <w:t xml:space="preserve">ej Unii. </w:t>
      </w:r>
    </w:p>
    <w:p w:rsidR="00BD67F9" w:rsidRPr="008B4DA2" w:rsidRDefault="00BD67F9" w:rsidP="00BD67F9">
      <w:pPr>
        <w:rPr>
          <w:noProof/>
        </w:rPr>
      </w:pPr>
      <w:r w:rsidRPr="008B4DA2">
        <w:rPr>
          <w:noProof/>
        </w:rPr>
        <w:t>Nowy wniosek dotyczący dyrektywy</w:t>
      </w:r>
      <w:r w:rsidR="00B83C93" w:rsidRPr="008B4DA2">
        <w:rPr>
          <w:noProof/>
        </w:rPr>
        <w:t xml:space="preserve"> w</w:t>
      </w:r>
      <w:r w:rsidR="00B83C93">
        <w:rPr>
          <w:noProof/>
        </w:rPr>
        <w:t> </w:t>
      </w:r>
      <w:r w:rsidR="00B83C93" w:rsidRPr="008B4DA2">
        <w:rPr>
          <w:noProof/>
        </w:rPr>
        <w:t>spr</w:t>
      </w:r>
      <w:r w:rsidRPr="008B4DA2">
        <w:rPr>
          <w:noProof/>
        </w:rPr>
        <w:t>awie praw jazdy bazuje na celach poprzedniej dyrektywy,</w:t>
      </w:r>
      <w:r w:rsidR="00B83C93" w:rsidRPr="008B4DA2">
        <w:rPr>
          <w:noProof/>
        </w:rPr>
        <w:t xml:space="preserve"> a</w:t>
      </w:r>
      <w:r w:rsidR="00B83C93">
        <w:rPr>
          <w:noProof/>
        </w:rPr>
        <w:t> </w:t>
      </w:r>
      <w:r w:rsidR="00B83C93" w:rsidRPr="008B4DA2">
        <w:rPr>
          <w:noProof/>
        </w:rPr>
        <w:t>mia</w:t>
      </w:r>
      <w:r w:rsidRPr="008B4DA2">
        <w:rPr>
          <w:noProof/>
        </w:rPr>
        <w:t>nowicie poprawie bezpieczeństwa ruchu drogowego</w:t>
      </w:r>
      <w:r w:rsidR="00B83C93" w:rsidRPr="008B4DA2">
        <w:rPr>
          <w:noProof/>
        </w:rPr>
        <w:t xml:space="preserve"> i</w:t>
      </w:r>
      <w:r w:rsidR="00B83C93">
        <w:rPr>
          <w:noProof/>
        </w:rPr>
        <w:t> </w:t>
      </w:r>
      <w:r w:rsidR="00B83C93" w:rsidRPr="008B4DA2">
        <w:rPr>
          <w:noProof/>
        </w:rPr>
        <w:t>uła</w:t>
      </w:r>
      <w:r w:rsidRPr="008B4DA2">
        <w:rPr>
          <w:noProof/>
        </w:rPr>
        <w:t>twieniu realizacji zasady swobodnego przepływu, ale odpowiada również na potrzebę wzmocnienia zrównoważonego charakteru</w:t>
      </w:r>
      <w:r w:rsidR="00B83C93" w:rsidRPr="008B4DA2">
        <w:rPr>
          <w:noProof/>
        </w:rPr>
        <w:t xml:space="preserve"> i</w:t>
      </w:r>
      <w:r w:rsidR="00B83C93">
        <w:rPr>
          <w:noProof/>
        </w:rPr>
        <w:t> </w:t>
      </w:r>
      <w:r w:rsidR="00B83C93" w:rsidRPr="008B4DA2">
        <w:rPr>
          <w:noProof/>
        </w:rPr>
        <w:t>tra</w:t>
      </w:r>
      <w:r w:rsidRPr="008B4DA2">
        <w:rPr>
          <w:noProof/>
        </w:rPr>
        <w:t xml:space="preserve">nsformacji cyfrowej transportu drogowego. </w:t>
      </w:r>
      <w:r w:rsidRPr="008B4DA2">
        <w:rPr>
          <w:noProof/>
          <w:bdr w:val="nil"/>
        </w:rPr>
        <w:t>Wniosek ma również zasadnicze znaczenie dla osiągnięcia celów zrównoważonego rozwoju</w:t>
      </w:r>
      <w:r w:rsidRPr="008B4DA2">
        <w:rPr>
          <w:rStyle w:val="FootnoteReference"/>
          <w:noProof/>
        </w:rPr>
        <w:footnoteReference w:id="16"/>
      </w:r>
      <w:r w:rsidRPr="008B4DA2">
        <w:rPr>
          <w:noProof/>
          <w:bdr w:val="nil"/>
        </w:rPr>
        <w:t xml:space="preserve">, przyczynia się bowiem do tego, aby </w:t>
      </w:r>
      <w:r w:rsidRPr="00B83C93">
        <w:rPr>
          <w:noProof/>
          <w:bdr w:val="nil"/>
        </w:rPr>
        <w:t>do</w:t>
      </w:r>
      <w:r w:rsidR="00B83C93" w:rsidRPr="00B83C93">
        <w:rPr>
          <w:noProof/>
          <w:bdr w:val="nil"/>
        </w:rPr>
        <w:t> </w:t>
      </w:r>
      <w:r w:rsidRPr="00B83C93">
        <w:rPr>
          <w:noProof/>
          <w:bdr w:val="nil"/>
        </w:rPr>
        <w:t>2</w:t>
      </w:r>
      <w:r w:rsidRPr="008B4DA2">
        <w:rPr>
          <w:noProof/>
          <w:bdr w:val="nil"/>
        </w:rPr>
        <w:t>0</w:t>
      </w:r>
      <w:r w:rsidRPr="00B83C93">
        <w:rPr>
          <w:noProof/>
          <w:bdr w:val="nil"/>
        </w:rPr>
        <w:t>30</w:t>
      </w:r>
      <w:r w:rsidR="00B83C93" w:rsidRPr="00B83C93">
        <w:rPr>
          <w:noProof/>
          <w:bdr w:val="nil"/>
        </w:rPr>
        <w:t> </w:t>
      </w:r>
      <w:r w:rsidRPr="00B83C93">
        <w:rPr>
          <w:noProof/>
          <w:bdr w:val="nil"/>
        </w:rPr>
        <w:t>r.</w:t>
      </w:r>
      <w:r w:rsidRPr="008B4DA2">
        <w:rPr>
          <w:noProof/>
          <w:bdr w:val="nil"/>
        </w:rPr>
        <w:t xml:space="preserve"> uczynić miasta</w:t>
      </w:r>
      <w:r w:rsidR="00B83C93" w:rsidRPr="008B4DA2">
        <w:rPr>
          <w:noProof/>
          <w:bdr w:val="nil"/>
        </w:rPr>
        <w:t xml:space="preserve"> i</w:t>
      </w:r>
      <w:r w:rsidR="00B83C93">
        <w:rPr>
          <w:noProof/>
          <w:bdr w:val="nil"/>
        </w:rPr>
        <w:t> </w:t>
      </w:r>
      <w:r w:rsidR="00B83C93" w:rsidRPr="008B4DA2">
        <w:rPr>
          <w:noProof/>
          <w:bdr w:val="nil"/>
        </w:rPr>
        <w:t>osi</w:t>
      </w:r>
      <w:r w:rsidRPr="008B4DA2">
        <w:rPr>
          <w:noProof/>
          <w:bdr w:val="nil"/>
        </w:rPr>
        <w:t>edla ludzkie bezpiecznymi, odpornymi</w:t>
      </w:r>
      <w:r w:rsidR="00B83C93" w:rsidRPr="008B4DA2">
        <w:rPr>
          <w:noProof/>
          <w:bdr w:val="nil"/>
        </w:rPr>
        <w:t xml:space="preserve"> i</w:t>
      </w:r>
      <w:r w:rsidR="00B83C93">
        <w:rPr>
          <w:noProof/>
          <w:bdr w:val="nil"/>
        </w:rPr>
        <w:t> </w:t>
      </w:r>
      <w:r w:rsidR="00B83C93" w:rsidRPr="008B4DA2">
        <w:rPr>
          <w:noProof/>
          <w:bdr w:val="nil"/>
        </w:rPr>
        <w:t>zró</w:t>
      </w:r>
      <w:r w:rsidRPr="008B4DA2">
        <w:rPr>
          <w:noProof/>
          <w:bdr w:val="nil"/>
        </w:rPr>
        <w:t>wnoważonymi oraz sprzyjającymi włączeniu społecznemu oraz zapewnić wszystkim ludziom dostęp do bezpiecznych, przystępnych cenowo, spełniających kryteria dostępności</w:t>
      </w:r>
      <w:r w:rsidR="00B83C93" w:rsidRPr="008B4DA2">
        <w:rPr>
          <w:noProof/>
          <w:bdr w:val="nil"/>
        </w:rPr>
        <w:t xml:space="preserve"> i</w:t>
      </w:r>
      <w:r w:rsidR="00B83C93">
        <w:rPr>
          <w:noProof/>
          <w:bdr w:val="nil"/>
        </w:rPr>
        <w:t> </w:t>
      </w:r>
      <w:r w:rsidR="00B83C93" w:rsidRPr="008B4DA2">
        <w:rPr>
          <w:noProof/>
          <w:bdr w:val="nil"/>
        </w:rPr>
        <w:t>trw</w:t>
      </w:r>
      <w:r w:rsidRPr="008B4DA2">
        <w:rPr>
          <w:noProof/>
          <w:bdr w:val="nil"/>
        </w:rPr>
        <w:t xml:space="preserve">ałych systemów transportu. </w:t>
      </w:r>
      <w:r w:rsidRPr="008B4DA2">
        <w:rPr>
          <w:noProof/>
        </w:rPr>
        <w:t>Zwraca się</w:t>
      </w:r>
      <w:r w:rsidR="00B83C93" w:rsidRPr="008B4DA2">
        <w:rPr>
          <w:noProof/>
        </w:rPr>
        <w:t xml:space="preserve"> w</w:t>
      </w:r>
      <w:r w:rsidR="00B83C93">
        <w:rPr>
          <w:noProof/>
        </w:rPr>
        <w:t> </w:t>
      </w:r>
      <w:r w:rsidR="00B83C93" w:rsidRPr="008B4DA2">
        <w:rPr>
          <w:noProof/>
        </w:rPr>
        <w:t>nim</w:t>
      </w:r>
      <w:r w:rsidRPr="008B4DA2">
        <w:rPr>
          <w:noProof/>
        </w:rPr>
        <w:t xml:space="preserve"> również szczególną uwagę na potrzeby</w:t>
      </w:r>
      <w:r w:rsidR="00B83C93" w:rsidRPr="008B4DA2">
        <w:rPr>
          <w:noProof/>
        </w:rPr>
        <w:t xml:space="preserve"> w</w:t>
      </w:r>
      <w:r w:rsidR="00B83C93">
        <w:rPr>
          <w:noProof/>
        </w:rPr>
        <w:t> </w:t>
      </w:r>
      <w:r w:rsidR="00B83C93" w:rsidRPr="008B4DA2">
        <w:rPr>
          <w:noProof/>
        </w:rPr>
        <w:t>zak</w:t>
      </w:r>
      <w:r w:rsidRPr="008B4DA2">
        <w:rPr>
          <w:noProof/>
        </w:rPr>
        <w:t>resie bezpieczeństwa ruchu drogowego wszystkich grup społecznych – zwłaszcza niechronionych uczestników ruchu drogowego, takich jak piesi, rowerzyści, użytkownicy dwukołowych pojazdów silnikowych, użytkownicy urządzeń transportu osobistego oraz osoby</w:t>
      </w:r>
      <w:r w:rsidR="00B83C93" w:rsidRPr="008B4DA2">
        <w:rPr>
          <w:noProof/>
        </w:rPr>
        <w:t xml:space="preserve"> z</w:t>
      </w:r>
      <w:r w:rsidR="00B83C93">
        <w:rPr>
          <w:noProof/>
        </w:rPr>
        <w:t> </w:t>
      </w:r>
      <w:r w:rsidR="00B83C93" w:rsidRPr="008B4DA2">
        <w:rPr>
          <w:noProof/>
        </w:rPr>
        <w:t>nie</w:t>
      </w:r>
      <w:r w:rsidRPr="008B4DA2">
        <w:rPr>
          <w:noProof/>
        </w:rPr>
        <w:t>pełnosprawnościami lub</w:t>
      </w:r>
      <w:r w:rsidR="00B83C93" w:rsidRPr="008B4DA2">
        <w:rPr>
          <w:noProof/>
        </w:rPr>
        <w:t xml:space="preserve"> o</w:t>
      </w:r>
      <w:r w:rsidR="00B83C93">
        <w:rPr>
          <w:noProof/>
        </w:rPr>
        <w:t> </w:t>
      </w:r>
      <w:r w:rsidR="00B83C93" w:rsidRPr="008B4DA2">
        <w:rPr>
          <w:noProof/>
        </w:rPr>
        <w:t>ogr</w:t>
      </w:r>
      <w:r w:rsidRPr="008B4DA2">
        <w:rPr>
          <w:noProof/>
        </w:rPr>
        <w:t>aniczonej możliwości poruszania się</w:t>
      </w:r>
      <w:r w:rsidR="00B83C93" w:rsidRPr="008B4DA2">
        <w:rPr>
          <w:noProof/>
        </w:rPr>
        <w:t xml:space="preserve"> i</w:t>
      </w:r>
      <w:r w:rsidR="00B83C93">
        <w:rPr>
          <w:noProof/>
        </w:rPr>
        <w:t> </w:t>
      </w:r>
      <w:r w:rsidR="00B83C93" w:rsidRPr="008B4DA2">
        <w:rPr>
          <w:noProof/>
        </w:rPr>
        <w:t>ori</w:t>
      </w:r>
      <w:r w:rsidRPr="008B4DA2">
        <w:rPr>
          <w:noProof/>
        </w:rPr>
        <w:t>entacji</w:t>
      </w:r>
      <w:r w:rsidRPr="008B4DA2">
        <w:rPr>
          <w:rStyle w:val="FootnoteReference"/>
          <w:noProof/>
        </w:rPr>
        <w:footnoteReference w:id="17"/>
      </w:r>
      <w:r w:rsidRPr="008B4DA2">
        <w:rPr>
          <w:noProof/>
        </w:rPr>
        <w:t>. Dzięki włączeniu nowych przepisów dotyczących automatycznych skrzyń biegów oraz zwiększeniu masy całkowitej większości pojazdów bezemisyjnych</w:t>
      </w:r>
      <w:r w:rsidR="00B83C93" w:rsidRPr="008B4DA2">
        <w:rPr>
          <w:noProof/>
        </w:rPr>
        <w:t xml:space="preserve"> w</w:t>
      </w:r>
      <w:r w:rsidR="00B83C93">
        <w:rPr>
          <w:noProof/>
        </w:rPr>
        <w:t> </w:t>
      </w:r>
      <w:r w:rsidR="00B83C93" w:rsidRPr="008B4DA2">
        <w:rPr>
          <w:noProof/>
        </w:rPr>
        <w:t>kat</w:t>
      </w:r>
      <w:r w:rsidRPr="008B4DA2">
        <w:rPr>
          <w:noProof/>
        </w:rPr>
        <w:t>egorii B wniosek ułatwi upowszechnienie takich pojazdów, przyczyniając się</w:t>
      </w:r>
      <w:r w:rsidR="00B83C93" w:rsidRPr="008B4DA2">
        <w:rPr>
          <w:noProof/>
        </w:rPr>
        <w:t xml:space="preserve"> w</w:t>
      </w:r>
      <w:r w:rsidR="00B83C93">
        <w:rPr>
          <w:noProof/>
        </w:rPr>
        <w:t> </w:t>
      </w:r>
      <w:r w:rsidR="00B83C93" w:rsidRPr="008B4DA2">
        <w:rPr>
          <w:noProof/>
        </w:rPr>
        <w:t>ten</w:t>
      </w:r>
      <w:r w:rsidRPr="008B4DA2">
        <w:rPr>
          <w:noProof/>
        </w:rPr>
        <w:t xml:space="preserve"> sposób do realizacji celów Europejskiego prawa</w:t>
      </w:r>
      <w:r w:rsidR="00B83C93" w:rsidRPr="008B4DA2">
        <w:rPr>
          <w:noProof/>
        </w:rPr>
        <w:t xml:space="preserve"> o</w:t>
      </w:r>
      <w:r w:rsidR="00B83C93">
        <w:rPr>
          <w:noProof/>
        </w:rPr>
        <w:t> </w:t>
      </w:r>
      <w:r w:rsidR="00B83C93" w:rsidRPr="008B4DA2">
        <w:rPr>
          <w:noProof/>
        </w:rPr>
        <w:t>kli</w:t>
      </w:r>
      <w:r w:rsidRPr="008B4DA2">
        <w:rPr>
          <w:noProof/>
        </w:rPr>
        <w:t>macie</w:t>
      </w:r>
      <w:r w:rsidRPr="008B4DA2">
        <w:rPr>
          <w:rStyle w:val="FootnoteReference"/>
          <w:noProof/>
        </w:rPr>
        <w:footnoteReference w:id="18"/>
      </w:r>
      <w:r w:rsidRPr="008B4DA2">
        <w:rPr>
          <w:noProof/>
        </w:rPr>
        <w:t xml:space="preserve"> </w:t>
      </w:r>
      <w:r w:rsidRPr="008B4DA2">
        <w:rPr>
          <w:noProof/>
          <w:bdr w:val="nil"/>
        </w:rPr>
        <w:t xml:space="preserve">oraz </w:t>
      </w:r>
      <w:r w:rsidRPr="008B4DA2">
        <w:rPr>
          <w:noProof/>
        </w:rPr>
        <w:t xml:space="preserve">ambicji </w:t>
      </w:r>
      <w:hyperlink r:id="rId13" w:history="1">
        <w:r w:rsidRPr="008B4DA2">
          <w:rPr>
            <w:noProof/>
            <w:bdr w:val="nil"/>
          </w:rPr>
          <w:t>Europejskiego Zielonego Ładu</w:t>
        </w:r>
      </w:hyperlink>
      <w:r w:rsidRPr="008B4DA2">
        <w:rPr>
          <w:noProof/>
          <w:bdr w:val="nil"/>
        </w:rPr>
        <w:t xml:space="preserve"> polegającej na zapewnieniu </w:t>
      </w:r>
      <w:r w:rsidRPr="00B83C93">
        <w:rPr>
          <w:noProof/>
          <w:bdr w:val="nil"/>
        </w:rPr>
        <w:t>do</w:t>
      </w:r>
      <w:r w:rsidR="00B83C93" w:rsidRPr="00B83C93">
        <w:rPr>
          <w:noProof/>
          <w:bdr w:val="nil"/>
        </w:rPr>
        <w:t> </w:t>
      </w:r>
      <w:r w:rsidRPr="00B83C93">
        <w:rPr>
          <w:noProof/>
          <w:bdr w:val="nil"/>
        </w:rPr>
        <w:t>2</w:t>
      </w:r>
      <w:r w:rsidRPr="008B4DA2">
        <w:rPr>
          <w:noProof/>
          <w:bdr w:val="nil"/>
        </w:rPr>
        <w:t>0</w:t>
      </w:r>
      <w:r w:rsidRPr="00B83C93">
        <w:rPr>
          <w:noProof/>
          <w:bdr w:val="nil"/>
        </w:rPr>
        <w:t>50</w:t>
      </w:r>
      <w:r w:rsidR="00B83C93" w:rsidRPr="00B83C93">
        <w:rPr>
          <w:noProof/>
          <w:bdr w:val="nil"/>
        </w:rPr>
        <w:t> </w:t>
      </w:r>
      <w:r w:rsidRPr="00B83C93">
        <w:rPr>
          <w:noProof/>
          <w:bdr w:val="nil"/>
        </w:rPr>
        <w:t>r.</w:t>
      </w:r>
      <w:r w:rsidRPr="008B4DA2">
        <w:rPr>
          <w:noProof/>
          <w:bdr w:val="nil"/>
        </w:rPr>
        <w:t xml:space="preserve"> środowiska wolnego od szkodliwych zanieczyszczeń</w:t>
      </w:r>
      <w:r w:rsidRPr="008B4DA2">
        <w:rPr>
          <w:rStyle w:val="FootnoteReference"/>
          <w:noProof/>
        </w:rPr>
        <w:footnoteReference w:id="19"/>
      </w:r>
      <w:r w:rsidRPr="008B4DA2">
        <w:rPr>
          <w:noProof/>
          <w:bdr w:val="nil"/>
        </w:rPr>
        <w:t>.</w:t>
      </w:r>
    </w:p>
    <w:p w:rsidR="00BD67F9" w:rsidRPr="008B4DA2" w:rsidRDefault="00BD67F9" w:rsidP="00BD67F9">
      <w:pPr>
        <w:rPr>
          <w:rFonts w:eastAsia="Arial Unicode MS"/>
          <w:noProof/>
          <w:bdr w:val="nil"/>
        </w:rPr>
      </w:pPr>
      <w:r w:rsidRPr="008B4DA2">
        <w:rPr>
          <w:noProof/>
        </w:rPr>
        <w:t>Nowy wniosek dotyczący dyrektywy</w:t>
      </w:r>
      <w:r w:rsidR="00B83C93" w:rsidRPr="008B4DA2">
        <w:rPr>
          <w:noProof/>
        </w:rPr>
        <w:t xml:space="preserve"> w</w:t>
      </w:r>
      <w:r w:rsidR="00B83C93">
        <w:rPr>
          <w:noProof/>
        </w:rPr>
        <w:t> </w:t>
      </w:r>
      <w:r w:rsidR="00B83C93" w:rsidRPr="008B4DA2">
        <w:rPr>
          <w:noProof/>
        </w:rPr>
        <w:t>spr</w:t>
      </w:r>
      <w:r w:rsidRPr="008B4DA2">
        <w:rPr>
          <w:noProof/>
        </w:rPr>
        <w:t>awie praw jazdy jest spójny</w:t>
      </w:r>
      <w:r w:rsidR="00B83C93" w:rsidRPr="008B4DA2">
        <w:rPr>
          <w:noProof/>
        </w:rPr>
        <w:t xml:space="preserve"> z</w:t>
      </w:r>
      <w:r w:rsidR="00B83C93">
        <w:rPr>
          <w:noProof/>
        </w:rPr>
        <w:t> </w:t>
      </w:r>
      <w:r w:rsidR="00B83C93" w:rsidRPr="008B4DA2">
        <w:rPr>
          <w:noProof/>
        </w:rPr>
        <w:t>roz</w:t>
      </w:r>
      <w:r w:rsidRPr="008B4DA2">
        <w:rPr>
          <w:noProof/>
        </w:rPr>
        <w:t>porządzeniem</w:t>
      </w:r>
      <w:r w:rsidR="00B83C93" w:rsidRPr="008B4DA2">
        <w:rPr>
          <w:noProof/>
        </w:rPr>
        <w:t xml:space="preserve"> w</w:t>
      </w:r>
      <w:r w:rsidR="00B83C93">
        <w:rPr>
          <w:noProof/>
        </w:rPr>
        <w:t> </w:t>
      </w:r>
      <w:r w:rsidR="00B83C93" w:rsidRPr="008B4DA2">
        <w:rPr>
          <w:noProof/>
        </w:rPr>
        <w:t>spr</w:t>
      </w:r>
      <w:r w:rsidRPr="008B4DA2">
        <w:rPr>
          <w:noProof/>
        </w:rPr>
        <w:t>awie jednolitego portalu cyfrowego</w:t>
      </w:r>
      <w:r w:rsidRPr="008B4DA2">
        <w:rPr>
          <w:rStyle w:val="FootnoteReference"/>
          <w:noProof/>
        </w:rPr>
        <w:footnoteReference w:id="20"/>
      </w:r>
      <w:r w:rsidRPr="008B4DA2">
        <w:rPr>
          <w:noProof/>
        </w:rPr>
        <w:t>, które zapewnia dostęp online do informacji, usług wsparcia</w:t>
      </w:r>
      <w:r w:rsidR="00B83C93" w:rsidRPr="008B4DA2">
        <w:rPr>
          <w:noProof/>
        </w:rPr>
        <w:t xml:space="preserve"> i</w:t>
      </w:r>
      <w:r w:rsidR="00B83C93">
        <w:rPr>
          <w:noProof/>
        </w:rPr>
        <w:t> </w:t>
      </w:r>
      <w:r w:rsidR="00B83C93" w:rsidRPr="008B4DA2">
        <w:rPr>
          <w:noProof/>
        </w:rPr>
        <w:t>roz</w:t>
      </w:r>
      <w:r w:rsidRPr="008B4DA2">
        <w:rPr>
          <w:noProof/>
        </w:rPr>
        <w:t>wiązywania problemów oraz procedur administracji elektronicznej za pośrednictwem portalu „Twoja Europa”. Informacje, które reguluje wniosek, są już zawarte</w:t>
      </w:r>
      <w:r w:rsidR="00B83C93" w:rsidRPr="008B4DA2">
        <w:rPr>
          <w:noProof/>
        </w:rPr>
        <w:t xml:space="preserve"> w</w:t>
      </w:r>
      <w:r w:rsidR="00B83C93">
        <w:rPr>
          <w:noProof/>
        </w:rPr>
        <w:t> </w:t>
      </w:r>
      <w:r w:rsidR="00B83C93" w:rsidRPr="008B4DA2">
        <w:rPr>
          <w:noProof/>
        </w:rPr>
        <w:t>zał</w:t>
      </w:r>
      <w:r w:rsidRPr="008B4DA2">
        <w:rPr>
          <w:noProof/>
        </w:rPr>
        <w:t>ączniku I do rozporządzenia</w:t>
      </w:r>
      <w:r w:rsidR="00B83C93" w:rsidRPr="008B4DA2">
        <w:rPr>
          <w:noProof/>
        </w:rPr>
        <w:t xml:space="preserve"> w</w:t>
      </w:r>
      <w:r w:rsidR="00B83C93">
        <w:rPr>
          <w:noProof/>
        </w:rPr>
        <w:t> </w:t>
      </w:r>
      <w:r w:rsidR="00B83C93" w:rsidRPr="008B4DA2">
        <w:rPr>
          <w:noProof/>
        </w:rPr>
        <w:t>spr</w:t>
      </w:r>
      <w:r w:rsidRPr="008B4DA2">
        <w:rPr>
          <w:noProof/>
        </w:rPr>
        <w:t>awie jednolitego portalu cyfrowego. Aby jeszcze bardziej zmniejszyć obciążenia administracyjne, zmieniony zostanie załącznik II do dyrektywy</w:t>
      </w:r>
      <w:r w:rsidR="00B83C93" w:rsidRPr="008B4DA2">
        <w:rPr>
          <w:noProof/>
        </w:rPr>
        <w:t xml:space="preserve"> w</w:t>
      </w:r>
      <w:r w:rsidR="00B83C93">
        <w:rPr>
          <w:noProof/>
        </w:rPr>
        <w:t> </w:t>
      </w:r>
      <w:r w:rsidR="00B83C93" w:rsidRPr="008B4DA2">
        <w:rPr>
          <w:noProof/>
        </w:rPr>
        <w:t>spr</w:t>
      </w:r>
      <w:r w:rsidRPr="008B4DA2">
        <w:rPr>
          <w:noProof/>
        </w:rPr>
        <w:t>awie praw jazdy</w:t>
      </w:r>
      <w:r w:rsidR="00B83C93" w:rsidRPr="008B4DA2">
        <w:rPr>
          <w:noProof/>
        </w:rPr>
        <w:t xml:space="preserve"> w</w:t>
      </w:r>
      <w:r w:rsidR="00B83C93">
        <w:rPr>
          <w:noProof/>
        </w:rPr>
        <w:t> </w:t>
      </w:r>
      <w:r w:rsidR="00B83C93" w:rsidRPr="008B4DA2">
        <w:rPr>
          <w:noProof/>
        </w:rPr>
        <w:t>cel</w:t>
      </w:r>
      <w:r w:rsidRPr="008B4DA2">
        <w:rPr>
          <w:noProof/>
        </w:rPr>
        <w:t>u zapewnienia, aby procedura administracyjna proponowana obywatelom danego państwa</w:t>
      </w:r>
      <w:r w:rsidR="00B83C93" w:rsidRPr="008B4DA2">
        <w:rPr>
          <w:noProof/>
        </w:rPr>
        <w:t xml:space="preserve"> i</w:t>
      </w:r>
      <w:r w:rsidR="00B83C93">
        <w:rPr>
          <w:noProof/>
        </w:rPr>
        <w:t> </w:t>
      </w:r>
      <w:r w:rsidR="00B83C93" w:rsidRPr="008B4DA2">
        <w:rPr>
          <w:noProof/>
        </w:rPr>
        <w:t>oso</w:t>
      </w:r>
      <w:r w:rsidRPr="008B4DA2">
        <w:rPr>
          <w:noProof/>
        </w:rPr>
        <w:t>bom</w:t>
      </w:r>
      <w:r w:rsidR="00B83C93" w:rsidRPr="008B4DA2">
        <w:rPr>
          <w:noProof/>
        </w:rPr>
        <w:t xml:space="preserve"> w</w:t>
      </w:r>
      <w:r w:rsidR="00B83C93">
        <w:rPr>
          <w:noProof/>
        </w:rPr>
        <w:t> </w:t>
      </w:r>
      <w:r w:rsidR="00B83C93" w:rsidRPr="008B4DA2">
        <w:rPr>
          <w:noProof/>
        </w:rPr>
        <w:t>nim</w:t>
      </w:r>
      <w:r w:rsidRPr="008B4DA2">
        <w:rPr>
          <w:noProof/>
        </w:rPr>
        <w:t xml:space="preserve"> zamieszkałym, była dostępna całkowicie przez internet.</w:t>
      </w:r>
    </w:p>
    <w:p w:rsidR="00BD67F9" w:rsidRPr="008B4DA2" w:rsidRDefault="00BD67F9" w:rsidP="00BD67F9">
      <w:pPr>
        <w:rPr>
          <w:noProof/>
        </w:rPr>
      </w:pPr>
      <w:r w:rsidRPr="008B4DA2">
        <w:rPr>
          <w:noProof/>
        </w:rPr>
        <w:t>Celem inicjatywy jest zatem poprawa bezpieczeństwa ruchu drogowego</w:t>
      </w:r>
      <w:r w:rsidR="00B83C93" w:rsidRPr="008B4DA2">
        <w:rPr>
          <w:noProof/>
        </w:rPr>
        <w:t xml:space="preserve"> i</w:t>
      </w:r>
      <w:r w:rsidR="00B83C93">
        <w:rPr>
          <w:noProof/>
        </w:rPr>
        <w:t> </w:t>
      </w:r>
      <w:r w:rsidR="00B83C93" w:rsidRPr="008B4DA2">
        <w:rPr>
          <w:noProof/>
        </w:rPr>
        <w:t>uła</w:t>
      </w:r>
      <w:r w:rsidRPr="008B4DA2">
        <w:rPr>
          <w:noProof/>
        </w:rPr>
        <w:t>twienie swobodnego przepływu osób</w:t>
      </w:r>
      <w:r w:rsidR="00B83C93" w:rsidRPr="008B4DA2">
        <w:rPr>
          <w:noProof/>
        </w:rPr>
        <w:t xml:space="preserve"> w</w:t>
      </w:r>
      <w:r w:rsidR="00B83C93">
        <w:rPr>
          <w:noProof/>
        </w:rPr>
        <w:t> </w:t>
      </w:r>
      <w:r w:rsidR="00B83C93" w:rsidRPr="008B4DA2">
        <w:rPr>
          <w:noProof/>
        </w:rPr>
        <w:t>Uni</w:t>
      </w:r>
      <w:r w:rsidRPr="008B4DA2">
        <w:rPr>
          <w:noProof/>
        </w:rPr>
        <w:t>i Europejskiej,</w:t>
      </w:r>
      <w:r w:rsidR="00B83C93" w:rsidRPr="008B4DA2">
        <w:rPr>
          <w:noProof/>
        </w:rPr>
        <w:t xml:space="preserve"> a</w:t>
      </w:r>
      <w:r w:rsidR="00B83C93">
        <w:rPr>
          <w:noProof/>
        </w:rPr>
        <w:t> </w:t>
      </w:r>
      <w:r w:rsidR="00B83C93" w:rsidRPr="008B4DA2">
        <w:rPr>
          <w:noProof/>
        </w:rPr>
        <w:t>jed</w:t>
      </w:r>
      <w:r w:rsidRPr="008B4DA2">
        <w:rPr>
          <w:noProof/>
        </w:rPr>
        <w:t>nocześnie przyczynienie się do zrównoważonego transportu drogowego</w:t>
      </w:r>
      <w:r w:rsidR="00B83C93" w:rsidRPr="008B4DA2">
        <w:rPr>
          <w:noProof/>
        </w:rPr>
        <w:t xml:space="preserve"> i</w:t>
      </w:r>
      <w:r w:rsidR="00B83C93">
        <w:rPr>
          <w:noProof/>
        </w:rPr>
        <w:t> </w:t>
      </w:r>
      <w:r w:rsidR="00B83C93" w:rsidRPr="008B4DA2">
        <w:rPr>
          <w:noProof/>
        </w:rPr>
        <w:t>jeg</w:t>
      </w:r>
      <w:r w:rsidRPr="008B4DA2">
        <w:rPr>
          <w:noProof/>
        </w:rPr>
        <w:t>o transformacji cyfrowej poprzez:</w:t>
      </w:r>
    </w:p>
    <w:p w:rsidR="00BD67F9" w:rsidRPr="008B4DA2" w:rsidRDefault="00BD67F9" w:rsidP="001404F6">
      <w:pPr>
        <w:pStyle w:val="Tiret1"/>
        <w:numPr>
          <w:ilvl w:val="0"/>
          <w:numId w:val="21"/>
        </w:numPr>
        <w:rPr>
          <w:noProof/>
          <w:bdr w:val="nil"/>
        </w:rPr>
      </w:pPr>
      <w:r w:rsidRPr="008B4DA2">
        <w:rPr>
          <w:i/>
          <w:noProof/>
          <w:bdr w:val="nil"/>
        </w:rPr>
        <w:t>Podniesienie poziomu umiejętności, wiedzy</w:t>
      </w:r>
      <w:r w:rsidR="00B83C93" w:rsidRPr="008B4DA2">
        <w:rPr>
          <w:i/>
          <w:noProof/>
          <w:bdr w:val="nil"/>
        </w:rPr>
        <w:t xml:space="preserve"> i</w:t>
      </w:r>
      <w:r w:rsidR="00B83C93">
        <w:rPr>
          <w:i/>
          <w:noProof/>
          <w:bdr w:val="nil"/>
        </w:rPr>
        <w:t> </w:t>
      </w:r>
      <w:r w:rsidR="00B83C93" w:rsidRPr="008B4DA2">
        <w:rPr>
          <w:i/>
          <w:noProof/>
          <w:bdr w:val="nil"/>
        </w:rPr>
        <w:t>doś</w:t>
      </w:r>
      <w:r w:rsidRPr="008B4DA2">
        <w:rPr>
          <w:i/>
          <w:noProof/>
          <w:bdr w:val="nil"/>
        </w:rPr>
        <w:t>wiadczenia kierowców oraz ograniczenie</w:t>
      </w:r>
      <w:r w:rsidR="00B83C93" w:rsidRPr="008B4DA2">
        <w:rPr>
          <w:i/>
          <w:noProof/>
          <w:bdr w:val="nil"/>
        </w:rPr>
        <w:t xml:space="preserve"> i</w:t>
      </w:r>
      <w:r w:rsidR="00B83C93">
        <w:rPr>
          <w:i/>
          <w:noProof/>
          <w:bdr w:val="nil"/>
        </w:rPr>
        <w:t> </w:t>
      </w:r>
      <w:r w:rsidR="00B83C93" w:rsidRPr="008B4DA2">
        <w:rPr>
          <w:i/>
          <w:noProof/>
          <w:bdr w:val="nil"/>
        </w:rPr>
        <w:t>kar</w:t>
      </w:r>
      <w:r w:rsidRPr="008B4DA2">
        <w:rPr>
          <w:i/>
          <w:noProof/>
          <w:bdr w:val="nil"/>
        </w:rPr>
        <w:t xml:space="preserve">anie niebezpiecznych zachowań. </w:t>
      </w:r>
      <w:r w:rsidRPr="008B4DA2">
        <w:rPr>
          <w:noProof/>
          <w:bdr w:val="nil"/>
        </w:rPr>
        <w:t>Przepisy dotyczące szkolenia, egzaminowania</w:t>
      </w:r>
      <w:r w:rsidR="00B83C93" w:rsidRPr="008B4DA2">
        <w:rPr>
          <w:noProof/>
          <w:bdr w:val="nil"/>
        </w:rPr>
        <w:t xml:space="preserve"> i</w:t>
      </w:r>
      <w:r w:rsidR="00B83C93">
        <w:rPr>
          <w:noProof/>
          <w:bdr w:val="nil"/>
        </w:rPr>
        <w:t> </w:t>
      </w:r>
      <w:r w:rsidR="00B83C93" w:rsidRPr="008B4DA2">
        <w:rPr>
          <w:noProof/>
          <w:bdr w:val="nil"/>
        </w:rPr>
        <w:t>okr</w:t>
      </w:r>
      <w:r w:rsidRPr="008B4DA2">
        <w:rPr>
          <w:noProof/>
          <w:bdr w:val="nil"/>
        </w:rPr>
        <w:t>esów próbnych dla kierowców zapewnią, aby zwłaszcza młodzi</w:t>
      </w:r>
      <w:r w:rsidR="00B83C93" w:rsidRPr="008B4DA2">
        <w:rPr>
          <w:noProof/>
          <w:bdr w:val="nil"/>
        </w:rPr>
        <w:t xml:space="preserve"> i</w:t>
      </w:r>
      <w:r w:rsidR="00B83C93">
        <w:rPr>
          <w:noProof/>
          <w:bdr w:val="nil"/>
        </w:rPr>
        <w:t> </w:t>
      </w:r>
      <w:r w:rsidR="00B83C93" w:rsidRPr="008B4DA2">
        <w:rPr>
          <w:noProof/>
          <w:bdr w:val="nil"/>
        </w:rPr>
        <w:t>poc</w:t>
      </w:r>
      <w:r w:rsidRPr="008B4DA2">
        <w:rPr>
          <w:noProof/>
          <w:bdr w:val="nil"/>
        </w:rPr>
        <w:t>zątkujący kierowcy nabyli umiejętności, wiedzę, doświadczenie</w:t>
      </w:r>
      <w:r w:rsidR="00B83C93" w:rsidRPr="008B4DA2">
        <w:rPr>
          <w:noProof/>
          <w:bdr w:val="nil"/>
        </w:rPr>
        <w:t xml:space="preserve"> i</w:t>
      </w:r>
      <w:r w:rsidR="00B83C93">
        <w:rPr>
          <w:noProof/>
          <w:bdr w:val="nil"/>
        </w:rPr>
        <w:t> </w:t>
      </w:r>
      <w:r w:rsidR="00B83C93" w:rsidRPr="008B4DA2">
        <w:rPr>
          <w:noProof/>
          <w:bdr w:val="nil"/>
        </w:rPr>
        <w:t>świ</w:t>
      </w:r>
      <w:r w:rsidRPr="008B4DA2">
        <w:rPr>
          <w:noProof/>
          <w:bdr w:val="nil"/>
        </w:rPr>
        <w:t>adomość ryzyka niezbędne do bezpiecznego kierowania pojazdami. Wszyscy kierowcy powinni ponadto czerpać korzyści</w:t>
      </w:r>
      <w:r w:rsidR="00B83C93" w:rsidRPr="008B4DA2">
        <w:rPr>
          <w:noProof/>
          <w:bdr w:val="nil"/>
        </w:rPr>
        <w:t xml:space="preserve"> z</w:t>
      </w:r>
      <w:r w:rsidR="00B83C93">
        <w:rPr>
          <w:noProof/>
          <w:bdr w:val="nil"/>
        </w:rPr>
        <w:t> </w:t>
      </w:r>
      <w:r w:rsidR="00B83C93" w:rsidRPr="008B4DA2">
        <w:rPr>
          <w:noProof/>
          <w:bdr w:val="nil"/>
        </w:rPr>
        <w:t>pop</w:t>
      </w:r>
      <w:r w:rsidRPr="008B4DA2">
        <w:rPr>
          <w:noProof/>
          <w:bdr w:val="nil"/>
        </w:rPr>
        <w:t>rawy poziomu umiejętności</w:t>
      </w:r>
      <w:r w:rsidR="00B83C93" w:rsidRPr="008B4DA2">
        <w:rPr>
          <w:noProof/>
          <w:bdr w:val="nil"/>
        </w:rPr>
        <w:t xml:space="preserve"> i</w:t>
      </w:r>
      <w:r w:rsidR="00B83C93">
        <w:rPr>
          <w:noProof/>
          <w:bdr w:val="nil"/>
        </w:rPr>
        <w:t> </w:t>
      </w:r>
      <w:r w:rsidR="00B83C93" w:rsidRPr="008B4DA2">
        <w:rPr>
          <w:noProof/>
          <w:bdr w:val="nil"/>
        </w:rPr>
        <w:t>wie</w:t>
      </w:r>
      <w:r w:rsidRPr="008B4DA2">
        <w:rPr>
          <w:noProof/>
          <w:bdr w:val="nil"/>
        </w:rPr>
        <w:t>dzy na temat zaawansowanych technologii wykorzystujących potencjał innowacji</w:t>
      </w:r>
      <w:r w:rsidR="00B83C93" w:rsidRPr="008B4DA2">
        <w:rPr>
          <w:noProof/>
          <w:bdr w:val="nil"/>
        </w:rPr>
        <w:t xml:space="preserve"> w</w:t>
      </w:r>
      <w:r w:rsidR="00B83C93">
        <w:rPr>
          <w:noProof/>
          <w:bdr w:val="nil"/>
        </w:rPr>
        <w:t> </w:t>
      </w:r>
      <w:r w:rsidR="00B83C93" w:rsidRPr="008B4DA2">
        <w:rPr>
          <w:noProof/>
          <w:bdr w:val="nil"/>
        </w:rPr>
        <w:t>zak</w:t>
      </w:r>
      <w:r w:rsidRPr="008B4DA2">
        <w:rPr>
          <w:noProof/>
          <w:bdr w:val="nil"/>
        </w:rPr>
        <w:t>resie bezpieczeństwa</w:t>
      </w:r>
      <w:r w:rsidR="00B83C93" w:rsidRPr="008B4DA2">
        <w:rPr>
          <w:noProof/>
          <w:bdr w:val="nil"/>
        </w:rPr>
        <w:t xml:space="preserve"> i</w:t>
      </w:r>
      <w:r w:rsidR="00B83C93">
        <w:rPr>
          <w:noProof/>
          <w:bdr w:val="nil"/>
        </w:rPr>
        <w:t> </w:t>
      </w:r>
      <w:r w:rsidR="00B83C93" w:rsidRPr="008B4DA2">
        <w:rPr>
          <w:noProof/>
          <w:bdr w:val="nil"/>
        </w:rPr>
        <w:t>och</w:t>
      </w:r>
      <w:r w:rsidRPr="008B4DA2">
        <w:rPr>
          <w:noProof/>
          <w:bdr w:val="nil"/>
        </w:rPr>
        <w:t>rony środowiska, jak również na temat zapewnienia bezpiecznego współistnienia ruchu zmotoryzowanego</w:t>
      </w:r>
      <w:r w:rsidR="00B83C93" w:rsidRPr="008B4DA2">
        <w:rPr>
          <w:noProof/>
          <w:bdr w:val="nil"/>
        </w:rPr>
        <w:t xml:space="preserve"> i</w:t>
      </w:r>
      <w:r w:rsidR="00B83C93">
        <w:rPr>
          <w:noProof/>
          <w:bdr w:val="nil"/>
        </w:rPr>
        <w:t> </w:t>
      </w:r>
      <w:r w:rsidR="00B83C93" w:rsidRPr="008B4DA2">
        <w:rPr>
          <w:noProof/>
          <w:bdr w:val="nil"/>
        </w:rPr>
        <w:t>akt</w:t>
      </w:r>
      <w:r w:rsidRPr="008B4DA2">
        <w:rPr>
          <w:noProof/>
          <w:bdr w:val="nil"/>
        </w:rPr>
        <w:t>ywnych rodzajów transportu. Kierowcy powinni ponosić odpowiedzialność we wszystkich państwach członkowskich za swoje niebezpieczne zachowanie za kierownicą, co ma przyczynić się do stworzenia środowiska sprzyjającego poprawie bezpieczeństwa ruchu drogowego.</w:t>
      </w:r>
    </w:p>
    <w:p w:rsidR="00BD67F9" w:rsidRPr="008B4DA2" w:rsidRDefault="00BD67F9" w:rsidP="005B2A2F">
      <w:pPr>
        <w:pStyle w:val="Tiret1"/>
        <w:rPr>
          <w:noProof/>
          <w:bdr w:val="nil"/>
        </w:rPr>
      </w:pPr>
      <w:r w:rsidRPr="008B4DA2">
        <w:rPr>
          <w:i/>
          <w:noProof/>
          <w:bdr w:val="nil"/>
        </w:rPr>
        <w:t>Zapewnienie</w:t>
      </w:r>
      <w:r w:rsidR="00B83C93" w:rsidRPr="008B4DA2">
        <w:rPr>
          <w:i/>
          <w:noProof/>
          <w:bdr w:val="nil"/>
        </w:rPr>
        <w:t xml:space="preserve"> w</w:t>
      </w:r>
      <w:r w:rsidR="00B83C93">
        <w:rPr>
          <w:i/>
          <w:noProof/>
          <w:bdr w:val="nil"/>
        </w:rPr>
        <w:t> </w:t>
      </w:r>
      <w:r w:rsidR="00B83C93" w:rsidRPr="008B4DA2">
        <w:rPr>
          <w:i/>
          <w:noProof/>
          <w:bdr w:val="nil"/>
        </w:rPr>
        <w:t>cał</w:t>
      </w:r>
      <w:r w:rsidRPr="008B4DA2">
        <w:rPr>
          <w:i/>
          <w:noProof/>
          <w:bdr w:val="nil"/>
        </w:rPr>
        <w:t>ej UE odpowiedniej fizycznej</w:t>
      </w:r>
      <w:r w:rsidR="00B83C93" w:rsidRPr="008B4DA2">
        <w:rPr>
          <w:i/>
          <w:noProof/>
          <w:bdr w:val="nil"/>
        </w:rPr>
        <w:t xml:space="preserve"> i</w:t>
      </w:r>
      <w:r w:rsidR="00B83C93">
        <w:rPr>
          <w:i/>
          <w:noProof/>
          <w:bdr w:val="nil"/>
        </w:rPr>
        <w:t> </w:t>
      </w:r>
      <w:r w:rsidR="00B83C93" w:rsidRPr="008B4DA2">
        <w:rPr>
          <w:i/>
          <w:noProof/>
          <w:bdr w:val="nil"/>
        </w:rPr>
        <w:t>psy</w:t>
      </w:r>
      <w:r w:rsidRPr="008B4DA2">
        <w:rPr>
          <w:i/>
          <w:noProof/>
          <w:bdr w:val="nil"/>
        </w:rPr>
        <w:t>chicznej zdolności kierowców do kierowania pojazdami.</w:t>
      </w:r>
      <w:r w:rsidRPr="008B4DA2">
        <w:rPr>
          <w:noProof/>
          <w:bdr w:val="nil"/>
        </w:rPr>
        <w:t xml:space="preserve"> Przepisy dotyczące fizycznej</w:t>
      </w:r>
      <w:r w:rsidR="00B83C93" w:rsidRPr="008B4DA2">
        <w:rPr>
          <w:noProof/>
          <w:bdr w:val="nil"/>
        </w:rPr>
        <w:t xml:space="preserve"> i</w:t>
      </w:r>
      <w:r w:rsidR="00B83C93">
        <w:rPr>
          <w:noProof/>
          <w:bdr w:val="nil"/>
        </w:rPr>
        <w:t> </w:t>
      </w:r>
      <w:r w:rsidR="00B83C93" w:rsidRPr="008B4DA2">
        <w:rPr>
          <w:noProof/>
          <w:bdr w:val="nil"/>
        </w:rPr>
        <w:t>psy</w:t>
      </w:r>
      <w:r w:rsidRPr="008B4DA2">
        <w:rPr>
          <w:noProof/>
          <w:bdr w:val="nil"/>
        </w:rPr>
        <w:t>chicznej zdolności do kierowania pojazdami przez osoby niebędące kierowcami zawodowymi zostaną udoskonalone</w:t>
      </w:r>
      <w:r w:rsidR="00B83C93" w:rsidRPr="008B4DA2">
        <w:rPr>
          <w:noProof/>
          <w:bdr w:val="nil"/>
        </w:rPr>
        <w:t xml:space="preserve"> i</w:t>
      </w:r>
      <w:r w:rsidR="00B83C93">
        <w:rPr>
          <w:noProof/>
          <w:bdr w:val="nil"/>
        </w:rPr>
        <w:t> </w:t>
      </w:r>
      <w:r w:rsidR="00B83C93" w:rsidRPr="008B4DA2">
        <w:rPr>
          <w:noProof/>
          <w:bdr w:val="nil"/>
        </w:rPr>
        <w:t>zak</w:t>
      </w:r>
      <w:r w:rsidRPr="008B4DA2">
        <w:rPr>
          <w:noProof/>
          <w:bdr w:val="nil"/>
        </w:rPr>
        <w:t>tualizowane</w:t>
      </w:r>
      <w:r w:rsidR="00B83C93" w:rsidRPr="008B4DA2">
        <w:rPr>
          <w:noProof/>
          <w:bdr w:val="nil"/>
        </w:rPr>
        <w:t xml:space="preserve"> z</w:t>
      </w:r>
      <w:r w:rsidR="00B83C93">
        <w:rPr>
          <w:noProof/>
          <w:bdr w:val="nil"/>
        </w:rPr>
        <w:t> </w:t>
      </w:r>
      <w:r w:rsidR="00B83C93" w:rsidRPr="008B4DA2">
        <w:rPr>
          <w:noProof/>
          <w:bdr w:val="nil"/>
        </w:rPr>
        <w:t>uwz</w:t>
      </w:r>
      <w:r w:rsidRPr="008B4DA2">
        <w:rPr>
          <w:noProof/>
          <w:bdr w:val="nil"/>
        </w:rPr>
        <w:t>ględnieniem najnowszego rozwoju technologicznego</w:t>
      </w:r>
      <w:r w:rsidRPr="008B4DA2">
        <w:rPr>
          <w:noProof/>
        </w:rPr>
        <w:t xml:space="preserve"> </w:t>
      </w:r>
      <w:r w:rsidRPr="008B4DA2">
        <w:rPr>
          <w:noProof/>
          <w:bdr w:val="nil"/>
        </w:rPr>
        <w:t>oraz zgodnie</w:t>
      </w:r>
      <w:r w:rsidR="00B83C93" w:rsidRPr="008B4DA2">
        <w:rPr>
          <w:noProof/>
          <w:bdr w:val="nil"/>
        </w:rPr>
        <w:t xml:space="preserve"> z</w:t>
      </w:r>
      <w:r w:rsidR="00B83C93">
        <w:rPr>
          <w:noProof/>
          <w:bdr w:val="nil"/>
        </w:rPr>
        <w:t> </w:t>
      </w:r>
      <w:r w:rsidR="00B83C93" w:rsidRPr="008B4DA2">
        <w:rPr>
          <w:noProof/>
          <w:bdr w:val="nil"/>
        </w:rPr>
        <w:t>mod</w:t>
      </w:r>
      <w:r w:rsidRPr="008B4DA2">
        <w:rPr>
          <w:noProof/>
          <w:bdr w:val="nil"/>
        </w:rPr>
        <w:t>elem niepełnosprawności opartym na prawach człowieka</w:t>
      </w:r>
      <w:r w:rsidRPr="008B4DA2">
        <w:rPr>
          <w:rStyle w:val="FootnoteReference"/>
          <w:noProof/>
          <w:bdr w:val="nil"/>
        </w:rPr>
        <w:footnoteReference w:id="21"/>
      </w:r>
      <w:r w:rsidRPr="008B4DA2">
        <w:rPr>
          <w:noProof/>
          <w:bdr w:val="nil"/>
        </w:rPr>
        <w:t>. Wzmocniony zostanie ponadto proces profilaktycznych badań medycznych</w:t>
      </w:r>
      <w:r w:rsidR="00B83C93" w:rsidRPr="008B4DA2">
        <w:rPr>
          <w:noProof/>
          <w:bdr w:val="nil"/>
        </w:rPr>
        <w:t xml:space="preserve"> w</w:t>
      </w:r>
      <w:r w:rsidR="00B83C93">
        <w:rPr>
          <w:noProof/>
          <w:bdr w:val="nil"/>
        </w:rPr>
        <w:t> </w:t>
      </w:r>
      <w:r w:rsidR="00B83C93" w:rsidRPr="008B4DA2">
        <w:rPr>
          <w:noProof/>
          <w:bdr w:val="nil"/>
        </w:rPr>
        <w:t>cał</w:t>
      </w:r>
      <w:r w:rsidRPr="008B4DA2">
        <w:rPr>
          <w:noProof/>
          <w:bdr w:val="nil"/>
        </w:rPr>
        <w:t>ej Unii, aby skuteczniej przyczynić się do realizacji celów</w:t>
      </w:r>
      <w:r w:rsidR="00B83C93" w:rsidRPr="008B4DA2">
        <w:rPr>
          <w:noProof/>
          <w:bdr w:val="nil"/>
        </w:rPr>
        <w:t xml:space="preserve"> w</w:t>
      </w:r>
      <w:r w:rsidR="00B83C93">
        <w:rPr>
          <w:noProof/>
          <w:bdr w:val="nil"/>
        </w:rPr>
        <w:t> </w:t>
      </w:r>
      <w:r w:rsidR="00B83C93" w:rsidRPr="008B4DA2">
        <w:rPr>
          <w:noProof/>
          <w:bdr w:val="nil"/>
        </w:rPr>
        <w:t>zak</w:t>
      </w:r>
      <w:r w:rsidRPr="008B4DA2">
        <w:rPr>
          <w:noProof/>
          <w:bdr w:val="nil"/>
        </w:rPr>
        <w:t>resie bezpieczeństwa ruchu drogowego.</w:t>
      </w:r>
    </w:p>
    <w:p w:rsidR="00BD67F9" w:rsidRPr="008B4DA2" w:rsidRDefault="00BD67F9" w:rsidP="005B2A2F">
      <w:pPr>
        <w:pStyle w:val="Tiret1"/>
        <w:rPr>
          <w:noProof/>
        </w:rPr>
      </w:pPr>
      <w:r w:rsidRPr="008B4DA2">
        <w:rPr>
          <w:i/>
          <w:noProof/>
        </w:rPr>
        <w:t>Usunięcie nieadekwatnych lub niepotrzebnych barier, jakie napotykają kandydaci ubiegający się</w:t>
      </w:r>
      <w:r w:rsidR="00B83C93" w:rsidRPr="008B4DA2">
        <w:rPr>
          <w:i/>
          <w:noProof/>
        </w:rPr>
        <w:t xml:space="preserve"> o</w:t>
      </w:r>
      <w:r w:rsidR="00B83C93">
        <w:rPr>
          <w:i/>
          <w:noProof/>
        </w:rPr>
        <w:t> </w:t>
      </w:r>
      <w:r w:rsidR="00B83C93" w:rsidRPr="008B4DA2">
        <w:rPr>
          <w:i/>
          <w:noProof/>
        </w:rPr>
        <w:t>pra</w:t>
      </w:r>
      <w:r w:rsidRPr="008B4DA2">
        <w:rPr>
          <w:i/>
          <w:noProof/>
        </w:rPr>
        <w:t>wo jazdy</w:t>
      </w:r>
      <w:r w:rsidR="00B83C93" w:rsidRPr="008B4DA2">
        <w:rPr>
          <w:i/>
          <w:noProof/>
        </w:rPr>
        <w:t xml:space="preserve"> i</w:t>
      </w:r>
      <w:r w:rsidR="00B83C93">
        <w:rPr>
          <w:i/>
          <w:noProof/>
        </w:rPr>
        <w:t> </w:t>
      </w:r>
      <w:r w:rsidR="00B83C93" w:rsidRPr="008B4DA2">
        <w:rPr>
          <w:i/>
          <w:noProof/>
        </w:rPr>
        <w:t>pos</w:t>
      </w:r>
      <w:r w:rsidRPr="008B4DA2">
        <w:rPr>
          <w:i/>
          <w:noProof/>
        </w:rPr>
        <w:t>iadacze praw jazdy.</w:t>
      </w:r>
      <w:r w:rsidRPr="008B4DA2">
        <w:rPr>
          <w:noProof/>
          <w:bdr w:val="nil"/>
        </w:rPr>
        <w:t xml:space="preserve"> Wciąż istnieje szereg barier</w:t>
      </w:r>
      <w:r w:rsidR="00B83C93" w:rsidRPr="008B4DA2">
        <w:rPr>
          <w:noProof/>
          <w:bdr w:val="nil"/>
        </w:rPr>
        <w:t xml:space="preserve"> w</w:t>
      </w:r>
      <w:r w:rsidR="00B83C93">
        <w:rPr>
          <w:noProof/>
          <w:bdr w:val="nil"/>
        </w:rPr>
        <w:t> </w:t>
      </w:r>
      <w:r w:rsidR="00B83C93" w:rsidRPr="008B4DA2">
        <w:rPr>
          <w:noProof/>
          <w:bdr w:val="nil"/>
        </w:rPr>
        <w:t>zak</w:t>
      </w:r>
      <w:r w:rsidRPr="008B4DA2">
        <w:rPr>
          <w:noProof/>
          <w:bdr w:val="nil"/>
        </w:rPr>
        <w:t>resie dostępu kierowców do uzyskania prawa jazdy</w:t>
      </w:r>
      <w:r w:rsidR="00B83C93" w:rsidRPr="008B4DA2">
        <w:rPr>
          <w:noProof/>
          <w:bdr w:val="nil"/>
        </w:rPr>
        <w:t xml:space="preserve"> i</w:t>
      </w:r>
      <w:r w:rsidR="00B83C93">
        <w:rPr>
          <w:noProof/>
          <w:bdr w:val="nil"/>
        </w:rPr>
        <w:t> </w:t>
      </w:r>
      <w:r w:rsidR="00B83C93" w:rsidRPr="008B4DA2">
        <w:rPr>
          <w:noProof/>
          <w:bdr w:val="nil"/>
        </w:rPr>
        <w:t>uzn</w:t>
      </w:r>
      <w:r w:rsidRPr="008B4DA2">
        <w:rPr>
          <w:noProof/>
          <w:bdr w:val="nil"/>
        </w:rPr>
        <w:t>awania ich uprawnień do kierowania pojazdami, co</w:t>
      </w:r>
      <w:r w:rsidR="00B83C93" w:rsidRPr="008B4DA2">
        <w:rPr>
          <w:noProof/>
          <w:bdr w:val="nil"/>
        </w:rPr>
        <w:t xml:space="preserve"> z</w:t>
      </w:r>
      <w:r w:rsidR="00B83C93">
        <w:rPr>
          <w:noProof/>
          <w:bdr w:val="nil"/>
        </w:rPr>
        <w:t> </w:t>
      </w:r>
      <w:r w:rsidR="00B83C93" w:rsidRPr="008B4DA2">
        <w:rPr>
          <w:noProof/>
          <w:bdr w:val="nil"/>
        </w:rPr>
        <w:t>kol</w:t>
      </w:r>
      <w:r w:rsidRPr="008B4DA2">
        <w:rPr>
          <w:noProof/>
          <w:bdr w:val="nil"/>
        </w:rPr>
        <w:t>ei utrudnia swobodne przemieszczanie się w UE</w:t>
      </w:r>
      <w:r w:rsidRPr="008B4DA2">
        <w:rPr>
          <w:noProof/>
        </w:rPr>
        <w:t>: są to trudności</w:t>
      </w:r>
      <w:r w:rsidR="00B83C93" w:rsidRPr="008B4DA2">
        <w:rPr>
          <w:noProof/>
        </w:rPr>
        <w:t xml:space="preserve"> z</w:t>
      </w:r>
      <w:r w:rsidR="00B83C93">
        <w:rPr>
          <w:noProof/>
        </w:rPr>
        <w:t> </w:t>
      </w:r>
      <w:r w:rsidR="00B83C93" w:rsidRPr="008B4DA2">
        <w:rPr>
          <w:noProof/>
        </w:rPr>
        <w:t>egz</w:t>
      </w:r>
      <w:r w:rsidRPr="008B4DA2">
        <w:rPr>
          <w:noProof/>
        </w:rPr>
        <w:t>aminami na prawo jazdy wynikające</w:t>
      </w:r>
      <w:r w:rsidR="00B83C93" w:rsidRPr="008B4DA2">
        <w:rPr>
          <w:noProof/>
        </w:rPr>
        <w:t xml:space="preserve"> z</w:t>
      </w:r>
      <w:r w:rsidR="00B83C93">
        <w:rPr>
          <w:noProof/>
        </w:rPr>
        <w:t> </w:t>
      </w:r>
      <w:r w:rsidR="00B83C93" w:rsidRPr="008B4DA2">
        <w:rPr>
          <w:noProof/>
        </w:rPr>
        <w:t>nie</w:t>
      </w:r>
      <w:r w:rsidRPr="008B4DA2">
        <w:rPr>
          <w:noProof/>
        </w:rPr>
        <w:t>znajomości języków, odmienne przepisy dotyczące określania miejsca stałego zamieszkania osób zamieszkałych w UE lub nieciągłość niektórych uprawnień do kierowania pojazdami podczas podróży</w:t>
      </w:r>
      <w:r w:rsidR="00B83C93" w:rsidRPr="008B4DA2">
        <w:rPr>
          <w:noProof/>
        </w:rPr>
        <w:t xml:space="preserve"> i</w:t>
      </w:r>
      <w:r w:rsidR="00B83C93">
        <w:rPr>
          <w:noProof/>
        </w:rPr>
        <w:t> </w:t>
      </w:r>
      <w:r w:rsidR="00B83C93" w:rsidRPr="008B4DA2">
        <w:rPr>
          <w:noProof/>
        </w:rPr>
        <w:t>zmi</w:t>
      </w:r>
      <w:r w:rsidRPr="008B4DA2">
        <w:rPr>
          <w:noProof/>
        </w:rPr>
        <w:t>any miejsca zamieszkania w UE.</w:t>
      </w:r>
      <w:r w:rsidRPr="008B4DA2">
        <w:rPr>
          <w:noProof/>
          <w:bdr w:val="nil"/>
        </w:rPr>
        <w:t xml:space="preserve"> Oczekuje się, że wyeliminowanie tych barier pomoże również rozwiązać problem obecnego niedoboru kierowców,</w:t>
      </w:r>
      <w:r w:rsidR="00B83C93" w:rsidRPr="008B4DA2">
        <w:rPr>
          <w:noProof/>
          <w:bdr w:val="nil"/>
        </w:rPr>
        <w:t xml:space="preserve"> w</w:t>
      </w:r>
      <w:r w:rsidR="00B83C93">
        <w:rPr>
          <w:noProof/>
          <w:bdr w:val="nil"/>
        </w:rPr>
        <w:t> </w:t>
      </w:r>
      <w:r w:rsidR="00B83C93" w:rsidRPr="008B4DA2">
        <w:rPr>
          <w:noProof/>
          <w:bdr w:val="nil"/>
        </w:rPr>
        <w:t>szc</w:t>
      </w:r>
      <w:r w:rsidRPr="008B4DA2">
        <w:rPr>
          <w:noProof/>
          <w:bdr w:val="nil"/>
        </w:rPr>
        <w:t>zególności kierowców samochodów ciężarowych, bez uszczerbku dla bezpieczeństwa ruchu drogowego. Należy ponadto wprowadzić dalszą harmonizację</w:t>
      </w:r>
      <w:r w:rsidR="00B83C93" w:rsidRPr="008B4DA2">
        <w:rPr>
          <w:noProof/>
          <w:bdr w:val="nil"/>
        </w:rPr>
        <w:t xml:space="preserve"> w</w:t>
      </w:r>
      <w:r w:rsidR="00B83C93">
        <w:rPr>
          <w:noProof/>
          <w:bdr w:val="nil"/>
        </w:rPr>
        <w:t> </w:t>
      </w:r>
      <w:r w:rsidR="00B83C93" w:rsidRPr="008B4DA2">
        <w:rPr>
          <w:noProof/>
          <w:bdr w:val="nil"/>
        </w:rPr>
        <w:t>zak</w:t>
      </w:r>
      <w:r w:rsidRPr="008B4DA2">
        <w:rPr>
          <w:noProof/>
          <w:bdr w:val="nil"/>
        </w:rPr>
        <w:t>resie ważności praw jazdy,</w:t>
      </w:r>
      <w:r w:rsidR="00B83C93" w:rsidRPr="008B4DA2">
        <w:rPr>
          <w:noProof/>
          <w:bdr w:val="nil"/>
        </w:rPr>
        <w:t xml:space="preserve"> a</w:t>
      </w:r>
      <w:r w:rsidR="00B83C93">
        <w:rPr>
          <w:noProof/>
          <w:bdr w:val="nil"/>
        </w:rPr>
        <w:t> </w:t>
      </w:r>
      <w:r w:rsidR="00B83C93" w:rsidRPr="008B4DA2">
        <w:rPr>
          <w:noProof/>
          <w:bdr w:val="nil"/>
        </w:rPr>
        <w:t>tak</w:t>
      </w:r>
      <w:r w:rsidRPr="008B4DA2">
        <w:rPr>
          <w:noProof/>
          <w:bdr w:val="nil"/>
        </w:rPr>
        <w:t>że mobilne prawa jazdy.</w:t>
      </w:r>
    </w:p>
    <w:p w:rsidR="00BD67F9" w:rsidRPr="008B4DA2" w:rsidRDefault="00BD67F9" w:rsidP="00BD67F9">
      <w:pPr>
        <w:rPr>
          <w:noProof/>
        </w:rPr>
      </w:pPr>
      <w:r w:rsidRPr="008B4DA2">
        <w:rPr>
          <w:noProof/>
        </w:rPr>
        <w:t>Bardziej szczegółowe informacje na temat uwzględnienia powyższych celów</w:t>
      </w:r>
      <w:r w:rsidR="00B83C93" w:rsidRPr="008B4DA2">
        <w:rPr>
          <w:noProof/>
        </w:rPr>
        <w:t xml:space="preserve"> i</w:t>
      </w:r>
      <w:r w:rsidR="00B83C93">
        <w:rPr>
          <w:noProof/>
        </w:rPr>
        <w:t> </w:t>
      </w:r>
      <w:r w:rsidR="00B83C93" w:rsidRPr="008B4DA2">
        <w:rPr>
          <w:noProof/>
        </w:rPr>
        <w:t>zwi</w:t>
      </w:r>
      <w:r w:rsidRPr="008B4DA2">
        <w:rPr>
          <w:noProof/>
        </w:rPr>
        <w:t>ązanych</w:t>
      </w:r>
      <w:r w:rsidR="00B83C93" w:rsidRPr="008B4DA2">
        <w:rPr>
          <w:noProof/>
        </w:rPr>
        <w:t xml:space="preserve"> z</w:t>
      </w:r>
      <w:r w:rsidR="00B83C93">
        <w:rPr>
          <w:noProof/>
        </w:rPr>
        <w:t> </w:t>
      </w:r>
      <w:r w:rsidR="00B83C93" w:rsidRPr="008B4DA2">
        <w:rPr>
          <w:noProof/>
        </w:rPr>
        <w:t>nim</w:t>
      </w:r>
      <w:r w:rsidRPr="008B4DA2">
        <w:rPr>
          <w:noProof/>
        </w:rPr>
        <w:t>i problemów</w:t>
      </w:r>
      <w:r w:rsidR="00B83C93" w:rsidRPr="008B4DA2">
        <w:rPr>
          <w:noProof/>
        </w:rPr>
        <w:t xml:space="preserve"> w</w:t>
      </w:r>
      <w:r w:rsidR="00B83C93">
        <w:rPr>
          <w:noProof/>
        </w:rPr>
        <w:t> </w:t>
      </w:r>
      <w:r w:rsidR="00B83C93" w:rsidRPr="008B4DA2">
        <w:rPr>
          <w:noProof/>
        </w:rPr>
        <w:t>ini</w:t>
      </w:r>
      <w:r w:rsidRPr="008B4DA2">
        <w:rPr>
          <w:noProof/>
        </w:rPr>
        <w:t>cjatywie przedstawiono</w:t>
      </w:r>
      <w:r w:rsidR="00B83C93" w:rsidRPr="008B4DA2">
        <w:rPr>
          <w:noProof/>
        </w:rPr>
        <w:t xml:space="preserve"> w</w:t>
      </w:r>
      <w:r w:rsidR="00B83C93">
        <w:rPr>
          <w:noProof/>
        </w:rPr>
        <w:t> </w:t>
      </w:r>
      <w:r w:rsidR="00B83C93" w:rsidRPr="008B4DA2">
        <w:rPr>
          <w:noProof/>
        </w:rPr>
        <w:t>roz</w:t>
      </w:r>
      <w:r w:rsidRPr="008B4DA2">
        <w:rPr>
          <w:noProof/>
        </w:rPr>
        <w:t>dziale 3 niniejszego uzasadnienia.</w:t>
      </w:r>
    </w:p>
    <w:p w:rsidR="00FB2CF7" w:rsidRPr="008B4DA2" w:rsidRDefault="00BD67F9" w:rsidP="00FB2CF7">
      <w:pPr>
        <w:rPr>
          <w:noProof/>
          <w:sz w:val="22"/>
        </w:rPr>
      </w:pPr>
      <w:r w:rsidRPr="008B4DA2">
        <w:rPr>
          <w:noProof/>
        </w:rPr>
        <w:t>Aby zapewnić spójne podejście pod względem bezpieczeństwa ruchu drogowego</w:t>
      </w:r>
      <w:r w:rsidR="00B83C93" w:rsidRPr="008B4DA2">
        <w:rPr>
          <w:noProof/>
        </w:rPr>
        <w:t xml:space="preserve"> w</w:t>
      </w:r>
      <w:r w:rsidR="00B83C93">
        <w:rPr>
          <w:noProof/>
        </w:rPr>
        <w:t> </w:t>
      </w:r>
      <w:r w:rsidR="00B83C93" w:rsidRPr="008B4DA2">
        <w:rPr>
          <w:noProof/>
        </w:rPr>
        <w:t>odn</w:t>
      </w:r>
      <w:r w:rsidRPr="008B4DA2">
        <w:rPr>
          <w:noProof/>
        </w:rPr>
        <w:t>iesieniu do transgranicznego egzekwowania przepisów ruchu drogowego, ustanawia się pakiet negocjacyjny obejmujący trzy inicjatywy: oprócz niniejszego wniosku obejmuje on również wniosek dotyczący dyrektywy zmieniającej dyrektywę Parlamentu Europejskiego</w:t>
      </w:r>
      <w:r w:rsidR="00B83C93" w:rsidRPr="008B4DA2">
        <w:rPr>
          <w:noProof/>
        </w:rPr>
        <w:t xml:space="preserve"> i</w:t>
      </w:r>
      <w:r w:rsidR="00B83C93">
        <w:rPr>
          <w:noProof/>
        </w:rPr>
        <w:t> </w:t>
      </w:r>
      <w:r w:rsidR="00B83C93" w:rsidRPr="008B4DA2">
        <w:rPr>
          <w:noProof/>
        </w:rPr>
        <w:t>Rad</w:t>
      </w:r>
      <w:r w:rsidRPr="008B4DA2">
        <w:rPr>
          <w:noProof/>
        </w:rPr>
        <w:t>y (UE) 2015/413</w:t>
      </w:r>
      <w:r w:rsidR="00B83C93" w:rsidRPr="008B4DA2">
        <w:rPr>
          <w:noProof/>
        </w:rPr>
        <w:t xml:space="preserve"> z</w:t>
      </w:r>
      <w:r w:rsidR="00B83C93">
        <w:rPr>
          <w:noProof/>
        </w:rPr>
        <w:t> </w:t>
      </w:r>
      <w:r w:rsidR="00B83C93" w:rsidRPr="008B4DA2">
        <w:rPr>
          <w:noProof/>
        </w:rPr>
        <w:t>dni</w:t>
      </w:r>
      <w:r w:rsidRPr="008B4DA2">
        <w:rPr>
          <w:noProof/>
        </w:rPr>
        <w:t>a 11 marca 20</w:t>
      </w:r>
      <w:r w:rsidRPr="00B83C93">
        <w:rPr>
          <w:noProof/>
        </w:rPr>
        <w:t>15</w:t>
      </w:r>
      <w:r w:rsidR="00B83C93" w:rsidRPr="00B83C93">
        <w:rPr>
          <w:noProof/>
        </w:rPr>
        <w:t> </w:t>
      </w:r>
      <w:r w:rsidRPr="00B83C93">
        <w:rPr>
          <w:noProof/>
        </w:rPr>
        <w:t>r.</w:t>
      </w:r>
      <w:r w:rsidR="00B83C93" w:rsidRPr="008B4DA2">
        <w:rPr>
          <w:noProof/>
        </w:rPr>
        <w:t xml:space="preserve"> w</w:t>
      </w:r>
      <w:r w:rsidR="00B83C93">
        <w:rPr>
          <w:noProof/>
        </w:rPr>
        <w:t> </w:t>
      </w:r>
      <w:r w:rsidR="00B83C93" w:rsidRPr="008B4DA2">
        <w:rPr>
          <w:noProof/>
        </w:rPr>
        <w:t>spr</w:t>
      </w:r>
      <w:r w:rsidRPr="008B4DA2">
        <w:rPr>
          <w:noProof/>
        </w:rPr>
        <w:t>awie ułatwień</w:t>
      </w:r>
      <w:r w:rsidR="00B83C93" w:rsidRPr="008B4DA2">
        <w:rPr>
          <w:noProof/>
        </w:rPr>
        <w:t xml:space="preserve"> w</w:t>
      </w:r>
      <w:r w:rsidR="00B83C93">
        <w:rPr>
          <w:noProof/>
        </w:rPr>
        <w:t> </w:t>
      </w:r>
      <w:r w:rsidR="00B83C93" w:rsidRPr="008B4DA2">
        <w:rPr>
          <w:noProof/>
        </w:rPr>
        <w:t>zak</w:t>
      </w:r>
      <w:r w:rsidRPr="008B4DA2">
        <w:rPr>
          <w:noProof/>
        </w:rPr>
        <w:t>resie transgranicznej wymiany informacji dotyczących przestępstw lub wykroczeń przeciwko bezpieczeństwu ruchu drogowego (dyrektywa</w:t>
      </w:r>
      <w:r w:rsidR="00B83C93" w:rsidRPr="008B4DA2">
        <w:rPr>
          <w:noProof/>
        </w:rPr>
        <w:t xml:space="preserve"> w</w:t>
      </w:r>
      <w:r w:rsidR="00B83C93">
        <w:rPr>
          <w:noProof/>
        </w:rPr>
        <w:t> </w:t>
      </w:r>
      <w:r w:rsidR="00B83C93" w:rsidRPr="008B4DA2">
        <w:rPr>
          <w:noProof/>
        </w:rPr>
        <w:t>spr</w:t>
      </w:r>
      <w:r w:rsidRPr="008B4DA2">
        <w:rPr>
          <w:noProof/>
        </w:rPr>
        <w:t>awie transgranicznego egzekwowania przepisów)</w:t>
      </w:r>
      <w:r w:rsidRPr="008B4DA2">
        <w:rPr>
          <w:rStyle w:val="FootnoteReference"/>
          <w:noProof/>
        </w:rPr>
        <w:footnoteReference w:id="22"/>
      </w:r>
      <w:r w:rsidRPr="008B4DA2">
        <w:rPr>
          <w:noProof/>
          <w:vertAlign w:val="superscript"/>
        </w:rPr>
        <w:t>,</w:t>
      </w:r>
      <w:r w:rsidRPr="008B4DA2">
        <w:rPr>
          <w:rStyle w:val="FootnoteReference"/>
          <w:noProof/>
        </w:rPr>
        <w:footnoteReference w:id="23"/>
      </w:r>
      <w:r w:rsidRPr="008B4DA2">
        <w:rPr>
          <w:noProof/>
        </w:rPr>
        <w:t xml:space="preserve"> oraz wniosek dotyczący dyrektywy</w:t>
      </w:r>
      <w:r w:rsidR="00B83C93" w:rsidRPr="008B4DA2">
        <w:rPr>
          <w:noProof/>
        </w:rPr>
        <w:t xml:space="preserve"> w</w:t>
      </w:r>
      <w:r w:rsidR="00B83C93">
        <w:rPr>
          <w:noProof/>
        </w:rPr>
        <w:t> </w:t>
      </w:r>
      <w:r w:rsidR="00B83C93" w:rsidRPr="008B4DA2">
        <w:rPr>
          <w:noProof/>
        </w:rPr>
        <w:t>spr</w:t>
      </w:r>
      <w:r w:rsidRPr="008B4DA2">
        <w:rPr>
          <w:noProof/>
        </w:rPr>
        <w:t>awie ogólnounijnych skutków niektórych zakazów prowadzenia pojazdów</w:t>
      </w:r>
      <w:r w:rsidRPr="008B4DA2">
        <w:rPr>
          <w:rStyle w:val="FootnoteReference"/>
          <w:noProof/>
        </w:rPr>
        <w:footnoteReference w:id="24"/>
      </w:r>
      <w:r w:rsidRPr="008B4DA2">
        <w:rPr>
          <w:noProof/>
        </w:rPr>
        <w:t>.</w:t>
      </w:r>
    </w:p>
    <w:p w:rsidR="00BB7599" w:rsidRPr="008B4DA2" w:rsidRDefault="00BB7599" w:rsidP="00BD67F9">
      <w:pPr>
        <w:rPr>
          <w:noProof/>
        </w:rPr>
      </w:pPr>
    </w:p>
    <w:p w:rsidR="00BD67F9" w:rsidRPr="008B4DA2" w:rsidRDefault="00BD67F9" w:rsidP="00BD67F9">
      <w:pPr>
        <w:pStyle w:val="ManualHeading2"/>
        <w:rPr>
          <w:rFonts w:eastAsia="Arial Unicode MS"/>
          <w:noProof/>
          <w:bdr w:val="nil"/>
        </w:rPr>
      </w:pPr>
      <w:r w:rsidRPr="008B4DA2">
        <w:rPr>
          <w:noProof/>
          <w:bdr w:val="nil"/>
        </w:rPr>
        <w:t>•</w:t>
      </w:r>
      <w:r w:rsidRPr="008B4DA2">
        <w:rPr>
          <w:noProof/>
        </w:rPr>
        <w:tab/>
        <w:t>Spójność</w:t>
      </w:r>
      <w:r w:rsidR="00B83C93" w:rsidRPr="008B4DA2">
        <w:rPr>
          <w:noProof/>
        </w:rPr>
        <w:t xml:space="preserve"> z</w:t>
      </w:r>
      <w:r w:rsidR="00B83C93">
        <w:rPr>
          <w:noProof/>
        </w:rPr>
        <w:t> </w:t>
      </w:r>
      <w:r w:rsidR="00B83C93" w:rsidRPr="008B4DA2">
        <w:rPr>
          <w:noProof/>
        </w:rPr>
        <w:t>prz</w:t>
      </w:r>
      <w:r w:rsidRPr="008B4DA2">
        <w:rPr>
          <w:noProof/>
        </w:rPr>
        <w:t>episami obowiązującymi</w:t>
      </w:r>
      <w:r w:rsidR="00B83C93" w:rsidRPr="008B4DA2">
        <w:rPr>
          <w:noProof/>
        </w:rPr>
        <w:t xml:space="preserve"> w</w:t>
      </w:r>
      <w:r w:rsidR="00B83C93">
        <w:rPr>
          <w:noProof/>
        </w:rPr>
        <w:t> </w:t>
      </w:r>
      <w:r w:rsidR="00B83C93" w:rsidRPr="008B4DA2">
        <w:rPr>
          <w:noProof/>
        </w:rPr>
        <w:t>tej</w:t>
      </w:r>
      <w:r w:rsidRPr="008B4DA2">
        <w:rPr>
          <w:noProof/>
        </w:rPr>
        <w:t xml:space="preserve"> dziedzinie polityki</w:t>
      </w:r>
    </w:p>
    <w:p w:rsidR="00BD67F9" w:rsidRPr="008B4DA2" w:rsidRDefault="00BD67F9" w:rsidP="00BD67F9">
      <w:pPr>
        <w:rPr>
          <w:noProof/>
        </w:rPr>
      </w:pPr>
      <w:r w:rsidRPr="008B4DA2">
        <w:rPr>
          <w:noProof/>
        </w:rPr>
        <w:t>Proponowana zmiana jest spójna</w:t>
      </w:r>
      <w:r w:rsidR="00B83C93" w:rsidRPr="008B4DA2">
        <w:rPr>
          <w:noProof/>
        </w:rPr>
        <w:t xml:space="preserve"> z</w:t>
      </w:r>
      <w:r w:rsidR="00B83C93">
        <w:rPr>
          <w:noProof/>
        </w:rPr>
        <w:t> </w:t>
      </w:r>
      <w:r w:rsidR="00B83C93" w:rsidRPr="008B4DA2">
        <w:rPr>
          <w:noProof/>
        </w:rPr>
        <w:t>inn</w:t>
      </w:r>
      <w:r w:rsidRPr="008B4DA2">
        <w:rPr>
          <w:noProof/>
        </w:rPr>
        <w:t>ymi przepisami UE dotyczącymi bezpieczeństwa ruchu drogowego: dyrektywą Parlamentu Europejskiego</w:t>
      </w:r>
      <w:r w:rsidR="00B83C93" w:rsidRPr="008B4DA2">
        <w:rPr>
          <w:noProof/>
        </w:rPr>
        <w:t xml:space="preserve"> i</w:t>
      </w:r>
      <w:r w:rsidR="00B83C93">
        <w:rPr>
          <w:noProof/>
        </w:rPr>
        <w:t> </w:t>
      </w:r>
      <w:r w:rsidR="00B83C93" w:rsidRPr="008B4DA2">
        <w:rPr>
          <w:noProof/>
        </w:rPr>
        <w:t>Rad</w:t>
      </w:r>
      <w:r w:rsidRPr="008B4DA2">
        <w:rPr>
          <w:noProof/>
        </w:rPr>
        <w:t>y (UE) 2022/2561</w:t>
      </w:r>
      <w:r w:rsidR="00B83C93" w:rsidRPr="008B4DA2">
        <w:rPr>
          <w:noProof/>
        </w:rPr>
        <w:t xml:space="preserve"> z</w:t>
      </w:r>
      <w:r w:rsidR="00B83C93">
        <w:rPr>
          <w:noProof/>
        </w:rPr>
        <w:t> </w:t>
      </w:r>
      <w:r w:rsidR="00B83C93" w:rsidRPr="008B4DA2">
        <w:rPr>
          <w:noProof/>
        </w:rPr>
        <w:t>dni</w:t>
      </w:r>
      <w:r w:rsidRPr="008B4DA2">
        <w:rPr>
          <w:noProof/>
        </w:rPr>
        <w:t>a 14 grudnia 20</w:t>
      </w:r>
      <w:r w:rsidRPr="00B83C93">
        <w:rPr>
          <w:noProof/>
        </w:rPr>
        <w:t>22</w:t>
      </w:r>
      <w:r w:rsidR="00B83C93" w:rsidRPr="00B83C93">
        <w:rPr>
          <w:noProof/>
        </w:rPr>
        <w:t> </w:t>
      </w:r>
      <w:r w:rsidRPr="00B83C93">
        <w:rPr>
          <w:noProof/>
        </w:rPr>
        <w:t>r.</w:t>
      </w:r>
      <w:r w:rsidR="00B83C93" w:rsidRPr="008B4DA2">
        <w:rPr>
          <w:noProof/>
        </w:rPr>
        <w:t xml:space="preserve"> w</w:t>
      </w:r>
      <w:r w:rsidR="00B83C93">
        <w:rPr>
          <w:noProof/>
        </w:rPr>
        <w:t> </w:t>
      </w:r>
      <w:r w:rsidR="00B83C93" w:rsidRPr="008B4DA2">
        <w:rPr>
          <w:noProof/>
        </w:rPr>
        <w:t>spr</w:t>
      </w:r>
      <w:r w:rsidRPr="008B4DA2">
        <w:rPr>
          <w:noProof/>
        </w:rPr>
        <w:t>awie wstępnej kwalifikacji</w:t>
      </w:r>
      <w:r w:rsidR="00B83C93" w:rsidRPr="008B4DA2">
        <w:rPr>
          <w:noProof/>
        </w:rPr>
        <w:t xml:space="preserve"> i</w:t>
      </w:r>
      <w:r w:rsidR="00B83C93">
        <w:rPr>
          <w:noProof/>
        </w:rPr>
        <w:t> </w:t>
      </w:r>
      <w:r w:rsidR="00B83C93" w:rsidRPr="008B4DA2">
        <w:rPr>
          <w:noProof/>
        </w:rPr>
        <w:t>okr</w:t>
      </w:r>
      <w:r w:rsidRPr="008B4DA2">
        <w:rPr>
          <w:noProof/>
        </w:rPr>
        <w:t>esowego szkolenia kierowców niektórych pojazdów drogowych do przewozu rzeczy lub osób</w:t>
      </w:r>
      <w:r w:rsidRPr="008B4DA2">
        <w:rPr>
          <w:rStyle w:val="FootnoteReference"/>
          <w:noProof/>
        </w:rPr>
        <w:footnoteReference w:id="25"/>
      </w:r>
      <w:r w:rsidRPr="008B4DA2">
        <w:rPr>
          <w:noProof/>
          <w:vertAlign w:val="superscript"/>
        </w:rPr>
        <w:t>,</w:t>
      </w:r>
      <w:r w:rsidRPr="008B4DA2">
        <w:rPr>
          <w:rStyle w:val="FootnoteReference"/>
          <w:noProof/>
        </w:rPr>
        <w:footnoteReference w:id="26"/>
      </w:r>
      <w:r w:rsidRPr="008B4DA2">
        <w:rPr>
          <w:noProof/>
        </w:rPr>
        <w:t>; dyrektywą (UE) 2015/413</w:t>
      </w:r>
      <w:r w:rsidRPr="008B4DA2">
        <w:rPr>
          <w:rStyle w:val="FootnoteReference"/>
          <w:noProof/>
        </w:rPr>
        <w:footnoteReference w:id="27"/>
      </w:r>
      <w:r w:rsidRPr="008B4DA2">
        <w:rPr>
          <w:noProof/>
        </w:rPr>
        <w:t>; oraz</w:t>
      </w:r>
      <w:r w:rsidR="00B83C93" w:rsidRPr="008B4DA2">
        <w:rPr>
          <w:noProof/>
        </w:rPr>
        <w:t xml:space="preserve"> z</w:t>
      </w:r>
      <w:r w:rsidR="00B83C93">
        <w:rPr>
          <w:noProof/>
        </w:rPr>
        <w:t> </w:t>
      </w:r>
      <w:r w:rsidR="00B83C93" w:rsidRPr="008B4DA2">
        <w:rPr>
          <w:noProof/>
        </w:rPr>
        <w:t>tzw</w:t>
      </w:r>
      <w:r w:rsidRPr="008B4DA2">
        <w:rPr>
          <w:noProof/>
        </w:rPr>
        <w:t>. „rozporządzeniem</w:t>
      </w:r>
      <w:r w:rsidR="00B83C93" w:rsidRPr="008B4DA2">
        <w:rPr>
          <w:noProof/>
        </w:rPr>
        <w:t xml:space="preserve"> w</w:t>
      </w:r>
      <w:r w:rsidR="00B83C93">
        <w:rPr>
          <w:noProof/>
        </w:rPr>
        <w:t> </w:t>
      </w:r>
      <w:r w:rsidR="00B83C93" w:rsidRPr="008B4DA2">
        <w:rPr>
          <w:noProof/>
        </w:rPr>
        <w:t>spr</w:t>
      </w:r>
      <w:r w:rsidRPr="008B4DA2">
        <w:rPr>
          <w:noProof/>
        </w:rPr>
        <w:t>awie bezpieczeństwa ogólnego”</w:t>
      </w:r>
      <w:r w:rsidRPr="008B4DA2">
        <w:rPr>
          <w:rStyle w:val="FootnoteReference"/>
          <w:noProof/>
        </w:rPr>
        <w:footnoteReference w:id="28"/>
      </w:r>
      <w:r w:rsidRPr="008B4DA2">
        <w:rPr>
          <w:noProof/>
          <w:vertAlign w:val="superscript"/>
        </w:rPr>
        <w:t>,</w:t>
      </w:r>
      <w:r w:rsidRPr="008B4DA2">
        <w:rPr>
          <w:rStyle w:val="FootnoteReference"/>
          <w:noProof/>
        </w:rPr>
        <w:footnoteReference w:id="29"/>
      </w:r>
      <w:r w:rsidRPr="008B4DA2">
        <w:rPr>
          <w:noProof/>
        </w:rPr>
        <w:t>. Jest również zgodna</w:t>
      </w:r>
      <w:r w:rsidR="00B83C93" w:rsidRPr="008B4DA2">
        <w:rPr>
          <w:noProof/>
        </w:rPr>
        <w:t xml:space="preserve"> z</w:t>
      </w:r>
      <w:r w:rsidR="00B83C93">
        <w:rPr>
          <w:noProof/>
        </w:rPr>
        <w:t> </w:t>
      </w:r>
      <w:r w:rsidR="00B83C93" w:rsidRPr="008B4DA2">
        <w:rPr>
          <w:noProof/>
        </w:rPr>
        <w:t>ram</w:t>
      </w:r>
      <w:r w:rsidRPr="008B4DA2">
        <w:rPr>
          <w:noProof/>
        </w:rPr>
        <w:t>ami polityki bezpieczeństwa ruchu drogowego UE na lata 2021–2030 – Kolejne kroki</w:t>
      </w:r>
      <w:r w:rsidR="00B83C93" w:rsidRPr="008B4DA2">
        <w:rPr>
          <w:noProof/>
        </w:rPr>
        <w:t xml:space="preserve"> w</w:t>
      </w:r>
      <w:r w:rsidR="00B83C93">
        <w:rPr>
          <w:noProof/>
        </w:rPr>
        <w:t> </w:t>
      </w:r>
      <w:r w:rsidR="00B83C93" w:rsidRPr="008B4DA2">
        <w:rPr>
          <w:noProof/>
        </w:rPr>
        <w:t>kie</w:t>
      </w:r>
      <w:r w:rsidRPr="008B4DA2">
        <w:rPr>
          <w:noProof/>
        </w:rPr>
        <w:t>runku realizacji „wizji zero”</w:t>
      </w:r>
      <w:r w:rsidRPr="008B4DA2">
        <w:rPr>
          <w:rStyle w:val="FootnoteReference"/>
          <w:noProof/>
        </w:rPr>
        <w:footnoteReference w:id="30"/>
      </w:r>
      <w:r w:rsidRPr="008B4DA2">
        <w:rPr>
          <w:noProof/>
        </w:rPr>
        <w:t>.</w:t>
      </w:r>
    </w:p>
    <w:p w:rsidR="00BD67F9" w:rsidRPr="008B4DA2" w:rsidRDefault="00BD67F9" w:rsidP="00BD67F9">
      <w:pPr>
        <w:rPr>
          <w:noProof/>
        </w:rPr>
      </w:pPr>
      <w:r w:rsidRPr="008B4DA2">
        <w:rPr>
          <w:noProof/>
        </w:rPr>
        <w:t>Inicjatywa jest również zgodna</w:t>
      </w:r>
      <w:r w:rsidR="00B83C93" w:rsidRPr="008B4DA2">
        <w:rPr>
          <w:noProof/>
        </w:rPr>
        <w:t xml:space="preserve"> z</w:t>
      </w:r>
      <w:r w:rsidR="00B83C93">
        <w:rPr>
          <w:noProof/>
        </w:rPr>
        <w:t> </w:t>
      </w:r>
      <w:r w:rsidR="00B83C93" w:rsidRPr="008B4DA2">
        <w:rPr>
          <w:noProof/>
        </w:rPr>
        <w:t>dyr</w:t>
      </w:r>
      <w:r w:rsidRPr="008B4DA2">
        <w:rPr>
          <w:noProof/>
        </w:rPr>
        <w:t>ektywą</w:t>
      </w:r>
      <w:r w:rsidR="00B83C93" w:rsidRPr="008B4DA2">
        <w:rPr>
          <w:noProof/>
        </w:rPr>
        <w:t xml:space="preserve"> w</w:t>
      </w:r>
      <w:r w:rsidR="00B83C93">
        <w:rPr>
          <w:noProof/>
        </w:rPr>
        <w:t> </w:t>
      </w:r>
      <w:r w:rsidR="00B83C93" w:rsidRPr="008B4DA2">
        <w:rPr>
          <w:noProof/>
        </w:rPr>
        <w:t>spr</w:t>
      </w:r>
      <w:r w:rsidRPr="008B4DA2">
        <w:rPr>
          <w:noProof/>
        </w:rPr>
        <w:t>awie transgranicznego egzekwowania przepisów</w:t>
      </w:r>
      <w:r w:rsidR="00B83C93" w:rsidRPr="008B4DA2">
        <w:rPr>
          <w:noProof/>
        </w:rPr>
        <w:t>. W</w:t>
      </w:r>
      <w:r w:rsidR="00B83C93">
        <w:rPr>
          <w:noProof/>
        </w:rPr>
        <w:t> </w:t>
      </w:r>
      <w:r w:rsidR="00B83C93" w:rsidRPr="008B4DA2">
        <w:rPr>
          <w:noProof/>
        </w:rPr>
        <w:t>kon</w:t>
      </w:r>
      <w:r w:rsidRPr="008B4DA2">
        <w:rPr>
          <w:noProof/>
        </w:rPr>
        <w:t>tekście wzajemnej pomocy (</w:t>
      </w:r>
      <w:r w:rsidRPr="00B83C93">
        <w:rPr>
          <w:noProof/>
        </w:rPr>
        <w:t>art.</w:t>
      </w:r>
      <w:r w:rsidR="00B83C93" w:rsidRPr="00B83C93">
        <w:rPr>
          <w:noProof/>
        </w:rPr>
        <w:t> </w:t>
      </w:r>
      <w:r w:rsidRPr="00B83C93">
        <w:rPr>
          <w:noProof/>
        </w:rPr>
        <w:t>1</w:t>
      </w:r>
      <w:r w:rsidRPr="008B4DA2">
        <w:rPr>
          <w:noProof/>
        </w:rPr>
        <w:t>5) dyrektywa</w:t>
      </w:r>
      <w:r w:rsidR="00B83C93" w:rsidRPr="008B4DA2">
        <w:rPr>
          <w:noProof/>
        </w:rPr>
        <w:t xml:space="preserve"> w</w:t>
      </w:r>
      <w:r w:rsidR="00B83C93">
        <w:rPr>
          <w:noProof/>
        </w:rPr>
        <w:t> </w:t>
      </w:r>
      <w:r w:rsidR="00B83C93" w:rsidRPr="008B4DA2">
        <w:rPr>
          <w:noProof/>
        </w:rPr>
        <w:t>spr</w:t>
      </w:r>
      <w:r w:rsidRPr="008B4DA2">
        <w:rPr>
          <w:noProof/>
        </w:rPr>
        <w:t>awie praw jazdy przewiduje również utworzenie sieci wymiany informacji na temat praw jazdy (RESPER), która może być wykorzystywana do wdrażania –</w:t>
      </w:r>
      <w:r w:rsidR="00B83C93" w:rsidRPr="008B4DA2">
        <w:rPr>
          <w:noProof/>
        </w:rPr>
        <w:t xml:space="preserve"> i</w:t>
      </w:r>
      <w:r w:rsidR="00B83C93">
        <w:rPr>
          <w:noProof/>
        </w:rPr>
        <w:t> </w:t>
      </w:r>
      <w:r w:rsidR="00B83C93" w:rsidRPr="008B4DA2">
        <w:rPr>
          <w:noProof/>
        </w:rPr>
        <w:t>kon</w:t>
      </w:r>
      <w:r w:rsidRPr="008B4DA2">
        <w:rPr>
          <w:noProof/>
        </w:rPr>
        <w:t>troli przestrzegania – dyrektywy</w:t>
      </w:r>
      <w:r w:rsidR="00B83C93" w:rsidRPr="008B4DA2">
        <w:rPr>
          <w:noProof/>
        </w:rPr>
        <w:t xml:space="preserve"> w</w:t>
      </w:r>
      <w:r w:rsidR="00B83C93">
        <w:rPr>
          <w:noProof/>
        </w:rPr>
        <w:t> </w:t>
      </w:r>
      <w:r w:rsidR="00B83C93" w:rsidRPr="008B4DA2">
        <w:rPr>
          <w:noProof/>
        </w:rPr>
        <w:t>spr</w:t>
      </w:r>
      <w:r w:rsidRPr="008B4DA2">
        <w:rPr>
          <w:noProof/>
        </w:rPr>
        <w:t>awie praw jazdy, dyrektywy</w:t>
      </w:r>
      <w:r w:rsidR="00B83C93" w:rsidRPr="008B4DA2">
        <w:rPr>
          <w:noProof/>
        </w:rPr>
        <w:t xml:space="preserve"> w</w:t>
      </w:r>
      <w:r w:rsidR="00B83C93">
        <w:rPr>
          <w:noProof/>
        </w:rPr>
        <w:t> </w:t>
      </w:r>
      <w:r w:rsidR="00B83C93" w:rsidRPr="008B4DA2">
        <w:rPr>
          <w:noProof/>
        </w:rPr>
        <w:t>spr</w:t>
      </w:r>
      <w:r w:rsidRPr="008B4DA2">
        <w:rPr>
          <w:noProof/>
        </w:rPr>
        <w:t>awie kwalifikacji</w:t>
      </w:r>
      <w:r w:rsidR="00B83C93" w:rsidRPr="008B4DA2">
        <w:rPr>
          <w:noProof/>
        </w:rPr>
        <w:t xml:space="preserve"> i</w:t>
      </w:r>
      <w:r w:rsidR="00B83C93">
        <w:rPr>
          <w:noProof/>
        </w:rPr>
        <w:t> </w:t>
      </w:r>
      <w:r w:rsidR="00B83C93" w:rsidRPr="008B4DA2">
        <w:rPr>
          <w:noProof/>
        </w:rPr>
        <w:t>szk</w:t>
      </w:r>
      <w:r w:rsidRPr="008B4DA2">
        <w:rPr>
          <w:noProof/>
        </w:rPr>
        <w:t>olenia kierowców zawodowych oraz dyrektywy</w:t>
      </w:r>
      <w:r w:rsidR="00B83C93" w:rsidRPr="008B4DA2">
        <w:rPr>
          <w:noProof/>
        </w:rPr>
        <w:t xml:space="preserve"> w</w:t>
      </w:r>
      <w:r w:rsidR="00B83C93">
        <w:rPr>
          <w:noProof/>
        </w:rPr>
        <w:t> </w:t>
      </w:r>
      <w:r w:rsidR="00B83C93" w:rsidRPr="008B4DA2">
        <w:rPr>
          <w:noProof/>
        </w:rPr>
        <w:t>spr</w:t>
      </w:r>
      <w:r w:rsidRPr="008B4DA2">
        <w:rPr>
          <w:noProof/>
        </w:rPr>
        <w:t>awie transgranicznego egzekwowania przepisów</w:t>
      </w:r>
      <w:r w:rsidR="00B83C93" w:rsidRPr="008B4DA2">
        <w:rPr>
          <w:noProof/>
        </w:rPr>
        <w:t>. Z</w:t>
      </w:r>
      <w:r w:rsidR="00B83C93">
        <w:rPr>
          <w:noProof/>
        </w:rPr>
        <w:t> </w:t>
      </w:r>
      <w:r w:rsidR="00B83C93" w:rsidRPr="008B4DA2">
        <w:rPr>
          <w:noProof/>
        </w:rPr>
        <w:t>pow</w:t>
      </w:r>
      <w:r w:rsidRPr="008B4DA2">
        <w:rPr>
          <w:noProof/>
        </w:rPr>
        <w:t xml:space="preserve">odu brzmienia </w:t>
      </w:r>
      <w:r w:rsidRPr="00B83C93">
        <w:rPr>
          <w:noProof/>
        </w:rPr>
        <w:t>art.</w:t>
      </w:r>
      <w:r w:rsidR="00B83C93" w:rsidRPr="00B83C93">
        <w:rPr>
          <w:noProof/>
        </w:rPr>
        <w:t> </w:t>
      </w:r>
      <w:r w:rsidRPr="00B83C93">
        <w:rPr>
          <w:noProof/>
        </w:rPr>
        <w:t>1</w:t>
      </w:r>
      <w:r w:rsidRPr="008B4DA2">
        <w:rPr>
          <w:noProof/>
        </w:rPr>
        <w:t>5 dyrektywy</w:t>
      </w:r>
      <w:r w:rsidR="00B83C93" w:rsidRPr="008B4DA2">
        <w:rPr>
          <w:noProof/>
        </w:rPr>
        <w:t xml:space="preserve"> w</w:t>
      </w:r>
      <w:r w:rsidR="00B83C93">
        <w:rPr>
          <w:noProof/>
        </w:rPr>
        <w:t> </w:t>
      </w:r>
      <w:r w:rsidR="00B83C93" w:rsidRPr="008B4DA2">
        <w:rPr>
          <w:noProof/>
        </w:rPr>
        <w:t>spr</w:t>
      </w:r>
      <w:r w:rsidRPr="008B4DA2">
        <w:rPr>
          <w:noProof/>
        </w:rPr>
        <w:t>awie praw jazdy brak jest obecnie pewności prawa</w:t>
      </w:r>
      <w:r w:rsidR="00B83C93" w:rsidRPr="008B4DA2">
        <w:rPr>
          <w:noProof/>
        </w:rPr>
        <w:t xml:space="preserve"> w</w:t>
      </w:r>
      <w:r w:rsidR="00B83C93">
        <w:rPr>
          <w:noProof/>
        </w:rPr>
        <w:t> </w:t>
      </w:r>
      <w:r w:rsidR="00B83C93" w:rsidRPr="008B4DA2">
        <w:rPr>
          <w:noProof/>
        </w:rPr>
        <w:t>kwe</w:t>
      </w:r>
      <w:r w:rsidRPr="008B4DA2">
        <w:rPr>
          <w:noProof/>
        </w:rPr>
        <w:t>stii tego, czy sieć RESPER może być wykorzystywana do celów dyrektywy</w:t>
      </w:r>
      <w:r w:rsidR="00B83C93" w:rsidRPr="008B4DA2">
        <w:rPr>
          <w:noProof/>
        </w:rPr>
        <w:t xml:space="preserve"> w</w:t>
      </w:r>
      <w:r w:rsidR="00B83C93">
        <w:rPr>
          <w:noProof/>
        </w:rPr>
        <w:t> </w:t>
      </w:r>
      <w:r w:rsidR="00B83C93" w:rsidRPr="008B4DA2">
        <w:rPr>
          <w:noProof/>
        </w:rPr>
        <w:t>spr</w:t>
      </w:r>
      <w:r w:rsidRPr="008B4DA2">
        <w:rPr>
          <w:noProof/>
        </w:rPr>
        <w:t>awie transgranicznego egzekwowania przepisów (bazującej na systemie EUCARIS), która</w:t>
      </w:r>
      <w:r w:rsidR="00B83C93" w:rsidRPr="008B4DA2">
        <w:rPr>
          <w:noProof/>
        </w:rPr>
        <w:t xml:space="preserve"> w</w:t>
      </w:r>
      <w:r w:rsidR="00B83C93">
        <w:rPr>
          <w:noProof/>
        </w:rPr>
        <w:t> </w:t>
      </w:r>
      <w:r w:rsidR="00B83C93" w:rsidRPr="008B4DA2">
        <w:rPr>
          <w:noProof/>
        </w:rPr>
        <w:t>jej</w:t>
      </w:r>
      <w:r w:rsidRPr="008B4DA2">
        <w:rPr>
          <w:noProof/>
        </w:rPr>
        <w:t xml:space="preserve"> </w:t>
      </w:r>
      <w:r w:rsidRPr="00B83C93">
        <w:rPr>
          <w:noProof/>
        </w:rPr>
        <w:t>art.</w:t>
      </w:r>
      <w:r w:rsidR="00B83C93" w:rsidRPr="00B83C93">
        <w:rPr>
          <w:noProof/>
        </w:rPr>
        <w:t> </w:t>
      </w:r>
      <w:r w:rsidRPr="00B83C93">
        <w:rPr>
          <w:noProof/>
        </w:rPr>
        <w:t>4</w:t>
      </w:r>
      <w:r w:rsidRPr="008B4DA2">
        <w:rPr>
          <w:noProof/>
        </w:rPr>
        <w:t xml:space="preserve"> </w:t>
      </w:r>
      <w:r w:rsidRPr="00B83C93">
        <w:rPr>
          <w:noProof/>
        </w:rPr>
        <w:t>ust.</w:t>
      </w:r>
      <w:r w:rsidR="00B83C93" w:rsidRPr="00B83C93">
        <w:rPr>
          <w:noProof/>
        </w:rPr>
        <w:t> </w:t>
      </w:r>
      <w:r w:rsidRPr="00B83C93">
        <w:rPr>
          <w:noProof/>
        </w:rPr>
        <w:t>4</w:t>
      </w:r>
      <w:r w:rsidRPr="008B4DA2">
        <w:rPr>
          <w:noProof/>
        </w:rPr>
        <w:t xml:space="preserve"> zawiera poza tym wymóg, aby państwa członkowskie zapewniły, by wymiana informacji dokonywana na jej podstawie była prowadzona „bez wymiany danych</w:t>
      </w:r>
      <w:r w:rsidR="00B83C93" w:rsidRPr="008B4DA2">
        <w:rPr>
          <w:noProof/>
        </w:rPr>
        <w:t xml:space="preserve"> z</w:t>
      </w:r>
      <w:r w:rsidR="00B83C93">
        <w:rPr>
          <w:noProof/>
        </w:rPr>
        <w:t> </w:t>
      </w:r>
      <w:r w:rsidR="00B83C93" w:rsidRPr="008B4DA2">
        <w:rPr>
          <w:noProof/>
        </w:rPr>
        <w:t>udz</w:t>
      </w:r>
      <w:r w:rsidRPr="008B4DA2">
        <w:rPr>
          <w:noProof/>
        </w:rPr>
        <w:t>iałem innych baz danych, które nie są wykorzystywane do celów niniejszej dyrektywy”</w:t>
      </w:r>
      <w:r w:rsidR="00B83C93" w:rsidRPr="008B4DA2">
        <w:rPr>
          <w:noProof/>
        </w:rPr>
        <w:t>. W</w:t>
      </w:r>
      <w:r w:rsidR="00B83C93">
        <w:rPr>
          <w:noProof/>
        </w:rPr>
        <w:t> </w:t>
      </w:r>
      <w:r w:rsidR="00B83C93" w:rsidRPr="008B4DA2">
        <w:rPr>
          <w:noProof/>
        </w:rPr>
        <w:t>zwi</w:t>
      </w:r>
      <w:r w:rsidRPr="008B4DA2">
        <w:rPr>
          <w:noProof/>
        </w:rPr>
        <w:t>ązku</w:t>
      </w:r>
      <w:r w:rsidR="00B83C93" w:rsidRPr="008B4DA2">
        <w:rPr>
          <w:noProof/>
        </w:rPr>
        <w:t xml:space="preserve"> z</w:t>
      </w:r>
      <w:r w:rsidR="00B83C93">
        <w:rPr>
          <w:noProof/>
        </w:rPr>
        <w:t> </w:t>
      </w:r>
      <w:r w:rsidR="00B83C93" w:rsidRPr="008B4DA2">
        <w:rPr>
          <w:noProof/>
        </w:rPr>
        <w:t>tym</w:t>
      </w:r>
      <w:r w:rsidRPr="008B4DA2">
        <w:rPr>
          <w:noProof/>
        </w:rPr>
        <w:t xml:space="preserve"> zdecydowana większość organów ścigania nie wykorzystuje sieci RESPER do celów kontroli. </w:t>
      </w:r>
    </w:p>
    <w:p w:rsidR="00BD67F9" w:rsidRPr="008B4DA2" w:rsidRDefault="00BD67F9" w:rsidP="00BD67F9">
      <w:pPr>
        <w:rPr>
          <w:noProof/>
          <w:spacing w:val="-6"/>
        </w:rPr>
      </w:pPr>
      <w:r w:rsidRPr="008B4DA2">
        <w:rPr>
          <w:noProof/>
        </w:rPr>
        <w:t>Rewizja dyrektywy</w:t>
      </w:r>
      <w:r w:rsidR="00B83C93" w:rsidRPr="008B4DA2">
        <w:rPr>
          <w:noProof/>
        </w:rPr>
        <w:t xml:space="preserve"> w</w:t>
      </w:r>
      <w:r w:rsidR="00B83C93">
        <w:rPr>
          <w:noProof/>
        </w:rPr>
        <w:t> </w:t>
      </w:r>
      <w:r w:rsidR="00B83C93" w:rsidRPr="008B4DA2">
        <w:rPr>
          <w:noProof/>
        </w:rPr>
        <w:t>spr</w:t>
      </w:r>
      <w:r w:rsidRPr="008B4DA2">
        <w:rPr>
          <w:noProof/>
        </w:rPr>
        <w:t>awie transgranicznego egzekwowania przepisów dokonywana jest równolegle</w:t>
      </w:r>
      <w:r w:rsidR="00B83C93" w:rsidRPr="008B4DA2">
        <w:rPr>
          <w:noProof/>
        </w:rPr>
        <w:t xml:space="preserve"> z</w:t>
      </w:r>
      <w:r w:rsidR="00B83C93">
        <w:rPr>
          <w:noProof/>
        </w:rPr>
        <w:t> </w:t>
      </w:r>
      <w:r w:rsidR="00B83C93" w:rsidRPr="008B4DA2">
        <w:rPr>
          <w:noProof/>
        </w:rPr>
        <w:t>rew</w:t>
      </w:r>
      <w:r w:rsidRPr="008B4DA2">
        <w:rPr>
          <w:noProof/>
        </w:rPr>
        <w:t>izją dyrektywy</w:t>
      </w:r>
      <w:r w:rsidR="00B83C93" w:rsidRPr="008B4DA2">
        <w:rPr>
          <w:noProof/>
        </w:rPr>
        <w:t xml:space="preserve"> w</w:t>
      </w:r>
      <w:r w:rsidR="00B83C93">
        <w:rPr>
          <w:noProof/>
        </w:rPr>
        <w:t> </w:t>
      </w:r>
      <w:r w:rsidR="00B83C93" w:rsidRPr="008B4DA2">
        <w:rPr>
          <w:noProof/>
        </w:rPr>
        <w:t>spr</w:t>
      </w:r>
      <w:r w:rsidRPr="008B4DA2">
        <w:rPr>
          <w:noProof/>
        </w:rPr>
        <w:t>awie praw jazdy, zarówno</w:t>
      </w:r>
      <w:r w:rsidR="00B83C93" w:rsidRPr="008B4DA2">
        <w:rPr>
          <w:noProof/>
        </w:rPr>
        <w:t xml:space="preserve"> z</w:t>
      </w:r>
      <w:r w:rsidR="00B83C93">
        <w:rPr>
          <w:noProof/>
        </w:rPr>
        <w:t> </w:t>
      </w:r>
      <w:r w:rsidR="00B83C93" w:rsidRPr="008B4DA2">
        <w:rPr>
          <w:noProof/>
        </w:rPr>
        <w:t>prz</w:t>
      </w:r>
      <w:r w:rsidRPr="008B4DA2">
        <w:rPr>
          <w:noProof/>
        </w:rPr>
        <w:t>yczyn prawnych, jak i ze względu na spójność. Rozważa się</w:t>
      </w:r>
      <w:r w:rsidR="00B83C93" w:rsidRPr="008B4DA2">
        <w:rPr>
          <w:noProof/>
        </w:rPr>
        <w:t xml:space="preserve"> w</w:t>
      </w:r>
      <w:r w:rsidR="00B83C93">
        <w:rPr>
          <w:noProof/>
        </w:rPr>
        <w:t> </w:t>
      </w:r>
      <w:r w:rsidR="00B83C93" w:rsidRPr="008B4DA2">
        <w:rPr>
          <w:noProof/>
        </w:rPr>
        <w:t>tym</w:t>
      </w:r>
      <w:r w:rsidRPr="008B4DA2">
        <w:rPr>
          <w:noProof/>
        </w:rPr>
        <w:t xml:space="preserve"> kontekście zniesienie ograniczeń dotyczących wykorzystywania innych baz danych. Uzyskanie dostępu do sieci RESPER na potrzeby egzekwowania przepisów będzie możliwe na warunkach określonych</w:t>
      </w:r>
      <w:r w:rsidR="00B83C93" w:rsidRPr="008B4DA2">
        <w:rPr>
          <w:noProof/>
        </w:rPr>
        <w:t xml:space="preserve"> w</w:t>
      </w:r>
      <w:r w:rsidR="00B83C93">
        <w:rPr>
          <w:noProof/>
        </w:rPr>
        <w:t> </w:t>
      </w:r>
      <w:r w:rsidR="00B83C93" w:rsidRPr="008B4DA2">
        <w:rPr>
          <w:noProof/>
        </w:rPr>
        <w:t>dyr</w:t>
      </w:r>
      <w:r w:rsidRPr="008B4DA2">
        <w:rPr>
          <w:noProof/>
        </w:rPr>
        <w:t>ektywie</w:t>
      </w:r>
      <w:r w:rsidR="00B83C93" w:rsidRPr="008B4DA2">
        <w:rPr>
          <w:noProof/>
        </w:rPr>
        <w:t xml:space="preserve"> w</w:t>
      </w:r>
      <w:r w:rsidR="00B83C93">
        <w:rPr>
          <w:noProof/>
        </w:rPr>
        <w:t> </w:t>
      </w:r>
      <w:r w:rsidR="00B83C93" w:rsidRPr="008B4DA2">
        <w:rPr>
          <w:noProof/>
        </w:rPr>
        <w:t>spr</w:t>
      </w:r>
      <w:r w:rsidRPr="008B4DA2">
        <w:rPr>
          <w:noProof/>
        </w:rPr>
        <w:t>awie praw jazdy,</w:t>
      </w:r>
      <w:r w:rsidR="00B83C93" w:rsidRPr="008B4DA2">
        <w:rPr>
          <w:noProof/>
        </w:rPr>
        <w:t xml:space="preserve"> w</w:t>
      </w:r>
      <w:r w:rsidR="00B83C93">
        <w:rPr>
          <w:noProof/>
        </w:rPr>
        <w:t> </w:t>
      </w:r>
      <w:r w:rsidR="00B83C93" w:rsidRPr="008B4DA2">
        <w:rPr>
          <w:noProof/>
        </w:rPr>
        <w:t>wyn</w:t>
      </w:r>
      <w:r w:rsidRPr="008B4DA2">
        <w:rPr>
          <w:noProof/>
        </w:rPr>
        <w:t>iku czego oczekuje się skutecznych dochodzeń dotyczących większej liczby przestępstw</w:t>
      </w:r>
      <w:r w:rsidR="00B83C93" w:rsidRPr="008B4DA2">
        <w:rPr>
          <w:noProof/>
        </w:rPr>
        <w:t xml:space="preserve"> i</w:t>
      </w:r>
      <w:r w:rsidR="00B83C93">
        <w:rPr>
          <w:noProof/>
        </w:rPr>
        <w:t> </w:t>
      </w:r>
      <w:r w:rsidR="00B83C93" w:rsidRPr="008B4DA2">
        <w:rPr>
          <w:noProof/>
        </w:rPr>
        <w:t>wyk</w:t>
      </w:r>
      <w:r w:rsidRPr="008B4DA2">
        <w:rPr>
          <w:noProof/>
        </w:rPr>
        <w:t>roczeń. Rewizja dyrektywy</w:t>
      </w:r>
      <w:r w:rsidR="00B83C93" w:rsidRPr="008B4DA2">
        <w:rPr>
          <w:noProof/>
        </w:rPr>
        <w:t xml:space="preserve"> w</w:t>
      </w:r>
      <w:r w:rsidR="00B83C93">
        <w:rPr>
          <w:noProof/>
        </w:rPr>
        <w:t> </w:t>
      </w:r>
      <w:r w:rsidR="00B83C93" w:rsidRPr="008B4DA2">
        <w:rPr>
          <w:noProof/>
        </w:rPr>
        <w:t>spr</w:t>
      </w:r>
      <w:r w:rsidRPr="008B4DA2">
        <w:rPr>
          <w:noProof/>
        </w:rPr>
        <w:t>awie praw jazdy zapewni ponadto wyjaśnienie wszystkich przypadków użycia, które wymagają dostępu do sieci RESPER</w:t>
      </w:r>
      <w:r w:rsidR="00B83C93" w:rsidRPr="008B4DA2">
        <w:rPr>
          <w:noProof/>
        </w:rPr>
        <w:t xml:space="preserve"> w</w:t>
      </w:r>
      <w:r w:rsidR="00B83C93">
        <w:rPr>
          <w:noProof/>
        </w:rPr>
        <w:t> </w:t>
      </w:r>
      <w:r w:rsidR="00B83C93" w:rsidRPr="008B4DA2">
        <w:rPr>
          <w:noProof/>
        </w:rPr>
        <w:t>kon</w:t>
      </w:r>
      <w:r w:rsidRPr="008B4DA2">
        <w:rPr>
          <w:noProof/>
        </w:rPr>
        <w:t>tekście egzekwowania prawa,</w:t>
      </w:r>
      <w:r w:rsidR="00B83C93" w:rsidRPr="008B4DA2">
        <w:rPr>
          <w:noProof/>
        </w:rPr>
        <w:t xml:space="preserve"> w</w:t>
      </w:r>
      <w:r w:rsidR="00B83C93">
        <w:rPr>
          <w:noProof/>
        </w:rPr>
        <w:t> </w:t>
      </w:r>
      <w:r w:rsidR="00B83C93" w:rsidRPr="008B4DA2">
        <w:rPr>
          <w:noProof/>
        </w:rPr>
        <w:t>cel</w:t>
      </w:r>
      <w:r w:rsidRPr="008B4DA2">
        <w:rPr>
          <w:noProof/>
        </w:rPr>
        <w:t>u całkowitego wyeliminowania niepewności prawa.</w:t>
      </w:r>
    </w:p>
    <w:p w:rsidR="00BD67F9" w:rsidRPr="008B4DA2" w:rsidRDefault="00BD67F9" w:rsidP="00BD67F9">
      <w:pPr>
        <w:rPr>
          <w:noProof/>
          <w:spacing w:val="-6"/>
        </w:rPr>
      </w:pPr>
      <w:r w:rsidRPr="008B4DA2">
        <w:rPr>
          <w:noProof/>
        </w:rPr>
        <w:t>Proponuje się ujęcie</w:t>
      </w:r>
      <w:r w:rsidR="00B83C93" w:rsidRPr="008B4DA2">
        <w:rPr>
          <w:noProof/>
        </w:rPr>
        <w:t xml:space="preserve"> w</w:t>
      </w:r>
      <w:r w:rsidR="00B83C93">
        <w:rPr>
          <w:noProof/>
        </w:rPr>
        <w:t> </w:t>
      </w:r>
      <w:r w:rsidR="00B83C93" w:rsidRPr="008B4DA2">
        <w:rPr>
          <w:noProof/>
        </w:rPr>
        <w:t>odd</w:t>
      </w:r>
      <w:r w:rsidRPr="008B4DA2">
        <w:rPr>
          <w:noProof/>
        </w:rPr>
        <w:t>zielnym akcie przepisów dotyczących ogólnounijnych skutków niektórych zakazów prowadzenia pojazdów. Obejmie on transgraniczne egzekwowanie takich decyzji, konsekwencje wydawania pozostaną natomiast przedmiotem niniejszej inicjatywy.</w:t>
      </w:r>
    </w:p>
    <w:p w:rsidR="004E50D5" w:rsidRPr="008B4DA2" w:rsidRDefault="004E50D5" w:rsidP="004E50D5">
      <w:pPr>
        <w:rPr>
          <w:noProof/>
          <w:spacing w:val="-6"/>
        </w:rPr>
      </w:pPr>
      <w:bookmarkStart w:id="1" w:name="_Hlk128042546"/>
      <w:r w:rsidRPr="008B4DA2">
        <w:rPr>
          <w:noProof/>
        </w:rPr>
        <w:t>Niniejszy wniosek jest również częścią Europejskiego Roku Umiejętności, którego celem jest promowanie uczenia się przez całe życie, wzmocnienie konkurencyjności unijnych przedsiębiorstw oraz wspieranie</w:t>
      </w:r>
      <w:r w:rsidR="00B83C93" w:rsidRPr="008B4DA2">
        <w:rPr>
          <w:noProof/>
        </w:rPr>
        <w:t xml:space="preserve"> w</w:t>
      </w:r>
      <w:r w:rsidR="00B83C93">
        <w:rPr>
          <w:noProof/>
        </w:rPr>
        <w:t> </w:t>
      </w:r>
      <w:r w:rsidR="00B83C93" w:rsidRPr="008B4DA2">
        <w:rPr>
          <w:noProof/>
        </w:rPr>
        <w:t>spo</w:t>
      </w:r>
      <w:r w:rsidRPr="008B4DA2">
        <w:rPr>
          <w:noProof/>
        </w:rPr>
        <w:t>sób sprawiedliwy społecznie transformacji ekologicznej</w:t>
      </w:r>
      <w:r w:rsidR="00B83C93" w:rsidRPr="008B4DA2">
        <w:rPr>
          <w:noProof/>
        </w:rPr>
        <w:t xml:space="preserve"> i</w:t>
      </w:r>
      <w:r w:rsidR="00B83C93">
        <w:rPr>
          <w:noProof/>
        </w:rPr>
        <w:t> </w:t>
      </w:r>
      <w:r w:rsidR="00B83C93" w:rsidRPr="008B4DA2">
        <w:rPr>
          <w:noProof/>
        </w:rPr>
        <w:t>cyf</w:t>
      </w:r>
      <w:r w:rsidRPr="008B4DA2">
        <w:rPr>
          <w:noProof/>
        </w:rPr>
        <w:t>rowej.</w:t>
      </w:r>
    </w:p>
    <w:bookmarkEnd w:id="1"/>
    <w:p w:rsidR="004E50D5" w:rsidRPr="008B4DA2" w:rsidRDefault="004E50D5" w:rsidP="00BD67F9">
      <w:pPr>
        <w:rPr>
          <w:noProof/>
          <w:spacing w:val="-6"/>
        </w:rPr>
      </w:pPr>
    </w:p>
    <w:p w:rsidR="00BD67F9" w:rsidRPr="008B4DA2" w:rsidRDefault="00BD67F9" w:rsidP="00BD67F9">
      <w:pPr>
        <w:pStyle w:val="ManualHeading2"/>
        <w:rPr>
          <w:rFonts w:eastAsia="Arial Unicode MS"/>
          <w:noProof/>
        </w:rPr>
      </w:pPr>
      <w:r w:rsidRPr="008B4DA2">
        <w:rPr>
          <w:noProof/>
          <w:bdr w:val="nil"/>
        </w:rPr>
        <w:t>•</w:t>
      </w:r>
      <w:r w:rsidRPr="008B4DA2">
        <w:rPr>
          <w:noProof/>
        </w:rPr>
        <w:tab/>
        <w:t>Spójność</w:t>
      </w:r>
      <w:r w:rsidR="00B83C93" w:rsidRPr="008B4DA2">
        <w:rPr>
          <w:noProof/>
        </w:rPr>
        <w:t xml:space="preserve"> z</w:t>
      </w:r>
      <w:r w:rsidR="00B83C93">
        <w:rPr>
          <w:noProof/>
        </w:rPr>
        <w:t> </w:t>
      </w:r>
      <w:r w:rsidR="00B83C93" w:rsidRPr="008B4DA2">
        <w:rPr>
          <w:noProof/>
        </w:rPr>
        <w:t>inn</w:t>
      </w:r>
      <w:r w:rsidRPr="008B4DA2">
        <w:rPr>
          <w:noProof/>
        </w:rPr>
        <w:t>ymi politykami Unii</w:t>
      </w:r>
    </w:p>
    <w:p w:rsidR="00BD67F9" w:rsidRPr="008B4DA2" w:rsidRDefault="00BD67F9" w:rsidP="00BD67F9">
      <w:pPr>
        <w:rPr>
          <w:rFonts w:eastAsia="Arial Unicode MS"/>
          <w:noProof/>
          <w:spacing w:val="-6"/>
          <w:bdr w:val="nil"/>
        </w:rPr>
      </w:pPr>
      <w:r w:rsidRPr="008B4DA2">
        <w:rPr>
          <w:noProof/>
          <w:bdr w:val="nil"/>
          <w14:textOutline w14:w="0" w14:cap="flat" w14:cmpd="sng" w14:algn="ctr">
            <w14:noFill/>
            <w14:prstDash w14:val="solid"/>
            <w14:bevel/>
          </w14:textOutline>
        </w:rPr>
        <w:t>Dyrektywa</w:t>
      </w:r>
      <w:r w:rsidR="00B83C93" w:rsidRPr="008B4DA2">
        <w:rPr>
          <w:noProof/>
          <w:bdr w:val="nil"/>
          <w14:textOutline w14:w="0" w14:cap="flat" w14:cmpd="sng" w14:algn="ctr">
            <w14:noFill/>
            <w14:prstDash w14:val="solid"/>
            <w14:bevel/>
          </w14:textOutline>
        </w:rPr>
        <w:t xml:space="preserve"> w</w:t>
      </w:r>
      <w:r w:rsidR="00B83C93">
        <w:rPr>
          <w:noProof/>
          <w:bdr w:val="nil"/>
          <w14:textOutline w14:w="0" w14:cap="flat" w14:cmpd="sng" w14:algn="ctr">
            <w14:noFill/>
            <w14:prstDash w14:val="solid"/>
            <w14:bevel/>
          </w14:textOutline>
        </w:rPr>
        <w:t> </w:t>
      </w:r>
      <w:r w:rsidR="00B83C93" w:rsidRPr="008B4DA2">
        <w:rPr>
          <w:noProof/>
          <w:bdr w:val="nil"/>
          <w14:textOutline w14:w="0" w14:cap="flat" w14:cmpd="sng" w14:algn="ctr">
            <w14:noFill/>
            <w14:prstDash w14:val="solid"/>
            <w14:bevel/>
          </w14:textOutline>
        </w:rPr>
        <w:t>spr</w:t>
      </w:r>
      <w:r w:rsidRPr="008B4DA2">
        <w:rPr>
          <w:noProof/>
          <w:bdr w:val="nil"/>
          <w14:textOutline w14:w="0" w14:cap="flat" w14:cmpd="sng" w14:algn="ctr">
            <w14:noFill/>
            <w14:prstDash w14:val="solid"/>
            <w14:bevel/>
          </w14:textOutline>
        </w:rPr>
        <w:t>awie praw jazdy reguluje uprawnienia do kierowania pojazdami według kategorii pojazdów. Niektóre kategorie definiuje się</w:t>
      </w:r>
      <w:r w:rsidRPr="008B4DA2">
        <w:rPr>
          <w:noProof/>
          <w:bdr w:val="nil"/>
        </w:rPr>
        <w:t xml:space="preserve"> przez odniesienie do przepisów UE:</w:t>
      </w:r>
    </w:p>
    <w:p w:rsidR="00BD67F9" w:rsidRPr="008B4DA2" w:rsidRDefault="00BD67F9" w:rsidP="00BD67F9">
      <w:pPr>
        <w:pStyle w:val="Bullet0"/>
        <w:rPr>
          <w:noProof/>
        </w:rPr>
      </w:pPr>
      <w:r w:rsidRPr="008B4DA2">
        <w:rPr>
          <w:noProof/>
          <w:bdr w:val="nil"/>
        </w:rPr>
        <w:t>dyrektywy Rady 96/53/WE ustanawiającej maksymalne dopuszczalne wymiary</w:t>
      </w:r>
      <w:r w:rsidR="00B83C93" w:rsidRPr="008B4DA2">
        <w:rPr>
          <w:noProof/>
          <w:bdr w:val="nil"/>
        </w:rPr>
        <w:t xml:space="preserve"> w</w:t>
      </w:r>
      <w:r w:rsidR="00B83C93">
        <w:rPr>
          <w:noProof/>
          <w:bdr w:val="nil"/>
        </w:rPr>
        <w:t> </w:t>
      </w:r>
      <w:r w:rsidR="00B83C93" w:rsidRPr="008B4DA2">
        <w:rPr>
          <w:noProof/>
          <w:bdr w:val="nil"/>
        </w:rPr>
        <w:t>ruc</w:t>
      </w:r>
      <w:r w:rsidRPr="008B4DA2">
        <w:rPr>
          <w:noProof/>
          <w:bdr w:val="nil"/>
        </w:rPr>
        <w:t>hu krajowym</w:t>
      </w:r>
      <w:r w:rsidR="00B83C93" w:rsidRPr="008B4DA2">
        <w:rPr>
          <w:noProof/>
          <w:bdr w:val="nil"/>
        </w:rPr>
        <w:t xml:space="preserve"> i</w:t>
      </w:r>
      <w:r w:rsidR="00B83C93">
        <w:rPr>
          <w:noProof/>
          <w:bdr w:val="nil"/>
        </w:rPr>
        <w:t> </w:t>
      </w:r>
      <w:r w:rsidR="00B83C93" w:rsidRPr="008B4DA2">
        <w:rPr>
          <w:noProof/>
          <w:bdr w:val="nil"/>
        </w:rPr>
        <w:t>mię</w:t>
      </w:r>
      <w:r w:rsidRPr="008B4DA2">
        <w:rPr>
          <w:noProof/>
          <w:bdr w:val="nil"/>
        </w:rPr>
        <w:t>dzynarodowym oraz maksymalne dopuszczalne obciążenia</w:t>
      </w:r>
      <w:r w:rsidR="00B83C93" w:rsidRPr="008B4DA2">
        <w:rPr>
          <w:noProof/>
          <w:bdr w:val="nil"/>
        </w:rPr>
        <w:t xml:space="preserve"> w</w:t>
      </w:r>
      <w:r w:rsidR="00B83C93">
        <w:rPr>
          <w:noProof/>
          <w:bdr w:val="nil"/>
        </w:rPr>
        <w:t> </w:t>
      </w:r>
      <w:r w:rsidR="00B83C93" w:rsidRPr="008B4DA2">
        <w:rPr>
          <w:noProof/>
          <w:bdr w:val="nil"/>
        </w:rPr>
        <w:t>ruc</w:t>
      </w:r>
      <w:r w:rsidRPr="008B4DA2">
        <w:rPr>
          <w:noProof/>
          <w:bdr w:val="nil"/>
        </w:rPr>
        <w:t>hu międzynarodowym</w:t>
      </w:r>
      <w:r w:rsidRPr="008B4DA2">
        <w:rPr>
          <w:rStyle w:val="FootnoteReference"/>
          <w:noProof/>
        </w:rPr>
        <w:footnoteReference w:id="31"/>
      </w:r>
      <w:r w:rsidRPr="008B4DA2">
        <w:rPr>
          <w:noProof/>
          <w:bdr w:val="nil"/>
        </w:rPr>
        <w:t>, umożliwiającej ustalenie typów pojazdów napędzanych paliwem alternatywnym;</w:t>
      </w:r>
    </w:p>
    <w:p w:rsidR="00BD67F9" w:rsidRPr="008B4DA2" w:rsidRDefault="00BD67F9" w:rsidP="00BD67F9">
      <w:pPr>
        <w:pStyle w:val="Bullet0"/>
        <w:rPr>
          <w:noProof/>
        </w:rPr>
      </w:pPr>
      <w:r w:rsidRPr="008B4DA2">
        <w:rPr>
          <w:noProof/>
          <w:bdr w:val="nil"/>
        </w:rPr>
        <w:t xml:space="preserve">rozporządzenia (UE) </w:t>
      </w:r>
      <w:r w:rsidRPr="00B83C93">
        <w:rPr>
          <w:noProof/>
          <w:bdr w:val="nil"/>
        </w:rPr>
        <w:t>nr</w:t>
      </w:r>
      <w:r w:rsidR="00B83C93" w:rsidRPr="00B83C93">
        <w:rPr>
          <w:noProof/>
          <w:bdr w:val="nil"/>
        </w:rPr>
        <w:t> </w:t>
      </w:r>
      <w:r w:rsidRPr="00B83C93">
        <w:rPr>
          <w:noProof/>
          <w:bdr w:val="nil"/>
        </w:rPr>
        <w:t>1</w:t>
      </w:r>
      <w:r w:rsidRPr="008B4DA2">
        <w:rPr>
          <w:noProof/>
          <w:bdr w:val="nil"/>
        </w:rPr>
        <w:t>68/2013</w:t>
      </w:r>
      <w:r w:rsidR="00B83C93" w:rsidRPr="008B4DA2">
        <w:rPr>
          <w:noProof/>
          <w:bdr w:val="nil"/>
        </w:rPr>
        <w:t xml:space="preserve"> w</w:t>
      </w:r>
      <w:r w:rsidR="00B83C93">
        <w:rPr>
          <w:noProof/>
          <w:bdr w:val="nil"/>
        </w:rPr>
        <w:t> </w:t>
      </w:r>
      <w:r w:rsidR="00B83C93" w:rsidRPr="008B4DA2">
        <w:rPr>
          <w:noProof/>
          <w:bdr w:val="nil"/>
        </w:rPr>
        <w:t>spr</w:t>
      </w:r>
      <w:r w:rsidRPr="008B4DA2">
        <w:rPr>
          <w:noProof/>
          <w:bdr w:val="nil"/>
        </w:rPr>
        <w:t>awie homologacji</w:t>
      </w:r>
      <w:r w:rsidR="00B83C93" w:rsidRPr="008B4DA2">
        <w:rPr>
          <w:noProof/>
          <w:bdr w:val="nil"/>
        </w:rPr>
        <w:t xml:space="preserve"> i</w:t>
      </w:r>
      <w:r w:rsidR="00B83C93">
        <w:rPr>
          <w:noProof/>
          <w:bdr w:val="nil"/>
        </w:rPr>
        <w:t> </w:t>
      </w:r>
      <w:r w:rsidR="00B83C93" w:rsidRPr="008B4DA2">
        <w:rPr>
          <w:noProof/>
          <w:bdr w:val="nil"/>
        </w:rPr>
        <w:t>nad</w:t>
      </w:r>
      <w:r w:rsidRPr="008B4DA2">
        <w:rPr>
          <w:noProof/>
          <w:bdr w:val="nil"/>
        </w:rPr>
        <w:t>zoru rynku pojazdów dwu- lub trzykołowych oraz czterokołowców</w:t>
      </w:r>
      <w:r w:rsidRPr="008B4DA2">
        <w:rPr>
          <w:rStyle w:val="FootnoteReference"/>
          <w:noProof/>
        </w:rPr>
        <w:footnoteReference w:id="32"/>
      </w:r>
      <w:r w:rsidRPr="008B4DA2">
        <w:rPr>
          <w:noProof/>
          <w:bdr w:val="nil"/>
        </w:rPr>
        <w:t>, umożliwiającego ustalenie typów motorowerów, motocykli, trzykołowych pojazdów silnikowych</w:t>
      </w:r>
      <w:r w:rsidR="00B83C93" w:rsidRPr="008B4DA2">
        <w:rPr>
          <w:noProof/>
          <w:bdr w:val="nil"/>
        </w:rPr>
        <w:t xml:space="preserve"> i</w:t>
      </w:r>
      <w:r w:rsidR="00B83C93">
        <w:rPr>
          <w:noProof/>
          <w:bdr w:val="nil"/>
        </w:rPr>
        <w:t> </w:t>
      </w:r>
      <w:r w:rsidR="00B83C93" w:rsidRPr="008B4DA2">
        <w:rPr>
          <w:noProof/>
          <w:bdr w:val="nil"/>
        </w:rPr>
        <w:t>czt</w:t>
      </w:r>
      <w:r w:rsidRPr="008B4DA2">
        <w:rPr>
          <w:noProof/>
          <w:bdr w:val="nil"/>
        </w:rPr>
        <w:t>erokołowców.</w:t>
      </w:r>
    </w:p>
    <w:p w:rsidR="00BD67F9" w:rsidRPr="008B4DA2" w:rsidRDefault="00BD67F9" w:rsidP="00BD67F9">
      <w:pPr>
        <w:autoSpaceDE w:val="0"/>
        <w:autoSpaceDN w:val="0"/>
        <w:spacing w:after="0"/>
        <w:rPr>
          <w:noProof/>
        </w:rPr>
      </w:pPr>
      <w:r w:rsidRPr="008B4DA2">
        <w:rPr>
          <w:noProof/>
        </w:rPr>
        <w:t>W niniejszej dyrektywie określa się dolne granice wieku warunkujące możliwość uzyskania prawa jazdy przez przyszłych kierowców zawodowych, którzy podlegają dyrektywie Parlamentu Europejskiego</w:t>
      </w:r>
      <w:r w:rsidR="00B83C93" w:rsidRPr="008B4DA2">
        <w:rPr>
          <w:noProof/>
        </w:rPr>
        <w:t xml:space="preserve"> i</w:t>
      </w:r>
      <w:r w:rsidR="00B83C93">
        <w:rPr>
          <w:noProof/>
        </w:rPr>
        <w:t> </w:t>
      </w:r>
      <w:r w:rsidR="00B83C93" w:rsidRPr="008B4DA2">
        <w:rPr>
          <w:noProof/>
        </w:rPr>
        <w:t>Rad</w:t>
      </w:r>
      <w:r w:rsidRPr="008B4DA2">
        <w:rPr>
          <w:noProof/>
        </w:rPr>
        <w:t>y (UE) 2022/2561</w:t>
      </w:r>
      <w:r w:rsidR="00B83C93" w:rsidRPr="008B4DA2">
        <w:rPr>
          <w:noProof/>
        </w:rPr>
        <w:t xml:space="preserve"> z</w:t>
      </w:r>
      <w:r w:rsidR="00B83C93">
        <w:rPr>
          <w:noProof/>
        </w:rPr>
        <w:t> </w:t>
      </w:r>
      <w:r w:rsidR="00B83C93" w:rsidRPr="008B4DA2">
        <w:rPr>
          <w:noProof/>
        </w:rPr>
        <w:t>dni</w:t>
      </w:r>
      <w:r w:rsidRPr="008B4DA2">
        <w:rPr>
          <w:noProof/>
        </w:rPr>
        <w:t>a 14 grudnia 20</w:t>
      </w:r>
      <w:r w:rsidRPr="00B83C93">
        <w:rPr>
          <w:noProof/>
        </w:rPr>
        <w:t>22</w:t>
      </w:r>
      <w:r w:rsidR="00B83C93" w:rsidRPr="00B83C93">
        <w:rPr>
          <w:noProof/>
        </w:rPr>
        <w:t> </w:t>
      </w:r>
      <w:r w:rsidRPr="00B83C93">
        <w:rPr>
          <w:noProof/>
        </w:rPr>
        <w:t>r.</w:t>
      </w:r>
      <w:r w:rsidR="00B83C93" w:rsidRPr="008B4DA2">
        <w:rPr>
          <w:noProof/>
        </w:rPr>
        <w:t xml:space="preserve"> w</w:t>
      </w:r>
      <w:r w:rsidR="00B83C93">
        <w:rPr>
          <w:noProof/>
        </w:rPr>
        <w:t> </w:t>
      </w:r>
      <w:r w:rsidR="00B83C93" w:rsidRPr="008B4DA2">
        <w:rPr>
          <w:noProof/>
        </w:rPr>
        <w:t>spr</w:t>
      </w:r>
      <w:r w:rsidRPr="008B4DA2">
        <w:rPr>
          <w:noProof/>
        </w:rPr>
        <w:t>awie wstępnej kwalifikacji</w:t>
      </w:r>
      <w:r w:rsidR="00B83C93" w:rsidRPr="008B4DA2">
        <w:rPr>
          <w:noProof/>
        </w:rPr>
        <w:t xml:space="preserve"> i</w:t>
      </w:r>
      <w:r w:rsidR="00B83C93">
        <w:rPr>
          <w:noProof/>
        </w:rPr>
        <w:t> </w:t>
      </w:r>
      <w:r w:rsidR="00B83C93" w:rsidRPr="008B4DA2">
        <w:rPr>
          <w:noProof/>
        </w:rPr>
        <w:t>okr</w:t>
      </w:r>
      <w:r w:rsidRPr="008B4DA2">
        <w:rPr>
          <w:noProof/>
        </w:rPr>
        <w:t>esowego szkolenia kierowców niektórych pojazdów drogowych do przewozu rzeczy lub osób</w:t>
      </w:r>
      <w:r w:rsidRPr="008B4DA2">
        <w:rPr>
          <w:rStyle w:val="FootnoteReference"/>
          <w:noProof/>
        </w:rPr>
        <w:footnoteReference w:id="33"/>
      </w:r>
      <w:r w:rsidRPr="008B4DA2">
        <w:rPr>
          <w:noProof/>
        </w:rPr>
        <w:t xml:space="preserve">. </w:t>
      </w:r>
    </w:p>
    <w:p w:rsidR="00BD67F9" w:rsidRPr="008B4DA2" w:rsidRDefault="00BD67F9" w:rsidP="006414FE">
      <w:pPr>
        <w:rPr>
          <w:noProof/>
          <w:spacing w:val="-6"/>
        </w:rPr>
      </w:pPr>
      <w:r w:rsidRPr="008B4DA2">
        <w:rPr>
          <w:noProof/>
        </w:rPr>
        <w:t>Ponadto do wymiany informacji dotyczących praw jazdy mają zastosowanie również przepisy dotyczące ochrony danych osobowych –</w:t>
      </w:r>
      <w:r w:rsidR="00B83C93" w:rsidRPr="008B4DA2">
        <w:rPr>
          <w:noProof/>
        </w:rPr>
        <w:t xml:space="preserve"> w</w:t>
      </w:r>
      <w:r w:rsidR="00B83C93">
        <w:rPr>
          <w:noProof/>
        </w:rPr>
        <w:t> </w:t>
      </w:r>
      <w:r w:rsidR="00B83C93" w:rsidRPr="008B4DA2">
        <w:rPr>
          <w:noProof/>
        </w:rPr>
        <w:t>szc</w:t>
      </w:r>
      <w:r w:rsidRPr="008B4DA2">
        <w:rPr>
          <w:noProof/>
        </w:rPr>
        <w:t>zególności rozporządzenie (UE) 2016/679</w:t>
      </w:r>
      <w:r w:rsidR="00B83C93" w:rsidRPr="008B4DA2">
        <w:rPr>
          <w:noProof/>
        </w:rPr>
        <w:t xml:space="preserve"> w</w:t>
      </w:r>
      <w:r w:rsidR="00B83C93">
        <w:rPr>
          <w:noProof/>
        </w:rPr>
        <w:t> </w:t>
      </w:r>
      <w:r w:rsidR="00B83C93" w:rsidRPr="008B4DA2">
        <w:rPr>
          <w:noProof/>
        </w:rPr>
        <w:t>spr</w:t>
      </w:r>
      <w:r w:rsidRPr="008B4DA2">
        <w:rPr>
          <w:noProof/>
        </w:rPr>
        <w:t>awie ochrony osób fizycznych</w:t>
      </w:r>
      <w:r w:rsidR="00B83C93" w:rsidRPr="008B4DA2">
        <w:rPr>
          <w:noProof/>
        </w:rPr>
        <w:t xml:space="preserve"> w</w:t>
      </w:r>
      <w:r w:rsidR="00B83C93">
        <w:rPr>
          <w:noProof/>
        </w:rPr>
        <w:t> </w:t>
      </w:r>
      <w:r w:rsidR="00B83C93" w:rsidRPr="008B4DA2">
        <w:rPr>
          <w:noProof/>
        </w:rPr>
        <w:t>zwi</w:t>
      </w:r>
      <w:r w:rsidRPr="008B4DA2">
        <w:rPr>
          <w:noProof/>
        </w:rPr>
        <w:t>ązku</w:t>
      </w:r>
      <w:r w:rsidR="00B83C93" w:rsidRPr="008B4DA2">
        <w:rPr>
          <w:noProof/>
        </w:rPr>
        <w:t xml:space="preserve"> z</w:t>
      </w:r>
      <w:r w:rsidR="00B83C93">
        <w:rPr>
          <w:noProof/>
        </w:rPr>
        <w:t> </w:t>
      </w:r>
      <w:r w:rsidR="00B83C93" w:rsidRPr="008B4DA2">
        <w:rPr>
          <w:noProof/>
        </w:rPr>
        <w:t>prz</w:t>
      </w:r>
      <w:r w:rsidRPr="008B4DA2">
        <w:rPr>
          <w:noProof/>
        </w:rPr>
        <w:t>etwarzaniem danych osobowych</w:t>
      </w:r>
      <w:r w:rsidR="00B83C93" w:rsidRPr="008B4DA2">
        <w:rPr>
          <w:noProof/>
        </w:rPr>
        <w:t xml:space="preserve"> i</w:t>
      </w:r>
      <w:r w:rsidR="00B83C93">
        <w:rPr>
          <w:noProof/>
        </w:rPr>
        <w:t> </w:t>
      </w:r>
      <w:r w:rsidR="00B83C93" w:rsidRPr="008B4DA2">
        <w:rPr>
          <w:noProof/>
        </w:rPr>
        <w:t>w</w:t>
      </w:r>
      <w:r w:rsidR="00B83C93">
        <w:rPr>
          <w:noProof/>
        </w:rPr>
        <w:t> </w:t>
      </w:r>
      <w:r w:rsidR="00B83C93" w:rsidRPr="008B4DA2">
        <w:rPr>
          <w:noProof/>
        </w:rPr>
        <w:t>spr</w:t>
      </w:r>
      <w:r w:rsidRPr="008B4DA2">
        <w:rPr>
          <w:noProof/>
        </w:rPr>
        <w:t>awie swobodnego przepływu takich danych (ogólne rozporządzenie</w:t>
      </w:r>
      <w:r w:rsidR="00B83C93" w:rsidRPr="008B4DA2">
        <w:rPr>
          <w:noProof/>
        </w:rPr>
        <w:t xml:space="preserve"> o</w:t>
      </w:r>
      <w:r w:rsidR="00B83C93">
        <w:rPr>
          <w:noProof/>
        </w:rPr>
        <w:t> </w:t>
      </w:r>
      <w:r w:rsidR="00B83C93" w:rsidRPr="008B4DA2">
        <w:rPr>
          <w:noProof/>
        </w:rPr>
        <w:t>och</w:t>
      </w:r>
      <w:r w:rsidRPr="008B4DA2">
        <w:rPr>
          <w:noProof/>
        </w:rPr>
        <w:t>ronie danych)</w:t>
      </w:r>
      <w:r w:rsidRPr="008B4DA2">
        <w:rPr>
          <w:rStyle w:val="FootnoteReference"/>
          <w:noProof/>
        </w:rPr>
        <w:footnoteReference w:id="34"/>
      </w:r>
      <w:r w:rsidRPr="008B4DA2">
        <w:rPr>
          <w:noProof/>
        </w:rPr>
        <w:t>.</w:t>
      </w:r>
    </w:p>
    <w:p w:rsidR="00BD67F9" w:rsidRPr="008B4DA2" w:rsidRDefault="00BD67F9" w:rsidP="00BD67F9">
      <w:pPr>
        <w:rPr>
          <w:noProof/>
        </w:rPr>
      </w:pPr>
      <w:r w:rsidRPr="008B4DA2">
        <w:rPr>
          <w:noProof/>
        </w:rPr>
        <w:t>Komisja przyjęła 3 czerwca 20</w:t>
      </w:r>
      <w:r w:rsidRPr="00B83C93">
        <w:rPr>
          <w:noProof/>
        </w:rPr>
        <w:t>21</w:t>
      </w:r>
      <w:r w:rsidR="00B83C93" w:rsidRPr="00B83C93">
        <w:rPr>
          <w:noProof/>
        </w:rPr>
        <w:t> </w:t>
      </w:r>
      <w:r w:rsidRPr="00B83C93">
        <w:rPr>
          <w:noProof/>
        </w:rPr>
        <w:t>r.</w:t>
      </w:r>
      <w:r w:rsidRPr="008B4DA2">
        <w:rPr>
          <w:noProof/>
        </w:rPr>
        <w:t xml:space="preserve"> wniosek</w:t>
      </w:r>
      <w:r w:rsidRPr="008B4DA2">
        <w:rPr>
          <w:rStyle w:val="FootnoteReference"/>
          <w:noProof/>
        </w:rPr>
        <w:footnoteReference w:id="35"/>
      </w:r>
      <w:r w:rsidRPr="008B4DA2">
        <w:rPr>
          <w:noProof/>
        </w:rPr>
        <w:t xml:space="preserve"> dotyczący zmiany rozporządzenia (UE) </w:t>
      </w:r>
      <w:r w:rsidRPr="00B83C93">
        <w:rPr>
          <w:noProof/>
        </w:rPr>
        <w:t>nr</w:t>
      </w:r>
      <w:r w:rsidR="00B83C93" w:rsidRPr="00B83C93">
        <w:rPr>
          <w:noProof/>
        </w:rPr>
        <w:t> </w:t>
      </w:r>
      <w:r w:rsidRPr="00B83C93">
        <w:rPr>
          <w:noProof/>
        </w:rPr>
        <w:t>9</w:t>
      </w:r>
      <w:r w:rsidRPr="008B4DA2">
        <w:rPr>
          <w:noProof/>
        </w:rPr>
        <w:t>10/2014</w:t>
      </w:r>
      <w:r w:rsidRPr="008B4DA2">
        <w:rPr>
          <w:rStyle w:val="FootnoteReference"/>
          <w:noProof/>
        </w:rPr>
        <w:footnoteReference w:id="36"/>
      </w:r>
      <w:r w:rsidR="00B83C93" w:rsidRPr="008B4DA2">
        <w:rPr>
          <w:noProof/>
        </w:rPr>
        <w:t xml:space="preserve"> w</w:t>
      </w:r>
      <w:r w:rsidR="00B83C93">
        <w:rPr>
          <w:noProof/>
        </w:rPr>
        <w:t> </w:t>
      </w:r>
      <w:r w:rsidR="00B83C93" w:rsidRPr="008B4DA2">
        <w:rPr>
          <w:noProof/>
        </w:rPr>
        <w:t>odn</w:t>
      </w:r>
      <w:r w:rsidRPr="008B4DA2">
        <w:rPr>
          <w:noProof/>
        </w:rPr>
        <w:t>iesieniu do ustanowienia europejskich ram tożsamości cyfrowej. Te nowe ramy zawierają moduły istotne dla mobilnych praw jazdy</w:t>
      </w:r>
      <w:r w:rsidR="00B83C93" w:rsidRPr="008B4DA2">
        <w:rPr>
          <w:noProof/>
        </w:rPr>
        <w:t>. W</w:t>
      </w:r>
      <w:r w:rsidR="00B83C93">
        <w:rPr>
          <w:noProof/>
        </w:rPr>
        <w:t> </w:t>
      </w:r>
      <w:r w:rsidR="00B83C93" w:rsidRPr="008B4DA2">
        <w:rPr>
          <w:noProof/>
        </w:rPr>
        <w:t>szc</w:t>
      </w:r>
      <w:r w:rsidRPr="008B4DA2">
        <w:rPr>
          <w:noProof/>
        </w:rPr>
        <w:t>zególności funkcje tożsamości elektronicznej oraz – potencjalnie – funkcje cyfrowego portfela można wykorzystać na potrzeby opracowania interoperacyjnego rozwiązania dla mobilnych praw jazdy UE.</w:t>
      </w:r>
    </w:p>
    <w:p w:rsidR="00BD67F9" w:rsidRPr="008B4DA2" w:rsidRDefault="00BD67F9" w:rsidP="00BD67F9">
      <w:pPr>
        <w:rPr>
          <w:noProof/>
        </w:rPr>
      </w:pPr>
      <w:r w:rsidRPr="008B4DA2">
        <w:rPr>
          <w:noProof/>
        </w:rPr>
        <w:t>Niniejszy wniosek jest zgodny</w:t>
      </w:r>
      <w:r w:rsidR="00B83C93" w:rsidRPr="008B4DA2">
        <w:rPr>
          <w:noProof/>
        </w:rPr>
        <w:t xml:space="preserve"> z</w:t>
      </w:r>
      <w:r w:rsidR="00B83C93">
        <w:rPr>
          <w:noProof/>
        </w:rPr>
        <w:t> </w:t>
      </w:r>
      <w:r w:rsidR="00B83C93" w:rsidRPr="008B4DA2">
        <w:rPr>
          <w:noProof/>
        </w:rPr>
        <w:t>cel</w:t>
      </w:r>
      <w:r w:rsidRPr="008B4DA2">
        <w:rPr>
          <w:noProof/>
        </w:rPr>
        <w:t>em UE</w:t>
      </w:r>
      <w:r w:rsidR="00B83C93" w:rsidRPr="008B4DA2">
        <w:rPr>
          <w:noProof/>
        </w:rPr>
        <w:t xml:space="preserve"> w</w:t>
      </w:r>
      <w:r w:rsidR="00B83C93">
        <w:rPr>
          <w:noProof/>
        </w:rPr>
        <w:t> </w:t>
      </w:r>
      <w:r w:rsidR="00B83C93" w:rsidRPr="008B4DA2">
        <w:rPr>
          <w:noProof/>
        </w:rPr>
        <w:t>zak</w:t>
      </w:r>
      <w:r w:rsidRPr="008B4DA2">
        <w:rPr>
          <w:noProof/>
        </w:rPr>
        <w:t xml:space="preserve">resie neutralności klimatycznej </w:t>
      </w:r>
      <w:r w:rsidRPr="00B83C93">
        <w:rPr>
          <w:noProof/>
        </w:rPr>
        <w:t>do</w:t>
      </w:r>
      <w:r w:rsidR="00B83C93" w:rsidRPr="00B83C93">
        <w:rPr>
          <w:noProof/>
        </w:rPr>
        <w:t> </w:t>
      </w:r>
      <w:r w:rsidRPr="00B83C93">
        <w:rPr>
          <w:noProof/>
        </w:rPr>
        <w:t>2</w:t>
      </w:r>
      <w:r w:rsidRPr="008B4DA2">
        <w:rPr>
          <w:noProof/>
        </w:rPr>
        <w:t>0</w:t>
      </w:r>
      <w:r w:rsidRPr="00B83C93">
        <w:rPr>
          <w:noProof/>
        </w:rPr>
        <w:t>50</w:t>
      </w:r>
      <w:r w:rsidR="00B83C93" w:rsidRPr="00B83C93">
        <w:rPr>
          <w:noProof/>
        </w:rPr>
        <w:t> </w:t>
      </w:r>
      <w:r w:rsidRPr="00B83C93">
        <w:rPr>
          <w:noProof/>
        </w:rPr>
        <w:t>r.</w:t>
      </w:r>
      <w:r w:rsidRPr="008B4DA2">
        <w:rPr>
          <w:noProof/>
        </w:rPr>
        <w:t>, określonym</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2</w:t>
      </w:r>
      <w:r w:rsidRPr="008B4DA2">
        <w:rPr>
          <w:noProof/>
        </w:rPr>
        <w:t xml:space="preserve"> </w:t>
      </w:r>
      <w:r w:rsidRPr="00B83C93">
        <w:rPr>
          <w:noProof/>
        </w:rPr>
        <w:t>ust.</w:t>
      </w:r>
      <w:r w:rsidR="00B83C93" w:rsidRPr="00B83C93">
        <w:rPr>
          <w:noProof/>
        </w:rPr>
        <w:t> </w:t>
      </w:r>
      <w:r w:rsidRPr="00B83C93">
        <w:rPr>
          <w:noProof/>
        </w:rPr>
        <w:t>1</w:t>
      </w:r>
      <w:r w:rsidRPr="008B4DA2">
        <w:rPr>
          <w:noProof/>
        </w:rPr>
        <w:t xml:space="preserve"> rozporządzenia Parlamentu Europejskiego</w:t>
      </w:r>
      <w:r w:rsidR="00B83C93" w:rsidRPr="008B4DA2">
        <w:rPr>
          <w:noProof/>
        </w:rPr>
        <w:t xml:space="preserve"> i</w:t>
      </w:r>
      <w:r w:rsidR="00B83C93">
        <w:rPr>
          <w:noProof/>
        </w:rPr>
        <w:t> </w:t>
      </w:r>
      <w:r w:rsidR="00B83C93" w:rsidRPr="008B4DA2">
        <w:rPr>
          <w:noProof/>
        </w:rPr>
        <w:t>Rad</w:t>
      </w:r>
      <w:r w:rsidRPr="008B4DA2">
        <w:rPr>
          <w:noProof/>
        </w:rPr>
        <w:t>y (UE) 2021/1119,</w:t>
      </w:r>
      <w:r w:rsidR="00B83C93" w:rsidRPr="008B4DA2">
        <w:rPr>
          <w:noProof/>
        </w:rPr>
        <w:t xml:space="preserve"> w</w:t>
      </w:r>
      <w:r w:rsidR="00B83C93">
        <w:rPr>
          <w:noProof/>
        </w:rPr>
        <w:t> </w:t>
      </w:r>
      <w:r w:rsidR="00B83C93" w:rsidRPr="008B4DA2">
        <w:rPr>
          <w:noProof/>
        </w:rPr>
        <w:t>któ</w:t>
      </w:r>
      <w:r w:rsidRPr="008B4DA2">
        <w:rPr>
          <w:noProof/>
        </w:rPr>
        <w:t>rym ustanawia się unijne ramy na potrzeby osiągnięcia neutralności klimatycznej,</w:t>
      </w:r>
      <w:r w:rsidR="00B83C93" w:rsidRPr="008B4DA2">
        <w:rPr>
          <w:noProof/>
        </w:rPr>
        <w:t xml:space="preserve"> i</w:t>
      </w:r>
      <w:r w:rsidR="00B83C93">
        <w:rPr>
          <w:noProof/>
        </w:rPr>
        <w:t> </w:t>
      </w:r>
      <w:r w:rsidR="00B83C93" w:rsidRPr="008B4DA2">
        <w:rPr>
          <w:noProof/>
        </w:rPr>
        <w:t>prz</w:t>
      </w:r>
      <w:r w:rsidRPr="008B4DA2">
        <w:rPr>
          <w:noProof/>
        </w:rPr>
        <w:t xml:space="preserve">yczynia się do jego realizacji. </w:t>
      </w:r>
    </w:p>
    <w:p w:rsidR="00BD67F9" w:rsidRPr="008B4DA2" w:rsidRDefault="00BD67F9" w:rsidP="00BD67F9">
      <w:pPr>
        <w:pStyle w:val="ManualHeading1"/>
        <w:rPr>
          <w:noProof/>
        </w:rPr>
      </w:pPr>
      <w:r w:rsidRPr="008B4DA2">
        <w:rPr>
          <w:noProof/>
        </w:rPr>
        <w:t>2.</w:t>
      </w:r>
      <w:r w:rsidRPr="008B4DA2">
        <w:rPr>
          <w:noProof/>
        </w:rPr>
        <w:tab/>
        <w:t>PODSTAWA PRAWNA, POMOCNICZOŚĆ I PROPORCJONALNOŚĆ</w:t>
      </w:r>
    </w:p>
    <w:p w:rsidR="00BD67F9" w:rsidRPr="008B4DA2" w:rsidRDefault="00BD67F9" w:rsidP="00BD67F9">
      <w:pPr>
        <w:pStyle w:val="ManualHeading2"/>
        <w:rPr>
          <w:rFonts w:eastAsia="Arial Unicode MS"/>
          <w:noProof/>
          <w:bdr w:val="nil"/>
        </w:rPr>
      </w:pPr>
      <w:r w:rsidRPr="008B4DA2">
        <w:rPr>
          <w:noProof/>
          <w:bdr w:val="nil"/>
        </w:rPr>
        <w:t>•</w:t>
      </w:r>
      <w:r w:rsidRPr="008B4DA2">
        <w:rPr>
          <w:noProof/>
        </w:rPr>
        <w:tab/>
      </w:r>
      <w:r w:rsidRPr="008B4DA2">
        <w:rPr>
          <w:noProof/>
          <w:bdr w:val="nil"/>
        </w:rPr>
        <w:t>Podstawa prawna</w:t>
      </w:r>
    </w:p>
    <w:p w:rsidR="00BD67F9" w:rsidRPr="008B4DA2" w:rsidRDefault="00BD67F9" w:rsidP="00BD67F9">
      <w:pPr>
        <w:spacing w:after="240"/>
        <w:rPr>
          <w:rFonts w:eastAsia="Arial Unicode MS"/>
          <w:noProof/>
        </w:rPr>
      </w:pPr>
      <w:r w:rsidRPr="008B4DA2">
        <w:rPr>
          <w:noProof/>
        </w:rPr>
        <w:t xml:space="preserve">Podstawę prawną niniejszego wniosku stanowi </w:t>
      </w:r>
      <w:r w:rsidRPr="00B83C93">
        <w:rPr>
          <w:noProof/>
        </w:rPr>
        <w:t>art.</w:t>
      </w:r>
      <w:r w:rsidR="00B83C93" w:rsidRPr="00B83C93">
        <w:rPr>
          <w:noProof/>
        </w:rPr>
        <w:t> </w:t>
      </w:r>
      <w:r w:rsidRPr="00B83C93">
        <w:rPr>
          <w:noProof/>
        </w:rPr>
        <w:t>9</w:t>
      </w:r>
      <w:r w:rsidRPr="008B4DA2">
        <w:rPr>
          <w:noProof/>
        </w:rPr>
        <w:t xml:space="preserve">1 </w:t>
      </w:r>
      <w:r w:rsidRPr="00B83C93">
        <w:rPr>
          <w:noProof/>
        </w:rPr>
        <w:t>ust.</w:t>
      </w:r>
      <w:r w:rsidR="00B83C93" w:rsidRPr="00B83C93">
        <w:rPr>
          <w:noProof/>
        </w:rPr>
        <w:t> </w:t>
      </w:r>
      <w:r w:rsidRPr="00B83C93">
        <w:rPr>
          <w:noProof/>
        </w:rPr>
        <w:t>1</w:t>
      </w:r>
      <w:r w:rsidRPr="008B4DA2">
        <w:rPr>
          <w:noProof/>
        </w:rPr>
        <w:t xml:space="preserve"> Traktatu</w:t>
      </w:r>
      <w:r w:rsidR="00B83C93" w:rsidRPr="008B4DA2">
        <w:rPr>
          <w:noProof/>
        </w:rPr>
        <w:t xml:space="preserve"> o</w:t>
      </w:r>
      <w:r w:rsidR="00B83C93">
        <w:rPr>
          <w:noProof/>
        </w:rPr>
        <w:t> </w:t>
      </w:r>
      <w:r w:rsidR="00B83C93" w:rsidRPr="008B4DA2">
        <w:rPr>
          <w:noProof/>
        </w:rPr>
        <w:t>fun</w:t>
      </w:r>
      <w:r w:rsidRPr="008B4DA2">
        <w:rPr>
          <w:noProof/>
        </w:rPr>
        <w:t>kcjonowaniu Unii Europejskiej (TFUE)</w:t>
      </w:r>
      <w:r w:rsidRPr="008B4DA2">
        <w:rPr>
          <w:rStyle w:val="FootnoteReference"/>
          <w:noProof/>
        </w:rPr>
        <w:footnoteReference w:id="37"/>
      </w:r>
      <w:r w:rsidRPr="008B4DA2">
        <w:rPr>
          <w:noProof/>
        </w:rPr>
        <w:t xml:space="preserve">. Art. 91 </w:t>
      </w:r>
      <w:r w:rsidRPr="00B83C93">
        <w:rPr>
          <w:noProof/>
        </w:rPr>
        <w:t>ust.</w:t>
      </w:r>
      <w:r w:rsidR="00B83C93" w:rsidRPr="00B83C93">
        <w:rPr>
          <w:noProof/>
        </w:rPr>
        <w:t> </w:t>
      </w:r>
      <w:r w:rsidRPr="00B83C93">
        <w:rPr>
          <w:noProof/>
        </w:rPr>
        <w:t>1</w:t>
      </w:r>
      <w:r w:rsidRPr="008B4DA2">
        <w:rPr>
          <w:noProof/>
        </w:rPr>
        <w:t xml:space="preserve"> </w:t>
      </w:r>
      <w:r w:rsidRPr="00B83C93">
        <w:rPr>
          <w:noProof/>
        </w:rPr>
        <w:t>lit.</w:t>
      </w:r>
      <w:r w:rsidR="00B83C93" w:rsidRPr="00B83C93">
        <w:rPr>
          <w:noProof/>
        </w:rPr>
        <w:t> </w:t>
      </w:r>
      <w:r w:rsidRPr="00B83C93">
        <w:rPr>
          <w:noProof/>
        </w:rPr>
        <w:t>c)</w:t>
      </w:r>
      <w:r w:rsidRPr="008B4DA2">
        <w:rPr>
          <w:noProof/>
        </w:rPr>
        <w:t xml:space="preserve"> TFUE stanowi, że Unia Europejska posiada kompetencje</w:t>
      </w:r>
      <w:r w:rsidR="00B83C93" w:rsidRPr="008B4DA2">
        <w:rPr>
          <w:noProof/>
        </w:rPr>
        <w:t xml:space="preserve"> w</w:t>
      </w:r>
      <w:r w:rsidR="00B83C93">
        <w:rPr>
          <w:noProof/>
        </w:rPr>
        <w:t> </w:t>
      </w:r>
      <w:r w:rsidR="00B83C93" w:rsidRPr="008B4DA2">
        <w:rPr>
          <w:noProof/>
        </w:rPr>
        <w:t>dzi</w:t>
      </w:r>
      <w:r w:rsidRPr="008B4DA2">
        <w:rPr>
          <w:noProof/>
        </w:rPr>
        <w:t>edzinie transportu do ustanawiania środków pozwalających polepszyć bezpieczeństwo transportu,</w:t>
      </w:r>
      <w:r w:rsidR="00B83C93" w:rsidRPr="008B4DA2">
        <w:rPr>
          <w:noProof/>
        </w:rPr>
        <w:t xml:space="preserve"> w</w:t>
      </w:r>
      <w:r w:rsidR="00B83C93">
        <w:rPr>
          <w:noProof/>
        </w:rPr>
        <w:t> </w:t>
      </w:r>
      <w:r w:rsidR="00B83C93" w:rsidRPr="008B4DA2">
        <w:rPr>
          <w:noProof/>
        </w:rPr>
        <w:t>tym</w:t>
      </w:r>
      <w:r w:rsidRPr="008B4DA2">
        <w:rPr>
          <w:noProof/>
        </w:rPr>
        <w:t xml:space="preserve"> bezpieczeństwo ruchu drogowego. </w:t>
      </w:r>
    </w:p>
    <w:p w:rsidR="00BD67F9" w:rsidRPr="008B4DA2" w:rsidRDefault="00BD67F9" w:rsidP="00BD67F9">
      <w:pPr>
        <w:pStyle w:val="ManualHeading2"/>
        <w:rPr>
          <w:rFonts w:eastAsia="Arial Unicode MS"/>
          <w:noProof/>
          <w:bdr w:val="nil"/>
        </w:rPr>
      </w:pPr>
      <w:r w:rsidRPr="008B4DA2">
        <w:rPr>
          <w:noProof/>
          <w:bdr w:val="nil"/>
        </w:rPr>
        <w:t>•</w:t>
      </w:r>
      <w:r w:rsidRPr="008B4DA2">
        <w:rPr>
          <w:noProof/>
        </w:rPr>
        <w:tab/>
      </w:r>
      <w:r w:rsidRPr="008B4DA2">
        <w:rPr>
          <w:noProof/>
          <w:bdr w:val="nil"/>
        </w:rPr>
        <w:t xml:space="preserve">Pomocniczość (w przypadku kompetencji niewyłącznych) </w:t>
      </w:r>
    </w:p>
    <w:p w:rsidR="00BD67F9" w:rsidRPr="008B4DA2" w:rsidRDefault="00BD67F9" w:rsidP="00BD67F9">
      <w:pPr>
        <w:rPr>
          <w:rFonts w:eastAsia="Arial Unicode MS"/>
          <w:noProof/>
        </w:rPr>
      </w:pPr>
      <w:r w:rsidRPr="008B4DA2">
        <w:rPr>
          <w:noProof/>
        </w:rPr>
        <w:t>Unia posiada już kompetencje</w:t>
      </w:r>
      <w:r w:rsidR="00B83C93" w:rsidRPr="008B4DA2">
        <w:rPr>
          <w:noProof/>
        </w:rPr>
        <w:t xml:space="preserve"> w</w:t>
      </w:r>
      <w:r w:rsidR="00B83C93">
        <w:rPr>
          <w:noProof/>
        </w:rPr>
        <w:t> </w:t>
      </w:r>
      <w:r w:rsidR="00B83C93" w:rsidRPr="008B4DA2">
        <w:rPr>
          <w:noProof/>
        </w:rPr>
        <w:t>dzi</w:t>
      </w:r>
      <w:r w:rsidRPr="008B4DA2">
        <w:rPr>
          <w:noProof/>
        </w:rPr>
        <w:t>edzinie praw jazdy na mocy dyrektywy 2006/126/WE. Kwestie związane</w:t>
      </w:r>
      <w:r w:rsidR="00B83C93" w:rsidRPr="008B4DA2">
        <w:rPr>
          <w:noProof/>
        </w:rPr>
        <w:t xml:space="preserve"> z</w:t>
      </w:r>
      <w:r w:rsidR="00B83C93">
        <w:rPr>
          <w:noProof/>
        </w:rPr>
        <w:t> </w:t>
      </w:r>
      <w:r w:rsidR="00B83C93" w:rsidRPr="008B4DA2">
        <w:rPr>
          <w:noProof/>
        </w:rPr>
        <w:t>pra</w:t>
      </w:r>
      <w:r w:rsidRPr="008B4DA2">
        <w:rPr>
          <w:noProof/>
        </w:rPr>
        <w:t>wami jazdy mają aspekty transnarodowe, które nie mogą być uregulowane samodzielnie przez poszczególne państwa członkowskie. Chociaż dyrektywa</w:t>
      </w:r>
      <w:r w:rsidR="00B83C93" w:rsidRPr="008B4DA2">
        <w:rPr>
          <w:noProof/>
        </w:rPr>
        <w:t xml:space="preserve"> w</w:t>
      </w:r>
      <w:r w:rsidR="00B83C93">
        <w:rPr>
          <w:noProof/>
        </w:rPr>
        <w:t> </w:t>
      </w:r>
      <w:r w:rsidR="00B83C93" w:rsidRPr="008B4DA2">
        <w:rPr>
          <w:noProof/>
        </w:rPr>
        <w:t>spr</w:t>
      </w:r>
      <w:r w:rsidRPr="008B4DA2">
        <w:rPr>
          <w:noProof/>
        </w:rPr>
        <w:t>awie praw jazdy stanowi ważny etap</w:t>
      </w:r>
      <w:r w:rsidR="00B83C93" w:rsidRPr="008B4DA2">
        <w:rPr>
          <w:noProof/>
        </w:rPr>
        <w:t xml:space="preserve"> w</w:t>
      </w:r>
      <w:r w:rsidR="00B83C93">
        <w:rPr>
          <w:noProof/>
        </w:rPr>
        <w:t> </w:t>
      </w:r>
      <w:r w:rsidR="00B83C93" w:rsidRPr="008B4DA2">
        <w:rPr>
          <w:noProof/>
        </w:rPr>
        <w:t>pro</w:t>
      </w:r>
      <w:r w:rsidRPr="008B4DA2">
        <w:rPr>
          <w:noProof/>
        </w:rPr>
        <w:t>cesie harmonizacji przepisów dotyczących praw jazdy</w:t>
      </w:r>
      <w:r w:rsidR="00B83C93" w:rsidRPr="008B4DA2">
        <w:rPr>
          <w:noProof/>
        </w:rPr>
        <w:t xml:space="preserve"> i</w:t>
      </w:r>
      <w:r w:rsidR="00B83C93">
        <w:rPr>
          <w:noProof/>
        </w:rPr>
        <w:t> </w:t>
      </w:r>
      <w:r w:rsidR="00B83C93" w:rsidRPr="008B4DA2">
        <w:rPr>
          <w:noProof/>
        </w:rPr>
        <w:t>prz</w:t>
      </w:r>
      <w:r w:rsidRPr="008B4DA2">
        <w:rPr>
          <w:noProof/>
        </w:rPr>
        <w:t>yczynia się do realizacji polityk Unii, była ona dotychczas zmieniana jedenaście razy</w:t>
      </w:r>
      <w:r w:rsidR="00B83C93" w:rsidRPr="008B4DA2">
        <w:rPr>
          <w:noProof/>
        </w:rPr>
        <w:t xml:space="preserve"> w</w:t>
      </w:r>
      <w:r w:rsidR="00B83C93">
        <w:rPr>
          <w:noProof/>
        </w:rPr>
        <w:t> </w:t>
      </w:r>
      <w:r w:rsidR="00B83C93" w:rsidRPr="008B4DA2">
        <w:rPr>
          <w:noProof/>
        </w:rPr>
        <w:t>cel</w:t>
      </w:r>
      <w:r w:rsidRPr="008B4DA2">
        <w:rPr>
          <w:noProof/>
        </w:rPr>
        <w:t>u zharmonizowania wspólnych norm</w:t>
      </w:r>
      <w:r w:rsidR="00B83C93" w:rsidRPr="008B4DA2">
        <w:rPr>
          <w:noProof/>
        </w:rPr>
        <w:t xml:space="preserve"> i</w:t>
      </w:r>
      <w:r w:rsidR="00B83C93">
        <w:rPr>
          <w:noProof/>
        </w:rPr>
        <w:t> </w:t>
      </w:r>
      <w:r w:rsidR="00B83C93" w:rsidRPr="008B4DA2">
        <w:rPr>
          <w:noProof/>
        </w:rPr>
        <w:t>wym</w:t>
      </w:r>
      <w:r w:rsidRPr="008B4DA2">
        <w:rPr>
          <w:noProof/>
        </w:rPr>
        <w:t>ogów,</w:t>
      </w:r>
      <w:r w:rsidR="00B83C93" w:rsidRPr="008B4DA2">
        <w:rPr>
          <w:noProof/>
        </w:rPr>
        <w:t xml:space="preserve"> a</w:t>
      </w:r>
      <w:r w:rsidR="00B83C93">
        <w:rPr>
          <w:noProof/>
        </w:rPr>
        <w:t> </w:t>
      </w:r>
      <w:r w:rsidR="00B83C93" w:rsidRPr="008B4DA2">
        <w:rPr>
          <w:noProof/>
        </w:rPr>
        <w:t>tak</w:t>
      </w:r>
      <w:r w:rsidRPr="008B4DA2">
        <w:rPr>
          <w:noProof/>
        </w:rPr>
        <w:t>że dostosowania przepisów do postępu naukowego</w:t>
      </w:r>
      <w:r w:rsidR="00B83C93" w:rsidRPr="008B4DA2">
        <w:rPr>
          <w:noProof/>
        </w:rPr>
        <w:t xml:space="preserve"> i</w:t>
      </w:r>
      <w:r w:rsidR="00B83C93">
        <w:rPr>
          <w:noProof/>
        </w:rPr>
        <w:t> </w:t>
      </w:r>
      <w:r w:rsidR="00B83C93" w:rsidRPr="008B4DA2">
        <w:rPr>
          <w:noProof/>
        </w:rPr>
        <w:t>tec</w:t>
      </w:r>
      <w:r w:rsidRPr="008B4DA2">
        <w:rPr>
          <w:noProof/>
        </w:rPr>
        <w:t xml:space="preserve">hnicznego, który nastąpił </w:t>
      </w:r>
      <w:r w:rsidRPr="00B83C93">
        <w:rPr>
          <w:noProof/>
        </w:rPr>
        <w:t>od</w:t>
      </w:r>
      <w:r w:rsidR="00B83C93" w:rsidRPr="00B83C93">
        <w:rPr>
          <w:noProof/>
        </w:rPr>
        <w:t> </w:t>
      </w:r>
      <w:r w:rsidRPr="00B83C93">
        <w:rPr>
          <w:noProof/>
        </w:rPr>
        <w:t>2</w:t>
      </w:r>
      <w:r w:rsidRPr="008B4DA2">
        <w:rPr>
          <w:noProof/>
        </w:rPr>
        <w:t>0</w:t>
      </w:r>
      <w:r w:rsidRPr="00B83C93">
        <w:rPr>
          <w:noProof/>
        </w:rPr>
        <w:t>06</w:t>
      </w:r>
      <w:r w:rsidR="00B83C93" w:rsidRPr="00B83C93">
        <w:rPr>
          <w:noProof/>
        </w:rPr>
        <w:t> </w:t>
      </w:r>
      <w:r w:rsidRPr="00B83C93">
        <w:rPr>
          <w:noProof/>
        </w:rPr>
        <w:t>r.</w:t>
      </w:r>
      <w:r w:rsidRPr="008B4DA2">
        <w:rPr>
          <w:noProof/>
        </w:rPr>
        <w:t xml:space="preserve"> Nowe przepisy, które mają zostać wprowadzone niniejszym wnioskiem, pozostają</w:t>
      </w:r>
      <w:r w:rsidR="00B83C93" w:rsidRPr="008B4DA2">
        <w:rPr>
          <w:noProof/>
        </w:rPr>
        <w:t xml:space="preserve"> w</w:t>
      </w:r>
      <w:r w:rsidR="00B83C93">
        <w:rPr>
          <w:noProof/>
        </w:rPr>
        <w:t> </w:t>
      </w:r>
      <w:r w:rsidR="00B83C93" w:rsidRPr="008B4DA2">
        <w:rPr>
          <w:noProof/>
        </w:rPr>
        <w:t>zak</w:t>
      </w:r>
      <w:r w:rsidRPr="008B4DA2">
        <w:rPr>
          <w:noProof/>
        </w:rPr>
        <w:t>resie kompetencji przyznanych Unii</w:t>
      </w:r>
      <w:r w:rsidR="00B83C93" w:rsidRPr="008B4DA2">
        <w:rPr>
          <w:noProof/>
        </w:rPr>
        <w:t xml:space="preserve"> w</w:t>
      </w:r>
      <w:r w:rsidR="00B83C93">
        <w:rPr>
          <w:noProof/>
        </w:rPr>
        <w:t> </w:t>
      </w:r>
      <w:r w:rsidR="00B83C93" w:rsidRPr="008B4DA2">
        <w:rPr>
          <w:noProof/>
        </w:rPr>
        <w:t>dro</w:t>
      </w:r>
      <w:r w:rsidRPr="008B4DA2">
        <w:rPr>
          <w:noProof/>
        </w:rPr>
        <w:t xml:space="preserve">dze zastosowania </w:t>
      </w:r>
      <w:r w:rsidRPr="00B83C93">
        <w:rPr>
          <w:noProof/>
        </w:rPr>
        <w:t>art.</w:t>
      </w:r>
      <w:r w:rsidR="00B83C93" w:rsidRPr="00B83C93">
        <w:rPr>
          <w:noProof/>
        </w:rPr>
        <w:t> </w:t>
      </w:r>
      <w:r w:rsidRPr="00B83C93">
        <w:rPr>
          <w:noProof/>
        </w:rPr>
        <w:t>9</w:t>
      </w:r>
      <w:r w:rsidRPr="008B4DA2">
        <w:rPr>
          <w:noProof/>
        </w:rPr>
        <w:t xml:space="preserve">1 </w:t>
      </w:r>
      <w:r w:rsidRPr="00B83C93">
        <w:rPr>
          <w:noProof/>
        </w:rPr>
        <w:t>ust.</w:t>
      </w:r>
      <w:r w:rsidR="00B83C93" w:rsidRPr="00B83C93">
        <w:rPr>
          <w:noProof/>
        </w:rPr>
        <w:t> </w:t>
      </w:r>
      <w:r w:rsidRPr="00B83C93">
        <w:rPr>
          <w:noProof/>
        </w:rPr>
        <w:t>1</w:t>
      </w:r>
      <w:r w:rsidRPr="008B4DA2">
        <w:rPr>
          <w:noProof/>
        </w:rPr>
        <w:t xml:space="preserve"> TFUE, a ze względu na ich związek</w:t>
      </w:r>
      <w:r w:rsidR="00B83C93" w:rsidRPr="008B4DA2">
        <w:rPr>
          <w:noProof/>
        </w:rPr>
        <w:t xml:space="preserve"> z</w:t>
      </w:r>
      <w:r w:rsidR="00B83C93">
        <w:rPr>
          <w:noProof/>
        </w:rPr>
        <w:t> </w:t>
      </w:r>
      <w:r w:rsidR="00B83C93" w:rsidRPr="008B4DA2">
        <w:rPr>
          <w:noProof/>
        </w:rPr>
        <w:t>już</w:t>
      </w:r>
      <w:r w:rsidRPr="008B4DA2">
        <w:rPr>
          <w:noProof/>
        </w:rPr>
        <w:t xml:space="preserve"> istniejącymi ramami</w:t>
      </w:r>
      <w:r w:rsidR="00B83C93" w:rsidRPr="008B4DA2">
        <w:rPr>
          <w:noProof/>
        </w:rPr>
        <w:t xml:space="preserve"> w</w:t>
      </w:r>
      <w:r w:rsidR="00B83C93">
        <w:rPr>
          <w:noProof/>
        </w:rPr>
        <w:t> </w:t>
      </w:r>
      <w:r w:rsidR="00B83C93" w:rsidRPr="008B4DA2">
        <w:rPr>
          <w:noProof/>
        </w:rPr>
        <w:t>zak</w:t>
      </w:r>
      <w:r w:rsidRPr="008B4DA2">
        <w:rPr>
          <w:noProof/>
        </w:rPr>
        <w:t>resie praw jazdy, mogą być osiągnięte</w:t>
      </w:r>
      <w:r w:rsidR="00B83C93" w:rsidRPr="008B4DA2">
        <w:rPr>
          <w:noProof/>
        </w:rPr>
        <w:t xml:space="preserve"> w</w:t>
      </w:r>
      <w:r w:rsidR="00B83C93">
        <w:rPr>
          <w:noProof/>
        </w:rPr>
        <w:t> </w:t>
      </w:r>
      <w:r w:rsidR="00B83C93" w:rsidRPr="008B4DA2">
        <w:rPr>
          <w:noProof/>
        </w:rPr>
        <w:t>odp</w:t>
      </w:r>
      <w:r w:rsidRPr="008B4DA2">
        <w:rPr>
          <w:noProof/>
        </w:rPr>
        <w:t>owiedni sposób jedynie na poziomie Unii.</w:t>
      </w:r>
    </w:p>
    <w:p w:rsidR="00BD67F9" w:rsidRPr="008B4DA2" w:rsidRDefault="00BD67F9" w:rsidP="00BD67F9">
      <w:pPr>
        <w:rPr>
          <w:rFonts w:eastAsia="Arial Unicode MS"/>
          <w:noProof/>
        </w:rPr>
      </w:pPr>
      <w:r w:rsidRPr="008B4DA2">
        <w:rPr>
          <w:noProof/>
        </w:rPr>
        <w:t>Uwzględniając cele UE dotyczące bezpieczeństwa ruchu drogowego</w:t>
      </w:r>
      <w:r w:rsidR="00B83C93" w:rsidRPr="008B4DA2">
        <w:rPr>
          <w:noProof/>
        </w:rPr>
        <w:t xml:space="preserve"> i</w:t>
      </w:r>
      <w:r w:rsidR="00B83C93">
        <w:rPr>
          <w:noProof/>
        </w:rPr>
        <w:t> </w:t>
      </w:r>
      <w:r w:rsidR="00B83C93" w:rsidRPr="008B4DA2">
        <w:rPr>
          <w:noProof/>
        </w:rPr>
        <w:t>ocz</w:t>
      </w:r>
      <w:r w:rsidRPr="008B4DA2">
        <w:rPr>
          <w:noProof/>
        </w:rPr>
        <w:t>ekiwany niewystarczający postęp</w:t>
      </w:r>
      <w:r w:rsidR="00B83C93" w:rsidRPr="008B4DA2">
        <w:rPr>
          <w:noProof/>
        </w:rPr>
        <w:t xml:space="preserve"> w</w:t>
      </w:r>
      <w:r w:rsidR="00B83C93">
        <w:rPr>
          <w:noProof/>
        </w:rPr>
        <w:t> </w:t>
      </w:r>
      <w:r w:rsidR="00B83C93" w:rsidRPr="008B4DA2">
        <w:rPr>
          <w:noProof/>
        </w:rPr>
        <w:t>zak</w:t>
      </w:r>
      <w:r w:rsidRPr="008B4DA2">
        <w:rPr>
          <w:noProof/>
        </w:rPr>
        <w:t>resie ograniczania liczby śmiertelnych ofiar wypadków drogowych</w:t>
      </w:r>
      <w:r w:rsidR="00B83C93" w:rsidRPr="008B4DA2">
        <w:rPr>
          <w:noProof/>
        </w:rPr>
        <w:t xml:space="preserve"> i</w:t>
      </w:r>
      <w:r w:rsidR="00B83C93">
        <w:rPr>
          <w:noProof/>
        </w:rPr>
        <w:t> </w:t>
      </w:r>
      <w:r w:rsidR="00B83C93" w:rsidRPr="008B4DA2">
        <w:rPr>
          <w:noProof/>
        </w:rPr>
        <w:t>pow</w:t>
      </w:r>
      <w:r w:rsidRPr="008B4DA2">
        <w:rPr>
          <w:noProof/>
        </w:rPr>
        <w:t>ażnych urazów, konieczne są dalsze działania UE, aby osiągnąć wyznaczone cele.</w:t>
      </w:r>
      <w:r w:rsidRPr="008B4DA2">
        <w:rPr>
          <w:noProof/>
          <w:bdr w:val="none" w:sz="0" w:space="0" w:color="auto" w:frame="1"/>
        </w:rPr>
        <w:t xml:space="preserve"> </w:t>
      </w:r>
      <w:r w:rsidRPr="008B4DA2">
        <w:rPr>
          <w:noProof/>
        </w:rPr>
        <w:t>Przykładowo zwalczanie niebezpiecznych zachowań na drogach może przynieść pełne efekty tylko wtedy, gdy sprawcy przestępstw lub wykroczeń</w:t>
      </w:r>
      <w:r w:rsidR="00B83C93" w:rsidRPr="008B4DA2">
        <w:rPr>
          <w:noProof/>
        </w:rPr>
        <w:t xml:space="preserve"> w</w:t>
      </w:r>
      <w:r w:rsidR="00B83C93">
        <w:rPr>
          <w:noProof/>
        </w:rPr>
        <w:t> </w:t>
      </w:r>
      <w:r w:rsidR="00B83C93" w:rsidRPr="008B4DA2">
        <w:rPr>
          <w:noProof/>
        </w:rPr>
        <w:t>ruc</w:t>
      </w:r>
      <w:r w:rsidRPr="008B4DA2">
        <w:rPr>
          <w:noProof/>
        </w:rPr>
        <w:t>hu drogowym niemający miejsca pobytu</w:t>
      </w:r>
      <w:r w:rsidR="00B83C93" w:rsidRPr="008B4DA2">
        <w:rPr>
          <w:noProof/>
        </w:rPr>
        <w:t xml:space="preserve"> w</w:t>
      </w:r>
      <w:r w:rsidR="00B83C93">
        <w:rPr>
          <w:noProof/>
        </w:rPr>
        <w:t> </w:t>
      </w:r>
      <w:r w:rsidR="00B83C93" w:rsidRPr="008B4DA2">
        <w:rPr>
          <w:noProof/>
        </w:rPr>
        <w:t>dan</w:t>
      </w:r>
      <w:r w:rsidRPr="008B4DA2">
        <w:rPr>
          <w:noProof/>
        </w:rPr>
        <w:t>ym kraju poniosą konsekwencje swojego zachowania na takich samych warunkach jak mieszkańcy. Cele te nie mogą być</w:t>
      </w:r>
      <w:r w:rsidR="00B83C93" w:rsidRPr="008B4DA2">
        <w:rPr>
          <w:noProof/>
        </w:rPr>
        <w:t xml:space="preserve"> w</w:t>
      </w:r>
      <w:r w:rsidR="00B83C93">
        <w:rPr>
          <w:noProof/>
        </w:rPr>
        <w:t> </w:t>
      </w:r>
      <w:r w:rsidR="00B83C93" w:rsidRPr="008B4DA2">
        <w:rPr>
          <w:noProof/>
        </w:rPr>
        <w:t>wys</w:t>
      </w:r>
      <w:r w:rsidRPr="008B4DA2">
        <w:rPr>
          <w:noProof/>
        </w:rPr>
        <w:t>tarczającym stopniu osiągnięte samodzielnie przez państwa członkowskie ze względu na wymiar transgraniczny tych kwestii.</w:t>
      </w:r>
    </w:p>
    <w:p w:rsidR="00BD67F9" w:rsidRPr="008B4DA2" w:rsidRDefault="00BD67F9" w:rsidP="6F55A162">
      <w:pPr>
        <w:rPr>
          <w:rFonts w:eastAsia="Arial Unicode MS"/>
          <w:noProof/>
          <w:spacing w:val="-8"/>
          <w:bdr w:val="none" w:sz="0" w:space="0" w:color="auto" w:frame="1"/>
        </w:rPr>
      </w:pPr>
      <w:r w:rsidRPr="008B4DA2">
        <w:rPr>
          <w:noProof/>
        </w:rPr>
        <w:t>Niezbędne jest również podjęcie dalszych działań na szczeblu UE, aby usunąć niepotrzebne</w:t>
      </w:r>
      <w:r w:rsidR="00B83C93" w:rsidRPr="008B4DA2">
        <w:rPr>
          <w:noProof/>
        </w:rPr>
        <w:t xml:space="preserve"> i</w:t>
      </w:r>
      <w:r w:rsidR="00B83C93">
        <w:rPr>
          <w:noProof/>
        </w:rPr>
        <w:t> </w:t>
      </w:r>
      <w:r w:rsidR="00B83C93" w:rsidRPr="008B4DA2">
        <w:rPr>
          <w:noProof/>
        </w:rPr>
        <w:t>nie</w:t>
      </w:r>
      <w:r w:rsidRPr="008B4DA2">
        <w:rPr>
          <w:noProof/>
        </w:rPr>
        <w:t>uzasadnione bariery</w:t>
      </w:r>
      <w:r w:rsidR="00B83C93" w:rsidRPr="008B4DA2">
        <w:rPr>
          <w:noProof/>
        </w:rPr>
        <w:t xml:space="preserve"> w</w:t>
      </w:r>
      <w:r w:rsidR="00B83C93">
        <w:rPr>
          <w:noProof/>
        </w:rPr>
        <w:t> </w:t>
      </w:r>
      <w:r w:rsidR="00B83C93" w:rsidRPr="008B4DA2">
        <w:rPr>
          <w:noProof/>
        </w:rPr>
        <w:t>swo</w:t>
      </w:r>
      <w:r w:rsidRPr="008B4DA2">
        <w:rPr>
          <w:noProof/>
        </w:rPr>
        <w:t>bodnym przepływie osób, wynikające</w:t>
      </w:r>
      <w:r w:rsidR="00B83C93" w:rsidRPr="008B4DA2">
        <w:rPr>
          <w:noProof/>
        </w:rPr>
        <w:t xml:space="preserve"> z</w:t>
      </w:r>
      <w:r w:rsidR="00B83C93">
        <w:rPr>
          <w:noProof/>
        </w:rPr>
        <w:t> </w:t>
      </w:r>
      <w:r w:rsidR="00B83C93" w:rsidRPr="008B4DA2">
        <w:rPr>
          <w:noProof/>
        </w:rPr>
        <w:t>nie</w:t>
      </w:r>
      <w:r w:rsidRPr="008B4DA2">
        <w:rPr>
          <w:noProof/>
        </w:rPr>
        <w:t>optymalnych procedur wydawania</w:t>
      </w:r>
      <w:r w:rsidR="00B83C93" w:rsidRPr="008B4DA2">
        <w:rPr>
          <w:noProof/>
        </w:rPr>
        <w:t xml:space="preserve"> i</w:t>
      </w:r>
      <w:r w:rsidR="00B83C93">
        <w:rPr>
          <w:noProof/>
        </w:rPr>
        <w:t> </w:t>
      </w:r>
      <w:r w:rsidR="00B83C93" w:rsidRPr="008B4DA2">
        <w:rPr>
          <w:noProof/>
        </w:rPr>
        <w:t>prz</w:t>
      </w:r>
      <w:r w:rsidRPr="008B4DA2">
        <w:rPr>
          <w:noProof/>
        </w:rPr>
        <w:t>edłużania ważności praw jazdy. Problemy te należy rozwiązać na szczeblu UE, ponieważ mają one również wymiar transgraniczny.</w:t>
      </w:r>
      <w:r w:rsidRPr="008B4DA2">
        <w:rPr>
          <w:noProof/>
          <w:bdr w:val="none" w:sz="0" w:space="0" w:color="auto" w:frame="1"/>
        </w:rPr>
        <w:t xml:space="preserve"> </w:t>
      </w:r>
      <w:r w:rsidRPr="008B4DA2">
        <w:rPr>
          <w:noProof/>
        </w:rPr>
        <w:t>Jeżeli chodzi</w:t>
      </w:r>
      <w:r w:rsidR="00B83C93" w:rsidRPr="008B4DA2">
        <w:rPr>
          <w:noProof/>
        </w:rPr>
        <w:t xml:space="preserve"> o</w:t>
      </w:r>
      <w:r w:rsidR="00B83C93">
        <w:rPr>
          <w:noProof/>
        </w:rPr>
        <w:t> </w:t>
      </w:r>
      <w:r w:rsidR="00B83C93" w:rsidRPr="008B4DA2">
        <w:rPr>
          <w:noProof/>
        </w:rPr>
        <w:t>szc</w:t>
      </w:r>
      <w:r w:rsidRPr="008B4DA2">
        <w:rPr>
          <w:noProof/>
        </w:rPr>
        <w:t>zególny przypadek mobilnych praw jazdy, mogą one być wzajemnie uznawane</w:t>
      </w:r>
      <w:r w:rsidR="00B83C93" w:rsidRPr="008B4DA2">
        <w:rPr>
          <w:noProof/>
        </w:rPr>
        <w:t xml:space="preserve"> w</w:t>
      </w:r>
      <w:r w:rsidR="00B83C93">
        <w:rPr>
          <w:noProof/>
        </w:rPr>
        <w:t> </w:t>
      </w:r>
      <w:r w:rsidR="00B83C93" w:rsidRPr="008B4DA2">
        <w:rPr>
          <w:noProof/>
        </w:rPr>
        <w:t>cał</w:t>
      </w:r>
      <w:r w:rsidRPr="008B4DA2">
        <w:rPr>
          <w:noProof/>
        </w:rPr>
        <w:t>ej UE tylko wtedy, gdy rozwiązania stosowane przez państwa członkowskie są zharmonizowane</w:t>
      </w:r>
      <w:r w:rsidR="00B83C93" w:rsidRPr="008B4DA2">
        <w:rPr>
          <w:noProof/>
        </w:rPr>
        <w:t xml:space="preserve"> i</w:t>
      </w:r>
      <w:r w:rsidR="00B83C93">
        <w:rPr>
          <w:noProof/>
        </w:rPr>
        <w:t> </w:t>
      </w:r>
      <w:r w:rsidR="00B83C93" w:rsidRPr="008B4DA2">
        <w:rPr>
          <w:noProof/>
        </w:rPr>
        <w:t>int</w:t>
      </w:r>
      <w:r w:rsidRPr="008B4DA2">
        <w:rPr>
          <w:noProof/>
        </w:rPr>
        <w:t>eroperacyjne.</w:t>
      </w:r>
      <w:r w:rsidRPr="008B4DA2">
        <w:rPr>
          <w:noProof/>
          <w:bdr w:val="none" w:sz="0" w:space="0" w:color="auto" w:frame="1"/>
        </w:rPr>
        <w:t xml:space="preserve"> </w:t>
      </w:r>
    </w:p>
    <w:p w:rsidR="00BD67F9" w:rsidRPr="008B4DA2" w:rsidRDefault="00BD67F9" w:rsidP="00BD67F9">
      <w:pPr>
        <w:rPr>
          <w:noProof/>
        </w:rPr>
      </w:pPr>
      <w:r w:rsidRPr="008B4DA2">
        <w:rPr>
          <w:noProof/>
        </w:rPr>
        <w:t>W sytuacji braku interwencji UE współpraca między państwami członkowskimi dotycząca praw jazdy byłaby kontynuowana</w:t>
      </w:r>
      <w:r w:rsidR="00B83C93" w:rsidRPr="008B4DA2">
        <w:rPr>
          <w:noProof/>
        </w:rPr>
        <w:t xml:space="preserve"> w</w:t>
      </w:r>
      <w:r w:rsidR="00B83C93">
        <w:rPr>
          <w:noProof/>
        </w:rPr>
        <w:t> </w:t>
      </w:r>
      <w:r w:rsidR="00B83C93" w:rsidRPr="008B4DA2">
        <w:rPr>
          <w:noProof/>
        </w:rPr>
        <w:t>ram</w:t>
      </w:r>
      <w:r w:rsidRPr="008B4DA2">
        <w:rPr>
          <w:noProof/>
        </w:rPr>
        <w:t>ach umów dwu- lub wielostronnych, co</w:t>
      </w:r>
      <w:r w:rsidR="00B83C93" w:rsidRPr="008B4DA2">
        <w:rPr>
          <w:noProof/>
        </w:rPr>
        <w:t xml:space="preserve"> z</w:t>
      </w:r>
      <w:r w:rsidR="00B83C93">
        <w:rPr>
          <w:noProof/>
        </w:rPr>
        <w:t> </w:t>
      </w:r>
      <w:r w:rsidR="00B83C93" w:rsidRPr="008B4DA2">
        <w:rPr>
          <w:noProof/>
        </w:rPr>
        <w:t>kol</w:t>
      </w:r>
      <w:r w:rsidRPr="008B4DA2">
        <w:rPr>
          <w:noProof/>
        </w:rPr>
        <w:t>ei skutkowałoby bardziej skomplikowanym systemem wydawania praw jazdy oraz większym obciążeniem administracyjnym posiadaczy praw jazdy</w:t>
      </w:r>
      <w:r w:rsidR="00B83C93" w:rsidRPr="008B4DA2">
        <w:rPr>
          <w:noProof/>
        </w:rPr>
        <w:t xml:space="preserve"> i</w:t>
      </w:r>
      <w:r w:rsidR="00B83C93">
        <w:rPr>
          <w:noProof/>
        </w:rPr>
        <w:t> </w:t>
      </w:r>
      <w:r w:rsidR="00B83C93" w:rsidRPr="008B4DA2">
        <w:rPr>
          <w:noProof/>
        </w:rPr>
        <w:t>org</w:t>
      </w:r>
      <w:r w:rsidRPr="008B4DA2">
        <w:rPr>
          <w:noProof/>
        </w:rPr>
        <w:t>anów administracji. Kierowcy mogli również napotkać problemy administracyjne, podróżując do państw członkowskich</w:t>
      </w:r>
      <w:r w:rsidRPr="008B4DA2">
        <w:rPr>
          <w:rStyle w:val="FootnoteReference"/>
          <w:noProof/>
        </w:rPr>
        <w:footnoteReference w:id="38"/>
      </w:r>
      <w:r w:rsidRPr="008B4DA2">
        <w:rPr>
          <w:noProof/>
        </w:rPr>
        <w:t>, które nie są umawiającymi się stronami Konwencji</w:t>
      </w:r>
      <w:r w:rsidR="00B83C93" w:rsidRPr="008B4DA2">
        <w:rPr>
          <w:noProof/>
        </w:rPr>
        <w:t xml:space="preserve"> o</w:t>
      </w:r>
      <w:r w:rsidR="00B83C93">
        <w:rPr>
          <w:noProof/>
        </w:rPr>
        <w:t> </w:t>
      </w:r>
      <w:r w:rsidR="00B83C93" w:rsidRPr="008B4DA2">
        <w:rPr>
          <w:noProof/>
        </w:rPr>
        <w:t>ruc</w:t>
      </w:r>
      <w:r w:rsidRPr="008B4DA2">
        <w:rPr>
          <w:noProof/>
        </w:rPr>
        <w:t>hu drogowym</w:t>
      </w:r>
      <w:r w:rsidRPr="008B4DA2">
        <w:rPr>
          <w:rStyle w:val="FootnoteReference"/>
          <w:noProof/>
        </w:rPr>
        <w:footnoteReference w:id="39"/>
      </w:r>
      <w:r w:rsidRPr="008B4DA2">
        <w:rPr>
          <w:noProof/>
        </w:rPr>
        <w:t>, na przykład wymóg posiadania międzynarodowego prawa jazdy. Przy zmianie miejsca zamieszkania</w:t>
      </w:r>
      <w:r w:rsidR="00B83C93" w:rsidRPr="008B4DA2">
        <w:rPr>
          <w:noProof/>
        </w:rPr>
        <w:t xml:space="preserve"> w</w:t>
      </w:r>
      <w:r w:rsidR="00B83C93">
        <w:rPr>
          <w:noProof/>
        </w:rPr>
        <w:t> </w:t>
      </w:r>
      <w:r w:rsidR="00B83C93" w:rsidRPr="008B4DA2">
        <w:rPr>
          <w:noProof/>
        </w:rPr>
        <w:t>Uni</w:t>
      </w:r>
      <w:r w:rsidRPr="008B4DA2">
        <w:rPr>
          <w:noProof/>
        </w:rPr>
        <w:t>i posiadacze praw jazdy UE musieliby uzyskać –</w:t>
      </w:r>
      <w:r w:rsidR="00B83C93" w:rsidRPr="008B4DA2">
        <w:rPr>
          <w:noProof/>
        </w:rPr>
        <w:t xml:space="preserve"> w</w:t>
      </w:r>
      <w:r w:rsidR="00B83C93">
        <w:rPr>
          <w:noProof/>
        </w:rPr>
        <w:t> </w:t>
      </w:r>
      <w:r w:rsidR="00B83C93" w:rsidRPr="008B4DA2">
        <w:rPr>
          <w:noProof/>
        </w:rPr>
        <w:t>dro</w:t>
      </w:r>
      <w:r w:rsidRPr="008B4DA2">
        <w:rPr>
          <w:noProof/>
        </w:rPr>
        <w:t>dze wymiany administracyjnej albo zdając egzamin na prawo jazdy jak każdy inny kandydat – nowe prawo jazdy wydane przez ich nowy kraj zamieszkania</w:t>
      </w:r>
      <w:r w:rsidR="00B83C93" w:rsidRPr="008B4DA2">
        <w:rPr>
          <w:noProof/>
        </w:rPr>
        <w:t>. W</w:t>
      </w:r>
      <w:r w:rsidR="00B83C93">
        <w:rPr>
          <w:noProof/>
        </w:rPr>
        <w:t> </w:t>
      </w:r>
      <w:r w:rsidR="00B83C93" w:rsidRPr="008B4DA2">
        <w:rPr>
          <w:noProof/>
        </w:rPr>
        <w:t>prz</w:t>
      </w:r>
      <w:r w:rsidRPr="008B4DA2">
        <w:rPr>
          <w:noProof/>
        </w:rPr>
        <w:t>ypadku braku interwencji UE włączenie zagranicznych kierowców zawodowych do unijnego sektora transportu drogowego pozostanie ograniczone ze względu na trudności administracyjne związane</w:t>
      </w:r>
      <w:r w:rsidR="00B83C93" w:rsidRPr="008B4DA2">
        <w:rPr>
          <w:noProof/>
        </w:rPr>
        <w:t xml:space="preserve"> z</w:t>
      </w:r>
      <w:r w:rsidR="00B83C93">
        <w:rPr>
          <w:noProof/>
        </w:rPr>
        <w:t> </w:t>
      </w:r>
      <w:r w:rsidR="00B83C93" w:rsidRPr="008B4DA2">
        <w:rPr>
          <w:noProof/>
        </w:rPr>
        <w:t>utr</w:t>
      </w:r>
      <w:r w:rsidRPr="008B4DA2">
        <w:rPr>
          <w:noProof/>
        </w:rPr>
        <w:t>zymaniem przez zagranicznych kierowców uprawnień do kierowania pojazdami. Usunięcie tej bariery mogłoby – wraz</w:t>
      </w:r>
      <w:r w:rsidR="00B83C93" w:rsidRPr="008B4DA2">
        <w:rPr>
          <w:noProof/>
        </w:rPr>
        <w:t xml:space="preserve"> z</w:t>
      </w:r>
      <w:r w:rsidR="00B83C93">
        <w:rPr>
          <w:noProof/>
        </w:rPr>
        <w:t> </w:t>
      </w:r>
      <w:r w:rsidR="00B83C93" w:rsidRPr="008B4DA2">
        <w:rPr>
          <w:noProof/>
        </w:rPr>
        <w:t>inn</w:t>
      </w:r>
      <w:r w:rsidRPr="008B4DA2">
        <w:rPr>
          <w:noProof/>
        </w:rPr>
        <w:t>ymi działaniami, wykraczającymi poza ten środek, na przykład dotyczącymi kwalifikacji kierowców, poprawy warunków pracy</w:t>
      </w:r>
      <w:r w:rsidR="00B83C93" w:rsidRPr="008B4DA2">
        <w:rPr>
          <w:noProof/>
        </w:rPr>
        <w:t xml:space="preserve"> i</w:t>
      </w:r>
      <w:r w:rsidR="00B83C93">
        <w:rPr>
          <w:noProof/>
        </w:rPr>
        <w:t> </w:t>
      </w:r>
      <w:r w:rsidR="00B83C93" w:rsidRPr="008B4DA2">
        <w:rPr>
          <w:noProof/>
        </w:rPr>
        <w:t>wyz</w:t>
      </w:r>
      <w:r w:rsidRPr="008B4DA2">
        <w:rPr>
          <w:noProof/>
        </w:rPr>
        <w:t xml:space="preserve">wań strukturalnych – przyczynić się do rozwiązania problemu niedoboru kierowców w UE. </w:t>
      </w:r>
    </w:p>
    <w:p w:rsidR="00BD67F9" w:rsidRPr="008B4DA2" w:rsidRDefault="00BD67F9" w:rsidP="00BD67F9">
      <w:pPr>
        <w:pStyle w:val="ManualHeading2"/>
        <w:rPr>
          <w:rFonts w:eastAsia="Arial Unicode MS"/>
          <w:noProof/>
          <w:bdr w:val="nil"/>
        </w:rPr>
      </w:pPr>
      <w:r w:rsidRPr="008B4DA2">
        <w:rPr>
          <w:noProof/>
          <w:bdr w:val="nil"/>
        </w:rPr>
        <w:t>•</w:t>
      </w:r>
      <w:r w:rsidRPr="008B4DA2">
        <w:rPr>
          <w:noProof/>
        </w:rPr>
        <w:tab/>
      </w:r>
      <w:r w:rsidRPr="008B4DA2">
        <w:rPr>
          <w:noProof/>
          <w:bdr w:val="nil"/>
        </w:rPr>
        <w:t>Proporcjonalność</w:t>
      </w:r>
    </w:p>
    <w:p w:rsidR="00BD67F9" w:rsidRPr="008B4DA2" w:rsidRDefault="00BD67F9" w:rsidP="00BD67F9">
      <w:pPr>
        <w:spacing w:after="240"/>
        <w:rPr>
          <w:noProof/>
        </w:rPr>
      </w:pPr>
      <w:r w:rsidRPr="008B4DA2">
        <w:rPr>
          <w:noProof/>
        </w:rPr>
        <w:t>Wniosek jest konieczny</w:t>
      </w:r>
      <w:r w:rsidR="00B83C93" w:rsidRPr="008B4DA2">
        <w:rPr>
          <w:noProof/>
        </w:rPr>
        <w:t xml:space="preserve"> i</w:t>
      </w:r>
      <w:r w:rsidR="00B83C93">
        <w:rPr>
          <w:noProof/>
        </w:rPr>
        <w:t> </w:t>
      </w:r>
      <w:r w:rsidR="00B83C93" w:rsidRPr="008B4DA2">
        <w:rPr>
          <w:noProof/>
        </w:rPr>
        <w:t>pro</w:t>
      </w:r>
      <w:r w:rsidRPr="008B4DA2">
        <w:rPr>
          <w:noProof/>
        </w:rPr>
        <w:t>porcjonalny do celu, jakim jest ułatwienie realizacji zasady swobodnego przepływu dzięki zharmonizowanym dodatkowym przepisom dotyczącym praw jazdy, ponieważ państwa członkowskie nie są</w:t>
      </w:r>
      <w:r w:rsidR="00B83C93" w:rsidRPr="008B4DA2">
        <w:rPr>
          <w:noProof/>
        </w:rPr>
        <w:t xml:space="preserve"> w</w:t>
      </w:r>
      <w:r w:rsidR="00B83C93">
        <w:rPr>
          <w:noProof/>
        </w:rPr>
        <w:t> </w:t>
      </w:r>
      <w:r w:rsidR="00B83C93" w:rsidRPr="008B4DA2">
        <w:rPr>
          <w:noProof/>
        </w:rPr>
        <w:t>sta</w:t>
      </w:r>
      <w:r w:rsidRPr="008B4DA2">
        <w:rPr>
          <w:noProof/>
        </w:rPr>
        <w:t>nie samodzielnie zapewnić bezproblemowego uznawania uprawnień do kierowania pojazdami wynikających</w:t>
      </w:r>
      <w:r w:rsidR="00B83C93" w:rsidRPr="008B4DA2">
        <w:rPr>
          <w:noProof/>
        </w:rPr>
        <w:t xml:space="preserve"> z</w:t>
      </w:r>
      <w:r w:rsidR="00B83C93">
        <w:rPr>
          <w:noProof/>
        </w:rPr>
        <w:t> </w:t>
      </w:r>
      <w:r w:rsidR="00B83C93" w:rsidRPr="008B4DA2">
        <w:rPr>
          <w:noProof/>
        </w:rPr>
        <w:t>pra</w:t>
      </w:r>
      <w:r w:rsidRPr="008B4DA2">
        <w:rPr>
          <w:noProof/>
        </w:rPr>
        <w:t>wa jazdy wydanego przez inne państwo członkowskie.</w:t>
      </w:r>
    </w:p>
    <w:p w:rsidR="00BD67F9" w:rsidRPr="008B4DA2" w:rsidRDefault="00BD67F9" w:rsidP="00BD67F9">
      <w:pPr>
        <w:spacing w:after="240"/>
        <w:rPr>
          <w:noProof/>
        </w:rPr>
      </w:pPr>
      <w:r w:rsidRPr="008B4DA2">
        <w:rPr>
          <w:noProof/>
        </w:rPr>
        <w:t>Wniosek nie wykracza poza to, co jest konieczne do osiągnięcia celów zapewnienia lepszego poziomu bezpieczeństwa ruchu drogowego</w:t>
      </w:r>
      <w:r w:rsidR="00B83C93" w:rsidRPr="008B4DA2">
        <w:rPr>
          <w:noProof/>
        </w:rPr>
        <w:t xml:space="preserve"> i</w:t>
      </w:r>
      <w:r w:rsidR="00B83C93">
        <w:rPr>
          <w:noProof/>
        </w:rPr>
        <w:t> </w:t>
      </w:r>
      <w:r w:rsidR="00B83C93" w:rsidRPr="008B4DA2">
        <w:rPr>
          <w:noProof/>
        </w:rPr>
        <w:t>uła</w:t>
      </w:r>
      <w:r w:rsidRPr="008B4DA2">
        <w:rPr>
          <w:noProof/>
        </w:rPr>
        <w:t>twienia swobodnego przemieszczania się, ponieważ przyjęte warianty strategiczne nadal zapewniają państwom członkowskim odpowiedni poziom elastyczności</w:t>
      </w:r>
      <w:r w:rsidR="00B83C93" w:rsidRPr="008B4DA2">
        <w:rPr>
          <w:noProof/>
        </w:rPr>
        <w:t>. W</w:t>
      </w:r>
      <w:r w:rsidR="00B83C93">
        <w:rPr>
          <w:noProof/>
        </w:rPr>
        <w:t> </w:t>
      </w:r>
      <w:r w:rsidR="00B83C93" w:rsidRPr="008B4DA2">
        <w:rPr>
          <w:noProof/>
        </w:rPr>
        <w:t>odn</w:t>
      </w:r>
      <w:r w:rsidRPr="008B4DA2">
        <w:rPr>
          <w:noProof/>
        </w:rPr>
        <w:t>iesieniu do mobilnych praw jazdy przewidziano jedynie minimalne wymogi dotyczące harmonizacji, przepisy dotyczące okresów próbnych umożliwiają państwom członkowskim stosowanie dodatkowych warunków lub ograniczeń krajowych wobec początkujących kierowców,</w:t>
      </w:r>
      <w:r w:rsidR="00B83C93" w:rsidRPr="008B4DA2">
        <w:rPr>
          <w:noProof/>
        </w:rPr>
        <w:t xml:space="preserve"> a</w:t>
      </w:r>
      <w:r w:rsidR="00B83C93">
        <w:rPr>
          <w:noProof/>
        </w:rPr>
        <w:t> </w:t>
      </w:r>
      <w:r w:rsidR="00B83C93" w:rsidRPr="008B4DA2">
        <w:rPr>
          <w:noProof/>
        </w:rPr>
        <w:t>prz</w:t>
      </w:r>
      <w:r w:rsidRPr="008B4DA2">
        <w:rPr>
          <w:noProof/>
        </w:rPr>
        <w:t>episy dotyczące wymiany praw jazdy</w:t>
      </w:r>
      <w:r w:rsidR="00B83C93" w:rsidRPr="008B4DA2">
        <w:rPr>
          <w:noProof/>
        </w:rPr>
        <w:t xml:space="preserve"> z</w:t>
      </w:r>
      <w:r w:rsidR="00B83C93">
        <w:rPr>
          <w:noProof/>
        </w:rPr>
        <w:t> </w:t>
      </w:r>
      <w:r w:rsidR="00B83C93" w:rsidRPr="008B4DA2">
        <w:rPr>
          <w:noProof/>
        </w:rPr>
        <w:t>pań</w:t>
      </w:r>
      <w:r w:rsidRPr="008B4DA2">
        <w:rPr>
          <w:noProof/>
        </w:rPr>
        <w:t>stwami trzecimi są wąsko zdefiniowane.</w:t>
      </w:r>
    </w:p>
    <w:p w:rsidR="00BD67F9" w:rsidRPr="008B4DA2" w:rsidRDefault="00BD67F9" w:rsidP="00BD67F9">
      <w:pPr>
        <w:spacing w:after="240"/>
        <w:rPr>
          <w:noProof/>
        </w:rPr>
      </w:pPr>
      <w:r w:rsidRPr="008B4DA2">
        <w:rPr>
          <w:noProof/>
        </w:rPr>
        <w:t>Potrzebne jest zatem przejrzyste, skuteczne</w:t>
      </w:r>
      <w:r w:rsidR="00B83C93" w:rsidRPr="008B4DA2">
        <w:rPr>
          <w:noProof/>
        </w:rPr>
        <w:t xml:space="preserve"> i</w:t>
      </w:r>
      <w:r w:rsidR="00B83C93">
        <w:rPr>
          <w:noProof/>
        </w:rPr>
        <w:t> </w:t>
      </w:r>
      <w:r w:rsidR="00B83C93" w:rsidRPr="008B4DA2">
        <w:rPr>
          <w:noProof/>
        </w:rPr>
        <w:t>sko</w:t>
      </w:r>
      <w:r w:rsidRPr="008B4DA2">
        <w:rPr>
          <w:noProof/>
        </w:rPr>
        <w:t>ordynowane podejście zapewniające równe traktowanie uczestników ruchu drogowego na drogach UE,</w:t>
      </w:r>
      <w:r w:rsidR="00B83C93" w:rsidRPr="008B4DA2">
        <w:rPr>
          <w:noProof/>
        </w:rPr>
        <w:t xml:space="preserve"> w</w:t>
      </w:r>
      <w:r w:rsidR="00B83C93">
        <w:rPr>
          <w:noProof/>
        </w:rPr>
        <w:t> </w:t>
      </w:r>
      <w:r w:rsidR="00B83C93" w:rsidRPr="008B4DA2">
        <w:rPr>
          <w:noProof/>
        </w:rPr>
        <w:t>szc</w:t>
      </w:r>
      <w:r w:rsidRPr="008B4DA2">
        <w:rPr>
          <w:noProof/>
        </w:rPr>
        <w:t>zególności jako warunek podstawowy wprowadzenia zasady wzajemnego uznawania praw jazdy,</w:t>
      </w:r>
      <w:r w:rsidR="00B83C93" w:rsidRPr="008B4DA2">
        <w:rPr>
          <w:noProof/>
        </w:rPr>
        <w:t xml:space="preserve"> a</w:t>
      </w:r>
      <w:r w:rsidR="00B83C93">
        <w:rPr>
          <w:noProof/>
        </w:rPr>
        <w:t> </w:t>
      </w:r>
      <w:r w:rsidR="00B83C93" w:rsidRPr="008B4DA2">
        <w:rPr>
          <w:noProof/>
        </w:rPr>
        <w:t>roz</w:t>
      </w:r>
      <w:r w:rsidRPr="008B4DA2">
        <w:rPr>
          <w:noProof/>
        </w:rPr>
        <w:t>ważany wniosek jest zgodny</w:t>
      </w:r>
      <w:r w:rsidR="00B83C93" w:rsidRPr="008B4DA2">
        <w:rPr>
          <w:noProof/>
        </w:rPr>
        <w:t xml:space="preserve"> z</w:t>
      </w:r>
      <w:r w:rsidR="00B83C93">
        <w:rPr>
          <w:noProof/>
        </w:rPr>
        <w:t> </w:t>
      </w:r>
      <w:r w:rsidR="00B83C93" w:rsidRPr="008B4DA2">
        <w:rPr>
          <w:noProof/>
        </w:rPr>
        <w:t>zas</w:t>
      </w:r>
      <w:r w:rsidRPr="008B4DA2">
        <w:rPr>
          <w:noProof/>
        </w:rPr>
        <w:t xml:space="preserve">adą proporcjonalności. </w:t>
      </w:r>
    </w:p>
    <w:p w:rsidR="00BD67F9" w:rsidRPr="008B4DA2" w:rsidRDefault="00BD67F9" w:rsidP="00BD67F9">
      <w:pPr>
        <w:pStyle w:val="ManualHeading2"/>
        <w:rPr>
          <w:rFonts w:eastAsia="Arial Unicode MS"/>
          <w:noProof/>
          <w:bdr w:val="nil"/>
        </w:rPr>
      </w:pPr>
      <w:r w:rsidRPr="008B4DA2">
        <w:rPr>
          <w:noProof/>
          <w:bdr w:val="nil"/>
        </w:rPr>
        <w:t>•</w:t>
      </w:r>
      <w:r w:rsidRPr="008B4DA2">
        <w:rPr>
          <w:noProof/>
        </w:rPr>
        <w:tab/>
      </w:r>
      <w:r w:rsidRPr="008B4DA2">
        <w:rPr>
          <w:noProof/>
          <w:bdr w:val="nil"/>
        </w:rPr>
        <w:t>Wybór instrumentu</w:t>
      </w:r>
    </w:p>
    <w:p w:rsidR="00BD67F9" w:rsidRPr="008B4DA2" w:rsidRDefault="00BD67F9" w:rsidP="00BD67F9">
      <w:pPr>
        <w:spacing w:after="240"/>
        <w:rPr>
          <w:rFonts w:eastAsia="Arial Unicode MS"/>
          <w:noProof/>
        </w:rPr>
      </w:pPr>
      <w:r w:rsidRPr="008B4DA2">
        <w:rPr>
          <w:noProof/>
        </w:rPr>
        <w:t>W kontekście zapewnienia jasnego</w:t>
      </w:r>
      <w:r w:rsidR="00B83C93" w:rsidRPr="008B4DA2">
        <w:rPr>
          <w:noProof/>
        </w:rPr>
        <w:t xml:space="preserve"> i</w:t>
      </w:r>
      <w:r w:rsidR="00B83C93">
        <w:rPr>
          <w:noProof/>
        </w:rPr>
        <w:t> </w:t>
      </w:r>
      <w:r w:rsidR="00B83C93" w:rsidRPr="008B4DA2">
        <w:rPr>
          <w:noProof/>
        </w:rPr>
        <w:t>spó</w:t>
      </w:r>
      <w:r w:rsidRPr="008B4DA2">
        <w:rPr>
          <w:noProof/>
        </w:rPr>
        <w:t>jnego obrazu techniki prawodawczej za najbardziej odpowiednie rozwiązanie prawne uznaje się całkowitą rewizję dyrektywy.</w:t>
      </w:r>
    </w:p>
    <w:p w:rsidR="00BD67F9" w:rsidRPr="008B4DA2" w:rsidRDefault="00BD67F9" w:rsidP="00BD67F9">
      <w:pPr>
        <w:pStyle w:val="ManualHeading1"/>
        <w:rPr>
          <w:noProof/>
        </w:rPr>
      </w:pPr>
      <w:r w:rsidRPr="008B4DA2">
        <w:rPr>
          <w:noProof/>
        </w:rPr>
        <w:t>3.</w:t>
      </w:r>
      <w:r w:rsidRPr="008B4DA2">
        <w:rPr>
          <w:noProof/>
        </w:rPr>
        <w:tab/>
        <w:t>WYNIKI OCEN EX POST, KONSULTACJI Z ZAINTERESOWANYMI STRONAMI I OCEN SKUTKÓW</w:t>
      </w:r>
    </w:p>
    <w:p w:rsidR="00BD67F9" w:rsidRPr="008B4DA2" w:rsidRDefault="00BD67F9" w:rsidP="00BD67F9">
      <w:pPr>
        <w:pStyle w:val="ManualHeading2"/>
        <w:rPr>
          <w:rFonts w:eastAsia="Arial Unicode MS"/>
          <w:noProof/>
          <w:bdr w:val="nil"/>
        </w:rPr>
      </w:pPr>
      <w:r w:rsidRPr="008B4DA2">
        <w:rPr>
          <w:noProof/>
          <w:bdr w:val="nil"/>
        </w:rPr>
        <w:t>•</w:t>
      </w:r>
      <w:r w:rsidRPr="008B4DA2">
        <w:rPr>
          <w:noProof/>
        </w:rPr>
        <w:tab/>
      </w:r>
      <w:r w:rsidRPr="008B4DA2">
        <w:rPr>
          <w:noProof/>
          <w:bdr w:val="nil"/>
        </w:rPr>
        <w:t xml:space="preserve">Oceny </w:t>
      </w:r>
      <w:r w:rsidRPr="008B4DA2">
        <w:rPr>
          <w:i/>
          <w:iCs/>
          <w:noProof/>
          <w:bdr w:val="nil"/>
        </w:rPr>
        <w:t>ex post</w:t>
      </w:r>
      <w:r w:rsidRPr="008B4DA2">
        <w:rPr>
          <w:noProof/>
          <w:bdr w:val="nil"/>
        </w:rPr>
        <w:t>/oceny adekwatności obowiązującego prawodawstwa</w:t>
      </w:r>
    </w:p>
    <w:p w:rsidR="00BD67F9" w:rsidRPr="008B4DA2" w:rsidRDefault="00BD67F9" w:rsidP="00BD67F9">
      <w:pPr>
        <w:pBdr>
          <w:top w:val="nil"/>
          <w:left w:val="nil"/>
          <w:bottom w:val="nil"/>
          <w:right w:val="nil"/>
          <w:between w:val="nil"/>
          <w:bar w:val="nil"/>
        </w:pBdr>
        <w:spacing w:after="180"/>
        <w:rPr>
          <w:rFonts w:eastAsia="Arial Unicode MS"/>
          <w:noProof/>
        </w:rPr>
      </w:pPr>
      <w:r w:rsidRPr="008B4DA2">
        <w:rPr>
          <w:noProof/>
        </w:rPr>
        <w:t>W 20</w:t>
      </w:r>
      <w:r w:rsidRPr="00B83C93">
        <w:rPr>
          <w:noProof/>
        </w:rPr>
        <w:t>22</w:t>
      </w:r>
      <w:r w:rsidR="00B83C93" w:rsidRPr="00B83C93">
        <w:rPr>
          <w:noProof/>
        </w:rPr>
        <w:t> </w:t>
      </w:r>
      <w:r w:rsidRPr="00B83C93">
        <w:rPr>
          <w:noProof/>
        </w:rPr>
        <w:t>r.</w:t>
      </w:r>
      <w:r w:rsidRPr="008B4DA2">
        <w:rPr>
          <w:noProof/>
        </w:rPr>
        <w:t xml:space="preserve"> Komisja Europejska opublikowała zgodnie</w:t>
      </w:r>
      <w:r w:rsidR="00B83C93" w:rsidRPr="008B4DA2">
        <w:rPr>
          <w:noProof/>
        </w:rPr>
        <w:t xml:space="preserve"> z</w:t>
      </w:r>
      <w:r w:rsidR="00B83C93">
        <w:rPr>
          <w:noProof/>
        </w:rPr>
        <w:t> </w:t>
      </w:r>
      <w:r w:rsidR="00B83C93" w:rsidRPr="008B4DA2">
        <w:rPr>
          <w:noProof/>
        </w:rPr>
        <w:t>zas</w:t>
      </w:r>
      <w:r w:rsidRPr="008B4DA2">
        <w:rPr>
          <w:noProof/>
        </w:rPr>
        <w:t xml:space="preserve">adami lepszego stanowienia prawa ocenę </w:t>
      </w:r>
      <w:r w:rsidRPr="008B4DA2">
        <w:rPr>
          <w:i/>
          <w:noProof/>
        </w:rPr>
        <w:t>ex-post</w:t>
      </w:r>
      <w:r w:rsidRPr="008B4DA2">
        <w:rPr>
          <w:rStyle w:val="FootnoteReference"/>
          <w:noProof/>
        </w:rPr>
        <w:footnoteReference w:id="40"/>
      </w:r>
      <w:r w:rsidRPr="008B4DA2">
        <w:rPr>
          <w:noProof/>
        </w:rPr>
        <w:t xml:space="preserve"> dyrektywy 2006/126/WE. Ocena wykazała, że połączone działanie dyrektywy 2006/126/WE</w:t>
      </w:r>
      <w:r w:rsidR="00B83C93" w:rsidRPr="008B4DA2">
        <w:rPr>
          <w:noProof/>
        </w:rPr>
        <w:t xml:space="preserve"> i</w:t>
      </w:r>
      <w:r w:rsidR="00B83C93">
        <w:rPr>
          <w:noProof/>
        </w:rPr>
        <w:t> </w:t>
      </w:r>
      <w:r w:rsidR="00B83C93" w:rsidRPr="008B4DA2">
        <w:rPr>
          <w:noProof/>
        </w:rPr>
        <w:t>dwó</w:t>
      </w:r>
      <w:r w:rsidRPr="008B4DA2">
        <w:rPr>
          <w:noProof/>
        </w:rPr>
        <w:t>ch poprzedzających ją dyrektyw doprowadziło do zwiększenia poziomu bezpieczeństwa uczestników ruchu drogowego</w:t>
      </w:r>
      <w:r w:rsidR="00B83C93" w:rsidRPr="008B4DA2">
        <w:rPr>
          <w:noProof/>
        </w:rPr>
        <w:t xml:space="preserve"> w</w:t>
      </w:r>
      <w:r w:rsidR="00B83C93">
        <w:rPr>
          <w:noProof/>
        </w:rPr>
        <w:t> </w:t>
      </w:r>
      <w:r w:rsidR="00B83C93" w:rsidRPr="008B4DA2">
        <w:rPr>
          <w:noProof/>
        </w:rPr>
        <w:t>Uni</w:t>
      </w:r>
      <w:r w:rsidRPr="008B4DA2">
        <w:rPr>
          <w:noProof/>
        </w:rPr>
        <w:t>i</w:t>
      </w:r>
      <w:r w:rsidR="00B83C93" w:rsidRPr="008B4DA2">
        <w:rPr>
          <w:noProof/>
        </w:rPr>
        <w:t xml:space="preserve"> i</w:t>
      </w:r>
      <w:r w:rsidR="00B83C93">
        <w:rPr>
          <w:noProof/>
        </w:rPr>
        <w:t> </w:t>
      </w:r>
      <w:r w:rsidR="00B83C93" w:rsidRPr="008B4DA2">
        <w:rPr>
          <w:noProof/>
        </w:rPr>
        <w:t>uła</w:t>
      </w:r>
      <w:r w:rsidRPr="008B4DA2">
        <w:rPr>
          <w:noProof/>
        </w:rPr>
        <w:t>twiło realizację zasady swobodnego przepływu</w:t>
      </w:r>
      <w:r w:rsidR="00B83C93" w:rsidRPr="008B4DA2">
        <w:rPr>
          <w:noProof/>
        </w:rPr>
        <w:t xml:space="preserve">. </w:t>
      </w:r>
      <w:r w:rsidR="00B83C93" w:rsidRPr="008B4DA2">
        <w:rPr>
          <w:noProof/>
          <w:bdr w:val="nil"/>
        </w:rPr>
        <w:t>W</w:t>
      </w:r>
      <w:r w:rsidR="00B83C93">
        <w:rPr>
          <w:noProof/>
        </w:rPr>
        <w:t> </w:t>
      </w:r>
      <w:r w:rsidR="00B83C93" w:rsidRPr="008B4DA2">
        <w:rPr>
          <w:noProof/>
          <w:bdr w:val="nil"/>
        </w:rPr>
        <w:t>oce</w:t>
      </w:r>
      <w:r w:rsidRPr="008B4DA2">
        <w:rPr>
          <w:noProof/>
          <w:bdr w:val="nil"/>
        </w:rPr>
        <w:t>nie stwierdzono również pozytywny wpływ dyrektywy</w:t>
      </w:r>
      <w:r w:rsidR="00B83C93" w:rsidRPr="008B4DA2">
        <w:rPr>
          <w:noProof/>
          <w:bdr w:val="nil"/>
        </w:rPr>
        <w:t xml:space="preserve"> w</w:t>
      </w:r>
      <w:r w:rsidR="00B83C93">
        <w:rPr>
          <w:noProof/>
          <w:bdr w:val="nil"/>
        </w:rPr>
        <w:t> </w:t>
      </w:r>
      <w:r w:rsidR="00B83C93" w:rsidRPr="008B4DA2">
        <w:rPr>
          <w:noProof/>
          <w:bdr w:val="nil"/>
        </w:rPr>
        <w:t>spr</w:t>
      </w:r>
      <w:r w:rsidRPr="008B4DA2">
        <w:rPr>
          <w:noProof/>
          <w:bdr w:val="nil"/>
        </w:rPr>
        <w:t>awie praw jazdy na zmniejszenie liczby oszustw związanych</w:t>
      </w:r>
      <w:r w:rsidR="00B83C93" w:rsidRPr="008B4DA2">
        <w:rPr>
          <w:noProof/>
          <w:bdr w:val="nil"/>
        </w:rPr>
        <w:t xml:space="preserve"> z</w:t>
      </w:r>
      <w:r w:rsidR="00B83C93">
        <w:rPr>
          <w:noProof/>
          <w:bdr w:val="nil"/>
        </w:rPr>
        <w:t> </w:t>
      </w:r>
      <w:r w:rsidR="00B83C93" w:rsidRPr="008B4DA2">
        <w:rPr>
          <w:noProof/>
          <w:bdr w:val="nil"/>
        </w:rPr>
        <w:t>pra</w:t>
      </w:r>
      <w:r w:rsidRPr="008B4DA2">
        <w:rPr>
          <w:noProof/>
          <w:bdr w:val="nil"/>
        </w:rPr>
        <w:t>wem jazdy</w:t>
      </w:r>
      <w:r w:rsidR="00B83C93" w:rsidRPr="008B4DA2">
        <w:rPr>
          <w:noProof/>
          <w:bdr w:val="nil"/>
        </w:rPr>
        <w:t xml:space="preserve"> i</w:t>
      </w:r>
      <w:r w:rsidR="00B83C93">
        <w:rPr>
          <w:noProof/>
          <w:bdr w:val="nil"/>
        </w:rPr>
        <w:t> </w:t>
      </w:r>
      <w:r w:rsidR="00B83C93" w:rsidRPr="008B4DA2">
        <w:rPr>
          <w:noProof/>
          <w:bdr w:val="nil"/>
        </w:rPr>
        <w:t>zja</w:t>
      </w:r>
      <w:r w:rsidRPr="008B4DA2">
        <w:rPr>
          <w:noProof/>
          <w:bdr w:val="nil"/>
        </w:rPr>
        <w:t>wiska „turystyki praw jazdy”. Doprowadziło to do zmniejszenia obciążeń administracyjnych,</w:t>
      </w:r>
      <w:r w:rsidR="00B83C93" w:rsidRPr="008B4DA2">
        <w:rPr>
          <w:noProof/>
          <w:bdr w:val="nil"/>
        </w:rPr>
        <w:t xml:space="preserve"> w</w:t>
      </w:r>
      <w:r w:rsidR="00B83C93">
        <w:rPr>
          <w:noProof/>
          <w:bdr w:val="nil"/>
        </w:rPr>
        <w:t> </w:t>
      </w:r>
      <w:r w:rsidR="00B83C93" w:rsidRPr="008B4DA2">
        <w:rPr>
          <w:noProof/>
          <w:bdr w:val="nil"/>
        </w:rPr>
        <w:t>szc</w:t>
      </w:r>
      <w:r w:rsidRPr="008B4DA2">
        <w:rPr>
          <w:noProof/>
          <w:bdr w:val="nil"/>
        </w:rPr>
        <w:t xml:space="preserve">zególności dotyczących posiadaczy praw jazdy. </w:t>
      </w:r>
      <w:r w:rsidRPr="008B4DA2">
        <w:rPr>
          <w:noProof/>
        </w:rPr>
        <w:t>Ocena wykazała również, że istnieje możliwość dalszej poprawy poziomu bezpieczeństwa oraz efektywności</w:t>
      </w:r>
      <w:r w:rsidR="00B83C93" w:rsidRPr="008B4DA2">
        <w:rPr>
          <w:noProof/>
        </w:rPr>
        <w:t xml:space="preserve"> i</w:t>
      </w:r>
      <w:r w:rsidR="00B83C93">
        <w:rPr>
          <w:noProof/>
        </w:rPr>
        <w:t> </w:t>
      </w:r>
      <w:r w:rsidR="00B83C93" w:rsidRPr="008B4DA2">
        <w:rPr>
          <w:noProof/>
        </w:rPr>
        <w:t>pro</w:t>
      </w:r>
      <w:r w:rsidRPr="008B4DA2">
        <w:rPr>
          <w:noProof/>
        </w:rPr>
        <w:t>porcjonalności niektórych wymogów regulacyjnych</w:t>
      </w:r>
      <w:r w:rsidR="00B83C93" w:rsidRPr="008B4DA2">
        <w:rPr>
          <w:noProof/>
        </w:rPr>
        <w:t>. W</w:t>
      </w:r>
      <w:r w:rsidR="00B83C93">
        <w:rPr>
          <w:noProof/>
        </w:rPr>
        <w:t> </w:t>
      </w:r>
      <w:r w:rsidR="00B83C93" w:rsidRPr="008B4DA2">
        <w:rPr>
          <w:noProof/>
        </w:rPr>
        <w:t>ram</w:t>
      </w:r>
      <w:r w:rsidRPr="008B4DA2">
        <w:rPr>
          <w:noProof/>
        </w:rPr>
        <w:t>ach oceny uznano, że system transportowy UE ulega szybkim zmianom ze względu na wpływ cyfryzacji, rosnący nacisk na aktywne rodzaje transportu miejskiego, pojawienie się nowych form mobilności, zmiany dotyczące jakości sieci połączeń</w:t>
      </w:r>
      <w:r w:rsidR="00B83C93" w:rsidRPr="008B4DA2">
        <w:rPr>
          <w:noProof/>
        </w:rPr>
        <w:t xml:space="preserve"> i</w:t>
      </w:r>
      <w:r w:rsidR="00B83C93">
        <w:rPr>
          <w:noProof/>
        </w:rPr>
        <w:t> </w:t>
      </w:r>
      <w:r w:rsidR="00B83C93" w:rsidRPr="008B4DA2">
        <w:rPr>
          <w:noProof/>
        </w:rPr>
        <w:t>aut</w:t>
      </w:r>
      <w:r w:rsidRPr="008B4DA2">
        <w:rPr>
          <w:noProof/>
        </w:rPr>
        <w:t>omatyzacji oraz rosnącą rolę sztucznej inteligencji,</w:t>
      </w:r>
      <w:r w:rsidR="00B83C93" w:rsidRPr="008B4DA2">
        <w:rPr>
          <w:noProof/>
        </w:rPr>
        <w:t xml:space="preserve"> a</w:t>
      </w:r>
      <w:r w:rsidR="00B83C93">
        <w:rPr>
          <w:noProof/>
        </w:rPr>
        <w:t> </w:t>
      </w:r>
      <w:r w:rsidR="00B83C93" w:rsidRPr="008B4DA2">
        <w:rPr>
          <w:noProof/>
        </w:rPr>
        <w:t>tak</w:t>
      </w:r>
      <w:r w:rsidRPr="008B4DA2">
        <w:rPr>
          <w:noProof/>
        </w:rPr>
        <w:t>że upowszechnienie pojazdów niskoemisyjnych</w:t>
      </w:r>
      <w:r w:rsidR="00B83C93" w:rsidRPr="008B4DA2">
        <w:rPr>
          <w:noProof/>
        </w:rPr>
        <w:t xml:space="preserve"> i</w:t>
      </w:r>
      <w:r w:rsidR="00B83C93">
        <w:rPr>
          <w:noProof/>
        </w:rPr>
        <w:t> </w:t>
      </w:r>
      <w:r w:rsidR="00B83C93" w:rsidRPr="008B4DA2">
        <w:rPr>
          <w:noProof/>
        </w:rPr>
        <w:t>bez</w:t>
      </w:r>
      <w:r w:rsidRPr="008B4DA2">
        <w:rPr>
          <w:noProof/>
        </w:rPr>
        <w:t>emisyjnych.</w:t>
      </w:r>
      <w:r w:rsidRPr="008B4DA2">
        <w:rPr>
          <w:noProof/>
          <w:bdr w:val="nil"/>
        </w:rPr>
        <w:t xml:space="preserve"> Stwierdzono, że obecne ramy legislacyjne należy dostosować nie tylko do obecnych potrzeb, ale również do przyszłych wyzwań. </w:t>
      </w:r>
    </w:p>
    <w:p w:rsidR="00BD67F9" w:rsidRPr="008B4DA2" w:rsidRDefault="00BD67F9" w:rsidP="00BD67F9">
      <w:pPr>
        <w:pBdr>
          <w:top w:val="nil"/>
          <w:left w:val="nil"/>
          <w:bottom w:val="nil"/>
          <w:right w:val="nil"/>
          <w:between w:val="nil"/>
          <w:bar w:val="nil"/>
        </w:pBdr>
        <w:rPr>
          <w:rFonts w:eastAsia="Arial Unicode MS"/>
          <w:noProof/>
          <w:bdr w:val="nil"/>
        </w:rPr>
      </w:pPr>
      <w:r w:rsidRPr="008B4DA2">
        <w:rPr>
          <w:noProof/>
          <w:bdr w:val="nil"/>
        </w:rPr>
        <w:t>W ocenie stwierdzono ponadto, że rozwiązania cyfrowe,</w:t>
      </w:r>
      <w:r w:rsidR="00B83C93" w:rsidRPr="008B4DA2">
        <w:rPr>
          <w:noProof/>
          <w:bdr w:val="nil"/>
        </w:rPr>
        <w:t xml:space="preserve"> w</w:t>
      </w:r>
      <w:r w:rsidR="00B83C93">
        <w:rPr>
          <w:noProof/>
          <w:bdr w:val="nil"/>
        </w:rPr>
        <w:t> </w:t>
      </w:r>
      <w:r w:rsidR="00B83C93" w:rsidRPr="008B4DA2">
        <w:rPr>
          <w:noProof/>
          <w:bdr w:val="nil"/>
        </w:rPr>
        <w:t>tym</w:t>
      </w:r>
      <w:r w:rsidRPr="008B4DA2">
        <w:rPr>
          <w:noProof/>
          <w:bdr w:val="nil"/>
        </w:rPr>
        <w:t xml:space="preserve"> mobilne prawa jazdy</w:t>
      </w:r>
      <w:r w:rsidR="00B83C93" w:rsidRPr="008B4DA2">
        <w:rPr>
          <w:noProof/>
          <w:bdr w:val="nil"/>
        </w:rPr>
        <w:t xml:space="preserve"> i</w:t>
      </w:r>
      <w:r w:rsidR="00B83C93">
        <w:rPr>
          <w:noProof/>
          <w:bdr w:val="nil"/>
        </w:rPr>
        <w:t> </w:t>
      </w:r>
      <w:r w:rsidR="00B83C93" w:rsidRPr="008B4DA2">
        <w:rPr>
          <w:noProof/>
          <w:bdr w:val="nil"/>
        </w:rPr>
        <w:t>sie</w:t>
      </w:r>
      <w:r w:rsidRPr="008B4DA2">
        <w:rPr>
          <w:noProof/>
          <w:bdr w:val="nil"/>
        </w:rPr>
        <w:t>ć RESPER, nie zostały wystarczająco zbadane. Ustalono również, że przepisy dotyczące umiejętności</w:t>
      </w:r>
      <w:r w:rsidR="00B83C93" w:rsidRPr="008B4DA2">
        <w:rPr>
          <w:noProof/>
          <w:bdr w:val="nil"/>
        </w:rPr>
        <w:t xml:space="preserve"> i</w:t>
      </w:r>
      <w:r w:rsidR="00B83C93">
        <w:rPr>
          <w:noProof/>
          <w:bdr w:val="nil"/>
        </w:rPr>
        <w:t> </w:t>
      </w:r>
      <w:r w:rsidR="00B83C93" w:rsidRPr="008B4DA2">
        <w:rPr>
          <w:noProof/>
          <w:bdr w:val="nil"/>
        </w:rPr>
        <w:t>wie</w:t>
      </w:r>
      <w:r w:rsidRPr="008B4DA2">
        <w:rPr>
          <w:noProof/>
          <w:bdr w:val="nil"/>
        </w:rPr>
        <w:t>dzy</w:t>
      </w:r>
      <w:r w:rsidR="00B83C93" w:rsidRPr="008B4DA2">
        <w:rPr>
          <w:noProof/>
          <w:bdr w:val="nil"/>
        </w:rPr>
        <w:t xml:space="preserve"> z</w:t>
      </w:r>
      <w:r w:rsidR="00B83C93">
        <w:rPr>
          <w:noProof/>
          <w:bdr w:val="nil"/>
        </w:rPr>
        <w:t> </w:t>
      </w:r>
      <w:r w:rsidR="00B83C93" w:rsidRPr="008B4DA2">
        <w:rPr>
          <w:noProof/>
          <w:bdr w:val="nil"/>
        </w:rPr>
        <w:t>zak</w:t>
      </w:r>
      <w:r w:rsidRPr="008B4DA2">
        <w:rPr>
          <w:noProof/>
          <w:bdr w:val="nil"/>
        </w:rPr>
        <w:t>resu kierowania pojazdami nie odzwierciedlają</w:t>
      </w:r>
      <w:r w:rsidR="00B83C93" w:rsidRPr="008B4DA2">
        <w:rPr>
          <w:noProof/>
          <w:bdr w:val="nil"/>
        </w:rPr>
        <w:t xml:space="preserve"> w</w:t>
      </w:r>
      <w:r w:rsidR="00B83C93">
        <w:rPr>
          <w:noProof/>
          <w:bdr w:val="nil"/>
        </w:rPr>
        <w:t> </w:t>
      </w:r>
      <w:r w:rsidR="00B83C93" w:rsidRPr="008B4DA2">
        <w:rPr>
          <w:noProof/>
          <w:bdr w:val="nil"/>
        </w:rPr>
        <w:t>wys</w:t>
      </w:r>
      <w:r w:rsidRPr="008B4DA2">
        <w:rPr>
          <w:noProof/>
          <w:bdr w:val="nil"/>
        </w:rPr>
        <w:t>tarczającym stopniu nowych rozwiązań technologicznych, takich jak zaawansowane systemy wspomagania kierowcy, jazda półautomatyczna</w:t>
      </w:r>
      <w:r w:rsidR="00B83C93" w:rsidRPr="008B4DA2">
        <w:rPr>
          <w:noProof/>
          <w:bdr w:val="nil"/>
        </w:rPr>
        <w:t xml:space="preserve"> i</w:t>
      </w:r>
      <w:r w:rsidR="00B83C93">
        <w:rPr>
          <w:noProof/>
          <w:bdr w:val="nil"/>
        </w:rPr>
        <w:t> </w:t>
      </w:r>
      <w:r w:rsidR="00B83C93" w:rsidRPr="008B4DA2">
        <w:rPr>
          <w:noProof/>
          <w:bdr w:val="nil"/>
        </w:rPr>
        <w:t>zau</w:t>
      </w:r>
      <w:r w:rsidRPr="008B4DA2">
        <w:rPr>
          <w:noProof/>
          <w:bdr w:val="nil"/>
        </w:rPr>
        <w:t>tomatyzowana, wykorzystanie symulatorów, jak również upowszechnienie rozwiązań</w:t>
      </w:r>
      <w:r w:rsidR="00B83C93" w:rsidRPr="008B4DA2">
        <w:rPr>
          <w:noProof/>
          <w:bdr w:val="nil"/>
        </w:rPr>
        <w:t xml:space="preserve"> w</w:t>
      </w:r>
      <w:r w:rsidR="00B83C93">
        <w:rPr>
          <w:noProof/>
          <w:bdr w:val="nil"/>
        </w:rPr>
        <w:t> </w:t>
      </w:r>
      <w:r w:rsidR="00B83C93" w:rsidRPr="008B4DA2">
        <w:rPr>
          <w:noProof/>
          <w:bdr w:val="nil"/>
        </w:rPr>
        <w:t>zak</w:t>
      </w:r>
      <w:r w:rsidRPr="008B4DA2">
        <w:rPr>
          <w:noProof/>
          <w:bdr w:val="nil"/>
        </w:rPr>
        <w:t>resie mikromobilności oraz pojazdów niskoemisyjnych</w:t>
      </w:r>
      <w:r w:rsidR="00B83C93" w:rsidRPr="008B4DA2">
        <w:rPr>
          <w:noProof/>
          <w:bdr w:val="nil"/>
        </w:rPr>
        <w:t xml:space="preserve"> i</w:t>
      </w:r>
      <w:r w:rsidR="00B83C93">
        <w:rPr>
          <w:noProof/>
          <w:bdr w:val="nil"/>
        </w:rPr>
        <w:t> </w:t>
      </w:r>
      <w:r w:rsidR="00B83C93" w:rsidRPr="008B4DA2">
        <w:rPr>
          <w:noProof/>
          <w:bdr w:val="nil"/>
        </w:rPr>
        <w:t>bez</w:t>
      </w:r>
      <w:r w:rsidRPr="008B4DA2">
        <w:rPr>
          <w:noProof/>
          <w:bdr w:val="nil"/>
        </w:rPr>
        <w:t>emisyjnych</w:t>
      </w:r>
      <w:r w:rsidR="00B83C93" w:rsidRPr="008B4DA2">
        <w:rPr>
          <w:noProof/>
          <w:bdr w:val="nil"/>
        </w:rPr>
        <w:t xml:space="preserve"> z</w:t>
      </w:r>
      <w:r w:rsidR="00B83C93">
        <w:rPr>
          <w:noProof/>
          <w:bdr w:val="nil"/>
        </w:rPr>
        <w:t> </w:t>
      </w:r>
      <w:r w:rsidR="00B83C93" w:rsidRPr="008B4DA2">
        <w:rPr>
          <w:noProof/>
          <w:bdr w:val="nil"/>
        </w:rPr>
        <w:t>aut</w:t>
      </w:r>
      <w:r w:rsidRPr="008B4DA2">
        <w:rPr>
          <w:noProof/>
          <w:bdr w:val="nil"/>
        </w:rPr>
        <w:t xml:space="preserve">omatyczną skrzynią biegów. </w:t>
      </w:r>
    </w:p>
    <w:p w:rsidR="00BD67F9" w:rsidRPr="008B4DA2" w:rsidRDefault="00BD67F9" w:rsidP="00BD67F9">
      <w:pPr>
        <w:pBdr>
          <w:top w:val="nil"/>
          <w:left w:val="nil"/>
          <w:bottom w:val="nil"/>
          <w:right w:val="nil"/>
          <w:between w:val="nil"/>
          <w:bar w:val="nil"/>
        </w:pBdr>
        <w:rPr>
          <w:rFonts w:eastAsia="Arial Unicode MS"/>
          <w:noProof/>
          <w:spacing w:val="-4"/>
          <w:bdr w:val="nil"/>
        </w:rPr>
      </w:pPr>
      <w:r w:rsidRPr="008B4DA2">
        <w:rPr>
          <w:noProof/>
        </w:rPr>
        <w:t>Ponadto niektóre przepisy nie są optymalne pod względem ułatwiania swobodnego przepływu osób, na przykład przepisy dotyczące ustanowienia miejsca stałego zamieszkania, uznawania zagranicznych praw jazdy,</w:t>
      </w:r>
      <w:r w:rsidR="00B83C93" w:rsidRPr="008B4DA2">
        <w:rPr>
          <w:noProof/>
        </w:rPr>
        <w:t xml:space="preserve"> a</w:t>
      </w:r>
      <w:r w:rsidR="00B83C93">
        <w:rPr>
          <w:noProof/>
        </w:rPr>
        <w:t> </w:t>
      </w:r>
      <w:r w:rsidR="00B83C93" w:rsidRPr="008B4DA2">
        <w:rPr>
          <w:noProof/>
        </w:rPr>
        <w:t>tak</w:t>
      </w:r>
      <w:r w:rsidRPr="008B4DA2">
        <w:rPr>
          <w:noProof/>
        </w:rPr>
        <w:t>że okresów ważności.</w:t>
      </w:r>
      <w:r w:rsidRPr="008B4DA2">
        <w:rPr>
          <w:noProof/>
          <w:bdr w:val="nil"/>
        </w:rPr>
        <w:t xml:space="preserve"> Co więcej, dyrektywa nie stanowi pełnego uzupełnienia dyrektywy (UE) 2015/413</w:t>
      </w:r>
      <w:r w:rsidRPr="008B4DA2">
        <w:rPr>
          <w:rStyle w:val="FootnoteReference"/>
          <w:noProof/>
        </w:rPr>
        <w:footnoteReference w:id="41"/>
      </w:r>
      <w:r w:rsidR="00B83C93" w:rsidRPr="008B4DA2">
        <w:rPr>
          <w:noProof/>
          <w:bdr w:val="nil"/>
        </w:rPr>
        <w:t xml:space="preserve"> w</w:t>
      </w:r>
      <w:r w:rsidR="00B83C93">
        <w:rPr>
          <w:noProof/>
          <w:bdr w:val="nil"/>
        </w:rPr>
        <w:t> </w:t>
      </w:r>
      <w:r w:rsidR="00B83C93" w:rsidRPr="008B4DA2">
        <w:rPr>
          <w:noProof/>
          <w:bdr w:val="nil"/>
        </w:rPr>
        <w:t>zak</w:t>
      </w:r>
      <w:r w:rsidRPr="008B4DA2">
        <w:rPr>
          <w:noProof/>
          <w:bdr w:val="nil"/>
        </w:rPr>
        <w:t>resie egzekwowania kar za takie przestępstwa</w:t>
      </w:r>
      <w:r w:rsidR="00B83C93" w:rsidRPr="008B4DA2">
        <w:rPr>
          <w:noProof/>
          <w:bdr w:val="nil"/>
        </w:rPr>
        <w:t xml:space="preserve"> i</w:t>
      </w:r>
      <w:r w:rsidR="00B83C93">
        <w:rPr>
          <w:noProof/>
          <w:bdr w:val="nil"/>
        </w:rPr>
        <w:t> </w:t>
      </w:r>
      <w:r w:rsidR="00B83C93" w:rsidRPr="008B4DA2">
        <w:rPr>
          <w:noProof/>
          <w:bdr w:val="nil"/>
        </w:rPr>
        <w:t>wyk</w:t>
      </w:r>
      <w:r w:rsidRPr="008B4DA2">
        <w:rPr>
          <w:noProof/>
          <w:bdr w:val="nil"/>
        </w:rPr>
        <w:t>roczenia. Dyrektywa wymaga również pełniejszego dostosowania do rozporządzenia</w:t>
      </w:r>
      <w:r w:rsidR="00B83C93" w:rsidRPr="008B4DA2">
        <w:rPr>
          <w:noProof/>
          <w:bdr w:val="nil"/>
        </w:rPr>
        <w:t xml:space="preserve"> w</w:t>
      </w:r>
      <w:r w:rsidR="00B83C93">
        <w:rPr>
          <w:noProof/>
          <w:bdr w:val="nil"/>
        </w:rPr>
        <w:t> </w:t>
      </w:r>
      <w:r w:rsidR="00B83C93" w:rsidRPr="008B4DA2">
        <w:rPr>
          <w:noProof/>
          <w:bdr w:val="nil"/>
        </w:rPr>
        <w:t>spr</w:t>
      </w:r>
      <w:r w:rsidRPr="008B4DA2">
        <w:rPr>
          <w:noProof/>
          <w:bdr w:val="nil"/>
        </w:rPr>
        <w:t>awie bezpieczeństwa ogólnego</w:t>
      </w:r>
      <w:r w:rsidRPr="008B4DA2">
        <w:rPr>
          <w:rStyle w:val="FootnoteReference"/>
          <w:noProof/>
        </w:rPr>
        <w:footnoteReference w:id="42"/>
      </w:r>
      <w:r w:rsidRPr="008B4DA2">
        <w:rPr>
          <w:noProof/>
        </w:rPr>
        <w:t>.</w:t>
      </w:r>
    </w:p>
    <w:p w:rsidR="00BD67F9" w:rsidRPr="008B4DA2" w:rsidRDefault="00BD67F9" w:rsidP="00BD67F9">
      <w:pPr>
        <w:pStyle w:val="ManualHeading2"/>
        <w:rPr>
          <w:rFonts w:eastAsia="Arial Unicode MS"/>
          <w:noProof/>
          <w:bdr w:val="nil"/>
        </w:rPr>
      </w:pPr>
      <w:r w:rsidRPr="008B4DA2">
        <w:rPr>
          <w:noProof/>
          <w:bdr w:val="nil"/>
        </w:rPr>
        <w:t>•</w:t>
      </w:r>
      <w:r w:rsidRPr="008B4DA2">
        <w:rPr>
          <w:noProof/>
        </w:rPr>
        <w:tab/>
      </w:r>
      <w:r w:rsidRPr="008B4DA2">
        <w:rPr>
          <w:noProof/>
          <w:bdr w:val="nil"/>
        </w:rPr>
        <w:t>Konsultacje</w:t>
      </w:r>
      <w:r w:rsidR="00B83C93" w:rsidRPr="008B4DA2">
        <w:rPr>
          <w:noProof/>
          <w:bdr w:val="nil"/>
        </w:rPr>
        <w:t xml:space="preserve"> z</w:t>
      </w:r>
      <w:r w:rsidR="00B83C93">
        <w:rPr>
          <w:noProof/>
          <w:bdr w:val="nil"/>
        </w:rPr>
        <w:t> </w:t>
      </w:r>
      <w:r w:rsidR="00B83C93" w:rsidRPr="008B4DA2">
        <w:rPr>
          <w:noProof/>
          <w:bdr w:val="nil"/>
        </w:rPr>
        <w:t>zai</w:t>
      </w:r>
      <w:r w:rsidRPr="008B4DA2">
        <w:rPr>
          <w:noProof/>
          <w:bdr w:val="nil"/>
        </w:rPr>
        <w:t>nteresowanymi stronami</w:t>
      </w:r>
    </w:p>
    <w:p w:rsidR="00BD67F9" w:rsidRPr="008B4DA2" w:rsidRDefault="00BD67F9" w:rsidP="00BD67F9">
      <w:pPr>
        <w:rPr>
          <w:noProof/>
        </w:rPr>
      </w:pPr>
      <w:r w:rsidRPr="008B4DA2">
        <w:rPr>
          <w:noProof/>
        </w:rPr>
        <w:t>Zgodnie</w:t>
      </w:r>
      <w:r w:rsidR="00B83C93" w:rsidRPr="008B4DA2">
        <w:rPr>
          <w:noProof/>
        </w:rPr>
        <w:t xml:space="preserve"> z</w:t>
      </w:r>
      <w:r w:rsidR="00B83C93">
        <w:rPr>
          <w:noProof/>
        </w:rPr>
        <w:t> </w:t>
      </w:r>
      <w:r w:rsidR="00B83C93" w:rsidRPr="008B4DA2">
        <w:rPr>
          <w:noProof/>
        </w:rPr>
        <w:t>wyt</w:t>
      </w:r>
      <w:r w:rsidRPr="008B4DA2">
        <w:rPr>
          <w:noProof/>
        </w:rPr>
        <w:t>ycznymi</w:t>
      </w:r>
      <w:r w:rsidR="00B83C93" w:rsidRPr="008B4DA2">
        <w:rPr>
          <w:noProof/>
        </w:rPr>
        <w:t xml:space="preserve"> w</w:t>
      </w:r>
      <w:r w:rsidR="00B83C93">
        <w:rPr>
          <w:noProof/>
        </w:rPr>
        <w:t> </w:t>
      </w:r>
      <w:r w:rsidR="00B83C93" w:rsidRPr="008B4DA2">
        <w:rPr>
          <w:noProof/>
        </w:rPr>
        <w:t>spr</w:t>
      </w:r>
      <w:r w:rsidRPr="008B4DA2">
        <w:rPr>
          <w:noProof/>
        </w:rPr>
        <w:t xml:space="preserve">awie lepszego stanowienia prawa na etapie oceny </w:t>
      </w:r>
      <w:r w:rsidRPr="008B4DA2">
        <w:rPr>
          <w:i/>
          <w:noProof/>
        </w:rPr>
        <w:t>ex post</w:t>
      </w:r>
      <w:r w:rsidRPr="008B4DA2">
        <w:rPr>
          <w:noProof/>
        </w:rPr>
        <w:t xml:space="preserve"> i na etapie oceny skutków przeprowadzono konsultacje</w:t>
      </w:r>
      <w:r w:rsidR="00B83C93" w:rsidRPr="008B4DA2">
        <w:rPr>
          <w:noProof/>
        </w:rPr>
        <w:t xml:space="preserve"> z</w:t>
      </w:r>
      <w:r w:rsidR="00B83C93">
        <w:rPr>
          <w:noProof/>
        </w:rPr>
        <w:t> </w:t>
      </w:r>
      <w:r w:rsidR="00B83C93" w:rsidRPr="008B4DA2">
        <w:rPr>
          <w:noProof/>
        </w:rPr>
        <w:t>zai</w:t>
      </w:r>
      <w:r w:rsidRPr="008B4DA2">
        <w:rPr>
          <w:noProof/>
        </w:rPr>
        <w:t>nteresowanymi stronami.</w:t>
      </w:r>
    </w:p>
    <w:p w:rsidR="00BD67F9" w:rsidRPr="008B4DA2" w:rsidRDefault="00BD67F9" w:rsidP="00BD67F9">
      <w:pPr>
        <w:rPr>
          <w:noProof/>
        </w:rPr>
      </w:pPr>
      <w:r w:rsidRPr="008B4DA2">
        <w:rPr>
          <w:noProof/>
        </w:rPr>
        <w:t xml:space="preserve">Podczas oceny </w:t>
      </w:r>
      <w:r w:rsidRPr="008B4DA2">
        <w:rPr>
          <w:i/>
          <w:noProof/>
        </w:rPr>
        <w:t>ex post</w:t>
      </w:r>
      <w:r w:rsidRPr="008B4DA2">
        <w:rPr>
          <w:noProof/>
        </w:rPr>
        <w:t xml:space="preserve"> przeprowadzono 16 października 20</w:t>
      </w:r>
      <w:r w:rsidRPr="00B83C93">
        <w:rPr>
          <w:noProof/>
        </w:rPr>
        <w:t>20</w:t>
      </w:r>
      <w:r w:rsidR="00B83C93" w:rsidRPr="00B83C93">
        <w:rPr>
          <w:noProof/>
        </w:rPr>
        <w:t> </w:t>
      </w:r>
      <w:r w:rsidRPr="00B83C93">
        <w:rPr>
          <w:noProof/>
        </w:rPr>
        <w:t>r.</w:t>
      </w:r>
      <w:r w:rsidRPr="008B4DA2">
        <w:rPr>
          <w:noProof/>
        </w:rPr>
        <w:t xml:space="preserve"> warsztaty dla zainteresowanych stron</w:t>
      </w:r>
      <w:r w:rsidR="00B83C93" w:rsidRPr="008B4DA2">
        <w:rPr>
          <w:noProof/>
        </w:rPr>
        <w:t xml:space="preserve"> w</w:t>
      </w:r>
      <w:r w:rsidR="00B83C93">
        <w:rPr>
          <w:noProof/>
        </w:rPr>
        <w:t> </w:t>
      </w:r>
      <w:r w:rsidR="00B83C93" w:rsidRPr="008B4DA2">
        <w:rPr>
          <w:noProof/>
        </w:rPr>
        <w:t>cel</w:t>
      </w:r>
      <w:r w:rsidRPr="008B4DA2">
        <w:rPr>
          <w:noProof/>
        </w:rPr>
        <w:t xml:space="preserve">u zgromadzenia dowodów, potwierdzenia poczynionych ustaleń, uzyskania informacji zwrotnych na temat nowych ustaleń oraz zebrania opinii. </w:t>
      </w:r>
    </w:p>
    <w:p w:rsidR="00BD67F9" w:rsidRPr="008B4DA2" w:rsidRDefault="00BD67F9" w:rsidP="00BD67F9">
      <w:pPr>
        <w:rPr>
          <w:noProof/>
        </w:rPr>
      </w:pPr>
      <w:r w:rsidRPr="008B4DA2">
        <w:rPr>
          <w:noProof/>
        </w:rPr>
        <w:t xml:space="preserve">W okresie </w:t>
      </w:r>
      <w:r w:rsidRPr="00B83C93">
        <w:rPr>
          <w:noProof/>
        </w:rPr>
        <w:t>od</w:t>
      </w:r>
      <w:r w:rsidR="00B83C93" w:rsidRPr="00B83C93">
        <w:rPr>
          <w:noProof/>
        </w:rPr>
        <w:t> </w:t>
      </w:r>
      <w:r w:rsidRPr="00B83C93">
        <w:rPr>
          <w:noProof/>
        </w:rPr>
        <w:t>2</w:t>
      </w:r>
      <w:r w:rsidRPr="008B4DA2">
        <w:rPr>
          <w:noProof/>
        </w:rPr>
        <w:t>8 października 20</w:t>
      </w:r>
      <w:r w:rsidRPr="00B83C93">
        <w:rPr>
          <w:noProof/>
        </w:rPr>
        <w:t>20</w:t>
      </w:r>
      <w:r w:rsidR="00B83C93" w:rsidRPr="00B83C93">
        <w:rPr>
          <w:noProof/>
        </w:rPr>
        <w:t> </w:t>
      </w:r>
      <w:r w:rsidRPr="00B83C93">
        <w:rPr>
          <w:noProof/>
        </w:rPr>
        <w:t>r.</w:t>
      </w:r>
      <w:r w:rsidRPr="008B4DA2">
        <w:rPr>
          <w:noProof/>
        </w:rPr>
        <w:t xml:space="preserve"> </w:t>
      </w:r>
      <w:r w:rsidRPr="00B83C93">
        <w:rPr>
          <w:noProof/>
        </w:rPr>
        <w:t>do</w:t>
      </w:r>
      <w:r w:rsidR="00B83C93" w:rsidRPr="00B83C93">
        <w:rPr>
          <w:noProof/>
        </w:rPr>
        <w:t> </w:t>
      </w:r>
      <w:r w:rsidRPr="00B83C93">
        <w:rPr>
          <w:noProof/>
        </w:rPr>
        <w:t>2</w:t>
      </w:r>
      <w:r w:rsidRPr="008B4DA2">
        <w:rPr>
          <w:noProof/>
        </w:rPr>
        <w:t>0 stycznia 20</w:t>
      </w:r>
      <w:r w:rsidRPr="00B83C93">
        <w:rPr>
          <w:noProof/>
        </w:rPr>
        <w:t>21</w:t>
      </w:r>
      <w:r w:rsidR="00B83C93" w:rsidRPr="00B83C93">
        <w:rPr>
          <w:noProof/>
        </w:rPr>
        <w:t> </w:t>
      </w:r>
      <w:r w:rsidRPr="00B83C93">
        <w:rPr>
          <w:noProof/>
        </w:rPr>
        <w:t>r.</w:t>
      </w:r>
      <w:r w:rsidRPr="008B4DA2">
        <w:rPr>
          <w:noProof/>
        </w:rPr>
        <w:t xml:space="preserve"> przeprowadzono otwarte konsultacje publiczne umożliwiające osobom zainteresowanym oraz zainteresowanym stronom wyrażenie opinii na temat obowiązujących przepisów.</w:t>
      </w:r>
    </w:p>
    <w:p w:rsidR="00BD67F9" w:rsidRPr="008B4DA2" w:rsidRDefault="00BD67F9" w:rsidP="00BD67F9">
      <w:pPr>
        <w:rPr>
          <w:rFonts w:eastAsia="Times New Roman"/>
          <w:noProof/>
        </w:rPr>
      </w:pPr>
      <w:r w:rsidRPr="008B4DA2">
        <w:rPr>
          <w:noProof/>
        </w:rPr>
        <w:t xml:space="preserve">Podczas etapu przygotowawczego oceny skutków zainteresowane strony miały możliwość przekazania informacji zwrotnych na temat wstępnej oceny skutków (II </w:t>
      </w:r>
      <w:r w:rsidRPr="00B83C93">
        <w:rPr>
          <w:noProof/>
        </w:rPr>
        <w:t>kw.</w:t>
      </w:r>
      <w:r w:rsidR="00B83C93" w:rsidRPr="00B83C93">
        <w:rPr>
          <w:noProof/>
        </w:rPr>
        <w:t> </w:t>
      </w:r>
      <w:r w:rsidRPr="00B83C93">
        <w:rPr>
          <w:noProof/>
        </w:rPr>
        <w:t>2</w:t>
      </w:r>
      <w:r w:rsidRPr="008B4DA2">
        <w:rPr>
          <w:noProof/>
        </w:rPr>
        <w:t>0</w:t>
      </w:r>
      <w:r w:rsidRPr="00B83C93">
        <w:rPr>
          <w:noProof/>
        </w:rPr>
        <w:t>21</w:t>
      </w:r>
      <w:r w:rsidR="00B83C93" w:rsidRPr="00B83C93">
        <w:rPr>
          <w:noProof/>
        </w:rPr>
        <w:t> </w:t>
      </w:r>
      <w:r w:rsidRPr="00B83C93">
        <w:rPr>
          <w:noProof/>
        </w:rPr>
        <w:t>r.</w:t>
      </w:r>
      <w:r w:rsidRPr="008B4DA2">
        <w:rPr>
          <w:noProof/>
        </w:rPr>
        <w:t>). Następnie przeprowadzono następujące działania</w:t>
      </w:r>
      <w:r w:rsidR="00B83C93" w:rsidRPr="008B4DA2">
        <w:rPr>
          <w:noProof/>
        </w:rPr>
        <w:t xml:space="preserve"> w</w:t>
      </w:r>
      <w:r w:rsidR="00B83C93">
        <w:rPr>
          <w:noProof/>
        </w:rPr>
        <w:t> </w:t>
      </w:r>
      <w:r w:rsidR="00B83C93" w:rsidRPr="008B4DA2">
        <w:rPr>
          <w:noProof/>
        </w:rPr>
        <w:t>ram</w:t>
      </w:r>
      <w:r w:rsidRPr="008B4DA2">
        <w:rPr>
          <w:noProof/>
        </w:rPr>
        <w:t>ach ukierunkowanych konsultacji:</w:t>
      </w:r>
    </w:p>
    <w:p w:rsidR="00BD67F9" w:rsidRPr="008B4DA2" w:rsidRDefault="00BD67F9" w:rsidP="005B2A2F">
      <w:pPr>
        <w:pStyle w:val="Tiret1"/>
        <w:rPr>
          <w:rFonts w:eastAsiaTheme="minorEastAsia"/>
          <w:noProof/>
        </w:rPr>
      </w:pPr>
      <w:r w:rsidRPr="008B4DA2">
        <w:rPr>
          <w:noProof/>
        </w:rPr>
        <w:t>dwie tury wywiadów:</w:t>
      </w:r>
    </w:p>
    <w:p w:rsidR="00BD67F9" w:rsidRPr="008B4DA2" w:rsidRDefault="00BD67F9" w:rsidP="001404F6">
      <w:pPr>
        <w:pStyle w:val="Bullet2"/>
        <w:numPr>
          <w:ilvl w:val="0"/>
          <w:numId w:val="22"/>
        </w:numPr>
        <w:rPr>
          <w:rFonts w:eastAsiaTheme="minorEastAsia"/>
          <w:noProof/>
        </w:rPr>
      </w:pPr>
      <w:r w:rsidRPr="008B4DA2">
        <w:rPr>
          <w:noProof/>
        </w:rPr>
        <w:t>wywiady rozpoznawcze</w:t>
      </w:r>
      <w:r w:rsidR="00B83C93" w:rsidRPr="008B4DA2">
        <w:rPr>
          <w:noProof/>
        </w:rPr>
        <w:t xml:space="preserve"> w</w:t>
      </w:r>
      <w:r w:rsidR="00B83C93">
        <w:rPr>
          <w:noProof/>
        </w:rPr>
        <w:t> </w:t>
      </w:r>
      <w:r w:rsidR="00B83C93" w:rsidRPr="008B4DA2">
        <w:rPr>
          <w:noProof/>
        </w:rPr>
        <w:t>faz</w:t>
      </w:r>
      <w:r w:rsidRPr="008B4DA2">
        <w:rPr>
          <w:noProof/>
        </w:rPr>
        <w:t xml:space="preserve">ie wstępnej (I kw. i II </w:t>
      </w:r>
      <w:r w:rsidRPr="00B83C93">
        <w:rPr>
          <w:noProof/>
        </w:rPr>
        <w:t>kw.</w:t>
      </w:r>
      <w:r w:rsidR="00B83C93" w:rsidRPr="00B83C93">
        <w:rPr>
          <w:noProof/>
        </w:rPr>
        <w:t> </w:t>
      </w:r>
      <w:r w:rsidRPr="00B83C93">
        <w:rPr>
          <w:noProof/>
        </w:rPr>
        <w:t>2</w:t>
      </w:r>
      <w:r w:rsidRPr="008B4DA2">
        <w:rPr>
          <w:noProof/>
        </w:rPr>
        <w:t>0</w:t>
      </w:r>
      <w:r w:rsidRPr="00B83C93">
        <w:rPr>
          <w:noProof/>
        </w:rPr>
        <w:t>22</w:t>
      </w:r>
      <w:r w:rsidR="00B83C93" w:rsidRPr="00B83C93">
        <w:rPr>
          <w:noProof/>
        </w:rPr>
        <w:t> </w:t>
      </w:r>
      <w:r w:rsidRPr="00B83C93">
        <w:rPr>
          <w:noProof/>
        </w:rPr>
        <w:t>r.</w:t>
      </w:r>
      <w:r w:rsidRPr="008B4DA2">
        <w:rPr>
          <w:noProof/>
        </w:rPr>
        <w:t>),</w:t>
      </w:r>
    </w:p>
    <w:p w:rsidR="00BD67F9" w:rsidRPr="008B4DA2" w:rsidRDefault="00BD67F9" w:rsidP="005B2A2F">
      <w:pPr>
        <w:pStyle w:val="Bullet2"/>
        <w:rPr>
          <w:rFonts w:eastAsiaTheme="minorEastAsia"/>
          <w:noProof/>
        </w:rPr>
      </w:pPr>
      <w:r w:rsidRPr="008B4DA2">
        <w:rPr>
          <w:noProof/>
        </w:rPr>
        <w:t>wywiady pogłębione</w:t>
      </w:r>
      <w:r w:rsidR="00B83C93" w:rsidRPr="008B4DA2">
        <w:rPr>
          <w:noProof/>
        </w:rPr>
        <w:t xml:space="preserve"> w</w:t>
      </w:r>
      <w:r w:rsidR="00B83C93">
        <w:rPr>
          <w:noProof/>
        </w:rPr>
        <w:t> </w:t>
      </w:r>
      <w:r w:rsidR="00B83C93" w:rsidRPr="008B4DA2">
        <w:rPr>
          <w:noProof/>
        </w:rPr>
        <w:t>cel</w:t>
      </w:r>
      <w:r w:rsidRPr="008B4DA2">
        <w:rPr>
          <w:noProof/>
        </w:rPr>
        <w:t>u wypełnienia luk informacyjnych</w:t>
      </w:r>
      <w:r w:rsidR="00B83C93" w:rsidRPr="008B4DA2">
        <w:rPr>
          <w:noProof/>
        </w:rPr>
        <w:t xml:space="preserve"> i</w:t>
      </w:r>
      <w:r w:rsidR="00B83C93">
        <w:rPr>
          <w:noProof/>
        </w:rPr>
        <w:t> </w:t>
      </w:r>
      <w:r w:rsidR="00B83C93" w:rsidRPr="008B4DA2">
        <w:rPr>
          <w:noProof/>
        </w:rPr>
        <w:t>oce</w:t>
      </w:r>
      <w:r w:rsidRPr="008B4DA2">
        <w:rPr>
          <w:noProof/>
        </w:rPr>
        <w:t>ny oczekiwanych skutków środków</w:t>
      </w:r>
      <w:r w:rsidR="00B83C93" w:rsidRPr="008B4DA2">
        <w:rPr>
          <w:noProof/>
        </w:rPr>
        <w:t xml:space="preserve"> z</w:t>
      </w:r>
      <w:r w:rsidR="00B83C93">
        <w:rPr>
          <w:noProof/>
        </w:rPr>
        <w:t> </w:t>
      </w:r>
      <w:r w:rsidR="00B83C93" w:rsidRPr="008B4DA2">
        <w:rPr>
          <w:noProof/>
        </w:rPr>
        <w:t>zak</w:t>
      </w:r>
      <w:r w:rsidRPr="008B4DA2">
        <w:rPr>
          <w:noProof/>
        </w:rPr>
        <w:t xml:space="preserve">resu polityki (II kw. i III </w:t>
      </w:r>
      <w:r w:rsidRPr="00B83C93">
        <w:rPr>
          <w:noProof/>
        </w:rPr>
        <w:t>kw.</w:t>
      </w:r>
      <w:r w:rsidR="00B83C93" w:rsidRPr="00B83C93">
        <w:rPr>
          <w:noProof/>
        </w:rPr>
        <w:t> </w:t>
      </w:r>
      <w:r w:rsidRPr="00B83C93">
        <w:rPr>
          <w:noProof/>
        </w:rPr>
        <w:t>2</w:t>
      </w:r>
      <w:r w:rsidRPr="008B4DA2">
        <w:rPr>
          <w:noProof/>
        </w:rPr>
        <w:t>0</w:t>
      </w:r>
      <w:r w:rsidRPr="00B83C93">
        <w:rPr>
          <w:noProof/>
        </w:rPr>
        <w:t>21</w:t>
      </w:r>
      <w:r w:rsidR="00B83C93" w:rsidRPr="00B83C93">
        <w:rPr>
          <w:noProof/>
        </w:rPr>
        <w:t> </w:t>
      </w:r>
      <w:r w:rsidRPr="00B83C93">
        <w:rPr>
          <w:noProof/>
        </w:rPr>
        <w:t>r.</w:t>
      </w:r>
      <w:r w:rsidRPr="008B4DA2">
        <w:rPr>
          <w:noProof/>
        </w:rPr>
        <w:t>);</w:t>
      </w:r>
    </w:p>
    <w:p w:rsidR="00BD67F9" w:rsidRPr="008B4DA2" w:rsidRDefault="00BD67F9" w:rsidP="005B2A2F">
      <w:pPr>
        <w:pStyle w:val="Tiret1"/>
        <w:rPr>
          <w:rFonts w:eastAsiaTheme="minorEastAsia"/>
          <w:noProof/>
        </w:rPr>
      </w:pPr>
      <w:r w:rsidRPr="008B4DA2">
        <w:rPr>
          <w:noProof/>
        </w:rPr>
        <w:t>dwie tury ankiet:</w:t>
      </w:r>
    </w:p>
    <w:p w:rsidR="00BD67F9" w:rsidRPr="008B4DA2" w:rsidRDefault="00BD67F9" w:rsidP="005B2A2F">
      <w:pPr>
        <w:pStyle w:val="Bullet2"/>
        <w:rPr>
          <w:rFonts w:eastAsiaTheme="minorEastAsia"/>
          <w:noProof/>
        </w:rPr>
      </w:pPr>
      <w:r w:rsidRPr="008B4DA2">
        <w:rPr>
          <w:noProof/>
        </w:rPr>
        <w:t xml:space="preserve">ankietę wspierającą analizę problemu (II </w:t>
      </w:r>
      <w:r w:rsidRPr="00B83C93">
        <w:rPr>
          <w:noProof/>
        </w:rPr>
        <w:t>kw.</w:t>
      </w:r>
      <w:r w:rsidR="00B83C93" w:rsidRPr="00B83C93">
        <w:rPr>
          <w:noProof/>
        </w:rPr>
        <w:t> </w:t>
      </w:r>
      <w:r w:rsidRPr="00B83C93">
        <w:rPr>
          <w:noProof/>
        </w:rPr>
        <w:t>2</w:t>
      </w:r>
      <w:r w:rsidRPr="008B4DA2">
        <w:rPr>
          <w:noProof/>
        </w:rPr>
        <w:t>0</w:t>
      </w:r>
      <w:r w:rsidRPr="00B83C93">
        <w:rPr>
          <w:noProof/>
        </w:rPr>
        <w:t>22</w:t>
      </w:r>
      <w:r w:rsidR="00B83C93" w:rsidRPr="00B83C93">
        <w:rPr>
          <w:noProof/>
        </w:rPr>
        <w:t> </w:t>
      </w:r>
      <w:r w:rsidRPr="00B83C93">
        <w:rPr>
          <w:noProof/>
        </w:rPr>
        <w:t>r.</w:t>
      </w:r>
      <w:r w:rsidRPr="008B4DA2">
        <w:rPr>
          <w:noProof/>
        </w:rPr>
        <w:t xml:space="preserve">), </w:t>
      </w:r>
    </w:p>
    <w:p w:rsidR="00BD67F9" w:rsidRPr="008B4DA2" w:rsidRDefault="00BD67F9" w:rsidP="005B2A2F">
      <w:pPr>
        <w:pStyle w:val="Bullet2"/>
        <w:rPr>
          <w:rFonts w:eastAsiaTheme="minorEastAsia"/>
          <w:noProof/>
        </w:rPr>
      </w:pPr>
      <w:r w:rsidRPr="008B4DA2">
        <w:rPr>
          <w:noProof/>
        </w:rPr>
        <w:t>ankietę na potrzeby oceny skutków środków</w:t>
      </w:r>
      <w:r w:rsidR="00B83C93" w:rsidRPr="008B4DA2">
        <w:rPr>
          <w:noProof/>
        </w:rPr>
        <w:t xml:space="preserve"> z</w:t>
      </w:r>
      <w:r w:rsidR="00B83C93">
        <w:rPr>
          <w:noProof/>
        </w:rPr>
        <w:t> </w:t>
      </w:r>
      <w:r w:rsidR="00B83C93" w:rsidRPr="008B4DA2">
        <w:rPr>
          <w:noProof/>
        </w:rPr>
        <w:t>zak</w:t>
      </w:r>
      <w:r w:rsidRPr="008B4DA2">
        <w:rPr>
          <w:noProof/>
        </w:rPr>
        <w:t xml:space="preserve">resu polityki (II kw. i III </w:t>
      </w:r>
      <w:r w:rsidRPr="00B83C93">
        <w:rPr>
          <w:noProof/>
        </w:rPr>
        <w:t>kw.</w:t>
      </w:r>
      <w:r w:rsidR="00B83C93" w:rsidRPr="00B83C93">
        <w:rPr>
          <w:noProof/>
        </w:rPr>
        <w:t> </w:t>
      </w:r>
      <w:r w:rsidRPr="00B83C93">
        <w:rPr>
          <w:noProof/>
        </w:rPr>
        <w:t>2</w:t>
      </w:r>
      <w:r w:rsidRPr="008B4DA2">
        <w:rPr>
          <w:noProof/>
        </w:rPr>
        <w:t>0</w:t>
      </w:r>
      <w:r w:rsidRPr="00B83C93">
        <w:rPr>
          <w:noProof/>
        </w:rPr>
        <w:t>22</w:t>
      </w:r>
      <w:r w:rsidR="00B83C93" w:rsidRPr="00B83C93">
        <w:rPr>
          <w:noProof/>
        </w:rPr>
        <w:t> </w:t>
      </w:r>
      <w:r w:rsidRPr="00B83C93">
        <w:rPr>
          <w:noProof/>
        </w:rPr>
        <w:t>r.</w:t>
      </w:r>
      <w:r w:rsidRPr="008B4DA2">
        <w:rPr>
          <w:noProof/>
        </w:rPr>
        <w:t>).</w:t>
      </w:r>
    </w:p>
    <w:p w:rsidR="00BD67F9" w:rsidRPr="008B4DA2" w:rsidRDefault="00BD67F9" w:rsidP="00BD67F9">
      <w:pPr>
        <w:rPr>
          <w:rFonts w:eastAsia="Times New Roman"/>
          <w:noProof/>
        </w:rPr>
      </w:pPr>
      <w:r w:rsidRPr="008B4DA2">
        <w:rPr>
          <w:noProof/>
        </w:rPr>
        <w:t>Wreszcie w III kwartale 20</w:t>
      </w:r>
      <w:r w:rsidRPr="00B83C93">
        <w:rPr>
          <w:noProof/>
        </w:rPr>
        <w:t>22</w:t>
      </w:r>
      <w:r w:rsidR="00B83C93" w:rsidRPr="00B83C93">
        <w:rPr>
          <w:noProof/>
        </w:rPr>
        <w:t> </w:t>
      </w:r>
      <w:r w:rsidRPr="00B83C93">
        <w:rPr>
          <w:noProof/>
        </w:rPr>
        <w:t>r.</w:t>
      </w:r>
      <w:r w:rsidRPr="008B4DA2">
        <w:rPr>
          <w:noProof/>
        </w:rPr>
        <w:t xml:space="preserve"> odbyły się nowe otwarte konsultacje publiczne.</w:t>
      </w:r>
    </w:p>
    <w:p w:rsidR="00BD67F9" w:rsidRPr="008B4DA2" w:rsidRDefault="00BD67F9" w:rsidP="00BD67F9">
      <w:pPr>
        <w:pStyle w:val="ManualHeading2"/>
        <w:rPr>
          <w:rFonts w:eastAsia="Arial Unicode MS"/>
          <w:noProof/>
          <w:bdr w:val="nil"/>
        </w:rPr>
      </w:pPr>
      <w:r w:rsidRPr="008B4DA2">
        <w:rPr>
          <w:noProof/>
          <w:bdr w:val="nil"/>
        </w:rPr>
        <w:t>•</w:t>
      </w:r>
      <w:r w:rsidRPr="008B4DA2">
        <w:rPr>
          <w:noProof/>
        </w:rPr>
        <w:tab/>
      </w:r>
      <w:r w:rsidRPr="008B4DA2">
        <w:rPr>
          <w:noProof/>
          <w:bdr w:val="nil"/>
        </w:rPr>
        <w:t>Gromadzenie</w:t>
      </w:r>
      <w:r w:rsidR="00B83C93" w:rsidRPr="008B4DA2">
        <w:rPr>
          <w:noProof/>
          <w:bdr w:val="nil"/>
        </w:rPr>
        <w:t xml:space="preserve"> i</w:t>
      </w:r>
      <w:r w:rsidR="00B83C93">
        <w:rPr>
          <w:noProof/>
          <w:bdr w:val="nil"/>
        </w:rPr>
        <w:t> </w:t>
      </w:r>
      <w:r w:rsidR="00B83C93" w:rsidRPr="008B4DA2">
        <w:rPr>
          <w:noProof/>
          <w:bdr w:val="nil"/>
        </w:rPr>
        <w:t>wyk</w:t>
      </w:r>
      <w:r w:rsidRPr="008B4DA2">
        <w:rPr>
          <w:noProof/>
          <w:bdr w:val="nil"/>
        </w:rPr>
        <w:t>orzystanie wiedzy eksperckiej</w:t>
      </w:r>
    </w:p>
    <w:p w:rsidR="00BD67F9" w:rsidRPr="008B4DA2" w:rsidRDefault="00BD67F9" w:rsidP="00BD67F9">
      <w:pPr>
        <w:spacing w:after="240"/>
        <w:rPr>
          <w:rFonts w:eastAsia="Arial Unicode MS"/>
          <w:noProof/>
        </w:rPr>
      </w:pPr>
      <w:r w:rsidRPr="008B4DA2">
        <w:rPr>
          <w:noProof/>
        </w:rPr>
        <w:t>Podczas oceny skutków odbyły się trzy warsztaty</w:t>
      </w:r>
      <w:r w:rsidR="00B83C93" w:rsidRPr="008B4DA2">
        <w:rPr>
          <w:noProof/>
        </w:rPr>
        <w:t xml:space="preserve"> z</w:t>
      </w:r>
      <w:r w:rsidR="00B83C93">
        <w:rPr>
          <w:noProof/>
        </w:rPr>
        <w:t> </w:t>
      </w:r>
      <w:r w:rsidR="00B83C93" w:rsidRPr="008B4DA2">
        <w:rPr>
          <w:noProof/>
        </w:rPr>
        <w:t>udz</w:t>
      </w:r>
      <w:r w:rsidRPr="008B4DA2">
        <w:rPr>
          <w:noProof/>
        </w:rPr>
        <w:t>iałem ekspertów:</w:t>
      </w:r>
    </w:p>
    <w:p w:rsidR="00BD67F9" w:rsidRPr="008B4DA2" w:rsidRDefault="00BD67F9" w:rsidP="00990B81">
      <w:pPr>
        <w:pStyle w:val="Tiret1"/>
        <w:rPr>
          <w:rFonts w:eastAsiaTheme="minorEastAsia"/>
          <w:noProof/>
        </w:rPr>
      </w:pPr>
      <w:r w:rsidRPr="008B4DA2">
        <w:rPr>
          <w:noProof/>
        </w:rPr>
        <w:t>szkolenie, egzaminowanie</w:t>
      </w:r>
      <w:r w:rsidR="00B83C93" w:rsidRPr="008B4DA2">
        <w:rPr>
          <w:noProof/>
        </w:rPr>
        <w:t xml:space="preserve"> i</w:t>
      </w:r>
      <w:r w:rsidR="00B83C93">
        <w:rPr>
          <w:noProof/>
        </w:rPr>
        <w:t> </w:t>
      </w:r>
      <w:r w:rsidR="00B83C93" w:rsidRPr="008B4DA2">
        <w:rPr>
          <w:noProof/>
        </w:rPr>
        <w:t>kat</w:t>
      </w:r>
      <w:r w:rsidRPr="008B4DA2">
        <w:rPr>
          <w:noProof/>
        </w:rPr>
        <w:t>egorie pojazdów, I kwartał 20</w:t>
      </w:r>
      <w:r w:rsidRPr="00B83C93">
        <w:rPr>
          <w:noProof/>
        </w:rPr>
        <w:t>22</w:t>
      </w:r>
      <w:r w:rsidR="00B83C93" w:rsidRPr="00B83C93">
        <w:rPr>
          <w:noProof/>
        </w:rPr>
        <w:t> </w:t>
      </w:r>
      <w:r w:rsidRPr="00B83C93">
        <w:rPr>
          <w:noProof/>
        </w:rPr>
        <w:t>r.</w:t>
      </w:r>
      <w:r w:rsidRPr="008B4DA2">
        <w:rPr>
          <w:noProof/>
        </w:rPr>
        <w:t xml:space="preserve">, </w:t>
      </w:r>
    </w:p>
    <w:p w:rsidR="00BD67F9" w:rsidRPr="008B4DA2" w:rsidRDefault="00BD67F9" w:rsidP="00990B81">
      <w:pPr>
        <w:pStyle w:val="Tiret1"/>
        <w:rPr>
          <w:rFonts w:eastAsiaTheme="minorEastAsia"/>
          <w:noProof/>
        </w:rPr>
      </w:pPr>
      <w:r w:rsidRPr="008B4DA2">
        <w:rPr>
          <w:noProof/>
        </w:rPr>
        <w:t>wydawanie</w:t>
      </w:r>
      <w:r w:rsidR="00B83C93" w:rsidRPr="008B4DA2">
        <w:rPr>
          <w:noProof/>
        </w:rPr>
        <w:t xml:space="preserve"> i</w:t>
      </w:r>
      <w:r w:rsidR="00B83C93">
        <w:rPr>
          <w:noProof/>
        </w:rPr>
        <w:t> </w:t>
      </w:r>
      <w:r w:rsidR="00B83C93" w:rsidRPr="008B4DA2">
        <w:rPr>
          <w:noProof/>
        </w:rPr>
        <w:t>wza</w:t>
      </w:r>
      <w:r w:rsidRPr="008B4DA2">
        <w:rPr>
          <w:noProof/>
        </w:rPr>
        <w:t>jemne uznawanie praw jazdy, II kwartał 20</w:t>
      </w:r>
      <w:r w:rsidRPr="00B83C93">
        <w:rPr>
          <w:noProof/>
        </w:rPr>
        <w:t>22</w:t>
      </w:r>
      <w:r w:rsidR="00B83C93" w:rsidRPr="00B83C93">
        <w:rPr>
          <w:noProof/>
        </w:rPr>
        <w:t> </w:t>
      </w:r>
      <w:r w:rsidRPr="00B83C93">
        <w:rPr>
          <w:noProof/>
        </w:rPr>
        <w:t>r.</w:t>
      </w:r>
      <w:r w:rsidRPr="008B4DA2">
        <w:rPr>
          <w:noProof/>
        </w:rPr>
        <w:t>,</w:t>
      </w:r>
    </w:p>
    <w:p w:rsidR="00BD67F9" w:rsidRPr="008B4DA2" w:rsidRDefault="00BD67F9" w:rsidP="00990B81">
      <w:pPr>
        <w:pStyle w:val="Tiret1"/>
        <w:rPr>
          <w:rFonts w:eastAsiaTheme="minorEastAsia"/>
          <w:noProof/>
        </w:rPr>
      </w:pPr>
      <w:r w:rsidRPr="008B4DA2">
        <w:rPr>
          <w:noProof/>
        </w:rPr>
        <w:t>konsekwencje przestępstw</w:t>
      </w:r>
      <w:r w:rsidR="00B83C93" w:rsidRPr="008B4DA2">
        <w:rPr>
          <w:noProof/>
        </w:rPr>
        <w:t xml:space="preserve"> i</w:t>
      </w:r>
      <w:r w:rsidR="00B83C93">
        <w:rPr>
          <w:noProof/>
        </w:rPr>
        <w:t> </w:t>
      </w:r>
      <w:r w:rsidR="00B83C93" w:rsidRPr="008B4DA2">
        <w:rPr>
          <w:noProof/>
        </w:rPr>
        <w:t>wyk</w:t>
      </w:r>
      <w:r w:rsidRPr="008B4DA2">
        <w:rPr>
          <w:noProof/>
        </w:rPr>
        <w:t>roczeń</w:t>
      </w:r>
      <w:r w:rsidR="00B83C93" w:rsidRPr="008B4DA2">
        <w:rPr>
          <w:noProof/>
        </w:rPr>
        <w:t xml:space="preserve"> w</w:t>
      </w:r>
      <w:r w:rsidR="00B83C93">
        <w:rPr>
          <w:noProof/>
        </w:rPr>
        <w:t> </w:t>
      </w:r>
      <w:r w:rsidR="00B83C93" w:rsidRPr="008B4DA2">
        <w:rPr>
          <w:noProof/>
        </w:rPr>
        <w:t>ruc</w:t>
      </w:r>
      <w:r w:rsidRPr="008B4DA2">
        <w:rPr>
          <w:noProof/>
        </w:rPr>
        <w:t>hu drogowym oraz kwestie kondycji zdrowotnej, II kwartał 20</w:t>
      </w:r>
      <w:r w:rsidRPr="00B83C93">
        <w:rPr>
          <w:noProof/>
        </w:rPr>
        <w:t>22</w:t>
      </w:r>
      <w:r w:rsidR="00B83C93" w:rsidRPr="00B83C93">
        <w:rPr>
          <w:noProof/>
        </w:rPr>
        <w:t> </w:t>
      </w:r>
      <w:r w:rsidRPr="00B83C93">
        <w:rPr>
          <w:noProof/>
        </w:rPr>
        <w:t>r.</w:t>
      </w:r>
    </w:p>
    <w:p w:rsidR="00BD67F9" w:rsidRPr="008B4DA2" w:rsidRDefault="00BD67F9" w:rsidP="00BD67F9">
      <w:pPr>
        <w:rPr>
          <w:noProof/>
        </w:rPr>
      </w:pPr>
      <w:r w:rsidRPr="008B4DA2">
        <w:rPr>
          <w:noProof/>
        </w:rPr>
        <w:t>Własne prace służb Komisji nad oceną skutków dopełniło zewnętrzne badanie wspierające przeprowadzone przez niezależne konsorcjum,</w:t>
      </w:r>
      <w:r w:rsidR="00B83C93" w:rsidRPr="008B4DA2">
        <w:rPr>
          <w:noProof/>
        </w:rPr>
        <w:t xml:space="preserve"> w</w:t>
      </w:r>
      <w:r w:rsidR="00B83C93">
        <w:rPr>
          <w:noProof/>
        </w:rPr>
        <w:t> </w:t>
      </w:r>
      <w:r w:rsidR="00B83C93" w:rsidRPr="008B4DA2">
        <w:rPr>
          <w:noProof/>
        </w:rPr>
        <w:t>któ</w:t>
      </w:r>
      <w:r w:rsidRPr="008B4DA2">
        <w:rPr>
          <w:noProof/>
        </w:rPr>
        <w:t>rego skład weszły COWI, Ecorys i NTUA.</w:t>
      </w:r>
    </w:p>
    <w:p w:rsidR="00BD67F9" w:rsidRPr="008B4DA2" w:rsidRDefault="00BD67F9" w:rsidP="00BD67F9">
      <w:pPr>
        <w:spacing w:after="240"/>
        <w:rPr>
          <w:rFonts w:eastAsia="Arial Unicode MS"/>
          <w:noProof/>
        </w:rPr>
      </w:pPr>
      <w:r w:rsidRPr="008B4DA2">
        <w:rPr>
          <w:noProof/>
        </w:rPr>
        <w:t xml:space="preserve">W fazie przygotowawczej oceny </w:t>
      </w:r>
      <w:r w:rsidRPr="008B4DA2">
        <w:rPr>
          <w:i/>
          <w:noProof/>
        </w:rPr>
        <w:t>ex post</w:t>
      </w:r>
      <w:r w:rsidR="00B83C93" w:rsidRPr="008B4DA2">
        <w:rPr>
          <w:noProof/>
        </w:rPr>
        <w:t xml:space="preserve"> i</w:t>
      </w:r>
      <w:r w:rsidR="00B83C93">
        <w:rPr>
          <w:noProof/>
        </w:rPr>
        <w:t> </w:t>
      </w:r>
      <w:r w:rsidR="00B83C93" w:rsidRPr="008B4DA2">
        <w:rPr>
          <w:noProof/>
        </w:rPr>
        <w:t>oce</w:t>
      </w:r>
      <w:r w:rsidRPr="008B4DA2">
        <w:rPr>
          <w:noProof/>
        </w:rPr>
        <w:t xml:space="preserve">ny skutków regularnie przekazywano informacje komitetowi ds. praw jazdy ustanowionemu na podstawie </w:t>
      </w:r>
      <w:r w:rsidRPr="00B83C93">
        <w:rPr>
          <w:noProof/>
        </w:rPr>
        <w:t>art.</w:t>
      </w:r>
      <w:r w:rsidR="00B83C93" w:rsidRPr="00B83C93">
        <w:rPr>
          <w:noProof/>
        </w:rPr>
        <w:t> </w:t>
      </w:r>
      <w:r w:rsidRPr="00B83C93">
        <w:rPr>
          <w:noProof/>
        </w:rPr>
        <w:t>9</w:t>
      </w:r>
      <w:r w:rsidRPr="008B4DA2">
        <w:rPr>
          <w:noProof/>
        </w:rPr>
        <w:t xml:space="preserve"> obecnej dyrektywy, złożonemu głównie</w:t>
      </w:r>
      <w:r w:rsidR="00B83C93" w:rsidRPr="008B4DA2">
        <w:rPr>
          <w:noProof/>
        </w:rPr>
        <w:t xml:space="preserve"> z</w:t>
      </w:r>
      <w:r w:rsidR="00B83C93">
        <w:rPr>
          <w:noProof/>
        </w:rPr>
        <w:t> </w:t>
      </w:r>
      <w:r w:rsidR="00B83C93" w:rsidRPr="008B4DA2">
        <w:rPr>
          <w:noProof/>
        </w:rPr>
        <w:t>eks</w:t>
      </w:r>
      <w:r w:rsidRPr="008B4DA2">
        <w:rPr>
          <w:noProof/>
        </w:rPr>
        <w:t>pertów</w:t>
      </w:r>
      <w:r w:rsidR="00B83C93" w:rsidRPr="008B4DA2">
        <w:rPr>
          <w:noProof/>
        </w:rPr>
        <w:t xml:space="preserve"> z</w:t>
      </w:r>
      <w:r w:rsidR="00B83C93">
        <w:rPr>
          <w:noProof/>
        </w:rPr>
        <w:t> </w:t>
      </w:r>
      <w:r w:rsidR="00B83C93" w:rsidRPr="008B4DA2">
        <w:rPr>
          <w:noProof/>
        </w:rPr>
        <w:t>pań</w:t>
      </w:r>
      <w:r w:rsidRPr="008B4DA2">
        <w:rPr>
          <w:noProof/>
        </w:rPr>
        <w:t>stw członkowskich,</w:t>
      </w:r>
      <w:r w:rsidR="00B83C93" w:rsidRPr="008B4DA2">
        <w:rPr>
          <w:noProof/>
        </w:rPr>
        <w:t xml:space="preserve"> i</w:t>
      </w:r>
      <w:r w:rsidR="00B83C93">
        <w:rPr>
          <w:noProof/>
        </w:rPr>
        <w:t> </w:t>
      </w:r>
      <w:r w:rsidR="00B83C93" w:rsidRPr="008B4DA2">
        <w:rPr>
          <w:noProof/>
        </w:rPr>
        <w:t>kon</w:t>
      </w:r>
      <w:r w:rsidRPr="008B4DA2">
        <w:rPr>
          <w:noProof/>
        </w:rPr>
        <w:t>sultowano się</w:t>
      </w:r>
      <w:r w:rsidR="00B83C93" w:rsidRPr="008B4DA2">
        <w:rPr>
          <w:noProof/>
        </w:rPr>
        <w:t xml:space="preserve"> z</w:t>
      </w:r>
      <w:r w:rsidR="00B83C93">
        <w:rPr>
          <w:noProof/>
        </w:rPr>
        <w:t> </w:t>
      </w:r>
      <w:r w:rsidR="00B83C93" w:rsidRPr="008B4DA2">
        <w:rPr>
          <w:noProof/>
        </w:rPr>
        <w:t>nim</w:t>
      </w:r>
      <w:r w:rsidRPr="008B4DA2">
        <w:rPr>
          <w:noProof/>
        </w:rPr>
        <w:t>.</w:t>
      </w:r>
    </w:p>
    <w:p w:rsidR="00BD67F9" w:rsidRPr="008B4DA2" w:rsidRDefault="00BD67F9" w:rsidP="00BD67F9">
      <w:pPr>
        <w:pStyle w:val="ManualHeading2"/>
        <w:rPr>
          <w:rFonts w:eastAsia="Arial Unicode MS"/>
          <w:noProof/>
          <w:bdr w:val="nil"/>
        </w:rPr>
      </w:pPr>
      <w:r w:rsidRPr="008B4DA2">
        <w:rPr>
          <w:noProof/>
          <w:bdr w:val="nil"/>
        </w:rPr>
        <w:t>•</w:t>
      </w:r>
      <w:r w:rsidRPr="008B4DA2">
        <w:rPr>
          <w:noProof/>
        </w:rPr>
        <w:tab/>
      </w:r>
      <w:r w:rsidRPr="008B4DA2">
        <w:rPr>
          <w:noProof/>
          <w:bdr w:val="nil"/>
        </w:rPr>
        <w:t>Ocena skutków</w:t>
      </w:r>
    </w:p>
    <w:p w:rsidR="00BD67F9" w:rsidRPr="008B4DA2" w:rsidRDefault="00BD67F9" w:rsidP="00BD67F9">
      <w:pPr>
        <w:rPr>
          <w:noProof/>
          <w:szCs w:val="24"/>
        </w:rPr>
      </w:pPr>
      <w:r w:rsidRPr="008B4DA2">
        <w:rPr>
          <w:noProof/>
        </w:rPr>
        <w:t>Niniejszemu wnioskowi dotyczącemu rewizji dyrektywy</w:t>
      </w:r>
      <w:r w:rsidR="00B83C93" w:rsidRPr="008B4DA2">
        <w:rPr>
          <w:noProof/>
        </w:rPr>
        <w:t xml:space="preserve"> w</w:t>
      </w:r>
      <w:r w:rsidR="00B83C93">
        <w:rPr>
          <w:noProof/>
        </w:rPr>
        <w:t> </w:t>
      </w:r>
      <w:r w:rsidR="00B83C93" w:rsidRPr="008B4DA2">
        <w:rPr>
          <w:noProof/>
        </w:rPr>
        <w:t>spr</w:t>
      </w:r>
      <w:r w:rsidRPr="008B4DA2">
        <w:rPr>
          <w:noProof/>
        </w:rPr>
        <w:t>awie praw jazdy towarzyszy sprawozdanie</w:t>
      </w:r>
      <w:r w:rsidR="00B83C93" w:rsidRPr="008B4DA2">
        <w:rPr>
          <w:noProof/>
        </w:rPr>
        <w:t xml:space="preserve"> z</w:t>
      </w:r>
      <w:r w:rsidR="00B83C93">
        <w:rPr>
          <w:noProof/>
        </w:rPr>
        <w:t> </w:t>
      </w:r>
      <w:r w:rsidR="00B83C93" w:rsidRPr="008B4DA2">
        <w:rPr>
          <w:noProof/>
        </w:rPr>
        <w:t>oce</w:t>
      </w:r>
      <w:r w:rsidRPr="008B4DA2">
        <w:rPr>
          <w:noProof/>
        </w:rPr>
        <w:t>ny skutków,</w:t>
      </w:r>
      <w:r w:rsidRPr="008B4DA2">
        <w:rPr>
          <w:rStyle w:val="FootnoteReference"/>
          <w:noProof/>
        </w:rPr>
        <w:footnoteReference w:id="43"/>
      </w:r>
      <w:r w:rsidRPr="008B4DA2">
        <w:rPr>
          <w:noProof/>
        </w:rPr>
        <w:t xml:space="preserve"> którego projekt przedłożono Radzie ds. Kontroli Regulacyjnej 12 października 20</w:t>
      </w:r>
      <w:r w:rsidRPr="00B83C93">
        <w:rPr>
          <w:noProof/>
        </w:rPr>
        <w:t>22</w:t>
      </w:r>
      <w:r w:rsidR="00B83C93" w:rsidRPr="00B83C93">
        <w:rPr>
          <w:noProof/>
        </w:rPr>
        <w:t> </w:t>
      </w:r>
      <w:r w:rsidRPr="00B83C93">
        <w:rPr>
          <w:noProof/>
        </w:rPr>
        <w:t>r.</w:t>
      </w:r>
      <w:r w:rsidRPr="008B4DA2">
        <w:rPr>
          <w:noProof/>
        </w:rPr>
        <w:t xml:space="preserve"> 18 listopada 20</w:t>
      </w:r>
      <w:r w:rsidRPr="00B83C93">
        <w:rPr>
          <w:noProof/>
        </w:rPr>
        <w:t>22</w:t>
      </w:r>
      <w:r w:rsidR="00B83C93" w:rsidRPr="00B83C93">
        <w:rPr>
          <w:noProof/>
        </w:rPr>
        <w:t> </w:t>
      </w:r>
      <w:r w:rsidRPr="00B83C93">
        <w:rPr>
          <w:noProof/>
        </w:rPr>
        <w:t>r.</w:t>
      </w:r>
      <w:r w:rsidRPr="008B4DA2">
        <w:rPr>
          <w:noProof/>
        </w:rPr>
        <w:t xml:space="preserve"> Rada ds. Kontroli Regulacyjnej wydała pozytywną opinię</w:t>
      </w:r>
      <w:r w:rsidRPr="008B4DA2">
        <w:rPr>
          <w:rStyle w:val="FootnoteReference"/>
          <w:noProof/>
        </w:rPr>
        <w:footnoteReference w:id="44"/>
      </w:r>
      <w:r w:rsidRPr="008B4DA2">
        <w:rPr>
          <w:noProof/>
        </w:rPr>
        <w:t>. Sprawozdanie</w:t>
      </w:r>
      <w:r w:rsidR="00B83C93" w:rsidRPr="008B4DA2">
        <w:rPr>
          <w:noProof/>
        </w:rPr>
        <w:t xml:space="preserve"> z</w:t>
      </w:r>
      <w:r w:rsidR="00B83C93">
        <w:rPr>
          <w:noProof/>
        </w:rPr>
        <w:t> </w:t>
      </w:r>
      <w:r w:rsidR="00B83C93" w:rsidRPr="008B4DA2">
        <w:rPr>
          <w:noProof/>
        </w:rPr>
        <w:t>oce</w:t>
      </w:r>
      <w:r w:rsidRPr="008B4DA2">
        <w:rPr>
          <w:noProof/>
        </w:rPr>
        <w:t>ny skutków zmieniono zgodnie</w:t>
      </w:r>
      <w:r w:rsidR="00B83C93" w:rsidRPr="008B4DA2">
        <w:rPr>
          <w:noProof/>
        </w:rPr>
        <w:t xml:space="preserve"> z</w:t>
      </w:r>
      <w:r w:rsidR="00B83C93">
        <w:rPr>
          <w:noProof/>
        </w:rPr>
        <w:t> </w:t>
      </w:r>
      <w:r w:rsidR="00B83C93" w:rsidRPr="008B4DA2">
        <w:rPr>
          <w:noProof/>
        </w:rPr>
        <w:t>zal</w:t>
      </w:r>
      <w:r w:rsidRPr="008B4DA2">
        <w:rPr>
          <w:noProof/>
        </w:rPr>
        <w:t>eceniami Rady ds. Kontroli Regulacyjnej. Uwzględniono również jej bardziej szczegółowe uwagi techniczne</w:t>
      </w:r>
      <w:r w:rsidR="00B83C93" w:rsidRPr="008B4DA2">
        <w:rPr>
          <w:noProof/>
        </w:rPr>
        <w:t>. W</w:t>
      </w:r>
      <w:r w:rsidR="00B83C93">
        <w:rPr>
          <w:noProof/>
        </w:rPr>
        <w:t> </w:t>
      </w:r>
      <w:r w:rsidR="00B83C93" w:rsidRPr="008B4DA2">
        <w:rPr>
          <w:noProof/>
        </w:rPr>
        <w:t>spr</w:t>
      </w:r>
      <w:r w:rsidRPr="008B4DA2">
        <w:rPr>
          <w:noProof/>
        </w:rPr>
        <w:t>awozdaniu</w:t>
      </w:r>
      <w:r w:rsidR="00B83C93" w:rsidRPr="008B4DA2">
        <w:rPr>
          <w:noProof/>
        </w:rPr>
        <w:t xml:space="preserve"> z</w:t>
      </w:r>
      <w:r w:rsidR="00B83C93">
        <w:rPr>
          <w:noProof/>
        </w:rPr>
        <w:t> </w:t>
      </w:r>
      <w:r w:rsidR="00B83C93" w:rsidRPr="008B4DA2">
        <w:rPr>
          <w:noProof/>
        </w:rPr>
        <w:t>oce</w:t>
      </w:r>
      <w:r w:rsidRPr="008B4DA2">
        <w:rPr>
          <w:noProof/>
        </w:rPr>
        <w:t>ny skutków szczegółowy opis wariantów strategicznych zawarto</w:t>
      </w:r>
      <w:r w:rsidR="00B83C93" w:rsidRPr="008B4DA2">
        <w:rPr>
          <w:noProof/>
        </w:rPr>
        <w:t xml:space="preserve"> w</w:t>
      </w:r>
      <w:r w:rsidR="00B83C93">
        <w:rPr>
          <w:noProof/>
        </w:rPr>
        <w:t> </w:t>
      </w:r>
      <w:r w:rsidR="00B83C93" w:rsidRPr="008B4DA2">
        <w:rPr>
          <w:noProof/>
        </w:rPr>
        <w:t>sek</w:t>
      </w:r>
      <w:r w:rsidRPr="008B4DA2">
        <w:rPr>
          <w:noProof/>
        </w:rPr>
        <w:t>cji 5, natomiast kompleksową analizę skutków wszystkich wariantów przedstawiono</w:t>
      </w:r>
      <w:r w:rsidR="00B83C93" w:rsidRPr="008B4DA2">
        <w:rPr>
          <w:noProof/>
        </w:rPr>
        <w:t xml:space="preserve"> w</w:t>
      </w:r>
      <w:r w:rsidR="00B83C93">
        <w:rPr>
          <w:noProof/>
        </w:rPr>
        <w:t> </w:t>
      </w:r>
      <w:r w:rsidR="00B83C93" w:rsidRPr="008B4DA2">
        <w:rPr>
          <w:noProof/>
        </w:rPr>
        <w:t>sek</w:t>
      </w:r>
      <w:r w:rsidRPr="008B4DA2">
        <w:rPr>
          <w:noProof/>
        </w:rPr>
        <w:t>cji 6. Poniżej przedstawiono podsumowanie przeanalizowanych wariantów strategicznych.</w:t>
      </w:r>
    </w:p>
    <w:p w:rsidR="00BD67F9" w:rsidRPr="008B4DA2" w:rsidRDefault="00BD67F9" w:rsidP="00BD67F9">
      <w:pPr>
        <w:rPr>
          <w:rFonts w:eastAsia="Times New Roman"/>
          <w:i/>
          <w:noProof/>
          <w:u w:val="single"/>
        </w:rPr>
      </w:pPr>
      <w:bookmarkStart w:id="2" w:name="_Toc109894469"/>
      <w:r w:rsidRPr="008B4DA2">
        <w:rPr>
          <w:i/>
          <w:noProof/>
          <w:u w:val="single"/>
        </w:rPr>
        <w:t>Wariant strategiczny A</w:t>
      </w:r>
      <w:bookmarkEnd w:id="2"/>
    </w:p>
    <w:p w:rsidR="00BD67F9" w:rsidRPr="008B4DA2" w:rsidRDefault="00BD67F9" w:rsidP="00BD67F9">
      <w:pPr>
        <w:rPr>
          <w:rFonts w:eastAsia="Times New Roman"/>
          <w:noProof/>
        </w:rPr>
      </w:pPr>
      <w:r w:rsidRPr="008B4DA2">
        <w:rPr>
          <w:noProof/>
        </w:rPr>
        <w:t>Wariant strategiczny A obejmuje środki</w:t>
      </w:r>
      <w:r w:rsidR="00B83C93" w:rsidRPr="008B4DA2">
        <w:rPr>
          <w:noProof/>
        </w:rPr>
        <w:t xml:space="preserve"> z</w:t>
      </w:r>
      <w:r w:rsidR="00B83C93">
        <w:rPr>
          <w:noProof/>
        </w:rPr>
        <w:t> </w:t>
      </w:r>
      <w:r w:rsidR="00B83C93" w:rsidRPr="008B4DA2">
        <w:rPr>
          <w:noProof/>
        </w:rPr>
        <w:t>zak</w:t>
      </w:r>
      <w:r w:rsidRPr="008B4DA2">
        <w:rPr>
          <w:noProof/>
        </w:rPr>
        <w:t>resu polityki, które są wspólne dla wszystkich trzech wariantów strategicznych. Środki</w:t>
      </w:r>
      <w:r w:rsidR="00B83C93" w:rsidRPr="008B4DA2">
        <w:rPr>
          <w:noProof/>
        </w:rPr>
        <w:t xml:space="preserve"> w</w:t>
      </w:r>
      <w:r w:rsidR="00B83C93">
        <w:rPr>
          <w:noProof/>
        </w:rPr>
        <w:t> </w:t>
      </w:r>
      <w:r w:rsidR="00B83C93" w:rsidRPr="008B4DA2">
        <w:rPr>
          <w:noProof/>
        </w:rPr>
        <w:t>ram</w:t>
      </w:r>
      <w:r w:rsidRPr="008B4DA2">
        <w:rPr>
          <w:noProof/>
        </w:rPr>
        <w:t>ach wariantu strategicznego A mają na celu dostosowanie dyrektywy</w:t>
      </w:r>
      <w:r w:rsidR="00B83C93" w:rsidRPr="008B4DA2">
        <w:rPr>
          <w:noProof/>
        </w:rPr>
        <w:t xml:space="preserve"> w</w:t>
      </w:r>
      <w:r w:rsidR="00B83C93">
        <w:rPr>
          <w:noProof/>
        </w:rPr>
        <w:t> </w:t>
      </w:r>
      <w:r w:rsidR="00B83C93" w:rsidRPr="008B4DA2">
        <w:rPr>
          <w:noProof/>
        </w:rPr>
        <w:t>spr</w:t>
      </w:r>
      <w:r w:rsidRPr="008B4DA2">
        <w:rPr>
          <w:noProof/>
        </w:rPr>
        <w:t>awie praw jazdy do rozwoju technologicznego, naukowego</w:t>
      </w:r>
      <w:r w:rsidR="00B83C93" w:rsidRPr="008B4DA2">
        <w:rPr>
          <w:noProof/>
        </w:rPr>
        <w:t xml:space="preserve"> i</w:t>
      </w:r>
      <w:r w:rsidR="00B83C93">
        <w:rPr>
          <w:noProof/>
        </w:rPr>
        <w:t> </w:t>
      </w:r>
      <w:r w:rsidR="00B83C93" w:rsidRPr="008B4DA2">
        <w:rPr>
          <w:noProof/>
        </w:rPr>
        <w:t>spo</w:t>
      </w:r>
      <w:r w:rsidRPr="008B4DA2">
        <w:rPr>
          <w:noProof/>
        </w:rPr>
        <w:t>łecznego w UE</w:t>
      </w:r>
      <w:r w:rsidR="00B83C93" w:rsidRPr="008B4DA2">
        <w:rPr>
          <w:noProof/>
        </w:rPr>
        <w:t xml:space="preserve"> w</w:t>
      </w:r>
      <w:r w:rsidR="00B83C93">
        <w:rPr>
          <w:noProof/>
        </w:rPr>
        <w:t> </w:t>
      </w:r>
      <w:r w:rsidR="00B83C93" w:rsidRPr="008B4DA2">
        <w:rPr>
          <w:noProof/>
        </w:rPr>
        <w:t>dro</w:t>
      </w:r>
      <w:r w:rsidRPr="008B4DA2">
        <w:rPr>
          <w:noProof/>
        </w:rPr>
        <w:t>dze udoskonalenia podstawowych przepisów tej dyrektywy</w:t>
      </w:r>
      <w:r w:rsidR="00B83C93" w:rsidRPr="008B4DA2">
        <w:rPr>
          <w:noProof/>
        </w:rPr>
        <w:t xml:space="preserve"> i</w:t>
      </w:r>
      <w:r w:rsidR="00B83C93">
        <w:rPr>
          <w:noProof/>
        </w:rPr>
        <w:t> </w:t>
      </w:r>
      <w:r w:rsidR="00B83C93" w:rsidRPr="008B4DA2">
        <w:rPr>
          <w:noProof/>
        </w:rPr>
        <w:t>uwz</w:t>
      </w:r>
      <w:r w:rsidRPr="008B4DA2">
        <w:rPr>
          <w:noProof/>
        </w:rPr>
        <w:t>ględnienia potrzeb</w:t>
      </w:r>
      <w:r w:rsidR="00B83C93" w:rsidRPr="008B4DA2">
        <w:rPr>
          <w:noProof/>
        </w:rPr>
        <w:t xml:space="preserve"> i</w:t>
      </w:r>
      <w:r w:rsidR="00B83C93">
        <w:rPr>
          <w:noProof/>
        </w:rPr>
        <w:t> </w:t>
      </w:r>
      <w:r w:rsidR="00B83C93" w:rsidRPr="008B4DA2">
        <w:rPr>
          <w:noProof/>
        </w:rPr>
        <w:t>moż</w:t>
      </w:r>
      <w:r w:rsidRPr="008B4DA2">
        <w:rPr>
          <w:noProof/>
        </w:rPr>
        <w:t xml:space="preserve">liwości rynku. </w:t>
      </w:r>
    </w:p>
    <w:p w:rsidR="00BD67F9" w:rsidRPr="008B4DA2" w:rsidRDefault="00BD67F9" w:rsidP="00BD67F9">
      <w:pPr>
        <w:rPr>
          <w:noProof/>
        </w:rPr>
      </w:pPr>
      <w:r w:rsidRPr="008B4DA2">
        <w:rPr>
          <w:noProof/>
        </w:rPr>
        <w:t>Jeśli chodzi</w:t>
      </w:r>
      <w:r w:rsidR="00B83C93" w:rsidRPr="008B4DA2">
        <w:rPr>
          <w:noProof/>
        </w:rPr>
        <w:t xml:space="preserve"> o</w:t>
      </w:r>
      <w:r w:rsidR="00B83C93">
        <w:rPr>
          <w:noProof/>
        </w:rPr>
        <w:t> </w:t>
      </w:r>
      <w:r w:rsidR="00B83C93" w:rsidRPr="008B4DA2">
        <w:rPr>
          <w:noProof/>
        </w:rPr>
        <w:t>bez</w:t>
      </w:r>
      <w:r w:rsidRPr="008B4DA2">
        <w:rPr>
          <w:noProof/>
        </w:rPr>
        <w:t>pieczeństwo ruchu drogowego,</w:t>
      </w:r>
      <w:r w:rsidR="00B83C93" w:rsidRPr="008B4DA2">
        <w:rPr>
          <w:noProof/>
        </w:rPr>
        <w:t xml:space="preserve"> w</w:t>
      </w:r>
      <w:r w:rsidR="00B83C93">
        <w:rPr>
          <w:noProof/>
        </w:rPr>
        <w:t> </w:t>
      </w:r>
      <w:r w:rsidR="00B83C93" w:rsidRPr="008B4DA2">
        <w:rPr>
          <w:noProof/>
        </w:rPr>
        <w:t>war</w:t>
      </w:r>
      <w:r w:rsidRPr="008B4DA2">
        <w:rPr>
          <w:noProof/>
        </w:rPr>
        <w:t>iancie tym zwiększono zakres zagadnień objętych egzaminem. Przewidziano</w:t>
      </w:r>
      <w:r w:rsidR="00B83C93" w:rsidRPr="008B4DA2">
        <w:rPr>
          <w:noProof/>
        </w:rPr>
        <w:t xml:space="preserve"> w</w:t>
      </w:r>
      <w:r w:rsidR="00B83C93">
        <w:rPr>
          <w:noProof/>
        </w:rPr>
        <w:t> </w:t>
      </w:r>
      <w:r w:rsidR="00B83C93" w:rsidRPr="008B4DA2">
        <w:rPr>
          <w:noProof/>
        </w:rPr>
        <w:t>nim</w:t>
      </w:r>
      <w:r w:rsidRPr="008B4DA2">
        <w:rPr>
          <w:noProof/>
        </w:rPr>
        <w:t xml:space="preserve"> również udoskonalenie środków technicznych (RESPER) wspierających współpracę między właściwymi organami</w:t>
      </w:r>
      <w:r w:rsidR="00B83C93" w:rsidRPr="008B4DA2">
        <w:rPr>
          <w:noProof/>
        </w:rPr>
        <w:t xml:space="preserve"> w</w:t>
      </w:r>
      <w:r w:rsidR="00B83C93">
        <w:rPr>
          <w:noProof/>
        </w:rPr>
        <w:t> </w:t>
      </w:r>
      <w:r w:rsidR="00B83C93" w:rsidRPr="008B4DA2">
        <w:rPr>
          <w:noProof/>
        </w:rPr>
        <w:t>kon</w:t>
      </w:r>
      <w:r w:rsidRPr="008B4DA2">
        <w:rPr>
          <w:noProof/>
        </w:rPr>
        <w:t>tekście zwalczania oszustw</w:t>
      </w:r>
      <w:r w:rsidR="00B83C93" w:rsidRPr="008B4DA2">
        <w:rPr>
          <w:noProof/>
        </w:rPr>
        <w:t xml:space="preserve"> i</w:t>
      </w:r>
      <w:r w:rsidR="00B83C93">
        <w:rPr>
          <w:noProof/>
        </w:rPr>
        <w:t> </w:t>
      </w:r>
      <w:r w:rsidR="00B83C93" w:rsidRPr="008B4DA2">
        <w:rPr>
          <w:noProof/>
        </w:rPr>
        <w:t>fał</w:t>
      </w:r>
      <w:r w:rsidRPr="008B4DA2">
        <w:rPr>
          <w:noProof/>
        </w:rPr>
        <w:t>szerstw. Omawiany wariant obejmuje dostosowanie przepisów</w:t>
      </w:r>
      <w:r w:rsidR="00B83C93" w:rsidRPr="008B4DA2">
        <w:rPr>
          <w:noProof/>
        </w:rPr>
        <w:t xml:space="preserve"> w</w:t>
      </w:r>
      <w:r w:rsidR="00B83C93">
        <w:rPr>
          <w:noProof/>
        </w:rPr>
        <w:t> </w:t>
      </w:r>
      <w:r w:rsidR="00B83C93" w:rsidRPr="008B4DA2">
        <w:rPr>
          <w:noProof/>
        </w:rPr>
        <w:t>cel</w:t>
      </w:r>
      <w:r w:rsidRPr="008B4DA2">
        <w:rPr>
          <w:noProof/>
        </w:rPr>
        <w:t>u uwzględnienia wzrostu liczby pojazdów napędzanych paliwem alternatywnym we flocie pojazdów UE. Ponadto zaktualizowano</w:t>
      </w:r>
      <w:r w:rsidR="00B83C93" w:rsidRPr="008B4DA2">
        <w:rPr>
          <w:noProof/>
        </w:rPr>
        <w:t xml:space="preserve"> w</w:t>
      </w:r>
      <w:r w:rsidR="00B83C93">
        <w:rPr>
          <w:noProof/>
        </w:rPr>
        <w:t> </w:t>
      </w:r>
      <w:r w:rsidR="00B83C93" w:rsidRPr="008B4DA2">
        <w:rPr>
          <w:noProof/>
        </w:rPr>
        <w:t>nim</w:t>
      </w:r>
      <w:r w:rsidRPr="008B4DA2">
        <w:rPr>
          <w:noProof/>
        </w:rPr>
        <w:t xml:space="preserve"> również wymogi dotyczące fizycznej</w:t>
      </w:r>
      <w:r w:rsidR="00B83C93" w:rsidRPr="008B4DA2">
        <w:rPr>
          <w:noProof/>
        </w:rPr>
        <w:t xml:space="preserve"> i</w:t>
      </w:r>
      <w:r w:rsidR="00B83C93">
        <w:rPr>
          <w:noProof/>
        </w:rPr>
        <w:t> </w:t>
      </w:r>
      <w:r w:rsidR="00B83C93" w:rsidRPr="008B4DA2">
        <w:rPr>
          <w:noProof/>
        </w:rPr>
        <w:t>psy</w:t>
      </w:r>
      <w:r w:rsidRPr="008B4DA2">
        <w:rPr>
          <w:noProof/>
        </w:rPr>
        <w:t>chicznej zdolności do kierowania pojazdami oraz ustanowiono nową specjalną platformę wymiany informacji, aby umożliwić szersze udostępnianie wiedzy między organami.</w:t>
      </w:r>
    </w:p>
    <w:p w:rsidR="00BD67F9" w:rsidRPr="008B4DA2" w:rsidRDefault="00BD67F9" w:rsidP="00BD67F9">
      <w:pPr>
        <w:rPr>
          <w:noProof/>
        </w:rPr>
      </w:pPr>
      <w:r w:rsidRPr="008B4DA2">
        <w:rPr>
          <w:noProof/>
        </w:rPr>
        <w:t>Jeśli chodzi</w:t>
      </w:r>
      <w:r w:rsidR="00B83C93" w:rsidRPr="008B4DA2">
        <w:rPr>
          <w:noProof/>
        </w:rPr>
        <w:t xml:space="preserve"> o</w:t>
      </w:r>
      <w:r w:rsidR="00B83C93">
        <w:rPr>
          <w:noProof/>
        </w:rPr>
        <w:t> </w:t>
      </w:r>
      <w:r w:rsidR="00B83C93" w:rsidRPr="008B4DA2">
        <w:rPr>
          <w:noProof/>
        </w:rPr>
        <w:t>swo</w:t>
      </w:r>
      <w:r w:rsidRPr="008B4DA2">
        <w:rPr>
          <w:noProof/>
        </w:rPr>
        <w:t>bodę przemieszczania się, wprowadza się jednakowy administracyjny okres ważności praw jazdy kategorii A i B, który ma być stosowany we wszystkich państwach członkowskich, oraz wyjaśnia przypadki,</w:t>
      </w:r>
      <w:r w:rsidR="00B83C93" w:rsidRPr="008B4DA2">
        <w:rPr>
          <w:noProof/>
        </w:rPr>
        <w:t xml:space="preserve"> w</w:t>
      </w:r>
      <w:r w:rsidR="00B83C93">
        <w:rPr>
          <w:noProof/>
        </w:rPr>
        <w:t> </w:t>
      </w:r>
      <w:r w:rsidR="00B83C93" w:rsidRPr="008B4DA2">
        <w:rPr>
          <w:noProof/>
        </w:rPr>
        <w:t>któ</w:t>
      </w:r>
      <w:r w:rsidRPr="008B4DA2">
        <w:rPr>
          <w:noProof/>
        </w:rPr>
        <w:t>rych okres ważności może zostać skrócony lub przedłużony. Ustanawia się również wzajemne uznawanie fakultatywnych równoważności</w:t>
      </w:r>
      <w:r w:rsidRPr="008B4DA2">
        <w:rPr>
          <w:rStyle w:val="FootnoteReference"/>
          <w:noProof/>
        </w:rPr>
        <w:footnoteReference w:id="45"/>
      </w:r>
      <w:r w:rsidRPr="008B4DA2">
        <w:rPr>
          <w:noProof/>
        </w:rPr>
        <w:t>, wyjaśnia niektóre aspekty związane</w:t>
      </w:r>
      <w:r w:rsidR="00B83C93" w:rsidRPr="008B4DA2">
        <w:rPr>
          <w:noProof/>
        </w:rPr>
        <w:t xml:space="preserve"> z</w:t>
      </w:r>
      <w:r w:rsidR="00B83C93">
        <w:rPr>
          <w:noProof/>
        </w:rPr>
        <w:t> </w:t>
      </w:r>
      <w:r w:rsidR="00B83C93" w:rsidRPr="008B4DA2">
        <w:rPr>
          <w:noProof/>
        </w:rPr>
        <w:t>wdr</w:t>
      </w:r>
      <w:r w:rsidRPr="008B4DA2">
        <w:rPr>
          <w:noProof/>
        </w:rPr>
        <w:t>ażaniem pojęcia „miejsca stałego zamieszkania”</w:t>
      </w:r>
      <w:r w:rsidR="00B83C93" w:rsidRPr="008B4DA2">
        <w:rPr>
          <w:noProof/>
        </w:rPr>
        <w:t xml:space="preserve"> i</w:t>
      </w:r>
      <w:r w:rsidR="00B83C93">
        <w:rPr>
          <w:noProof/>
        </w:rPr>
        <w:t> </w:t>
      </w:r>
      <w:r w:rsidR="00B83C93" w:rsidRPr="008B4DA2">
        <w:rPr>
          <w:noProof/>
        </w:rPr>
        <w:t>wpr</w:t>
      </w:r>
      <w:r w:rsidRPr="008B4DA2">
        <w:rPr>
          <w:noProof/>
        </w:rPr>
        <w:t>owadza dodatkowe równoważności. Wprowadza on wreszcie mobilne prawo jazdy UE,</w:t>
      </w:r>
      <w:r w:rsidR="00B83C93" w:rsidRPr="008B4DA2">
        <w:rPr>
          <w:noProof/>
        </w:rPr>
        <w:t xml:space="preserve"> a</w:t>
      </w:r>
      <w:r w:rsidR="00B83C93">
        <w:rPr>
          <w:noProof/>
        </w:rPr>
        <w:t> </w:t>
      </w:r>
      <w:r w:rsidR="00B83C93" w:rsidRPr="008B4DA2">
        <w:rPr>
          <w:noProof/>
        </w:rPr>
        <w:t>tak</w:t>
      </w:r>
      <w:r w:rsidRPr="008B4DA2">
        <w:rPr>
          <w:noProof/>
        </w:rPr>
        <w:t>że możliwość umieszczania kodu QR na fizycznym prawie jazdy.</w:t>
      </w:r>
      <w:bookmarkStart w:id="3" w:name="_Toc109894470"/>
    </w:p>
    <w:p w:rsidR="00BD67F9" w:rsidRPr="008B4DA2" w:rsidRDefault="00BD67F9" w:rsidP="00BD67F9">
      <w:pPr>
        <w:rPr>
          <w:rFonts w:eastAsia="Times New Roman"/>
          <w:i/>
          <w:noProof/>
          <w:u w:val="single"/>
        </w:rPr>
      </w:pPr>
      <w:r w:rsidRPr="008B4DA2">
        <w:rPr>
          <w:i/>
          <w:noProof/>
          <w:u w:val="single"/>
        </w:rPr>
        <w:t>Wariant strategiczny B</w:t>
      </w:r>
      <w:bookmarkEnd w:id="3"/>
    </w:p>
    <w:p w:rsidR="00BD67F9" w:rsidRPr="008B4DA2" w:rsidRDefault="00BD67F9" w:rsidP="00BD67F9">
      <w:pPr>
        <w:rPr>
          <w:noProof/>
        </w:rPr>
      </w:pPr>
      <w:r w:rsidRPr="008B4DA2">
        <w:rPr>
          <w:noProof/>
        </w:rPr>
        <w:t>Wariant strategiczny B oznacza zwiększenie interwencji politycznej</w:t>
      </w:r>
      <w:r w:rsidR="00B83C93" w:rsidRPr="008B4DA2">
        <w:rPr>
          <w:noProof/>
        </w:rPr>
        <w:t xml:space="preserve"> w</w:t>
      </w:r>
      <w:r w:rsidR="00B83C93">
        <w:rPr>
          <w:noProof/>
        </w:rPr>
        <w:t> </w:t>
      </w:r>
      <w:r w:rsidR="00B83C93" w:rsidRPr="008B4DA2">
        <w:rPr>
          <w:noProof/>
        </w:rPr>
        <w:t>zak</w:t>
      </w:r>
      <w:r w:rsidRPr="008B4DA2">
        <w:rPr>
          <w:noProof/>
        </w:rPr>
        <w:t>resie bezpieczeństwa ruchu drogowego,</w:t>
      </w:r>
      <w:r w:rsidR="00B83C93" w:rsidRPr="008B4DA2">
        <w:rPr>
          <w:noProof/>
        </w:rPr>
        <w:t xml:space="preserve"> a</w:t>
      </w:r>
      <w:r w:rsidR="00B83C93">
        <w:rPr>
          <w:noProof/>
        </w:rPr>
        <w:t> </w:t>
      </w:r>
      <w:r w:rsidR="00B83C93" w:rsidRPr="008B4DA2">
        <w:rPr>
          <w:noProof/>
        </w:rPr>
        <w:t>tak</w:t>
      </w:r>
      <w:r w:rsidRPr="008B4DA2">
        <w:rPr>
          <w:noProof/>
        </w:rPr>
        <w:t>że zmniejszenie obciążeń administracyjnych nakładanych na określone kategorie kierowców.</w:t>
      </w:r>
    </w:p>
    <w:p w:rsidR="00BD67F9" w:rsidRPr="008B4DA2" w:rsidRDefault="00BD67F9" w:rsidP="00BD67F9">
      <w:pPr>
        <w:rPr>
          <w:noProof/>
        </w:rPr>
      </w:pPr>
      <w:r w:rsidRPr="008B4DA2">
        <w:rPr>
          <w:noProof/>
        </w:rPr>
        <w:t>Jeśli chodzi</w:t>
      </w:r>
      <w:r w:rsidR="00B83C93" w:rsidRPr="008B4DA2">
        <w:rPr>
          <w:noProof/>
        </w:rPr>
        <w:t xml:space="preserve"> o</w:t>
      </w:r>
      <w:r w:rsidR="00B83C93">
        <w:rPr>
          <w:noProof/>
        </w:rPr>
        <w:t> </w:t>
      </w:r>
      <w:r w:rsidR="00B83C93" w:rsidRPr="008B4DA2">
        <w:rPr>
          <w:noProof/>
        </w:rPr>
        <w:t>bez</w:t>
      </w:r>
      <w:r w:rsidRPr="008B4DA2">
        <w:rPr>
          <w:noProof/>
        </w:rPr>
        <w:t>pieczeństwo ruchu drogowego, to oprócz środków zawartych</w:t>
      </w:r>
      <w:r w:rsidR="00B83C93" w:rsidRPr="008B4DA2">
        <w:rPr>
          <w:noProof/>
        </w:rPr>
        <w:t xml:space="preserve"> w</w:t>
      </w:r>
      <w:r w:rsidR="00B83C93">
        <w:rPr>
          <w:noProof/>
        </w:rPr>
        <w:t> </w:t>
      </w:r>
      <w:r w:rsidR="00B83C93" w:rsidRPr="008B4DA2">
        <w:rPr>
          <w:noProof/>
        </w:rPr>
        <w:t>war</w:t>
      </w:r>
      <w:r w:rsidRPr="008B4DA2">
        <w:rPr>
          <w:noProof/>
        </w:rPr>
        <w:t>iancie strategicznym A, wprowadza on nowe przepisy dotyczące szkolenia</w:t>
      </w:r>
      <w:r w:rsidR="00B83C93" w:rsidRPr="008B4DA2">
        <w:rPr>
          <w:noProof/>
        </w:rPr>
        <w:t xml:space="preserve"> i</w:t>
      </w:r>
      <w:r w:rsidR="00B83C93">
        <w:rPr>
          <w:noProof/>
        </w:rPr>
        <w:t> </w:t>
      </w:r>
      <w:r w:rsidR="00B83C93" w:rsidRPr="008B4DA2">
        <w:rPr>
          <w:noProof/>
        </w:rPr>
        <w:t>okr</w:t>
      </w:r>
      <w:r w:rsidRPr="008B4DA2">
        <w:rPr>
          <w:noProof/>
        </w:rPr>
        <w:t>esów próbnych. Uzupełnia on przepisy dotyczące fizycznej</w:t>
      </w:r>
      <w:r w:rsidR="00B83C93" w:rsidRPr="008B4DA2">
        <w:rPr>
          <w:noProof/>
        </w:rPr>
        <w:t xml:space="preserve"> i</w:t>
      </w:r>
      <w:r w:rsidR="00B83C93">
        <w:rPr>
          <w:noProof/>
        </w:rPr>
        <w:t> </w:t>
      </w:r>
      <w:r w:rsidR="00B83C93" w:rsidRPr="008B4DA2">
        <w:rPr>
          <w:noProof/>
        </w:rPr>
        <w:t>psy</w:t>
      </w:r>
      <w:r w:rsidRPr="008B4DA2">
        <w:rPr>
          <w:noProof/>
        </w:rPr>
        <w:t>chicznej zdolności do kierowania pojazdami</w:t>
      </w:r>
      <w:r w:rsidR="00B83C93" w:rsidRPr="008B4DA2">
        <w:rPr>
          <w:noProof/>
        </w:rPr>
        <w:t xml:space="preserve"> o</w:t>
      </w:r>
      <w:r w:rsidR="00B83C93">
        <w:rPr>
          <w:noProof/>
        </w:rPr>
        <w:t> </w:t>
      </w:r>
      <w:r w:rsidR="00B83C93" w:rsidRPr="008B4DA2">
        <w:rPr>
          <w:noProof/>
        </w:rPr>
        <w:t>nie</w:t>
      </w:r>
      <w:r w:rsidRPr="008B4DA2">
        <w:rPr>
          <w:noProof/>
        </w:rPr>
        <w:t>wiążące wytyczne dotyczące badania wzroku kandydatów oraz</w:t>
      </w:r>
      <w:r w:rsidR="00B83C93" w:rsidRPr="008B4DA2">
        <w:rPr>
          <w:noProof/>
        </w:rPr>
        <w:t xml:space="preserve"> o</w:t>
      </w:r>
      <w:r w:rsidR="00B83C93">
        <w:rPr>
          <w:noProof/>
        </w:rPr>
        <w:t> </w:t>
      </w:r>
      <w:r w:rsidR="00B83C93" w:rsidRPr="008B4DA2">
        <w:rPr>
          <w:noProof/>
        </w:rPr>
        <w:t>obo</w:t>
      </w:r>
      <w:r w:rsidRPr="008B4DA2">
        <w:rPr>
          <w:noProof/>
        </w:rPr>
        <w:t xml:space="preserve">wiązkowe badanie przesiewowe oparte na samoocenie. Zostanie opracowany program szkoleniowy dla lekarzy podstawowej opieki zdrowotnej. </w:t>
      </w:r>
    </w:p>
    <w:p w:rsidR="00BD67F9" w:rsidRPr="008B4DA2" w:rsidRDefault="00BD67F9" w:rsidP="00BD67F9">
      <w:pPr>
        <w:rPr>
          <w:noProof/>
        </w:rPr>
      </w:pPr>
      <w:r w:rsidRPr="008B4DA2">
        <w:rPr>
          <w:noProof/>
        </w:rPr>
        <w:t>Jeżeli chodzi</w:t>
      </w:r>
      <w:r w:rsidR="00B83C93" w:rsidRPr="008B4DA2">
        <w:rPr>
          <w:noProof/>
        </w:rPr>
        <w:t xml:space="preserve"> o</w:t>
      </w:r>
      <w:r w:rsidR="00B83C93">
        <w:rPr>
          <w:noProof/>
        </w:rPr>
        <w:t> </w:t>
      </w:r>
      <w:r w:rsidR="00B83C93" w:rsidRPr="008B4DA2">
        <w:rPr>
          <w:noProof/>
        </w:rPr>
        <w:t>swo</w:t>
      </w:r>
      <w:r w:rsidRPr="008B4DA2">
        <w:rPr>
          <w:noProof/>
        </w:rPr>
        <w:t>bodę przemieszczania się, to – oprócz środków zawartych</w:t>
      </w:r>
      <w:r w:rsidR="00B83C93" w:rsidRPr="008B4DA2">
        <w:rPr>
          <w:noProof/>
        </w:rPr>
        <w:t xml:space="preserve"> w</w:t>
      </w:r>
      <w:r w:rsidR="00B83C93">
        <w:rPr>
          <w:noProof/>
        </w:rPr>
        <w:t> </w:t>
      </w:r>
      <w:r w:rsidR="00B83C93" w:rsidRPr="008B4DA2">
        <w:rPr>
          <w:noProof/>
        </w:rPr>
        <w:t>war</w:t>
      </w:r>
      <w:r w:rsidRPr="008B4DA2">
        <w:rPr>
          <w:noProof/>
        </w:rPr>
        <w:t>iancie strategicznym A – uproszczono zasady wydawania praw jazdy, dając obywatelom UE możliwość –</w:t>
      </w:r>
      <w:r w:rsidR="00B83C93" w:rsidRPr="008B4DA2">
        <w:rPr>
          <w:noProof/>
        </w:rPr>
        <w:t xml:space="preserve"> w</w:t>
      </w:r>
      <w:r w:rsidR="00B83C93">
        <w:rPr>
          <w:noProof/>
        </w:rPr>
        <w:t> </w:t>
      </w:r>
      <w:r w:rsidR="00B83C93" w:rsidRPr="008B4DA2">
        <w:rPr>
          <w:noProof/>
        </w:rPr>
        <w:t>prz</w:t>
      </w:r>
      <w:r w:rsidRPr="008B4DA2">
        <w:rPr>
          <w:noProof/>
        </w:rPr>
        <w:t>ypadku napotkania przeszkód związanych</w:t>
      </w:r>
      <w:r w:rsidR="00B83C93" w:rsidRPr="008B4DA2">
        <w:rPr>
          <w:noProof/>
        </w:rPr>
        <w:t xml:space="preserve"> z</w:t>
      </w:r>
      <w:r w:rsidR="00B83C93">
        <w:rPr>
          <w:noProof/>
        </w:rPr>
        <w:t> </w:t>
      </w:r>
      <w:r w:rsidR="00B83C93" w:rsidRPr="008B4DA2">
        <w:rPr>
          <w:noProof/>
        </w:rPr>
        <w:t>jęz</w:t>
      </w:r>
      <w:r w:rsidRPr="008B4DA2">
        <w:rPr>
          <w:noProof/>
        </w:rPr>
        <w:t>ykiem egzaminu – uzyskania pierwszego prawa jazdy</w:t>
      </w:r>
      <w:r w:rsidR="00B83C93" w:rsidRPr="008B4DA2">
        <w:rPr>
          <w:noProof/>
        </w:rPr>
        <w:t xml:space="preserve"> w</w:t>
      </w:r>
      <w:r w:rsidR="00B83C93">
        <w:rPr>
          <w:noProof/>
        </w:rPr>
        <w:t> </w:t>
      </w:r>
      <w:r w:rsidR="00B83C93" w:rsidRPr="008B4DA2">
        <w:rPr>
          <w:noProof/>
        </w:rPr>
        <w:t>pań</w:t>
      </w:r>
      <w:r w:rsidRPr="008B4DA2">
        <w:rPr>
          <w:noProof/>
        </w:rPr>
        <w:t>stwie obywatelstwa</w:t>
      </w:r>
      <w:r w:rsidR="00B83C93" w:rsidRPr="008B4DA2">
        <w:rPr>
          <w:noProof/>
        </w:rPr>
        <w:t>. W</w:t>
      </w:r>
      <w:r w:rsidR="00B83C93">
        <w:rPr>
          <w:noProof/>
        </w:rPr>
        <w:t> </w:t>
      </w:r>
      <w:r w:rsidR="00B83C93" w:rsidRPr="008B4DA2">
        <w:rPr>
          <w:noProof/>
        </w:rPr>
        <w:t>cel</w:t>
      </w:r>
      <w:r w:rsidRPr="008B4DA2">
        <w:rPr>
          <w:noProof/>
        </w:rPr>
        <w:t>u zmniejszenia niedoboru zawodowych kierowców upraszcza się również obowiązujące przepisy dotyczące kierowców autobusów</w:t>
      </w:r>
      <w:r w:rsidR="00B83C93" w:rsidRPr="008B4DA2">
        <w:rPr>
          <w:noProof/>
        </w:rPr>
        <w:t xml:space="preserve"> i</w:t>
      </w:r>
      <w:r w:rsidR="00B83C93">
        <w:rPr>
          <w:noProof/>
        </w:rPr>
        <w:t> </w:t>
      </w:r>
      <w:r w:rsidR="00B83C93" w:rsidRPr="008B4DA2">
        <w:rPr>
          <w:noProof/>
        </w:rPr>
        <w:t>poj</w:t>
      </w:r>
      <w:r w:rsidRPr="008B4DA2">
        <w:rPr>
          <w:noProof/>
        </w:rPr>
        <w:t>azdów ciężarowych oraz wprowadza przepisy dotyczące wymiany praw jazdy wydanych przez państwa trzecie. Ponadto, aby rozwiązać problemy związane</w:t>
      </w:r>
      <w:r w:rsidR="00B83C93" w:rsidRPr="008B4DA2">
        <w:rPr>
          <w:noProof/>
        </w:rPr>
        <w:t xml:space="preserve"> z</w:t>
      </w:r>
      <w:r w:rsidR="00B83C93">
        <w:rPr>
          <w:noProof/>
        </w:rPr>
        <w:t> </w:t>
      </w:r>
      <w:r w:rsidR="00B83C93" w:rsidRPr="008B4DA2">
        <w:rPr>
          <w:noProof/>
        </w:rPr>
        <w:t>mob</w:t>
      </w:r>
      <w:r w:rsidRPr="008B4DA2">
        <w:rPr>
          <w:noProof/>
        </w:rPr>
        <w:t>ilnością</w:t>
      </w:r>
      <w:r w:rsidR="00B83C93" w:rsidRPr="008B4DA2">
        <w:rPr>
          <w:noProof/>
        </w:rPr>
        <w:t xml:space="preserve"> w</w:t>
      </w:r>
      <w:r w:rsidR="00B83C93">
        <w:rPr>
          <w:noProof/>
        </w:rPr>
        <w:t> </w:t>
      </w:r>
      <w:r w:rsidR="00B83C93" w:rsidRPr="008B4DA2">
        <w:rPr>
          <w:noProof/>
        </w:rPr>
        <w:t>reg</w:t>
      </w:r>
      <w:r w:rsidRPr="008B4DA2">
        <w:rPr>
          <w:noProof/>
        </w:rPr>
        <w:t>ionach oddalonych, państwa członkowskie będą mogły rozszerzyć uprawnienia do kierowania pojazdami posiadaczom prawa jazdy kategorii B1, zezwalając im na kierowanie pojazdami</w:t>
      </w:r>
      <w:r w:rsidR="00B83C93" w:rsidRPr="008B4DA2">
        <w:rPr>
          <w:noProof/>
        </w:rPr>
        <w:t xml:space="preserve"> o</w:t>
      </w:r>
      <w:r w:rsidR="00B83C93">
        <w:rPr>
          <w:noProof/>
        </w:rPr>
        <w:t> </w:t>
      </w:r>
      <w:r w:rsidR="00B83C93" w:rsidRPr="008B4DA2">
        <w:rPr>
          <w:noProof/>
        </w:rPr>
        <w:t>wię</w:t>
      </w:r>
      <w:r w:rsidRPr="008B4DA2">
        <w:rPr>
          <w:noProof/>
        </w:rPr>
        <w:t>kszej masie</w:t>
      </w:r>
      <w:r w:rsidR="00B83C93" w:rsidRPr="008B4DA2">
        <w:rPr>
          <w:noProof/>
        </w:rPr>
        <w:t xml:space="preserve"> o</w:t>
      </w:r>
      <w:r w:rsidR="00B83C93">
        <w:rPr>
          <w:noProof/>
        </w:rPr>
        <w:t> </w:t>
      </w:r>
      <w:r w:rsidR="00B83C93" w:rsidRPr="008B4DA2">
        <w:rPr>
          <w:noProof/>
        </w:rPr>
        <w:t>mak</w:t>
      </w:r>
      <w:r w:rsidRPr="008B4DA2">
        <w:rPr>
          <w:noProof/>
        </w:rPr>
        <w:t xml:space="preserve">symalnej prędkości </w:t>
      </w:r>
      <w:r w:rsidRPr="00B83C93">
        <w:rPr>
          <w:noProof/>
        </w:rPr>
        <w:t>do</w:t>
      </w:r>
      <w:r w:rsidR="00B83C93" w:rsidRPr="00B83C93">
        <w:rPr>
          <w:noProof/>
        </w:rPr>
        <w:t> </w:t>
      </w:r>
      <w:r w:rsidRPr="00B83C93">
        <w:rPr>
          <w:noProof/>
        </w:rPr>
        <w:t>4</w:t>
      </w:r>
      <w:r w:rsidRPr="008B4DA2">
        <w:rPr>
          <w:noProof/>
        </w:rPr>
        <w:t xml:space="preserve">5 km/h, ale tylko na terytorium danego państwa członkowskiego. </w:t>
      </w:r>
    </w:p>
    <w:p w:rsidR="00BD67F9" w:rsidRPr="008B4DA2" w:rsidRDefault="00BD67F9" w:rsidP="00BD67F9">
      <w:pPr>
        <w:rPr>
          <w:i/>
          <w:noProof/>
          <w:u w:val="single"/>
        </w:rPr>
      </w:pPr>
      <w:bookmarkStart w:id="4" w:name="_Toc109894471"/>
      <w:r w:rsidRPr="008B4DA2">
        <w:rPr>
          <w:i/>
          <w:noProof/>
          <w:u w:val="single"/>
        </w:rPr>
        <w:t>Wariant strategiczny C</w:t>
      </w:r>
      <w:bookmarkEnd w:id="4"/>
    </w:p>
    <w:p w:rsidR="00BD67F9" w:rsidRPr="008B4DA2" w:rsidRDefault="00BD67F9" w:rsidP="00BD67F9">
      <w:pPr>
        <w:rPr>
          <w:noProof/>
        </w:rPr>
      </w:pPr>
      <w:r w:rsidRPr="008B4DA2">
        <w:rPr>
          <w:noProof/>
        </w:rPr>
        <w:t>Wariant strategiczny C oznacza dalsze zwiększenie harmonizacji</w:t>
      </w:r>
      <w:r w:rsidR="00B83C93" w:rsidRPr="008B4DA2">
        <w:rPr>
          <w:noProof/>
        </w:rPr>
        <w:t xml:space="preserve"> i</w:t>
      </w:r>
      <w:r w:rsidR="00B83C93">
        <w:rPr>
          <w:noProof/>
        </w:rPr>
        <w:t> </w:t>
      </w:r>
      <w:r w:rsidR="00B83C93" w:rsidRPr="008B4DA2">
        <w:rPr>
          <w:noProof/>
        </w:rPr>
        <w:t>zak</w:t>
      </w:r>
      <w:r w:rsidRPr="008B4DA2">
        <w:rPr>
          <w:noProof/>
        </w:rPr>
        <w:t>resu działań</w:t>
      </w:r>
      <w:r w:rsidR="00B83C93" w:rsidRPr="008B4DA2">
        <w:rPr>
          <w:noProof/>
        </w:rPr>
        <w:t xml:space="preserve"> w</w:t>
      </w:r>
      <w:r w:rsidR="00B83C93">
        <w:rPr>
          <w:noProof/>
        </w:rPr>
        <w:t> </w:t>
      </w:r>
      <w:r w:rsidR="00B83C93" w:rsidRPr="008B4DA2">
        <w:rPr>
          <w:noProof/>
        </w:rPr>
        <w:t>por</w:t>
      </w:r>
      <w:r w:rsidRPr="008B4DA2">
        <w:rPr>
          <w:noProof/>
        </w:rPr>
        <w:t>ównaniu</w:t>
      </w:r>
      <w:r w:rsidR="00B83C93" w:rsidRPr="008B4DA2">
        <w:rPr>
          <w:noProof/>
        </w:rPr>
        <w:t xml:space="preserve"> z</w:t>
      </w:r>
      <w:r w:rsidR="00B83C93">
        <w:rPr>
          <w:noProof/>
        </w:rPr>
        <w:t> </w:t>
      </w:r>
      <w:r w:rsidR="00B83C93" w:rsidRPr="008B4DA2">
        <w:rPr>
          <w:noProof/>
        </w:rPr>
        <w:t>war</w:t>
      </w:r>
      <w:r w:rsidRPr="008B4DA2">
        <w:rPr>
          <w:noProof/>
        </w:rPr>
        <w:t>iantem strategicznym B.</w:t>
      </w:r>
    </w:p>
    <w:p w:rsidR="00BD67F9" w:rsidRPr="008B4DA2" w:rsidRDefault="00BD67F9" w:rsidP="00BD67F9">
      <w:pPr>
        <w:rPr>
          <w:noProof/>
        </w:rPr>
      </w:pPr>
      <w:r w:rsidRPr="008B4DA2">
        <w:rPr>
          <w:noProof/>
        </w:rPr>
        <w:t>W odniesieniu do bezpieczeństwa ruchu drogowego – poza środkami zawartymi</w:t>
      </w:r>
      <w:r w:rsidR="00B83C93" w:rsidRPr="008B4DA2">
        <w:rPr>
          <w:noProof/>
        </w:rPr>
        <w:t xml:space="preserve"> w</w:t>
      </w:r>
      <w:r w:rsidR="00B83C93">
        <w:rPr>
          <w:noProof/>
        </w:rPr>
        <w:t> </w:t>
      </w:r>
      <w:r w:rsidR="00B83C93" w:rsidRPr="008B4DA2">
        <w:rPr>
          <w:noProof/>
        </w:rPr>
        <w:t>war</w:t>
      </w:r>
      <w:r w:rsidRPr="008B4DA2">
        <w:rPr>
          <w:noProof/>
        </w:rPr>
        <w:t>iantach strategicznych A i B – wprowadzono zmiany dotyczące kategorii pojazdów, dla których wymagane jest prawo jazdy,</w:t>
      </w:r>
      <w:r w:rsidR="00B83C93" w:rsidRPr="008B4DA2">
        <w:rPr>
          <w:noProof/>
        </w:rPr>
        <w:t xml:space="preserve"> w</w:t>
      </w:r>
      <w:r w:rsidR="00B83C93">
        <w:rPr>
          <w:noProof/>
        </w:rPr>
        <w:t> </w:t>
      </w:r>
      <w:r w:rsidR="00B83C93" w:rsidRPr="008B4DA2">
        <w:rPr>
          <w:noProof/>
        </w:rPr>
        <w:t>cel</w:t>
      </w:r>
      <w:r w:rsidRPr="008B4DA2">
        <w:rPr>
          <w:noProof/>
        </w:rPr>
        <w:t>u 1) uwzględnienia nowych pojazdów umożliwiających mikromobilność</w:t>
      </w:r>
      <w:r w:rsidR="00B83C93" w:rsidRPr="008B4DA2">
        <w:rPr>
          <w:noProof/>
        </w:rPr>
        <w:t xml:space="preserve"> o</w:t>
      </w:r>
      <w:r w:rsidR="00B83C93">
        <w:rPr>
          <w:noProof/>
        </w:rPr>
        <w:t> </w:t>
      </w:r>
      <w:r w:rsidR="00B83C93" w:rsidRPr="008B4DA2">
        <w:rPr>
          <w:noProof/>
        </w:rPr>
        <w:t>mak</w:t>
      </w:r>
      <w:r w:rsidRPr="008B4DA2">
        <w:rPr>
          <w:noProof/>
        </w:rPr>
        <w:t>symalnej prędkości 25–45 km/h, 2) umożliwienia wzajemnego uznawania krajowych praw jazdy wymaganych do kierowania pojazdami rolniczymi oraz 3) lepszego dostosowania do możliwości</w:t>
      </w:r>
      <w:r w:rsidR="00B83C93" w:rsidRPr="008B4DA2">
        <w:rPr>
          <w:noProof/>
        </w:rPr>
        <w:t xml:space="preserve"> i</w:t>
      </w:r>
      <w:r w:rsidR="00B83C93">
        <w:rPr>
          <w:noProof/>
        </w:rPr>
        <w:t> </w:t>
      </w:r>
      <w:r w:rsidR="00B83C93" w:rsidRPr="008B4DA2">
        <w:rPr>
          <w:noProof/>
        </w:rPr>
        <w:t>pot</w:t>
      </w:r>
      <w:r w:rsidRPr="008B4DA2">
        <w:rPr>
          <w:noProof/>
        </w:rPr>
        <w:t>rzeb rynku</w:t>
      </w:r>
      <w:r w:rsidR="00B83C93" w:rsidRPr="008B4DA2">
        <w:rPr>
          <w:noProof/>
        </w:rPr>
        <w:t xml:space="preserve"> w</w:t>
      </w:r>
      <w:r w:rsidR="00B83C93">
        <w:rPr>
          <w:noProof/>
        </w:rPr>
        <w:t> </w:t>
      </w:r>
      <w:r w:rsidR="00B83C93" w:rsidRPr="008B4DA2">
        <w:rPr>
          <w:noProof/>
        </w:rPr>
        <w:t>prz</w:t>
      </w:r>
      <w:r w:rsidRPr="008B4DA2">
        <w:rPr>
          <w:noProof/>
        </w:rPr>
        <w:t>ypadku autobusów kategorii D1. Przepisy dotyczące fizycznej</w:t>
      </w:r>
      <w:r w:rsidR="00B83C93" w:rsidRPr="008B4DA2">
        <w:rPr>
          <w:noProof/>
        </w:rPr>
        <w:t xml:space="preserve"> i</w:t>
      </w:r>
      <w:r w:rsidR="00B83C93">
        <w:rPr>
          <w:noProof/>
        </w:rPr>
        <w:t> </w:t>
      </w:r>
      <w:r w:rsidR="00B83C93" w:rsidRPr="008B4DA2">
        <w:rPr>
          <w:noProof/>
        </w:rPr>
        <w:t>psy</w:t>
      </w:r>
      <w:r w:rsidRPr="008B4DA2">
        <w:rPr>
          <w:noProof/>
        </w:rPr>
        <w:t xml:space="preserve">chicznej zdolności do kierowania pojazdami stałyby się bardziej rygorystyczne. </w:t>
      </w:r>
    </w:p>
    <w:p w:rsidR="00BD67F9" w:rsidRPr="008B4DA2" w:rsidRDefault="00BD67F9" w:rsidP="00BD67F9">
      <w:pPr>
        <w:rPr>
          <w:noProof/>
        </w:rPr>
      </w:pPr>
      <w:r w:rsidRPr="008B4DA2">
        <w:rPr>
          <w:noProof/>
        </w:rPr>
        <w:t>Jeżeli chodzi</w:t>
      </w:r>
      <w:r w:rsidR="00B83C93" w:rsidRPr="008B4DA2">
        <w:rPr>
          <w:noProof/>
        </w:rPr>
        <w:t xml:space="preserve"> o</w:t>
      </w:r>
      <w:r w:rsidR="00B83C93">
        <w:rPr>
          <w:noProof/>
        </w:rPr>
        <w:t> </w:t>
      </w:r>
      <w:r w:rsidR="00B83C93" w:rsidRPr="008B4DA2">
        <w:rPr>
          <w:noProof/>
        </w:rPr>
        <w:t>swo</w:t>
      </w:r>
      <w:r w:rsidRPr="008B4DA2">
        <w:rPr>
          <w:noProof/>
        </w:rPr>
        <w:t>bodę przemieszczania się,</w:t>
      </w:r>
      <w:r w:rsidR="00B83C93" w:rsidRPr="008B4DA2">
        <w:rPr>
          <w:noProof/>
        </w:rPr>
        <w:t xml:space="preserve"> w</w:t>
      </w:r>
      <w:r w:rsidR="00B83C93">
        <w:rPr>
          <w:noProof/>
        </w:rPr>
        <w:t> </w:t>
      </w:r>
      <w:r w:rsidR="00B83C93" w:rsidRPr="008B4DA2">
        <w:rPr>
          <w:noProof/>
        </w:rPr>
        <w:t>war</w:t>
      </w:r>
      <w:r w:rsidRPr="008B4DA2">
        <w:rPr>
          <w:noProof/>
        </w:rPr>
        <w:t>iancie tym uwzględnia się – oprócz środków zawartych</w:t>
      </w:r>
      <w:r w:rsidR="00B83C93" w:rsidRPr="008B4DA2">
        <w:rPr>
          <w:noProof/>
        </w:rPr>
        <w:t xml:space="preserve"> w</w:t>
      </w:r>
      <w:r w:rsidR="00B83C93">
        <w:rPr>
          <w:noProof/>
        </w:rPr>
        <w:t> </w:t>
      </w:r>
      <w:r w:rsidR="00B83C93" w:rsidRPr="008B4DA2">
        <w:rPr>
          <w:noProof/>
        </w:rPr>
        <w:t>war</w:t>
      </w:r>
      <w:r w:rsidRPr="008B4DA2">
        <w:rPr>
          <w:noProof/>
        </w:rPr>
        <w:t>iantach strategicznych A i B – wzajemne uznawanie oceny fizycznej</w:t>
      </w:r>
      <w:r w:rsidR="00B83C93" w:rsidRPr="008B4DA2">
        <w:rPr>
          <w:noProof/>
        </w:rPr>
        <w:t xml:space="preserve"> i</w:t>
      </w:r>
      <w:r w:rsidR="00B83C93">
        <w:rPr>
          <w:noProof/>
        </w:rPr>
        <w:t> </w:t>
      </w:r>
      <w:r w:rsidR="00B83C93" w:rsidRPr="008B4DA2">
        <w:rPr>
          <w:noProof/>
        </w:rPr>
        <w:t>psy</w:t>
      </w:r>
      <w:r w:rsidRPr="008B4DA2">
        <w:rPr>
          <w:noProof/>
        </w:rPr>
        <w:t>chicznej zdolności do kierowania pojazdami,</w:t>
      </w:r>
      <w:r w:rsidR="00B83C93" w:rsidRPr="008B4DA2">
        <w:rPr>
          <w:noProof/>
        </w:rPr>
        <w:t xml:space="preserve"> a</w:t>
      </w:r>
      <w:r w:rsidR="00B83C93">
        <w:rPr>
          <w:noProof/>
        </w:rPr>
        <w:t> </w:t>
      </w:r>
      <w:r w:rsidR="00B83C93" w:rsidRPr="008B4DA2">
        <w:rPr>
          <w:noProof/>
        </w:rPr>
        <w:t>pon</w:t>
      </w:r>
      <w:r w:rsidRPr="008B4DA2">
        <w:rPr>
          <w:noProof/>
        </w:rPr>
        <w:t>adto byli posiadacze zagranicznych praw jazdy mogą nadal kierować pojazdami po zmianie miejsca zamieszkania na inne państwo członkowskie, pod warunkiem że mają pozytywną historię</w:t>
      </w:r>
      <w:r w:rsidR="00B83C93" w:rsidRPr="008B4DA2">
        <w:rPr>
          <w:noProof/>
        </w:rPr>
        <w:t xml:space="preserve"> w</w:t>
      </w:r>
      <w:r w:rsidR="00B83C93">
        <w:rPr>
          <w:noProof/>
        </w:rPr>
        <w:t> </w:t>
      </w:r>
      <w:r w:rsidR="00B83C93" w:rsidRPr="008B4DA2">
        <w:rPr>
          <w:noProof/>
        </w:rPr>
        <w:t>zak</w:t>
      </w:r>
      <w:r w:rsidRPr="008B4DA2">
        <w:rPr>
          <w:noProof/>
        </w:rPr>
        <w:t>resie bezpieczeństwa ruchu drogowego</w:t>
      </w:r>
      <w:r w:rsidR="00B83C93" w:rsidRPr="008B4DA2">
        <w:rPr>
          <w:noProof/>
        </w:rPr>
        <w:t xml:space="preserve"> w</w:t>
      </w:r>
      <w:r w:rsidR="00B83C93">
        <w:rPr>
          <w:noProof/>
        </w:rPr>
        <w:t> </w:t>
      </w:r>
      <w:r w:rsidR="00B83C93" w:rsidRPr="008B4DA2">
        <w:rPr>
          <w:noProof/>
        </w:rPr>
        <w:t>okr</w:t>
      </w:r>
      <w:r w:rsidRPr="008B4DA2">
        <w:rPr>
          <w:noProof/>
        </w:rPr>
        <w:t xml:space="preserve">esie co najmniej pięciu lat. </w:t>
      </w:r>
    </w:p>
    <w:p w:rsidR="00BD67F9" w:rsidRPr="008B4DA2" w:rsidRDefault="00BD67F9" w:rsidP="00BD67F9">
      <w:pPr>
        <w:rPr>
          <w:b/>
          <w:noProof/>
        </w:rPr>
      </w:pPr>
      <w:r w:rsidRPr="008B4DA2">
        <w:rPr>
          <w:b/>
          <w:noProof/>
        </w:rPr>
        <w:t>Ocena środków</w:t>
      </w:r>
      <w:r w:rsidR="00B83C93" w:rsidRPr="008B4DA2">
        <w:rPr>
          <w:b/>
          <w:noProof/>
        </w:rPr>
        <w:t xml:space="preserve"> i</w:t>
      </w:r>
      <w:r w:rsidR="00B83C93">
        <w:rPr>
          <w:b/>
          <w:noProof/>
        </w:rPr>
        <w:t> </w:t>
      </w:r>
      <w:r w:rsidR="00B83C93" w:rsidRPr="008B4DA2">
        <w:rPr>
          <w:b/>
          <w:noProof/>
        </w:rPr>
        <w:t>war</w:t>
      </w:r>
      <w:r w:rsidRPr="008B4DA2">
        <w:rPr>
          <w:b/>
          <w:noProof/>
        </w:rPr>
        <w:t>iantów strategicznych</w:t>
      </w:r>
    </w:p>
    <w:p w:rsidR="00BD67F9" w:rsidRPr="008B4DA2" w:rsidRDefault="00BD67F9" w:rsidP="00BD67F9">
      <w:pPr>
        <w:rPr>
          <w:noProof/>
        </w:rPr>
      </w:pPr>
      <w:r w:rsidRPr="008B4DA2">
        <w:rPr>
          <w:noProof/>
        </w:rPr>
        <w:t>Środki</w:t>
      </w:r>
      <w:r w:rsidR="00B83C93" w:rsidRPr="008B4DA2">
        <w:rPr>
          <w:noProof/>
        </w:rPr>
        <w:t xml:space="preserve"> w</w:t>
      </w:r>
      <w:r w:rsidR="00B83C93">
        <w:rPr>
          <w:noProof/>
        </w:rPr>
        <w:t> </w:t>
      </w:r>
      <w:r w:rsidR="00B83C93" w:rsidRPr="008B4DA2">
        <w:rPr>
          <w:noProof/>
        </w:rPr>
        <w:t>ram</w:t>
      </w:r>
      <w:r w:rsidRPr="008B4DA2">
        <w:rPr>
          <w:noProof/>
        </w:rPr>
        <w:t>ach poszczególnych wariantów strategicznych poddano ilościowej</w:t>
      </w:r>
      <w:r w:rsidR="00B83C93" w:rsidRPr="008B4DA2">
        <w:rPr>
          <w:noProof/>
        </w:rPr>
        <w:t xml:space="preserve"> i</w:t>
      </w:r>
      <w:r w:rsidR="00B83C93">
        <w:rPr>
          <w:noProof/>
        </w:rPr>
        <w:t> </w:t>
      </w:r>
      <w:r w:rsidR="00B83C93" w:rsidRPr="008B4DA2">
        <w:rPr>
          <w:noProof/>
        </w:rPr>
        <w:t>jak</w:t>
      </w:r>
      <w:r w:rsidRPr="008B4DA2">
        <w:rPr>
          <w:noProof/>
        </w:rPr>
        <w:t>ościowej ocenie</w:t>
      </w:r>
      <w:r w:rsidR="00B83C93" w:rsidRPr="008B4DA2">
        <w:rPr>
          <w:noProof/>
        </w:rPr>
        <w:t xml:space="preserve"> w</w:t>
      </w:r>
      <w:r w:rsidR="00B83C93">
        <w:rPr>
          <w:noProof/>
        </w:rPr>
        <w:t> </w:t>
      </w:r>
      <w:r w:rsidR="00B83C93" w:rsidRPr="008B4DA2">
        <w:rPr>
          <w:noProof/>
        </w:rPr>
        <w:t>odn</w:t>
      </w:r>
      <w:r w:rsidRPr="008B4DA2">
        <w:rPr>
          <w:noProof/>
        </w:rPr>
        <w:t>iesieniu do ich skutków ekonomicznych</w:t>
      </w:r>
      <w:r w:rsidR="00B83C93" w:rsidRPr="008B4DA2">
        <w:rPr>
          <w:noProof/>
        </w:rPr>
        <w:t xml:space="preserve"> i</w:t>
      </w:r>
      <w:r w:rsidR="00B83C93">
        <w:rPr>
          <w:noProof/>
        </w:rPr>
        <w:t> </w:t>
      </w:r>
      <w:r w:rsidR="00B83C93" w:rsidRPr="008B4DA2">
        <w:rPr>
          <w:noProof/>
        </w:rPr>
        <w:t>spo</w:t>
      </w:r>
      <w:r w:rsidRPr="008B4DA2">
        <w:rPr>
          <w:noProof/>
        </w:rPr>
        <w:t>łecznych (bezpieczeństwo ruchu drogowego) oraz skutków dla praw podstawowych. Do oceny skutków wybrano horyzont czasowy 2025–2050, zgodnie</w:t>
      </w:r>
      <w:r w:rsidR="00B83C93" w:rsidRPr="008B4DA2">
        <w:rPr>
          <w:noProof/>
        </w:rPr>
        <w:t xml:space="preserve"> z</w:t>
      </w:r>
      <w:r w:rsidR="00B83C93">
        <w:rPr>
          <w:noProof/>
        </w:rPr>
        <w:t> </w:t>
      </w:r>
      <w:r w:rsidR="00B83C93" w:rsidRPr="008B4DA2">
        <w:rPr>
          <w:noProof/>
        </w:rPr>
        <w:t>pro</w:t>
      </w:r>
      <w:r w:rsidRPr="008B4DA2">
        <w:rPr>
          <w:noProof/>
        </w:rPr>
        <w:t>gnozami bazowymi. Jeżeli chodzi</w:t>
      </w:r>
      <w:r w:rsidR="00B83C93" w:rsidRPr="008B4DA2">
        <w:rPr>
          <w:noProof/>
        </w:rPr>
        <w:t xml:space="preserve"> o</w:t>
      </w:r>
      <w:r w:rsidR="00B83C93">
        <w:rPr>
          <w:noProof/>
        </w:rPr>
        <w:t> </w:t>
      </w:r>
      <w:r w:rsidR="00B83C93" w:rsidRPr="008B4DA2">
        <w:rPr>
          <w:noProof/>
        </w:rPr>
        <w:t>bez</w:t>
      </w:r>
      <w:r w:rsidRPr="008B4DA2">
        <w:rPr>
          <w:noProof/>
        </w:rPr>
        <w:t>pieczeństwo ruchu drogowego, oczekuje się, że wariant strategiczny A nie będzie optymalnym rozwiązaniem służącym osiągnięciu odpowiednich celów UE. Wprowadzenie wariantu strategicznego B poprawi</w:t>
      </w:r>
      <w:r w:rsidR="00B83C93" w:rsidRPr="008B4DA2">
        <w:rPr>
          <w:noProof/>
        </w:rPr>
        <w:t xml:space="preserve"> w</w:t>
      </w:r>
      <w:r w:rsidR="00B83C93">
        <w:rPr>
          <w:noProof/>
        </w:rPr>
        <w:t> </w:t>
      </w:r>
      <w:r w:rsidR="00B83C93" w:rsidRPr="008B4DA2">
        <w:rPr>
          <w:noProof/>
        </w:rPr>
        <w:t>wię</w:t>
      </w:r>
      <w:r w:rsidRPr="008B4DA2">
        <w:rPr>
          <w:noProof/>
        </w:rPr>
        <w:t>kszym stopniu bezpieczeństwo ruchu drogowego, natomiast wariant strategiczny C zakłada pójście</w:t>
      </w:r>
      <w:r w:rsidR="00B83C93" w:rsidRPr="008B4DA2">
        <w:rPr>
          <w:noProof/>
        </w:rPr>
        <w:t xml:space="preserve"> o</w:t>
      </w:r>
      <w:r w:rsidR="00B83C93">
        <w:rPr>
          <w:noProof/>
        </w:rPr>
        <w:t> </w:t>
      </w:r>
      <w:r w:rsidR="00B83C93" w:rsidRPr="008B4DA2">
        <w:rPr>
          <w:noProof/>
        </w:rPr>
        <w:t>jed</w:t>
      </w:r>
      <w:r w:rsidRPr="008B4DA2">
        <w:rPr>
          <w:noProof/>
        </w:rPr>
        <w:t>en znaczący krok dalej, lecz oczekiwany stosunek kosztów do korzyści</w:t>
      </w:r>
      <w:r w:rsidR="00B83C93" w:rsidRPr="008B4DA2">
        <w:rPr>
          <w:noProof/>
        </w:rPr>
        <w:t xml:space="preserve"> w</w:t>
      </w:r>
      <w:r w:rsidR="00B83C93">
        <w:rPr>
          <w:noProof/>
        </w:rPr>
        <w:t> </w:t>
      </w:r>
      <w:r w:rsidR="00B83C93" w:rsidRPr="008B4DA2">
        <w:rPr>
          <w:noProof/>
        </w:rPr>
        <w:t>war</w:t>
      </w:r>
      <w:r w:rsidRPr="008B4DA2">
        <w:rPr>
          <w:noProof/>
        </w:rPr>
        <w:t>iancie strategicznym C będzie mniej korzystny niż</w:t>
      </w:r>
      <w:r w:rsidR="00B83C93" w:rsidRPr="008B4DA2">
        <w:rPr>
          <w:noProof/>
        </w:rPr>
        <w:t xml:space="preserve"> w</w:t>
      </w:r>
      <w:r w:rsidR="00B83C93">
        <w:rPr>
          <w:noProof/>
        </w:rPr>
        <w:t> </w:t>
      </w:r>
      <w:r w:rsidR="00B83C93" w:rsidRPr="008B4DA2">
        <w:rPr>
          <w:noProof/>
        </w:rPr>
        <w:t>war</w:t>
      </w:r>
      <w:r w:rsidRPr="008B4DA2">
        <w:rPr>
          <w:noProof/>
        </w:rPr>
        <w:t>iancie strategicznym B. Jeżeli chodzi</w:t>
      </w:r>
      <w:r w:rsidR="00B83C93" w:rsidRPr="008B4DA2">
        <w:rPr>
          <w:noProof/>
        </w:rPr>
        <w:t xml:space="preserve"> o</w:t>
      </w:r>
      <w:r w:rsidR="00B83C93">
        <w:rPr>
          <w:noProof/>
        </w:rPr>
        <w:t> </w:t>
      </w:r>
      <w:r w:rsidR="00B83C93" w:rsidRPr="008B4DA2">
        <w:rPr>
          <w:noProof/>
        </w:rPr>
        <w:t>kwe</w:t>
      </w:r>
      <w:r w:rsidRPr="008B4DA2">
        <w:rPr>
          <w:noProof/>
        </w:rPr>
        <w:t>stię swobodnego przepływu</w:t>
      </w:r>
      <w:r w:rsidR="00B83C93" w:rsidRPr="008B4DA2">
        <w:rPr>
          <w:noProof/>
        </w:rPr>
        <w:t xml:space="preserve"> i</w:t>
      </w:r>
      <w:r w:rsidR="00B83C93">
        <w:rPr>
          <w:noProof/>
        </w:rPr>
        <w:t> </w:t>
      </w:r>
      <w:r w:rsidR="00B83C93" w:rsidRPr="008B4DA2">
        <w:rPr>
          <w:noProof/>
        </w:rPr>
        <w:t>sku</w:t>
      </w:r>
      <w:r w:rsidRPr="008B4DA2">
        <w:rPr>
          <w:noProof/>
        </w:rPr>
        <w:t>tki gospodarcze, oczekuje się, że podstawowy wkład będzie wynikał</w:t>
      </w:r>
      <w:r w:rsidR="00B83C93" w:rsidRPr="008B4DA2">
        <w:rPr>
          <w:noProof/>
        </w:rPr>
        <w:t xml:space="preserve"> z</w:t>
      </w:r>
      <w:r w:rsidR="00B83C93">
        <w:rPr>
          <w:noProof/>
        </w:rPr>
        <w:t> </w:t>
      </w:r>
      <w:r w:rsidR="00B83C93" w:rsidRPr="008B4DA2">
        <w:rPr>
          <w:noProof/>
        </w:rPr>
        <w:t>wpr</w:t>
      </w:r>
      <w:r w:rsidRPr="008B4DA2">
        <w:rPr>
          <w:noProof/>
        </w:rPr>
        <w:t>owadzenia cyfrowych praw jazdy</w:t>
      </w:r>
      <w:r w:rsidR="00B83C93" w:rsidRPr="008B4DA2">
        <w:rPr>
          <w:noProof/>
        </w:rPr>
        <w:t xml:space="preserve"> i</w:t>
      </w:r>
      <w:r w:rsidR="00B83C93">
        <w:rPr>
          <w:noProof/>
        </w:rPr>
        <w:t> </w:t>
      </w:r>
      <w:r w:rsidR="00B83C93" w:rsidRPr="008B4DA2">
        <w:rPr>
          <w:noProof/>
        </w:rPr>
        <w:t>har</w:t>
      </w:r>
      <w:r w:rsidRPr="008B4DA2">
        <w:rPr>
          <w:noProof/>
        </w:rPr>
        <w:t>monizacji administracyjnego okresu ważności praw jazdy kierowców należących do grupy 1, który wyniesie 15 lat (oba elementy są już zawarte</w:t>
      </w:r>
      <w:r w:rsidR="00B83C93" w:rsidRPr="008B4DA2">
        <w:rPr>
          <w:noProof/>
        </w:rPr>
        <w:t xml:space="preserve"> w</w:t>
      </w:r>
      <w:r w:rsidR="00B83C93">
        <w:rPr>
          <w:noProof/>
        </w:rPr>
        <w:t> </w:t>
      </w:r>
      <w:r w:rsidR="00B83C93" w:rsidRPr="008B4DA2">
        <w:rPr>
          <w:noProof/>
        </w:rPr>
        <w:t>war</w:t>
      </w:r>
      <w:r w:rsidRPr="008B4DA2">
        <w:rPr>
          <w:noProof/>
        </w:rPr>
        <w:t>iancie strategicznym A). Dodatkowe środki wprowadzone</w:t>
      </w:r>
      <w:r w:rsidR="00B83C93" w:rsidRPr="008B4DA2">
        <w:rPr>
          <w:noProof/>
        </w:rPr>
        <w:t xml:space="preserve"> w</w:t>
      </w:r>
      <w:r w:rsidR="00B83C93">
        <w:rPr>
          <w:noProof/>
        </w:rPr>
        <w:t> </w:t>
      </w:r>
      <w:r w:rsidR="00B83C93" w:rsidRPr="008B4DA2">
        <w:rPr>
          <w:noProof/>
        </w:rPr>
        <w:t>ram</w:t>
      </w:r>
      <w:r w:rsidRPr="008B4DA2">
        <w:rPr>
          <w:noProof/>
        </w:rPr>
        <w:t>ach wariantów strategicznych B i C usuną przeszkody dotyczące niektórych określonych grup kierowców, ale ich skutki będą znacznie słabsze. Jeżeli chodzi</w:t>
      </w:r>
      <w:r w:rsidR="00B83C93" w:rsidRPr="008B4DA2">
        <w:rPr>
          <w:noProof/>
        </w:rPr>
        <w:t xml:space="preserve"> o</w:t>
      </w:r>
      <w:r w:rsidR="00B83C93">
        <w:rPr>
          <w:noProof/>
        </w:rPr>
        <w:t> </w:t>
      </w:r>
      <w:r w:rsidR="00B83C93" w:rsidRPr="008B4DA2">
        <w:rPr>
          <w:noProof/>
        </w:rPr>
        <w:t>pra</w:t>
      </w:r>
      <w:r w:rsidRPr="008B4DA2">
        <w:rPr>
          <w:noProof/>
        </w:rPr>
        <w:t>wa podstawowe, utrzymana zostanie kontrola skutków</w:t>
      </w:r>
      <w:r w:rsidR="00B83C93" w:rsidRPr="008B4DA2">
        <w:rPr>
          <w:noProof/>
        </w:rPr>
        <w:t xml:space="preserve"> w</w:t>
      </w:r>
      <w:r w:rsidR="00B83C93">
        <w:rPr>
          <w:noProof/>
        </w:rPr>
        <w:t> </w:t>
      </w:r>
      <w:r w:rsidR="00B83C93" w:rsidRPr="008B4DA2">
        <w:rPr>
          <w:noProof/>
        </w:rPr>
        <w:t>dro</w:t>
      </w:r>
      <w:r w:rsidRPr="008B4DA2">
        <w:rPr>
          <w:noProof/>
        </w:rPr>
        <w:t>dze rygorystycznego wdrażania zasad ochrony danych,</w:t>
      </w:r>
      <w:r w:rsidR="00B83C93" w:rsidRPr="008B4DA2">
        <w:rPr>
          <w:noProof/>
        </w:rPr>
        <w:t xml:space="preserve"> w</w:t>
      </w:r>
      <w:r w:rsidR="00B83C93">
        <w:rPr>
          <w:noProof/>
        </w:rPr>
        <w:t> </w:t>
      </w:r>
      <w:r w:rsidR="00B83C93" w:rsidRPr="008B4DA2">
        <w:rPr>
          <w:noProof/>
        </w:rPr>
        <w:t>szc</w:t>
      </w:r>
      <w:r w:rsidRPr="008B4DA2">
        <w:rPr>
          <w:noProof/>
        </w:rPr>
        <w:t>zególności</w:t>
      </w:r>
      <w:r w:rsidR="00B83C93" w:rsidRPr="008B4DA2">
        <w:rPr>
          <w:noProof/>
        </w:rPr>
        <w:t xml:space="preserve"> w</w:t>
      </w:r>
      <w:r w:rsidR="00B83C93">
        <w:rPr>
          <w:noProof/>
        </w:rPr>
        <w:t> </w:t>
      </w:r>
      <w:r w:rsidR="00B83C93" w:rsidRPr="008B4DA2">
        <w:rPr>
          <w:noProof/>
        </w:rPr>
        <w:t>sie</w:t>
      </w:r>
      <w:r w:rsidRPr="008B4DA2">
        <w:rPr>
          <w:noProof/>
        </w:rPr>
        <w:t>ci RESPER.</w:t>
      </w:r>
    </w:p>
    <w:p w:rsidR="00BD67F9" w:rsidRPr="008B4DA2" w:rsidRDefault="00BD67F9" w:rsidP="00BD67F9">
      <w:pPr>
        <w:pStyle w:val="bodytext"/>
        <w:shd w:val="clear" w:color="auto" w:fill="FFFFFF" w:themeFill="background1"/>
        <w:spacing w:before="0" w:beforeAutospacing="0" w:after="0" w:afterAutospacing="0"/>
        <w:jc w:val="both"/>
        <w:rPr>
          <w:noProof/>
        </w:rPr>
      </w:pPr>
      <w:r w:rsidRPr="008B4DA2">
        <w:rPr>
          <w:noProof/>
        </w:rPr>
        <w:t>Wszystkie warianty strategiczne</w:t>
      </w:r>
      <w:r w:rsidR="00B83C93" w:rsidRPr="008B4DA2">
        <w:rPr>
          <w:noProof/>
        </w:rPr>
        <w:t xml:space="preserve"> w</w:t>
      </w:r>
      <w:r w:rsidR="00B83C93">
        <w:rPr>
          <w:noProof/>
        </w:rPr>
        <w:t> </w:t>
      </w:r>
      <w:r w:rsidR="00B83C93" w:rsidRPr="008B4DA2">
        <w:rPr>
          <w:noProof/>
        </w:rPr>
        <w:t>peł</w:t>
      </w:r>
      <w:r w:rsidRPr="008B4DA2">
        <w:rPr>
          <w:noProof/>
        </w:rPr>
        <w:t>ni uwzględniały zasadę „domyślnej cyfrowości”, odzwierciedlając komunikat</w:t>
      </w:r>
      <w:r w:rsidR="00B83C93" w:rsidRPr="008B4DA2">
        <w:rPr>
          <w:noProof/>
        </w:rPr>
        <w:t xml:space="preserve"> w</w:t>
      </w:r>
      <w:r w:rsidR="00B83C93">
        <w:rPr>
          <w:noProof/>
        </w:rPr>
        <w:t> </w:t>
      </w:r>
      <w:r w:rsidR="00B83C93" w:rsidRPr="008B4DA2">
        <w:rPr>
          <w:noProof/>
        </w:rPr>
        <w:t>spr</w:t>
      </w:r>
      <w:r w:rsidRPr="008B4DA2">
        <w:rPr>
          <w:noProof/>
        </w:rPr>
        <w:t xml:space="preserve">awie cyfrowego kompasu </w:t>
      </w:r>
      <w:r w:rsidRPr="00B83C93">
        <w:rPr>
          <w:noProof/>
        </w:rPr>
        <w:t>na</w:t>
      </w:r>
      <w:r w:rsidR="00B83C93" w:rsidRPr="00B83C93">
        <w:rPr>
          <w:noProof/>
        </w:rPr>
        <w:t> </w:t>
      </w:r>
      <w:r w:rsidRPr="00B83C93">
        <w:rPr>
          <w:noProof/>
        </w:rPr>
        <w:t>2</w:t>
      </w:r>
      <w:r w:rsidRPr="008B4DA2">
        <w:rPr>
          <w:noProof/>
        </w:rPr>
        <w:t>0</w:t>
      </w:r>
      <w:r w:rsidRPr="00B83C93">
        <w:rPr>
          <w:noProof/>
        </w:rPr>
        <w:t>30</w:t>
      </w:r>
      <w:r w:rsidR="00B83C93" w:rsidRPr="00B83C93">
        <w:rPr>
          <w:noProof/>
        </w:rPr>
        <w:t> </w:t>
      </w:r>
      <w:r w:rsidRPr="00B83C93">
        <w:rPr>
          <w:noProof/>
        </w:rPr>
        <w:t>r.</w:t>
      </w:r>
      <w:r w:rsidRPr="008B4DA2">
        <w:rPr>
          <w:rStyle w:val="FootnoteReference"/>
          <w:noProof/>
        </w:rPr>
        <w:footnoteReference w:id="46"/>
      </w:r>
      <w:r w:rsidRPr="008B4DA2">
        <w:rPr>
          <w:noProof/>
        </w:rPr>
        <w:t xml:space="preserve"> </w:t>
      </w:r>
    </w:p>
    <w:p w:rsidR="00BD67F9" w:rsidRPr="008B4DA2" w:rsidRDefault="00BD67F9" w:rsidP="00BD67F9">
      <w:pPr>
        <w:pStyle w:val="ManualHeading2"/>
        <w:rPr>
          <w:rFonts w:eastAsia="Arial Unicode MS"/>
          <w:noProof/>
          <w:bdr w:val="nil"/>
        </w:rPr>
      </w:pPr>
      <w:r w:rsidRPr="008B4DA2">
        <w:rPr>
          <w:noProof/>
          <w:bdr w:val="nil"/>
        </w:rPr>
        <w:t>•</w:t>
      </w:r>
      <w:r w:rsidRPr="008B4DA2">
        <w:rPr>
          <w:noProof/>
        </w:rPr>
        <w:tab/>
      </w:r>
      <w:r w:rsidRPr="008B4DA2">
        <w:rPr>
          <w:noProof/>
          <w:bdr w:val="nil"/>
        </w:rPr>
        <w:t>Sprawność regulacyjna</w:t>
      </w:r>
      <w:r w:rsidR="00B83C93" w:rsidRPr="008B4DA2">
        <w:rPr>
          <w:noProof/>
          <w:bdr w:val="nil"/>
        </w:rPr>
        <w:t xml:space="preserve"> i</w:t>
      </w:r>
      <w:r w:rsidR="00B83C93">
        <w:rPr>
          <w:noProof/>
          <w:bdr w:val="nil"/>
        </w:rPr>
        <w:t> </w:t>
      </w:r>
      <w:r w:rsidR="00B83C93" w:rsidRPr="008B4DA2">
        <w:rPr>
          <w:noProof/>
          <w:bdr w:val="nil"/>
        </w:rPr>
        <w:t>upr</w:t>
      </w:r>
      <w:r w:rsidRPr="008B4DA2">
        <w:rPr>
          <w:noProof/>
          <w:bdr w:val="nil"/>
        </w:rPr>
        <w:t>oszczenie</w:t>
      </w:r>
    </w:p>
    <w:p w:rsidR="00BD67F9" w:rsidRPr="008B4DA2" w:rsidRDefault="00BD67F9" w:rsidP="00BD67F9">
      <w:pPr>
        <w:rPr>
          <w:noProof/>
        </w:rPr>
      </w:pPr>
      <w:r w:rsidRPr="008B4DA2">
        <w:rPr>
          <w:noProof/>
        </w:rPr>
        <w:t xml:space="preserve">Niniejsza inicjatywa stanowi część programu prac Komisji </w:t>
      </w:r>
      <w:r w:rsidRPr="00B83C93">
        <w:rPr>
          <w:noProof/>
        </w:rPr>
        <w:t>na</w:t>
      </w:r>
      <w:r w:rsidR="00B83C93" w:rsidRPr="00B83C93">
        <w:rPr>
          <w:noProof/>
        </w:rPr>
        <w:t> </w:t>
      </w:r>
      <w:r w:rsidRPr="00B83C93">
        <w:rPr>
          <w:noProof/>
        </w:rPr>
        <w:t>2</w:t>
      </w:r>
      <w:r w:rsidRPr="008B4DA2">
        <w:rPr>
          <w:noProof/>
        </w:rPr>
        <w:t>0</w:t>
      </w:r>
      <w:r w:rsidRPr="00B83C93">
        <w:rPr>
          <w:noProof/>
        </w:rPr>
        <w:t>22</w:t>
      </w:r>
      <w:r w:rsidR="00B83C93" w:rsidRPr="00B83C93">
        <w:rPr>
          <w:noProof/>
        </w:rPr>
        <w:t> </w:t>
      </w:r>
      <w:r w:rsidRPr="00B83C93">
        <w:rPr>
          <w:noProof/>
        </w:rPr>
        <w:t>r.</w:t>
      </w:r>
      <w:r w:rsidR="00B83C93" w:rsidRPr="008B4DA2">
        <w:rPr>
          <w:noProof/>
        </w:rPr>
        <w:t xml:space="preserve"> w</w:t>
      </w:r>
      <w:r w:rsidR="00B83C93">
        <w:rPr>
          <w:noProof/>
        </w:rPr>
        <w:t> </w:t>
      </w:r>
      <w:r w:rsidR="00B83C93" w:rsidRPr="008B4DA2">
        <w:rPr>
          <w:noProof/>
        </w:rPr>
        <w:t>ram</w:t>
      </w:r>
      <w:r w:rsidRPr="008B4DA2">
        <w:rPr>
          <w:noProof/>
        </w:rPr>
        <w:t>ach załącznika II (inicjatywy</w:t>
      </w:r>
      <w:r w:rsidR="00B83C93" w:rsidRPr="008B4DA2">
        <w:rPr>
          <w:noProof/>
        </w:rPr>
        <w:t xml:space="preserve"> w</w:t>
      </w:r>
      <w:r w:rsidR="00B83C93">
        <w:rPr>
          <w:noProof/>
        </w:rPr>
        <w:t> </w:t>
      </w:r>
      <w:r w:rsidR="00B83C93" w:rsidRPr="008B4DA2">
        <w:rPr>
          <w:noProof/>
        </w:rPr>
        <w:t>ram</w:t>
      </w:r>
      <w:r w:rsidRPr="008B4DA2">
        <w:rPr>
          <w:noProof/>
        </w:rPr>
        <w:t>ach programu REFIT), uwzględnioną</w:t>
      </w:r>
      <w:r w:rsidR="00B83C93" w:rsidRPr="008B4DA2">
        <w:rPr>
          <w:noProof/>
        </w:rPr>
        <w:t xml:space="preserve"> w</w:t>
      </w:r>
      <w:r w:rsidR="00B83C93">
        <w:rPr>
          <w:noProof/>
        </w:rPr>
        <w:t> </w:t>
      </w:r>
      <w:r w:rsidR="00B83C93" w:rsidRPr="008B4DA2">
        <w:rPr>
          <w:noProof/>
        </w:rPr>
        <w:t>czę</w:t>
      </w:r>
      <w:r w:rsidRPr="008B4DA2">
        <w:rPr>
          <w:noProof/>
        </w:rPr>
        <w:t>ści pod nagłówkiem „Nowy impuls dla demokracji europejskiej”</w:t>
      </w:r>
      <w:r w:rsidRPr="008B4DA2">
        <w:rPr>
          <w:rStyle w:val="FootnoteReference"/>
          <w:noProof/>
        </w:rPr>
        <w:footnoteReference w:id="47"/>
      </w:r>
      <w:r w:rsidRPr="008B4DA2">
        <w:rPr>
          <w:noProof/>
        </w:rPr>
        <w:t>. Ma ona istotny wymiar</w:t>
      </w:r>
      <w:r w:rsidR="00B83C93" w:rsidRPr="008B4DA2">
        <w:rPr>
          <w:noProof/>
        </w:rPr>
        <w:t xml:space="preserve"> w</w:t>
      </w:r>
      <w:r w:rsidR="00B83C93">
        <w:rPr>
          <w:noProof/>
        </w:rPr>
        <w:t> </w:t>
      </w:r>
      <w:r w:rsidR="00B83C93" w:rsidRPr="008B4DA2">
        <w:rPr>
          <w:noProof/>
        </w:rPr>
        <w:t>ram</w:t>
      </w:r>
      <w:r w:rsidRPr="008B4DA2">
        <w:rPr>
          <w:noProof/>
        </w:rPr>
        <w:t>ach programu REFIT pod względem uproszczenia</w:t>
      </w:r>
      <w:r w:rsidR="00B83C93" w:rsidRPr="008B4DA2">
        <w:rPr>
          <w:noProof/>
        </w:rPr>
        <w:t xml:space="preserve"> i</w:t>
      </w:r>
      <w:r w:rsidR="00B83C93">
        <w:rPr>
          <w:noProof/>
        </w:rPr>
        <w:t> </w:t>
      </w:r>
      <w:r w:rsidR="00B83C93" w:rsidRPr="008B4DA2">
        <w:rPr>
          <w:noProof/>
        </w:rPr>
        <w:t>dos</w:t>
      </w:r>
      <w:r w:rsidRPr="008B4DA2">
        <w:rPr>
          <w:noProof/>
        </w:rPr>
        <w:t>tosowania procedur stosowanych przez państwa członkowskie</w:t>
      </w:r>
      <w:r w:rsidR="00B83C93" w:rsidRPr="008B4DA2">
        <w:rPr>
          <w:noProof/>
        </w:rPr>
        <w:t xml:space="preserve"> w</w:t>
      </w:r>
      <w:r w:rsidR="00B83C93">
        <w:rPr>
          <w:noProof/>
        </w:rPr>
        <w:t> </w:t>
      </w:r>
      <w:r w:rsidR="00B83C93" w:rsidRPr="008B4DA2">
        <w:rPr>
          <w:noProof/>
        </w:rPr>
        <w:t>odn</w:t>
      </w:r>
      <w:r w:rsidRPr="008B4DA2">
        <w:rPr>
          <w:noProof/>
        </w:rPr>
        <w:t xml:space="preserve">iesieniu do praw jazdy. </w:t>
      </w:r>
    </w:p>
    <w:p w:rsidR="00BD67F9" w:rsidRPr="008B4DA2" w:rsidRDefault="00BD67F9" w:rsidP="00BD67F9">
      <w:pPr>
        <w:rPr>
          <w:noProof/>
        </w:rPr>
      </w:pPr>
      <w:r w:rsidRPr="008B4DA2">
        <w:rPr>
          <w:noProof/>
        </w:rPr>
        <w:t>Procedury wydawania</w:t>
      </w:r>
      <w:r w:rsidR="00B83C93" w:rsidRPr="008B4DA2">
        <w:rPr>
          <w:noProof/>
        </w:rPr>
        <w:t xml:space="preserve"> i</w:t>
      </w:r>
      <w:r w:rsidR="00B83C93">
        <w:rPr>
          <w:noProof/>
        </w:rPr>
        <w:t> </w:t>
      </w:r>
      <w:r w:rsidR="00B83C93" w:rsidRPr="008B4DA2">
        <w:rPr>
          <w:noProof/>
        </w:rPr>
        <w:t>wyt</w:t>
      </w:r>
      <w:r w:rsidRPr="008B4DA2">
        <w:rPr>
          <w:noProof/>
        </w:rPr>
        <w:t>warzania fizycznych praw jazdy stanowią, ze względu na dużą liczbę zainteresowanych mieszkańców UE, istotne obciążenie kosztowe wynikające</w:t>
      </w:r>
      <w:r w:rsidR="00B83C93" w:rsidRPr="008B4DA2">
        <w:rPr>
          <w:noProof/>
        </w:rPr>
        <w:t xml:space="preserve"> z</w:t>
      </w:r>
      <w:r w:rsidR="00B83C93">
        <w:rPr>
          <w:noProof/>
        </w:rPr>
        <w:t> </w:t>
      </w:r>
      <w:r w:rsidR="00B83C93" w:rsidRPr="008B4DA2">
        <w:rPr>
          <w:noProof/>
        </w:rPr>
        <w:t>dyr</w:t>
      </w:r>
      <w:r w:rsidRPr="008B4DA2">
        <w:rPr>
          <w:noProof/>
        </w:rPr>
        <w:t>ektywy 2006/126/WE. Ważnym elementem uproszczenia</w:t>
      </w:r>
      <w:r w:rsidR="00B83C93" w:rsidRPr="008B4DA2">
        <w:rPr>
          <w:noProof/>
        </w:rPr>
        <w:t xml:space="preserve"> i</w:t>
      </w:r>
      <w:r w:rsidR="00B83C93">
        <w:rPr>
          <w:noProof/>
        </w:rPr>
        <w:t> </w:t>
      </w:r>
      <w:r w:rsidR="00B83C93" w:rsidRPr="008B4DA2">
        <w:rPr>
          <w:noProof/>
        </w:rPr>
        <w:t>zwi</w:t>
      </w:r>
      <w:r w:rsidRPr="008B4DA2">
        <w:rPr>
          <w:noProof/>
        </w:rPr>
        <w:t>ązanego</w:t>
      </w:r>
      <w:r w:rsidR="00B83C93" w:rsidRPr="008B4DA2">
        <w:rPr>
          <w:noProof/>
        </w:rPr>
        <w:t xml:space="preserve"> z</w:t>
      </w:r>
      <w:r w:rsidR="00B83C93">
        <w:rPr>
          <w:noProof/>
        </w:rPr>
        <w:t> </w:t>
      </w:r>
      <w:r w:rsidR="00B83C93" w:rsidRPr="008B4DA2">
        <w:rPr>
          <w:noProof/>
        </w:rPr>
        <w:t>nim</w:t>
      </w:r>
      <w:r w:rsidRPr="008B4DA2">
        <w:rPr>
          <w:noProof/>
        </w:rPr>
        <w:t xml:space="preserve"> zmniejszenia obciążeń będzie wprowadzenie mobilnego prawa jazdy UE</w:t>
      </w:r>
      <w:r w:rsidR="00B83C93" w:rsidRPr="008B4DA2">
        <w:rPr>
          <w:noProof/>
        </w:rPr>
        <w:t>. W</w:t>
      </w:r>
      <w:r w:rsidR="00B83C93">
        <w:rPr>
          <w:noProof/>
        </w:rPr>
        <w:t> </w:t>
      </w:r>
      <w:r w:rsidR="00B83C93" w:rsidRPr="008B4DA2">
        <w:rPr>
          <w:noProof/>
        </w:rPr>
        <w:t>szc</w:t>
      </w:r>
      <w:r w:rsidRPr="008B4DA2">
        <w:rPr>
          <w:noProof/>
        </w:rPr>
        <w:t>zególności ułatwi to uzyskanie prawa jazdy, otrzymanie wtórnika, przedłużenie okresu ważności prawa jazdy lub jego wymianę, ponieważ całą procedurę będzie można przeprowadzić przez internet. Harmonizacja administracyjnego okresu ważności praw jazdy dla kierowców pojazdów kategorii A, A1, A2, AM, B, B1 i BE skutkowałaby ponadto również mniejszą liczbą kontaktów</w:t>
      </w:r>
      <w:r w:rsidR="00B83C93" w:rsidRPr="008B4DA2">
        <w:rPr>
          <w:noProof/>
        </w:rPr>
        <w:t xml:space="preserve"> z</w:t>
      </w:r>
      <w:r w:rsidR="00B83C93">
        <w:rPr>
          <w:noProof/>
        </w:rPr>
        <w:t> </w:t>
      </w:r>
      <w:r w:rsidR="00B83C93" w:rsidRPr="008B4DA2">
        <w:rPr>
          <w:noProof/>
        </w:rPr>
        <w:t>adm</w:t>
      </w:r>
      <w:r w:rsidRPr="008B4DA2">
        <w:rPr>
          <w:noProof/>
        </w:rPr>
        <w:t>inistracją ze względu na rzadziej występującą konieczność przedłużenia okresu ważności prawa jazdy (</w:t>
      </w:r>
      <w:r w:rsidRPr="00B83C93">
        <w:rPr>
          <w:noProof/>
        </w:rPr>
        <w:t>co</w:t>
      </w:r>
      <w:r w:rsidR="00B83C93" w:rsidRPr="00B83C93">
        <w:rPr>
          <w:noProof/>
        </w:rPr>
        <w:t> </w:t>
      </w:r>
      <w:r w:rsidRPr="00B83C93">
        <w:rPr>
          <w:noProof/>
        </w:rPr>
        <w:t>1</w:t>
      </w:r>
      <w:r w:rsidRPr="008B4DA2">
        <w:rPr>
          <w:noProof/>
        </w:rPr>
        <w:t xml:space="preserve">5 lat zamiast </w:t>
      </w:r>
      <w:r w:rsidRPr="00B83C93">
        <w:rPr>
          <w:noProof/>
        </w:rPr>
        <w:t>co</w:t>
      </w:r>
      <w:r w:rsidR="00B83C93" w:rsidRPr="00B83C93">
        <w:rPr>
          <w:noProof/>
        </w:rPr>
        <w:t> </w:t>
      </w:r>
      <w:r w:rsidRPr="00B83C93">
        <w:rPr>
          <w:noProof/>
        </w:rPr>
        <w:t>1</w:t>
      </w:r>
      <w:r w:rsidRPr="008B4DA2">
        <w:rPr>
          <w:noProof/>
        </w:rPr>
        <w:t>0 lat</w:t>
      </w:r>
      <w:r w:rsidR="00B83C93" w:rsidRPr="008B4DA2">
        <w:rPr>
          <w:noProof/>
        </w:rPr>
        <w:t xml:space="preserve"> w</w:t>
      </w:r>
      <w:r w:rsidR="00B83C93">
        <w:rPr>
          <w:noProof/>
        </w:rPr>
        <w:t> </w:t>
      </w:r>
      <w:r w:rsidR="00B83C93" w:rsidRPr="008B4DA2">
        <w:rPr>
          <w:noProof/>
        </w:rPr>
        <w:t>pań</w:t>
      </w:r>
      <w:r w:rsidRPr="008B4DA2">
        <w:rPr>
          <w:noProof/>
        </w:rPr>
        <w:t>stwach członkowskich, które obecnie stosują tę zasadę).</w:t>
      </w:r>
    </w:p>
    <w:p w:rsidR="00BD67F9" w:rsidRPr="008B4DA2" w:rsidRDefault="00BD67F9" w:rsidP="00BD67F9">
      <w:pPr>
        <w:pStyle w:val="ManualHeading2"/>
        <w:rPr>
          <w:rFonts w:eastAsia="Arial Unicode MS"/>
          <w:noProof/>
          <w:bdr w:val="nil"/>
        </w:rPr>
      </w:pPr>
      <w:r w:rsidRPr="008B4DA2">
        <w:rPr>
          <w:noProof/>
          <w:bdr w:val="nil"/>
        </w:rPr>
        <w:t>•</w:t>
      </w:r>
      <w:r w:rsidRPr="008B4DA2">
        <w:rPr>
          <w:noProof/>
        </w:rPr>
        <w:tab/>
      </w:r>
      <w:r w:rsidRPr="008B4DA2">
        <w:rPr>
          <w:noProof/>
          <w:bdr w:val="nil"/>
        </w:rPr>
        <w:t>Prawa podstawowe</w:t>
      </w:r>
    </w:p>
    <w:p w:rsidR="00BD67F9" w:rsidRPr="008B4DA2" w:rsidRDefault="00BD67F9" w:rsidP="00BD67F9">
      <w:pPr>
        <w:spacing w:after="240"/>
        <w:rPr>
          <w:noProof/>
        </w:rPr>
      </w:pPr>
      <w:r w:rsidRPr="008B4DA2">
        <w:rPr>
          <w:noProof/>
        </w:rPr>
        <w:t>Przepisy dotyczące praw jazdy są dostosowane do obowiązującego prawodawstwa UE dotyczącego ochrony danych. Proponuje się bardziej przejrzystą definicję przypadków,</w:t>
      </w:r>
      <w:r w:rsidR="00B83C93" w:rsidRPr="008B4DA2">
        <w:rPr>
          <w:noProof/>
        </w:rPr>
        <w:t xml:space="preserve"> w</w:t>
      </w:r>
      <w:r w:rsidR="00B83C93">
        <w:rPr>
          <w:noProof/>
        </w:rPr>
        <w:t> </w:t>
      </w:r>
      <w:r w:rsidR="00B83C93" w:rsidRPr="008B4DA2">
        <w:rPr>
          <w:noProof/>
        </w:rPr>
        <w:t>któ</w:t>
      </w:r>
      <w:r w:rsidRPr="008B4DA2">
        <w:rPr>
          <w:noProof/>
        </w:rPr>
        <w:t>rych można stosować sieć RESPER, eliminującą istniejące niejasności prawne, które stanowią zagrożenie dla ochrony danych osobowych kierowców. Wykorzystanie elementów eIDAS</w:t>
      </w:r>
      <w:r w:rsidR="00B83C93" w:rsidRPr="008B4DA2">
        <w:rPr>
          <w:noProof/>
        </w:rPr>
        <w:t xml:space="preserve"> w</w:t>
      </w:r>
      <w:r w:rsidR="00B83C93">
        <w:rPr>
          <w:noProof/>
        </w:rPr>
        <w:t> </w:t>
      </w:r>
      <w:r w:rsidR="00B83C93" w:rsidRPr="008B4DA2">
        <w:rPr>
          <w:noProof/>
        </w:rPr>
        <w:t>odn</w:t>
      </w:r>
      <w:r w:rsidRPr="008B4DA2">
        <w:rPr>
          <w:noProof/>
        </w:rPr>
        <w:t>iesieniu do prawa jazdy UE,</w:t>
      </w:r>
      <w:r w:rsidR="00B83C93" w:rsidRPr="008B4DA2">
        <w:rPr>
          <w:noProof/>
        </w:rPr>
        <w:t xml:space="preserve"> w</w:t>
      </w:r>
      <w:r w:rsidR="00B83C93">
        <w:rPr>
          <w:noProof/>
        </w:rPr>
        <w:t> </w:t>
      </w:r>
      <w:r w:rsidR="00B83C93" w:rsidRPr="008B4DA2">
        <w:rPr>
          <w:noProof/>
        </w:rPr>
        <w:t>szc</w:t>
      </w:r>
      <w:r w:rsidRPr="008B4DA2">
        <w:rPr>
          <w:noProof/>
        </w:rPr>
        <w:t>zególności tożsamości elektronicznej</w:t>
      </w:r>
      <w:r w:rsidR="00B83C93" w:rsidRPr="008B4DA2">
        <w:rPr>
          <w:noProof/>
        </w:rPr>
        <w:t xml:space="preserve"> w</w:t>
      </w:r>
      <w:r w:rsidR="00B83C93">
        <w:rPr>
          <w:noProof/>
        </w:rPr>
        <w:t> </w:t>
      </w:r>
      <w:r w:rsidR="00B83C93" w:rsidRPr="008B4DA2">
        <w:rPr>
          <w:noProof/>
        </w:rPr>
        <w:t>cel</w:t>
      </w:r>
      <w:r w:rsidRPr="008B4DA2">
        <w:rPr>
          <w:noProof/>
        </w:rPr>
        <w:t>u rejestracji, jak również unijnego portfela do przechowywania</w:t>
      </w:r>
      <w:r w:rsidR="00B83C93" w:rsidRPr="008B4DA2">
        <w:rPr>
          <w:noProof/>
        </w:rPr>
        <w:t xml:space="preserve"> i</w:t>
      </w:r>
      <w:r w:rsidR="00B83C93">
        <w:rPr>
          <w:noProof/>
        </w:rPr>
        <w:t> </w:t>
      </w:r>
      <w:r w:rsidR="00B83C93" w:rsidRPr="008B4DA2">
        <w:rPr>
          <w:noProof/>
        </w:rPr>
        <w:t>wym</w:t>
      </w:r>
      <w:r w:rsidRPr="008B4DA2">
        <w:rPr>
          <w:noProof/>
        </w:rPr>
        <w:t>iany danych, zapewni wysoki poziom bezpieczeństwa</w:t>
      </w:r>
      <w:r w:rsidR="00B83C93" w:rsidRPr="008B4DA2">
        <w:rPr>
          <w:noProof/>
        </w:rPr>
        <w:t xml:space="preserve"> i</w:t>
      </w:r>
      <w:r w:rsidR="00B83C93">
        <w:rPr>
          <w:noProof/>
        </w:rPr>
        <w:t> </w:t>
      </w:r>
      <w:r w:rsidR="00B83C93" w:rsidRPr="008B4DA2">
        <w:rPr>
          <w:noProof/>
        </w:rPr>
        <w:t>pry</w:t>
      </w:r>
      <w:r w:rsidRPr="008B4DA2">
        <w:rPr>
          <w:noProof/>
        </w:rPr>
        <w:t xml:space="preserve">watności przetwarzanych informacji. </w:t>
      </w:r>
    </w:p>
    <w:p w:rsidR="00BD67F9" w:rsidRPr="008B4DA2" w:rsidRDefault="00BD67F9" w:rsidP="00BD67F9">
      <w:pPr>
        <w:pStyle w:val="Text2"/>
        <w:ind w:left="0"/>
        <w:rPr>
          <w:noProof/>
        </w:rPr>
      </w:pPr>
      <w:r w:rsidRPr="008B4DA2">
        <w:rPr>
          <w:noProof/>
        </w:rPr>
        <w:t>Nie oczekuje się, aby przejście na cyfrowe prawo jazdy UE spowodowało wykluczenie określonych kategorii ludności. Gdy bowiem prawo jazdy zacznie być wydawane domyślnie</w:t>
      </w:r>
      <w:r w:rsidR="00B83C93" w:rsidRPr="008B4DA2">
        <w:rPr>
          <w:noProof/>
        </w:rPr>
        <w:t xml:space="preserve"> w</w:t>
      </w:r>
      <w:r w:rsidR="00B83C93">
        <w:rPr>
          <w:noProof/>
        </w:rPr>
        <w:t> </w:t>
      </w:r>
      <w:r w:rsidR="00B83C93" w:rsidRPr="008B4DA2">
        <w:rPr>
          <w:noProof/>
        </w:rPr>
        <w:t>pos</w:t>
      </w:r>
      <w:r w:rsidRPr="008B4DA2">
        <w:rPr>
          <w:noProof/>
        </w:rPr>
        <w:t xml:space="preserve">taci cyfrowej, każdy będzie mógł bowiem nadal – na zasadzie wyboru – uzyskać fizyczne prawo jazdy. </w:t>
      </w:r>
    </w:p>
    <w:p w:rsidR="00BD67F9" w:rsidRPr="008B4DA2" w:rsidRDefault="00BD67F9" w:rsidP="002D653A">
      <w:pPr>
        <w:rPr>
          <w:noProof/>
        </w:rPr>
      </w:pPr>
      <w:r w:rsidRPr="008B4DA2">
        <w:rPr>
          <w:noProof/>
        </w:rPr>
        <w:t>Jeżeli chodzi</w:t>
      </w:r>
      <w:r w:rsidR="00B83C93" w:rsidRPr="008B4DA2">
        <w:rPr>
          <w:noProof/>
        </w:rPr>
        <w:t xml:space="preserve"> o</w:t>
      </w:r>
      <w:r w:rsidR="00B83C93">
        <w:rPr>
          <w:noProof/>
        </w:rPr>
        <w:t> </w:t>
      </w:r>
      <w:r w:rsidR="00B83C93" w:rsidRPr="008B4DA2">
        <w:rPr>
          <w:noProof/>
        </w:rPr>
        <w:t>swo</w:t>
      </w:r>
      <w:r w:rsidRPr="008B4DA2">
        <w:rPr>
          <w:noProof/>
        </w:rPr>
        <w:t>bodę przemieszczania się, wyjaśnienie pojęcia „miejsca stałego zamieszkania” powinno rozwiązać problem dotyczący ustalenia organu wydającego bezpośrednio po zmianie miejsca zamieszkania. Uproszczenie przepisów dotyczących administracyjnego okresu ważności sprawi, że posiadacze praw jazdy UE będą mieli równe prawa, niezależnie od tego,</w:t>
      </w:r>
      <w:r w:rsidR="00B83C93" w:rsidRPr="008B4DA2">
        <w:rPr>
          <w:noProof/>
        </w:rPr>
        <w:t xml:space="preserve"> w</w:t>
      </w:r>
      <w:r w:rsidR="00B83C93">
        <w:rPr>
          <w:noProof/>
        </w:rPr>
        <w:t> </w:t>
      </w:r>
      <w:r w:rsidR="00B83C93" w:rsidRPr="008B4DA2">
        <w:rPr>
          <w:noProof/>
        </w:rPr>
        <w:t>jak</w:t>
      </w:r>
      <w:r w:rsidRPr="008B4DA2">
        <w:rPr>
          <w:noProof/>
        </w:rPr>
        <w:t>im kraju ubiegają się</w:t>
      </w:r>
      <w:r w:rsidR="00B83C93" w:rsidRPr="008B4DA2">
        <w:rPr>
          <w:noProof/>
        </w:rPr>
        <w:t xml:space="preserve"> o</w:t>
      </w:r>
      <w:r w:rsidR="00B83C93">
        <w:rPr>
          <w:noProof/>
        </w:rPr>
        <w:t> </w:t>
      </w:r>
      <w:r w:rsidR="00B83C93" w:rsidRPr="008B4DA2">
        <w:rPr>
          <w:noProof/>
        </w:rPr>
        <w:t>wyd</w:t>
      </w:r>
      <w:r w:rsidRPr="008B4DA2">
        <w:rPr>
          <w:noProof/>
        </w:rPr>
        <w:t>anie prawa jazdy lub przedłużenie okresu jego ważności. Wzajemne uznawanie fakultatywnych równoważności umożliwi posiadaczom praw jazdy korzystanie</w:t>
      </w:r>
      <w:r w:rsidR="00B83C93" w:rsidRPr="008B4DA2">
        <w:rPr>
          <w:noProof/>
        </w:rPr>
        <w:t xml:space="preserve"> z</w:t>
      </w:r>
      <w:r w:rsidR="00B83C93">
        <w:rPr>
          <w:noProof/>
        </w:rPr>
        <w:t> </w:t>
      </w:r>
      <w:r w:rsidR="00B83C93" w:rsidRPr="008B4DA2">
        <w:rPr>
          <w:noProof/>
        </w:rPr>
        <w:t>upr</w:t>
      </w:r>
      <w:r w:rsidRPr="008B4DA2">
        <w:rPr>
          <w:noProof/>
        </w:rPr>
        <w:t>awnień wynikających</w:t>
      </w:r>
      <w:r w:rsidR="00B83C93" w:rsidRPr="008B4DA2">
        <w:rPr>
          <w:noProof/>
        </w:rPr>
        <w:t xml:space="preserve"> z</w:t>
      </w:r>
      <w:r w:rsidR="00B83C93">
        <w:rPr>
          <w:noProof/>
        </w:rPr>
        <w:t> </w:t>
      </w:r>
      <w:r w:rsidR="00B83C93" w:rsidRPr="008B4DA2">
        <w:rPr>
          <w:noProof/>
        </w:rPr>
        <w:t>fak</w:t>
      </w:r>
      <w:r w:rsidRPr="008B4DA2">
        <w:rPr>
          <w:noProof/>
        </w:rPr>
        <w:t>ultatywnej równoważności również</w:t>
      </w:r>
      <w:r w:rsidR="00B83C93" w:rsidRPr="008B4DA2">
        <w:rPr>
          <w:noProof/>
        </w:rPr>
        <w:t xml:space="preserve"> w</w:t>
      </w:r>
      <w:r w:rsidR="00B83C93">
        <w:rPr>
          <w:noProof/>
        </w:rPr>
        <w:t> </w:t>
      </w:r>
      <w:r w:rsidR="00B83C93" w:rsidRPr="008B4DA2">
        <w:rPr>
          <w:noProof/>
        </w:rPr>
        <w:t>inn</w:t>
      </w:r>
      <w:r w:rsidRPr="008B4DA2">
        <w:rPr>
          <w:noProof/>
        </w:rPr>
        <w:t>ych państwach członkowskich stosujących te same zasady.</w:t>
      </w:r>
    </w:p>
    <w:p w:rsidR="003176DF" w:rsidRPr="008B4DA2" w:rsidRDefault="00BD67F9" w:rsidP="003176DF">
      <w:pPr>
        <w:rPr>
          <w:noProof/>
        </w:rPr>
      </w:pPr>
      <w:r w:rsidRPr="008B4DA2">
        <w:rPr>
          <w:noProof/>
        </w:rPr>
        <w:t>Dyrektywa, której dotyczy wniosek, będzie miała również pozytywne skutki</w:t>
      </w:r>
      <w:r w:rsidR="00B83C93" w:rsidRPr="008B4DA2">
        <w:rPr>
          <w:noProof/>
        </w:rPr>
        <w:t xml:space="preserve"> w</w:t>
      </w:r>
      <w:r w:rsidR="00B83C93">
        <w:rPr>
          <w:noProof/>
        </w:rPr>
        <w:t> </w:t>
      </w:r>
      <w:r w:rsidR="00B83C93" w:rsidRPr="008B4DA2">
        <w:rPr>
          <w:noProof/>
        </w:rPr>
        <w:t>zak</w:t>
      </w:r>
      <w:r w:rsidRPr="008B4DA2">
        <w:rPr>
          <w:noProof/>
        </w:rPr>
        <w:t>resie prawa do niedyskryminacji, jako że zapewni –</w:t>
      </w:r>
      <w:r w:rsidR="00B83C93" w:rsidRPr="008B4DA2">
        <w:rPr>
          <w:noProof/>
        </w:rPr>
        <w:t xml:space="preserve"> w</w:t>
      </w:r>
      <w:r w:rsidR="00B83C93">
        <w:rPr>
          <w:noProof/>
        </w:rPr>
        <w:t> </w:t>
      </w:r>
      <w:r w:rsidR="00B83C93" w:rsidRPr="008B4DA2">
        <w:rPr>
          <w:noProof/>
        </w:rPr>
        <w:t>prz</w:t>
      </w:r>
      <w:r w:rsidRPr="008B4DA2">
        <w:rPr>
          <w:noProof/>
        </w:rPr>
        <w:t xml:space="preserve">ypadku ograniczeń związanych ze znajomością języków – elastyczność przy pierwszym wydaniu prawa jazdy, umożliwiając kandydatom wybór miejsca zdawania egzaminów. </w:t>
      </w:r>
    </w:p>
    <w:p w:rsidR="00BD67F9" w:rsidRPr="008B4DA2" w:rsidRDefault="004800E8" w:rsidP="00BD67F9">
      <w:pPr>
        <w:rPr>
          <w:noProof/>
        </w:rPr>
      </w:pPr>
      <w:r w:rsidRPr="008B4DA2">
        <w:rPr>
          <w:noProof/>
        </w:rPr>
        <w:t>Dyrektywa, której dotyczy wniosek, zapewni poszanowanie praw osób</w:t>
      </w:r>
      <w:r w:rsidR="00B83C93" w:rsidRPr="008B4DA2">
        <w:rPr>
          <w:noProof/>
        </w:rPr>
        <w:t xml:space="preserve"> z</w:t>
      </w:r>
      <w:r w:rsidR="00B83C93">
        <w:rPr>
          <w:noProof/>
        </w:rPr>
        <w:t> </w:t>
      </w:r>
      <w:r w:rsidR="00B83C93" w:rsidRPr="008B4DA2">
        <w:rPr>
          <w:noProof/>
        </w:rPr>
        <w:t>nie</w:t>
      </w:r>
      <w:r w:rsidRPr="008B4DA2">
        <w:rPr>
          <w:noProof/>
        </w:rPr>
        <w:t>pełnosprawnościami, zgodnie</w:t>
      </w:r>
      <w:r w:rsidR="00B83C93" w:rsidRPr="008B4DA2">
        <w:rPr>
          <w:noProof/>
        </w:rPr>
        <w:t xml:space="preserve"> z</w:t>
      </w:r>
      <w:r w:rsidR="00B83C93">
        <w:rPr>
          <w:noProof/>
        </w:rPr>
        <w:t> </w:t>
      </w:r>
      <w:r w:rsidR="00B83C93" w:rsidRPr="008B4DA2">
        <w:rPr>
          <w:noProof/>
        </w:rPr>
        <w:t>Kar</w:t>
      </w:r>
      <w:r w:rsidRPr="008B4DA2">
        <w:rPr>
          <w:noProof/>
        </w:rPr>
        <w:t>tą praw podstawowych</w:t>
      </w:r>
      <w:r w:rsidR="00B83C93" w:rsidRPr="008B4DA2">
        <w:rPr>
          <w:noProof/>
        </w:rPr>
        <w:t xml:space="preserve"> i</w:t>
      </w:r>
      <w:r w:rsidR="00B83C93">
        <w:rPr>
          <w:noProof/>
        </w:rPr>
        <w:t> </w:t>
      </w:r>
      <w:r w:rsidR="00B83C93" w:rsidRPr="008B4DA2">
        <w:rPr>
          <w:noProof/>
        </w:rPr>
        <w:t>Kon</w:t>
      </w:r>
      <w:r w:rsidRPr="008B4DA2">
        <w:rPr>
          <w:noProof/>
        </w:rPr>
        <w:t>wencją ONZ</w:t>
      </w:r>
      <w:r w:rsidR="00B83C93" w:rsidRPr="008B4DA2">
        <w:rPr>
          <w:noProof/>
        </w:rPr>
        <w:t xml:space="preserve"> o</w:t>
      </w:r>
      <w:r w:rsidR="00B83C93">
        <w:rPr>
          <w:noProof/>
        </w:rPr>
        <w:t> </w:t>
      </w:r>
      <w:r w:rsidR="00B83C93" w:rsidRPr="008B4DA2">
        <w:rPr>
          <w:noProof/>
        </w:rPr>
        <w:t>pra</w:t>
      </w:r>
      <w:r w:rsidRPr="008B4DA2">
        <w:rPr>
          <w:noProof/>
        </w:rPr>
        <w:t>wach osób niepełnosprawnych, których UE</w:t>
      </w:r>
      <w:r w:rsidR="00B83C93" w:rsidRPr="008B4DA2">
        <w:rPr>
          <w:noProof/>
        </w:rPr>
        <w:t xml:space="preserve"> i</w:t>
      </w:r>
      <w:r w:rsidR="00B83C93">
        <w:rPr>
          <w:noProof/>
        </w:rPr>
        <w:t> </w:t>
      </w:r>
      <w:r w:rsidR="00B83C93" w:rsidRPr="008B4DA2">
        <w:rPr>
          <w:noProof/>
        </w:rPr>
        <w:t>wsz</w:t>
      </w:r>
      <w:r w:rsidRPr="008B4DA2">
        <w:rPr>
          <w:noProof/>
        </w:rPr>
        <w:t>ystkie państwa członkowskie są stronami.</w:t>
      </w:r>
    </w:p>
    <w:p w:rsidR="00BD67F9" w:rsidRPr="008B4DA2" w:rsidRDefault="00BD67F9" w:rsidP="00BD67F9">
      <w:pPr>
        <w:pStyle w:val="ManualHeading1"/>
        <w:rPr>
          <w:noProof/>
        </w:rPr>
      </w:pPr>
      <w:r w:rsidRPr="008B4DA2">
        <w:rPr>
          <w:noProof/>
        </w:rPr>
        <w:t>4.</w:t>
      </w:r>
      <w:r w:rsidRPr="008B4DA2">
        <w:rPr>
          <w:noProof/>
        </w:rPr>
        <w:tab/>
        <w:t>WPŁYW NA BUDŻET</w:t>
      </w:r>
    </w:p>
    <w:p w:rsidR="00BD67F9" w:rsidRPr="008B4DA2" w:rsidRDefault="00BD67F9" w:rsidP="00BD67F9">
      <w:pPr>
        <w:rPr>
          <w:noProof/>
        </w:rPr>
      </w:pPr>
      <w:r w:rsidRPr="008B4DA2">
        <w:rPr>
          <w:noProof/>
        </w:rPr>
        <w:t>Wpływ na budżet Unii –</w:t>
      </w:r>
      <w:r w:rsidR="00B83C93" w:rsidRPr="008B4DA2">
        <w:rPr>
          <w:noProof/>
        </w:rPr>
        <w:t xml:space="preserve"> w</w:t>
      </w:r>
      <w:r w:rsidR="00B83C93">
        <w:rPr>
          <w:noProof/>
        </w:rPr>
        <w:t> </w:t>
      </w:r>
      <w:r w:rsidR="00B83C93" w:rsidRPr="008B4DA2">
        <w:rPr>
          <w:noProof/>
        </w:rPr>
        <w:t>kwo</w:t>
      </w:r>
      <w:r w:rsidRPr="008B4DA2">
        <w:rPr>
          <w:noProof/>
        </w:rPr>
        <w:t>cie 0,7–1,1 mln EUR – ma głównie związek</w:t>
      </w:r>
      <w:r w:rsidR="00B83C93" w:rsidRPr="008B4DA2">
        <w:rPr>
          <w:noProof/>
        </w:rPr>
        <w:t xml:space="preserve"> z</w:t>
      </w:r>
      <w:r w:rsidR="00B83C93">
        <w:rPr>
          <w:noProof/>
        </w:rPr>
        <w:t> </w:t>
      </w:r>
      <w:r w:rsidR="00B83C93" w:rsidRPr="008B4DA2">
        <w:rPr>
          <w:noProof/>
        </w:rPr>
        <w:t>utw</w:t>
      </w:r>
      <w:r w:rsidRPr="008B4DA2">
        <w:rPr>
          <w:noProof/>
        </w:rPr>
        <w:t>orzeniem platformy informacyjnej dla organów na potrzeby wymiany informacji dotyczących fizycznej</w:t>
      </w:r>
      <w:r w:rsidR="00B83C93" w:rsidRPr="008B4DA2">
        <w:rPr>
          <w:noProof/>
        </w:rPr>
        <w:t xml:space="preserve"> i</w:t>
      </w:r>
      <w:r w:rsidR="00B83C93">
        <w:rPr>
          <w:noProof/>
        </w:rPr>
        <w:t> </w:t>
      </w:r>
      <w:r w:rsidR="00B83C93" w:rsidRPr="008B4DA2">
        <w:rPr>
          <w:noProof/>
        </w:rPr>
        <w:t>psy</w:t>
      </w:r>
      <w:r w:rsidRPr="008B4DA2">
        <w:rPr>
          <w:noProof/>
        </w:rPr>
        <w:t>chicznej zdolności do kierowania pojazdami oraz opracowaniem programu szkolenia (online) dla lekarzy podstawowej opieki zdrowotnej.</w:t>
      </w:r>
    </w:p>
    <w:p w:rsidR="00BD67F9" w:rsidRPr="008B4DA2" w:rsidRDefault="00BD67F9" w:rsidP="00BD67F9">
      <w:pPr>
        <w:pStyle w:val="ManualHeading1"/>
        <w:rPr>
          <w:noProof/>
        </w:rPr>
      </w:pPr>
      <w:r w:rsidRPr="008B4DA2">
        <w:rPr>
          <w:noProof/>
        </w:rPr>
        <w:t>5.</w:t>
      </w:r>
      <w:r w:rsidRPr="008B4DA2">
        <w:rPr>
          <w:noProof/>
        </w:rPr>
        <w:tab/>
        <w:t>ELEMENTY FAKULTATYWNE</w:t>
      </w:r>
    </w:p>
    <w:p w:rsidR="00BD67F9" w:rsidRPr="008B4DA2" w:rsidRDefault="00BD67F9" w:rsidP="00BD67F9">
      <w:pPr>
        <w:pStyle w:val="ManualHeading2"/>
        <w:rPr>
          <w:rFonts w:eastAsia="Arial Unicode MS"/>
          <w:noProof/>
          <w:bdr w:val="nil"/>
        </w:rPr>
      </w:pPr>
      <w:r w:rsidRPr="008B4DA2">
        <w:rPr>
          <w:noProof/>
          <w:bdr w:val="nil"/>
        </w:rPr>
        <w:t>•</w:t>
      </w:r>
      <w:r w:rsidRPr="008B4DA2">
        <w:rPr>
          <w:noProof/>
        </w:rPr>
        <w:tab/>
      </w:r>
      <w:r w:rsidRPr="008B4DA2">
        <w:rPr>
          <w:noProof/>
          <w:bdr w:val="nil"/>
        </w:rPr>
        <w:t>Plany wdrożenia</w:t>
      </w:r>
      <w:r w:rsidR="00B83C93" w:rsidRPr="008B4DA2">
        <w:rPr>
          <w:noProof/>
          <w:bdr w:val="nil"/>
        </w:rPr>
        <w:t xml:space="preserve"> i</w:t>
      </w:r>
      <w:r w:rsidR="00B83C93">
        <w:rPr>
          <w:noProof/>
          <w:bdr w:val="nil"/>
        </w:rPr>
        <w:t> </w:t>
      </w:r>
      <w:r w:rsidR="00B83C93" w:rsidRPr="008B4DA2">
        <w:rPr>
          <w:noProof/>
          <w:bdr w:val="nil"/>
        </w:rPr>
        <w:t>mon</w:t>
      </w:r>
      <w:r w:rsidRPr="008B4DA2">
        <w:rPr>
          <w:noProof/>
          <w:bdr w:val="nil"/>
        </w:rPr>
        <w:t>itorowanie, ocena</w:t>
      </w:r>
      <w:r w:rsidR="00B83C93" w:rsidRPr="008B4DA2">
        <w:rPr>
          <w:noProof/>
          <w:bdr w:val="nil"/>
        </w:rPr>
        <w:t xml:space="preserve"> i</w:t>
      </w:r>
      <w:r w:rsidR="00B83C93">
        <w:rPr>
          <w:noProof/>
          <w:bdr w:val="nil"/>
        </w:rPr>
        <w:t> </w:t>
      </w:r>
      <w:r w:rsidR="00B83C93" w:rsidRPr="008B4DA2">
        <w:rPr>
          <w:noProof/>
          <w:bdr w:val="nil"/>
        </w:rPr>
        <w:t>spr</w:t>
      </w:r>
      <w:r w:rsidRPr="008B4DA2">
        <w:rPr>
          <w:noProof/>
          <w:bdr w:val="nil"/>
        </w:rPr>
        <w:t>awozdania</w:t>
      </w:r>
    </w:p>
    <w:p w:rsidR="00BD67F9" w:rsidRPr="008B4DA2" w:rsidRDefault="00BD67F9" w:rsidP="00BD67F9">
      <w:pPr>
        <w:rPr>
          <w:noProof/>
        </w:rPr>
      </w:pPr>
      <w:r w:rsidRPr="008B4DA2">
        <w:rPr>
          <w:noProof/>
        </w:rPr>
        <w:t>W przypadku zatwierdzenia wniosku państwa członkowskie będą przekazywać co roku Komisji informacje liczbowe dotyczące wydania, przedłużenia okresu ważności, wydania wtórników, cofnięcia</w:t>
      </w:r>
      <w:r w:rsidR="00B83C93" w:rsidRPr="008B4DA2">
        <w:rPr>
          <w:noProof/>
        </w:rPr>
        <w:t xml:space="preserve"> i</w:t>
      </w:r>
      <w:r w:rsidR="00B83C93">
        <w:rPr>
          <w:noProof/>
        </w:rPr>
        <w:t> </w:t>
      </w:r>
      <w:r w:rsidR="00B83C93" w:rsidRPr="008B4DA2">
        <w:rPr>
          <w:noProof/>
        </w:rPr>
        <w:t>wym</w:t>
      </w:r>
      <w:r w:rsidRPr="008B4DA2">
        <w:rPr>
          <w:noProof/>
        </w:rPr>
        <w:t>iany praw jazdy</w:t>
      </w:r>
      <w:r w:rsidR="00B83C93" w:rsidRPr="008B4DA2">
        <w:rPr>
          <w:noProof/>
        </w:rPr>
        <w:t xml:space="preserve"> w</w:t>
      </w:r>
      <w:r w:rsidR="00B83C93">
        <w:rPr>
          <w:noProof/>
        </w:rPr>
        <w:t> </w:t>
      </w:r>
      <w:r w:rsidR="00B83C93" w:rsidRPr="008B4DA2">
        <w:rPr>
          <w:noProof/>
        </w:rPr>
        <w:t>odn</w:t>
      </w:r>
      <w:r w:rsidRPr="008B4DA2">
        <w:rPr>
          <w:noProof/>
        </w:rPr>
        <w:t>iesieniu do poszczególnych kategorii, łącznie</w:t>
      </w:r>
      <w:r w:rsidR="00B83C93" w:rsidRPr="008B4DA2">
        <w:rPr>
          <w:noProof/>
        </w:rPr>
        <w:t xml:space="preserve"> z</w:t>
      </w:r>
      <w:r w:rsidR="00B83C93">
        <w:rPr>
          <w:noProof/>
        </w:rPr>
        <w:t> </w:t>
      </w:r>
      <w:r w:rsidR="00B83C93" w:rsidRPr="008B4DA2">
        <w:rPr>
          <w:noProof/>
        </w:rPr>
        <w:t>dan</w:t>
      </w:r>
      <w:r w:rsidRPr="008B4DA2">
        <w:rPr>
          <w:noProof/>
        </w:rPr>
        <w:t>ymi na temat wydawania</w:t>
      </w:r>
      <w:r w:rsidR="00B83C93" w:rsidRPr="008B4DA2">
        <w:rPr>
          <w:noProof/>
        </w:rPr>
        <w:t xml:space="preserve"> i</w:t>
      </w:r>
      <w:r w:rsidR="00B83C93">
        <w:rPr>
          <w:noProof/>
        </w:rPr>
        <w:t> </w:t>
      </w:r>
      <w:r w:rsidR="00B83C93" w:rsidRPr="008B4DA2">
        <w:rPr>
          <w:noProof/>
        </w:rPr>
        <w:t>uży</w:t>
      </w:r>
      <w:r w:rsidRPr="008B4DA2">
        <w:rPr>
          <w:noProof/>
        </w:rPr>
        <w:t>wania mobilnych praw jazdy.</w:t>
      </w:r>
      <w:r w:rsidRPr="008B4DA2">
        <w:rPr>
          <w:rStyle w:val="eop"/>
          <w:noProof/>
        </w:rPr>
        <w:t xml:space="preserve"> </w:t>
      </w:r>
    </w:p>
    <w:p w:rsidR="00BD67F9" w:rsidRPr="008B4DA2" w:rsidRDefault="00BD67F9" w:rsidP="00BD67F9">
      <w:pPr>
        <w:pStyle w:val="ManualHeading2"/>
        <w:rPr>
          <w:rFonts w:eastAsia="Arial Unicode MS"/>
          <w:noProof/>
          <w:bdr w:val="nil"/>
        </w:rPr>
      </w:pPr>
      <w:r w:rsidRPr="008B4DA2">
        <w:rPr>
          <w:noProof/>
          <w:bdr w:val="nil"/>
        </w:rPr>
        <w:t>•</w:t>
      </w:r>
      <w:r w:rsidRPr="008B4DA2">
        <w:rPr>
          <w:noProof/>
        </w:rPr>
        <w:tab/>
      </w:r>
      <w:r w:rsidRPr="008B4DA2">
        <w:rPr>
          <w:noProof/>
          <w:bdr w:val="nil"/>
        </w:rPr>
        <w:t>Dokumenty wyjaśniające (w przypadku dyrektyw)</w:t>
      </w:r>
    </w:p>
    <w:p w:rsidR="00BD67F9" w:rsidRPr="008B4DA2" w:rsidRDefault="00BD67F9" w:rsidP="00BD67F9">
      <w:pPr>
        <w:pBdr>
          <w:top w:val="nil"/>
          <w:left w:val="nil"/>
          <w:bottom w:val="nil"/>
          <w:right w:val="nil"/>
          <w:between w:val="nil"/>
          <w:bar w:val="nil"/>
        </w:pBdr>
        <w:spacing w:before="0" w:after="240"/>
        <w:rPr>
          <w:rStyle w:val="normaltextrun"/>
          <w:noProof/>
        </w:rPr>
      </w:pPr>
      <w:r w:rsidRPr="008B4DA2">
        <w:rPr>
          <w:rStyle w:val="normaltextrun"/>
          <w:noProof/>
        </w:rPr>
        <w:t>Wniosek nie wymaga dokumentów wyjaśniających</w:t>
      </w:r>
      <w:r w:rsidR="00B83C93" w:rsidRPr="008B4DA2">
        <w:rPr>
          <w:rStyle w:val="normaltextrun"/>
          <w:noProof/>
        </w:rPr>
        <w:t xml:space="preserve"> w</w:t>
      </w:r>
      <w:r w:rsidR="00B83C93">
        <w:rPr>
          <w:rStyle w:val="normaltextrun"/>
          <w:noProof/>
        </w:rPr>
        <w:t> </w:t>
      </w:r>
      <w:r w:rsidR="00B83C93" w:rsidRPr="008B4DA2">
        <w:rPr>
          <w:rStyle w:val="normaltextrun"/>
          <w:noProof/>
        </w:rPr>
        <w:t>zwi</w:t>
      </w:r>
      <w:r w:rsidRPr="008B4DA2">
        <w:rPr>
          <w:rStyle w:val="normaltextrun"/>
          <w:noProof/>
        </w:rPr>
        <w:t>ązku</w:t>
      </w:r>
      <w:r w:rsidR="00B83C93" w:rsidRPr="008B4DA2">
        <w:rPr>
          <w:rStyle w:val="normaltextrun"/>
          <w:noProof/>
        </w:rPr>
        <w:t xml:space="preserve"> z</w:t>
      </w:r>
      <w:r w:rsidR="00B83C93">
        <w:rPr>
          <w:rStyle w:val="normaltextrun"/>
          <w:noProof/>
        </w:rPr>
        <w:t> </w:t>
      </w:r>
      <w:r w:rsidR="00B83C93" w:rsidRPr="008B4DA2">
        <w:rPr>
          <w:rStyle w:val="normaltextrun"/>
          <w:noProof/>
        </w:rPr>
        <w:t>jeg</w:t>
      </w:r>
      <w:r w:rsidRPr="008B4DA2">
        <w:rPr>
          <w:rStyle w:val="normaltextrun"/>
          <w:noProof/>
        </w:rPr>
        <w:t xml:space="preserve">o transpozycją. </w:t>
      </w:r>
    </w:p>
    <w:p w:rsidR="00BD67F9" w:rsidRPr="008B4DA2" w:rsidRDefault="00BD67F9" w:rsidP="00BD67F9">
      <w:pPr>
        <w:pStyle w:val="ManualHeading2"/>
        <w:rPr>
          <w:rFonts w:eastAsia="Arial Unicode MS"/>
          <w:noProof/>
          <w:bdr w:val="nil"/>
        </w:rPr>
      </w:pPr>
      <w:r w:rsidRPr="008B4DA2">
        <w:rPr>
          <w:noProof/>
          <w:bdr w:val="nil"/>
        </w:rPr>
        <w:t>•</w:t>
      </w:r>
      <w:r w:rsidRPr="008B4DA2">
        <w:rPr>
          <w:noProof/>
        </w:rPr>
        <w:tab/>
      </w:r>
      <w:r w:rsidRPr="008B4DA2">
        <w:rPr>
          <w:noProof/>
          <w:bdr w:val="nil"/>
        </w:rPr>
        <w:t>Szczegółowe objaśnienia poszczególnych przepisów wniosku</w:t>
      </w:r>
    </w:p>
    <w:p w:rsidR="00BD67F9" w:rsidRPr="008B4DA2" w:rsidRDefault="00BD67F9" w:rsidP="00BD67F9">
      <w:pPr>
        <w:spacing w:after="240"/>
        <w:rPr>
          <w:noProof/>
        </w:rPr>
      </w:pPr>
      <w:r w:rsidRPr="008B4DA2">
        <w:rPr>
          <w:noProof/>
        </w:rPr>
        <w:t>Poniżej wymieniono najważniejsze przepisy wprowadzające istotne zmiany</w:t>
      </w:r>
      <w:r w:rsidR="00B83C93" w:rsidRPr="008B4DA2">
        <w:rPr>
          <w:noProof/>
        </w:rPr>
        <w:t xml:space="preserve"> w</w:t>
      </w:r>
      <w:r w:rsidR="00B83C93">
        <w:rPr>
          <w:noProof/>
        </w:rPr>
        <w:t> </w:t>
      </w:r>
      <w:r w:rsidR="00B83C93" w:rsidRPr="008B4DA2">
        <w:rPr>
          <w:noProof/>
        </w:rPr>
        <w:t>dyr</w:t>
      </w:r>
      <w:r w:rsidRPr="008B4DA2">
        <w:rPr>
          <w:noProof/>
        </w:rPr>
        <w:t>ektywie 2006/126/WE lub nowe elementy.</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8B4DA2">
        <w:rPr>
          <w:rStyle w:val="normaltextrun"/>
          <w:noProof/>
        </w:rPr>
        <w:t xml:space="preserve">W </w:t>
      </w:r>
      <w:r w:rsidRPr="00B83C93">
        <w:rPr>
          <w:rStyle w:val="normaltextrun"/>
          <w:noProof/>
        </w:rPr>
        <w:t>art.</w:t>
      </w:r>
      <w:r w:rsidR="00B83C93" w:rsidRPr="00B83C93">
        <w:rPr>
          <w:rStyle w:val="normaltextrun"/>
          <w:noProof/>
        </w:rPr>
        <w:t> </w:t>
      </w:r>
      <w:r w:rsidRPr="00B83C93">
        <w:rPr>
          <w:rStyle w:val="normaltextrun"/>
          <w:noProof/>
        </w:rPr>
        <w:t>1</w:t>
      </w:r>
      <w:r w:rsidRPr="008B4DA2">
        <w:rPr>
          <w:rStyle w:val="normaltextrun"/>
          <w:noProof/>
        </w:rPr>
        <w:t xml:space="preserve"> zdefiniowano przedmiot dyrektywy</w:t>
      </w:r>
      <w:r w:rsidR="00B83C93" w:rsidRPr="008B4DA2">
        <w:rPr>
          <w:rStyle w:val="normaltextrun"/>
          <w:noProof/>
        </w:rPr>
        <w:t xml:space="preserve"> i</w:t>
      </w:r>
      <w:r w:rsidR="00B83C93">
        <w:rPr>
          <w:rStyle w:val="normaltextrun"/>
          <w:noProof/>
        </w:rPr>
        <w:t> </w:t>
      </w:r>
      <w:r w:rsidR="00B83C93" w:rsidRPr="008B4DA2">
        <w:rPr>
          <w:rStyle w:val="normaltextrun"/>
          <w:noProof/>
        </w:rPr>
        <w:t>jej</w:t>
      </w:r>
      <w:r w:rsidRPr="008B4DA2">
        <w:rPr>
          <w:rStyle w:val="normaltextrun"/>
          <w:noProof/>
        </w:rPr>
        <w:t xml:space="preserve"> zakres stosowania, określając dziedziny,</w:t>
      </w:r>
      <w:r w:rsidR="00B83C93" w:rsidRPr="008B4DA2">
        <w:rPr>
          <w:rStyle w:val="normaltextrun"/>
          <w:noProof/>
        </w:rPr>
        <w:t xml:space="preserve"> w</w:t>
      </w:r>
      <w:r w:rsidR="00B83C93">
        <w:rPr>
          <w:rStyle w:val="normaltextrun"/>
          <w:noProof/>
        </w:rPr>
        <w:t> </w:t>
      </w:r>
      <w:r w:rsidR="00B83C93" w:rsidRPr="008B4DA2">
        <w:rPr>
          <w:rStyle w:val="normaltextrun"/>
          <w:noProof/>
        </w:rPr>
        <w:t>odn</w:t>
      </w:r>
      <w:r w:rsidRPr="008B4DA2">
        <w:rPr>
          <w:rStyle w:val="normaltextrun"/>
          <w:noProof/>
        </w:rPr>
        <w:t>iesieniu do których ustanowiono</w:t>
      </w:r>
      <w:r w:rsidR="00B83C93" w:rsidRPr="008B4DA2">
        <w:rPr>
          <w:rStyle w:val="normaltextrun"/>
          <w:noProof/>
        </w:rPr>
        <w:t xml:space="preserve"> w</w:t>
      </w:r>
      <w:r w:rsidR="00B83C93">
        <w:rPr>
          <w:rStyle w:val="normaltextrun"/>
          <w:noProof/>
        </w:rPr>
        <w:t> </w:t>
      </w:r>
      <w:r w:rsidR="00B83C93" w:rsidRPr="008B4DA2">
        <w:rPr>
          <w:rStyle w:val="normaltextrun"/>
          <w:noProof/>
        </w:rPr>
        <w:t>nie</w:t>
      </w:r>
      <w:r w:rsidRPr="008B4DA2">
        <w:rPr>
          <w:rStyle w:val="normaltextrun"/>
          <w:noProof/>
        </w:rPr>
        <w:t>j wspólne przepisy.</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rStyle w:val="eop"/>
          <w:rFonts w:eastAsiaTheme="majorEastAsia"/>
          <w:noProof/>
        </w:rPr>
      </w:pPr>
      <w:r w:rsidRPr="008B4DA2">
        <w:rPr>
          <w:noProof/>
        </w:rPr>
        <w:t>Art. 2 zawiera definicje mające na celu uwzględnienie nowych pojęć, które wprowadzono</w:t>
      </w:r>
      <w:r w:rsidR="00B83C93" w:rsidRPr="008B4DA2">
        <w:rPr>
          <w:noProof/>
        </w:rPr>
        <w:t xml:space="preserve"> w</w:t>
      </w:r>
      <w:r w:rsidR="00B83C93">
        <w:rPr>
          <w:noProof/>
        </w:rPr>
        <w:t> </w:t>
      </w:r>
      <w:r w:rsidR="00B83C93" w:rsidRPr="008B4DA2">
        <w:rPr>
          <w:noProof/>
        </w:rPr>
        <w:t>cel</w:t>
      </w:r>
      <w:r w:rsidRPr="008B4DA2">
        <w:rPr>
          <w:noProof/>
        </w:rPr>
        <w:t>u zwiększenia jasności prawa.</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rFonts w:eastAsiaTheme="majorEastAsia"/>
          <w:noProof/>
        </w:rPr>
      </w:pPr>
      <w:r w:rsidRPr="008B4DA2">
        <w:rPr>
          <w:noProof/>
        </w:rPr>
        <w:t>Art. 3 wprowadza podstawowe przepisy mające zastosowanie do fizycznych</w:t>
      </w:r>
      <w:r w:rsidR="00B83C93" w:rsidRPr="008B4DA2">
        <w:rPr>
          <w:noProof/>
        </w:rPr>
        <w:t xml:space="preserve"> i</w:t>
      </w:r>
      <w:r w:rsidR="00B83C93">
        <w:rPr>
          <w:noProof/>
        </w:rPr>
        <w:t> </w:t>
      </w:r>
      <w:r w:rsidR="00B83C93" w:rsidRPr="008B4DA2">
        <w:rPr>
          <w:noProof/>
        </w:rPr>
        <w:t>mob</w:t>
      </w:r>
      <w:r w:rsidRPr="008B4DA2">
        <w:rPr>
          <w:noProof/>
        </w:rPr>
        <w:t>ilnych praw jazdy,</w:t>
      </w:r>
      <w:r w:rsidR="00B83C93" w:rsidRPr="008B4DA2">
        <w:rPr>
          <w:noProof/>
        </w:rPr>
        <w:t xml:space="preserve"> w</w:t>
      </w:r>
      <w:r w:rsidR="00B83C93">
        <w:rPr>
          <w:noProof/>
        </w:rPr>
        <w:t> </w:t>
      </w:r>
      <w:r w:rsidR="00B83C93" w:rsidRPr="008B4DA2">
        <w:rPr>
          <w:noProof/>
        </w:rPr>
        <w:t>szc</w:t>
      </w:r>
      <w:r w:rsidRPr="008B4DA2">
        <w:rPr>
          <w:noProof/>
        </w:rPr>
        <w:t>zególności</w:t>
      </w:r>
      <w:r w:rsidR="00B83C93" w:rsidRPr="008B4DA2">
        <w:rPr>
          <w:noProof/>
        </w:rPr>
        <w:t xml:space="preserve"> w</w:t>
      </w:r>
      <w:r w:rsidR="00B83C93">
        <w:rPr>
          <w:noProof/>
        </w:rPr>
        <w:t> </w:t>
      </w:r>
      <w:r w:rsidR="00B83C93" w:rsidRPr="008B4DA2">
        <w:rPr>
          <w:noProof/>
        </w:rPr>
        <w:t>zak</w:t>
      </w:r>
      <w:r w:rsidRPr="008B4DA2">
        <w:rPr>
          <w:noProof/>
        </w:rPr>
        <w:t>resie ich wzajemnego uznawania. Szczegółowe wymogi dotyczące fizycznych praw jazdy określono</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4</w:t>
      </w:r>
      <w:r w:rsidRPr="008B4DA2">
        <w:rPr>
          <w:noProof/>
        </w:rPr>
        <w:t>, a te dotyczące mobilnych praw jazdy –</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5</w:t>
      </w:r>
      <w:r w:rsidRPr="008B4DA2">
        <w:rPr>
          <w:noProof/>
        </w:rPr>
        <w:t>.</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8B4DA2">
        <w:rPr>
          <w:rStyle w:val="normaltextrun"/>
          <w:noProof/>
        </w:rPr>
        <w:t>Art. 6</w:t>
      </w:r>
      <w:r w:rsidR="00B83C93" w:rsidRPr="008B4DA2">
        <w:rPr>
          <w:rStyle w:val="normaltextrun"/>
          <w:noProof/>
        </w:rPr>
        <w:t xml:space="preserve"> i</w:t>
      </w:r>
      <w:r w:rsidR="00B83C93">
        <w:rPr>
          <w:rStyle w:val="normaltextrun"/>
          <w:noProof/>
        </w:rPr>
        <w:t> </w:t>
      </w:r>
      <w:r w:rsidR="00B83C93" w:rsidRPr="008B4DA2">
        <w:rPr>
          <w:rStyle w:val="normaltextrun"/>
          <w:noProof/>
        </w:rPr>
        <w:t>7</w:t>
      </w:r>
      <w:r w:rsidRPr="008B4DA2">
        <w:rPr>
          <w:rStyle w:val="normaltextrun"/>
          <w:noProof/>
        </w:rPr>
        <w:t xml:space="preserve"> zastępują dawny </w:t>
      </w:r>
      <w:r w:rsidRPr="00B83C93">
        <w:rPr>
          <w:rStyle w:val="normaltextrun"/>
          <w:noProof/>
        </w:rPr>
        <w:t>art.</w:t>
      </w:r>
      <w:r w:rsidR="00B83C93" w:rsidRPr="00B83C93">
        <w:rPr>
          <w:rStyle w:val="normaltextrun"/>
          <w:noProof/>
        </w:rPr>
        <w:t> </w:t>
      </w:r>
      <w:r w:rsidRPr="00B83C93">
        <w:rPr>
          <w:rStyle w:val="normaltextrun"/>
          <w:noProof/>
        </w:rPr>
        <w:t>4</w:t>
      </w:r>
      <w:r w:rsidRPr="008B4DA2">
        <w:rPr>
          <w:rStyle w:val="normaltextrun"/>
          <w:noProof/>
        </w:rPr>
        <w:t xml:space="preserve"> dyrektywy 2006/126/WE, rozdzielając na dwa szczegółowe artykuły przepisy mające zastosowanie </w:t>
      </w:r>
      <w:r w:rsidRPr="00B83C93">
        <w:rPr>
          <w:rStyle w:val="normaltextrun"/>
          <w:noProof/>
        </w:rPr>
        <w:t>do</w:t>
      </w:r>
      <w:r w:rsidR="00B83C93" w:rsidRPr="00B83C93">
        <w:rPr>
          <w:rStyle w:val="normaltextrun"/>
          <w:noProof/>
        </w:rPr>
        <w:t> </w:t>
      </w:r>
      <w:r w:rsidRPr="00B83C93">
        <w:rPr>
          <w:rStyle w:val="normaltextrun"/>
          <w:noProof/>
        </w:rPr>
        <w:t>1</w:t>
      </w:r>
      <w:r w:rsidRPr="008B4DA2">
        <w:rPr>
          <w:rStyle w:val="normaltextrun"/>
          <w:noProof/>
        </w:rPr>
        <w:t>) kategorii prawa jazdy</w:t>
      </w:r>
      <w:r w:rsidR="00B83C93" w:rsidRPr="008B4DA2">
        <w:rPr>
          <w:rStyle w:val="normaltextrun"/>
          <w:noProof/>
        </w:rPr>
        <w:t xml:space="preserve"> i</w:t>
      </w:r>
      <w:r w:rsidR="00B83C93">
        <w:rPr>
          <w:rStyle w:val="normaltextrun"/>
          <w:noProof/>
        </w:rPr>
        <w:t> </w:t>
      </w:r>
      <w:r w:rsidR="00B83C93" w:rsidRPr="008B4DA2">
        <w:rPr>
          <w:rStyle w:val="normaltextrun"/>
          <w:noProof/>
        </w:rPr>
        <w:t>2</w:t>
      </w:r>
      <w:r w:rsidRPr="008B4DA2">
        <w:rPr>
          <w:rStyle w:val="normaltextrun"/>
          <w:noProof/>
        </w:rPr>
        <w:t>) dolnych granic wieku.</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8B4DA2">
        <w:rPr>
          <w:rStyle w:val="normaltextrun"/>
          <w:noProof/>
        </w:rPr>
        <w:t xml:space="preserve">Art. 8 odpowiada dawnemu </w:t>
      </w:r>
      <w:r w:rsidRPr="00B83C93">
        <w:rPr>
          <w:rStyle w:val="normaltextrun"/>
          <w:noProof/>
        </w:rPr>
        <w:t>art.</w:t>
      </w:r>
      <w:r w:rsidR="00B83C93" w:rsidRPr="00B83C93">
        <w:rPr>
          <w:rStyle w:val="normaltextrun"/>
          <w:noProof/>
        </w:rPr>
        <w:t> </w:t>
      </w:r>
      <w:r w:rsidRPr="00B83C93">
        <w:rPr>
          <w:rStyle w:val="normaltextrun"/>
          <w:noProof/>
        </w:rPr>
        <w:t>5</w:t>
      </w:r>
      <w:r w:rsidRPr="008B4DA2">
        <w:rPr>
          <w:rStyle w:val="normaltextrun"/>
          <w:noProof/>
        </w:rPr>
        <w:t xml:space="preserve"> dyrektywy 2006/126/WE – wyjaśniono</w:t>
      </w:r>
      <w:r w:rsidR="00B83C93" w:rsidRPr="008B4DA2">
        <w:rPr>
          <w:rStyle w:val="normaltextrun"/>
          <w:noProof/>
        </w:rPr>
        <w:t xml:space="preserve"> w</w:t>
      </w:r>
      <w:r w:rsidR="00B83C93">
        <w:rPr>
          <w:rStyle w:val="normaltextrun"/>
          <w:noProof/>
        </w:rPr>
        <w:t> </w:t>
      </w:r>
      <w:r w:rsidR="00B83C93" w:rsidRPr="008B4DA2">
        <w:rPr>
          <w:rStyle w:val="normaltextrun"/>
          <w:noProof/>
        </w:rPr>
        <w:t>nim</w:t>
      </w:r>
      <w:r w:rsidRPr="008B4DA2">
        <w:rPr>
          <w:rStyle w:val="normaltextrun"/>
          <w:noProof/>
        </w:rPr>
        <w:t xml:space="preserve"> związek między kodami unijnymi</w:t>
      </w:r>
      <w:r w:rsidR="00B83C93" w:rsidRPr="008B4DA2">
        <w:rPr>
          <w:rStyle w:val="normaltextrun"/>
          <w:noProof/>
        </w:rPr>
        <w:t xml:space="preserve"> a</w:t>
      </w:r>
      <w:r w:rsidR="00B83C93">
        <w:rPr>
          <w:rStyle w:val="normaltextrun"/>
          <w:noProof/>
        </w:rPr>
        <w:t> </w:t>
      </w:r>
      <w:r w:rsidR="00B83C93" w:rsidRPr="008B4DA2">
        <w:rPr>
          <w:rStyle w:val="normaltextrun"/>
          <w:noProof/>
        </w:rPr>
        <w:t>ewe</w:t>
      </w:r>
      <w:r w:rsidRPr="008B4DA2">
        <w:rPr>
          <w:rStyle w:val="normaltextrun"/>
          <w:noProof/>
        </w:rPr>
        <w:t>ntualnymi warunkami</w:t>
      </w:r>
      <w:r w:rsidR="00B83C93" w:rsidRPr="008B4DA2">
        <w:rPr>
          <w:rStyle w:val="normaltextrun"/>
          <w:noProof/>
        </w:rPr>
        <w:t xml:space="preserve"> i</w:t>
      </w:r>
      <w:r w:rsidR="00B83C93">
        <w:rPr>
          <w:rStyle w:val="normaltextrun"/>
          <w:noProof/>
        </w:rPr>
        <w:t> </w:t>
      </w:r>
      <w:r w:rsidR="00B83C93" w:rsidRPr="008B4DA2">
        <w:rPr>
          <w:rStyle w:val="normaltextrun"/>
          <w:noProof/>
        </w:rPr>
        <w:t>ogr</w:t>
      </w:r>
      <w:r w:rsidRPr="008B4DA2">
        <w:rPr>
          <w:rStyle w:val="normaltextrun"/>
          <w:noProof/>
        </w:rPr>
        <w:t>aniczeniami uprawnień do kierowania pojazdami.</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8B4DA2">
        <w:rPr>
          <w:rStyle w:val="normaltextrun"/>
          <w:noProof/>
        </w:rPr>
        <w:t xml:space="preserve">Art. 9 zastępuje dawny </w:t>
      </w:r>
      <w:r w:rsidRPr="00B83C93">
        <w:rPr>
          <w:rStyle w:val="normaltextrun"/>
          <w:noProof/>
        </w:rPr>
        <w:t>art.</w:t>
      </w:r>
      <w:r w:rsidR="00B83C93" w:rsidRPr="00B83C93">
        <w:rPr>
          <w:rStyle w:val="normaltextrun"/>
          <w:noProof/>
        </w:rPr>
        <w:t> </w:t>
      </w:r>
      <w:r w:rsidRPr="00B83C93">
        <w:rPr>
          <w:rStyle w:val="normaltextrun"/>
          <w:noProof/>
        </w:rPr>
        <w:t>6</w:t>
      </w:r>
      <w:r w:rsidRPr="008B4DA2">
        <w:rPr>
          <w:rStyle w:val="normaltextrun"/>
          <w:noProof/>
        </w:rPr>
        <w:t xml:space="preserve"> dyrektywy 2006/126/WE</w:t>
      </w:r>
      <w:r w:rsidR="00B83C93" w:rsidRPr="008B4DA2">
        <w:rPr>
          <w:rStyle w:val="normaltextrun"/>
          <w:noProof/>
        </w:rPr>
        <w:t xml:space="preserve"> z</w:t>
      </w:r>
      <w:r w:rsidR="00B83C93">
        <w:rPr>
          <w:rStyle w:val="normaltextrun"/>
          <w:noProof/>
        </w:rPr>
        <w:t> </w:t>
      </w:r>
      <w:r w:rsidR="00B83C93" w:rsidRPr="008B4DA2">
        <w:rPr>
          <w:rStyle w:val="normaltextrun"/>
          <w:noProof/>
        </w:rPr>
        <w:t>nas</w:t>
      </w:r>
      <w:r w:rsidRPr="008B4DA2">
        <w:rPr>
          <w:rStyle w:val="normaltextrun"/>
          <w:noProof/>
        </w:rPr>
        <w:t xml:space="preserve">tępującymi zmianami: </w:t>
      </w:r>
    </w:p>
    <w:p w:rsidR="00BD67F9" w:rsidRPr="008B4DA2" w:rsidRDefault="00BD67F9" w:rsidP="001404F6">
      <w:pPr>
        <w:pStyle w:val="paragraph"/>
        <w:numPr>
          <w:ilvl w:val="1"/>
          <w:numId w:val="17"/>
        </w:numPr>
        <w:shd w:val="clear" w:color="auto" w:fill="FFFFFF" w:themeFill="background1"/>
        <w:spacing w:before="120" w:beforeAutospacing="0" w:after="120" w:afterAutospacing="0"/>
        <w:textAlignment w:val="baseline"/>
        <w:rPr>
          <w:rFonts w:eastAsiaTheme="majorEastAsia"/>
          <w:noProof/>
        </w:rPr>
      </w:pPr>
      <w:r w:rsidRPr="008B4DA2">
        <w:rPr>
          <w:noProof/>
        </w:rPr>
        <w:t>zniesienie wymogu posiadania prawa jazdy kategorii C lub D</w:t>
      </w:r>
      <w:r w:rsidR="00B83C93" w:rsidRPr="008B4DA2">
        <w:rPr>
          <w:noProof/>
        </w:rPr>
        <w:t xml:space="preserve"> w</w:t>
      </w:r>
      <w:r w:rsidR="00B83C93">
        <w:rPr>
          <w:noProof/>
        </w:rPr>
        <w:t> </w:t>
      </w:r>
      <w:r w:rsidR="00B83C93" w:rsidRPr="008B4DA2">
        <w:rPr>
          <w:noProof/>
        </w:rPr>
        <w:t>cel</w:t>
      </w:r>
      <w:r w:rsidRPr="008B4DA2">
        <w:rPr>
          <w:noProof/>
        </w:rPr>
        <w:t>u uzyskania prawa jazdy kategorii CE lub DE;</w:t>
      </w:r>
    </w:p>
    <w:p w:rsidR="00BD67F9" w:rsidRPr="008B4DA2" w:rsidRDefault="00BD67F9" w:rsidP="001404F6">
      <w:pPr>
        <w:pStyle w:val="paragraph"/>
        <w:numPr>
          <w:ilvl w:val="1"/>
          <w:numId w:val="17"/>
        </w:numPr>
        <w:shd w:val="clear" w:color="auto" w:fill="FFFFFF" w:themeFill="background1"/>
        <w:spacing w:before="120" w:beforeAutospacing="0" w:after="120" w:afterAutospacing="0"/>
        <w:textAlignment w:val="baseline"/>
        <w:rPr>
          <w:rFonts w:eastAsiaTheme="majorEastAsia"/>
          <w:noProof/>
        </w:rPr>
      </w:pPr>
      <w:r w:rsidRPr="008B4DA2">
        <w:rPr>
          <w:noProof/>
        </w:rPr>
        <w:t xml:space="preserve">zniesienie fakultatywnego charakteru dawnej równoważności ustanowionej na mocy dawnego </w:t>
      </w:r>
      <w:r w:rsidRPr="00B83C93">
        <w:rPr>
          <w:noProof/>
        </w:rPr>
        <w:t>art.</w:t>
      </w:r>
      <w:r w:rsidR="00B83C93" w:rsidRPr="00B83C93">
        <w:rPr>
          <w:noProof/>
        </w:rPr>
        <w:t> </w:t>
      </w:r>
      <w:r w:rsidRPr="00B83C93">
        <w:rPr>
          <w:noProof/>
        </w:rPr>
        <w:t>6</w:t>
      </w:r>
      <w:r w:rsidRPr="008B4DA2">
        <w:rPr>
          <w:noProof/>
        </w:rPr>
        <w:t xml:space="preserve"> </w:t>
      </w:r>
      <w:r w:rsidRPr="00B83C93">
        <w:rPr>
          <w:noProof/>
        </w:rPr>
        <w:t>ust.</w:t>
      </w:r>
      <w:r w:rsidR="00B83C93" w:rsidRPr="00B83C93">
        <w:rPr>
          <w:noProof/>
        </w:rPr>
        <w:t> </w:t>
      </w:r>
      <w:r w:rsidRPr="00B83C93">
        <w:rPr>
          <w:noProof/>
        </w:rPr>
        <w:t>4</w:t>
      </w:r>
      <w:r w:rsidRPr="008B4DA2">
        <w:rPr>
          <w:noProof/>
        </w:rPr>
        <w:t xml:space="preserve"> </w:t>
      </w:r>
      <w:r w:rsidRPr="00B83C93">
        <w:rPr>
          <w:noProof/>
        </w:rPr>
        <w:t>lit.</w:t>
      </w:r>
      <w:r w:rsidR="00B83C93" w:rsidRPr="00B83C93">
        <w:rPr>
          <w:noProof/>
        </w:rPr>
        <w:t> </w:t>
      </w:r>
      <w:r w:rsidRPr="00B83C93">
        <w:rPr>
          <w:noProof/>
        </w:rPr>
        <w:t>c)</w:t>
      </w:r>
      <w:r w:rsidRPr="008B4DA2">
        <w:rPr>
          <w:noProof/>
        </w:rPr>
        <w:t>;</w:t>
      </w:r>
    </w:p>
    <w:p w:rsidR="00BD67F9" w:rsidRPr="008B4DA2" w:rsidRDefault="00BD67F9" w:rsidP="001404F6">
      <w:pPr>
        <w:pStyle w:val="paragraph"/>
        <w:numPr>
          <w:ilvl w:val="1"/>
          <w:numId w:val="17"/>
        </w:numPr>
        <w:shd w:val="clear" w:color="auto" w:fill="FFFFFF" w:themeFill="background1"/>
        <w:spacing w:before="120" w:beforeAutospacing="0" w:after="120" w:afterAutospacing="0"/>
        <w:textAlignment w:val="baseline"/>
        <w:rPr>
          <w:rFonts w:eastAsiaTheme="majorEastAsia"/>
          <w:noProof/>
        </w:rPr>
      </w:pPr>
      <w:r w:rsidRPr="008B4DA2">
        <w:rPr>
          <w:noProof/>
        </w:rPr>
        <w:t>wprowadzenie uprawnień do kierowania pojazdami kategorii D1E dla posiadaczy praw jazdy kategorii D1 i C1E lub D1 i CE;</w:t>
      </w:r>
    </w:p>
    <w:p w:rsidR="00BD67F9" w:rsidRPr="008B4DA2" w:rsidRDefault="00BD67F9" w:rsidP="001404F6">
      <w:pPr>
        <w:pStyle w:val="paragraph"/>
        <w:numPr>
          <w:ilvl w:val="1"/>
          <w:numId w:val="17"/>
        </w:numPr>
        <w:shd w:val="clear" w:color="auto" w:fill="FFFFFF" w:themeFill="background1"/>
        <w:spacing w:before="120" w:beforeAutospacing="0" w:after="120" w:afterAutospacing="0"/>
        <w:textAlignment w:val="baseline"/>
        <w:rPr>
          <w:rFonts w:eastAsiaTheme="majorEastAsia"/>
          <w:noProof/>
        </w:rPr>
      </w:pPr>
      <w:r w:rsidRPr="008B4DA2">
        <w:rPr>
          <w:noProof/>
        </w:rPr>
        <w:t>wprowadzenie fakultatywnej równoważności umożliwiającej kierowanie pewnymi pojazdami</w:t>
      </w:r>
      <w:r w:rsidR="00B83C93" w:rsidRPr="008B4DA2">
        <w:rPr>
          <w:noProof/>
        </w:rPr>
        <w:t xml:space="preserve"> w</w:t>
      </w:r>
      <w:r w:rsidR="00B83C93">
        <w:rPr>
          <w:noProof/>
        </w:rPr>
        <w:t> </w:t>
      </w:r>
      <w:r w:rsidR="00B83C93" w:rsidRPr="008B4DA2">
        <w:rPr>
          <w:noProof/>
        </w:rPr>
        <w:t>prz</w:t>
      </w:r>
      <w:r w:rsidRPr="008B4DA2">
        <w:rPr>
          <w:noProof/>
        </w:rPr>
        <w:t>ypadku posiadania prawa jazdy kategorii B1; oraz</w:t>
      </w:r>
    </w:p>
    <w:p w:rsidR="00BD67F9" w:rsidRPr="008B4DA2" w:rsidRDefault="00BD67F9" w:rsidP="001404F6">
      <w:pPr>
        <w:pStyle w:val="paragraph"/>
        <w:numPr>
          <w:ilvl w:val="1"/>
          <w:numId w:val="17"/>
        </w:numPr>
        <w:shd w:val="clear" w:color="auto" w:fill="FFFFFF" w:themeFill="background1"/>
        <w:spacing w:before="120" w:beforeAutospacing="0" w:after="120" w:afterAutospacing="0"/>
        <w:textAlignment w:val="baseline"/>
        <w:rPr>
          <w:rStyle w:val="normaltextrun"/>
          <w:rFonts w:eastAsiaTheme="majorEastAsia"/>
          <w:noProof/>
        </w:rPr>
      </w:pPr>
      <w:r w:rsidRPr="008B4DA2">
        <w:rPr>
          <w:noProof/>
        </w:rPr>
        <w:t>wprowadzenie wzajemnego uznawania fakultatywnych równoważności.</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8B4DA2">
        <w:rPr>
          <w:rStyle w:val="normaltextrun"/>
          <w:noProof/>
        </w:rPr>
        <w:t xml:space="preserve">Art. 10 odpowiada dawnemu </w:t>
      </w:r>
      <w:r w:rsidRPr="00B83C93">
        <w:rPr>
          <w:rStyle w:val="normaltextrun"/>
          <w:noProof/>
        </w:rPr>
        <w:t>art.</w:t>
      </w:r>
      <w:r w:rsidR="00B83C93" w:rsidRPr="00B83C93">
        <w:rPr>
          <w:rStyle w:val="normaltextrun"/>
          <w:noProof/>
        </w:rPr>
        <w:t> </w:t>
      </w:r>
      <w:r w:rsidRPr="00B83C93">
        <w:rPr>
          <w:rStyle w:val="normaltextrun"/>
          <w:noProof/>
        </w:rPr>
        <w:t>7</w:t>
      </w:r>
      <w:r w:rsidRPr="008B4DA2">
        <w:rPr>
          <w:rStyle w:val="normaltextrun"/>
          <w:noProof/>
        </w:rPr>
        <w:t xml:space="preserve"> dyrektywy 2006/126/WE</w:t>
      </w:r>
      <w:r w:rsidR="00B83C93" w:rsidRPr="008B4DA2">
        <w:rPr>
          <w:rStyle w:val="normaltextrun"/>
          <w:noProof/>
        </w:rPr>
        <w:t xml:space="preserve"> z</w:t>
      </w:r>
      <w:r w:rsidR="00B83C93">
        <w:rPr>
          <w:rStyle w:val="normaltextrun"/>
          <w:noProof/>
        </w:rPr>
        <w:t> </w:t>
      </w:r>
      <w:r w:rsidR="00B83C93" w:rsidRPr="008B4DA2">
        <w:rPr>
          <w:rStyle w:val="normaltextrun"/>
          <w:noProof/>
        </w:rPr>
        <w:t>nas</w:t>
      </w:r>
      <w:r w:rsidRPr="008B4DA2">
        <w:rPr>
          <w:rStyle w:val="normaltextrun"/>
          <w:noProof/>
        </w:rPr>
        <w:t>tępującymi zmianami:</w:t>
      </w:r>
    </w:p>
    <w:p w:rsidR="00BD67F9" w:rsidRPr="008B4DA2" w:rsidRDefault="00E9416A" w:rsidP="001404F6">
      <w:pPr>
        <w:pStyle w:val="paragraph"/>
        <w:numPr>
          <w:ilvl w:val="1"/>
          <w:numId w:val="17"/>
        </w:numPr>
        <w:shd w:val="clear" w:color="auto" w:fill="FFFFFF" w:themeFill="background1"/>
        <w:spacing w:before="120" w:beforeAutospacing="0" w:after="120" w:afterAutospacing="0"/>
        <w:textAlignment w:val="baseline"/>
        <w:rPr>
          <w:rStyle w:val="normaltextrun"/>
          <w:rFonts w:eastAsiaTheme="majorEastAsia"/>
          <w:noProof/>
        </w:rPr>
      </w:pPr>
      <w:r w:rsidRPr="008B4DA2">
        <w:rPr>
          <w:rStyle w:val="normaltextrun"/>
          <w:noProof/>
        </w:rPr>
        <w:t>administracyjny okres ważności wynoszący 15 lat staje się ogólną zasadą dla grup kategorii A i B;</w:t>
      </w:r>
    </w:p>
    <w:p w:rsidR="00BD67F9" w:rsidRPr="008B4DA2" w:rsidRDefault="00E9416A" w:rsidP="001404F6">
      <w:pPr>
        <w:pStyle w:val="paragraph"/>
        <w:numPr>
          <w:ilvl w:val="1"/>
          <w:numId w:val="17"/>
        </w:numPr>
        <w:shd w:val="clear" w:color="auto" w:fill="FFFFFF" w:themeFill="background1"/>
        <w:spacing w:before="120" w:beforeAutospacing="0" w:after="120" w:afterAutospacing="0"/>
        <w:textAlignment w:val="baseline"/>
        <w:rPr>
          <w:rStyle w:val="normaltextrun"/>
          <w:rFonts w:eastAsiaTheme="majorEastAsia"/>
          <w:noProof/>
        </w:rPr>
      </w:pPr>
      <w:r w:rsidRPr="008B4DA2">
        <w:rPr>
          <w:rStyle w:val="normaltextrun"/>
          <w:noProof/>
        </w:rPr>
        <w:t>Komisja</w:t>
      </w:r>
      <w:r w:rsidR="00B83C93" w:rsidRPr="008B4DA2">
        <w:rPr>
          <w:rStyle w:val="normaltextrun"/>
          <w:noProof/>
        </w:rPr>
        <w:t xml:space="preserve"> i</w:t>
      </w:r>
      <w:r w:rsidR="00B83C93">
        <w:rPr>
          <w:rStyle w:val="normaltextrun"/>
          <w:noProof/>
        </w:rPr>
        <w:t> </w:t>
      </w:r>
      <w:r w:rsidR="00B83C93" w:rsidRPr="008B4DA2">
        <w:rPr>
          <w:rStyle w:val="normaltextrun"/>
          <w:noProof/>
        </w:rPr>
        <w:t>pań</w:t>
      </w:r>
      <w:r w:rsidRPr="008B4DA2">
        <w:rPr>
          <w:rStyle w:val="normaltextrun"/>
          <w:noProof/>
        </w:rPr>
        <w:t>stwa członkowskie mogą</w:t>
      </w:r>
      <w:r w:rsidR="00B83C93" w:rsidRPr="008B4DA2">
        <w:rPr>
          <w:rStyle w:val="normaltextrun"/>
          <w:noProof/>
        </w:rPr>
        <w:t xml:space="preserve"> w</w:t>
      </w:r>
      <w:r w:rsidR="00B83C93">
        <w:rPr>
          <w:rStyle w:val="normaltextrun"/>
          <w:noProof/>
        </w:rPr>
        <w:t> </w:t>
      </w:r>
      <w:r w:rsidR="00B83C93" w:rsidRPr="008B4DA2">
        <w:rPr>
          <w:rStyle w:val="normaltextrun"/>
          <w:noProof/>
        </w:rPr>
        <w:t>wyj</w:t>
      </w:r>
      <w:r w:rsidRPr="008B4DA2">
        <w:rPr>
          <w:rStyle w:val="normaltextrun"/>
          <w:noProof/>
        </w:rPr>
        <w:t>ątkowych okolicznościach przedłużyć administracyjny okres ważności praw jazdy;</w:t>
      </w:r>
    </w:p>
    <w:p w:rsidR="00BD67F9" w:rsidRPr="008B4DA2" w:rsidRDefault="00E9416A" w:rsidP="001404F6">
      <w:pPr>
        <w:pStyle w:val="paragraph"/>
        <w:numPr>
          <w:ilvl w:val="1"/>
          <w:numId w:val="17"/>
        </w:numPr>
        <w:shd w:val="clear" w:color="auto" w:fill="FFFFFF" w:themeFill="background1"/>
        <w:spacing w:before="120" w:beforeAutospacing="0" w:after="120" w:afterAutospacing="0"/>
        <w:textAlignment w:val="baseline"/>
        <w:rPr>
          <w:rStyle w:val="normaltextrun"/>
          <w:rFonts w:eastAsiaTheme="majorEastAsia"/>
          <w:noProof/>
        </w:rPr>
      </w:pPr>
      <w:r w:rsidRPr="008B4DA2">
        <w:rPr>
          <w:rStyle w:val="normaltextrun"/>
          <w:noProof/>
        </w:rPr>
        <w:t>administracyjny okres ważności praw jazdy może zostać skrócony</w:t>
      </w:r>
      <w:r w:rsidR="00B83C93" w:rsidRPr="008B4DA2">
        <w:rPr>
          <w:rStyle w:val="normaltextrun"/>
          <w:noProof/>
        </w:rPr>
        <w:t xml:space="preserve"> w</w:t>
      </w:r>
      <w:r w:rsidR="00B83C93">
        <w:rPr>
          <w:rStyle w:val="normaltextrun"/>
          <w:noProof/>
        </w:rPr>
        <w:t> </w:t>
      </w:r>
      <w:r w:rsidR="00B83C93" w:rsidRPr="008B4DA2">
        <w:rPr>
          <w:rStyle w:val="normaltextrun"/>
          <w:noProof/>
        </w:rPr>
        <w:t>cel</w:t>
      </w:r>
      <w:r w:rsidRPr="008B4DA2">
        <w:rPr>
          <w:rStyle w:val="normaltextrun"/>
          <w:noProof/>
        </w:rPr>
        <w:t>u dostosowania go do okresu ważności zezwoleń na pobyt czasowy;</w:t>
      </w:r>
    </w:p>
    <w:p w:rsidR="00BD67F9" w:rsidRPr="008B4DA2" w:rsidRDefault="00E9416A" w:rsidP="001404F6">
      <w:pPr>
        <w:pStyle w:val="paragraph"/>
        <w:numPr>
          <w:ilvl w:val="1"/>
          <w:numId w:val="17"/>
        </w:numPr>
        <w:shd w:val="clear" w:color="auto" w:fill="FFFFFF" w:themeFill="background1"/>
        <w:spacing w:before="120" w:beforeAutospacing="0" w:after="120" w:afterAutospacing="0"/>
        <w:textAlignment w:val="baseline"/>
        <w:rPr>
          <w:rStyle w:val="normaltextrun"/>
          <w:rFonts w:eastAsiaTheme="majorEastAsia"/>
          <w:noProof/>
        </w:rPr>
      </w:pPr>
      <w:r w:rsidRPr="008B4DA2">
        <w:rPr>
          <w:rStyle w:val="normaltextrun"/>
          <w:noProof/>
        </w:rPr>
        <w:t xml:space="preserve">administracyjny okres ważności praw jazdy może zostać skrócony ze względu na wiek posiadacza dopiero </w:t>
      </w:r>
      <w:r w:rsidRPr="00B83C93">
        <w:rPr>
          <w:rStyle w:val="normaltextrun"/>
          <w:noProof/>
        </w:rPr>
        <w:t>od</w:t>
      </w:r>
      <w:r w:rsidR="00B83C93" w:rsidRPr="00B83C93">
        <w:rPr>
          <w:rStyle w:val="normaltextrun"/>
          <w:noProof/>
        </w:rPr>
        <w:t> </w:t>
      </w:r>
      <w:r w:rsidRPr="00B83C93">
        <w:rPr>
          <w:rStyle w:val="normaltextrun"/>
          <w:noProof/>
        </w:rPr>
        <w:t>7</w:t>
      </w:r>
      <w:r w:rsidRPr="008B4DA2">
        <w:rPr>
          <w:rStyle w:val="normaltextrun"/>
          <w:noProof/>
        </w:rPr>
        <w:t>0. roku życia.</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8B4DA2">
        <w:rPr>
          <w:rStyle w:val="normaltextrun"/>
          <w:noProof/>
        </w:rPr>
        <w:t xml:space="preserve">Art. 11 odpowiada </w:t>
      </w:r>
      <w:r w:rsidRPr="00B83C93">
        <w:rPr>
          <w:rStyle w:val="normaltextrun"/>
          <w:noProof/>
        </w:rPr>
        <w:t>ust.</w:t>
      </w:r>
      <w:r w:rsidR="00B83C93" w:rsidRPr="00B83C93">
        <w:rPr>
          <w:rStyle w:val="normaltextrun"/>
          <w:noProof/>
        </w:rPr>
        <w:t> </w:t>
      </w:r>
      <w:r w:rsidRPr="00B83C93">
        <w:rPr>
          <w:rStyle w:val="normaltextrun"/>
          <w:noProof/>
        </w:rPr>
        <w:t>1</w:t>
      </w:r>
      <w:r w:rsidRPr="008B4DA2">
        <w:rPr>
          <w:rStyle w:val="normaltextrun"/>
          <w:noProof/>
        </w:rPr>
        <w:t>, 2, 3</w:t>
      </w:r>
      <w:r w:rsidR="00B83C93" w:rsidRPr="008B4DA2">
        <w:rPr>
          <w:rStyle w:val="normaltextrun"/>
          <w:noProof/>
        </w:rPr>
        <w:t xml:space="preserve"> i</w:t>
      </w:r>
      <w:r w:rsidR="00B83C93">
        <w:rPr>
          <w:rStyle w:val="normaltextrun"/>
          <w:noProof/>
        </w:rPr>
        <w:t> </w:t>
      </w:r>
      <w:r w:rsidR="00B83C93" w:rsidRPr="008B4DA2">
        <w:rPr>
          <w:rStyle w:val="normaltextrun"/>
          <w:noProof/>
        </w:rPr>
        <w:t>5</w:t>
      </w:r>
      <w:r w:rsidRPr="008B4DA2">
        <w:rPr>
          <w:rStyle w:val="normaltextrun"/>
          <w:noProof/>
        </w:rPr>
        <w:t xml:space="preserve"> dawnego </w:t>
      </w:r>
      <w:r w:rsidRPr="00B83C93">
        <w:rPr>
          <w:rStyle w:val="normaltextrun"/>
          <w:noProof/>
        </w:rPr>
        <w:t>art.</w:t>
      </w:r>
      <w:r w:rsidR="00B83C93" w:rsidRPr="00B83C93">
        <w:rPr>
          <w:rStyle w:val="normaltextrun"/>
          <w:noProof/>
        </w:rPr>
        <w:t> </w:t>
      </w:r>
      <w:r w:rsidRPr="00B83C93">
        <w:rPr>
          <w:rStyle w:val="normaltextrun"/>
          <w:noProof/>
        </w:rPr>
        <w:t>1</w:t>
      </w:r>
      <w:r w:rsidRPr="008B4DA2">
        <w:rPr>
          <w:rStyle w:val="normaltextrun"/>
          <w:noProof/>
        </w:rPr>
        <w:t>1 dyrektywy 2006/126/WE.</w:t>
      </w:r>
    </w:p>
    <w:p w:rsidR="00BD67F9" w:rsidRPr="008B4DA2" w:rsidRDefault="008B4DA2"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Pr>
          <w:rStyle w:val="normaltextrun"/>
          <w:noProof/>
        </w:rPr>
        <w:t>A</w:t>
      </w:r>
      <w:r w:rsidR="00BD67F9" w:rsidRPr="008B4DA2">
        <w:rPr>
          <w:rStyle w:val="normaltextrun"/>
          <w:noProof/>
        </w:rPr>
        <w:t>rt. 12 wprowadz</w:t>
      </w:r>
      <w:r>
        <w:rPr>
          <w:rStyle w:val="normaltextrun"/>
          <w:noProof/>
        </w:rPr>
        <w:t>a</w:t>
      </w:r>
      <w:r w:rsidR="00BD67F9" w:rsidRPr="008B4DA2">
        <w:rPr>
          <w:rStyle w:val="normaltextrun"/>
          <w:noProof/>
        </w:rPr>
        <w:t xml:space="preserve"> nowe, szczególne zasady wymiany praw jazdy wydanych przez państwo trzecie posiadaczom, którzy ustanawiają swoje miejsce stałego zamieszkania na terytorium jednego</w:t>
      </w:r>
      <w:r w:rsidR="00B83C93" w:rsidRPr="008B4DA2">
        <w:rPr>
          <w:rStyle w:val="normaltextrun"/>
          <w:noProof/>
        </w:rPr>
        <w:t xml:space="preserve"> z</w:t>
      </w:r>
      <w:r w:rsidR="00B83C93">
        <w:rPr>
          <w:rStyle w:val="normaltextrun"/>
          <w:noProof/>
        </w:rPr>
        <w:t> </w:t>
      </w:r>
      <w:r w:rsidR="00B83C93" w:rsidRPr="008B4DA2">
        <w:rPr>
          <w:rStyle w:val="normaltextrun"/>
          <w:noProof/>
        </w:rPr>
        <w:t>pań</w:t>
      </w:r>
      <w:r w:rsidR="00BD67F9" w:rsidRPr="008B4DA2">
        <w:rPr>
          <w:rStyle w:val="normaltextrun"/>
          <w:noProof/>
        </w:rPr>
        <w:t xml:space="preserve">stw członkowskich. </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8B4DA2">
        <w:rPr>
          <w:noProof/>
        </w:rPr>
        <w:t xml:space="preserve">Art. 13 obejmuje dawny </w:t>
      </w:r>
      <w:r w:rsidRPr="00B83C93">
        <w:rPr>
          <w:noProof/>
        </w:rPr>
        <w:t>art.</w:t>
      </w:r>
      <w:r w:rsidR="00B83C93" w:rsidRPr="00B83C93">
        <w:rPr>
          <w:noProof/>
        </w:rPr>
        <w:t> </w:t>
      </w:r>
      <w:r w:rsidRPr="00B83C93">
        <w:rPr>
          <w:noProof/>
        </w:rPr>
        <w:t>1</w:t>
      </w:r>
      <w:r w:rsidRPr="008B4DA2">
        <w:rPr>
          <w:noProof/>
        </w:rPr>
        <w:t xml:space="preserve">1 </w:t>
      </w:r>
      <w:r w:rsidRPr="00B83C93">
        <w:rPr>
          <w:noProof/>
        </w:rPr>
        <w:t>ust.</w:t>
      </w:r>
      <w:r w:rsidR="00B83C93" w:rsidRPr="00B83C93">
        <w:rPr>
          <w:noProof/>
        </w:rPr>
        <w:t> </w:t>
      </w:r>
      <w:r w:rsidRPr="00B83C93">
        <w:rPr>
          <w:noProof/>
        </w:rPr>
        <w:t>4</w:t>
      </w:r>
      <w:r w:rsidRPr="008B4DA2">
        <w:rPr>
          <w:noProof/>
        </w:rPr>
        <w:t xml:space="preserve"> dyrektywy 2006/126/WE oraz wprowadza pewne przepisy dotyczące skutków ograniczenia, zawieszenia, cofnięcia lub unieważnienia prawa jazdy przez państwo członkowskie.</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8B4DA2">
        <w:rPr>
          <w:noProof/>
        </w:rPr>
        <w:t>Art. 14 wprowadza nową zasadę jazdy</w:t>
      </w:r>
      <w:r w:rsidR="00B83C93" w:rsidRPr="008B4DA2">
        <w:rPr>
          <w:noProof/>
        </w:rPr>
        <w:t xml:space="preserve"> w</w:t>
      </w:r>
      <w:r w:rsidR="00B83C93">
        <w:rPr>
          <w:noProof/>
        </w:rPr>
        <w:t> </w:t>
      </w:r>
      <w:r w:rsidR="00B83C93" w:rsidRPr="008B4DA2">
        <w:rPr>
          <w:noProof/>
        </w:rPr>
        <w:t>tow</w:t>
      </w:r>
      <w:r w:rsidRPr="008B4DA2">
        <w:rPr>
          <w:noProof/>
        </w:rPr>
        <w:t>arzystwie innego kierowcy dla kierowców</w:t>
      </w:r>
      <w:r w:rsidR="00B83C93" w:rsidRPr="008B4DA2">
        <w:rPr>
          <w:noProof/>
        </w:rPr>
        <w:t xml:space="preserve"> w</w:t>
      </w:r>
      <w:r w:rsidR="00B83C93">
        <w:rPr>
          <w:noProof/>
        </w:rPr>
        <w:t> </w:t>
      </w:r>
      <w:r w:rsidR="00B83C93" w:rsidRPr="008B4DA2">
        <w:rPr>
          <w:noProof/>
        </w:rPr>
        <w:t>wie</w:t>
      </w:r>
      <w:r w:rsidRPr="008B4DA2">
        <w:rPr>
          <w:noProof/>
        </w:rPr>
        <w:t>ku 17–18 lat.</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rFonts w:eastAsiaTheme="majorEastAsia"/>
          <w:i/>
          <w:iCs/>
          <w:noProof/>
        </w:rPr>
      </w:pPr>
      <w:r w:rsidRPr="008B4DA2">
        <w:rPr>
          <w:noProof/>
        </w:rPr>
        <w:t>Art. 15 wprowadza co najmniej dwuletni okres próbny, podczas którego początkujący kierowcy podlegają surowym przepisom dotyczącym kierowania pojazdem</w:t>
      </w:r>
      <w:r w:rsidR="00B83C93" w:rsidRPr="008B4DA2">
        <w:rPr>
          <w:noProof/>
        </w:rPr>
        <w:t xml:space="preserve"> w</w:t>
      </w:r>
      <w:r w:rsidR="00B83C93">
        <w:rPr>
          <w:noProof/>
        </w:rPr>
        <w:t> </w:t>
      </w:r>
      <w:r w:rsidR="00B83C93" w:rsidRPr="008B4DA2">
        <w:rPr>
          <w:noProof/>
        </w:rPr>
        <w:t>sta</w:t>
      </w:r>
      <w:r w:rsidRPr="008B4DA2">
        <w:rPr>
          <w:noProof/>
        </w:rPr>
        <w:t>nie nietrzeźwości lub pod wpływem środków odurzających</w:t>
      </w:r>
      <w:r w:rsidR="00B83C93" w:rsidRPr="008B4DA2">
        <w:rPr>
          <w:noProof/>
        </w:rPr>
        <w:t xml:space="preserve"> i</w:t>
      </w:r>
      <w:r w:rsidR="00B83C93">
        <w:rPr>
          <w:noProof/>
        </w:rPr>
        <w:t> </w:t>
      </w:r>
      <w:r w:rsidR="00B83C93" w:rsidRPr="008B4DA2">
        <w:rPr>
          <w:noProof/>
        </w:rPr>
        <w:t>ewe</w:t>
      </w:r>
      <w:r w:rsidRPr="008B4DA2">
        <w:rPr>
          <w:noProof/>
        </w:rPr>
        <w:t>ntualnym dodatkowym warunkom krajowym.</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rFonts w:eastAsiaTheme="majorEastAsia"/>
          <w:i/>
          <w:iCs/>
          <w:noProof/>
        </w:rPr>
      </w:pPr>
      <w:r w:rsidRPr="008B4DA2">
        <w:rPr>
          <w:noProof/>
        </w:rPr>
        <w:t xml:space="preserve">Art. 16 odpowiada dawnemu </w:t>
      </w:r>
      <w:r w:rsidRPr="00B83C93">
        <w:rPr>
          <w:noProof/>
        </w:rPr>
        <w:t>art.</w:t>
      </w:r>
      <w:r w:rsidR="00B83C93" w:rsidRPr="00B83C93">
        <w:rPr>
          <w:noProof/>
        </w:rPr>
        <w:t> </w:t>
      </w:r>
      <w:r w:rsidRPr="00B83C93">
        <w:rPr>
          <w:noProof/>
        </w:rPr>
        <w:t>1</w:t>
      </w:r>
      <w:r w:rsidRPr="008B4DA2">
        <w:rPr>
          <w:noProof/>
        </w:rPr>
        <w:t>0 dyrektywy 2006/126/WE.</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rStyle w:val="eop"/>
          <w:rFonts w:eastAsiaTheme="majorEastAsia"/>
          <w:i/>
          <w:iCs/>
          <w:noProof/>
        </w:rPr>
      </w:pPr>
      <w:r w:rsidRPr="008B4DA2">
        <w:rPr>
          <w:noProof/>
        </w:rPr>
        <w:t xml:space="preserve">Art. 17 obejmuje dawny </w:t>
      </w:r>
      <w:r w:rsidRPr="00B83C93">
        <w:rPr>
          <w:noProof/>
        </w:rPr>
        <w:t>art.</w:t>
      </w:r>
      <w:r w:rsidR="00B83C93" w:rsidRPr="00B83C93">
        <w:rPr>
          <w:noProof/>
        </w:rPr>
        <w:t> </w:t>
      </w:r>
      <w:r w:rsidRPr="00B83C93">
        <w:rPr>
          <w:noProof/>
        </w:rPr>
        <w:t>1</w:t>
      </w:r>
      <w:r w:rsidRPr="008B4DA2">
        <w:rPr>
          <w:noProof/>
        </w:rPr>
        <w:t>2 dyrektywy 2006/126/WE. Wprowadzono nim również pewne odstępstwa</w:t>
      </w:r>
      <w:r w:rsidR="00B83C93" w:rsidRPr="008B4DA2">
        <w:rPr>
          <w:noProof/>
        </w:rPr>
        <w:t xml:space="preserve"> w</w:t>
      </w:r>
      <w:r w:rsidR="00B83C93">
        <w:rPr>
          <w:noProof/>
        </w:rPr>
        <w:t> </w:t>
      </w:r>
      <w:r w:rsidR="00B83C93" w:rsidRPr="008B4DA2">
        <w:rPr>
          <w:noProof/>
        </w:rPr>
        <w:t>prz</w:t>
      </w:r>
      <w:r w:rsidRPr="008B4DA2">
        <w:rPr>
          <w:noProof/>
        </w:rPr>
        <w:t>ypadku, gdy posiadacz prawa jazdy nie jest</w:t>
      </w:r>
      <w:r w:rsidR="00B83C93" w:rsidRPr="008B4DA2">
        <w:rPr>
          <w:noProof/>
        </w:rPr>
        <w:t xml:space="preserve"> w</w:t>
      </w:r>
      <w:r w:rsidR="00B83C93">
        <w:rPr>
          <w:noProof/>
        </w:rPr>
        <w:t> </w:t>
      </w:r>
      <w:r w:rsidR="00B83C93" w:rsidRPr="008B4DA2">
        <w:rPr>
          <w:noProof/>
        </w:rPr>
        <w:t>sta</w:t>
      </w:r>
      <w:r w:rsidRPr="008B4DA2">
        <w:rPr>
          <w:noProof/>
        </w:rPr>
        <w:t>nie udowodnić ustanowienia miejsca stałego zamieszkania lub przy pierwszorazowym wydaniu prawa jazdy kategorii B obywatelom UE, gdy nie znają oni języka swojego państwa członkowskiego zamieszkania.</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8B4DA2">
        <w:rPr>
          <w:noProof/>
        </w:rPr>
        <w:t xml:space="preserve">Art. 18 odpowiada dawnemu </w:t>
      </w:r>
      <w:r w:rsidRPr="00B83C93">
        <w:rPr>
          <w:noProof/>
        </w:rPr>
        <w:t>art.</w:t>
      </w:r>
      <w:r w:rsidR="00B83C93" w:rsidRPr="00B83C93">
        <w:rPr>
          <w:noProof/>
        </w:rPr>
        <w:t> </w:t>
      </w:r>
      <w:r w:rsidRPr="00B83C93">
        <w:rPr>
          <w:noProof/>
        </w:rPr>
        <w:t>1</w:t>
      </w:r>
      <w:r w:rsidRPr="008B4DA2">
        <w:rPr>
          <w:noProof/>
        </w:rPr>
        <w:t>3 dyrektywy 2006/126/WE</w:t>
      </w:r>
      <w:r w:rsidR="00B83C93" w:rsidRPr="008B4DA2">
        <w:rPr>
          <w:noProof/>
        </w:rPr>
        <w:t xml:space="preserve"> z</w:t>
      </w:r>
      <w:r w:rsidR="00B83C93">
        <w:rPr>
          <w:noProof/>
        </w:rPr>
        <w:t> </w:t>
      </w:r>
      <w:r w:rsidR="00B83C93" w:rsidRPr="008B4DA2">
        <w:rPr>
          <w:noProof/>
        </w:rPr>
        <w:t>uwz</w:t>
      </w:r>
      <w:r w:rsidRPr="008B4DA2">
        <w:rPr>
          <w:noProof/>
        </w:rPr>
        <w:t>ględnieniem informacji opublikowanych przez Komisję na temat wzorów prawa jazdy niezgodnych</w:t>
      </w:r>
      <w:r w:rsidR="00B83C93" w:rsidRPr="008B4DA2">
        <w:rPr>
          <w:noProof/>
        </w:rPr>
        <w:t xml:space="preserve"> z</w:t>
      </w:r>
      <w:r w:rsidR="00B83C93">
        <w:rPr>
          <w:noProof/>
        </w:rPr>
        <w:t> </w:t>
      </w:r>
      <w:r w:rsidR="00B83C93" w:rsidRPr="008B4DA2">
        <w:rPr>
          <w:noProof/>
        </w:rPr>
        <w:t>nor</w:t>
      </w:r>
      <w:r w:rsidRPr="008B4DA2">
        <w:rPr>
          <w:noProof/>
        </w:rPr>
        <w:t>mami UE.</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8B4DA2">
        <w:rPr>
          <w:noProof/>
        </w:rPr>
        <w:t xml:space="preserve">Art. 19 odpowiada dawnemu </w:t>
      </w:r>
      <w:r w:rsidRPr="00B83C93">
        <w:rPr>
          <w:noProof/>
        </w:rPr>
        <w:t>art.</w:t>
      </w:r>
      <w:r w:rsidR="00B83C93" w:rsidRPr="00B83C93">
        <w:rPr>
          <w:noProof/>
        </w:rPr>
        <w:t> </w:t>
      </w:r>
      <w:r w:rsidRPr="00B83C93">
        <w:rPr>
          <w:noProof/>
        </w:rPr>
        <w:t>1</w:t>
      </w:r>
      <w:r w:rsidRPr="008B4DA2">
        <w:rPr>
          <w:noProof/>
        </w:rPr>
        <w:t>5 dyrektywy 2006/126/WE</w:t>
      </w:r>
      <w:r w:rsidR="00B83C93" w:rsidRPr="008B4DA2">
        <w:rPr>
          <w:noProof/>
        </w:rPr>
        <w:t xml:space="preserve"> i</w:t>
      </w:r>
      <w:r w:rsidR="00B83C93">
        <w:rPr>
          <w:noProof/>
        </w:rPr>
        <w:t> </w:t>
      </w:r>
      <w:r w:rsidR="00B83C93" w:rsidRPr="008B4DA2">
        <w:rPr>
          <w:noProof/>
        </w:rPr>
        <w:t>wyj</w:t>
      </w:r>
      <w:r w:rsidRPr="008B4DA2">
        <w:rPr>
          <w:noProof/>
        </w:rPr>
        <w:t>aśniono</w:t>
      </w:r>
      <w:r w:rsidR="00B83C93" w:rsidRPr="008B4DA2">
        <w:rPr>
          <w:noProof/>
        </w:rPr>
        <w:t xml:space="preserve"> w</w:t>
      </w:r>
      <w:r w:rsidR="00B83C93">
        <w:rPr>
          <w:noProof/>
        </w:rPr>
        <w:t> </w:t>
      </w:r>
      <w:r w:rsidR="00B83C93" w:rsidRPr="008B4DA2">
        <w:rPr>
          <w:noProof/>
        </w:rPr>
        <w:t>nim w</w:t>
      </w:r>
      <w:r w:rsidR="00B83C93">
        <w:rPr>
          <w:noProof/>
        </w:rPr>
        <w:t> </w:t>
      </w:r>
      <w:r w:rsidR="00B83C93" w:rsidRPr="008B4DA2">
        <w:rPr>
          <w:noProof/>
        </w:rPr>
        <w:t>szc</w:t>
      </w:r>
      <w:r w:rsidRPr="008B4DA2">
        <w:rPr>
          <w:noProof/>
        </w:rPr>
        <w:t>zególności przypadki,</w:t>
      </w:r>
      <w:r w:rsidR="00B83C93" w:rsidRPr="008B4DA2">
        <w:rPr>
          <w:noProof/>
        </w:rPr>
        <w:t xml:space="preserve"> w</w:t>
      </w:r>
      <w:r w:rsidR="00B83C93">
        <w:rPr>
          <w:noProof/>
        </w:rPr>
        <w:t> </w:t>
      </w:r>
      <w:r w:rsidR="00B83C93" w:rsidRPr="008B4DA2">
        <w:rPr>
          <w:noProof/>
        </w:rPr>
        <w:t>któ</w:t>
      </w:r>
      <w:r w:rsidRPr="008B4DA2">
        <w:rPr>
          <w:noProof/>
        </w:rPr>
        <w:t>rych państwa członkowskie powinny świadczyć sobie wzajemną pomoc.</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8B4DA2">
        <w:rPr>
          <w:noProof/>
        </w:rPr>
        <w:t xml:space="preserve">Art. 20 opiera się na </w:t>
      </w:r>
      <w:r w:rsidRPr="00B83C93">
        <w:rPr>
          <w:noProof/>
        </w:rPr>
        <w:t>art.</w:t>
      </w:r>
      <w:r w:rsidR="00B83C93" w:rsidRPr="00B83C93">
        <w:rPr>
          <w:noProof/>
        </w:rPr>
        <w:t> </w:t>
      </w:r>
      <w:r w:rsidRPr="00B83C93">
        <w:rPr>
          <w:noProof/>
        </w:rPr>
        <w:t>1</w:t>
      </w:r>
      <w:r w:rsidRPr="008B4DA2">
        <w:rPr>
          <w:noProof/>
        </w:rPr>
        <w:t>4 dyrektywy 2006/126/WE</w:t>
      </w:r>
      <w:r w:rsidR="00B83C93" w:rsidRPr="008B4DA2">
        <w:rPr>
          <w:noProof/>
        </w:rPr>
        <w:t xml:space="preserve"> i</w:t>
      </w:r>
      <w:r w:rsidR="00B83C93">
        <w:rPr>
          <w:noProof/>
        </w:rPr>
        <w:t> </w:t>
      </w:r>
      <w:r w:rsidR="00B83C93" w:rsidRPr="008B4DA2">
        <w:rPr>
          <w:noProof/>
        </w:rPr>
        <w:t>umo</w:t>
      </w:r>
      <w:r w:rsidRPr="008B4DA2">
        <w:rPr>
          <w:noProof/>
        </w:rPr>
        <w:t>żliwia gromadzenie informacji zgodnie</w:t>
      </w:r>
      <w:r w:rsidR="00B83C93" w:rsidRPr="008B4DA2">
        <w:rPr>
          <w:noProof/>
        </w:rPr>
        <w:t xml:space="preserve"> z</w:t>
      </w:r>
      <w:r w:rsidR="00B83C93">
        <w:rPr>
          <w:noProof/>
        </w:rPr>
        <w:t> </w:t>
      </w:r>
      <w:r w:rsidR="00B83C93" w:rsidRPr="008B4DA2">
        <w:rPr>
          <w:noProof/>
        </w:rPr>
        <w:t>zas</w:t>
      </w:r>
      <w:r w:rsidRPr="008B4DA2">
        <w:rPr>
          <w:noProof/>
        </w:rPr>
        <w:t>adami lepszego stanowienia prawa.</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8B4DA2">
        <w:rPr>
          <w:noProof/>
        </w:rPr>
        <w:t>Art. 21 zawiera standardowy przepis umożliwiający Komisji przyjmowanie aktów delegowanych na podstawie niektórych przepisów dyrektywy.</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noProof/>
        </w:rPr>
      </w:pPr>
      <w:r w:rsidRPr="008B4DA2">
        <w:rPr>
          <w:noProof/>
        </w:rPr>
        <w:t xml:space="preserve">Art. 22 odpowiada dawnemu </w:t>
      </w:r>
      <w:r w:rsidRPr="00B83C93">
        <w:rPr>
          <w:noProof/>
        </w:rPr>
        <w:t>art.</w:t>
      </w:r>
      <w:r w:rsidR="00B83C93" w:rsidRPr="00B83C93">
        <w:rPr>
          <w:noProof/>
        </w:rPr>
        <w:t> </w:t>
      </w:r>
      <w:r w:rsidRPr="00B83C93">
        <w:rPr>
          <w:noProof/>
        </w:rPr>
        <w:t>9</w:t>
      </w:r>
      <w:r w:rsidRPr="008B4DA2">
        <w:rPr>
          <w:noProof/>
        </w:rPr>
        <w:t xml:space="preserve"> dyrektywy 2006/126/WE ustanawiającemu komitet ds. praw jazdy</w:t>
      </w:r>
      <w:r w:rsidR="00B83C93" w:rsidRPr="008B4DA2">
        <w:rPr>
          <w:noProof/>
        </w:rPr>
        <w:t xml:space="preserve"> i</w:t>
      </w:r>
      <w:r w:rsidR="00B83C93">
        <w:rPr>
          <w:noProof/>
        </w:rPr>
        <w:t> </w:t>
      </w:r>
      <w:r w:rsidR="00B83C93" w:rsidRPr="008B4DA2">
        <w:rPr>
          <w:noProof/>
        </w:rPr>
        <w:t>zos</w:t>
      </w:r>
      <w:r w:rsidRPr="008B4DA2">
        <w:rPr>
          <w:noProof/>
        </w:rPr>
        <w:t>tał zaktualizowany</w:t>
      </w:r>
      <w:r w:rsidR="00B83C93" w:rsidRPr="008B4DA2">
        <w:rPr>
          <w:noProof/>
        </w:rPr>
        <w:t xml:space="preserve"> o</w:t>
      </w:r>
      <w:r w:rsidR="00B83C93">
        <w:rPr>
          <w:noProof/>
        </w:rPr>
        <w:t> </w:t>
      </w:r>
      <w:r w:rsidR="00B83C93" w:rsidRPr="008B4DA2">
        <w:rPr>
          <w:noProof/>
        </w:rPr>
        <w:t>odn</w:t>
      </w:r>
      <w:r w:rsidRPr="008B4DA2">
        <w:rPr>
          <w:noProof/>
        </w:rPr>
        <w:t>iesienia do rozporządzenia Parlamentu Europejskiego</w:t>
      </w:r>
      <w:r w:rsidR="00B83C93" w:rsidRPr="008B4DA2">
        <w:rPr>
          <w:noProof/>
        </w:rPr>
        <w:t xml:space="preserve"> i</w:t>
      </w:r>
      <w:r w:rsidR="00B83C93">
        <w:rPr>
          <w:noProof/>
        </w:rPr>
        <w:t> </w:t>
      </w:r>
      <w:r w:rsidR="00B83C93" w:rsidRPr="008B4DA2">
        <w:rPr>
          <w:noProof/>
        </w:rPr>
        <w:t>Rad</w:t>
      </w:r>
      <w:r w:rsidRPr="008B4DA2">
        <w:rPr>
          <w:noProof/>
        </w:rPr>
        <w:t xml:space="preserve">y (UE) </w:t>
      </w:r>
      <w:r w:rsidRPr="00B83C93">
        <w:rPr>
          <w:noProof/>
        </w:rPr>
        <w:t>nr</w:t>
      </w:r>
      <w:r w:rsidR="00B83C93" w:rsidRPr="00B83C93">
        <w:rPr>
          <w:noProof/>
        </w:rPr>
        <w:t> </w:t>
      </w:r>
      <w:r w:rsidRPr="00B83C93">
        <w:rPr>
          <w:noProof/>
        </w:rPr>
        <w:t>1</w:t>
      </w:r>
      <w:r w:rsidRPr="008B4DA2">
        <w:rPr>
          <w:noProof/>
        </w:rPr>
        <w:t>82/2011</w:t>
      </w:r>
      <w:r w:rsidR="00B83C93" w:rsidRPr="008B4DA2">
        <w:rPr>
          <w:noProof/>
        </w:rPr>
        <w:t xml:space="preserve"> z</w:t>
      </w:r>
      <w:r w:rsidR="00B83C93">
        <w:rPr>
          <w:noProof/>
        </w:rPr>
        <w:t> </w:t>
      </w:r>
      <w:r w:rsidR="00B83C93" w:rsidRPr="008B4DA2">
        <w:rPr>
          <w:noProof/>
        </w:rPr>
        <w:t>dni</w:t>
      </w:r>
      <w:r w:rsidRPr="008B4DA2">
        <w:rPr>
          <w:noProof/>
        </w:rPr>
        <w:t>a 16 lutego 20</w:t>
      </w:r>
      <w:r w:rsidRPr="00B83C93">
        <w:rPr>
          <w:noProof/>
        </w:rPr>
        <w:t>11</w:t>
      </w:r>
      <w:r w:rsidR="00B83C93" w:rsidRPr="00B83C93">
        <w:rPr>
          <w:noProof/>
        </w:rPr>
        <w:t> </w:t>
      </w:r>
      <w:r w:rsidRPr="00B83C93">
        <w:rPr>
          <w:noProof/>
        </w:rPr>
        <w:t>r.</w:t>
      </w:r>
      <w:r w:rsidRPr="008B4DA2">
        <w:rPr>
          <w:noProof/>
        </w:rPr>
        <w:t xml:space="preserve"> ustanawiającego przepisy</w:t>
      </w:r>
      <w:r w:rsidR="00B83C93" w:rsidRPr="008B4DA2">
        <w:rPr>
          <w:noProof/>
        </w:rPr>
        <w:t xml:space="preserve"> i</w:t>
      </w:r>
      <w:r w:rsidR="00B83C93">
        <w:rPr>
          <w:noProof/>
        </w:rPr>
        <w:t> </w:t>
      </w:r>
      <w:r w:rsidR="00B83C93" w:rsidRPr="008B4DA2">
        <w:rPr>
          <w:noProof/>
        </w:rPr>
        <w:t>zas</w:t>
      </w:r>
      <w:r w:rsidRPr="008B4DA2">
        <w:rPr>
          <w:noProof/>
        </w:rPr>
        <w:t>ady ogólne dotyczące trybu kontroli przez państwa członkowskie wykonywania uprawnień wykonawczych przez Komisję</w:t>
      </w:r>
      <w:r w:rsidRPr="008B4DA2">
        <w:rPr>
          <w:rStyle w:val="FootnoteReference"/>
          <w:noProof/>
        </w:rPr>
        <w:footnoteReference w:id="48"/>
      </w:r>
      <w:r w:rsidRPr="008B4DA2">
        <w:rPr>
          <w:rStyle w:val="normaltextrun"/>
          <w:noProof/>
        </w:rPr>
        <w:t>, co umożliwia przyjmowanie</w:t>
      </w:r>
      <w:r w:rsidR="00B83C93" w:rsidRPr="008B4DA2">
        <w:rPr>
          <w:rStyle w:val="normaltextrun"/>
          <w:noProof/>
        </w:rPr>
        <w:t xml:space="preserve"> w</w:t>
      </w:r>
      <w:r w:rsidR="00B83C93">
        <w:rPr>
          <w:rStyle w:val="normaltextrun"/>
          <w:noProof/>
        </w:rPr>
        <w:t> </w:t>
      </w:r>
      <w:r w:rsidR="00B83C93" w:rsidRPr="008B4DA2">
        <w:rPr>
          <w:rStyle w:val="normaltextrun"/>
          <w:noProof/>
        </w:rPr>
        <w:t>raz</w:t>
      </w:r>
      <w:r w:rsidRPr="008B4DA2">
        <w:rPr>
          <w:rStyle w:val="normaltextrun"/>
          <w:noProof/>
        </w:rPr>
        <w:t>ie potrzeby aktów wykonawczych.</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8B4DA2">
        <w:rPr>
          <w:noProof/>
        </w:rPr>
        <w:t xml:space="preserve">Art. 23 dodaje </w:t>
      </w:r>
      <w:r w:rsidRPr="00B83C93">
        <w:rPr>
          <w:noProof/>
        </w:rPr>
        <w:t>lit.</w:t>
      </w:r>
      <w:r w:rsidR="00B83C93" w:rsidRPr="00B83C93">
        <w:rPr>
          <w:noProof/>
        </w:rPr>
        <w:t> </w:t>
      </w:r>
      <w:r w:rsidRPr="00B83C93">
        <w:rPr>
          <w:noProof/>
        </w:rPr>
        <w:t>c)</w:t>
      </w:r>
      <w:r w:rsidRPr="008B4DA2">
        <w:rPr>
          <w:noProof/>
        </w:rPr>
        <w:t xml:space="preserve"> do </w:t>
      </w:r>
      <w:r w:rsidRPr="00B83C93">
        <w:rPr>
          <w:noProof/>
        </w:rPr>
        <w:t>art.</w:t>
      </w:r>
      <w:r w:rsidR="00B83C93" w:rsidRPr="00B83C93">
        <w:rPr>
          <w:noProof/>
        </w:rPr>
        <w:t> </w:t>
      </w:r>
      <w:r w:rsidRPr="00B83C93">
        <w:rPr>
          <w:noProof/>
        </w:rPr>
        <w:t>5</w:t>
      </w:r>
      <w:r w:rsidRPr="008B4DA2">
        <w:rPr>
          <w:noProof/>
        </w:rPr>
        <w:t xml:space="preserve"> </w:t>
      </w:r>
      <w:r w:rsidRPr="00B83C93">
        <w:rPr>
          <w:noProof/>
        </w:rPr>
        <w:t>ust.</w:t>
      </w:r>
      <w:r w:rsidR="00B83C93" w:rsidRPr="00B83C93">
        <w:rPr>
          <w:noProof/>
        </w:rPr>
        <w:t> </w:t>
      </w:r>
      <w:r w:rsidRPr="00B83C93">
        <w:rPr>
          <w:noProof/>
        </w:rPr>
        <w:t>2</w:t>
      </w:r>
      <w:r w:rsidRPr="008B4DA2">
        <w:rPr>
          <w:noProof/>
        </w:rPr>
        <w:t xml:space="preserve"> dyrektywy (UE) 2022/2561, aby umożliwić jazdę</w:t>
      </w:r>
      <w:r w:rsidR="00B83C93" w:rsidRPr="008B4DA2">
        <w:rPr>
          <w:noProof/>
        </w:rPr>
        <w:t xml:space="preserve"> w</w:t>
      </w:r>
      <w:r w:rsidR="00B83C93">
        <w:rPr>
          <w:noProof/>
        </w:rPr>
        <w:t> </w:t>
      </w:r>
      <w:r w:rsidR="00B83C93" w:rsidRPr="008B4DA2">
        <w:rPr>
          <w:noProof/>
        </w:rPr>
        <w:t>tow</w:t>
      </w:r>
      <w:r w:rsidRPr="008B4DA2">
        <w:rPr>
          <w:noProof/>
        </w:rPr>
        <w:t>arzystwie innego kierowcy kierowcom posiadającym prawo jazdy kategorii C, którzy ukończyli 17 lat.</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8B4DA2">
        <w:rPr>
          <w:noProof/>
        </w:rPr>
        <w:t>Art. 24 zmienia załącznik II do rozporządzenia Parlamentu Europejskiego</w:t>
      </w:r>
      <w:r w:rsidR="00B83C93" w:rsidRPr="008B4DA2">
        <w:rPr>
          <w:noProof/>
        </w:rPr>
        <w:t xml:space="preserve"> i</w:t>
      </w:r>
      <w:r w:rsidR="00B83C93">
        <w:rPr>
          <w:noProof/>
        </w:rPr>
        <w:t> </w:t>
      </w:r>
      <w:r w:rsidR="00B83C93" w:rsidRPr="008B4DA2">
        <w:rPr>
          <w:noProof/>
        </w:rPr>
        <w:t>Rad</w:t>
      </w:r>
      <w:r w:rsidRPr="008B4DA2">
        <w:rPr>
          <w:noProof/>
        </w:rPr>
        <w:t>y (UE) 2018/1724</w:t>
      </w:r>
      <w:r w:rsidRPr="008B4DA2">
        <w:rPr>
          <w:rStyle w:val="FootnoteReference"/>
          <w:noProof/>
        </w:rPr>
        <w:footnoteReference w:id="49"/>
      </w:r>
      <w:r w:rsidRPr="008B4DA2">
        <w:rPr>
          <w:noProof/>
        </w:rPr>
        <w:t>.</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8B4DA2">
        <w:rPr>
          <w:noProof/>
        </w:rPr>
        <w:t>Art. 25 zawiera przepis dotyczący transpozycji, uwzględniając</w:t>
      </w:r>
      <w:r w:rsidR="00B83C93" w:rsidRPr="008B4DA2">
        <w:rPr>
          <w:noProof/>
        </w:rPr>
        <w:t xml:space="preserve"> w</w:t>
      </w:r>
      <w:r w:rsidR="00B83C93">
        <w:rPr>
          <w:noProof/>
        </w:rPr>
        <w:t> </w:t>
      </w:r>
      <w:r w:rsidR="00B83C93" w:rsidRPr="008B4DA2">
        <w:rPr>
          <w:noProof/>
        </w:rPr>
        <w:t>szc</w:t>
      </w:r>
      <w:r w:rsidRPr="008B4DA2">
        <w:rPr>
          <w:noProof/>
        </w:rPr>
        <w:t>zególności wspólną deklarację polityczną</w:t>
      </w:r>
      <w:r w:rsidR="00B83C93" w:rsidRPr="008B4DA2">
        <w:rPr>
          <w:noProof/>
        </w:rPr>
        <w:t xml:space="preserve"> z</w:t>
      </w:r>
      <w:r w:rsidR="00B83C93">
        <w:rPr>
          <w:noProof/>
        </w:rPr>
        <w:t> </w:t>
      </w:r>
      <w:r w:rsidR="00B83C93" w:rsidRPr="008B4DA2">
        <w:rPr>
          <w:noProof/>
        </w:rPr>
        <w:t>dni</w:t>
      </w:r>
      <w:r w:rsidRPr="008B4DA2">
        <w:rPr>
          <w:noProof/>
        </w:rPr>
        <w:t>a 28 września 20</w:t>
      </w:r>
      <w:r w:rsidRPr="00B83C93">
        <w:rPr>
          <w:noProof/>
        </w:rPr>
        <w:t>11</w:t>
      </w:r>
      <w:r w:rsidR="00B83C93" w:rsidRPr="00B83C93">
        <w:rPr>
          <w:noProof/>
        </w:rPr>
        <w:t> </w:t>
      </w:r>
      <w:r w:rsidRPr="00B83C93">
        <w:rPr>
          <w:noProof/>
        </w:rPr>
        <w:t>r.</w:t>
      </w:r>
      <w:r w:rsidRPr="008B4DA2">
        <w:rPr>
          <w:noProof/>
        </w:rPr>
        <w:t xml:space="preserve"> państw członkowskich</w:t>
      </w:r>
      <w:r w:rsidR="00B83C93" w:rsidRPr="008B4DA2">
        <w:rPr>
          <w:noProof/>
        </w:rPr>
        <w:t xml:space="preserve"> i</w:t>
      </w:r>
      <w:r w:rsidR="00B83C93">
        <w:rPr>
          <w:noProof/>
        </w:rPr>
        <w:t> </w:t>
      </w:r>
      <w:r w:rsidR="00B83C93" w:rsidRPr="008B4DA2">
        <w:rPr>
          <w:noProof/>
        </w:rPr>
        <w:t>Kom</w:t>
      </w:r>
      <w:r w:rsidRPr="008B4DA2">
        <w:rPr>
          <w:noProof/>
        </w:rPr>
        <w:t>isji dotyczącą dokumentów wyjaśniających</w:t>
      </w:r>
      <w:r w:rsidRPr="008B4DA2">
        <w:rPr>
          <w:rStyle w:val="FootnoteReference"/>
          <w:noProof/>
        </w:rPr>
        <w:footnoteReference w:id="50"/>
      </w:r>
      <w:r w:rsidRPr="008B4DA2">
        <w:rPr>
          <w:noProof/>
        </w:rPr>
        <w:t>.</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8B4DA2">
        <w:rPr>
          <w:noProof/>
        </w:rPr>
        <w:t>Art. 26 zawiera standardowy przepis określający warunki uchylenia dyrektywy 2006/126/WE.</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8B4DA2">
        <w:rPr>
          <w:noProof/>
        </w:rPr>
        <w:t>Art. 27 zawiera standardowy przepis określający wejście przedmiotowej dyrektywy</w:t>
      </w:r>
      <w:r w:rsidR="00B83C93" w:rsidRPr="008B4DA2">
        <w:rPr>
          <w:noProof/>
        </w:rPr>
        <w:t xml:space="preserve"> w</w:t>
      </w:r>
      <w:r w:rsidR="00B83C93">
        <w:rPr>
          <w:noProof/>
        </w:rPr>
        <w:t> </w:t>
      </w:r>
      <w:r w:rsidR="00B83C93" w:rsidRPr="008B4DA2">
        <w:rPr>
          <w:noProof/>
        </w:rPr>
        <w:t>życ</w:t>
      </w:r>
      <w:r w:rsidRPr="008B4DA2">
        <w:rPr>
          <w:noProof/>
        </w:rPr>
        <w:t>ie.</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rStyle w:val="eop"/>
          <w:noProof/>
        </w:rPr>
      </w:pPr>
      <w:r w:rsidRPr="008B4DA2">
        <w:rPr>
          <w:noProof/>
        </w:rPr>
        <w:t>Art. 28 zawiera standardowy przepis określający, że dyrektywa skierowana jest do państw członkowskich.</w:t>
      </w:r>
      <w:r w:rsidRPr="008B4DA2">
        <w:rPr>
          <w:rStyle w:val="eop"/>
          <w:noProof/>
        </w:rPr>
        <w:t xml:space="preserve"> </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noProof/>
        </w:rPr>
      </w:pPr>
      <w:r w:rsidRPr="008B4DA2">
        <w:rPr>
          <w:rStyle w:val="eop"/>
          <w:noProof/>
        </w:rPr>
        <w:t xml:space="preserve">Załącznik I </w:t>
      </w:r>
      <w:r w:rsidRPr="008B4DA2">
        <w:rPr>
          <w:rStyle w:val="normaltextrun"/>
          <w:noProof/>
        </w:rPr>
        <w:t>odpowiada dawnemu załącznikowi I do dyrektywy 2006/126/WE.</w:t>
      </w:r>
      <w:r w:rsidRPr="008B4DA2">
        <w:rPr>
          <w:noProof/>
        </w:rPr>
        <w:t xml:space="preserve"> Zaktualizowano go</w:t>
      </w:r>
      <w:r w:rsidR="00B83C93" w:rsidRPr="008B4DA2">
        <w:rPr>
          <w:noProof/>
        </w:rPr>
        <w:t xml:space="preserve"> z</w:t>
      </w:r>
      <w:r w:rsidR="00B83C93">
        <w:rPr>
          <w:noProof/>
        </w:rPr>
        <w:t> </w:t>
      </w:r>
      <w:r w:rsidR="00B83C93" w:rsidRPr="008B4DA2">
        <w:rPr>
          <w:noProof/>
        </w:rPr>
        <w:t>uwz</w:t>
      </w:r>
      <w:r w:rsidRPr="008B4DA2">
        <w:rPr>
          <w:noProof/>
        </w:rPr>
        <w:t>ględnieniem wymogów wprowadzonych rozporządzeniem Komisji (UE) nr 383/2012</w:t>
      </w:r>
      <w:r w:rsidR="00B83C93" w:rsidRPr="008B4DA2">
        <w:rPr>
          <w:noProof/>
        </w:rPr>
        <w:t xml:space="preserve"> z</w:t>
      </w:r>
      <w:r w:rsidR="00B83C93">
        <w:rPr>
          <w:noProof/>
        </w:rPr>
        <w:t> </w:t>
      </w:r>
      <w:r w:rsidR="00B83C93" w:rsidRPr="008B4DA2">
        <w:rPr>
          <w:noProof/>
        </w:rPr>
        <w:t>dni</w:t>
      </w:r>
      <w:r w:rsidRPr="008B4DA2">
        <w:rPr>
          <w:noProof/>
        </w:rPr>
        <w:t>a 4 maja 20</w:t>
      </w:r>
      <w:r w:rsidRPr="00B83C93">
        <w:rPr>
          <w:noProof/>
        </w:rPr>
        <w:t>12</w:t>
      </w:r>
      <w:r w:rsidR="00B83C93" w:rsidRPr="00B83C93">
        <w:rPr>
          <w:noProof/>
        </w:rPr>
        <w:t> </w:t>
      </w:r>
      <w:r w:rsidRPr="00B83C93">
        <w:rPr>
          <w:noProof/>
        </w:rPr>
        <w:t>r.</w:t>
      </w:r>
      <w:r w:rsidRPr="008B4DA2">
        <w:rPr>
          <w:noProof/>
        </w:rPr>
        <w:t xml:space="preserve"> określającym wymagania techniczne wobec praw jazdy zawierających elektroniczny nośnik informacji (mikroprocesor)</w:t>
      </w:r>
      <w:r w:rsidRPr="008B4DA2">
        <w:rPr>
          <w:rStyle w:val="FootnoteReference"/>
          <w:noProof/>
        </w:rPr>
        <w:footnoteReference w:id="51"/>
      </w:r>
      <w:r w:rsidRPr="008B4DA2">
        <w:rPr>
          <w:noProof/>
        </w:rPr>
        <w:t xml:space="preserve"> (część B), specyfikacji technicznych mobilnych praw jazdy (część C) oraz wprowadzenia nowych kodów unijnych, które obecnie wyszczególniono</w:t>
      </w:r>
      <w:r w:rsidR="00B83C93" w:rsidRPr="008B4DA2">
        <w:rPr>
          <w:noProof/>
        </w:rPr>
        <w:t xml:space="preserve"> w</w:t>
      </w:r>
      <w:r w:rsidR="00B83C93">
        <w:rPr>
          <w:noProof/>
        </w:rPr>
        <w:t> </w:t>
      </w:r>
      <w:r w:rsidR="00B83C93" w:rsidRPr="008B4DA2">
        <w:rPr>
          <w:noProof/>
        </w:rPr>
        <w:t>czę</w:t>
      </w:r>
      <w:r w:rsidRPr="008B4DA2">
        <w:rPr>
          <w:noProof/>
        </w:rPr>
        <w:t>ści E.</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8B4DA2">
        <w:rPr>
          <w:rStyle w:val="eop"/>
          <w:noProof/>
        </w:rPr>
        <w:t xml:space="preserve">Załącznik II </w:t>
      </w:r>
      <w:r w:rsidRPr="008B4DA2">
        <w:rPr>
          <w:rStyle w:val="normaltextrun"/>
          <w:noProof/>
        </w:rPr>
        <w:t>odpowiada dawnemu załącznikowi II do dyrektywy 2006/126/WE.</w:t>
      </w:r>
      <w:r w:rsidRPr="008B4DA2">
        <w:rPr>
          <w:noProof/>
        </w:rPr>
        <w:t xml:space="preserve"> Zaktualizowano go</w:t>
      </w:r>
      <w:r w:rsidR="00B83C93" w:rsidRPr="008B4DA2">
        <w:rPr>
          <w:noProof/>
        </w:rPr>
        <w:t xml:space="preserve"> w</w:t>
      </w:r>
      <w:r w:rsidR="00B83C93">
        <w:rPr>
          <w:noProof/>
        </w:rPr>
        <w:t> </w:t>
      </w:r>
      <w:r w:rsidR="00B83C93" w:rsidRPr="008B4DA2">
        <w:rPr>
          <w:noProof/>
        </w:rPr>
        <w:t>cel</w:t>
      </w:r>
      <w:r w:rsidRPr="008B4DA2">
        <w:rPr>
          <w:noProof/>
        </w:rPr>
        <w:t xml:space="preserve">u uwzględnienia: </w:t>
      </w:r>
    </w:p>
    <w:p w:rsidR="00BD67F9" w:rsidRPr="008B4DA2" w:rsidRDefault="00BD67F9" w:rsidP="001404F6">
      <w:pPr>
        <w:pStyle w:val="paragraph"/>
        <w:numPr>
          <w:ilvl w:val="1"/>
          <w:numId w:val="17"/>
        </w:numPr>
        <w:shd w:val="clear" w:color="auto" w:fill="FFFFFF" w:themeFill="background1"/>
        <w:spacing w:before="120" w:beforeAutospacing="0" w:after="120" w:afterAutospacing="0"/>
        <w:textAlignment w:val="baseline"/>
        <w:rPr>
          <w:noProof/>
        </w:rPr>
      </w:pPr>
      <w:r w:rsidRPr="008B4DA2">
        <w:rPr>
          <w:noProof/>
        </w:rPr>
        <w:t>potrzeby zdawania przez nowych kandydatów na kierowców egzaminu dotyczącego dostrzegania zagrożeń;</w:t>
      </w:r>
    </w:p>
    <w:p w:rsidR="00BD67F9" w:rsidRPr="008B4DA2" w:rsidRDefault="00BD67F9" w:rsidP="001404F6">
      <w:pPr>
        <w:pStyle w:val="paragraph"/>
        <w:numPr>
          <w:ilvl w:val="1"/>
          <w:numId w:val="17"/>
        </w:numPr>
        <w:shd w:val="clear" w:color="auto" w:fill="FFFFFF" w:themeFill="background1"/>
        <w:spacing w:before="120" w:beforeAutospacing="0" w:after="120" w:afterAutospacing="0"/>
        <w:textAlignment w:val="baseline"/>
        <w:rPr>
          <w:noProof/>
        </w:rPr>
      </w:pPr>
      <w:r w:rsidRPr="008B4DA2">
        <w:rPr>
          <w:noProof/>
        </w:rPr>
        <w:t>wymogu dotyczącego oceny wiedzy na temat czynników ryzyka związanych ze środkami mikromobilności, bezpieczeństwa pojazdów napędzanych paliwem alternatywnym, umiejętności związanych</w:t>
      </w:r>
      <w:r w:rsidR="00B83C93" w:rsidRPr="008B4DA2">
        <w:rPr>
          <w:noProof/>
        </w:rPr>
        <w:t xml:space="preserve"> z</w:t>
      </w:r>
      <w:r w:rsidR="00B83C93">
        <w:rPr>
          <w:noProof/>
        </w:rPr>
        <w:t> </w:t>
      </w:r>
      <w:r w:rsidR="00B83C93" w:rsidRPr="008B4DA2">
        <w:rPr>
          <w:noProof/>
        </w:rPr>
        <w:t>zaa</w:t>
      </w:r>
      <w:r w:rsidRPr="008B4DA2">
        <w:rPr>
          <w:noProof/>
        </w:rPr>
        <w:t>wansowanymi systemami wspomagania jazdy</w:t>
      </w:r>
      <w:r w:rsidR="00B83C93" w:rsidRPr="008B4DA2">
        <w:rPr>
          <w:noProof/>
        </w:rPr>
        <w:t xml:space="preserve"> i</w:t>
      </w:r>
      <w:r w:rsidR="00B83C93">
        <w:rPr>
          <w:noProof/>
        </w:rPr>
        <w:t> </w:t>
      </w:r>
      <w:r w:rsidR="00B83C93" w:rsidRPr="008B4DA2">
        <w:rPr>
          <w:noProof/>
        </w:rPr>
        <w:t>inn</w:t>
      </w:r>
      <w:r w:rsidRPr="008B4DA2">
        <w:rPr>
          <w:noProof/>
        </w:rPr>
        <w:t>ymi aspektami automatyzacji pojazdu;</w:t>
      </w:r>
    </w:p>
    <w:p w:rsidR="00BD67F9" w:rsidRPr="008B4DA2" w:rsidRDefault="00BD67F9" w:rsidP="001404F6">
      <w:pPr>
        <w:pStyle w:val="paragraph"/>
        <w:numPr>
          <w:ilvl w:val="1"/>
          <w:numId w:val="17"/>
        </w:numPr>
        <w:shd w:val="clear" w:color="auto" w:fill="FFFFFF" w:themeFill="background1"/>
        <w:spacing w:before="120" w:beforeAutospacing="0" w:after="120" w:afterAutospacing="0"/>
        <w:textAlignment w:val="baseline"/>
        <w:rPr>
          <w:noProof/>
        </w:rPr>
      </w:pPr>
      <w:r w:rsidRPr="008B4DA2">
        <w:rPr>
          <w:noProof/>
        </w:rPr>
        <w:t>złagodzenia wymagań wobec kierowców, którzy zdali egzamin na prawo jazdy</w:t>
      </w:r>
      <w:r w:rsidR="00B83C93" w:rsidRPr="008B4DA2">
        <w:rPr>
          <w:noProof/>
        </w:rPr>
        <w:t xml:space="preserve"> w</w:t>
      </w:r>
      <w:r w:rsidR="00B83C93">
        <w:rPr>
          <w:noProof/>
        </w:rPr>
        <w:t> </w:t>
      </w:r>
      <w:r w:rsidR="00B83C93" w:rsidRPr="008B4DA2">
        <w:rPr>
          <w:noProof/>
        </w:rPr>
        <w:t>poj</w:t>
      </w:r>
      <w:r w:rsidRPr="008B4DA2">
        <w:rPr>
          <w:noProof/>
        </w:rPr>
        <w:t>eździe</w:t>
      </w:r>
      <w:r w:rsidR="00B83C93" w:rsidRPr="008B4DA2">
        <w:rPr>
          <w:noProof/>
        </w:rPr>
        <w:t xml:space="preserve"> z</w:t>
      </w:r>
      <w:r w:rsidR="00B83C93">
        <w:rPr>
          <w:noProof/>
        </w:rPr>
        <w:t> </w:t>
      </w:r>
      <w:r w:rsidR="00B83C93" w:rsidRPr="008B4DA2">
        <w:rPr>
          <w:noProof/>
        </w:rPr>
        <w:t>aut</w:t>
      </w:r>
      <w:r w:rsidRPr="008B4DA2">
        <w:rPr>
          <w:noProof/>
        </w:rPr>
        <w:t>omatyczną skrzynią biegów, gdy ubiegają się</w:t>
      </w:r>
      <w:r w:rsidR="00B83C93" w:rsidRPr="008B4DA2">
        <w:rPr>
          <w:noProof/>
        </w:rPr>
        <w:t xml:space="preserve"> o</w:t>
      </w:r>
      <w:r w:rsidR="00B83C93">
        <w:rPr>
          <w:noProof/>
        </w:rPr>
        <w:t> </w:t>
      </w:r>
      <w:r w:rsidR="00B83C93" w:rsidRPr="008B4DA2">
        <w:rPr>
          <w:noProof/>
        </w:rPr>
        <w:t>zni</w:t>
      </w:r>
      <w:r w:rsidRPr="008B4DA2">
        <w:rPr>
          <w:noProof/>
        </w:rPr>
        <w:t>esienie związanego</w:t>
      </w:r>
      <w:r w:rsidR="00B83C93" w:rsidRPr="008B4DA2">
        <w:rPr>
          <w:noProof/>
        </w:rPr>
        <w:t xml:space="preserve"> z</w:t>
      </w:r>
      <w:r w:rsidR="00B83C93">
        <w:rPr>
          <w:noProof/>
        </w:rPr>
        <w:t> </w:t>
      </w:r>
      <w:r w:rsidR="00B83C93" w:rsidRPr="008B4DA2">
        <w:rPr>
          <w:noProof/>
        </w:rPr>
        <w:t>tym</w:t>
      </w:r>
      <w:r w:rsidRPr="008B4DA2">
        <w:rPr>
          <w:noProof/>
        </w:rPr>
        <w:t xml:space="preserve"> ograniczenia odnotowanego</w:t>
      </w:r>
      <w:r w:rsidR="00B83C93" w:rsidRPr="008B4DA2">
        <w:rPr>
          <w:noProof/>
        </w:rPr>
        <w:t xml:space="preserve"> w</w:t>
      </w:r>
      <w:r w:rsidR="00B83C93">
        <w:rPr>
          <w:noProof/>
        </w:rPr>
        <w:t> </w:t>
      </w:r>
      <w:r w:rsidR="00B83C93" w:rsidRPr="008B4DA2">
        <w:rPr>
          <w:noProof/>
        </w:rPr>
        <w:t>pra</w:t>
      </w:r>
      <w:r w:rsidRPr="008B4DA2">
        <w:rPr>
          <w:noProof/>
        </w:rPr>
        <w:t>wie jazdy.</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8B4DA2">
        <w:rPr>
          <w:rStyle w:val="eop"/>
          <w:noProof/>
        </w:rPr>
        <w:t xml:space="preserve">Załącznik III </w:t>
      </w:r>
      <w:r w:rsidRPr="008B4DA2">
        <w:rPr>
          <w:rStyle w:val="normaltextrun"/>
          <w:noProof/>
        </w:rPr>
        <w:t>odpowiada dawnemu załącznikowi III do dyrektywy 2006/126/WE.</w:t>
      </w:r>
      <w:r w:rsidRPr="008B4DA2">
        <w:rPr>
          <w:noProof/>
        </w:rPr>
        <w:t xml:space="preserve"> Zaktualizowano go poprzez:</w:t>
      </w:r>
    </w:p>
    <w:p w:rsidR="00BD67F9" w:rsidRPr="008B4DA2" w:rsidRDefault="00BD67F9" w:rsidP="001404F6">
      <w:pPr>
        <w:pStyle w:val="paragraph"/>
        <w:numPr>
          <w:ilvl w:val="1"/>
          <w:numId w:val="17"/>
        </w:numPr>
        <w:shd w:val="clear" w:color="auto" w:fill="FFFFFF" w:themeFill="background1"/>
        <w:spacing w:before="120" w:beforeAutospacing="0" w:after="120" w:afterAutospacing="0"/>
        <w:textAlignment w:val="baseline"/>
        <w:rPr>
          <w:noProof/>
        </w:rPr>
      </w:pPr>
      <w:r w:rsidRPr="008B4DA2">
        <w:rPr>
          <w:noProof/>
        </w:rPr>
        <w:t>wprowadzenie obowiązkowego badania przesiewowego</w:t>
      </w:r>
      <w:r w:rsidR="00B83C93" w:rsidRPr="008B4DA2">
        <w:rPr>
          <w:noProof/>
        </w:rPr>
        <w:t xml:space="preserve"> w</w:t>
      </w:r>
      <w:r w:rsidR="00B83C93">
        <w:rPr>
          <w:noProof/>
        </w:rPr>
        <w:t> </w:t>
      </w:r>
      <w:r w:rsidR="00B83C93" w:rsidRPr="008B4DA2">
        <w:rPr>
          <w:noProof/>
        </w:rPr>
        <w:t>for</w:t>
      </w:r>
      <w:r w:rsidRPr="008B4DA2">
        <w:rPr>
          <w:noProof/>
        </w:rPr>
        <w:t>mie samooceny dla kierowców</w:t>
      </w:r>
      <w:r w:rsidR="00B83C93" w:rsidRPr="008B4DA2">
        <w:rPr>
          <w:noProof/>
        </w:rPr>
        <w:t xml:space="preserve"> z</w:t>
      </w:r>
      <w:r w:rsidR="00B83C93">
        <w:rPr>
          <w:noProof/>
        </w:rPr>
        <w:t> </w:t>
      </w:r>
      <w:r w:rsidR="00B83C93" w:rsidRPr="008B4DA2">
        <w:rPr>
          <w:noProof/>
        </w:rPr>
        <w:t>gru</w:t>
      </w:r>
      <w:r w:rsidRPr="008B4DA2">
        <w:rPr>
          <w:noProof/>
        </w:rPr>
        <w:t>py 1;</w:t>
      </w:r>
    </w:p>
    <w:p w:rsidR="00BD67F9" w:rsidRPr="008B4DA2" w:rsidRDefault="00BD67F9" w:rsidP="001404F6">
      <w:pPr>
        <w:pStyle w:val="paragraph"/>
        <w:numPr>
          <w:ilvl w:val="1"/>
          <w:numId w:val="17"/>
        </w:numPr>
        <w:shd w:val="clear" w:color="auto" w:fill="FFFFFF" w:themeFill="background1"/>
        <w:spacing w:before="120" w:beforeAutospacing="0" w:after="120" w:afterAutospacing="0"/>
        <w:textAlignment w:val="baseline"/>
        <w:rPr>
          <w:noProof/>
        </w:rPr>
      </w:pPr>
      <w:r w:rsidRPr="008B4DA2">
        <w:rPr>
          <w:noProof/>
        </w:rPr>
        <w:t>zmniejszenie częstotliwości badań wymaganych</w:t>
      </w:r>
      <w:r w:rsidR="00B83C93" w:rsidRPr="008B4DA2">
        <w:rPr>
          <w:noProof/>
        </w:rPr>
        <w:t xml:space="preserve"> w</w:t>
      </w:r>
      <w:r w:rsidR="00B83C93">
        <w:rPr>
          <w:noProof/>
        </w:rPr>
        <w:t> </w:t>
      </w:r>
      <w:r w:rsidR="00B83C93" w:rsidRPr="008B4DA2">
        <w:rPr>
          <w:noProof/>
        </w:rPr>
        <w:t>prz</w:t>
      </w:r>
      <w:r w:rsidRPr="008B4DA2">
        <w:rPr>
          <w:noProof/>
        </w:rPr>
        <w:t>ypadku występowania</w:t>
      </w:r>
      <w:r w:rsidR="00B83C93" w:rsidRPr="008B4DA2">
        <w:rPr>
          <w:noProof/>
        </w:rPr>
        <w:t xml:space="preserve"> u</w:t>
      </w:r>
      <w:r w:rsidR="00B83C93">
        <w:rPr>
          <w:noProof/>
        </w:rPr>
        <w:t> </w:t>
      </w:r>
      <w:r w:rsidR="00B83C93" w:rsidRPr="008B4DA2">
        <w:rPr>
          <w:noProof/>
        </w:rPr>
        <w:t>kie</w:t>
      </w:r>
      <w:r w:rsidRPr="008B4DA2">
        <w:rPr>
          <w:noProof/>
        </w:rPr>
        <w:t>rowcy dolegliwości związanej</w:t>
      </w:r>
      <w:r w:rsidR="00B83C93" w:rsidRPr="008B4DA2">
        <w:rPr>
          <w:noProof/>
        </w:rPr>
        <w:t xml:space="preserve"> z</w:t>
      </w:r>
      <w:r w:rsidR="00B83C93">
        <w:rPr>
          <w:noProof/>
        </w:rPr>
        <w:t> </w:t>
      </w:r>
      <w:r w:rsidR="00B83C93" w:rsidRPr="008B4DA2">
        <w:rPr>
          <w:noProof/>
        </w:rPr>
        <w:t>cuk</w:t>
      </w:r>
      <w:r w:rsidRPr="008B4DA2">
        <w:rPr>
          <w:noProof/>
        </w:rPr>
        <w:t>rzycą;</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8B4DA2">
        <w:rPr>
          <w:noProof/>
        </w:rPr>
        <w:t>W załącznikach IV, V i VI powielono treść odpowiednich załączników do dyrektywy 2006/126/WE bez istotnych zmian.</w:t>
      </w:r>
    </w:p>
    <w:p w:rsidR="00BD67F9" w:rsidRPr="008B4DA2"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8B4DA2">
        <w:rPr>
          <w:noProof/>
        </w:rPr>
        <w:t>Załącznik VIII zawiera standardowe informacje dotyczące uchylenia</w:t>
      </w:r>
      <w:r w:rsidR="00B83C93" w:rsidRPr="008B4DA2">
        <w:rPr>
          <w:noProof/>
        </w:rPr>
        <w:t xml:space="preserve"> i</w:t>
      </w:r>
      <w:r w:rsidR="00B83C93">
        <w:rPr>
          <w:noProof/>
        </w:rPr>
        <w:t> </w:t>
      </w:r>
      <w:r w:rsidR="00B83C93" w:rsidRPr="008B4DA2">
        <w:rPr>
          <w:noProof/>
        </w:rPr>
        <w:t>tra</w:t>
      </w:r>
      <w:r w:rsidRPr="008B4DA2">
        <w:rPr>
          <w:noProof/>
        </w:rPr>
        <w:t xml:space="preserve">nspozycji. </w:t>
      </w:r>
    </w:p>
    <w:p w:rsidR="00BD67F9" w:rsidRPr="008B4DA2" w:rsidRDefault="00BD67F9" w:rsidP="00BD67F9">
      <w:pPr>
        <w:pStyle w:val="paragraph"/>
        <w:shd w:val="clear" w:color="auto" w:fill="FFFFFF" w:themeFill="background1"/>
        <w:spacing w:beforeAutospacing="0" w:afterAutospacing="0"/>
        <w:textAlignment w:val="baseline"/>
        <w:rPr>
          <w:noProof/>
        </w:rPr>
      </w:pPr>
    </w:p>
    <w:p w:rsidR="00BD67F9" w:rsidRPr="008B4DA2" w:rsidRDefault="00BD67F9" w:rsidP="00BD67F9">
      <w:pPr>
        <w:pStyle w:val="paragraph"/>
        <w:shd w:val="clear" w:color="auto" w:fill="FFFFFF" w:themeFill="background1"/>
        <w:spacing w:beforeAutospacing="0" w:afterAutospacing="0"/>
        <w:textAlignment w:val="baseline"/>
        <w:rPr>
          <w:noProof/>
        </w:rPr>
        <w:sectPr w:rsidR="00BD67F9" w:rsidRPr="008B4DA2" w:rsidSect="00D32FD5">
          <w:footerReference w:type="default" r:id="rId14"/>
          <w:footerReference w:type="first" r:id="rId15"/>
          <w:pgSz w:w="11907" w:h="16839"/>
          <w:pgMar w:top="1134" w:right="1417" w:bottom="1134" w:left="1417" w:header="709" w:footer="709" w:gutter="0"/>
          <w:cols w:space="708"/>
          <w:docGrid w:linePitch="360"/>
        </w:sectPr>
      </w:pPr>
    </w:p>
    <w:p w:rsidR="001F0F97" w:rsidRPr="008B4DA2" w:rsidRDefault="0028043E" w:rsidP="0028043E">
      <w:pPr>
        <w:pStyle w:val="Rfrenceinterinstitutionnelle"/>
        <w:rPr>
          <w:noProof/>
        </w:rPr>
      </w:pPr>
      <w:r w:rsidRPr="0028043E">
        <w:t>2023/0053 (COD)</w:t>
      </w:r>
    </w:p>
    <w:p w:rsidR="00BD67F9" w:rsidRPr="008B4DA2" w:rsidRDefault="00B83C93" w:rsidP="00B83C93">
      <w:pPr>
        <w:pStyle w:val="Statut"/>
        <w:rPr>
          <w:noProof/>
        </w:rPr>
      </w:pPr>
      <w:r w:rsidRPr="00B83C93">
        <w:rPr>
          <w:noProof/>
        </w:rPr>
        <w:t>Wniosek</w:t>
      </w:r>
    </w:p>
    <w:p w:rsidR="00BD67F9" w:rsidRPr="008B4DA2" w:rsidRDefault="00B83C93" w:rsidP="00B83C93">
      <w:pPr>
        <w:pStyle w:val="Typedudocument"/>
        <w:rPr>
          <w:noProof/>
        </w:rPr>
      </w:pPr>
      <w:r w:rsidRPr="00B83C93">
        <w:rPr>
          <w:noProof/>
        </w:rPr>
        <w:t>DYREKTYWA PARLAMENTU EUROPEJSKIEGO I RADY</w:t>
      </w:r>
    </w:p>
    <w:p w:rsidR="00BD67F9" w:rsidRPr="008B4DA2" w:rsidRDefault="00B83C93" w:rsidP="00B83C93">
      <w:pPr>
        <w:pStyle w:val="Titreobjet"/>
        <w:rPr>
          <w:noProof/>
        </w:rPr>
      </w:pPr>
      <w:r w:rsidRPr="00B83C93">
        <w:rPr>
          <w:noProof/>
        </w:rPr>
        <w:t xml:space="preserve">w sprawie praw jazdy, zmieniająca dyrektywę Parlamentu Europejskiego i Rady (UE) 2022/2561 i rozporządzenie Parlamentu Europejskiego i Rady (UE) 2018/1724 oraz uchylająca dyrektywę 2006/126/WE Parlamentu Europejskiego i Rady i rozporządzenie Komisji (UE) nr 383/2012 </w:t>
      </w:r>
      <w:r w:rsidRPr="00B83C93">
        <w:rPr>
          <w:noProof/>
        </w:rPr>
        <w:br/>
      </w:r>
    </w:p>
    <w:p w:rsidR="00BD67F9" w:rsidRPr="008B4DA2" w:rsidRDefault="00B83C93" w:rsidP="00B83C93">
      <w:pPr>
        <w:pStyle w:val="IntrtEEE"/>
        <w:rPr>
          <w:noProof/>
        </w:rPr>
      </w:pPr>
      <w:r w:rsidRPr="00B83C93">
        <w:rPr>
          <w:noProof/>
        </w:rPr>
        <w:t>(Tekst mający znaczenie dla EOG)</w:t>
      </w:r>
    </w:p>
    <w:p w:rsidR="00BD67F9" w:rsidRPr="008B4DA2" w:rsidRDefault="00BD67F9" w:rsidP="00BD67F9">
      <w:pPr>
        <w:pStyle w:val="Institutionquiagit"/>
        <w:rPr>
          <w:noProof/>
        </w:rPr>
      </w:pPr>
      <w:r w:rsidRPr="008B4DA2">
        <w:rPr>
          <w:noProof/>
        </w:rPr>
        <w:t>PARLAMENT EUROPEJSKI I RADA UNII EUROPEJSKIEJ,</w:t>
      </w:r>
    </w:p>
    <w:p w:rsidR="00BD67F9" w:rsidRPr="008B4DA2" w:rsidRDefault="00BD67F9" w:rsidP="00BD67F9">
      <w:pPr>
        <w:rPr>
          <w:noProof/>
        </w:rPr>
      </w:pPr>
      <w:r w:rsidRPr="008B4DA2">
        <w:rPr>
          <w:noProof/>
        </w:rPr>
        <w:t>uwzględniając Traktat</w:t>
      </w:r>
      <w:r w:rsidR="00B83C93" w:rsidRPr="008B4DA2">
        <w:rPr>
          <w:noProof/>
        </w:rPr>
        <w:t xml:space="preserve"> o</w:t>
      </w:r>
      <w:r w:rsidR="00B83C93">
        <w:rPr>
          <w:noProof/>
        </w:rPr>
        <w:t> </w:t>
      </w:r>
      <w:r w:rsidR="00B83C93" w:rsidRPr="008B4DA2">
        <w:rPr>
          <w:noProof/>
        </w:rPr>
        <w:t>fun</w:t>
      </w:r>
      <w:r w:rsidRPr="008B4DA2">
        <w:rPr>
          <w:noProof/>
        </w:rPr>
        <w:t>kcjonowaniu Unii Europejskiej,</w:t>
      </w:r>
      <w:r w:rsidR="00B83C93" w:rsidRPr="008B4DA2">
        <w:rPr>
          <w:noProof/>
        </w:rPr>
        <w:t xml:space="preserve"> w</w:t>
      </w:r>
      <w:r w:rsidR="00B83C93">
        <w:rPr>
          <w:noProof/>
        </w:rPr>
        <w:t> </w:t>
      </w:r>
      <w:r w:rsidR="00B83C93" w:rsidRPr="008B4DA2">
        <w:rPr>
          <w:noProof/>
        </w:rPr>
        <w:t>szc</w:t>
      </w:r>
      <w:r w:rsidRPr="008B4DA2">
        <w:rPr>
          <w:noProof/>
        </w:rPr>
        <w:t xml:space="preserve">zególności jego </w:t>
      </w:r>
      <w:r w:rsidRPr="00B83C93">
        <w:rPr>
          <w:noProof/>
        </w:rPr>
        <w:t>art.</w:t>
      </w:r>
      <w:r w:rsidR="00B83C93" w:rsidRPr="00B83C93">
        <w:rPr>
          <w:noProof/>
        </w:rPr>
        <w:t> </w:t>
      </w:r>
      <w:r w:rsidRPr="00B83C93">
        <w:rPr>
          <w:noProof/>
        </w:rPr>
        <w:t>9</w:t>
      </w:r>
      <w:r w:rsidRPr="008B4DA2">
        <w:rPr>
          <w:noProof/>
        </w:rPr>
        <w:t>1 ust.</w:t>
      </w:r>
      <w:r w:rsidR="005807BB">
        <w:rPr>
          <w:noProof/>
        </w:rPr>
        <w:t> </w:t>
      </w:r>
      <w:r w:rsidRPr="008B4DA2">
        <w:rPr>
          <w:noProof/>
        </w:rPr>
        <w:t>1,</w:t>
      </w:r>
    </w:p>
    <w:p w:rsidR="00BD67F9" w:rsidRPr="008B4DA2" w:rsidRDefault="00BD67F9" w:rsidP="00BD67F9">
      <w:pPr>
        <w:rPr>
          <w:noProof/>
        </w:rPr>
      </w:pPr>
      <w:r w:rsidRPr="008B4DA2">
        <w:rPr>
          <w:noProof/>
        </w:rPr>
        <w:t>uwzględniając wniosek Komisji Europejskiej,</w:t>
      </w:r>
    </w:p>
    <w:p w:rsidR="00BD67F9" w:rsidRPr="008B4DA2" w:rsidRDefault="00BD67F9" w:rsidP="00BD67F9">
      <w:pPr>
        <w:rPr>
          <w:noProof/>
        </w:rPr>
      </w:pPr>
      <w:r w:rsidRPr="008B4DA2">
        <w:rPr>
          <w:noProof/>
        </w:rPr>
        <w:t>po przekazaniu projektu aktu ustawodawczego parlamentom narodowym,</w:t>
      </w:r>
    </w:p>
    <w:p w:rsidR="00BD67F9" w:rsidRPr="008B4DA2" w:rsidRDefault="00BD67F9" w:rsidP="00BD67F9">
      <w:pPr>
        <w:rPr>
          <w:noProof/>
        </w:rPr>
      </w:pPr>
      <w:r w:rsidRPr="008B4DA2">
        <w:rPr>
          <w:noProof/>
        </w:rPr>
        <w:t>uwzględniając opinię Europejskiego Komitetu Ekonomiczno-Społecznego</w:t>
      </w:r>
      <w:r w:rsidRPr="008B4DA2">
        <w:rPr>
          <w:rStyle w:val="FootnoteReference"/>
          <w:noProof/>
        </w:rPr>
        <w:footnoteReference w:id="52"/>
      </w:r>
      <w:r w:rsidRPr="008B4DA2">
        <w:rPr>
          <w:noProof/>
        </w:rPr>
        <w:t>,</w:t>
      </w:r>
    </w:p>
    <w:p w:rsidR="00BD67F9" w:rsidRPr="008B4DA2" w:rsidRDefault="00BD67F9" w:rsidP="00BD67F9">
      <w:pPr>
        <w:rPr>
          <w:noProof/>
        </w:rPr>
      </w:pPr>
      <w:r w:rsidRPr="008B4DA2">
        <w:rPr>
          <w:noProof/>
        </w:rPr>
        <w:t>uwzględniając opinię Komitetu Regionów</w:t>
      </w:r>
      <w:r w:rsidRPr="008B4DA2">
        <w:rPr>
          <w:rStyle w:val="FootnoteReference"/>
          <w:noProof/>
        </w:rPr>
        <w:footnoteReference w:id="53"/>
      </w:r>
      <w:r w:rsidRPr="008B4DA2">
        <w:rPr>
          <w:noProof/>
        </w:rPr>
        <w:t>,</w:t>
      </w:r>
    </w:p>
    <w:p w:rsidR="00BD67F9" w:rsidRPr="008B4DA2" w:rsidRDefault="00BD67F9" w:rsidP="00BD67F9">
      <w:pPr>
        <w:rPr>
          <w:noProof/>
        </w:rPr>
      </w:pPr>
      <w:r w:rsidRPr="008B4DA2">
        <w:rPr>
          <w:noProof/>
        </w:rPr>
        <w:t>stanowiąc zgodnie ze zwykłą procedurą ustawodawczą,</w:t>
      </w:r>
    </w:p>
    <w:p w:rsidR="00BD67F9" w:rsidRPr="008B4DA2" w:rsidRDefault="00BD67F9" w:rsidP="00BD67F9">
      <w:pPr>
        <w:rPr>
          <w:noProof/>
        </w:rPr>
      </w:pPr>
      <w:r w:rsidRPr="008B4DA2">
        <w:rPr>
          <w:noProof/>
        </w:rPr>
        <w:t>a także mając na uwadze, co następuje:</w:t>
      </w:r>
    </w:p>
    <w:p w:rsidR="00BD67F9" w:rsidRPr="008B4DA2" w:rsidRDefault="00DF60AC" w:rsidP="00DF60AC">
      <w:pPr>
        <w:pStyle w:val="ManualConsidrant"/>
        <w:rPr>
          <w:noProof/>
        </w:rPr>
      </w:pPr>
      <w:r w:rsidRPr="008B4DA2">
        <w:rPr>
          <w:noProof/>
        </w:rPr>
        <w:t>(1)</w:t>
      </w:r>
      <w:r w:rsidRPr="008B4DA2">
        <w:rPr>
          <w:noProof/>
        </w:rPr>
        <w:tab/>
        <w:t>Zasady dotyczące praw jazdy stanowią zasadnicze elementy wspólnej polityki transportowej, przyczyniają się do poprawy bezpieczeństwa ruchu drogowego</w:t>
      </w:r>
      <w:r w:rsidR="00B83C93" w:rsidRPr="008B4DA2">
        <w:rPr>
          <w:noProof/>
        </w:rPr>
        <w:t xml:space="preserve"> i</w:t>
      </w:r>
      <w:r w:rsidR="00B83C93">
        <w:rPr>
          <w:noProof/>
        </w:rPr>
        <w:t> </w:t>
      </w:r>
      <w:r w:rsidR="00B83C93" w:rsidRPr="008B4DA2">
        <w:rPr>
          <w:noProof/>
        </w:rPr>
        <w:t>usp</w:t>
      </w:r>
      <w:r w:rsidRPr="008B4DA2">
        <w:rPr>
          <w:noProof/>
        </w:rPr>
        <w:t>rawniają swobodny przepływ osób osiedlających się</w:t>
      </w:r>
      <w:r w:rsidR="00B83C93" w:rsidRPr="008B4DA2">
        <w:rPr>
          <w:noProof/>
        </w:rPr>
        <w:t xml:space="preserve"> w</w:t>
      </w:r>
      <w:r w:rsidR="00B83C93">
        <w:rPr>
          <w:noProof/>
        </w:rPr>
        <w:t> </w:t>
      </w:r>
      <w:r w:rsidR="00B83C93" w:rsidRPr="008B4DA2">
        <w:rPr>
          <w:noProof/>
        </w:rPr>
        <w:t>pań</w:t>
      </w:r>
      <w:r w:rsidRPr="008B4DA2">
        <w:rPr>
          <w:noProof/>
        </w:rPr>
        <w:t>stwie członkowskim innym niż państwo członkowskie,</w:t>
      </w:r>
      <w:r w:rsidR="00B83C93" w:rsidRPr="008B4DA2">
        <w:rPr>
          <w:noProof/>
        </w:rPr>
        <w:t xml:space="preserve"> w</w:t>
      </w:r>
      <w:r w:rsidR="00B83C93">
        <w:rPr>
          <w:noProof/>
        </w:rPr>
        <w:t> </w:t>
      </w:r>
      <w:r w:rsidR="00B83C93" w:rsidRPr="008B4DA2">
        <w:rPr>
          <w:noProof/>
        </w:rPr>
        <w:t>któ</w:t>
      </w:r>
      <w:r w:rsidRPr="008B4DA2">
        <w:rPr>
          <w:noProof/>
        </w:rPr>
        <w:t>rym wydano prawo jazdy. Wobec znaczenia, jakie osiągnęły indywidualne środki transportu, posiadanie prawa jazdy należycie uznawanego przez przyjmujące państwo członkowskie wspiera</w:t>
      </w:r>
      <w:r w:rsidR="00B83C93" w:rsidRPr="008B4DA2">
        <w:rPr>
          <w:noProof/>
        </w:rPr>
        <w:t xml:space="preserve"> i</w:t>
      </w:r>
      <w:r w:rsidR="00B83C93">
        <w:rPr>
          <w:noProof/>
        </w:rPr>
        <w:t> </w:t>
      </w:r>
      <w:r w:rsidR="00B83C93" w:rsidRPr="008B4DA2">
        <w:rPr>
          <w:noProof/>
        </w:rPr>
        <w:t>uła</w:t>
      </w:r>
      <w:r w:rsidRPr="008B4DA2">
        <w:rPr>
          <w:noProof/>
        </w:rPr>
        <w:t>twia swobodny przepływ osób</w:t>
      </w:r>
      <w:r w:rsidR="00B83C93" w:rsidRPr="008B4DA2">
        <w:rPr>
          <w:noProof/>
        </w:rPr>
        <w:t xml:space="preserve"> i</w:t>
      </w:r>
      <w:r w:rsidR="00B83C93">
        <w:rPr>
          <w:noProof/>
        </w:rPr>
        <w:t> </w:t>
      </w:r>
      <w:r w:rsidR="00B83C93" w:rsidRPr="008B4DA2">
        <w:rPr>
          <w:noProof/>
        </w:rPr>
        <w:t>rea</w:t>
      </w:r>
      <w:r w:rsidRPr="008B4DA2">
        <w:rPr>
          <w:noProof/>
        </w:rPr>
        <w:t>lizację swobody przedsiębiorczości. Podobnie każde bezprawne uzyskanie takiego dokumentu lub uprawnień do kierowania pojazdami lub utrata uzyskanego zgodnie</w:t>
      </w:r>
      <w:r w:rsidR="00B83C93" w:rsidRPr="008B4DA2">
        <w:rPr>
          <w:noProof/>
        </w:rPr>
        <w:t xml:space="preserve"> z</w:t>
      </w:r>
      <w:r w:rsidR="00B83C93">
        <w:rPr>
          <w:noProof/>
        </w:rPr>
        <w:t> </w:t>
      </w:r>
      <w:r w:rsidR="00B83C93" w:rsidRPr="008B4DA2">
        <w:rPr>
          <w:noProof/>
        </w:rPr>
        <w:t>pra</w:t>
      </w:r>
      <w:r w:rsidRPr="008B4DA2">
        <w:rPr>
          <w:noProof/>
        </w:rPr>
        <w:t>wem prawa jazdy</w:t>
      </w:r>
      <w:r w:rsidR="00B83C93" w:rsidRPr="008B4DA2">
        <w:rPr>
          <w:noProof/>
        </w:rPr>
        <w:t xml:space="preserve"> w</w:t>
      </w:r>
      <w:r w:rsidR="00B83C93">
        <w:rPr>
          <w:noProof/>
        </w:rPr>
        <w:t> </w:t>
      </w:r>
      <w:r w:rsidR="00B83C93" w:rsidRPr="008B4DA2">
        <w:rPr>
          <w:noProof/>
        </w:rPr>
        <w:t>wyn</w:t>
      </w:r>
      <w:r w:rsidRPr="008B4DA2">
        <w:rPr>
          <w:noProof/>
        </w:rPr>
        <w:t>iku bezprawnego zachowania ma wpływ nie tylko na państwo członkowskie,</w:t>
      </w:r>
      <w:r w:rsidR="00B83C93" w:rsidRPr="008B4DA2">
        <w:rPr>
          <w:noProof/>
        </w:rPr>
        <w:t xml:space="preserve"> w</w:t>
      </w:r>
      <w:r w:rsidR="00B83C93">
        <w:rPr>
          <w:noProof/>
        </w:rPr>
        <w:t> </w:t>
      </w:r>
      <w:r w:rsidR="00B83C93" w:rsidRPr="008B4DA2">
        <w:rPr>
          <w:noProof/>
        </w:rPr>
        <w:t>któ</w:t>
      </w:r>
      <w:r w:rsidRPr="008B4DA2">
        <w:rPr>
          <w:noProof/>
        </w:rPr>
        <w:t>rym popełniono takie naruszenia, ale także na bezpieczeństwo ruchu drogowego</w:t>
      </w:r>
      <w:r w:rsidR="00B83C93" w:rsidRPr="008B4DA2">
        <w:rPr>
          <w:noProof/>
        </w:rPr>
        <w:t xml:space="preserve"> w</w:t>
      </w:r>
      <w:r w:rsidR="00B83C93">
        <w:rPr>
          <w:noProof/>
        </w:rPr>
        <w:t> </w:t>
      </w:r>
      <w:r w:rsidR="00B83C93" w:rsidRPr="008B4DA2">
        <w:rPr>
          <w:noProof/>
        </w:rPr>
        <w:t>cał</w:t>
      </w:r>
      <w:r w:rsidRPr="008B4DA2">
        <w:rPr>
          <w:noProof/>
        </w:rPr>
        <w:t>ej Unii.</w:t>
      </w:r>
    </w:p>
    <w:p w:rsidR="00535FFD" w:rsidRPr="008B4DA2" w:rsidRDefault="00DF60AC" w:rsidP="00DF60AC">
      <w:pPr>
        <w:pStyle w:val="ManualConsidrant"/>
        <w:rPr>
          <w:noProof/>
        </w:rPr>
      </w:pPr>
      <w:r w:rsidRPr="008B4DA2">
        <w:rPr>
          <w:noProof/>
        </w:rPr>
        <w:t>(2)</w:t>
      </w:r>
      <w:r w:rsidRPr="008B4DA2">
        <w:rPr>
          <w:noProof/>
        </w:rPr>
        <w:tab/>
        <w:t>Obecne ramy należy zaktualizować, aby dostosować je do nowej ery</w:t>
      </w:r>
      <w:r w:rsidR="00B83C93" w:rsidRPr="008B4DA2">
        <w:rPr>
          <w:noProof/>
        </w:rPr>
        <w:t xml:space="preserve"> i</w:t>
      </w:r>
      <w:r w:rsidR="00B83C93">
        <w:rPr>
          <w:noProof/>
        </w:rPr>
        <w:t> </w:t>
      </w:r>
      <w:r w:rsidR="00B83C93" w:rsidRPr="008B4DA2">
        <w:rPr>
          <w:noProof/>
        </w:rPr>
        <w:t>ucz</w:t>
      </w:r>
      <w:r w:rsidRPr="008B4DA2">
        <w:rPr>
          <w:noProof/>
        </w:rPr>
        <w:t>ynić je zrównoważonymi, sprzyjającymi włączeniu społecznemu, inteligentnymi</w:t>
      </w:r>
      <w:r w:rsidR="00B83C93" w:rsidRPr="008B4DA2">
        <w:rPr>
          <w:noProof/>
        </w:rPr>
        <w:t xml:space="preserve"> i</w:t>
      </w:r>
      <w:r w:rsidR="00B83C93">
        <w:rPr>
          <w:noProof/>
        </w:rPr>
        <w:t> </w:t>
      </w:r>
      <w:r w:rsidR="00B83C93" w:rsidRPr="008B4DA2">
        <w:rPr>
          <w:noProof/>
        </w:rPr>
        <w:t>odp</w:t>
      </w:r>
      <w:r w:rsidRPr="008B4DA2">
        <w:rPr>
          <w:noProof/>
        </w:rPr>
        <w:t>ornymi. Powinny one uwzględniać konieczność ograniczenia emisji pochodzących</w:t>
      </w:r>
      <w:r w:rsidR="00B83C93" w:rsidRPr="008B4DA2">
        <w:rPr>
          <w:noProof/>
        </w:rPr>
        <w:t xml:space="preserve"> z</w:t>
      </w:r>
      <w:r w:rsidR="00B83C93">
        <w:rPr>
          <w:noProof/>
        </w:rPr>
        <w:t> </w:t>
      </w:r>
      <w:r w:rsidR="00B83C93" w:rsidRPr="008B4DA2">
        <w:rPr>
          <w:noProof/>
        </w:rPr>
        <w:t>tra</w:t>
      </w:r>
      <w:r w:rsidRPr="008B4DA2">
        <w:rPr>
          <w:noProof/>
        </w:rPr>
        <w:t>nsportu, cyfryzację, tendencje demograficzne</w:t>
      </w:r>
      <w:r w:rsidR="00B83C93" w:rsidRPr="008B4DA2">
        <w:rPr>
          <w:noProof/>
        </w:rPr>
        <w:t xml:space="preserve"> i</w:t>
      </w:r>
      <w:r w:rsidR="00B83C93">
        <w:rPr>
          <w:noProof/>
        </w:rPr>
        <w:t> </w:t>
      </w:r>
      <w:r w:rsidR="00B83C93" w:rsidRPr="008B4DA2">
        <w:rPr>
          <w:noProof/>
        </w:rPr>
        <w:t>roz</w:t>
      </w:r>
      <w:r w:rsidRPr="008B4DA2">
        <w:rPr>
          <w:noProof/>
        </w:rPr>
        <w:t>wój technologiczny</w:t>
      </w:r>
      <w:r w:rsidR="00B83C93" w:rsidRPr="008B4DA2">
        <w:rPr>
          <w:noProof/>
        </w:rPr>
        <w:t xml:space="preserve"> w</w:t>
      </w:r>
      <w:r w:rsidR="00B83C93">
        <w:rPr>
          <w:noProof/>
        </w:rPr>
        <w:t> </w:t>
      </w:r>
      <w:r w:rsidR="00B83C93" w:rsidRPr="008B4DA2">
        <w:rPr>
          <w:noProof/>
        </w:rPr>
        <w:t>cel</w:t>
      </w:r>
      <w:r w:rsidRPr="008B4DA2">
        <w:rPr>
          <w:noProof/>
        </w:rPr>
        <w:t>u wzmocnienia konkurencyjności gospodarki europejskiej. Ważnymi celami są uproszczenie</w:t>
      </w:r>
      <w:r w:rsidR="00B83C93" w:rsidRPr="008B4DA2">
        <w:rPr>
          <w:noProof/>
        </w:rPr>
        <w:t xml:space="preserve"> i</w:t>
      </w:r>
      <w:r w:rsidR="00B83C93">
        <w:rPr>
          <w:noProof/>
        </w:rPr>
        <w:t> </w:t>
      </w:r>
      <w:r w:rsidR="00B83C93" w:rsidRPr="008B4DA2">
        <w:rPr>
          <w:noProof/>
        </w:rPr>
        <w:t>cyf</w:t>
      </w:r>
      <w:r w:rsidRPr="008B4DA2">
        <w:rPr>
          <w:noProof/>
        </w:rPr>
        <w:t>ryzacja procedur administracyjnych służące wyeliminowaniu pozostałych barier, takich jak obciążenia administracyjne, utrudniających realizację zasady swobodnego przepływu</w:t>
      </w:r>
      <w:r w:rsidR="00B83C93" w:rsidRPr="008B4DA2">
        <w:rPr>
          <w:noProof/>
        </w:rPr>
        <w:t xml:space="preserve"> w</w:t>
      </w:r>
      <w:r w:rsidR="00B83C93">
        <w:rPr>
          <w:noProof/>
        </w:rPr>
        <w:t> </w:t>
      </w:r>
      <w:r w:rsidR="00B83C93" w:rsidRPr="008B4DA2">
        <w:rPr>
          <w:noProof/>
        </w:rPr>
        <w:t>prz</w:t>
      </w:r>
      <w:r w:rsidRPr="008B4DA2">
        <w:rPr>
          <w:noProof/>
        </w:rPr>
        <w:t>ypadku kierowców osiedlających się</w:t>
      </w:r>
      <w:r w:rsidR="00B83C93" w:rsidRPr="008B4DA2">
        <w:rPr>
          <w:noProof/>
        </w:rPr>
        <w:t xml:space="preserve"> w</w:t>
      </w:r>
      <w:r w:rsidR="00B83C93">
        <w:rPr>
          <w:noProof/>
        </w:rPr>
        <w:t> </w:t>
      </w:r>
      <w:r w:rsidR="00B83C93" w:rsidRPr="008B4DA2">
        <w:rPr>
          <w:noProof/>
        </w:rPr>
        <w:t>pań</w:t>
      </w:r>
      <w:r w:rsidRPr="008B4DA2">
        <w:rPr>
          <w:noProof/>
        </w:rPr>
        <w:t>stwie członkowskim innym niż państwo członkowskie,</w:t>
      </w:r>
      <w:r w:rsidR="00B83C93" w:rsidRPr="008B4DA2">
        <w:rPr>
          <w:noProof/>
        </w:rPr>
        <w:t xml:space="preserve"> w</w:t>
      </w:r>
      <w:r w:rsidR="00B83C93">
        <w:rPr>
          <w:noProof/>
        </w:rPr>
        <w:t> </w:t>
      </w:r>
      <w:r w:rsidR="00B83C93" w:rsidRPr="008B4DA2">
        <w:rPr>
          <w:noProof/>
        </w:rPr>
        <w:t>któ</w:t>
      </w:r>
      <w:r w:rsidRPr="008B4DA2">
        <w:rPr>
          <w:noProof/>
        </w:rPr>
        <w:t>rym wydano prawo jazdy. Zharmonizowane ramy standardowego unijnego prawa jazdy powinny obejmować prawa jazdy zarówno fizyczne prawa jazdy, jak</w:t>
      </w:r>
      <w:r w:rsidR="00B83C93" w:rsidRPr="008B4DA2">
        <w:rPr>
          <w:noProof/>
        </w:rPr>
        <w:t xml:space="preserve"> i</w:t>
      </w:r>
      <w:r w:rsidR="00B83C93">
        <w:rPr>
          <w:noProof/>
        </w:rPr>
        <w:t> </w:t>
      </w:r>
      <w:r w:rsidR="00B83C93" w:rsidRPr="008B4DA2">
        <w:rPr>
          <w:noProof/>
        </w:rPr>
        <w:t>mob</w:t>
      </w:r>
      <w:r w:rsidRPr="008B4DA2">
        <w:rPr>
          <w:noProof/>
        </w:rPr>
        <w:t>ilne prawa jazdy, oraz zapewniać ich wzajemne uznawanie, jeżeli zostały prawidłowo wydane zgodnie</w:t>
      </w:r>
      <w:r w:rsidR="00B83C93" w:rsidRPr="008B4DA2">
        <w:rPr>
          <w:noProof/>
        </w:rPr>
        <w:t xml:space="preserve"> z</w:t>
      </w:r>
      <w:r w:rsidR="00B83C93">
        <w:rPr>
          <w:noProof/>
        </w:rPr>
        <w:t> </w:t>
      </w:r>
      <w:r w:rsidR="00B83C93" w:rsidRPr="008B4DA2">
        <w:rPr>
          <w:noProof/>
        </w:rPr>
        <w:t>nin</w:t>
      </w:r>
      <w:r w:rsidRPr="008B4DA2">
        <w:rPr>
          <w:noProof/>
        </w:rPr>
        <w:t xml:space="preserve">iejszą dyrektywą. </w:t>
      </w:r>
    </w:p>
    <w:p w:rsidR="00BD67F9" w:rsidRPr="008B4DA2" w:rsidRDefault="00DF60AC" w:rsidP="00DF60AC">
      <w:pPr>
        <w:pStyle w:val="ManualConsidrant"/>
        <w:rPr>
          <w:noProof/>
        </w:rPr>
      </w:pPr>
      <w:r w:rsidRPr="008B4DA2">
        <w:rPr>
          <w:noProof/>
        </w:rPr>
        <w:t>(3)</w:t>
      </w:r>
      <w:r w:rsidRPr="008B4DA2">
        <w:rPr>
          <w:noProof/>
        </w:rPr>
        <w:tab/>
        <w:t>Unia Europejska wprowadziła pierwszy „wspólnotowy wzór” fizycznego prawa jazdy 4 grudnia 19</w:t>
      </w:r>
      <w:r w:rsidRPr="00B83C93">
        <w:rPr>
          <w:noProof/>
        </w:rPr>
        <w:t>80</w:t>
      </w:r>
      <w:r w:rsidR="00B83C93" w:rsidRPr="00B83C93">
        <w:rPr>
          <w:noProof/>
        </w:rPr>
        <w:t> </w:t>
      </w:r>
      <w:r w:rsidRPr="00B83C93">
        <w:rPr>
          <w:noProof/>
        </w:rPr>
        <w:t>r.</w:t>
      </w:r>
      <w:r w:rsidRPr="008B4DA2">
        <w:rPr>
          <w:noProof/>
        </w:rPr>
        <w:t xml:space="preserve"> Od tego czasu zasady dotyczące wspólnotowego wzoru stały się podstawą dla utworzenia najbardziej zaawansowanych na świecie struktur wydawania prawa jazdy, obejmujących ponad 250 mln kierowców. Niniejsza dyrektywa powinna zatem opierać się na zgromadzonych doświadczeniach</w:t>
      </w:r>
      <w:r w:rsidR="00B83C93" w:rsidRPr="008B4DA2">
        <w:rPr>
          <w:noProof/>
        </w:rPr>
        <w:t xml:space="preserve"> i</w:t>
      </w:r>
      <w:r w:rsidR="00B83C93">
        <w:rPr>
          <w:noProof/>
        </w:rPr>
        <w:t> </w:t>
      </w:r>
      <w:r w:rsidR="00B83C93" w:rsidRPr="008B4DA2">
        <w:rPr>
          <w:noProof/>
        </w:rPr>
        <w:t>pra</w:t>
      </w:r>
      <w:r w:rsidRPr="008B4DA2">
        <w:rPr>
          <w:noProof/>
        </w:rPr>
        <w:t>ktyce oraz ustanawiać zharmonizowane zasady dotyczące unijnych norm dla fizycznych praw jazdy. Wydawane</w:t>
      </w:r>
      <w:r w:rsidR="00B83C93" w:rsidRPr="008B4DA2">
        <w:rPr>
          <w:noProof/>
        </w:rPr>
        <w:t xml:space="preserve"> w</w:t>
      </w:r>
      <w:r w:rsidR="00B83C93">
        <w:rPr>
          <w:noProof/>
        </w:rPr>
        <w:t> </w:t>
      </w:r>
      <w:r w:rsidR="00B83C93" w:rsidRPr="008B4DA2">
        <w:rPr>
          <w:noProof/>
        </w:rPr>
        <w:t>Uni</w:t>
      </w:r>
      <w:r w:rsidRPr="008B4DA2">
        <w:rPr>
          <w:noProof/>
        </w:rPr>
        <w:t>i fizyczne prawa jazdy powinny</w:t>
      </w:r>
      <w:r w:rsidR="00B83C93" w:rsidRPr="008B4DA2">
        <w:rPr>
          <w:noProof/>
        </w:rPr>
        <w:t xml:space="preserve"> w</w:t>
      </w:r>
      <w:r w:rsidR="00B83C93">
        <w:rPr>
          <w:noProof/>
        </w:rPr>
        <w:t> </w:t>
      </w:r>
      <w:r w:rsidR="00B83C93" w:rsidRPr="008B4DA2">
        <w:rPr>
          <w:noProof/>
        </w:rPr>
        <w:t>szc</w:t>
      </w:r>
      <w:r w:rsidRPr="008B4DA2">
        <w:rPr>
          <w:noProof/>
        </w:rPr>
        <w:t>zególności zapewniać wysoki poziom ochrony przed oszustwami</w:t>
      </w:r>
      <w:r w:rsidR="00B83C93" w:rsidRPr="008B4DA2">
        <w:rPr>
          <w:noProof/>
        </w:rPr>
        <w:t xml:space="preserve"> i</w:t>
      </w:r>
      <w:r w:rsidR="00B83C93">
        <w:rPr>
          <w:noProof/>
        </w:rPr>
        <w:t> </w:t>
      </w:r>
      <w:r w:rsidR="00B83C93" w:rsidRPr="008B4DA2">
        <w:rPr>
          <w:noProof/>
        </w:rPr>
        <w:t>fał</w:t>
      </w:r>
      <w:r w:rsidRPr="008B4DA2">
        <w:rPr>
          <w:noProof/>
        </w:rPr>
        <w:t>szerstwami za pomocą dzięki środkom zapobiegających fałszerstwom,</w:t>
      </w:r>
      <w:r w:rsidR="00B83C93" w:rsidRPr="008B4DA2">
        <w:rPr>
          <w:noProof/>
        </w:rPr>
        <w:t xml:space="preserve"> a</w:t>
      </w:r>
      <w:r w:rsidR="00B83C93">
        <w:rPr>
          <w:noProof/>
        </w:rPr>
        <w:t> </w:t>
      </w:r>
      <w:r w:rsidR="00B83C93" w:rsidRPr="008B4DA2">
        <w:rPr>
          <w:noProof/>
        </w:rPr>
        <w:t>tak</w:t>
      </w:r>
      <w:r w:rsidRPr="008B4DA2">
        <w:rPr>
          <w:noProof/>
        </w:rPr>
        <w:t>że możliwość uwzględnienia</w:t>
      </w:r>
      <w:r w:rsidR="00B83C93" w:rsidRPr="008B4DA2">
        <w:rPr>
          <w:noProof/>
        </w:rPr>
        <w:t xml:space="preserve"> w</w:t>
      </w:r>
      <w:r w:rsidR="00B83C93">
        <w:rPr>
          <w:noProof/>
        </w:rPr>
        <w:t> </w:t>
      </w:r>
      <w:r w:rsidR="00B83C93" w:rsidRPr="008B4DA2">
        <w:rPr>
          <w:noProof/>
        </w:rPr>
        <w:t>tyc</w:t>
      </w:r>
      <w:r w:rsidRPr="008B4DA2">
        <w:rPr>
          <w:noProof/>
        </w:rPr>
        <w:t>h dokumentach mikroczipów</w:t>
      </w:r>
      <w:r w:rsidR="00B83C93" w:rsidRPr="008B4DA2">
        <w:rPr>
          <w:noProof/>
        </w:rPr>
        <w:t xml:space="preserve"> i</w:t>
      </w:r>
      <w:r w:rsidR="00B83C93">
        <w:rPr>
          <w:noProof/>
        </w:rPr>
        <w:t> </w:t>
      </w:r>
      <w:r w:rsidR="00B83C93" w:rsidRPr="008B4DA2">
        <w:rPr>
          <w:noProof/>
        </w:rPr>
        <w:t>kod</w:t>
      </w:r>
      <w:r w:rsidRPr="008B4DA2">
        <w:rPr>
          <w:noProof/>
        </w:rPr>
        <w:t>ów QR.</w:t>
      </w:r>
    </w:p>
    <w:p w:rsidR="00BD67F9" w:rsidRPr="008B4DA2" w:rsidRDefault="00DF60AC" w:rsidP="00DF60AC">
      <w:pPr>
        <w:pStyle w:val="ManualConsidrant"/>
        <w:rPr>
          <w:noProof/>
        </w:rPr>
      </w:pPr>
      <w:r w:rsidRPr="008B4DA2">
        <w:rPr>
          <w:noProof/>
        </w:rPr>
        <w:t>(4)</w:t>
      </w:r>
      <w:r w:rsidRPr="008B4DA2">
        <w:rPr>
          <w:noProof/>
        </w:rPr>
        <w:tab/>
        <w:t>Należy zapewnić, aby przetwarzanie danych osobowych</w:t>
      </w:r>
      <w:r w:rsidR="00B83C93" w:rsidRPr="008B4DA2">
        <w:rPr>
          <w:noProof/>
        </w:rPr>
        <w:t xml:space="preserve"> w</w:t>
      </w:r>
      <w:r w:rsidR="00B83C93">
        <w:rPr>
          <w:noProof/>
        </w:rPr>
        <w:t> </w:t>
      </w:r>
      <w:r w:rsidR="00B83C93" w:rsidRPr="008B4DA2">
        <w:rPr>
          <w:noProof/>
        </w:rPr>
        <w:t>cel</w:t>
      </w:r>
      <w:r w:rsidRPr="008B4DA2">
        <w:rPr>
          <w:noProof/>
        </w:rPr>
        <w:t>u wdrożenia niniejszej dyrektywy było zgodne</w:t>
      </w:r>
      <w:r w:rsidR="00B83C93" w:rsidRPr="008B4DA2">
        <w:rPr>
          <w:noProof/>
        </w:rPr>
        <w:t xml:space="preserve"> z</w:t>
      </w:r>
      <w:r w:rsidR="00B83C93">
        <w:rPr>
          <w:noProof/>
        </w:rPr>
        <w:t> </w:t>
      </w:r>
      <w:r w:rsidR="00B83C93" w:rsidRPr="008B4DA2">
        <w:rPr>
          <w:noProof/>
        </w:rPr>
        <w:t>ram</w:t>
      </w:r>
      <w:r w:rsidRPr="008B4DA2">
        <w:rPr>
          <w:noProof/>
        </w:rPr>
        <w:t>ami ochrony danych</w:t>
      </w:r>
      <w:r w:rsidR="00B83C93" w:rsidRPr="008B4DA2">
        <w:rPr>
          <w:noProof/>
        </w:rPr>
        <w:t xml:space="preserve"> w</w:t>
      </w:r>
      <w:r w:rsidR="00B83C93">
        <w:rPr>
          <w:noProof/>
        </w:rPr>
        <w:t> </w:t>
      </w:r>
      <w:r w:rsidR="00B83C93" w:rsidRPr="008B4DA2">
        <w:rPr>
          <w:noProof/>
        </w:rPr>
        <w:t>Uni</w:t>
      </w:r>
      <w:r w:rsidRPr="008B4DA2">
        <w:rPr>
          <w:noProof/>
        </w:rPr>
        <w:t>i,</w:t>
      </w:r>
      <w:r w:rsidR="00B83C93" w:rsidRPr="008B4DA2">
        <w:rPr>
          <w:noProof/>
        </w:rPr>
        <w:t xml:space="preserve"> w</w:t>
      </w:r>
      <w:r w:rsidR="00B83C93">
        <w:rPr>
          <w:noProof/>
        </w:rPr>
        <w:t> </w:t>
      </w:r>
      <w:r w:rsidR="00B83C93" w:rsidRPr="008B4DA2">
        <w:rPr>
          <w:noProof/>
        </w:rPr>
        <w:t>szc</w:t>
      </w:r>
      <w:r w:rsidRPr="008B4DA2">
        <w:rPr>
          <w:noProof/>
        </w:rPr>
        <w:t>zególności</w:t>
      </w:r>
      <w:r w:rsidR="00B83C93" w:rsidRPr="008B4DA2">
        <w:rPr>
          <w:noProof/>
        </w:rPr>
        <w:t xml:space="preserve"> z</w:t>
      </w:r>
      <w:r w:rsidR="00B83C93">
        <w:rPr>
          <w:noProof/>
        </w:rPr>
        <w:t> </w:t>
      </w:r>
      <w:r w:rsidR="00B83C93" w:rsidRPr="008B4DA2">
        <w:rPr>
          <w:noProof/>
        </w:rPr>
        <w:t>roz</w:t>
      </w:r>
      <w:r w:rsidRPr="008B4DA2">
        <w:rPr>
          <w:noProof/>
        </w:rPr>
        <w:t>porządzeniem Parlamentu Europejskiego</w:t>
      </w:r>
      <w:r w:rsidR="00B83C93" w:rsidRPr="008B4DA2">
        <w:rPr>
          <w:noProof/>
        </w:rPr>
        <w:t xml:space="preserve"> i</w:t>
      </w:r>
      <w:r w:rsidR="00B83C93">
        <w:rPr>
          <w:noProof/>
        </w:rPr>
        <w:t> </w:t>
      </w:r>
      <w:r w:rsidR="00B83C93" w:rsidRPr="008B4DA2">
        <w:rPr>
          <w:noProof/>
        </w:rPr>
        <w:t>Rad</w:t>
      </w:r>
      <w:r w:rsidRPr="008B4DA2">
        <w:rPr>
          <w:noProof/>
        </w:rPr>
        <w:t>y (UE) 2016/679</w:t>
      </w:r>
      <w:r w:rsidRPr="008B4DA2">
        <w:rPr>
          <w:rStyle w:val="FootnoteReference"/>
          <w:noProof/>
        </w:rPr>
        <w:footnoteReference w:id="54"/>
      </w:r>
      <w:r w:rsidRPr="008B4DA2">
        <w:rPr>
          <w:noProof/>
        </w:rPr>
        <w:t>.</w:t>
      </w:r>
    </w:p>
    <w:p w:rsidR="00BD67F9" w:rsidRPr="008B4DA2" w:rsidRDefault="00DF60AC" w:rsidP="00DF60AC">
      <w:pPr>
        <w:pStyle w:val="ManualConsidrant"/>
        <w:rPr>
          <w:noProof/>
        </w:rPr>
      </w:pPr>
      <w:r w:rsidRPr="008B4DA2">
        <w:rPr>
          <w:noProof/>
        </w:rPr>
        <w:t>(5)</w:t>
      </w:r>
      <w:r w:rsidRPr="008B4DA2">
        <w:rPr>
          <w:noProof/>
        </w:rPr>
        <w:tab/>
        <w:t>Niniejsza dyrektywa ustanawia podstawę prawną dla przechowywania obowiązkowego zbioru danych osobowych</w:t>
      </w:r>
      <w:r w:rsidR="00B83C93" w:rsidRPr="008B4DA2">
        <w:rPr>
          <w:noProof/>
        </w:rPr>
        <w:t xml:space="preserve"> w</w:t>
      </w:r>
      <w:r w:rsidR="00B83C93">
        <w:rPr>
          <w:noProof/>
        </w:rPr>
        <w:t> </w:t>
      </w:r>
      <w:r w:rsidR="00B83C93" w:rsidRPr="008B4DA2">
        <w:rPr>
          <w:noProof/>
        </w:rPr>
        <w:t>fiz</w:t>
      </w:r>
      <w:r w:rsidRPr="008B4DA2">
        <w:rPr>
          <w:noProof/>
        </w:rPr>
        <w:t>ycznych prawach jazdy</w:t>
      </w:r>
      <w:r w:rsidR="00B83C93" w:rsidRPr="008B4DA2">
        <w:rPr>
          <w:noProof/>
        </w:rPr>
        <w:t xml:space="preserve"> i</w:t>
      </w:r>
      <w:r w:rsidR="00B83C93">
        <w:rPr>
          <w:noProof/>
        </w:rPr>
        <w:t> </w:t>
      </w:r>
      <w:r w:rsidR="00B83C93" w:rsidRPr="008B4DA2">
        <w:rPr>
          <w:noProof/>
        </w:rPr>
        <w:t>ich</w:t>
      </w:r>
      <w:r w:rsidRPr="008B4DA2">
        <w:rPr>
          <w:noProof/>
        </w:rPr>
        <w:t xml:space="preserve"> mikroczipach lub kodach QR oraz</w:t>
      </w:r>
      <w:r w:rsidR="00B83C93" w:rsidRPr="008B4DA2">
        <w:rPr>
          <w:noProof/>
        </w:rPr>
        <w:t xml:space="preserve"> w</w:t>
      </w:r>
      <w:r w:rsidR="00B83C93">
        <w:rPr>
          <w:noProof/>
        </w:rPr>
        <w:t> </w:t>
      </w:r>
      <w:r w:rsidR="00B83C93" w:rsidRPr="008B4DA2">
        <w:rPr>
          <w:noProof/>
        </w:rPr>
        <w:t>mob</w:t>
      </w:r>
      <w:r w:rsidRPr="008B4DA2">
        <w:rPr>
          <w:noProof/>
        </w:rPr>
        <w:t>ilnych prawach jazdy</w:t>
      </w:r>
      <w:r w:rsidR="00B83C93" w:rsidRPr="008B4DA2">
        <w:rPr>
          <w:noProof/>
        </w:rPr>
        <w:t xml:space="preserve"> w</w:t>
      </w:r>
      <w:r w:rsidR="00B83C93">
        <w:rPr>
          <w:noProof/>
        </w:rPr>
        <w:t> </w:t>
      </w:r>
      <w:r w:rsidR="00B83C93" w:rsidRPr="008B4DA2">
        <w:rPr>
          <w:noProof/>
        </w:rPr>
        <w:t>cel</w:t>
      </w:r>
      <w:r w:rsidRPr="008B4DA2">
        <w:rPr>
          <w:noProof/>
        </w:rPr>
        <w:t>u zagwarantowania wysokiego poziomu bezpieczeństwa ruchu drogowego</w:t>
      </w:r>
      <w:r w:rsidR="00B83C93" w:rsidRPr="008B4DA2">
        <w:rPr>
          <w:noProof/>
        </w:rPr>
        <w:t xml:space="preserve"> w</w:t>
      </w:r>
      <w:r w:rsidR="00B83C93">
        <w:rPr>
          <w:noProof/>
        </w:rPr>
        <w:t> </w:t>
      </w:r>
      <w:r w:rsidR="00B83C93" w:rsidRPr="008B4DA2">
        <w:rPr>
          <w:noProof/>
        </w:rPr>
        <w:t>cał</w:t>
      </w:r>
      <w:r w:rsidRPr="008B4DA2">
        <w:rPr>
          <w:noProof/>
        </w:rPr>
        <w:t>ej Unii oraz zgodnie</w:t>
      </w:r>
      <w:r w:rsidR="00B83C93" w:rsidRPr="008B4DA2">
        <w:rPr>
          <w:noProof/>
        </w:rPr>
        <w:t xml:space="preserve"> z</w:t>
      </w:r>
      <w:r w:rsidR="00B83C93">
        <w:rPr>
          <w:noProof/>
        </w:rPr>
        <w:t> </w:t>
      </w:r>
      <w:r w:rsidR="00B83C93" w:rsidRPr="00B83C93">
        <w:rPr>
          <w:noProof/>
        </w:rPr>
        <w:t>art</w:t>
      </w:r>
      <w:r w:rsidRPr="00B83C93">
        <w:rPr>
          <w:noProof/>
        </w:rPr>
        <w:t>.</w:t>
      </w:r>
      <w:r w:rsidR="00B83C93" w:rsidRPr="00B83C93">
        <w:rPr>
          <w:noProof/>
        </w:rPr>
        <w:t> </w:t>
      </w:r>
      <w:r w:rsidRPr="00B83C93">
        <w:rPr>
          <w:noProof/>
        </w:rPr>
        <w:t>6</w:t>
      </w:r>
      <w:r w:rsidRPr="008B4DA2">
        <w:rPr>
          <w:noProof/>
        </w:rPr>
        <w:t xml:space="preserve"> </w:t>
      </w:r>
      <w:r w:rsidRPr="00B83C93">
        <w:rPr>
          <w:noProof/>
        </w:rPr>
        <w:t>ust.</w:t>
      </w:r>
      <w:r w:rsidR="00B83C93" w:rsidRPr="00B83C93">
        <w:rPr>
          <w:noProof/>
        </w:rPr>
        <w:t> </w:t>
      </w:r>
      <w:r w:rsidRPr="00B83C93">
        <w:rPr>
          <w:noProof/>
        </w:rPr>
        <w:t>1</w:t>
      </w:r>
      <w:r w:rsidRPr="008B4DA2">
        <w:rPr>
          <w:noProof/>
        </w:rPr>
        <w:t xml:space="preserve"> </w:t>
      </w:r>
      <w:r w:rsidRPr="00B83C93">
        <w:rPr>
          <w:noProof/>
        </w:rPr>
        <w:t>lit.</w:t>
      </w:r>
      <w:r w:rsidR="00B83C93" w:rsidRPr="00B83C93">
        <w:rPr>
          <w:noProof/>
        </w:rPr>
        <w:t> </w:t>
      </w:r>
      <w:r w:rsidRPr="00B83C93">
        <w:rPr>
          <w:noProof/>
        </w:rPr>
        <w:t>e)</w:t>
      </w:r>
      <w:r w:rsidRPr="008B4DA2">
        <w:rPr>
          <w:noProof/>
        </w:rPr>
        <w:t xml:space="preserve"> i,</w:t>
      </w:r>
      <w:r w:rsidR="00B83C93" w:rsidRPr="008B4DA2">
        <w:rPr>
          <w:noProof/>
        </w:rPr>
        <w:t xml:space="preserve"> w</w:t>
      </w:r>
      <w:r w:rsidR="00B83C93">
        <w:rPr>
          <w:noProof/>
        </w:rPr>
        <w:t> </w:t>
      </w:r>
      <w:r w:rsidR="00B83C93" w:rsidRPr="008B4DA2">
        <w:rPr>
          <w:noProof/>
        </w:rPr>
        <w:t>sto</w:t>
      </w:r>
      <w:r w:rsidRPr="008B4DA2">
        <w:rPr>
          <w:noProof/>
        </w:rPr>
        <w:t xml:space="preserve">sownych przypadkach, </w:t>
      </w:r>
      <w:r w:rsidRPr="00B83C93">
        <w:rPr>
          <w:noProof/>
        </w:rPr>
        <w:t>art.</w:t>
      </w:r>
      <w:r w:rsidR="00B83C93" w:rsidRPr="00B83C93">
        <w:rPr>
          <w:noProof/>
        </w:rPr>
        <w:t> </w:t>
      </w:r>
      <w:r w:rsidRPr="00B83C93">
        <w:rPr>
          <w:noProof/>
        </w:rPr>
        <w:t>9</w:t>
      </w:r>
      <w:r w:rsidRPr="008B4DA2">
        <w:rPr>
          <w:noProof/>
        </w:rPr>
        <w:t xml:space="preserve"> </w:t>
      </w:r>
      <w:r w:rsidRPr="00B83C93">
        <w:rPr>
          <w:noProof/>
        </w:rPr>
        <w:t>ust.</w:t>
      </w:r>
      <w:r w:rsidR="00B83C93" w:rsidRPr="00B83C93">
        <w:rPr>
          <w:noProof/>
        </w:rPr>
        <w:t> </w:t>
      </w:r>
      <w:r w:rsidRPr="00B83C93">
        <w:rPr>
          <w:noProof/>
        </w:rPr>
        <w:t>2</w:t>
      </w:r>
      <w:r w:rsidRPr="008B4DA2">
        <w:rPr>
          <w:noProof/>
        </w:rPr>
        <w:t xml:space="preserve"> </w:t>
      </w:r>
      <w:r w:rsidRPr="00B83C93">
        <w:rPr>
          <w:noProof/>
        </w:rPr>
        <w:t>lit.</w:t>
      </w:r>
      <w:r w:rsidR="00B83C93" w:rsidRPr="00B83C93">
        <w:rPr>
          <w:noProof/>
        </w:rPr>
        <w:t> </w:t>
      </w:r>
      <w:r w:rsidRPr="00B83C93">
        <w:rPr>
          <w:noProof/>
        </w:rPr>
        <w:t>g)</w:t>
      </w:r>
      <w:r w:rsidRPr="008B4DA2">
        <w:rPr>
          <w:noProof/>
        </w:rPr>
        <w:t xml:space="preserve"> rozporządzenia (UE) 2016/679. Dane te powinny być ograniczone do tego, co jest niezbędne</w:t>
      </w:r>
      <w:r w:rsidR="00B83C93" w:rsidRPr="008B4DA2">
        <w:rPr>
          <w:noProof/>
        </w:rPr>
        <w:t xml:space="preserve"> w</w:t>
      </w:r>
      <w:r w:rsidR="00B83C93">
        <w:rPr>
          <w:noProof/>
        </w:rPr>
        <w:t> </w:t>
      </w:r>
      <w:r w:rsidR="00B83C93" w:rsidRPr="008B4DA2">
        <w:rPr>
          <w:noProof/>
        </w:rPr>
        <w:t>cel</w:t>
      </w:r>
      <w:r w:rsidRPr="008B4DA2">
        <w:rPr>
          <w:noProof/>
        </w:rPr>
        <w:t>u wykazania uprawnień danej osoby do kierowania pojazdami, identyfikacji tej osoby oraz weryfikacji jej uprawnień do kierowania pojazdami</w:t>
      </w:r>
      <w:r w:rsidR="00B83C93" w:rsidRPr="008B4DA2">
        <w:rPr>
          <w:noProof/>
        </w:rPr>
        <w:t xml:space="preserve"> i</w:t>
      </w:r>
      <w:r w:rsidR="00B83C93">
        <w:rPr>
          <w:noProof/>
        </w:rPr>
        <w:t> </w:t>
      </w:r>
      <w:r w:rsidR="00B83C93" w:rsidRPr="008B4DA2">
        <w:rPr>
          <w:noProof/>
        </w:rPr>
        <w:t>toż</w:t>
      </w:r>
      <w:r w:rsidRPr="008B4DA2">
        <w:rPr>
          <w:noProof/>
        </w:rPr>
        <w:t>samości</w:t>
      </w:r>
      <w:r w:rsidR="00B83C93" w:rsidRPr="008B4DA2">
        <w:rPr>
          <w:noProof/>
        </w:rPr>
        <w:t>. W</w:t>
      </w:r>
      <w:r w:rsidR="00B83C93">
        <w:rPr>
          <w:noProof/>
        </w:rPr>
        <w:t> </w:t>
      </w:r>
      <w:r w:rsidR="00B83C93" w:rsidRPr="008B4DA2">
        <w:rPr>
          <w:noProof/>
        </w:rPr>
        <w:t>nin</w:t>
      </w:r>
      <w:r w:rsidRPr="008B4DA2">
        <w:rPr>
          <w:noProof/>
        </w:rPr>
        <w:t>iejszej dyrektywie przewidziano również dodatkowe zabezpieczenia</w:t>
      </w:r>
      <w:r w:rsidR="00B83C93" w:rsidRPr="008B4DA2">
        <w:rPr>
          <w:noProof/>
        </w:rPr>
        <w:t xml:space="preserve"> w</w:t>
      </w:r>
      <w:r w:rsidR="00B83C93">
        <w:rPr>
          <w:noProof/>
        </w:rPr>
        <w:t> </w:t>
      </w:r>
      <w:r w:rsidR="00B83C93" w:rsidRPr="008B4DA2">
        <w:rPr>
          <w:noProof/>
        </w:rPr>
        <w:t>cel</w:t>
      </w:r>
      <w:r w:rsidRPr="008B4DA2">
        <w:rPr>
          <w:noProof/>
        </w:rPr>
        <w:t>u zapewnienia ochrony danych osobowych ujawnionych podczas procesu weryfikacji.</w:t>
      </w:r>
    </w:p>
    <w:p w:rsidR="00BD67F9" w:rsidRPr="008B4DA2" w:rsidRDefault="00DF60AC" w:rsidP="00DF60AC">
      <w:pPr>
        <w:pStyle w:val="ManualConsidrant"/>
        <w:rPr>
          <w:noProof/>
        </w:rPr>
      </w:pPr>
      <w:r w:rsidRPr="008B4DA2">
        <w:rPr>
          <w:noProof/>
        </w:rPr>
        <w:t>(6)</w:t>
      </w:r>
      <w:r w:rsidRPr="008B4DA2">
        <w:rPr>
          <w:noProof/>
        </w:rPr>
        <w:tab/>
        <w:t>Aby zapewnić jasność prawa</w:t>
      </w:r>
      <w:r w:rsidR="00B83C93" w:rsidRPr="008B4DA2">
        <w:rPr>
          <w:noProof/>
        </w:rPr>
        <w:t xml:space="preserve"> i</w:t>
      </w:r>
      <w:r w:rsidR="00B83C93">
        <w:rPr>
          <w:noProof/>
        </w:rPr>
        <w:t> </w:t>
      </w:r>
      <w:r w:rsidR="00B83C93" w:rsidRPr="008B4DA2">
        <w:rPr>
          <w:noProof/>
        </w:rPr>
        <w:t>zag</w:t>
      </w:r>
      <w:r w:rsidRPr="008B4DA2">
        <w:rPr>
          <w:noProof/>
        </w:rPr>
        <w:t>warantować płynne przejście między dyrektywą 2006/126/WE Parlamentu Europejskiego</w:t>
      </w:r>
      <w:r w:rsidR="00B83C93" w:rsidRPr="008B4DA2">
        <w:rPr>
          <w:noProof/>
        </w:rPr>
        <w:t xml:space="preserve"> i</w:t>
      </w:r>
      <w:r w:rsidR="00B83C93">
        <w:rPr>
          <w:noProof/>
        </w:rPr>
        <w:t> </w:t>
      </w:r>
      <w:r w:rsidR="00B83C93" w:rsidRPr="008B4DA2">
        <w:rPr>
          <w:noProof/>
        </w:rPr>
        <w:t>Rad</w:t>
      </w:r>
      <w:r w:rsidRPr="008B4DA2">
        <w:rPr>
          <w:noProof/>
        </w:rPr>
        <w:t>y</w:t>
      </w:r>
      <w:r w:rsidR="00B83C93" w:rsidRPr="008B4DA2">
        <w:rPr>
          <w:noProof/>
        </w:rPr>
        <w:t xml:space="preserve"> w</w:t>
      </w:r>
      <w:r w:rsidR="00B83C93">
        <w:rPr>
          <w:noProof/>
        </w:rPr>
        <w:t> </w:t>
      </w:r>
      <w:r w:rsidR="00B83C93" w:rsidRPr="008B4DA2">
        <w:rPr>
          <w:noProof/>
        </w:rPr>
        <w:t>spr</w:t>
      </w:r>
      <w:r w:rsidRPr="008B4DA2">
        <w:rPr>
          <w:noProof/>
        </w:rPr>
        <w:t>awie praw jazdy</w:t>
      </w:r>
      <w:r w:rsidRPr="008B4DA2">
        <w:rPr>
          <w:rStyle w:val="FootnoteReference"/>
          <w:noProof/>
        </w:rPr>
        <w:footnoteReference w:id="55"/>
      </w:r>
      <w:r w:rsidR="00B83C93" w:rsidRPr="008B4DA2">
        <w:rPr>
          <w:noProof/>
        </w:rPr>
        <w:t xml:space="preserve"> a</w:t>
      </w:r>
      <w:r w:rsidR="00B83C93">
        <w:rPr>
          <w:noProof/>
        </w:rPr>
        <w:t> </w:t>
      </w:r>
      <w:r w:rsidR="00B83C93" w:rsidRPr="008B4DA2">
        <w:rPr>
          <w:noProof/>
        </w:rPr>
        <w:t>nin</w:t>
      </w:r>
      <w:r w:rsidRPr="008B4DA2">
        <w:rPr>
          <w:noProof/>
        </w:rPr>
        <w:t>iejszą dyrektywą, państwa członkowskie powinny mieć możliwość przechowywania dodatkowych danych osobowych</w:t>
      </w:r>
      <w:r w:rsidR="00B83C93" w:rsidRPr="008B4DA2">
        <w:rPr>
          <w:noProof/>
        </w:rPr>
        <w:t xml:space="preserve"> w</w:t>
      </w:r>
      <w:r w:rsidR="00B83C93">
        <w:rPr>
          <w:noProof/>
        </w:rPr>
        <w:t> </w:t>
      </w:r>
      <w:r w:rsidR="00B83C93" w:rsidRPr="008B4DA2">
        <w:rPr>
          <w:noProof/>
        </w:rPr>
        <w:t>mik</w:t>
      </w:r>
      <w:r w:rsidRPr="008B4DA2">
        <w:rPr>
          <w:noProof/>
        </w:rPr>
        <w:t>roczipie, jeżeli taką możliwość przewiduje prawo krajowe zgodne</w:t>
      </w:r>
      <w:r w:rsidR="00B83C93" w:rsidRPr="008B4DA2">
        <w:rPr>
          <w:noProof/>
        </w:rPr>
        <w:t xml:space="preserve"> z</w:t>
      </w:r>
      <w:r w:rsidR="00B83C93">
        <w:rPr>
          <w:noProof/>
        </w:rPr>
        <w:t> </w:t>
      </w:r>
      <w:r w:rsidR="00B83C93" w:rsidRPr="008B4DA2">
        <w:rPr>
          <w:noProof/>
        </w:rPr>
        <w:t>roz</w:t>
      </w:r>
      <w:r w:rsidRPr="008B4DA2">
        <w:rPr>
          <w:noProof/>
        </w:rPr>
        <w:t>porządzeniem (UE) 2016/679. Niniejsza dyrektywa nie stanowi jednak podstawy prawnej do umieszczania takich dodatkowych danych.</w:t>
      </w:r>
    </w:p>
    <w:p w:rsidR="00BD67F9" w:rsidRPr="008B4DA2" w:rsidRDefault="00DF60AC" w:rsidP="00DF60AC">
      <w:pPr>
        <w:pStyle w:val="ManualConsidrant"/>
        <w:rPr>
          <w:noProof/>
        </w:rPr>
      </w:pPr>
      <w:r w:rsidRPr="008B4DA2">
        <w:rPr>
          <w:noProof/>
        </w:rPr>
        <w:t>(7)</w:t>
      </w:r>
      <w:r w:rsidRPr="008B4DA2">
        <w:rPr>
          <w:noProof/>
        </w:rPr>
        <w:tab/>
        <w:t>W przeciwieństwie do tego kod QR ustanowiony niniejszą dyrektywą, który umożliwia weryfikację autentyczności informacji wydrukowanych na fizycznym prawie jazdy, nie powinien pozwalać na przechowywanie większej ilości informacji niż ta, która jest podana na fizycznym prawie jazdy.</w:t>
      </w:r>
    </w:p>
    <w:p w:rsidR="00BD67F9" w:rsidRPr="008B4DA2" w:rsidRDefault="00DF60AC" w:rsidP="00DF60AC">
      <w:pPr>
        <w:pStyle w:val="ManualConsidrant"/>
        <w:rPr>
          <w:noProof/>
        </w:rPr>
      </w:pPr>
      <w:r w:rsidRPr="008B4DA2">
        <w:rPr>
          <w:noProof/>
        </w:rPr>
        <w:t>(8)</w:t>
      </w:r>
      <w:r w:rsidRPr="008B4DA2">
        <w:rPr>
          <w:noProof/>
        </w:rPr>
        <w:tab/>
        <w:t>Niniejsza dyrektywa nie stanowi podstawy prawnej do ustanowienia lub prowadzenia na szczeblu krajowym baz danych do celów przechowywania danych biometrycznych</w:t>
      </w:r>
      <w:r w:rsidR="00B83C93" w:rsidRPr="008B4DA2">
        <w:rPr>
          <w:noProof/>
        </w:rPr>
        <w:t xml:space="preserve"> w</w:t>
      </w:r>
      <w:r w:rsidR="00B83C93">
        <w:rPr>
          <w:noProof/>
        </w:rPr>
        <w:t> </w:t>
      </w:r>
      <w:r w:rsidR="00B83C93" w:rsidRPr="008B4DA2">
        <w:rPr>
          <w:noProof/>
        </w:rPr>
        <w:t>pań</w:t>
      </w:r>
      <w:r w:rsidRPr="008B4DA2">
        <w:rPr>
          <w:noProof/>
        </w:rPr>
        <w:t>stwach członkowskich, gdyż podstawę taką powinno stanowić prawo krajowe, które musi być zgodne</w:t>
      </w:r>
      <w:r w:rsidR="00B83C93" w:rsidRPr="008B4DA2">
        <w:rPr>
          <w:noProof/>
        </w:rPr>
        <w:t xml:space="preserve"> z</w:t>
      </w:r>
      <w:r w:rsidR="00B83C93">
        <w:rPr>
          <w:noProof/>
        </w:rPr>
        <w:t> </w:t>
      </w:r>
      <w:r w:rsidR="00B83C93" w:rsidRPr="008B4DA2">
        <w:rPr>
          <w:noProof/>
        </w:rPr>
        <w:t>pra</w:t>
      </w:r>
      <w:r w:rsidRPr="008B4DA2">
        <w:rPr>
          <w:noProof/>
        </w:rPr>
        <w:t>wem Unii dotyczącym ochrony danych. Niniejsza dyrektywa nie stanowi ponadto podstawy prawnej do utworzenia lub utrzymywania scentralizowanej bazy danych biometrycznych na szczeblu Unii.</w:t>
      </w:r>
    </w:p>
    <w:p w:rsidR="00BD67F9" w:rsidRPr="008B4DA2" w:rsidRDefault="00DF60AC" w:rsidP="00DF60AC">
      <w:pPr>
        <w:pStyle w:val="ManualConsidrant"/>
        <w:rPr>
          <w:noProof/>
        </w:rPr>
      </w:pPr>
      <w:r w:rsidRPr="008B4DA2">
        <w:rPr>
          <w:noProof/>
        </w:rPr>
        <w:t>(9)</w:t>
      </w:r>
      <w:r w:rsidRPr="008B4DA2">
        <w:rPr>
          <w:noProof/>
        </w:rPr>
        <w:tab/>
        <w:t>Aby przyspieszyć zwalczanie fałszerstw</w:t>
      </w:r>
      <w:r w:rsidR="00B83C93" w:rsidRPr="008B4DA2">
        <w:rPr>
          <w:noProof/>
        </w:rPr>
        <w:t xml:space="preserve"> i</w:t>
      </w:r>
      <w:r w:rsidR="00B83C93">
        <w:rPr>
          <w:noProof/>
        </w:rPr>
        <w:t> </w:t>
      </w:r>
      <w:r w:rsidR="00B83C93" w:rsidRPr="008B4DA2">
        <w:rPr>
          <w:noProof/>
        </w:rPr>
        <w:t>osz</w:t>
      </w:r>
      <w:r w:rsidRPr="008B4DA2">
        <w:rPr>
          <w:noProof/>
        </w:rPr>
        <w:t>ustw dotyczących praw jazdy konieczne jest podjęcie dalszych zobowiązań. Dlatego pożądane jest przesunięcie terminu spełnienia wszystkich wymogów określonych</w:t>
      </w:r>
      <w:r w:rsidR="00B83C93" w:rsidRPr="008B4DA2">
        <w:rPr>
          <w:noProof/>
        </w:rPr>
        <w:t xml:space="preserve"> w</w:t>
      </w:r>
      <w:r w:rsidR="00B83C93">
        <w:rPr>
          <w:noProof/>
        </w:rPr>
        <w:t> </w:t>
      </w:r>
      <w:r w:rsidR="00B83C93" w:rsidRPr="008B4DA2">
        <w:rPr>
          <w:noProof/>
        </w:rPr>
        <w:t>pra</w:t>
      </w:r>
      <w:r w:rsidRPr="008B4DA2">
        <w:rPr>
          <w:noProof/>
        </w:rPr>
        <w:t>wie Unii – pierwotnie wyznaczonego</w:t>
      </w:r>
      <w:r w:rsidR="00B83C93" w:rsidRPr="008B4DA2">
        <w:rPr>
          <w:noProof/>
        </w:rPr>
        <w:t xml:space="preserve"> w</w:t>
      </w:r>
      <w:r w:rsidR="00B83C93">
        <w:rPr>
          <w:noProof/>
        </w:rPr>
        <w:t> </w:t>
      </w:r>
      <w:r w:rsidR="00B83C93" w:rsidRPr="008B4DA2">
        <w:rPr>
          <w:noProof/>
        </w:rPr>
        <w:t>dyr</w:t>
      </w:r>
      <w:r w:rsidRPr="008B4DA2">
        <w:rPr>
          <w:noProof/>
        </w:rPr>
        <w:t>ektywie 2006/126/WE – przez wszystkie fizyczne prawa jazdy wydane lub znajdujące się</w:t>
      </w:r>
      <w:r w:rsidR="00B83C93" w:rsidRPr="008B4DA2">
        <w:rPr>
          <w:noProof/>
        </w:rPr>
        <w:t xml:space="preserve"> w</w:t>
      </w:r>
      <w:r w:rsidR="00B83C93">
        <w:rPr>
          <w:noProof/>
        </w:rPr>
        <w:t> </w:t>
      </w:r>
      <w:r w:rsidR="00B83C93" w:rsidRPr="008B4DA2">
        <w:rPr>
          <w:noProof/>
        </w:rPr>
        <w:t>obi</w:t>
      </w:r>
      <w:r w:rsidRPr="008B4DA2">
        <w:rPr>
          <w:noProof/>
        </w:rPr>
        <w:t>egu.</w:t>
      </w:r>
    </w:p>
    <w:p w:rsidR="00BD67F9" w:rsidRPr="008B4DA2" w:rsidRDefault="00DF60AC" w:rsidP="00DF60AC">
      <w:pPr>
        <w:pStyle w:val="ManualConsidrant"/>
        <w:rPr>
          <w:noProof/>
        </w:rPr>
      </w:pPr>
      <w:r w:rsidRPr="008B4DA2">
        <w:rPr>
          <w:noProof/>
        </w:rPr>
        <w:t>(10)</w:t>
      </w:r>
      <w:r w:rsidRPr="008B4DA2">
        <w:rPr>
          <w:noProof/>
        </w:rPr>
        <w:tab/>
        <w:t>Transformacja cyfrowa jest jednym</w:t>
      </w:r>
      <w:r w:rsidR="00B83C93" w:rsidRPr="008B4DA2">
        <w:rPr>
          <w:noProof/>
        </w:rPr>
        <w:t xml:space="preserve"> z</w:t>
      </w:r>
      <w:r w:rsidR="00B83C93">
        <w:rPr>
          <w:noProof/>
        </w:rPr>
        <w:t> </w:t>
      </w:r>
      <w:r w:rsidR="00B83C93" w:rsidRPr="008B4DA2">
        <w:rPr>
          <w:noProof/>
        </w:rPr>
        <w:t>pri</w:t>
      </w:r>
      <w:r w:rsidRPr="008B4DA2">
        <w:rPr>
          <w:noProof/>
        </w:rPr>
        <w:t>orytetów Unii</w:t>
      </w:r>
      <w:r w:rsidR="00B83C93" w:rsidRPr="008B4DA2">
        <w:rPr>
          <w:noProof/>
        </w:rPr>
        <w:t>. W</w:t>
      </w:r>
      <w:r w:rsidR="00B83C93">
        <w:rPr>
          <w:noProof/>
        </w:rPr>
        <w:t> </w:t>
      </w:r>
      <w:r w:rsidR="00B83C93" w:rsidRPr="008B4DA2">
        <w:rPr>
          <w:noProof/>
        </w:rPr>
        <w:t>prz</w:t>
      </w:r>
      <w:r w:rsidRPr="008B4DA2">
        <w:rPr>
          <w:noProof/>
        </w:rPr>
        <w:t>ypadku transportu drogowego przyczyni się ona do usunięcia pozostałych barier administracyjnych utrudniających swobodny przepływ osób, na przykład związanych</w:t>
      </w:r>
      <w:r w:rsidR="00B83C93" w:rsidRPr="008B4DA2">
        <w:rPr>
          <w:noProof/>
        </w:rPr>
        <w:t xml:space="preserve"> z</w:t>
      </w:r>
      <w:r w:rsidR="00B83C93">
        <w:rPr>
          <w:noProof/>
        </w:rPr>
        <w:t> </w:t>
      </w:r>
      <w:r w:rsidR="00B83C93" w:rsidRPr="008B4DA2">
        <w:rPr>
          <w:noProof/>
        </w:rPr>
        <w:t>cza</w:t>
      </w:r>
      <w:r w:rsidRPr="008B4DA2">
        <w:rPr>
          <w:noProof/>
        </w:rPr>
        <w:t>sem trwania procesu wydawania fizycznych praw jazdy</w:t>
      </w:r>
      <w:r w:rsidR="00B83C93" w:rsidRPr="008B4DA2">
        <w:rPr>
          <w:noProof/>
        </w:rPr>
        <w:t>. W</w:t>
      </w:r>
      <w:r w:rsidR="00B83C93">
        <w:rPr>
          <w:noProof/>
        </w:rPr>
        <w:t> </w:t>
      </w:r>
      <w:r w:rsidR="00B83C93" w:rsidRPr="008B4DA2">
        <w:rPr>
          <w:noProof/>
        </w:rPr>
        <w:t>zwi</w:t>
      </w:r>
      <w:r w:rsidRPr="008B4DA2">
        <w:rPr>
          <w:noProof/>
        </w:rPr>
        <w:t>ązku</w:t>
      </w:r>
      <w:r w:rsidR="00B83C93" w:rsidRPr="008B4DA2">
        <w:rPr>
          <w:noProof/>
        </w:rPr>
        <w:t xml:space="preserve"> z</w:t>
      </w:r>
      <w:r w:rsidR="00B83C93">
        <w:rPr>
          <w:noProof/>
        </w:rPr>
        <w:t> </w:t>
      </w:r>
      <w:r w:rsidR="00B83C93" w:rsidRPr="008B4DA2">
        <w:rPr>
          <w:noProof/>
        </w:rPr>
        <w:t>tym</w:t>
      </w:r>
      <w:r w:rsidRPr="008B4DA2">
        <w:rPr>
          <w:noProof/>
        </w:rPr>
        <w:t xml:space="preserve"> należy ustanowić odrębną unijną normę dla mobilnych praw jazdy wydawanych</w:t>
      </w:r>
      <w:r w:rsidR="00B83C93" w:rsidRPr="008B4DA2">
        <w:rPr>
          <w:noProof/>
        </w:rPr>
        <w:t xml:space="preserve"> w</w:t>
      </w:r>
      <w:r w:rsidR="00B83C93">
        <w:rPr>
          <w:noProof/>
        </w:rPr>
        <w:t> </w:t>
      </w:r>
      <w:r w:rsidR="00B83C93" w:rsidRPr="008B4DA2">
        <w:rPr>
          <w:noProof/>
        </w:rPr>
        <w:t>Uni</w:t>
      </w:r>
      <w:r w:rsidRPr="008B4DA2">
        <w:rPr>
          <w:noProof/>
        </w:rPr>
        <w:t>i</w:t>
      </w:r>
      <w:r w:rsidR="00B83C93" w:rsidRPr="008B4DA2">
        <w:rPr>
          <w:noProof/>
        </w:rPr>
        <w:t>. W</w:t>
      </w:r>
      <w:r w:rsidR="00B83C93">
        <w:rPr>
          <w:noProof/>
        </w:rPr>
        <w:t> </w:t>
      </w:r>
      <w:r w:rsidR="00B83C93" w:rsidRPr="008B4DA2">
        <w:rPr>
          <w:noProof/>
        </w:rPr>
        <w:t>cel</w:t>
      </w:r>
      <w:r w:rsidRPr="008B4DA2">
        <w:rPr>
          <w:noProof/>
        </w:rPr>
        <w:t>u ułatwienia transformacji cyfrowej mobilne prawa jazdy powinny być wydawane domyślnie od dnia [data przyjęcia + 4 lata], bez uszczerbku dla prawa wnioskodawcy do otrzymania prawa jazdy</w:t>
      </w:r>
      <w:r w:rsidR="00B83C93" w:rsidRPr="008B4DA2">
        <w:rPr>
          <w:noProof/>
        </w:rPr>
        <w:t xml:space="preserve"> w</w:t>
      </w:r>
      <w:r w:rsidR="00B83C93">
        <w:rPr>
          <w:noProof/>
        </w:rPr>
        <w:t> </w:t>
      </w:r>
      <w:r w:rsidR="00B83C93" w:rsidRPr="008B4DA2">
        <w:rPr>
          <w:noProof/>
        </w:rPr>
        <w:t>pos</w:t>
      </w:r>
      <w:r w:rsidRPr="008B4DA2">
        <w:rPr>
          <w:noProof/>
        </w:rPr>
        <w:t>taci fizycznej lub jednocześnie</w:t>
      </w:r>
      <w:r w:rsidR="00B83C93" w:rsidRPr="008B4DA2">
        <w:rPr>
          <w:noProof/>
        </w:rPr>
        <w:t xml:space="preserve"> w</w:t>
      </w:r>
      <w:r w:rsidR="00B83C93">
        <w:rPr>
          <w:noProof/>
        </w:rPr>
        <w:t> </w:t>
      </w:r>
      <w:r w:rsidR="00B83C93" w:rsidRPr="008B4DA2">
        <w:rPr>
          <w:noProof/>
        </w:rPr>
        <w:t>obu</w:t>
      </w:r>
      <w:r w:rsidRPr="008B4DA2">
        <w:rPr>
          <w:noProof/>
        </w:rPr>
        <w:t xml:space="preserve"> postaciach.</w:t>
      </w:r>
    </w:p>
    <w:p w:rsidR="00BD67F9" w:rsidRPr="008B4DA2" w:rsidRDefault="00DF60AC" w:rsidP="00DF60AC">
      <w:pPr>
        <w:pStyle w:val="ManualConsidrant"/>
        <w:rPr>
          <w:noProof/>
        </w:rPr>
      </w:pPr>
      <w:r w:rsidRPr="008B4DA2">
        <w:rPr>
          <w:noProof/>
        </w:rPr>
        <w:t>(11)</w:t>
      </w:r>
      <w:r w:rsidRPr="008B4DA2">
        <w:rPr>
          <w:noProof/>
        </w:rPr>
        <w:tab/>
        <w:t>Mobilne prawo jazdy powinno zawierać nie tylko informacje odnotowane na fizycznym prawie jazdy, ale także informacje pozwalające na weryfikację autentyczności danych oraz wskaźnik jednorazowego użytku. Należy jednak zapewnić, aby nawet</w:t>
      </w:r>
      <w:r w:rsidR="00B83C93" w:rsidRPr="008B4DA2">
        <w:rPr>
          <w:noProof/>
        </w:rPr>
        <w:t xml:space="preserve"> w</w:t>
      </w:r>
      <w:r w:rsidR="00B83C93">
        <w:rPr>
          <w:noProof/>
        </w:rPr>
        <w:t> </w:t>
      </w:r>
      <w:r w:rsidR="00B83C93" w:rsidRPr="008B4DA2">
        <w:rPr>
          <w:noProof/>
        </w:rPr>
        <w:t>tak</w:t>
      </w:r>
      <w:r w:rsidRPr="008B4DA2">
        <w:rPr>
          <w:noProof/>
        </w:rPr>
        <w:t>ich przypadkach ilość udostępnianych danych osobowych ograniczała się do tego, co byłoby odnotowane na fizycznym prawie jazdy i co jest ściśle niezbędne na potrzeby weryfikacji autentyczności takich danych. Te dodatkowe dane powinny być różne</w:t>
      </w:r>
      <w:r w:rsidR="00B83C93" w:rsidRPr="008B4DA2">
        <w:rPr>
          <w:noProof/>
        </w:rPr>
        <w:t xml:space="preserve"> w</w:t>
      </w:r>
      <w:r w:rsidR="00B83C93">
        <w:rPr>
          <w:noProof/>
        </w:rPr>
        <w:t> </w:t>
      </w:r>
      <w:r w:rsidR="00B83C93" w:rsidRPr="008B4DA2">
        <w:rPr>
          <w:noProof/>
        </w:rPr>
        <w:t>prz</w:t>
      </w:r>
      <w:r w:rsidRPr="008B4DA2">
        <w:rPr>
          <w:noProof/>
        </w:rPr>
        <w:t>ypadku, gdy dana osoba posiada kilka mobilnych praw jazdy, co jest możliwe,</w:t>
      </w:r>
      <w:r w:rsidR="00B83C93" w:rsidRPr="008B4DA2">
        <w:rPr>
          <w:noProof/>
        </w:rPr>
        <w:t xml:space="preserve"> o</w:t>
      </w:r>
      <w:r w:rsidR="00B83C93">
        <w:rPr>
          <w:noProof/>
        </w:rPr>
        <w:t> </w:t>
      </w:r>
      <w:r w:rsidR="00B83C93" w:rsidRPr="008B4DA2">
        <w:rPr>
          <w:noProof/>
        </w:rPr>
        <w:t>ile</w:t>
      </w:r>
      <w:r w:rsidRPr="008B4DA2">
        <w:rPr>
          <w:noProof/>
        </w:rPr>
        <w:t xml:space="preserve"> są one wydane przez to samo państwo członkowskie.</w:t>
      </w:r>
    </w:p>
    <w:p w:rsidR="00BD67F9" w:rsidRPr="008B4DA2" w:rsidRDefault="00DF60AC" w:rsidP="00DF60AC">
      <w:pPr>
        <w:pStyle w:val="ManualConsidrant"/>
        <w:rPr>
          <w:noProof/>
        </w:rPr>
      </w:pPr>
      <w:r w:rsidRPr="008B4DA2">
        <w:rPr>
          <w:noProof/>
        </w:rPr>
        <w:t>(12)</w:t>
      </w:r>
      <w:r w:rsidRPr="008B4DA2">
        <w:rPr>
          <w:noProof/>
        </w:rPr>
        <w:tab/>
        <w:t>W kompleksowej strategii na rzecz zrównoważonej</w:t>
      </w:r>
      <w:r w:rsidR="00B83C93" w:rsidRPr="008B4DA2">
        <w:rPr>
          <w:noProof/>
        </w:rPr>
        <w:t xml:space="preserve"> i</w:t>
      </w:r>
      <w:r w:rsidR="00B83C93">
        <w:rPr>
          <w:noProof/>
        </w:rPr>
        <w:t> </w:t>
      </w:r>
      <w:r w:rsidR="00B83C93" w:rsidRPr="008B4DA2">
        <w:rPr>
          <w:noProof/>
        </w:rPr>
        <w:t>int</w:t>
      </w:r>
      <w:r w:rsidRPr="008B4DA2">
        <w:rPr>
          <w:noProof/>
        </w:rPr>
        <w:t>eligentnej mobilności przedstawiono wizję istotnej poprawy zrównoważoności mobilności</w:t>
      </w:r>
      <w:r w:rsidR="00B83C93" w:rsidRPr="008B4DA2">
        <w:rPr>
          <w:noProof/>
        </w:rPr>
        <w:t xml:space="preserve"> i</w:t>
      </w:r>
      <w:r w:rsidR="00B83C93">
        <w:rPr>
          <w:noProof/>
        </w:rPr>
        <w:t> </w:t>
      </w:r>
      <w:r w:rsidR="00B83C93" w:rsidRPr="008B4DA2">
        <w:rPr>
          <w:noProof/>
        </w:rPr>
        <w:t>tra</w:t>
      </w:r>
      <w:r w:rsidRPr="008B4DA2">
        <w:rPr>
          <w:noProof/>
        </w:rPr>
        <w:t>nsportu w UE. Emisje</w:t>
      </w:r>
      <w:r w:rsidR="00B83C93" w:rsidRPr="008B4DA2">
        <w:rPr>
          <w:noProof/>
        </w:rPr>
        <w:t xml:space="preserve"> z</w:t>
      </w:r>
      <w:r w:rsidR="00B83C93">
        <w:rPr>
          <w:noProof/>
        </w:rPr>
        <w:t> </w:t>
      </w:r>
      <w:r w:rsidR="00B83C93" w:rsidRPr="008B4DA2">
        <w:rPr>
          <w:noProof/>
        </w:rPr>
        <w:t>sek</w:t>
      </w:r>
      <w:r w:rsidRPr="008B4DA2">
        <w:rPr>
          <w:noProof/>
        </w:rPr>
        <w:t>tora transportu drogowego obejmują emisje gazów cieplarnianych, zanieczyszczenie powietrza, hałas oraz mikrodrobiny plastiku powstałe</w:t>
      </w:r>
      <w:r w:rsidR="00B83C93" w:rsidRPr="008B4DA2">
        <w:rPr>
          <w:noProof/>
        </w:rPr>
        <w:t xml:space="preserve"> w</w:t>
      </w:r>
      <w:r w:rsidR="00B83C93">
        <w:rPr>
          <w:noProof/>
        </w:rPr>
        <w:t> </w:t>
      </w:r>
      <w:r w:rsidR="00B83C93" w:rsidRPr="008B4DA2">
        <w:rPr>
          <w:noProof/>
        </w:rPr>
        <w:t>wyn</w:t>
      </w:r>
      <w:r w:rsidRPr="008B4DA2">
        <w:rPr>
          <w:noProof/>
        </w:rPr>
        <w:t>iku zużywania opon</w:t>
      </w:r>
      <w:r w:rsidR="00B83C93" w:rsidRPr="008B4DA2">
        <w:rPr>
          <w:noProof/>
        </w:rPr>
        <w:t xml:space="preserve"> i</w:t>
      </w:r>
      <w:r w:rsidR="00B83C93">
        <w:rPr>
          <w:noProof/>
        </w:rPr>
        <w:t> </w:t>
      </w:r>
      <w:r w:rsidR="00B83C93" w:rsidRPr="008B4DA2">
        <w:rPr>
          <w:noProof/>
        </w:rPr>
        <w:t>dró</w:t>
      </w:r>
      <w:r w:rsidRPr="008B4DA2">
        <w:rPr>
          <w:noProof/>
        </w:rPr>
        <w:t>g. Styl jazdy wywiera wpływ na te emisje</w:t>
      </w:r>
      <w:r w:rsidR="00B83C93" w:rsidRPr="008B4DA2">
        <w:rPr>
          <w:noProof/>
        </w:rPr>
        <w:t xml:space="preserve"> i</w:t>
      </w:r>
      <w:r w:rsidR="00B83C93">
        <w:rPr>
          <w:noProof/>
        </w:rPr>
        <w:t> </w:t>
      </w:r>
      <w:r w:rsidR="00B83C93" w:rsidRPr="008B4DA2">
        <w:rPr>
          <w:noProof/>
        </w:rPr>
        <w:t>moż</w:t>
      </w:r>
      <w:r w:rsidRPr="008B4DA2">
        <w:rPr>
          <w:noProof/>
        </w:rPr>
        <w:t>e mieć negatywny wpływ na środowisko</w:t>
      </w:r>
      <w:r w:rsidR="00B83C93" w:rsidRPr="008B4DA2">
        <w:rPr>
          <w:noProof/>
        </w:rPr>
        <w:t xml:space="preserve"> i</w:t>
      </w:r>
      <w:r w:rsidR="00B83C93">
        <w:rPr>
          <w:noProof/>
        </w:rPr>
        <w:t> </w:t>
      </w:r>
      <w:r w:rsidR="00B83C93" w:rsidRPr="008B4DA2">
        <w:rPr>
          <w:noProof/>
        </w:rPr>
        <w:t>zdr</w:t>
      </w:r>
      <w:r w:rsidRPr="008B4DA2">
        <w:rPr>
          <w:noProof/>
        </w:rPr>
        <w:t>owie ludzi. Dlatego szkolenie</w:t>
      </w:r>
      <w:r w:rsidR="00B83C93" w:rsidRPr="008B4DA2">
        <w:rPr>
          <w:noProof/>
        </w:rPr>
        <w:t xml:space="preserve"> w</w:t>
      </w:r>
      <w:r w:rsidR="00B83C93">
        <w:rPr>
          <w:noProof/>
        </w:rPr>
        <w:t> </w:t>
      </w:r>
      <w:r w:rsidR="00B83C93" w:rsidRPr="008B4DA2">
        <w:rPr>
          <w:noProof/>
        </w:rPr>
        <w:t>zak</w:t>
      </w:r>
      <w:r w:rsidRPr="008B4DA2">
        <w:rPr>
          <w:noProof/>
        </w:rPr>
        <w:t>resie kierowania pojazdami powinno zapewnić kierowcom wiedzę na temat ograniczania wpływu ich stylu jazdy na emisje,</w:t>
      </w:r>
      <w:r w:rsidR="00B83C93" w:rsidRPr="008B4DA2">
        <w:rPr>
          <w:noProof/>
        </w:rPr>
        <w:t xml:space="preserve"> a</w:t>
      </w:r>
      <w:r w:rsidR="00B83C93">
        <w:rPr>
          <w:noProof/>
        </w:rPr>
        <w:t> </w:t>
      </w:r>
      <w:r w:rsidR="00B83C93" w:rsidRPr="008B4DA2">
        <w:rPr>
          <w:noProof/>
        </w:rPr>
        <w:t>tak</w:t>
      </w:r>
      <w:r w:rsidRPr="008B4DA2">
        <w:rPr>
          <w:noProof/>
        </w:rPr>
        <w:t>że przygotować ich do kierowania pojazdami bezemisyjnymi.</w:t>
      </w:r>
    </w:p>
    <w:p w:rsidR="00BD67F9" w:rsidRPr="008B4DA2" w:rsidRDefault="00DF60AC" w:rsidP="00DF60AC">
      <w:pPr>
        <w:pStyle w:val="ManualConsidrant"/>
        <w:rPr>
          <w:noProof/>
        </w:rPr>
      </w:pPr>
      <w:r w:rsidRPr="008B4DA2">
        <w:rPr>
          <w:noProof/>
        </w:rPr>
        <w:t>(13)</w:t>
      </w:r>
      <w:r w:rsidRPr="008B4DA2">
        <w:rPr>
          <w:noProof/>
        </w:rPr>
        <w:tab/>
        <w:t>Aby umożliwić obywatelom</w:t>
      </w:r>
      <w:r w:rsidR="00B83C93" w:rsidRPr="008B4DA2">
        <w:rPr>
          <w:noProof/>
        </w:rPr>
        <w:t xml:space="preserve"> i</w:t>
      </w:r>
      <w:r w:rsidR="00B83C93">
        <w:rPr>
          <w:noProof/>
        </w:rPr>
        <w:t> </w:t>
      </w:r>
      <w:r w:rsidR="00B83C93" w:rsidRPr="008B4DA2">
        <w:rPr>
          <w:noProof/>
        </w:rPr>
        <w:t>mie</w:t>
      </w:r>
      <w:r w:rsidRPr="008B4DA2">
        <w:rPr>
          <w:noProof/>
        </w:rPr>
        <w:t>szkańcom bezpośrednie korzystanie</w:t>
      </w:r>
      <w:r w:rsidR="00B83C93" w:rsidRPr="008B4DA2">
        <w:rPr>
          <w:noProof/>
        </w:rPr>
        <w:t xml:space="preserve"> z</w:t>
      </w:r>
      <w:r w:rsidR="00B83C93">
        <w:rPr>
          <w:noProof/>
        </w:rPr>
        <w:t> </w:t>
      </w:r>
      <w:r w:rsidR="00B83C93" w:rsidRPr="008B4DA2">
        <w:rPr>
          <w:noProof/>
        </w:rPr>
        <w:t>dob</w:t>
      </w:r>
      <w:r w:rsidRPr="008B4DA2">
        <w:rPr>
          <w:noProof/>
        </w:rPr>
        <w:t>rodziejstw rynku wewnętrznego bez zbędnych dodatkowych obciążeń administracyjnych,</w:t>
      </w:r>
      <w:r w:rsidR="00B83C93" w:rsidRPr="008B4DA2">
        <w:rPr>
          <w:noProof/>
        </w:rPr>
        <w:t xml:space="preserve"> w</w:t>
      </w:r>
      <w:r w:rsidR="00B83C93">
        <w:rPr>
          <w:noProof/>
        </w:rPr>
        <w:t> </w:t>
      </w:r>
      <w:r w:rsidR="00B83C93" w:rsidRPr="008B4DA2">
        <w:rPr>
          <w:noProof/>
        </w:rPr>
        <w:t>roz</w:t>
      </w:r>
      <w:r w:rsidRPr="008B4DA2">
        <w:rPr>
          <w:noProof/>
        </w:rPr>
        <w:t>porządzeniu Parlamentu Europejskiego</w:t>
      </w:r>
      <w:r w:rsidR="00B83C93" w:rsidRPr="008B4DA2">
        <w:rPr>
          <w:noProof/>
        </w:rPr>
        <w:t xml:space="preserve"> i</w:t>
      </w:r>
      <w:r w:rsidR="00B83C93">
        <w:rPr>
          <w:noProof/>
        </w:rPr>
        <w:t> </w:t>
      </w:r>
      <w:r w:rsidR="00B83C93" w:rsidRPr="008B4DA2">
        <w:rPr>
          <w:noProof/>
        </w:rPr>
        <w:t>Rad</w:t>
      </w:r>
      <w:r w:rsidRPr="008B4DA2">
        <w:rPr>
          <w:noProof/>
        </w:rPr>
        <w:t>y (UE) 2018/1724</w:t>
      </w:r>
      <w:r w:rsidRPr="008B4DA2">
        <w:rPr>
          <w:rStyle w:val="FootnoteReference"/>
          <w:noProof/>
        </w:rPr>
        <w:footnoteReference w:id="56"/>
      </w:r>
      <w:r w:rsidRPr="008B4DA2">
        <w:rPr>
          <w:noProof/>
        </w:rPr>
        <w:t xml:space="preserve"> przewidziano dostęp online do procedur istotnych dla funkcjonowania rynku wewnętrznego,</w:t>
      </w:r>
      <w:r w:rsidR="00B83C93" w:rsidRPr="008B4DA2">
        <w:rPr>
          <w:noProof/>
        </w:rPr>
        <w:t xml:space="preserve"> w</w:t>
      </w:r>
      <w:r w:rsidR="00B83C93">
        <w:rPr>
          <w:noProof/>
        </w:rPr>
        <w:t> </w:t>
      </w:r>
      <w:r w:rsidR="00B83C93" w:rsidRPr="008B4DA2">
        <w:rPr>
          <w:noProof/>
        </w:rPr>
        <w:t>tym</w:t>
      </w:r>
      <w:r w:rsidRPr="008B4DA2">
        <w:rPr>
          <w:noProof/>
        </w:rPr>
        <w:t xml:space="preserve"> na rzecz użytkowników transgranicznych. Informacje objęte zakresem stosowania niniejszej dyrektywy są już ujęte</w:t>
      </w:r>
      <w:r w:rsidR="00B83C93" w:rsidRPr="008B4DA2">
        <w:rPr>
          <w:noProof/>
        </w:rPr>
        <w:t xml:space="preserve"> w</w:t>
      </w:r>
      <w:r w:rsidR="00B83C93">
        <w:rPr>
          <w:noProof/>
        </w:rPr>
        <w:t> </w:t>
      </w:r>
      <w:r w:rsidR="00B83C93" w:rsidRPr="008B4DA2">
        <w:rPr>
          <w:noProof/>
        </w:rPr>
        <w:t>zał</w:t>
      </w:r>
      <w:r w:rsidRPr="008B4DA2">
        <w:rPr>
          <w:noProof/>
        </w:rPr>
        <w:t>ączniku I do rozporządzenia (UE) 2018/1724. Należy zmienić załącznik II do tego rozporządzenia, aby zapewnić wszystkim wnioskodawcom możliwość korzystania</w:t>
      </w:r>
      <w:r w:rsidR="00B83C93" w:rsidRPr="008B4DA2">
        <w:rPr>
          <w:noProof/>
        </w:rPr>
        <w:t xml:space="preserve"> z</w:t>
      </w:r>
      <w:r w:rsidR="00B83C93">
        <w:rPr>
          <w:noProof/>
        </w:rPr>
        <w:t> </w:t>
      </w:r>
      <w:r w:rsidR="00B83C93" w:rsidRPr="008B4DA2">
        <w:rPr>
          <w:noProof/>
        </w:rPr>
        <w:t>pro</w:t>
      </w:r>
      <w:r w:rsidRPr="008B4DA2">
        <w:rPr>
          <w:noProof/>
        </w:rPr>
        <w:t>cedur dostępnych</w:t>
      </w:r>
      <w:r w:rsidR="00B83C93" w:rsidRPr="008B4DA2">
        <w:rPr>
          <w:noProof/>
        </w:rPr>
        <w:t xml:space="preserve"> w</w:t>
      </w:r>
      <w:r w:rsidR="00B83C93">
        <w:rPr>
          <w:noProof/>
        </w:rPr>
        <w:t> </w:t>
      </w:r>
      <w:r w:rsidR="00B83C93" w:rsidRPr="008B4DA2">
        <w:rPr>
          <w:noProof/>
        </w:rPr>
        <w:t>peł</w:t>
      </w:r>
      <w:r w:rsidRPr="008B4DA2">
        <w:rPr>
          <w:noProof/>
        </w:rPr>
        <w:t xml:space="preserve">ni online. </w:t>
      </w:r>
    </w:p>
    <w:p w:rsidR="00BD67F9" w:rsidRPr="008B4DA2" w:rsidRDefault="00DF60AC" w:rsidP="00DF60AC">
      <w:pPr>
        <w:pStyle w:val="ManualConsidrant"/>
        <w:rPr>
          <w:noProof/>
        </w:rPr>
      </w:pPr>
      <w:r w:rsidRPr="008B4DA2">
        <w:rPr>
          <w:noProof/>
        </w:rPr>
        <w:t>(14)</w:t>
      </w:r>
      <w:r w:rsidRPr="008B4DA2">
        <w:rPr>
          <w:noProof/>
        </w:rPr>
        <w:tab/>
        <w:t>Prawa jazdy powinny być podzielone na kategorie według typów pojazdów, do kierowania którymi uprawniają. Należy to zrobić</w:t>
      </w:r>
      <w:r w:rsidR="00B83C93" w:rsidRPr="008B4DA2">
        <w:rPr>
          <w:noProof/>
        </w:rPr>
        <w:t xml:space="preserve"> w</w:t>
      </w:r>
      <w:r w:rsidR="00B83C93">
        <w:rPr>
          <w:noProof/>
        </w:rPr>
        <w:t> </w:t>
      </w:r>
      <w:r w:rsidR="00B83C93" w:rsidRPr="008B4DA2">
        <w:rPr>
          <w:noProof/>
        </w:rPr>
        <w:t>spo</w:t>
      </w:r>
      <w:r w:rsidRPr="008B4DA2">
        <w:rPr>
          <w:noProof/>
        </w:rPr>
        <w:t>sób jasny, spójny oraz</w:t>
      </w:r>
      <w:r w:rsidR="00B83C93" w:rsidRPr="008B4DA2">
        <w:rPr>
          <w:noProof/>
        </w:rPr>
        <w:t xml:space="preserve"> z</w:t>
      </w:r>
      <w:r w:rsidR="00B83C93">
        <w:rPr>
          <w:noProof/>
        </w:rPr>
        <w:t> </w:t>
      </w:r>
      <w:r w:rsidR="00B83C93" w:rsidRPr="008B4DA2">
        <w:rPr>
          <w:noProof/>
        </w:rPr>
        <w:t>peł</w:t>
      </w:r>
      <w:r w:rsidRPr="008B4DA2">
        <w:rPr>
          <w:noProof/>
        </w:rPr>
        <w:t>nym uwzględnieniem warunków technicznych odnośnych pojazdów oraz umiejętności niezbędnych do kierowania nimi.</w:t>
      </w:r>
    </w:p>
    <w:p w:rsidR="00BD67F9" w:rsidRPr="008B4DA2" w:rsidRDefault="00DF60AC" w:rsidP="00DF60AC">
      <w:pPr>
        <w:pStyle w:val="ManualConsidrant"/>
        <w:rPr>
          <w:noProof/>
        </w:rPr>
      </w:pPr>
      <w:r w:rsidRPr="008B4DA2">
        <w:rPr>
          <w:noProof/>
        </w:rPr>
        <w:t>(15)</w:t>
      </w:r>
      <w:r w:rsidRPr="008B4DA2">
        <w:rPr>
          <w:noProof/>
        </w:rPr>
        <w:tab/>
        <w:t>Zgodnie</w:t>
      </w:r>
      <w:r w:rsidR="00B83C93" w:rsidRPr="008B4DA2">
        <w:rPr>
          <w:noProof/>
        </w:rPr>
        <w:t xml:space="preserve"> z</w:t>
      </w:r>
      <w:r w:rsidR="00B83C93">
        <w:rPr>
          <w:noProof/>
        </w:rPr>
        <w:t> </w:t>
      </w:r>
      <w:r w:rsidR="00B83C93" w:rsidRPr="008B4DA2">
        <w:rPr>
          <w:noProof/>
        </w:rPr>
        <w:t>Kon</w:t>
      </w:r>
      <w:r w:rsidRPr="008B4DA2">
        <w:rPr>
          <w:noProof/>
        </w:rPr>
        <w:t>wencją ONZ</w:t>
      </w:r>
      <w:r w:rsidR="00B83C93" w:rsidRPr="008B4DA2">
        <w:rPr>
          <w:noProof/>
        </w:rPr>
        <w:t xml:space="preserve"> o</w:t>
      </w:r>
      <w:r w:rsidR="00B83C93">
        <w:rPr>
          <w:noProof/>
        </w:rPr>
        <w:t> </w:t>
      </w:r>
      <w:r w:rsidR="00B83C93" w:rsidRPr="008B4DA2">
        <w:rPr>
          <w:noProof/>
        </w:rPr>
        <w:t>pra</w:t>
      </w:r>
      <w:r w:rsidRPr="008B4DA2">
        <w:rPr>
          <w:noProof/>
        </w:rPr>
        <w:t>wach osób niepełnosprawnych</w:t>
      </w:r>
      <w:r w:rsidR="00B83C93" w:rsidRPr="008B4DA2">
        <w:rPr>
          <w:noProof/>
        </w:rPr>
        <w:t xml:space="preserve"> z</w:t>
      </w:r>
      <w:r w:rsidR="00B83C93">
        <w:rPr>
          <w:noProof/>
        </w:rPr>
        <w:t> </w:t>
      </w:r>
      <w:r w:rsidR="00B83C93" w:rsidRPr="008B4DA2">
        <w:rPr>
          <w:noProof/>
        </w:rPr>
        <w:t>dni</w:t>
      </w:r>
      <w:r w:rsidRPr="008B4DA2">
        <w:rPr>
          <w:noProof/>
        </w:rPr>
        <w:t>a 13 grudnia 20</w:t>
      </w:r>
      <w:r w:rsidRPr="00B83C93">
        <w:rPr>
          <w:noProof/>
        </w:rPr>
        <w:t>06</w:t>
      </w:r>
      <w:r w:rsidR="00B83C93" w:rsidRPr="00B83C93">
        <w:rPr>
          <w:noProof/>
        </w:rPr>
        <w:t> </w:t>
      </w:r>
      <w:r w:rsidRPr="00B83C93">
        <w:rPr>
          <w:noProof/>
        </w:rPr>
        <w:t>r.</w:t>
      </w:r>
      <w:r w:rsidRPr="008B4DA2">
        <w:rPr>
          <w:noProof/>
        </w:rPr>
        <w:t xml:space="preserve">, której UE jest stroną </w:t>
      </w:r>
      <w:r w:rsidRPr="00B83C93">
        <w:rPr>
          <w:noProof/>
        </w:rPr>
        <w:t>od</w:t>
      </w:r>
      <w:r w:rsidR="00B83C93" w:rsidRPr="00B83C93">
        <w:rPr>
          <w:noProof/>
        </w:rPr>
        <w:t> </w:t>
      </w:r>
      <w:r w:rsidRPr="00B83C93">
        <w:rPr>
          <w:noProof/>
        </w:rPr>
        <w:t>2</w:t>
      </w:r>
      <w:r w:rsidRPr="008B4DA2">
        <w:rPr>
          <w:noProof/>
        </w:rPr>
        <w:t>1 stycznia 20</w:t>
      </w:r>
      <w:r w:rsidRPr="00B83C93">
        <w:rPr>
          <w:noProof/>
        </w:rPr>
        <w:t>11</w:t>
      </w:r>
      <w:r w:rsidR="00B83C93" w:rsidRPr="00B83C93">
        <w:rPr>
          <w:noProof/>
        </w:rPr>
        <w:t> </w:t>
      </w:r>
      <w:r w:rsidRPr="00B83C93">
        <w:rPr>
          <w:noProof/>
        </w:rPr>
        <w:t>r.</w:t>
      </w:r>
      <w:r w:rsidRPr="008B4DA2">
        <w:rPr>
          <w:noProof/>
        </w:rPr>
        <w:t>, należy przyjąć przepisy szczegółowe, aby ułatwić osobom</w:t>
      </w:r>
      <w:r w:rsidR="00B83C93" w:rsidRPr="008B4DA2">
        <w:rPr>
          <w:noProof/>
        </w:rPr>
        <w:t xml:space="preserve"> z</w:t>
      </w:r>
      <w:r w:rsidR="00B83C93">
        <w:rPr>
          <w:noProof/>
        </w:rPr>
        <w:t> </w:t>
      </w:r>
      <w:r w:rsidR="00B83C93" w:rsidRPr="008B4DA2">
        <w:rPr>
          <w:noProof/>
        </w:rPr>
        <w:t>nie</w:t>
      </w:r>
      <w:r w:rsidRPr="008B4DA2">
        <w:rPr>
          <w:noProof/>
        </w:rPr>
        <w:t>pełnosprawnościami kierowanie pojazdami</w:t>
      </w:r>
      <w:r w:rsidR="00B83C93" w:rsidRPr="008B4DA2">
        <w:rPr>
          <w:noProof/>
        </w:rPr>
        <w:t>. W</w:t>
      </w:r>
      <w:r w:rsidR="00B83C93">
        <w:rPr>
          <w:noProof/>
        </w:rPr>
        <w:t> </w:t>
      </w:r>
      <w:r w:rsidR="00B83C93" w:rsidRPr="008B4DA2">
        <w:rPr>
          <w:noProof/>
        </w:rPr>
        <w:t>zwi</w:t>
      </w:r>
      <w:r w:rsidRPr="008B4DA2">
        <w:rPr>
          <w:noProof/>
        </w:rPr>
        <w:t>ązku</w:t>
      </w:r>
      <w:r w:rsidR="00B83C93" w:rsidRPr="008B4DA2">
        <w:rPr>
          <w:noProof/>
        </w:rPr>
        <w:t xml:space="preserve"> z</w:t>
      </w:r>
      <w:r w:rsidR="00B83C93">
        <w:rPr>
          <w:noProof/>
        </w:rPr>
        <w:t> </w:t>
      </w:r>
      <w:r w:rsidR="00B83C93" w:rsidRPr="008B4DA2">
        <w:rPr>
          <w:noProof/>
        </w:rPr>
        <w:t>tym</w:t>
      </w:r>
      <w:r w:rsidRPr="008B4DA2">
        <w:rPr>
          <w:noProof/>
        </w:rPr>
        <w:t>, za uprzednią zgodą Komisji, państwa członkowskie powinny mieć możliwość wyłączenia</w:t>
      </w:r>
      <w:r w:rsidR="00B83C93" w:rsidRPr="008B4DA2">
        <w:rPr>
          <w:noProof/>
        </w:rPr>
        <w:t xml:space="preserve"> z</w:t>
      </w:r>
      <w:r w:rsidR="00B83C93">
        <w:rPr>
          <w:noProof/>
        </w:rPr>
        <w:t> </w:t>
      </w:r>
      <w:r w:rsidR="00B83C93" w:rsidRPr="008B4DA2">
        <w:rPr>
          <w:noProof/>
        </w:rPr>
        <w:t>zak</w:t>
      </w:r>
      <w:r w:rsidRPr="008B4DA2">
        <w:rPr>
          <w:noProof/>
        </w:rPr>
        <w:t xml:space="preserve">resu stosowania </w:t>
      </w:r>
      <w:r w:rsidRPr="00B83C93">
        <w:rPr>
          <w:noProof/>
        </w:rPr>
        <w:t>art.</w:t>
      </w:r>
      <w:r w:rsidR="00B83C93" w:rsidRPr="00B83C93">
        <w:rPr>
          <w:noProof/>
        </w:rPr>
        <w:t> </w:t>
      </w:r>
      <w:r w:rsidRPr="00B83C93">
        <w:rPr>
          <w:noProof/>
        </w:rPr>
        <w:t>6</w:t>
      </w:r>
      <w:r w:rsidRPr="008B4DA2">
        <w:rPr>
          <w:noProof/>
        </w:rPr>
        <w:t xml:space="preserve"> niektórych określonych typów pojazdów mechanicznych.</w:t>
      </w:r>
    </w:p>
    <w:p w:rsidR="00BD67F9" w:rsidRPr="008B4DA2" w:rsidRDefault="00DF60AC" w:rsidP="00DF60AC">
      <w:pPr>
        <w:pStyle w:val="ManualConsidrant"/>
        <w:rPr>
          <w:noProof/>
        </w:rPr>
      </w:pPr>
      <w:r w:rsidRPr="008B4DA2">
        <w:rPr>
          <w:noProof/>
        </w:rPr>
        <w:t>(16)</w:t>
      </w:r>
      <w:r w:rsidRPr="008B4DA2">
        <w:rPr>
          <w:noProof/>
        </w:rPr>
        <w:tab/>
        <w:t>Dolne granice wieku dla kandydatów ubiegających się</w:t>
      </w:r>
      <w:r w:rsidR="00B83C93" w:rsidRPr="008B4DA2">
        <w:rPr>
          <w:noProof/>
        </w:rPr>
        <w:t xml:space="preserve"> o</w:t>
      </w:r>
      <w:r w:rsidR="00B83C93">
        <w:rPr>
          <w:noProof/>
        </w:rPr>
        <w:t> </w:t>
      </w:r>
      <w:r w:rsidR="00B83C93" w:rsidRPr="008B4DA2">
        <w:rPr>
          <w:noProof/>
        </w:rPr>
        <w:t>pos</w:t>
      </w:r>
      <w:r w:rsidRPr="008B4DA2">
        <w:rPr>
          <w:noProof/>
        </w:rPr>
        <w:t>zczególne kategorie praw jazdy należy ustalić na poziomie Unii. Niemniej jednak państwa członkowskie powinny mieć prawo do podwyższenia dolnej granicy wieku dla kierowania pewnymi kategoriami pojazdów</w:t>
      </w:r>
      <w:r w:rsidR="00B83C93" w:rsidRPr="008B4DA2">
        <w:rPr>
          <w:noProof/>
        </w:rPr>
        <w:t xml:space="preserve"> w</w:t>
      </w:r>
      <w:r w:rsidR="00B83C93">
        <w:rPr>
          <w:noProof/>
        </w:rPr>
        <w:t> </w:t>
      </w:r>
      <w:r w:rsidR="00B83C93" w:rsidRPr="008B4DA2">
        <w:rPr>
          <w:noProof/>
        </w:rPr>
        <w:t>cel</w:t>
      </w:r>
      <w:r w:rsidRPr="008B4DA2">
        <w:rPr>
          <w:noProof/>
        </w:rPr>
        <w:t>u dalszego zwiększania bezpieczeństwa ruchu drogowego</w:t>
      </w:r>
      <w:r w:rsidR="00B83C93" w:rsidRPr="008B4DA2">
        <w:rPr>
          <w:noProof/>
        </w:rPr>
        <w:t>. W</w:t>
      </w:r>
      <w:r w:rsidR="00B83C93">
        <w:rPr>
          <w:noProof/>
        </w:rPr>
        <w:t> </w:t>
      </w:r>
      <w:r w:rsidR="00B83C93" w:rsidRPr="008B4DA2">
        <w:rPr>
          <w:noProof/>
        </w:rPr>
        <w:t>wyj</w:t>
      </w:r>
      <w:r w:rsidRPr="008B4DA2">
        <w:rPr>
          <w:noProof/>
        </w:rPr>
        <w:t>ątkowych przypadkach państwa członkowskie powinny mieć prawo do obniżenia dolnej granicy wieku,</w:t>
      </w:r>
      <w:r w:rsidR="00B83C93" w:rsidRPr="008B4DA2">
        <w:rPr>
          <w:noProof/>
        </w:rPr>
        <w:t xml:space="preserve"> w</w:t>
      </w:r>
      <w:r w:rsidR="00B83C93">
        <w:rPr>
          <w:noProof/>
        </w:rPr>
        <w:t> </w:t>
      </w:r>
      <w:r w:rsidR="00B83C93" w:rsidRPr="008B4DA2">
        <w:rPr>
          <w:noProof/>
        </w:rPr>
        <w:t>cel</w:t>
      </w:r>
      <w:r w:rsidRPr="008B4DA2">
        <w:rPr>
          <w:noProof/>
        </w:rPr>
        <w:t>u uwzględnienia uwarunkowań krajowych</w:t>
      </w:r>
      <w:r w:rsidR="00B83C93" w:rsidRPr="008B4DA2">
        <w:rPr>
          <w:noProof/>
        </w:rPr>
        <w:t>. W</w:t>
      </w:r>
      <w:r w:rsidR="00B83C93">
        <w:rPr>
          <w:noProof/>
        </w:rPr>
        <w:t> </w:t>
      </w:r>
      <w:r w:rsidR="00B83C93" w:rsidRPr="008B4DA2">
        <w:rPr>
          <w:noProof/>
        </w:rPr>
        <w:t>szc</w:t>
      </w:r>
      <w:r w:rsidRPr="008B4DA2">
        <w:rPr>
          <w:noProof/>
        </w:rPr>
        <w:t>zególności</w:t>
      </w:r>
      <w:r w:rsidR="00B83C93" w:rsidRPr="008B4DA2">
        <w:rPr>
          <w:noProof/>
        </w:rPr>
        <w:t xml:space="preserve"> w</w:t>
      </w:r>
      <w:r w:rsidR="00B83C93">
        <w:rPr>
          <w:noProof/>
        </w:rPr>
        <w:t> </w:t>
      </w:r>
      <w:r w:rsidR="00B83C93" w:rsidRPr="008B4DA2">
        <w:rPr>
          <w:noProof/>
        </w:rPr>
        <w:t>cel</w:t>
      </w:r>
      <w:r w:rsidRPr="008B4DA2">
        <w:rPr>
          <w:noProof/>
        </w:rPr>
        <w:t>u umożliwienia prowadzenia pojazdów związanych ze strażą pożarną</w:t>
      </w:r>
      <w:r w:rsidR="00B83C93" w:rsidRPr="008B4DA2">
        <w:rPr>
          <w:noProof/>
        </w:rPr>
        <w:t xml:space="preserve"> i</w:t>
      </w:r>
      <w:r w:rsidR="00B83C93">
        <w:rPr>
          <w:noProof/>
        </w:rPr>
        <w:t> </w:t>
      </w:r>
      <w:r w:rsidR="00B83C93" w:rsidRPr="008B4DA2">
        <w:rPr>
          <w:noProof/>
        </w:rPr>
        <w:t>utr</w:t>
      </w:r>
      <w:r w:rsidRPr="008B4DA2">
        <w:rPr>
          <w:noProof/>
        </w:rPr>
        <w:t>zymaniem porządku publicznego lub projektów pilotażowych związanych</w:t>
      </w:r>
      <w:r w:rsidR="00B83C93" w:rsidRPr="008B4DA2">
        <w:rPr>
          <w:noProof/>
        </w:rPr>
        <w:t xml:space="preserve"> z</w:t>
      </w:r>
      <w:r w:rsidR="00B83C93">
        <w:rPr>
          <w:noProof/>
        </w:rPr>
        <w:t> </w:t>
      </w:r>
      <w:r w:rsidR="00B83C93" w:rsidRPr="008B4DA2">
        <w:rPr>
          <w:noProof/>
        </w:rPr>
        <w:t>now</w:t>
      </w:r>
      <w:r w:rsidRPr="008B4DA2">
        <w:rPr>
          <w:noProof/>
        </w:rPr>
        <w:t>ymi technologiami pojazdów.</w:t>
      </w:r>
    </w:p>
    <w:p w:rsidR="00BD67F9" w:rsidRPr="008B4DA2" w:rsidRDefault="00DF60AC" w:rsidP="00DF60AC">
      <w:pPr>
        <w:pStyle w:val="ManualConsidrant"/>
        <w:rPr>
          <w:noProof/>
        </w:rPr>
      </w:pPr>
      <w:r w:rsidRPr="008B4DA2">
        <w:rPr>
          <w:noProof/>
        </w:rPr>
        <w:t>(17)</w:t>
      </w:r>
      <w:r w:rsidRPr="008B4DA2">
        <w:rPr>
          <w:noProof/>
        </w:rPr>
        <w:tab/>
        <w:t>Należy wprowadzić system kolejności przyznawania uprawnień (przewidujący konieczność posiadania prawa jazdy kategorii B jako warunku wstępnego umożliwiającego uzyskanie przez wnioskodawcę określonych innych kategorii prawa jazdy) oraz równoważności kategorii. Taki system powinien być częściowo wiążący dla wszystkich państw członkowskich, ale należy również przewidzieć możliwość jego stosowania na zasadzie wzajemności między poszczególnymi państwami członkowskimi na ich odpowiednich terytoriach. Państwa członkowskie powinny mieć również możliwość ustanowienia pewnych równoważności ograniczonych wyłącznie do ich własnego terytorium.</w:t>
      </w:r>
    </w:p>
    <w:p w:rsidR="00BD67F9" w:rsidRPr="008B4DA2" w:rsidRDefault="00DF60AC" w:rsidP="00DF60AC">
      <w:pPr>
        <w:pStyle w:val="ManualConsidrant"/>
        <w:rPr>
          <w:noProof/>
        </w:rPr>
      </w:pPr>
      <w:r w:rsidRPr="008B4DA2">
        <w:rPr>
          <w:noProof/>
        </w:rPr>
        <w:t>(18)</w:t>
      </w:r>
      <w:r w:rsidRPr="008B4DA2">
        <w:rPr>
          <w:noProof/>
        </w:rPr>
        <w:tab/>
        <w:t>Z uwagi na bezpieczeństwo ruchu drogowego niezbędne jest ustanowienie minimalnych wymogów, jakim podlega wydawanie praw jazdy. Należy podjąć harmonizację wymagań dotyczących egzaminów na prawo jazdy oraz wydawania praw jazdy</w:t>
      </w:r>
      <w:r w:rsidR="00B83C93" w:rsidRPr="008B4DA2">
        <w:rPr>
          <w:noProof/>
        </w:rPr>
        <w:t>. W</w:t>
      </w:r>
      <w:r w:rsidR="00B83C93">
        <w:rPr>
          <w:noProof/>
        </w:rPr>
        <w:t> </w:t>
      </w:r>
      <w:r w:rsidR="00B83C93" w:rsidRPr="008B4DA2">
        <w:rPr>
          <w:noProof/>
        </w:rPr>
        <w:t>tym</w:t>
      </w:r>
      <w:r w:rsidRPr="008B4DA2">
        <w:rPr>
          <w:noProof/>
        </w:rPr>
        <w:t xml:space="preserve"> celu powinien zostać określony zakres wiedzy, umiejętności</w:t>
      </w:r>
      <w:r w:rsidR="00B83C93" w:rsidRPr="008B4DA2">
        <w:rPr>
          <w:noProof/>
        </w:rPr>
        <w:t xml:space="preserve"> i</w:t>
      </w:r>
      <w:r w:rsidR="00B83C93">
        <w:rPr>
          <w:noProof/>
        </w:rPr>
        <w:t> </w:t>
      </w:r>
      <w:r w:rsidR="00B83C93" w:rsidRPr="008B4DA2">
        <w:rPr>
          <w:noProof/>
        </w:rPr>
        <w:t>zac</w:t>
      </w:r>
      <w:r w:rsidRPr="008B4DA2">
        <w:rPr>
          <w:noProof/>
        </w:rPr>
        <w:t>howań związanych</w:t>
      </w:r>
      <w:r w:rsidR="00B83C93" w:rsidRPr="008B4DA2">
        <w:rPr>
          <w:noProof/>
        </w:rPr>
        <w:t xml:space="preserve"> z</w:t>
      </w:r>
      <w:r w:rsidR="00B83C93">
        <w:rPr>
          <w:noProof/>
        </w:rPr>
        <w:t> </w:t>
      </w:r>
      <w:r w:rsidR="00B83C93" w:rsidRPr="008B4DA2">
        <w:rPr>
          <w:noProof/>
        </w:rPr>
        <w:t>kie</w:t>
      </w:r>
      <w:r w:rsidRPr="008B4DA2">
        <w:rPr>
          <w:noProof/>
        </w:rPr>
        <w:t>rowaniem pojazdami mechanicznymi,</w:t>
      </w:r>
      <w:r w:rsidR="00B83C93" w:rsidRPr="008B4DA2">
        <w:rPr>
          <w:noProof/>
        </w:rPr>
        <w:t xml:space="preserve"> a</w:t>
      </w:r>
      <w:r w:rsidR="00B83C93">
        <w:rPr>
          <w:noProof/>
        </w:rPr>
        <w:t> </w:t>
      </w:r>
      <w:r w:rsidR="00B83C93" w:rsidRPr="008B4DA2">
        <w:rPr>
          <w:noProof/>
        </w:rPr>
        <w:t>egz</w:t>
      </w:r>
      <w:r w:rsidRPr="008B4DA2">
        <w:rPr>
          <w:noProof/>
        </w:rPr>
        <w:t>amin na prawo jazdy powinien opierać się na tym zakresie, oraz należy doprecyzować minimalne standardy dotyczące fizycznej</w:t>
      </w:r>
      <w:r w:rsidR="00B83C93" w:rsidRPr="008B4DA2">
        <w:rPr>
          <w:noProof/>
        </w:rPr>
        <w:t xml:space="preserve"> i</w:t>
      </w:r>
      <w:r w:rsidR="00B83C93">
        <w:rPr>
          <w:noProof/>
        </w:rPr>
        <w:t> </w:t>
      </w:r>
      <w:r w:rsidR="00B83C93" w:rsidRPr="008B4DA2">
        <w:rPr>
          <w:noProof/>
        </w:rPr>
        <w:t>psy</w:t>
      </w:r>
      <w:r w:rsidRPr="008B4DA2">
        <w:rPr>
          <w:noProof/>
        </w:rPr>
        <w:t>chicznej zdolności do kierowania takimi pojazdami.</w:t>
      </w:r>
    </w:p>
    <w:p w:rsidR="00BD67F9" w:rsidRPr="008B4DA2" w:rsidRDefault="00DF60AC" w:rsidP="00DF60AC">
      <w:pPr>
        <w:pStyle w:val="ManualConsidrant"/>
        <w:rPr>
          <w:noProof/>
        </w:rPr>
      </w:pPr>
      <w:r w:rsidRPr="008B4DA2">
        <w:rPr>
          <w:noProof/>
        </w:rPr>
        <w:t>(19)</w:t>
      </w:r>
      <w:r w:rsidRPr="008B4DA2">
        <w:rPr>
          <w:noProof/>
        </w:rPr>
        <w:tab/>
        <w:t>Dowód spełniania minimalnych standardów dotyczących fizycznej</w:t>
      </w:r>
      <w:r w:rsidR="00B83C93" w:rsidRPr="008B4DA2">
        <w:rPr>
          <w:noProof/>
        </w:rPr>
        <w:t xml:space="preserve"> i</w:t>
      </w:r>
      <w:r w:rsidR="00B83C93">
        <w:rPr>
          <w:noProof/>
        </w:rPr>
        <w:t> </w:t>
      </w:r>
      <w:r w:rsidR="00B83C93" w:rsidRPr="008B4DA2">
        <w:rPr>
          <w:noProof/>
        </w:rPr>
        <w:t>psy</w:t>
      </w:r>
      <w:r w:rsidRPr="008B4DA2">
        <w:rPr>
          <w:noProof/>
        </w:rPr>
        <w:t>chicznej zdolności do kierowania przez kierowców pojazdami używanymi do przewozu osób lub rzeczy powinien być przedstawiany</w:t>
      </w:r>
      <w:r w:rsidR="00B83C93" w:rsidRPr="008B4DA2">
        <w:rPr>
          <w:noProof/>
        </w:rPr>
        <w:t xml:space="preserve"> w</w:t>
      </w:r>
      <w:r w:rsidR="00B83C93">
        <w:rPr>
          <w:noProof/>
        </w:rPr>
        <w:t> </w:t>
      </w:r>
      <w:r w:rsidR="00B83C93" w:rsidRPr="008B4DA2">
        <w:rPr>
          <w:noProof/>
        </w:rPr>
        <w:t>mom</w:t>
      </w:r>
      <w:r w:rsidRPr="008B4DA2">
        <w:rPr>
          <w:noProof/>
        </w:rPr>
        <w:t>encie wydawania prawa jazdy,</w:t>
      </w:r>
      <w:r w:rsidR="00B83C93" w:rsidRPr="008B4DA2">
        <w:rPr>
          <w:noProof/>
        </w:rPr>
        <w:t xml:space="preserve"> a</w:t>
      </w:r>
      <w:r w:rsidR="00B83C93">
        <w:rPr>
          <w:noProof/>
        </w:rPr>
        <w:t> </w:t>
      </w:r>
      <w:r w:rsidR="00B83C93" w:rsidRPr="008B4DA2">
        <w:rPr>
          <w:noProof/>
        </w:rPr>
        <w:t>póź</w:t>
      </w:r>
      <w:r w:rsidRPr="008B4DA2">
        <w:rPr>
          <w:noProof/>
        </w:rPr>
        <w:t>niej</w:t>
      </w:r>
      <w:r w:rsidR="00B83C93" w:rsidRPr="008B4DA2">
        <w:rPr>
          <w:noProof/>
        </w:rPr>
        <w:t xml:space="preserve"> w</w:t>
      </w:r>
      <w:r w:rsidR="00B83C93">
        <w:rPr>
          <w:noProof/>
        </w:rPr>
        <w:t> </w:t>
      </w:r>
      <w:r w:rsidR="00B83C93" w:rsidRPr="008B4DA2">
        <w:rPr>
          <w:noProof/>
        </w:rPr>
        <w:t>okr</w:t>
      </w:r>
      <w:r w:rsidRPr="008B4DA2">
        <w:rPr>
          <w:noProof/>
        </w:rPr>
        <w:t>eślonych przedziałach czasowych. Taka regularna kontrola przeprowadzana zgodnie</w:t>
      </w:r>
      <w:r w:rsidR="00B83C93" w:rsidRPr="008B4DA2">
        <w:rPr>
          <w:noProof/>
        </w:rPr>
        <w:t xml:space="preserve"> z</w:t>
      </w:r>
      <w:r w:rsidR="00B83C93">
        <w:rPr>
          <w:noProof/>
        </w:rPr>
        <w:t> </w:t>
      </w:r>
      <w:r w:rsidR="00B83C93" w:rsidRPr="008B4DA2">
        <w:rPr>
          <w:noProof/>
        </w:rPr>
        <w:t>prz</w:t>
      </w:r>
      <w:r w:rsidRPr="008B4DA2">
        <w:rPr>
          <w:noProof/>
        </w:rPr>
        <w:t>episami krajowymi dotyczącymi zgodności</w:t>
      </w:r>
      <w:r w:rsidR="00B83C93" w:rsidRPr="008B4DA2">
        <w:rPr>
          <w:noProof/>
        </w:rPr>
        <w:t xml:space="preserve"> z</w:t>
      </w:r>
      <w:r w:rsidR="00B83C93">
        <w:rPr>
          <w:noProof/>
        </w:rPr>
        <w:t> </w:t>
      </w:r>
      <w:r w:rsidR="00B83C93" w:rsidRPr="008B4DA2">
        <w:rPr>
          <w:noProof/>
        </w:rPr>
        <w:t>min</w:t>
      </w:r>
      <w:r w:rsidRPr="008B4DA2">
        <w:rPr>
          <w:noProof/>
        </w:rPr>
        <w:t>imalnymi standardami będzie wspierać swobodny przepływ osób, pozwoli na uniknięcie zakłóceń konkurencji oraz uwzględni</w:t>
      </w:r>
      <w:r w:rsidR="00B83C93" w:rsidRPr="008B4DA2">
        <w:rPr>
          <w:noProof/>
        </w:rPr>
        <w:t xml:space="preserve"> w</w:t>
      </w:r>
      <w:r w:rsidR="00B83C93">
        <w:rPr>
          <w:noProof/>
        </w:rPr>
        <w:t> </w:t>
      </w:r>
      <w:r w:rsidR="00B83C93" w:rsidRPr="008B4DA2">
        <w:rPr>
          <w:noProof/>
        </w:rPr>
        <w:t>peł</w:t>
      </w:r>
      <w:r w:rsidRPr="008B4DA2">
        <w:rPr>
          <w:noProof/>
        </w:rPr>
        <w:t>niejszy sposób specyficzne obowiązki kierowców takich pojazdów. Państwa członkowskie powinny mieć możliwość wprowadzenia obowiązkowych badań lekarskich jako gwarancji przestrzegania minimalnych standardów dotyczących fizycznej</w:t>
      </w:r>
      <w:r w:rsidR="00B83C93" w:rsidRPr="008B4DA2">
        <w:rPr>
          <w:noProof/>
        </w:rPr>
        <w:t xml:space="preserve"> i</w:t>
      </w:r>
      <w:r w:rsidR="00B83C93">
        <w:rPr>
          <w:noProof/>
        </w:rPr>
        <w:t> </w:t>
      </w:r>
      <w:r w:rsidR="00B83C93" w:rsidRPr="008B4DA2">
        <w:rPr>
          <w:noProof/>
        </w:rPr>
        <w:t>psy</w:t>
      </w:r>
      <w:r w:rsidRPr="008B4DA2">
        <w:rPr>
          <w:noProof/>
        </w:rPr>
        <w:t>chicznej zdolności do kierowania innymi pojazdami mechanicznymi</w:t>
      </w:r>
      <w:r w:rsidR="00B83C93" w:rsidRPr="008B4DA2">
        <w:rPr>
          <w:noProof/>
        </w:rPr>
        <w:t>. W</w:t>
      </w:r>
      <w:r w:rsidR="00B83C93">
        <w:rPr>
          <w:noProof/>
        </w:rPr>
        <w:t> </w:t>
      </w:r>
      <w:r w:rsidR="00B83C93" w:rsidRPr="008B4DA2">
        <w:rPr>
          <w:noProof/>
        </w:rPr>
        <w:t>cel</w:t>
      </w:r>
      <w:r w:rsidRPr="008B4DA2">
        <w:rPr>
          <w:noProof/>
        </w:rPr>
        <w:t>u zachowania przejrzystości termin takich badań powinien zbiegać się</w:t>
      </w:r>
      <w:r w:rsidR="00B83C93" w:rsidRPr="008B4DA2">
        <w:rPr>
          <w:noProof/>
        </w:rPr>
        <w:t xml:space="preserve"> z</w:t>
      </w:r>
      <w:r w:rsidR="00B83C93">
        <w:rPr>
          <w:noProof/>
        </w:rPr>
        <w:t> </w:t>
      </w:r>
      <w:r w:rsidR="00B83C93" w:rsidRPr="008B4DA2">
        <w:rPr>
          <w:noProof/>
        </w:rPr>
        <w:t>ter</w:t>
      </w:r>
      <w:r w:rsidRPr="008B4DA2">
        <w:rPr>
          <w:noProof/>
        </w:rPr>
        <w:t>minem przedłużenia okresu ważności praw jazdy.</w:t>
      </w:r>
    </w:p>
    <w:p w:rsidR="00BD67F9" w:rsidRPr="008B4DA2" w:rsidRDefault="00DF60AC" w:rsidP="00DF60AC">
      <w:pPr>
        <w:pStyle w:val="ManualConsidrant"/>
        <w:rPr>
          <w:noProof/>
        </w:rPr>
      </w:pPr>
      <w:r w:rsidRPr="008B4DA2">
        <w:rPr>
          <w:noProof/>
        </w:rPr>
        <w:t>(20)</w:t>
      </w:r>
      <w:r w:rsidRPr="008B4DA2">
        <w:rPr>
          <w:noProof/>
        </w:rPr>
        <w:tab/>
        <w:t>W celu zapewnienia jednolitych praw</w:t>
      </w:r>
      <w:r w:rsidR="00B83C93" w:rsidRPr="008B4DA2">
        <w:rPr>
          <w:noProof/>
        </w:rPr>
        <w:t xml:space="preserve"> w</w:t>
      </w:r>
      <w:r w:rsidR="00B83C93">
        <w:rPr>
          <w:noProof/>
        </w:rPr>
        <w:t> </w:t>
      </w:r>
      <w:r w:rsidR="00B83C93" w:rsidRPr="008B4DA2">
        <w:rPr>
          <w:noProof/>
        </w:rPr>
        <w:t>cał</w:t>
      </w:r>
      <w:r w:rsidRPr="008B4DA2">
        <w:rPr>
          <w:noProof/>
        </w:rPr>
        <w:t>ej Unii, uwzględniając również względy bezpieczeństwa ruchu drogowego, administracyjny okres ważności praw jazdy kategorii AM, A1, A2, A, B1 i B powinien wynosić 15 lat, natomiast administracyjny okres ważności praw jazdy kategorii C, CE, C1, C1E, D, DE, D1 i D1E powinien wynosić pięć lat. Państwa członkowskie powinny mieć możliwość określenia krótszych okresów obowiązujących</w:t>
      </w:r>
      <w:r w:rsidR="00B83C93" w:rsidRPr="008B4DA2">
        <w:rPr>
          <w:noProof/>
        </w:rPr>
        <w:t xml:space="preserve"> w</w:t>
      </w:r>
      <w:r w:rsidR="00B83C93">
        <w:rPr>
          <w:noProof/>
        </w:rPr>
        <w:t> </w:t>
      </w:r>
      <w:r w:rsidR="00B83C93" w:rsidRPr="008B4DA2">
        <w:rPr>
          <w:noProof/>
        </w:rPr>
        <w:t>wyj</w:t>
      </w:r>
      <w:r w:rsidRPr="008B4DA2">
        <w:rPr>
          <w:noProof/>
        </w:rPr>
        <w:t>ątkowych przypadkach określonych</w:t>
      </w:r>
      <w:r w:rsidR="00B83C93" w:rsidRPr="008B4DA2">
        <w:rPr>
          <w:noProof/>
        </w:rPr>
        <w:t xml:space="preserve"> w</w:t>
      </w:r>
      <w:r w:rsidR="00B83C93">
        <w:rPr>
          <w:noProof/>
        </w:rPr>
        <w:t> </w:t>
      </w:r>
      <w:r w:rsidR="00B83C93" w:rsidRPr="008B4DA2">
        <w:rPr>
          <w:noProof/>
        </w:rPr>
        <w:t>nin</w:t>
      </w:r>
      <w:r w:rsidRPr="008B4DA2">
        <w:rPr>
          <w:noProof/>
        </w:rPr>
        <w:t xml:space="preserve">iejszej dyrektywie. </w:t>
      </w:r>
    </w:p>
    <w:p w:rsidR="00BD67F9" w:rsidRPr="008B4DA2" w:rsidRDefault="00DF60AC" w:rsidP="00DF60AC">
      <w:pPr>
        <w:pStyle w:val="ManualConsidrant"/>
        <w:rPr>
          <w:noProof/>
        </w:rPr>
      </w:pPr>
      <w:r w:rsidRPr="008B4DA2">
        <w:rPr>
          <w:noProof/>
        </w:rPr>
        <w:t>(21)</w:t>
      </w:r>
      <w:r w:rsidRPr="008B4DA2">
        <w:rPr>
          <w:noProof/>
        </w:rPr>
        <w:tab/>
        <w:t>Aby państwa członkowskie i,</w:t>
      </w:r>
      <w:r w:rsidR="00B83C93" w:rsidRPr="008B4DA2">
        <w:rPr>
          <w:noProof/>
        </w:rPr>
        <w:t xml:space="preserve"> w</w:t>
      </w:r>
      <w:r w:rsidR="00B83C93">
        <w:rPr>
          <w:noProof/>
        </w:rPr>
        <w:t> </w:t>
      </w:r>
      <w:r w:rsidR="00B83C93" w:rsidRPr="008B4DA2">
        <w:rPr>
          <w:noProof/>
        </w:rPr>
        <w:t>nal</w:t>
      </w:r>
      <w:r w:rsidRPr="008B4DA2">
        <w:rPr>
          <w:noProof/>
        </w:rPr>
        <w:t>eżycie uzasadnionych przypadkach Unia jako całość, mogły reagować na kryzysy uniemożliwiające organom krajowym przedłużenie okresu ważności praw jazdy, które</w:t>
      </w:r>
      <w:r w:rsidR="00B83C93" w:rsidRPr="008B4DA2">
        <w:rPr>
          <w:noProof/>
        </w:rPr>
        <w:t xml:space="preserve"> w</w:t>
      </w:r>
      <w:r w:rsidR="00B83C93">
        <w:rPr>
          <w:noProof/>
        </w:rPr>
        <w:t> </w:t>
      </w:r>
      <w:r w:rsidR="00B83C93" w:rsidRPr="008B4DA2">
        <w:rPr>
          <w:noProof/>
        </w:rPr>
        <w:t>prz</w:t>
      </w:r>
      <w:r w:rsidRPr="008B4DA2">
        <w:rPr>
          <w:noProof/>
        </w:rPr>
        <w:t>eciwnym razie straciłyby ważność, należy przewidzieć możliwość przedłużenia administracyjnego okresu ważności takich praw jazdy na ściśle niezbędny okres.</w:t>
      </w:r>
    </w:p>
    <w:p w:rsidR="00BD67F9" w:rsidRPr="008B4DA2" w:rsidRDefault="00DF60AC" w:rsidP="00DF60AC">
      <w:pPr>
        <w:pStyle w:val="ManualConsidrant"/>
        <w:rPr>
          <w:noProof/>
        </w:rPr>
      </w:pPr>
      <w:r w:rsidRPr="008B4DA2">
        <w:rPr>
          <w:noProof/>
        </w:rPr>
        <w:t>(22)</w:t>
      </w:r>
      <w:r w:rsidRPr="008B4DA2">
        <w:rPr>
          <w:noProof/>
        </w:rPr>
        <w:tab/>
        <w:t>Obowiązywanie zasady „jeden posiadacz – jedno prawo jazdy” powinno zapobiec sytuacjom,</w:t>
      </w:r>
      <w:r w:rsidR="00B83C93" w:rsidRPr="008B4DA2">
        <w:rPr>
          <w:noProof/>
        </w:rPr>
        <w:t xml:space="preserve"> w</w:t>
      </w:r>
      <w:r w:rsidR="00B83C93">
        <w:rPr>
          <w:noProof/>
        </w:rPr>
        <w:t> </w:t>
      </w:r>
      <w:r w:rsidR="00B83C93" w:rsidRPr="008B4DA2">
        <w:rPr>
          <w:noProof/>
        </w:rPr>
        <w:t>któ</w:t>
      </w:r>
      <w:r w:rsidRPr="008B4DA2">
        <w:rPr>
          <w:noProof/>
        </w:rPr>
        <w:t>rych jedna osoba jest posiadaczem więcej niż jednego fizycznego prawa jazdy. Zasadę tę należy jednak rozszerzyć</w:t>
      </w:r>
      <w:r w:rsidR="00B83C93" w:rsidRPr="008B4DA2">
        <w:rPr>
          <w:noProof/>
        </w:rPr>
        <w:t xml:space="preserve"> i</w:t>
      </w:r>
      <w:r w:rsidR="00B83C93">
        <w:rPr>
          <w:noProof/>
        </w:rPr>
        <w:t> </w:t>
      </w:r>
      <w:r w:rsidR="00B83C93" w:rsidRPr="008B4DA2">
        <w:rPr>
          <w:noProof/>
        </w:rPr>
        <w:t>uwz</w:t>
      </w:r>
      <w:r w:rsidRPr="008B4DA2">
        <w:rPr>
          <w:noProof/>
        </w:rPr>
        <w:t>ględnić</w:t>
      </w:r>
      <w:r w:rsidR="00B83C93" w:rsidRPr="008B4DA2">
        <w:rPr>
          <w:noProof/>
        </w:rPr>
        <w:t xml:space="preserve"> w</w:t>
      </w:r>
      <w:r w:rsidR="00B83C93">
        <w:rPr>
          <w:noProof/>
        </w:rPr>
        <w:t> </w:t>
      </w:r>
      <w:r w:rsidR="00B83C93" w:rsidRPr="008B4DA2">
        <w:rPr>
          <w:noProof/>
        </w:rPr>
        <w:t>jej</w:t>
      </w:r>
      <w:r w:rsidRPr="008B4DA2">
        <w:rPr>
          <w:noProof/>
        </w:rPr>
        <w:t xml:space="preserve"> ramach również techniczne właściwości mobilnych praw jazdy. </w:t>
      </w:r>
    </w:p>
    <w:p w:rsidR="00BD67F9" w:rsidRPr="008B4DA2" w:rsidRDefault="00DF60AC" w:rsidP="00DF60AC">
      <w:pPr>
        <w:pStyle w:val="ManualConsidrant"/>
        <w:rPr>
          <w:noProof/>
        </w:rPr>
      </w:pPr>
      <w:r w:rsidRPr="008B4DA2">
        <w:rPr>
          <w:noProof/>
        </w:rPr>
        <w:t>(23)</w:t>
      </w:r>
      <w:r w:rsidRPr="008B4DA2">
        <w:rPr>
          <w:noProof/>
        </w:rPr>
        <w:tab/>
        <w:t>W trosce</w:t>
      </w:r>
      <w:r w:rsidR="00B83C93" w:rsidRPr="008B4DA2">
        <w:rPr>
          <w:noProof/>
        </w:rPr>
        <w:t xml:space="preserve"> o</w:t>
      </w:r>
      <w:r w:rsidR="00B83C93">
        <w:rPr>
          <w:noProof/>
        </w:rPr>
        <w:t> </w:t>
      </w:r>
      <w:r w:rsidR="00B83C93" w:rsidRPr="008B4DA2">
        <w:rPr>
          <w:noProof/>
        </w:rPr>
        <w:t>bez</w:t>
      </w:r>
      <w:r w:rsidRPr="008B4DA2">
        <w:rPr>
          <w:noProof/>
        </w:rPr>
        <w:t>pieczeństwo ruchu drogowego państwa członkowskie powinny mieć możliwość stosowania własnych przepisów krajowych</w:t>
      </w:r>
      <w:r w:rsidR="00B83C93" w:rsidRPr="008B4DA2">
        <w:rPr>
          <w:noProof/>
        </w:rPr>
        <w:t xml:space="preserve"> w</w:t>
      </w:r>
      <w:r w:rsidR="00B83C93">
        <w:rPr>
          <w:noProof/>
        </w:rPr>
        <w:t> </w:t>
      </w:r>
      <w:r w:rsidR="00B83C93" w:rsidRPr="008B4DA2">
        <w:rPr>
          <w:noProof/>
        </w:rPr>
        <w:t>zak</w:t>
      </w:r>
      <w:r w:rsidRPr="008B4DA2">
        <w:rPr>
          <w:noProof/>
        </w:rPr>
        <w:t>resie cofnięcia, zawieszenia, przedłużenia okresu ważności</w:t>
      </w:r>
      <w:r w:rsidR="00B83C93" w:rsidRPr="008B4DA2">
        <w:rPr>
          <w:noProof/>
        </w:rPr>
        <w:t xml:space="preserve"> i</w:t>
      </w:r>
      <w:r w:rsidR="00B83C93">
        <w:rPr>
          <w:noProof/>
        </w:rPr>
        <w:t> </w:t>
      </w:r>
      <w:r w:rsidR="00B83C93" w:rsidRPr="008B4DA2">
        <w:rPr>
          <w:noProof/>
        </w:rPr>
        <w:t>uni</w:t>
      </w:r>
      <w:r w:rsidRPr="008B4DA2">
        <w:rPr>
          <w:noProof/>
        </w:rPr>
        <w:t>eważnienia praw jazdy</w:t>
      </w:r>
      <w:r w:rsidR="00B83C93" w:rsidRPr="008B4DA2">
        <w:rPr>
          <w:noProof/>
        </w:rPr>
        <w:t xml:space="preserve"> w</w:t>
      </w:r>
      <w:r w:rsidR="00B83C93">
        <w:rPr>
          <w:noProof/>
        </w:rPr>
        <w:t> </w:t>
      </w:r>
      <w:r w:rsidR="00B83C93" w:rsidRPr="008B4DA2">
        <w:rPr>
          <w:noProof/>
        </w:rPr>
        <w:t>sto</w:t>
      </w:r>
      <w:r w:rsidRPr="008B4DA2">
        <w:rPr>
          <w:noProof/>
        </w:rPr>
        <w:t>sunku do wszystkich posiadaczy praw jazdy, którzy mają miejsce stałego zamieszkania na ich terytorium.</w:t>
      </w:r>
    </w:p>
    <w:p w:rsidR="00BD67F9" w:rsidRPr="008B4DA2" w:rsidRDefault="00DF60AC" w:rsidP="00DF60AC">
      <w:pPr>
        <w:pStyle w:val="ManualConsidrant"/>
        <w:rPr>
          <w:noProof/>
        </w:rPr>
      </w:pPr>
      <w:r w:rsidRPr="008B4DA2">
        <w:rPr>
          <w:noProof/>
        </w:rPr>
        <w:t>(24)</w:t>
      </w:r>
      <w:r w:rsidRPr="008B4DA2">
        <w:rPr>
          <w:noProof/>
        </w:rPr>
        <w:tab/>
        <w:t>Kierowcy posiadający prawo jazdy wydane przez państwo członkowskie,</w:t>
      </w:r>
      <w:r w:rsidR="00B83C93" w:rsidRPr="008B4DA2">
        <w:rPr>
          <w:noProof/>
        </w:rPr>
        <w:t xml:space="preserve"> w</w:t>
      </w:r>
      <w:r w:rsidR="00B83C93">
        <w:rPr>
          <w:noProof/>
        </w:rPr>
        <w:t> </w:t>
      </w:r>
      <w:r w:rsidR="00B83C93" w:rsidRPr="008B4DA2">
        <w:rPr>
          <w:noProof/>
        </w:rPr>
        <w:t>któ</w:t>
      </w:r>
      <w:r w:rsidRPr="008B4DA2">
        <w:rPr>
          <w:noProof/>
        </w:rPr>
        <w:t>rym mają miejsce zamieszkania,</w:t>
      </w:r>
      <w:r w:rsidR="00B83C93" w:rsidRPr="008B4DA2">
        <w:rPr>
          <w:noProof/>
        </w:rPr>
        <w:t xml:space="preserve"> w</w:t>
      </w:r>
      <w:r w:rsidR="00B83C93">
        <w:rPr>
          <w:noProof/>
        </w:rPr>
        <w:t> </w:t>
      </w:r>
      <w:r w:rsidR="00B83C93" w:rsidRPr="008B4DA2">
        <w:rPr>
          <w:noProof/>
        </w:rPr>
        <w:t>wyn</w:t>
      </w:r>
      <w:r w:rsidRPr="008B4DA2">
        <w:rPr>
          <w:noProof/>
        </w:rPr>
        <w:t>iku wymiany prawa jazdy wydanego przez państwo trzecie powinni być uprawnieni do kierowania pojazdami na terytorium Unii tak, jakby początkowo otrzymali prawo jazdy</w:t>
      </w:r>
      <w:r w:rsidR="00B83C93" w:rsidRPr="008B4DA2">
        <w:rPr>
          <w:noProof/>
        </w:rPr>
        <w:t xml:space="preserve"> w</w:t>
      </w:r>
      <w:r w:rsidR="00B83C93">
        <w:rPr>
          <w:noProof/>
        </w:rPr>
        <w:t> </w:t>
      </w:r>
      <w:r w:rsidR="00B83C93" w:rsidRPr="008B4DA2">
        <w:rPr>
          <w:noProof/>
        </w:rPr>
        <w:t>Uni</w:t>
      </w:r>
      <w:r w:rsidRPr="008B4DA2">
        <w:rPr>
          <w:noProof/>
        </w:rPr>
        <w:t>i. Wpływ takiej wymiany na bezpieczeństwo ruchu drogowego</w:t>
      </w:r>
      <w:r w:rsidR="00B83C93" w:rsidRPr="008B4DA2">
        <w:rPr>
          <w:noProof/>
        </w:rPr>
        <w:t xml:space="preserve"> i</w:t>
      </w:r>
      <w:r w:rsidR="00B83C93">
        <w:rPr>
          <w:noProof/>
        </w:rPr>
        <w:t> </w:t>
      </w:r>
      <w:r w:rsidR="00B83C93" w:rsidRPr="008B4DA2">
        <w:rPr>
          <w:noProof/>
        </w:rPr>
        <w:t>swo</w:t>
      </w:r>
      <w:r w:rsidRPr="008B4DA2">
        <w:rPr>
          <w:noProof/>
        </w:rPr>
        <w:t xml:space="preserve">bodny przepływ osób może być zróżnicowany. </w:t>
      </w:r>
    </w:p>
    <w:p w:rsidR="00BD67F9" w:rsidRPr="00B83C93" w:rsidRDefault="00DF60AC" w:rsidP="00DF60AC">
      <w:pPr>
        <w:pStyle w:val="ManualConsidrant"/>
        <w:rPr>
          <w:noProof/>
        </w:rPr>
      </w:pPr>
      <w:r w:rsidRPr="008B4DA2">
        <w:rPr>
          <w:noProof/>
        </w:rPr>
        <w:t>(25)</w:t>
      </w:r>
      <w:r w:rsidRPr="008B4DA2">
        <w:rPr>
          <w:noProof/>
        </w:rPr>
        <w:tab/>
        <w:t>Komisja powinna być uprawniona do przyjęcia decyzji wskazującej państwa trzecie, które zapewniają bezpieczeństwo ruchu drogowego na poziomie porównywalnym</w:t>
      </w:r>
      <w:r w:rsidR="00B83C93" w:rsidRPr="008B4DA2">
        <w:rPr>
          <w:noProof/>
        </w:rPr>
        <w:t xml:space="preserve"> z</w:t>
      </w:r>
      <w:r w:rsidR="00B83C93">
        <w:rPr>
          <w:noProof/>
        </w:rPr>
        <w:t> </w:t>
      </w:r>
      <w:r w:rsidR="00B83C93" w:rsidRPr="008B4DA2">
        <w:rPr>
          <w:noProof/>
        </w:rPr>
        <w:t>poz</w:t>
      </w:r>
      <w:r w:rsidRPr="008B4DA2">
        <w:rPr>
          <w:noProof/>
        </w:rPr>
        <w:t>iomem zapewnianym</w:t>
      </w:r>
      <w:r w:rsidR="00B83C93" w:rsidRPr="008B4DA2">
        <w:rPr>
          <w:noProof/>
        </w:rPr>
        <w:t xml:space="preserve"> w</w:t>
      </w:r>
      <w:r w:rsidR="00B83C93">
        <w:rPr>
          <w:noProof/>
        </w:rPr>
        <w:t> </w:t>
      </w:r>
      <w:r w:rsidR="00B83C93" w:rsidRPr="008B4DA2">
        <w:rPr>
          <w:noProof/>
        </w:rPr>
        <w:t>Uni</w:t>
      </w:r>
      <w:r w:rsidRPr="008B4DA2">
        <w:rPr>
          <w:noProof/>
        </w:rPr>
        <w:t>i, oraz umożliwiającej posiadaczom praw jazdy wydanych przez te państwa wymianę praw jazdy na podobnych warunkach, jakie obowiązują</w:t>
      </w:r>
      <w:r w:rsidR="00B83C93" w:rsidRPr="008B4DA2">
        <w:rPr>
          <w:noProof/>
        </w:rPr>
        <w:t xml:space="preserve"> w</w:t>
      </w:r>
      <w:r w:rsidR="00B83C93">
        <w:rPr>
          <w:noProof/>
        </w:rPr>
        <w:t> </w:t>
      </w:r>
      <w:r w:rsidR="00B83C93" w:rsidRPr="008B4DA2">
        <w:rPr>
          <w:noProof/>
        </w:rPr>
        <w:t>prz</w:t>
      </w:r>
      <w:r w:rsidRPr="008B4DA2">
        <w:rPr>
          <w:noProof/>
        </w:rPr>
        <w:t>ypadku praw jazdy wydawanych</w:t>
      </w:r>
      <w:r w:rsidR="00B83C93" w:rsidRPr="008B4DA2">
        <w:rPr>
          <w:noProof/>
        </w:rPr>
        <w:t xml:space="preserve"> w</w:t>
      </w:r>
      <w:r w:rsidR="00B83C93">
        <w:rPr>
          <w:noProof/>
        </w:rPr>
        <w:t> </w:t>
      </w:r>
      <w:r w:rsidR="00B83C93" w:rsidRPr="008B4DA2">
        <w:rPr>
          <w:noProof/>
        </w:rPr>
        <w:t>dan</w:t>
      </w:r>
      <w:r w:rsidRPr="008B4DA2">
        <w:rPr>
          <w:noProof/>
        </w:rPr>
        <w:t>ym państwie członkowskim. Warunki te należy szczegółowo</w:t>
      </w:r>
      <w:r w:rsidR="00B83C93" w:rsidRPr="008B4DA2">
        <w:rPr>
          <w:noProof/>
        </w:rPr>
        <w:t xml:space="preserve"> i</w:t>
      </w:r>
      <w:r w:rsidR="00B83C93">
        <w:rPr>
          <w:noProof/>
        </w:rPr>
        <w:t> </w:t>
      </w:r>
      <w:r w:rsidR="00B83C93" w:rsidRPr="008B4DA2">
        <w:rPr>
          <w:noProof/>
        </w:rPr>
        <w:t>pra</w:t>
      </w:r>
      <w:r w:rsidRPr="008B4DA2">
        <w:rPr>
          <w:noProof/>
        </w:rPr>
        <w:t>widłowo określić</w:t>
      </w:r>
      <w:r w:rsidR="00B83C93" w:rsidRPr="008B4DA2">
        <w:rPr>
          <w:noProof/>
        </w:rPr>
        <w:t xml:space="preserve"> w</w:t>
      </w:r>
      <w:r w:rsidR="00B83C93">
        <w:rPr>
          <w:noProof/>
        </w:rPr>
        <w:t> </w:t>
      </w:r>
      <w:r w:rsidR="00B83C93" w:rsidRPr="008B4DA2">
        <w:rPr>
          <w:noProof/>
        </w:rPr>
        <w:t>odn</w:t>
      </w:r>
      <w:r w:rsidRPr="008B4DA2">
        <w:rPr>
          <w:noProof/>
        </w:rPr>
        <w:t>iesieniu do wszystkich stosownych kategorii prawa jazdy</w:t>
      </w:r>
      <w:r w:rsidRPr="00B83C93">
        <w:rPr>
          <w:noProof/>
        </w:rPr>
        <w:t>.</w:t>
      </w:r>
      <w:r w:rsidR="00B83C93" w:rsidRPr="00B83C93">
        <w:rPr>
          <w:noProof/>
        </w:rPr>
        <w:t xml:space="preserve"> </w:t>
      </w:r>
    </w:p>
    <w:p w:rsidR="00BD67F9" w:rsidRPr="008B4DA2" w:rsidRDefault="00DF60AC" w:rsidP="00DF60AC">
      <w:pPr>
        <w:pStyle w:val="ManualConsidrant"/>
        <w:rPr>
          <w:noProof/>
        </w:rPr>
      </w:pPr>
      <w:r w:rsidRPr="008B4DA2">
        <w:rPr>
          <w:noProof/>
        </w:rPr>
        <w:t>(26)</w:t>
      </w:r>
      <w:r w:rsidRPr="008B4DA2">
        <w:rPr>
          <w:noProof/>
        </w:rPr>
        <w:tab/>
        <w:t>Jeżeli chodzi</w:t>
      </w:r>
      <w:r w:rsidR="00B83C93" w:rsidRPr="008B4DA2">
        <w:rPr>
          <w:noProof/>
        </w:rPr>
        <w:t xml:space="preserve"> o</w:t>
      </w:r>
      <w:r w:rsidR="00B83C93">
        <w:rPr>
          <w:noProof/>
        </w:rPr>
        <w:t> </w:t>
      </w:r>
      <w:r w:rsidR="00B83C93" w:rsidRPr="008B4DA2">
        <w:rPr>
          <w:noProof/>
        </w:rPr>
        <w:t>pra</w:t>
      </w:r>
      <w:r w:rsidRPr="008B4DA2">
        <w:rPr>
          <w:noProof/>
        </w:rPr>
        <w:t>wa jazdy wydane przez państwa trzecie, które nie są objęte taką decyzją Komisji lub</w:t>
      </w:r>
      <w:r w:rsidR="00B83C93" w:rsidRPr="008B4DA2">
        <w:rPr>
          <w:noProof/>
        </w:rPr>
        <w:t xml:space="preserve"> w</w:t>
      </w:r>
      <w:r w:rsidR="00B83C93">
        <w:rPr>
          <w:noProof/>
        </w:rPr>
        <w:t> </w:t>
      </w:r>
      <w:r w:rsidR="00B83C93" w:rsidRPr="008B4DA2">
        <w:rPr>
          <w:noProof/>
        </w:rPr>
        <w:t>prz</w:t>
      </w:r>
      <w:r w:rsidRPr="008B4DA2">
        <w:rPr>
          <w:noProof/>
        </w:rPr>
        <w:t>ypadku których</w:t>
      </w:r>
      <w:r w:rsidR="00B83C93" w:rsidRPr="008B4DA2">
        <w:rPr>
          <w:noProof/>
        </w:rPr>
        <w:t xml:space="preserve"> w</w:t>
      </w:r>
      <w:r w:rsidR="00B83C93">
        <w:rPr>
          <w:noProof/>
        </w:rPr>
        <w:t> </w:t>
      </w:r>
      <w:r w:rsidR="00B83C93" w:rsidRPr="008B4DA2">
        <w:rPr>
          <w:noProof/>
        </w:rPr>
        <w:t>tak</w:t>
      </w:r>
      <w:r w:rsidRPr="008B4DA2">
        <w:rPr>
          <w:noProof/>
        </w:rPr>
        <w:t>iej decyzji nie przewidziano</w:t>
      </w:r>
      <w:r w:rsidR="00B83C93" w:rsidRPr="008B4DA2">
        <w:rPr>
          <w:noProof/>
        </w:rPr>
        <w:t xml:space="preserve"> w</w:t>
      </w:r>
      <w:r w:rsidR="00B83C93">
        <w:rPr>
          <w:noProof/>
        </w:rPr>
        <w:t> </w:t>
      </w:r>
      <w:r w:rsidR="00B83C93" w:rsidRPr="008B4DA2">
        <w:rPr>
          <w:noProof/>
        </w:rPr>
        <w:t>spo</w:t>
      </w:r>
      <w:r w:rsidRPr="008B4DA2">
        <w:rPr>
          <w:noProof/>
        </w:rPr>
        <w:t>sób wyraźny możliwości wymiany ani zakazu wymiany, państwa członkowskie powinny mieć możliwość dokonywania wymiany prawa jazdy zgodnie</w:t>
      </w:r>
      <w:r w:rsidR="00B83C93" w:rsidRPr="008B4DA2">
        <w:rPr>
          <w:noProof/>
        </w:rPr>
        <w:t xml:space="preserve"> z</w:t>
      </w:r>
      <w:r w:rsidR="00B83C93">
        <w:rPr>
          <w:noProof/>
        </w:rPr>
        <w:t> </w:t>
      </w:r>
      <w:r w:rsidR="00B83C93" w:rsidRPr="008B4DA2">
        <w:rPr>
          <w:noProof/>
        </w:rPr>
        <w:t>prz</w:t>
      </w:r>
      <w:r w:rsidRPr="008B4DA2">
        <w:rPr>
          <w:noProof/>
        </w:rPr>
        <w:t>episami krajowymi, pod warunkiem że opatrzą wymienione prawo jazdy odpowiednim kodem unijnym. Jeżeli posiadacz takiego prawa jazdy zmienia miejsce zamieszkania</w:t>
      </w:r>
      <w:r w:rsidR="00B83C93" w:rsidRPr="008B4DA2">
        <w:rPr>
          <w:noProof/>
        </w:rPr>
        <w:t xml:space="preserve"> i</w:t>
      </w:r>
      <w:r w:rsidR="00B83C93">
        <w:rPr>
          <w:noProof/>
        </w:rPr>
        <w:t> </w:t>
      </w:r>
      <w:r w:rsidR="00B83C93" w:rsidRPr="008B4DA2">
        <w:rPr>
          <w:noProof/>
        </w:rPr>
        <w:t>prz</w:t>
      </w:r>
      <w:r w:rsidRPr="008B4DA2">
        <w:rPr>
          <w:noProof/>
        </w:rPr>
        <w:t>eprowadza się do innego państwa członkowskiego, takie państwo członkowskie nie powinno być zobowiązane do stosowania zasady wzajemnego uznawania wobec takiego prawa jazdy.</w:t>
      </w:r>
    </w:p>
    <w:p w:rsidR="00BD67F9" w:rsidRPr="008B4DA2" w:rsidRDefault="00DF60AC" w:rsidP="00DF60AC">
      <w:pPr>
        <w:pStyle w:val="ManualConsidrant"/>
        <w:rPr>
          <w:noProof/>
        </w:rPr>
      </w:pPr>
      <w:r w:rsidRPr="008B4DA2">
        <w:rPr>
          <w:noProof/>
        </w:rPr>
        <w:t>(27)</w:t>
      </w:r>
      <w:r w:rsidRPr="008B4DA2">
        <w:rPr>
          <w:noProof/>
        </w:rPr>
        <w:tab/>
        <w:t>Powszechnie obserwuje się zjawisko „turystyki praw jazdy” – czyli praktykę polegającą na zmianie miejsca zamieszkania</w:t>
      </w:r>
      <w:r w:rsidR="00B83C93" w:rsidRPr="008B4DA2">
        <w:rPr>
          <w:noProof/>
        </w:rPr>
        <w:t xml:space="preserve"> w</w:t>
      </w:r>
      <w:r w:rsidR="00B83C93">
        <w:rPr>
          <w:noProof/>
        </w:rPr>
        <w:t> </w:t>
      </w:r>
      <w:r w:rsidR="00B83C93" w:rsidRPr="008B4DA2">
        <w:rPr>
          <w:noProof/>
        </w:rPr>
        <w:t>cel</w:t>
      </w:r>
      <w:r w:rsidRPr="008B4DA2">
        <w:rPr>
          <w:noProof/>
        </w:rPr>
        <w:t>u uzyskania nowego prawa jazdy</w:t>
      </w:r>
      <w:r w:rsidR="00B83C93" w:rsidRPr="008B4DA2">
        <w:rPr>
          <w:noProof/>
        </w:rPr>
        <w:t xml:space="preserve"> i</w:t>
      </w:r>
      <w:r w:rsidR="00B83C93">
        <w:rPr>
          <w:noProof/>
        </w:rPr>
        <w:t> </w:t>
      </w:r>
      <w:r w:rsidR="00B83C93" w:rsidRPr="008B4DA2">
        <w:rPr>
          <w:noProof/>
        </w:rPr>
        <w:t>tym</w:t>
      </w:r>
      <w:r w:rsidRPr="008B4DA2">
        <w:rPr>
          <w:noProof/>
        </w:rPr>
        <w:t xml:space="preserve"> samym obejścia zakazu prowadzenia pojazdów wydanego</w:t>
      </w:r>
      <w:r w:rsidR="00B83C93" w:rsidRPr="008B4DA2">
        <w:rPr>
          <w:noProof/>
        </w:rPr>
        <w:t xml:space="preserve"> w</w:t>
      </w:r>
      <w:r w:rsidR="00B83C93">
        <w:rPr>
          <w:noProof/>
        </w:rPr>
        <w:t> </w:t>
      </w:r>
      <w:r w:rsidR="00B83C93" w:rsidRPr="008B4DA2">
        <w:rPr>
          <w:noProof/>
        </w:rPr>
        <w:t>inn</w:t>
      </w:r>
      <w:r w:rsidRPr="008B4DA2">
        <w:rPr>
          <w:noProof/>
        </w:rPr>
        <w:t>ym państwie członkowskim – wywierające niekorzystny wpływ na bezpieczeństwo ruchu drogowego. Zmiana miejsca zamieszkania nie może skutkować zwolnieniem kierowców</w:t>
      </w:r>
      <w:r w:rsidR="00B83C93" w:rsidRPr="008B4DA2">
        <w:rPr>
          <w:noProof/>
        </w:rPr>
        <w:t xml:space="preserve"> z</w:t>
      </w:r>
      <w:r w:rsidR="00B83C93">
        <w:rPr>
          <w:noProof/>
        </w:rPr>
        <w:t> </w:t>
      </w:r>
      <w:r w:rsidR="00B83C93" w:rsidRPr="008B4DA2">
        <w:rPr>
          <w:noProof/>
        </w:rPr>
        <w:t>nał</w:t>
      </w:r>
      <w:r w:rsidRPr="008B4DA2">
        <w:rPr>
          <w:noProof/>
        </w:rPr>
        <w:t>ożonych na nich wymogów</w:t>
      </w:r>
      <w:r w:rsidR="00B83C93" w:rsidRPr="008B4DA2">
        <w:rPr>
          <w:noProof/>
        </w:rPr>
        <w:t xml:space="preserve"> i</w:t>
      </w:r>
      <w:r w:rsidR="00B83C93">
        <w:rPr>
          <w:noProof/>
        </w:rPr>
        <w:t> </w:t>
      </w:r>
      <w:r w:rsidR="00B83C93" w:rsidRPr="008B4DA2">
        <w:rPr>
          <w:noProof/>
        </w:rPr>
        <w:t>umo</w:t>
      </w:r>
      <w:r w:rsidRPr="008B4DA2">
        <w:rPr>
          <w:noProof/>
        </w:rPr>
        <w:t>żliwieniem przywrócenia im uprawnień do kierowania pojazdami lub odzyskania przez nich prawa jazdy. Jednocześnie należy wyjaśnić, że wszelkie zachowanie obywateli powinno skutkować bezterminowym zakazem prowadzenia pojazdów wyłącznie</w:t>
      </w:r>
      <w:r w:rsidR="00B83C93" w:rsidRPr="008B4DA2">
        <w:rPr>
          <w:noProof/>
        </w:rPr>
        <w:t xml:space="preserve"> w</w:t>
      </w:r>
      <w:r w:rsidR="00B83C93">
        <w:rPr>
          <w:noProof/>
        </w:rPr>
        <w:t> </w:t>
      </w:r>
      <w:r w:rsidR="00B83C93" w:rsidRPr="008B4DA2">
        <w:rPr>
          <w:noProof/>
        </w:rPr>
        <w:t>nal</w:t>
      </w:r>
      <w:r w:rsidRPr="008B4DA2">
        <w:rPr>
          <w:noProof/>
        </w:rPr>
        <w:t>eżycie uzasadnionych przypadkach,</w:t>
      </w:r>
      <w:r w:rsidR="00B83C93" w:rsidRPr="008B4DA2">
        <w:rPr>
          <w:noProof/>
        </w:rPr>
        <w:t xml:space="preserve"> a</w:t>
      </w:r>
      <w:r w:rsidR="00B83C93">
        <w:rPr>
          <w:noProof/>
        </w:rPr>
        <w:t> </w:t>
      </w:r>
      <w:r w:rsidR="00B83C93" w:rsidRPr="008B4DA2">
        <w:rPr>
          <w:noProof/>
        </w:rPr>
        <w:t>obs</w:t>
      </w:r>
      <w:r w:rsidRPr="008B4DA2">
        <w:rPr>
          <w:noProof/>
        </w:rPr>
        <w:t>zar obowiązywania takiej decyzji powinien ograniczać się do terytorium państwa członkowskiego, które ją wydało.</w:t>
      </w:r>
    </w:p>
    <w:p w:rsidR="00BD67F9" w:rsidRPr="008B4DA2" w:rsidRDefault="00DF60AC" w:rsidP="00DF60AC">
      <w:pPr>
        <w:pStyle w:val="ManualConsidrant"/>
        <w:rPr>
          <w:noProof/>
        </w:rPr>
      </w:pPr>
      <w:r w:rsidRPr="008B4DA2">
        <w:rPr>
          <w:noProof/>
        </w:rPr>
        <w:t>(28)</w:t>
      </w:r>
      <w:r w:rsidRPr="008B4DA2">
        <w:rPr>
          <w:noProof/>
        </w:rPr>
        <w:tab/>
        <w:t>Aby zwiększyć bezpieczeństwo ruchu drogowego,</w:t>
      </w:r>
      <w:r w:rsidR="00B83C93" w:rsidRPr="008B4DA2">
        <w:rPr>
          <w:noProof/>
        </w:rPr>
        <w:t xml:space="preserve"> w</w:t>
      </w:r>
      <w:r w:rsidR="00B83C93">
        <w:rPr>
          <w:noProof/>
        </w:rPr>
        <w:t> </w:t>
      </w:r>
      <w:r w:rsidR="00B83C93" w:rsidRPr="008B4DA2">
        <w:rPr>
          <w:noProof/>
        </w:rPr>
        <w:t>prz</w:t>
      </w:r>
      <w:r w:rsidRPr="008B4DA2">
        <w:rPr>
          <w:noProof/>
        </w:rPr>
        <w:t>ypadku określonych kategorii prawa jazdy należy wprowadzić ogólnounijny model jazdy</w:t>
      </w:r>
      <w:r w:rsidR="00B83C93" w:rsidRPr="008B4DA2">
        <w:rPr>
          <w:noProof/>
        </w:rPr>
        <w:t xml:space="preserve"> w</w:t>
      </w:r>
      <w:r w:rsidR="00B83C93">
        <w:rPr>
          <w:noProof/>
        </w:rPr>
        <w:t> </w:t>
      </w:r>
      <w:r w:rsidR="00B83C93" w:rsidRPr="008B4DA2">
        <w:rPr>
          <w:noProof/>
        </w:rPr>
        <w:t>tow</w:t>
      </w:r>
      <w:r w:rsidRPr="008B4DA2">
        <w:rPr>
          <w:noProof/>
        </w:rPr>
        <w:t>arzystwie innego kierowcy. Zasady regulujące działanie takiego modelu powinny przewidywać możliwość uzyskania prawa jazdy na określone kategorie pojazdów przed osiągnięciem przez wnioskodawcę wymaganej dolnej granicy wieku. Warunkiem korzystania</w:t>
      </w:r>
      <w:r w:rsidR="00B83C93" w:rsidRPr="008B4DA2">
        <w:rPr>
          <w:noProof/>
        </w:rPr>
        <w:t xml:space="preserve"> z</w:t>
      </w:r>
      <w:r w:rsidR="00B83C93">
        <w:rPr>
          <w:noProof/>
        </w:rPr>
        <w:t> </w:t>
      </w:r>
      <w:r w:rsidR="00B83C93" w:rsidRPr="008B4DA2">
        <w:rPr>
          <w:noProof/>
        </w:rPr>
        <w:t>tak</w:t>
      </w:r>
      <w:r w:rsidRPr="008B4DA2">
        <w:rPr>
          <w:noProof/>
        </w:rPr>
        <w:t>ich praw jazdy powinno być jednak prowadzenie pojazdu</w:t>
      </w:r>
      <w:r w:rsidR="00B83C93" w:rsidRPr="008B4DA2">
        <w:rPr>
          <w:noProof/>
        </w:rPr>
        <w:t xml:space="preserve"> w</w:t>
      </w:r>
      <w:r w:rsidR="00B83C93">
        <w:rPr>
          <w:noProof/>
        </w:rPr>
        <w:t> </w:t>
      </w:r>
      <w:r w:rsidR="00B83C93" w:rsidRPr="008B4DA2">
        <w:rPr>
          <w:noProof/>
        </w:rPr>
        <w:t>tow</w:t>
      </w:r>
      <w:r w:rsidRPr="008B4DA2">
        <w:rPr>
          <w:noProof/>
        </w:rPr>
        <w:t>arzystwie doświadczonego kierowcy</w:t>
      </w:r>
      <w:r w:rsidR="00B83C93" w:rsidRPr="008B4DA2">
        <w:rPr>
          <w:noProof/>
        </w:rPr>
        <w:t>. W</w:t>
      </w:r>
      <w:r w:rsidR="00B83C93">
        <w:rPr>
          <w:noProof/>
        </w:rPr>
        <w:t> </w:t>
      </w:r>
      <w:r w:rsidR="00B83C93" w:rsidRPr="008B4DA2">
        <w:rPr>
          <w:noProof/>
        </w:rPr>
        <w:t>tak</w:t>
      </w:r>
      <w:r w:rsidRPr="008B4DA2">
        <w:rPr>
          <w:noProof/>
        </w:rPr>
        <w:t>ich sytuacjach przez wzgląd na bezpieczeństwo ruchu drogowego państwa członkowskie powinny mieć możliwość określenia bardziej rygorystycznych warunków</w:t>
      </w:r>
      <w:r w:rsidR="00B83C93" w:rsidRPr="008B4DA2">
        <w:rPr>
          <w:noProof/>
        </w:rPr>
        <w:t xml:space="preserve"> i</w:t>
      </w:r>
      <w:r w:rsidR="00B83C93">
        <w:rPr>
          <w:noProof/>
        </w:rPr>
        <w:t> </w:t>
      </w:r>
      <w:r w:rsidR="00B83C93" w:rsidRPr="008B4DA2">
        <w:rPr>
          <w:noProof/>
        </w:rPr>
        <w:t>zas</w:t>
      </w:r>
      <w:r w:rsidRPr="008B4DA2">
        <w:rPr>
          <w:noProof/>
        </w:rPr>
        <w:t>ad obowiązujących na ich terytorium</w:t>
      </w:r>
      <w:r w:rsidR="00B83C93" w:rsidRPr="008B4DA2">
        <w:rPr>
          <w:noProof/>
        </w:rPr>
        <w:t xml:space="preserve"> w</w:t>
      </w:r>
      <w:r w:rsidR="00B83C93">
        <w:rPr>
          <w:noProof/>
        </w:rPr>
        <w:t> </w:t>
      </w:r>
      <w:r w:rsidR="00B83C93" w:rsidRPr="008B4DA2">
        <w:rPr>
          <w:noProof/>
        </w:rPr>
        <w:t>odn</w:t>
      </w:r>
      <w:r w:rsidRPr="008B4DA2">
        <w:rPr>
          <w:noProof/>
        </w:rPr>
        <w:t xml:space="preserve">iesieniu do wydanych przez nie praw jazdy. </w:t>
      </w:r>
    </w:p>
    <w:p w:rsidR="00BD67F9" w:rsidRPr="008B4DA2" w:rsidRDefault="00DF60AC" w:rsidP="00DF60AC">
      <w:pPr>
        <w:pStyle w:val="ManualConsidrant"/>
        <w:rPr>
          <w:noProof/>
        </w:rPr>
      </w:pPr>
      <w:r w:rsidRPr="008B4DA2">
        <w:rPr>
          <w:noProof/>
        </w:rPr>
        <w:t>(29)</w:t>
      </w:r>
      <w:r w:rsidRPr="008B4DA2">
        <w:rPr>
          <w:noProof/>
        </w:rPr>
        <w:tab/>
        <w:t>Model jazdy</w:t>
      </w:r>
      <w:r w:rsidR="00B83C93" w:rsidRPr="008B4DA2">
        <w:rPr>
          <w:noProof/>
        </w:rPr>
        <w:t xml:space="preserve"> w</w:t>
      </w:r>
      <w:r w:rsidR="00B83C93">
        <w:rPr>
          <w:noProof/>
        </w:rPr>
        <w:t> </w:t>
      </w:r>
      <w:r w:rsidR="00B83C93" w:rsidRPr="008B4DA2">
        <w:rPr>
          <w:noProof/>
        </w:rPr>
        <w:t>tow</w:t>
      </w:r>
      <w:r w:rsidRPr="008B4DA2">
        <w:rPr>
          <w:noProof/>
        </w:rPr>
        <w:t>arzystwie innego kierowcy powinien skutkować większą dostępnością</w:t>
      </w:r>
      <w:r w:rsidR="00B83C93" w:rsidRPr="008B4DA2">
        <w:rPr>
          <w:noProof/>
        </w:rPr>
        <w:t xml:space="preserve"> i</w:t>
      </w:r>
      <w:r w:rsidR="00B83C93">
        <w:rPr>
          <w:noProof/>
        </w:rPr>
        <w:t> </w:t>
      </w:r>
      <w:r w:rsidR="00B83C93" w:rsidRPr="008B4DA2">
        <w:rPr>
          <w:noProof/>
        </w:rPr>
        <w:t>atr</w:t>
      </w:r>
      <w:r w:rsidRPr="008B4DA2">
        <w:rPr>
          <w:noProof/>
        </w:rPr>
        <w:t>akcyjnością zawodu kierowcy samochodów ciężarowych dla przedstawicieli młodszego pokolenia – bez uszczerbku dla ogólnego celu tego systemu, jakim jest poprawa bezpieczeństwa ruchu drogowego –</w:t>
      </w:r>
      <w:r w:rsidR="00B83C93" w:rsidRPr="008B4DA2">
        <w:rPr>
          <w:noProof/>
        </w:rPr>
        <w:t xml:space="preserve"> i</w:t>
      </w:r>
      <w:r w:rsidR="00B83C93">
        <w:rPr>
          <w:noProof/>
        </w:rPr>
        <w:t> </w:t>
      </w:r>
      <w:r w:rsidR="00B83C93" w:rsidRPr="008B4DA2">
        <w:rPr>
          <w:noProof/>
        </w:rPr>
        <w:t>tym</w:t>
      </w:r>
      <w:r w:rsidRPr="008B4DA2">
        <w:rPr>
          <w:noProof/>
        </w:rPr>
        <w:t xml:space="preserve"> samym przyczynić się do zwiększenia szans na zatrudnienie takich osób</w:t>
      </w:r>
      <w:r w:rsidR="00B83C93" w:rsidRPr="008B4DA2">
        <w:rPr>
          <w:noProof/>
        </w:rPr>
        <w:t xml:space="preserve"> i</w:t>
      </w:r>
      <w:r w:rsidR="00B83C93">
        <w:rPr>
          <w:noProof/>
        </w:rPr>
        <w:t> </w:t>
      </w:r>
      <w:r w:rsidR="00B83C93" w:rsidRPr="008B4DA2">
        <w:rPr>
          <w:noProof/>
        </w:rPr>
        <w:t>ogr</w:t>
      </w:r>
      <w:r w:rsidRPr="008B4DA2">
        <w:rPr>
          <w:noProof/>
        </w:rPr>
        <w:t>aniczenia niedoborów kierowców</w:t>
      </w:r>
      <w:r w:rsidR="00B83C93" w:rsidRPr="008B4DA2">
        <w:rPr>
          <w:noProof/>
        </w:rPr>
        <w:t xml:space="preserve"> w</w:t>
      </w:r>
      <w:r w:rsidR="00B83C93">
        <w:rPr>
          <w:noProof/>
        </w:rPr>
        <w:t> </w:t>
      </w:r>
      <w:r w:rsidR="00B83C93" w:rsidRPr="008B4DA2">
        <w:rPr>
          <w:noProof/>
        </w:rPr>
        <w:t>Uni</w:t>
      </w:r>
      <w:r w:rsidRPr="008B4DA2">
        <w:rPr>
          <w:noProof/>
        </w:rPr>
        <w:t>i. Model ten powinien zatem obejmować prawa jazdy kategorii C</w:t>
      </w:r>
      <w:r w:rsidR="00B83C93" w:rsidRPr="008B4DA2">
        <w:rPr>
          <w:noProof/>
        </w:rPr>
        <w:t xml:space="preserve"> i</w:t>
      </w:r>
      <w:r w:rsidR="00B83C93">
        <w:rPr>
          <w:noProof/>
        </w:rPr>
        <w:t> </w:t>
      </w:r>
      <w:r w:rsidR="00B83C93" w:rsidRPr="008B4DA2">
        <w:rPr>
          <w:noProof/>
        </w:rPr>
        <w:t>pot</w:t>
      </w:r>
      <w:r w:rsidRPr="008B4DA2">
        <w:rPr>
          <w:noProof/>
        </w:rPr>
        <w:t>rzebne do ich uzyskania prawa jazdy kategorii B.</w:t>
      </w:r>
    </w:p>
    <w:p w:rsidR="00BD67F9" w:rsidRPr="008B4DA2" w:rsidRDefault="00DF60AC" w:rsidP="00DF60AC">
      <w:pPr>
        <w:pStyle w:val="ManualConsidrant"/>
        <w:rPr>
          <w:noProof/>
        </w:rPr>
      </w:pPr>
      <w:r w:rsidRPr="008B4DA2">
        <w:rPr>
          <w:noProof/>
        </w:rPr>
        <w:t>(30)</w:t>
      </w:r>
      <w:r w:rsidRPr="008B4DA2">
        <w:rPr>
          <w:noProof/>
        </w:rPr>
        <w:tab/>
        <w:t>Należy zapewnić, aby kierowcy, którzy dopiero co uzyskali prawo jazdy</w:t>
      </w:r>
      <w:r w:rsidR="00B83C93" w:rsidRPr="008B4DA2">
        <w:rPr>
          <w:noProof/>
        </w:rPr>
        <w:t xml:space="preserve"> w</w:t>
      </w:r>
      <w:r w:rsidR="00B83C93">
        <w:rPr>
          <w:noProof/>
        </w:rPr>
        <w:t> </w:t>
      </w:r>
      <w:r w:rsidR="00B83C93" w:rsidRPr="008B4DA2">
        <w:rPr>
          <w:noProof/>
        </w:rPr>
        <w:t>dan</w:t>
      </w:r>
      <w:r w:rsidRPr="008B4DA2">
        <w:rPr>
          <w:noProof/>
        </w:rPr>
        <w:t>ej kategorii, nie zagrażali bezpieczeństwu ruchu drogowego</w:t>
      </w:r>
      <w:r w:rsidR="00B83C93" w:rsidRPr="008B4DA2">
        <w:rPr>
          <w:noProof/>
        </w:rPr>
        <w:t xml:space="preserve"> z</w:t>
      </w:r>
      <w:r w:rsidR="00B83C93">
        <w:rPr>
          <w:noProof/>
        </w:rPr>
        <w:t> </w:t>
      </w:r>
      <w:r w:rsidR="00B83C93" w:rsidRPr="008B4DA2">
        <w:rPr>
          <w:noProof/>
        </w:rPr>
        <w:t>pow</w:t>
      </w:r>
      <w:r w:rsidRPr="008B4DA2">
        <w:rPr>
          <w:noProof/>
        </w:rPr>
        <w:t>odu braku doświadczenia</w:t>
      </w:r>
      <w:r w:rsidR="00B83C93" w:rsidRPr="008B4DA2">
        <w:rPr>
          <w:noProof/>
        </w:rPr>
        <w:t>. W</w:t>
      </w:r>
      <w:r w:rsidR="00B83C93">
        <w:rPr>
          <w:noProof/>
        </w:rPr>
        <w:t> </w:t>
      </w:r>
      <w:r w:rsidR="00B83C93" w:rsidRPr="008B4DA2">
        <w:rPr>
          <w:noProof/>
        </w:rPr>
        <w:t>odn</w:t>
      </w:r>
      <w:r w:rsidRPr="008B4DA2">
        <w:rPr>
          <w:noProof/>
        </w:rPr>
        <w:t>iesieniu do takich początkujących kierowców należy ustanowić dwuletni okres próbny,</w:t>
      </w:r>
      <w:r w:rsidR="00B83C93" w:rsidRPr="008B4DA2">
        <w:rPr>
          <w:noProof/>
        </w:rPr>
        <w:t xml:space="preserve"> w</w:t>
      </w:r>
      <w:r w:rsidR="00B83C93">
        <w:rPr>
          <w:noProof/>
        </w:rPr>
        <w:t> </w:t>
      </w:r>
      <w:r w:rsidR="00B83C93" w:rsidRPr="008B4DA2">
        <w:rPr>
          <w:noProof/>
        </w:rPr>
        <w:t>tra</w:t>
      </w:r>
      <w:r w:rsidRPr="008B4DA2">
        <w:rPr>
          <w:noProof/>
        </w:rPr>
        <w:t>kcie którego będą oni podlegać bardziej rygorystycznym ogólnounijnym zasadom</w:t>
      </w:r>
      <w:r w:rsidR="00B83C93" w:rsidRPr="008B4DA2">
        <w:rPr>
          <w:noProof/>
        </w:rPr>
        <w:t xml:space="preserve"> i</w:t>
      </w:r>
      <w:r w:rsidR="00B83C93">
        <w:rPr>
          <w:noProof/>
        </w:rPr>
        <w:t> </w:t>
      </w:r>
      <w:r w:rsidR="00B83C93" w:rsidRPr="008B4DA2">
        <w:rPr>
          <w:noProof/>
        </w:rPr>
        <w:t>kar</w:t>
      </w:r>
      <w:r w:rsidRPr="008B4DA2">
        <w:rPr>
          <w:noProof/>
        </w:rPr>
        <w:t>om za ich złamanie</w:t>
      </w:r>
      <w:r w:rsidR="00B83C93" w:rsidRPr="008B4DA2">
        <w:rPr>
          <w:noProof/>
        </w:rPr>
        <w:t xml:space="preserve"> w</w:t>
      </w:r>
      <w:r w:rsidR="00B83C93">
        <w:rPr>
          <w:noProof/>
        </w:rPr>
        <w:t> </w:t>
      </w:r>
      <w:r w:rsidR="00B83C93" w:rsidRPr="008B4DA2">
        <w:rPr>
          <w:noProof/>
        </w:rPr>
        <w:t>wyn</w:t>
      </w:r>
      <w:r w:rsidRPr="008B4DA2">
        <w:rPr>
          <w:noProof/>
        </w:rPr>
        <w:t>iku jazdy pod wpływem alkoholu. Kary za takie zachowanie muszą być skuteczne, proporcjonalne, odstraszające oraz niedyskryminujące</w:t>
      </w:r>
      <w:r w:rsidR="00B83C93" w:rsidRPr="008B4DA2">
        <w:rPr>
          <w:noProof/>
        </w:rPr>
        <w:t xml:space="preserve"> i</w:t>
      </w:r>
      <w:r w:rsidR="00B83C93">
        <w:rPr>
          <w:noProof/>
        </w:rPr>
        <w:t> </w:t>
      </w:r>
      <w:r w:rsidR="00B83C93" w:rsidRPr="008B4DA2">
        <w:rPr>
          <w:noProof/>
        </w:rPr>
        <w:t>pow</w:t>
      </w:r>
      <w:r w:rsidRPr="008B4DA2">
        <w:rPr>
          <w:noProof/>
        </w:rPr>
        <w:t>inny być na tyle dotkliwe, aby</w:t>
      </w:r>
      <w:r w:rsidR="00B83C93" w:rsidRPr="008B4DA2">
        <w:rPr>
          <w:noProof/>
        </w:rPr>
        <w:t xml:space="preserve"> w</w:t>
      </w:r>
      <w:r w:rsidR="00B83C93">
        <w:rPr>
          <w:noProof/>
        </w:rPr>
        <w:t> </w:t>
      </w:r>
      <w:r w:rsidR="00B83C93" w:rsidRPr="008B4DA2">
        <w:rPr>
          <w:noProof/>
        </w:rPr>
        <w:t>jak</w:t>
      </w:r>
      <w:r w:rsidRPr="008B4DA2">
        <w:rPr>
          <w:noProof/>
        </w:rPr>
        <w:t xml:space="preserve"> największym stopniu przyczyniały się do osiągnięcia unijnych celów średnio-</w:t>
      </w:r>
      <w:r w:rsidR="00B83C93" w:rsidRPr="008B4DA2">
        <w:rPr>
          <w:noProof/>
        </w:rPr>
        <w:t xml:space="preserve"> i</w:t>
      </w:r>
      <w:r w:rsidR="00B83C93">
        <w:rPr>
          <w:noProof/>
        </w:rPr>
        <w:t> </w:t>
      </w:r>
      <w:r w:rsidR="00B83C93" w:rsidRPr="008B4DA2">
        <w:rPr>
          <w:noProof/>
        </w:rPr>
        <w:t>dłu</w:t>
      </w:r>
      <w:r w:rsidRPr="008B4DA2">
        <w:rPr>
          <w:noProof/>
        </w:rPr>
        <w:t>goterminowych polegających na obniżeniu</w:t>
      </w:r>
      <w:r w:rsidR="00B83C93" w:rsidRPr="008B4DA2">
        <w:rPr>
          <w:noProof/>
        </w:rPr>
        <w:t xml:space="preserve"> o</w:t>
      </w:r>
      <w:r w:rsidR="00B83C93">
        <w:rPr>
          <w:noProof/>
        </w:rPr>
        <w:t> </w:t>
      </w:r>
      <w:r w:rsidR="00B83C93" w:rsidRPr="008B4DA2">
        <w:rPr>
          <w:noProof/>
        </w:rPr>
        <w:t>poł</w:t>
      </w:r>
      <w:r w:rsidRPr="008B4DA2">
        <w:rPr>
          <w:noProof/>
        </w:rPr>
        <w:t>owę przypadków zgonów</w:t>
      </w:r>
      <w:r w:rsidR="00B83C93" w:rsidRPr="008B4DA2">
        <w:rPr>
          <w:noProof/>
        </w:rPr>
        <w:t xml:space="preserve"> i</w:t>
      </w:r>
      <w:r w:rsidR="00B83C93">
        <w:rPr>
          <w:noProof/>
        </w:rPr>
        <w:t> </w:t>
      </w:r>
      <w:r w:rsidR="00B83C93" w:rsidRPr="008B4DA2">
        <w:rPr>
          <w:noProof/>
        </w:rPr>
        <w:t>pow</w:t>
      </w:r>
      <w:r w:rsidRPr="008B4DA2">
        <w:rPr>
          <w:noProof/>
        </w:rPr>
        <w:t>ażnych urazów,</w:t>
      </w:r>
      <w:r w:rsidR="00B83C93" w:rsidRPr="008B4DA2">
        <w:rPr>
          <w:noProof/>
        </w:rPr>
        <w:t xml:space="preserve"> a</w:t>
      </w:r>
      <w:r w:rsidR="00B83C93">
        <w:rPr>
          <w:noProof/>
        </w:rPr>
        <w:t> </w:t>
      </w:r>
      <w:r w:rsidR="00B83C93" w:rsidRPr="008B4DA2">
        <w:rPr>
          <w:noProof/>
        </w:rPr>
        <w:t>nas</w:t>
      </w:r>
      <w:r w:rsidRPr="008B4DA2">
        <w:rPr>
          <w:noProof/>
        </w:rPr>
        <w:t>tępnie ich niemal całkowitym wyeliminowaniu. Jeżeli chodzi</w:t>
      </w:r>
      <w:r w:rsidR="00B83C93" w:rsidRPr="008B4DA2">
        <w:rPr>
          <w:noProof/>
        </w:rPr>
        <w:t xml:space="preserve"> o</w:t>
      </w:r>
      <w:r w:rsidR="00B83C93">
        <w:rPr>
          <w:noProof/>
        </w:rPr>
        <w:t> </w:t>
      </w:r>
      <w:r w:rsidR="00B83C93" w:rsidRPr="008B4DA2">
        <w:rPr>
          <w:noProof/>
        </w:rPr>
        <w:t>wsz</w:t>
      </w:r>
      <w:r w:rsidRPr="008B4DA2">
        <w:rPr>
          <w:noProof/>
        </w:rPr>
        <w:t>elkie inne ograniczenia dotyczące początkujących kierowców, państwa członkowskie powinny móc swobodnie stosować dodatkowe zasady na swoim terytorium.</w:t>
      </w:r>
    </w:p>
    <w:p w:rsidR="00BD67F9" w:rsidRPr="008B4DA2" w:rsidRDefault="00DF60AC" w:rsidP="00DF60AC">
      <w:pPr>
        <w:pStyle w:val="ManualConsidrant"/>
        <w:rPr>
          <w:noProof/>
        </w:rPr>
      </w:pPr>
      <w:r w:rsidRPr="008B4DA2">
        <w:rPr>
          <w:noProof/>
        </w:rPr>
        <w:t>(31)</w:t>
      </w:r>
      <w:r w:rsidRPr="008B4DA2">
        <w:rPr>
          <w:noProof/>
        </w:rPr>
        <w:tab/>
        <w:t>Powinny zostać określone minimalne standardy dotyczące dostępu do zawodu egzaminatora oraz wymaganych szkoleń dla egzaminatorów</w:t>
      </w:r>
      <w:r w:rsidR="00B83C93" w:rsidRPr="008B4DA2">
        <w:rPr>
          <w:noProof/>
        </w:rPr>
        <w:t xml:space="preserve"> w</w:t>
      </w:r>
      <w:r w:rsidR="00B83C93">
        <w:rPr>
          <w:noProof/>
        </w:rPr>
        <w:t> </w:t>
      </w:r>
      <w:r w:rsidR="00B83C93" w:rsidRPr="008B4DA2">
        <w:rPr>
          <w:noProof/>
        </w:rPr>
        <w:t>cel</w:t>
      </w:r>
      <w:r w:rsidRPr="008B4DA2">
        <w:rPr>
          <w:noProof/>
        </w:rPr>
        <w:t>u zwiększenia ich wiedzy</w:t>
      </w:r>
      <w:r w:rsidR="00B83C93" w:rsidRPr="008B4DA2">
        <w:rPr>
          <w:noProof/>
        </w:rPr>
        <w:t xml:space="preserve"> i</w:t>
      </w:r>
      <w:r w:rsidR="00B83C93">
        <w:rPr>
          <w:noProof/>
        </w:rPr>
        <w:t> </w:t>
      </w:r>
      <w:r w:rsidR="00B83C93" w:rsidRPr="008B4DA2">
        <w:rPr>
          <w:noProof/>
        </w:rPr>
        <w:t>umi</w:t>
      </w:r>
      <w:r w:rsidRPr="008B4DA2">
        <w:rPr>
          <w:noProof/>
        </w:rPr>
        <w:t>ejętności,</w:t>
      </w:r>
      <w:r w:rsidR="00B83C93" w:rsidRPr="008B4DA2">
        <w:rPr>
          <w:noProof/>
        </w:rPr>
        <w:t xml:space="preserve"> a</w:t>
      </w:r>
      <w:r w:rsidR="00B83C93">
        <w:rPr>
          <w:noProof/>
        </w:rPr>
        <w:t> </w:t>
      </w:r>
      <w:r w:rsidR="00B83C93" w:rsidRPr="008B4DA2">
        <w:rPr>
          <w:noProof/>
        </w:rPr>
        <w:t>prz</w:t>
      </w:r>
      <w:r w:rsidRPr="008B4DA2">
        <w:rPr>
          <w:noProof/>
        </w:rPr>
        <w:t>ez to zapewnienia bardziej obiektywnej oceny kandydatów ubiegających się</w:t>
      </w:r>
      <w:r w:rsidR="00B83C93" w:rsidRPr="008B4DA2">
        <w:rPr>
          <w:noProof/>
        </w:rPr>
        <w:t xml:space="preserve"> o</w:t>
      </w:r>
      <w:r w:rsidR="00B83C93">
        <w:rPr>
          <w:noProof/>
        </w:rPr>
        <w:t> </w:t>
      </w:r>
      <w:r w:rsidR="00B83C93" w:rsidRPr="008B4DA2">
        <w:rPr>
          <w:noProof/>
        </w:rPr>
        <w:t>pra</w:t>
      </w:r>
      <w:r w:rsidRPr="008B4DA2">
        <w:rPr>
          <w:noProof/>
        </w:rPr>
        <w:t>wo jazdy</w:t>
      </w:r>
      <w:r w:rsidR="00B83C93" w:rsidRPr="008B4DA2">
        <w:rPr>
          <w:noProof/>
        </w:rPr>
        <w:t xml:space="preserve"> i</w:t>
      </w:r>
      <w:r w:rsidR="00B83C93">
        <w:rPr>
          <w:noProof/>
        </w:rPr>
        <w:t> </w:t>
      </w:r>
      <w:r w:rsidR="00B83C93" w:rsidRPr="008B4DA2">
        <w:rPr>
          <w:noProof/>
        </w:rPr>
        <w:t>osi</w:t>
      </w:r>
      <w:r w:rsidRPr="008B4DA2">
        <w:rPr>
          <w:noProof/>
        </w:rPr>
        <w:t>ągnięcia większej harmonizacji</w:t>
      </w:r>
      <w:r w:rsidR="00B83C93" w:rsidRPr="008B4DA2">
        <w:rPr>
          <w:noProof/>
        </w:rPr>
        <w:t xml:space="preserve"> w</w:t>
      </w:r>
      <w:r w:rsidR="00B83C93">
        <w:rPr>
          <w:noProof/>
        </w:rPr>
        <w:t> </w:t>
      </w:r>
      <w:r w:rsidR="00B83C93" w:rsidRPr="008B4DA2">
        <w:rPr>
          <w:noProof/>
        </w:rPr>
        <w:t>zak</w:t>
      </w:r>
      <w:r w:rsidRPr="008B4DA2">
        <w:rPr>
          <w:noProof/>
        </w:rPr>
        <w:t>resie egzaminów na prawo jazdy. Komisja powinna ponadto być uprawniona do przyjęcia aktów delegowanych zmieniających takie minimalne standardy</w:t>
      </w:r>
      <w:r w:rsidR="00B83C93" w:rsidRPr="008B4DA2">
        <w:rPr>
          <w:noProof/>
        </w:rPr>
        <w:t xml:space="preserve"> i</w:t>
      </w:r>
      <w:r w:rsidR="00B83C93">
        <w:rPr>
          <w:noProof/>
        </w:rPr>
        <w:t> </w:t>
      </w:r>
      <w:r w:rsidR="00B83C93" w:rsidRPr="008B4DA2">
        <w:rPr>
          <w:noProof/>
        </w:rPr>
        <w:t>dos</w:t>
      </w:r>
      <w:r w:rsidRPr="008B4DA2">
        <w:rPr>
          <w:noProof/>
        </w:rPr>
        <w:t>tosowujących je do wszelkich technicznych, operacyjnych lub naukowych zmian mających miejsce</w:t>
      </w:r>
      <w:r w:rsidR="00B83C93" w:rsidRPr="008B4DA2">
        <w:rPr>
          <w:noProof/>
        </w:rPr>
        <w:t xml:space="preserve"> w</w:t>
      </w:r>
      <w:r w:rsidR="00B83C93">
        <w:rPr>
          <w:noProof/>
        </w:rPr>
        <w:t> </w:t>
      </w:r>
      <w:r w:rsidR="00B83C93" w:rsidRPr="008B4DA2">
        <w:rPr>
          <w:noProof/>
        </w:rPr>
        <w:t>tej</w:t>
      </w:r>
      <w:r w:rsidRPr="008B4DA2">
        <w:rPr>
          <w:noProof/>
        </w:rPr>
        <w:t xml:space="preserve"> dziedzinie, gdy zachodzi taka konieczność.</w:t>
      </w:r>
    </w:p>
    <w:p w:rsidR="00BD67F9" w:rsidRPr="008B4DA2" w:rsidRDefault="00DF60AC" w:rsidP="00DF60AC">
      <w:pPr>
        <w:pStyle w:val="ManualConsidrant"/>
        <w:rPr>
          <w:noProof/>
        </w:rPr>
      </w:pPr>
      <w:r w:rsidRPr="008B4DA2">
        <w:rPr>
          <w:noProof/>
        </w:rPr>
        <w:t>(32)</w:t>
      </w:r>
      <w:r w:rsidRPr="008B4DA2">
        <w:rPr>
          <w:noProof/>
        </w:rPr>
        <w:tab/>
        <w:t>Należy zdefiniować pojęcie „miejsca stałego zamieszkania”</w:t>
      </w:r>
      <w:r w:rsidR="00B83C93" w:rsidRPr="008B4DA2">
        <w:rPr>
          <w:noProof/>
        </w:rPr>
        <w:t xml:space="preserve"> w</w:t>
      </w:r>
      <w:r w:rsidR="00B83C93">
        <w:rPr>
          <w:noProof/>
        </w:rPr>
        <w:t> </w:t>
      </w:r>
      <w:r w:rsidR="00B83C93" w:rsidRPr="008B4DA2">
        <w:rPr>
          <w:noProof/>
        </w:rPr>
        <w:t>spo</w:t>
      </w:r>
      <w:r w:rsidRPr="008B4DA2">
        <w:rPr>
          <w:noProof/>
        </w:rPr>
        <w:t>sób umożliwiający rozwiązanie problemów, które pojawiają się, gdy ustalenie miejsca stałego zamieszkania na podstawie więzi zawodowych lub więzi rodzinnych jest niemożliwe. Należy również umożliwić kandydatom podchodzenie do egzaminów teoretycznych lub egzaminów praktycznych</w:t>
      </w:r>
      <w:r w:rsidR="00B83C93" w:rsidRPr="008B4DA2">
        <w:rPr>
          <w:noProof/>
        </w:rPr>
        <w:t xml:space="preserve"> w</w:t>
      </w:r>
      <w:r w:rsidR="00B83C93">
        <w:rPr>
          <w:noProof/>
        </w:rPr>
        <w:t> </w:t>
      </w:r>
      <w:r w:rsidR="00B83C93" w:rsidRPr="008B4DA2">
        <w:rPr>
          <w:noProof/>
        </w:rPr>
        <w:t>pań</w:t>
      </w:r>
      <w:r w:rsidRPr="008B4DA2">
        <w:rPr>
          <w:noProof/>
        </w:rPr>
        <w:t>stwie członkowskim ich obywatelstwa</w:t>
      </w:r>
      <w:r w:rsidR="00B83C93" w:rsidRPr="008B4DA2">
        <w:rPr>
          <w:noProof/>
        </w:rPr>
        <w:t xml:space="preserve"> w</w:t>
      </w:r>
      <w:r w:rsidR="00B83C93">
        <w:rPr>
          <w:noProof/>
        </w:rPr>
        <w:t> </w:t>
      </w:r>
      <w:r w:rsidR="00B83C93" w:rsidRPr="008B4DA2">
        <w:rPr>
          <w:noProof/>
        </w:rPr>
        <w:t>syt</w:t>
      </w:r>
      <w:r w:rsidRPr="008B4DA2">
        <w:rPr>
          <w:noProof/>
        </w:rPr>
        <w:t>uacjach,</w:t>
      </w:r>
      <w:r w:rsidR="00B83C93" w:rsidRPr="008B4DA2">
        <w:rPr>
          <w:noProof/>
        </w:rPr>
        <w:t xml:space="preserve"> w</w:t>
      </w:r>
      <w:r w:rsidR="00B83C93">
        <w:rPr>
          <w:noProof/>
        </w:rPr>
        <w:t> </w:t>
      </w:r>
      <w:r w:rsidR="00B83C93" w:rsidRPr="008B4DA2">
        <w:rPr>
          <w:noProof/>
        </w:rPr>
        <w:t>któ</w:t>
      </w:r>
      <w:r w:rsidRPr="008B4DA2">
        <w:rPr>
          <w:noProof/>
        </w:rPr>
        <w:t>rych państwo członkowskie ich miejsca stałego zamieszkania nie zapewnia możliwości podchodzenia to takich egzaminów</w:t>
      </w:r>
      <w:r w:rsidR="00B83C93" w:rsidRPr="008B4DA2">
        <w:rPr>
          <w:noProof/>
        </w:rPr>
        <w:t xml:space="preserve"> w</w:t>
      </w:r>
      <w:r w:rsidR="00B83C93">
        <w:rPr>
          <w:noProof/>
        </w:rPr>
        <w:t> </w:t>
      </w:r>
      <w:r w:rsidR="00B83C93" w:rsidRPr="008B4DA2">
        <w:rPr>
          <w:noProof/>
        </w:rPr>
        <w:t>jęz</w:t>
      </w:r>
      <w:r w:rsidRPr="008B4DA2">
        <w:rPr>
          <w:noProof/>
        </w:rPr>
        <w:t>yku urzędowym państwa członkowskiego, którego kandydat jest obywatelem. Należy określić przepisy szczegółowe dotyczące dyplomatów</w:t>
      </w:r>
      <w:r w:rsidR="00B83C93" w:rsidRPr="008B4DA2">
        <w:rPr>
          <w:noProof/>
        </w:rPr>
        <w:t xml:space="preserve"> i</w:t>
      </w:r>
      <w:r w:rsidR="00B83C93">
        <w:rPr>
          <w:noProof/>
        </w:rPr>
        <w:t> </w:t>
      </w:r>
      <w:r w:rsidR="00B83C93" w:rsidRPr="008B4DA2">
        <w:rPr>
          <w:noProof/>
        </w:rPr>
        <w:t>ich</w:t>
      </w:r>
      <w:r w:rsidRPr="008B4DA2">
        <w:rPr>
          <w:noProof/>
        </w:rPr>
        <w:t xml:space="preserve"> rodzin, jeżeli ze względu na pełnioną misję osoby te muszą przez długi okres mieszkać za granicą.</w:t>
      </w:r>
    </w:p>
    <w:p w:rsidR="00BD67F9" w:rsidRPr="008B4DA2" w:rsidRDefault="00DF60AC" w:rsidP="00DF60AC">
      <w:pPr>
        <w:pStyle w:val="ManualConsidrant"/>
        <w:rPr>
          <w:noProof/>
        </w:rPr>
      </w:pPr>
      <w:r w:rsidRPr="008B4DA2">
        <w:rPr>
          <w:noProof/>
        </w:rPr>
        <w:t>(33)</w:t>
      </w:r>
      <w:r w:rsidRPr="008B4DA2">
        <w:rPr>
          <w:noProof/>
        </w:rPr>
        <w:tab/>
        <w:t>Państwa członkowskie powinny wspierać się nawzajem</w:t>
      </w:r>
      <w:r w:rsidR="00B83C93" w:rsidRPr="008B4DA2">
        <w:rPr>
          <w:noProof/>
        </w:rPr>
        <w:t xml:space="preserve"> w</w:t>
      </w:r>
      <w:r w:rsidR="00B83C93">
        <w:rPr>
          <w:noProof/>
        </w:rPr>
        <w:t> </w:t>
      </w:r>
      <w:r w:rsidR="00B83C93" w:rsidRPr="008B4DA2">
        <w:rPr>
          <w:noProof/>
        </w:rPr>
        <w:t>wyk</w:t>
      </w:r>
      <w:r w:rsidRPr="008B4DA2">
        <w:rPr>
          <w:noProof/>
        </w:rPr>
        <w:t>onywaniu niniejszej dyrektywy</w:t>
      </w:r>
      <w:r w:rsidR="00B83C93" w:rsidRPr="008B4DA2">
        <w:rPr>
          <w:noProof/>
        </w:rPr>
        <w:t>. W</w:t>
      </w:r>
      <w:r w:rsidR="00B83C93">
        <w:rPr>
          <w:noProof/>
        </w:rPr>
        <w:t> </w:t>
      </w:r>
      <w:r w:rsidR="00B83C93" w:rsidRPr="008B4DA2">
        <w:rPr>
          <w:noProof/>
        </w:rPr>
        <w:t>mia</w:t>
      </w:r>
      <w:r w:rsidRPr="008B4DA2">
        <w:rPr>
          <w:noProof/>
        </w:rPr>
        <w:t xml:space="preserve">rę możliwości państwa członkowskie powinny udzielać takiej pomocy za pośrednictwem Europejskiej Sieci Praw Jazdy. Europejska Sieć Praw Jazdy, powszechnie zwana „RESPER”, to centrum prowadzące wymianę informacji między organami krajowymi odpowiedzialnymi za wydawanie praw jazdy oraz ułatwianie wykonywania niniejszej dyrektywy. </w:t>
      </w:r>
    </w:p>
    <w:p w:rsidR="00BD67F9" w:rsidRPr="008B4DA2" w:rsidRDefault="00DF60AC" w:rsidP="00DF60AC">
      <w:pPr>
        <w:pStyle w:val="ManualConsidrant"/>
        <w:rPr>
          <w:noProof/>
        </w:rPr>
      </w:pPr>
      <w:r w:rsidRPr="008B4DA2">
        <w:rPr>
          <w:noProof/>
        </w:rPr>
        <w:t>(34)</w:t>
      </w:r>
      <w:r w:rsidRPr="008B4DA2">
        <w:rPr>
          <w:noProof/>
        </w:rPr>
        <w:tab/>
        <w:t>Europejska Sieć Praw Jazdy ma na celu zagwarantowanie uznawania dokumentów</w:t>
      </w:r>
      <w:r w:rsidR="00B83C93" w:rsidRPr="008B4DA2">
        <w:rPr>
          <w:noProof/>
        </w:rPr>
        <w:t xml:space="preserve"> i</w:t>
      </w:r>
      <w:r w:rsidR="00B83C93">
        <w:rPr>
          <w:noProof/>
        </w:rPr>
        <w:t> </w:t>
      </w:r>
      <w:r w:rsidR="00B83C93" w:rsidRPr="008B4DA2">
        <w:rPr>
          <w:noProof/>
        </w:rPr>
        <w:t>pra</w:t>
      </w:r>
      <w:r w:rsidRPr="008B4DA2">
        <w:rPr>
          <w:noProof/>
        </w:rPr>
        <w:t>w uzyskanych</w:t>
      </w:r>
      <w:r w:rsidR="00B83C93" w:rsidRPr="008B4DA2">
        <w:rPr>
          <w:noProof/>
        </w:rPr>
        <w:t xml:space="preserve"> w</w:t>
      </w:r>
      <w:r w:rsidR="00B83C93">
        <w:rPr>
          <w:noProof/>
        </w:rPr>
        <w:t> </w:t>
      </w:r>
      <w:r w:rsidR="00B83C93" w:rsidRPr="008B4DA2">
        <w:rPr>
          <w:noProof/>
        </w:rPr>
        <w:t>pań</w:t>
      </w:r>
      <w:r w:rsidRPr="008B4DA2">
        <w:rPr>
          <w:noProof/>
        </w:rPr>
        <w:t>stwach członkowskich, zwalczanie przestępstw przeciwko wiarygodności dokumentów, zapobieganie wydawaniu wielu równoczesnych praw jazdy oraz ułatwienie egzekwowania zakazów prowadzenia pojazdów. Państwa członkowskie powinny</w:t>
      </w:r>
      <w:r w:rsidR="00B83C93" w:rsidRPr="008B4DA2">
        <w:rPr>
          <w:noProof/>
        </w:rPr>
        <w:t xml:space="preserve"> w</w:t>
      </w:r>
      <w:r w:rsidR="00B83C93">
        <w:rPr>
          <w:noProof/>
        </w:rPr>
        <w:t> </w:t>
      </w:r>
      <w:r w:rsidR="00B83C93" w:rsidRPr="008B4DA2">
        <w:rPr>
          <w:noProof/>
        </w:rPr>
        <w:t>szc</w:t>
      </w:r>
      <w:r w:rsidRPr="008B4DA2">
        <w:rPr>
          <w:noProof/>
        </w:rPr>
        <w:t>zególności móc sprawdzić, czy ustały powody wcześniejszego nałożenia ograniczeń, zawieszenia, cofnięcia lub unieważnienia prawa jazdy lub uprawnień do kierowania pojazdami. Korzystanie z RESPER</w:t>
      </w:r>
      <w:r w:rsidR="00B83C93" w:rsidRPr="008B4DA2">
        <w:rPr>
          <w:noProof/>
        </w:rPr>
        <w:t xml:space="preserve"> w</w:t>
      </w:r>
      <w:r w:rsidR="00B83C93">
        <w:rPr>
          <w:noProof/>
        </w:rPr>
        <w:t> </w:t>
      </w:r>
      <w:r w:rsidR="00B83C93" w:rsidRPr="008B4DA2">
        <w:rPr>
          <w:noProof/>
        </w:rPr>
        <w:t>cel</w:t>
      </w:r>
      <w:r w:rsidRPr="008B4DA2">
        <w:rPr>
          <w:noProof/>
        </w:rPr>
        <w:t>u wykonania innych aktów unijnych powinno być dopuszczalne wyłącznie</w:t>
      </w:r>
      <w:r w:rsidR="00B83C93" w:rsidRPr="008B4DA2">
        <w:rPr>
          <w:noProof/>
        </w:rPr>
        <w:t xml:space="preserve"> w</w:t>
      </w:r>
      <w:r w:rsidR="00B83C93">
        <w:rPr>
          <w:noProof/>
        </w:rPr>
        <w:t> </w:t>
      </w:r>
      <w:r w:rsidR="00B83C93" w:rsidRPr="008B4DA2">
        <w:rPr>
          <w:noProof/>
        </w:rPr>
        <w:t>prz</w:t>
      </w:r>
      <w:r w:rsidRPr="008B4DA2">
        <w:rPr>
          <w:noProof/>
        </w:rPr>
        <w:t>ypadkach wyraźnie przewidzianych</w:t>
      </w:r>
      <w:r w:rsidR="00B83C93" w:rsidRPr="008B4DA2">
        <w:rPr>
          <w:noProof/>
        </w:rPr>
        <w:t xml:space="preserve"> w</w:t>
      </w:r>
      <w:r w:rsidR="00B83C93">
        <w:rPr>
          <w:noProof/>
        </w:rPr>
        <w:t> </w:t>
      </w:r>
      <w:r w:rsidR="00B83C93" w:rsidRPr="008B4DA2">
        <w:rPr>
          <w:noProof/>
        </w:rPr>
        <w:t>nin</w:t>
      </w:r>
      <w:r w:rsidRPr="008B4DA2">
        <w:rPr>
          <w:noProof/>
        </w:rPr>
        <w:t>iejszej dyrektywie.</w:t>
      </w:r>
    </w:p>
    <w:p w:rsidR="00BD67F9" w:rsidRPr="008B4DA2" w:rsidRDefault="00DF60AC" w:rsidP="00DF60AC">
      <w:pPr>
        <w:pStyle w:val="ManualConsidrant"/>
        <w:rPr>
          <w:noProof/>
        </w:rPr>
      </w:pPr>
      <w:r w:rsidRPr="008B4DA2">
        <w:rPr>
          <w:noProof/>
        </w:rPr>
        <w:t>(35)</w:t>
      </w:r>
      <w:r w:rsidRPr="008B4DA2">
        <w:rPr>
          <w:noProof/>
        </w:rPr>
        <w:tab/>
        <w:t>Aby możliwe było sporządzanie istotnych sprawozdań</w:t>
      </w:r>
      <w:r w:rsidR="00B83C93" w:rsidRPr="008B4DA2">
        <w:rPr>
          <w:noProof/>
        </w:rPr>
        <w:t xml:space="preserve"> z</w:t>
      </w:r>
      <w:r w:rsidR="00B83C93">
        <w:rPr>
          <w:noProof/>
        </w:rPr>
        <w:t> </w:t>
      </w:r>
      <w:r w:rsidR="00B83C93" w:rsidRPr="008B4DA2">
        <w:rPr>
          <w:noProof/>
        </w:rPr>
        <w:t>wyk</w:t>
      </w:r>
      <w:r w:rsidRPr="008B4DA2">
        <w:rPr>
          <w:noProof/>
        </w:rPr>
        <w:t>onania niniejszej dyrektywy, Komisja powinna co roku otrzymywać informacje liczbowe dotyczące wydania, przedłużenia okresu ważności, wydania wtórników, cofnięcia</w:t>
      </w:r>
      <w:r w:rsidR="00B83C93" w:rsidRPr="008B4DA2">
        <w:rPr>
          <w:noProof/>
        </w:rPr>
        <w:t xml:space="preserve"> i</w:t>
      </w:r>
      <w:r w:rsidR="00B83C93">
        <w:rPr>
          <w:noProof/>
        </w:rPr>
        <w:t> </w:t>
      </w:r>
      <w:r w:rsidR="00B83C93" w:rsidRPr="008B4DA2">
        <w:rPr>
          <w:noProof/>
        </w:rPr>
        <w:t>wym</w:t>
      </w:r>
      <w:r w:rsidRPr="008B4DA2">
        <w:rPr>
          <w:noProof/>
        </w:rPr>
        <w:t>iany praw jazdy</w:t>
      </w:r>
      <w:r w:rsidR="00B83C93" w:rsidRPr="008B4DA2">
        <w:rPr>
          <w:noProof/>
        </w:rPr>
        <w:t xml:space="preserve"> w</w:t>
      </w:r>
      <w:r w:rsidR="00B83C93">
        <w:rPr>
          <w:noProof/>
        </w:rPr>
        <w:t> </w:t>
      </w:r>
      <w:r w:rsidR="00B83C93" w:rsidRPr="008B4DA2">
        <w:rPr>
          <w:noProof/>
        </w:rPr>
        <w:t>odn</w:t>
      </w:r>
      <w:r w:rsidRPr="008B4DA2">
        <w:rPr>
          <w:noProof/>
        </w:rPr>
        <w:t>iesieniu do poszczególnych kategorii, łącznie</w:t>
      </w:r>
      <w:r w:rsidR="00B83C93" w:rsidRPr="008B4DA2">
        <w:rPr>
          <w:noProof/>
        </w:rPr>
        <w:t xml:space="preserve"> z</w:t>
      </w:r>
      <w:r w:rsidR="00B83C93">
        <w:rPr>
          <w:noProof/>
        </w:rPr>
        <w:t> </w:t>
      </w:r>
      <w:r w:rsidR="00B83C93" w:rsidRPr="008B4DA2">
        <w:rPr>
          <w:noProof/>
        </w:rPr>
        <w:t>dan</w:t>
      </w:r>
      <w:r w:rsidRPr="008B4DA2">
        <w:rPr>
          <w:noProof/>
        </w:rPr>
        <w:t>ymi na temat wydawania</w:t>
      </w:r>
      <w:r w:rsidR="00B83C93" w:rsidRPr="008B4DA2">
        <w:rPr>
          <w:noProof/>
        </w:rPr>
        <w:t xml:space="preserve"> i</w:t>
      </w:r>
      <w:r w:rsidR="00B83C93">
        <w:rPr>
          <w:noProof/>
        </w:rPr>
        <w:t> </w:t>
      </w:r>
      <w:r w:rsidR="00B83C93" w:rsidRPr="008B4DA2">
        <w:rPr>
          <w:noProof/>
        </w:rPr>
        <w:t>uży</w:t>
      </w:r>
      <w:r w:rsidRPr="008B4DA2">
        <w:rPr>
          <w:noProof/>
        </w:rPr>
        <w:t>wania mobilnych praw jazdy.</w:t>
      </w:r>
    </w:p>
    <w:p w:rsidR="00BD67F9" w:rsidRPr="008B4DA2" w:rsidRDefault="00DF60AC" w:rsidP="00DF60AC">
      <w:pPr>
        <w:pStyle w:val="ManualConsidrant"/>
        <w:rPr>
          <w:noProof/>
        </w:rPr>
      </w:pPr>
      <w:r w:rsidRPr="008B4DA2">
        <w:rPr>
          <w:noProof/>
        </w:rPr>
        <w:t>(36)</w:t>
      </w:r>
      <w:r w:rsidRPr="008B4DA2">
        <w:rPr>
          <w:noProof/>
        </w:rPr>
        <w:tab/>
        <w:t>Aby osiągnąć cele niniejszej dyrektywy,</w:t>
      </w:r>
      <w:r w:rsidR="00B83C93" w:rsidRPr="008B4DA2">
        <w:rPr>
          <w:noProof/>
        </w:rPr>
        <w:t xml:space="preserve"> w</w:t>
      </w:r>
      <w:r w:rsidR="00B83C93">
        <w:rPr>
          <w:noProof/>
        </w:rPr>
        <w:t> </w:t>
      </w:r>
      <w:r w:rsidR="00B83C93" w:rsidRPr="008B4DA2">
        <w:rPr>
          <w:noProof/>
        </w:rPr>
        <w:t>szc</w:t>
      </w:r>
      <w:r w:rsidRPr="008B4DA2">
        <w:rPr>
          <w:noProof/>
        </w:rPr>
        <w:t>zególności aby dostosować jej załączniki do wszelkich zmian technicznych, operacyjnych lub naukowych, należy przekazać Komisji uprawnienia do przyjmowania aktów zgodnie</w:t>
      </w:r>
      <w:r w:rsidR="00B83C93" w:rsidRPr="008B4DA2">
        <w:rPr>
          <w:noProof/>
        </w:rPr>
        <w:t xml:space="preserve"> z</w:t>
      </w:r>
      <w:r w:rsidR="00B83C93">
        <w:rPr>
          <w:noProof/>
        </w:rPr>
        <w:t> </w:t>
      </w:r>
      <w:r w:rsidR="00B83C93" w:rsidRPr="00B83C93">
        <w:rPr>
          <w:noProof/>
        </w:rPr>
        <w:t>art</w:t>
      </w:r>
      <w:r w:rsidRPr="00B83C93">
        <w:rPr>
          <w:noProof/>
        </w:rPr>
        <w:t>.</w:t>
      </w:r>
      <w:r w:rsidR="00B83C93" w:rsidRPr="00B83C93">
        <w:rPr>
          <w:noProof/>
        </w:rPr>
        <w:t> </w:t>
      </w:r>
      <w:r w:rsidRPr="00B83C93">
        <w:rPr>
          <w:noProof/>
        </w:rPr>
        <w:t>2</w:t>
      </w:r>
      <w:r w:rsidRPr="008B4DA2">
        <w:rPr>
          <w:noProof/>
        </w:rPr>
        <w:t>90 TFUE</w:t>
      </w:r>
      <w:r w:rsidR="00B83C93" w:rsidRPr="008B4DA2">
        <w:rPr>
          <w:noProof/>
        </w:rPr>
        <w:t xml:space="preserve"> w</w:t>
      </w:r>
      <w:r w:rsidR="00B83C93">
        <w:rPr>
          <w:noProof/>
        </w:rPr>
        <w:t> </w:t>
      </w:r>
      <w:r w:rsidR="00B83C93" w:rsidRPr="008B4DA2">
        <w:rPr>
          <w:noProof/>
        </w:rPr>
        <w:t>odn</w:t>
      </w:r>
      <w:r w:rsidRPr="008B4DA2">
        <w:rPr>
          <w:noProof/>
        </w:rPr>
        <w:t>iesieniu do: zmiany części A, B i D załącznika I,</w:t>
      </w:r>
      <w:r w:rsidR="00B83C93" w:rsidRPr="008B4DA2">
        <w:rPr>
          <w:noProof/>
        </w:rPr>
        <w:t xml:space="preserve"> w</w:t>
      </w:r>
      <w:r w:rsidR="00B83C93">
        <w:rPr>
          <w:noProof/>
        </w:rPr>
        <w:t> </w:t>
      </w:r>
      <w:r w:rsidR="00B83C93" w:rsidRPr="008B4DA2">
        <w:rPr>
          <w:noProof/>
        </w:rPr>
        <w:t>któ</w:t>
      </w:r>
      <w:r w:rsidRPr="008B4DA2">
        <w:rPr>
          <w:noProof/>
        </w:rPr>
        <w:t>rych określono specyfikację fizycznych praw jazdy; zmiany części C załącznika I,</w:t>
      </w:r>
      <w:r w:rsidR="00B83C93" w:rsidRPr="008B4DA2">
        <w:rPr>
          <w:noProof/>
        </w:rPr>
        <w:t xml:space="preserve"> w</w:t>
      </w:r>
      <w:r w:rsidR="00B83C93">
        <w:rPr>
          <w:noProof/>
        </w:rPr>
        <w:t> </w:t>
      </w:r>
      <w:r w:rsidR="00B83C93" w:rsidRPr="008B4DA2">
        <w:rPr>
          <w:noProof/>
        </w:rPr>
        <w:t>któ</w:t>
      </w:r>
      <w:r w:rsidRPr="008B4DA2">
        <w:rPr>
          <w:noProof/>
        </w:rPr>
        <w:t>rej określono specyfikację mobilnych praw jazdy; zmiany części E załącznika I,</w:t>
      </w:r>
      <w:r w:rsidR="00B83C93" w:rsidRPr="008B4DA2">
        <w:rPr>
          <w:noProof/>
        </w:rPr>
        <w:t xml:space="preserve"> w</w:t>
      </w:r>
      <w:r w:rsidR="00B83C93">
        <w:rPr>
          <w:noProof/>
        </w:rPr>
        <w:t> </w:t>
      </w:r>
      <w:r w:rsidR="00B83C93" w:rsidRPr="008B4DA2">
        <w:rPr>
          <w:noProof/>
        </w:rPr>
        <w:t>któ</w:t>
      </w:r>
      <w:r w:rsidRPr="008B4DA2">
        <w:rPr>
          <w:noProof/>
        </w:rPr>
        <w:t>rej określono zasady dotyczące mających zastosowanie kodów krajowych</w:t>
      </w:r>
      <w:r w:rsidR="00B83C93" w:rsidRPr="008B4DA2">
        <w:rPr>
          <w:noProof/>
        </w:rPr>
        <w:t xml:space="preserve"> i</w:t>
      </w:r>
      <w:r w:rsidR="00B83C93">
        <w:rPr>
          <w:noProof/>
        </w:rPr>
        <w:t> </w:t>
      </w:r>
      <w:r w:rsidR="00B83C93" w:rsidRPr="008B4DA2">
        <w:rPr>
          <w:noProof/>
        </w:rPr>
        <w:t>uni</w:t>
      </w:r>
      <w:r w:rsidRPr="008B4DA2">
        <w:rPr>
          <w:noProof/>
        </w:rPr>
        <w:t>jnych; zmiany załączników II, III V i VI zawierających określone minimalne wymogi dotyczące wydawania, ważności</w:t>
      </w:r>
      <w:r w:rsidR="00B83C93" w:rsidRPr="008B4DA2">
        <w:rPr>
          <w:noProof/>
        </w:rPr>
        <w:t xml:space="preserve"> i</w:t>
      </w:r>
      <w:r w:rsidR="00B83C93">
        <w:rPr>
          <w:noProof/>
        </w:rPr>
        <w:t> </w:t>
      </w:r>
      <w:r w:rsidR="00B83C93" w:rsidRPr="008B4DA2">
        <w:rPr>
          <w:noProof/>
        </w:rPr>
        <w:t>prz</w:t>
      </w:r>
      <w:r w:rsidRPr="008B4DA2">
        <w:rPr>
          <w:noProof/>
        </w:rPr>
        <w:t>edłużania okresu ważności praw jazdy; oraz zmiany załącznika IV określającego minimalne standardy obowiązujące egzaminatorów. Takie uprawnienia należy przekazać na okres pięciu lat ze względu na częste występowanie zmian technicznych, operacyjnych</w:t>
      </w:r>
      <w:r w:rsidR="00B83C93" w:rsidRPr="008B4DA2">
        <w:rPr>
          <w:noProof/>
        </w:rPr>
        <w:t xml:space="preserve"> i</w:t>
      </w:r>
      <w:r w:rsidR="00B83C93">
        <w:rPr>
          <w:noProof/>
        </w:rPr>
        <w:t> </w:t>
      </w:r>
      <w:r w:rsidR="00B83C93" w:rsidRPr="008B4DA2">
        <w:rPr>
          <w:noProof/>
        </w:rPr>
        <w:t>nau</w:t>
      </w:r>
      <w:r w:rsidRPr="008B4DA2">
        <w:rPr>
          <w:noProof/>
        </w:rPr>
        <w:t>kowych</w:t>
      </w:r>
      <w:r w:rsidR="00B83C93" w:rsidRPr="008B4DA2">
        <w:rPr>
          <w:noProof/>
        </w:rPr>
        <w:t xml:space="preserve"> w</w:t>
      </w:r>
      <w:r w:rsidR="00B83C93">
        <w:rPr>
          <w:noProof/>
        </w:rPr>
        <w:t> </w:t>
      </w:r>
      <w:r w:rsidR="00B83C93" w:rsidRPr="008B4DA2">
        <w:rPr>
          <w:noProof/>
        </w:rPr>
        <w:t>kwe</w:t>
      </w:r>
      <w:r w:rsidRPr="008B4DA2">
        <w:rPr>
          <w:noProof/>
        </w:rPr>
        <w:t>stiach regulowanych</w:t>
      </w:r>
      <w:r w:rsidR="00B83C93" w:rsidRPr="008B4DA2">
        <w:rPr>
          <w:noProof/>
        </w:rPr>
        <w:t xml:space="preserve"> w</w:t>
      </w:r>
      <w:r w:rsidR="00B83C93">
        <w:rPr>
          <w:noProof/>
        </w:rPr>
        <w:t> </w:t>
      </w:r>
      <w:r w:rsidR="00B83C93" w:rsidRPr="008B4DA2">
        <w:rPr>
          <w:noProof/>
        </w:rPr>
        <w:t>tyc</w:t>
      </w:r>
      <w:r w:rsidRPr="008B4DA2">
        <w:rPr>
          <w:noProof/>
        </w:rPr>
        <w:t>h załącznikach</w:t>
      </w:r>
      <w:r w:rsidRPr="008B4DA2">
        <w:rPr>
          <w:rFonts w:ascii="Calibri" w:hAnsi="Calibri"/>
          <w:i/>
          <w:noProof/>
          <w:sz w:val="22"/>
        </w:rPr>
        <w:t xml:space="preserve">. </w:t>
      </w:r>
      <w:r w:rsidRPr="008B4DA2">
        <w:rPr>
          <w:noProof/>
        </w:rPr>
        <w:t>Szczególnie ważne jest, aby</w:t>
      </w:r>
      <w:r w:rsidR="00B83C93" w:rsidRPr="008B4DA2">
        <w:rPr>
          <w:noProof/>
        </w:rPr>
        <w:t xml:space="preserve"> w</w:t>
      </w:r>
      <w:r w:rsidR="00B83C93">
        <w:rPr>
          <w:noProof/>
        </w:rPr>
        <w:t> </w:t>
      </w:r>
      <w:r w:rsidR="00B83C93" w:rsidRPr="008B4DA2">
        <w:rPr>
          <w:noProof/>
        </w:rPr>
        <w:t>cza</w:t>
      </w:r>
      <w:r w:rsidRPr="008B4DA2">
        <w:rPr>
          <w:noProof/>
        </w:rPr>
        <w:t>sie prac przygotowawczych Komisja prowadziła stosowne konsultacje,</w:t>
      </w:r>
      <w:r w:rsidR="00B83C93" w:rsidRPr="008B4DA2">
        <w:rPr>
          <w:noProof/>
        </w:rPr>
        <w:t xml:space="preserve"> w</w:t>
      </w:r>
      <w:r w:rsidR="00B83C93">
        <w:rPr>
          <w:noProof/>
        </w:rPr>
        <w:t> </w:t>
      </w:r>
      <w:r w:rsidR="00B83C93" w:rsidRPr="008B4DA2">
        <w:rPr>
          <w:noProof/>
        </w:rPr>
        <w:t>tym</w:t>
      </w:r>
      <w:r w:rsidRPr="008B4DA2">
        <w:rPr>
          <w:noProof/>
        </w:rPr>
        <w:t xml:space="preserve"> na poziomie ekspertów, oraz aby konsultacje te prowadzone były zgodnie</w:t>
      </w:r>
      <w:r w:rsidR="00B83C93" w:rsidRPr="008B4DA2">
        <w:rPr>
          <w:noProof/>
        </w:rPr>
        <w:t xml:space="preserve"> z</w:t>
      </w:r>
      <w:r w:rsidR="00B83C93">
        <w:rPr>
          <w:noProof/>
        </w:rPr>
        <w:t> </w:t>
      </w:r>
      <w:r w:rsidR="00B83C93" w:rsidRPr="008B4DA2">
        <w:rPr>
          <w:noProof/>
        </w:rPr>
        <w:t>zas</w:t>
      </w:r>
      <w:r w:rsidRPr="008B4DA2">
        <w:rPr>
          <w:noProof/>
        </w:rPr>
        <w:t>adami określonymi</w:t>
      </w:r>
      <w:r w:rsidR="00B83C93" w:rsidRPr="008B4DA2">
        <w:rPr>
          <w:noProof/>
        </w:rPr>
        <w:t xml:space="preserve"> w</w:t>
      </w:r>
      <w:r w:rsidR="00B83C93">
        <w:rPr>
          <w:noProof/>
        </w:rPr>
        <w:t> </w:t>
      </w:r>
      <w:r w:rsidR="00B83C93" w:rsidRPr="008B4DA2">
        <w:rPr>
          <w:noProof/>
        </w:rPr>
        <w:t>Por</w:t>
      </w:r>
      <w:r w:rsidRPr="008B4DA2">
        <w:rPr>
          <w:noProof/>
        </w:rPr>
        <w:t>ozumieniu międzyinstytucjonalnym</w:t>
      </w:r>
      <w:r w:rsidR="00B83C93" w:rsidRPr="008B4DA2">
        <w:rPr>
          <w:noProof/>
        </w:rPr>
        <w:t xml:space="preserve"> z</w:t>
      </w:r>
      <w:r w:rsidR="00B83C93">
        <w:rPr>
          <w:noProof/>
        </w:rPr>
        <w:t> </w:t>
      </w:r>
      <w:r w:rsidR="00B83C93" w:rsidRPr="008B4DA2">
        <w:rPr>
          <w:noProof/>
        </w:rPr>
        <w:t>dni</w:t>
      </w:r>
      <w:r w:rsidRPr="008B4DA2">
        <w:rPr>
          <w:noProof/>
        </w:rPr>
        <w:t>a 13 kwietnia 20</w:t>
      </w:r>
      <w:r w:rsidRPr="00B83C93">
        <w:rPr>
          <w:noProof/>
        </w:rPr>
        <w:t>16</w:t>
      </w:r>
      <w:r w:rsidR="00B83C93" w:rsidRPr="00B83C93">
        <w:rPr>
          <w:noProof/>
        </w:rPr>
        <w:t> </w:t>
      </w:r>
      <w:r w:rsidRPr="00B83C93">
        <w:rPr>
          <w:noProof/>
        </w:rPr>
        <w:t>r.</w:t>
      </w:r>
      <w:r w:rsidR="00B83C93" w:rsidRPr="008B4DA2">
        <w:rPr>
          <w:noProof/>
        </w:rPr>
        <w:t xml:space="preserve"> w</w:t>
      </w:r>
      <w:r w:rsidR="00B83C93">
        <w:rPr>
          <w:noProof/>
        </w:rPr>
        <w:t> </w:t>
      </w:r>
      <w:r w:rsidR="00B83C93" w:rsidRPr="008B4DA2">
        <w:rPr>
          <w:noProof/>
        </w:rPr>
        <w:t>spr</w:t>
      </w:r>
      <w:r w:rsidRPr="008B4DA2">
        <w:rPr>
          <w:noProof/>
        </w:rPr>
        <w:t>awie lepszego stanowienia prawa</w:t>
      </w:r>
      <w:r w:rsidRPr="008B4DA2">
        <w:rPr>
          <w:rStyle w:val="FootnoteReference"/>
          <w:noProof/>
        </w:rPr>
        <w:footnoteReference w:id="57"/>
      </w:r>
      <w:r w:rsidR="00B83C93" w:rsidRPr="008B4DA2">
        <w:rPr>
          <w:noProof/>
        </w:rPr>
        <w:t>. W</w:t>
      </w:r>
      <w:r w:rsidR="00B83C93">
        <w:rPr>
          <w:noProof/>
        </w:rPr>
        <w:t> </w:t>
      </w:r>
      <w:r w:rsidR="00B83C93" w:rsidRPr="008B4DA2">
        <w:rPr>
          <w:noProof/>
        </w:rPr>
        <w:t>szc</w:t>
      </w:r>
      <w:r w:rsidRPr="008B4DA2">
        <w:rPr>
          <w:noProof/>
        </w:rPr>
        <w:t>zególności, aby zapewnić Parlamentowi Europejskiemu</w:t>
      </w:r>
      <w:r w:rsidR="00B83C93" w:rsidRPr="008B4DA2">
        <w:rPr>
          <w:noProof/>
        </w:rPr>
        <w:t xml:space="preserve"> i</w:t>
      </w:r>
      <w:r w:rsidR="00B83C93">
        <w:rPr>
          <w:noProof/>
        </w:rPr>
        <w:t> </w:t>
      </w:r>
      <w:r w:rsidR="00B83C93" w:rsidRPr="008B4DA2">
        <w:rPr>
          <w:noProof/>
        </w:rPr>
        <w:t>Rad</w:t>
      </w:r>
      <w:r w:rsidRPr="008B4DA2">
        <w:rPr>
          <w:noProof/>
        </w:rPr>
        <w:t>zie udział na równych zasadach</w:t>
      </w:r>
      <w:r w:rsidR="00B83C93" w:rsidRPr="008B4DA2">
        <w:rPr>
          <w:noProof/>
        </w:rPr>
        <w:t xml:space="preserve"> w</w:t>
      </w:r>
      <w:r w:rsidR="00B83C93">
        <w:rPr>
          <w:noProof/>
        </w:rPr>
        <w:t> </w:t>
      </w:r>
      <w:r w:rsidR="00B83C93" w:rsidRPr="008B4DA2">
        <w:rPr>
          <w:noProof/>
        </w:rPr>
        <w:t>prz</w:t>
      </w:r>
      <w:r w:rsidRPr="008B4DA2">
        <w:rPr>
          <w:noProof/>
        </w:rPr>
        <w:t>ygotowaniu aktów delegowanych, instytucje te otrzymują wszelkie dokumenty</w:t>
      </w:r>
      <w:r w:rsidR="00B83C93" w:rsidRPr="008B4DA2">
        <w:rPr>
          <w:noProof/>
        </w:rPr>
        <w:t xml:space="preserve"> w</w:t>
      </w:r>
      <w:r w:rsidR="00B83C93">
        <w:rPr>
          <w:noProof/>
        </w:rPr>
        <w:t> </w:t>
      </w:r>
      <w:r w:rsidR="00B83C93" w:rsidRPr="008B4DA2">
        <w:rPr>
          <w:noProof/>
        </w:rPr>
        <w:t>tym</w:t>
      </w:r>
      <w:r w:rsidRPr="008B4DA2">
        <w:rPr>
          <w:noProof/>
        </w:rPr>
        <w:t xml:space="preserve"> samym czasie co eksperci państw członkowskich,</w:t>
      </w:r>
      <w:r w:rsidR="00B83C93" w:rsidRPr="008B4DA2">
        <w:rPr>
          <w:noProof/>
        </w:rPr>
        <w:t xml:space="preserve"> a</w:t>
      </w:r>
      <w:r w:rsidR="00B83C93">
        <w:rPr>
          <w:noProof/>
        </w:rPr>
        <w:t> </w:t>
      </w:r>
      <w:r w:rsidR="00B83C93" w:rsidRPr="008B4DA2">
        <w:rPr>
          <w:noProof/>
        </w:rPr>
        <w:t>eks</w:t>
      </w:r>
      <w:r w:rsidRPr="008B4DA2">
        <w:rPr>
          <w:noProof/>
        </w:rPr>
        <w:t>perci tych instytucji mogą systematycznie brać udział</w:t>
      </w:r>
      <w:r w:rsidR="00B83C93" w:rsidRPr="008B4DA2">
        <w:rPr>
          <w:noProof/>
        </w:rPr>
        <w:t xml:space="preserve"> w</w:t>
      </w:r>
      <w:r w:rsidR="00B83C93">
        <w:rPr>
          <w:noProof/>
        </w:rPr>
        <w:t> </w:t>
      </w:r>
      <w:r w:rsidR="00B83C93" w:rsidRPr="008B4DA2">
        <w:rPr>
          <w:noProof/>
        </w:rPr>
        <w:t>pos</w:t>
      </w:r>
      <w:r w:rsidRPr="008B4DA2">
        <w:rPr>
          <w:noProof/>
        </w:rPr>
        <w:t>iedzeniach grup eksperckich Komisji zajmujących się przygotowaniem aktów delegowanych.</w:t>
      </w:r>
    </w:p>
    <w:p w:rsidR="00BD67F9" w:rsidRPr="008B4DA2" w:rsidRDefault="00DF60AC" w:rsidP="00DF60AC">
      <w:pPr>
        <w:pStyle w:val="ManualConsidrant"/>
        <w:rPr>
          <w:noProof/>
        </w:rPr>
      </w:pPr>
      <w:r w:rsidRPr="008B4DA2">
        <w:rPr>
          <w:noProof/>
        </w:rPr>
        <w:t>(37)</w:t>
      </w:r>
      <w:r w:rsidRPr="008B4DA2">
        <w:rPr>
          <w:noProof/>
        </w:rPr>
        <w:tab/>
        <w:t>W kontekście postępującej cyfryzacji</w:t>
      </w:r>
      <w:r w:rsidR="00B83C93" w:rsidRPr="008B4DA2">
        <w:rPr>
          <w:noProof/>
        </w:rPr>
        <w:t xml:space="preserve"> i</w:t>
      </w:r>
      <w:r w:rsidR="00B83C93">
        <w:rPr>
          <w:noProof/>
        </w:rPr>
        <w:t> </w:t>
      </w:r>
      <w:r w:rsidR="00B83C93" w:rsidRPr="008B4DA2">
        <w:rPr>
          <w:noProof/>
        </w:rPr>
        <w:t>aut</w:t>
      </w:r>
      <w:r w:rsidRPr="008B4DA2">
        <w:rPr>
          <w:noProof/>
        </w:rPr>
        <w:t>omatyzacji oraz coraz bardziej surowych wymogów</w:t>
      </w:r>
      <w:r w:rsidR="00B83C93" w:rsidRPr="008B4DA2">
        <w:rPr>
          <w:noProof/>
        </w:rPr>
        <w:t xml:space="preserve"> w</w:t>
      </w:r>
      <w:r w:rsidR="00B83C93">
        <w:rPr>
          <w:noProof/>
        </w:rPr>
        <w:t> </w:t>
      </w:r>
      <w:r w:rsidR="00B83C93" w:rsidRPr="008B4DA2">
        <w:rPr>
          <w:noProof/>
        </w:rPr>
        <w:t>zak</w:t>
      </w:r>
      <w:r w:rsidRPr="008B4DA2">
        <w:rPr>
          <w:noProof/>
        </w:rPr>
        <w:t>resie redukcji emisji pochodzących</w:t>
      </w:r>
      <w:r w:rsidR="00B83C93" w:rsidRPr="008B4DA2">
        <w:rPr>
          <w:noProof/>
        </w:rPr>
        <w:t xml:space="preserve"> z</w:t>
      </w:r>
      <w:r w:rsidR="00B83C93">
        <w:rPr>
          <w:noProof/>
        </w:rPr>
        <w:t> </w:t>
      </w:r>
      <w:r w:rsidR="00B83C93" w:rsidRPr="008B4DA2">
        <w:rPr>
          <w:noProof/>
        </w:rPr>
        <w:t>tra</w:t>
      </w:r>
      <w:r w:rsidRPr="008B4DA2">
        <w:rPr>
          <w:noProof/>
        </w:rPr>
        <w:t>nsportu drogowego, jak również stałego postępu technologicznego</w:t>
      </w:r>
      <w:r w:rsidR="00B83C93" w:rsidRPr="008B4DA2">
        <w:rPr>
          <w:noProof/>
        </w:rPr>
        <w:t xml:space="preserve"> w</w:t>
      </w:r>
      <w:r w:rsidR="00B83C93">
        <w:rPr>
          <w:noProof/>
        </w:rPr>
        <w:t> </w:t>
      </w:r>
      <w:r w:rsidR="00B83C93" w:rsidRPr="008B4DA2">
        <w:rPr>
          <w:noProof/>
        </w:rPr>
        <w:t>sek</w:t>
      </w:r>
      <w:r w:rsidRPr="008B4DA2">
        <w:rPr>
          <w:noProof/>
        </w:rPr>
        <w:t>torze pojazdów mechanicznych, należy zadbać o to, aby wszyscy kierowcy posiadali aktualną wiedzę na temat kwestii bezpieczeństwa ruchu drogowego</w:t>
      </w:r>
      <w:r w:rsidR="00B83C93" w:rsidRPr="008B4DA2">
        <w:rPr>
          <w:noProof/>
        </w:rPr>
        <w:t xml:space="preserve"> i</w:t>
      </w:r>
      <w:r w:rsidR="00B83C93">
        <w:rPr>
          <w:noProof/>
        </w:rPr>
        <w:t> </w:t>
      </w:r>
      <w:r w:rsidR="00B83C93" w:rsidRPr="008B4DA2">
        <w:rPr>
          <w:noProof/>
        </w:rPr>
        <w:t>zró</w:t>
      </w:r>
      <w:r w:rsidRPr="008B4DA2">
        <w:rPr>
          <w:noProof/>
        </w:rPr>
        <w:t>wnoważonego rozwoju. Propagowanie uczenia się przez całe życie może mieć kluczowe znaczenie</w:t>
      </w:r>
      <w:r w:rsidR="00B83C93" w:rsidRPr="008B4DA2">
        <w:rPr>
          <w:noProof/>
        </w:rPr>
        <w:t xml:space="preserve"> w</w:t>
      </w:r>
      <w:r w:rsidR="00B83C93">
        <w:rPr>
          <w:noProof/>
        </w:rPr>
        <w:t> </w:t>
      </w:r>
      <w:r w:rsidR="00B83C93" w:rsidRPr="008B4DA2">
        <w:rPr>
          <w:noProof/>
        </w:rPr>
        <w:t>kon</w:t>
      </w:r>
      <w:r w:rsidRPr="008B4DA2">
        <w:rPr>
          <w:noProof/>
        </w:rPr>
        <w:t>tekście zapewnienia, aby doświadczeni kierowcy na bieżąco aktualizowali swoje umiejętności, jeżeli chodzi</w:t>
      </w:r>
      <w:r w:rsidR="00B83C93" w:rsidRPr="008B4DA2">
        <w:rPr>
          <w:noProof/>
        </w:rPr>
        <w:t xml:space="preserve"> o</w:t>
      </w:r>
      <w:r w:rsidR="00B83C93">
        <w:rPr>
          <w:noProof/>
        </w:rPr>
        <w:t> </w:t>
      </w:r>
      <w:r w:rsidR="00B83C93" w:rsidRPr="008B4DA2">
        <w:rPr>
          <w:noProof/>
        </w:rPr>
        <w:t>bez</w:t>
      </w:r>
      <w:r w:rsidRPr="008B4DA2">
        <w:rPr>
          <w:noProof/>
        </w:rPr>
        <w:t>pieczeństwo ruchu drogowego, nowe technologie, ekologiczny styl jazdy, który przyczynia się do zwiększenia efektywności paliwowej</w:t>
      </w:r>
      <w:r w:rsidR="00B83C93" w:rsidRPr="008B4DA2">
        <w:rPr>
          <w:noProof/>
        </w:rPr>
        <w:t xml:space="preserve"> i</w:t>
      </w:r>
      <w:r w:rsidR="00B83C93">
        <w:rPr>
          <w:noProof/>
        </w:rPr>
        <w:t> </w:t>
      </w:r>
      <w:r w:rsidR="00B83C93" w:rsidRPr="008B4DA2">
        <w:rPr>
          <w:noProof/>
        </w:rPr>
        <w:t>red</w:t>
      </w:r>
      <w:r w:rsidRPr="008B4DA2">
        <w:rPr>
          <w:noProof/>
        </w:rPr>
        <w:t>ukcji emisji, oraz lepsze dostosowywanie prędkości.</w:t>
      </w:r>
    </w:p>
    <w:p w:rsidR="00BD67F9" w:rsidRPr="008B4DA2" w:rsidRDefault="00DF60AC" w:rsidP="00DF60AC">
      <w:pPr>
        <w:pStyle w:val="ManualConsidrant"/>
        <w:rPr>
          <w:noProof/>
          <w:sz w:val="22"/>
        </w:rPr>
      </w:pPr>
      <w:r w:rsidRPr="008B4DA2">
        <w:rPr>
          <w:noProof/>
        </w:rPr>
        <w:t>(38)</w:t>
      </w:r>
      <w:r w:rsidRPr="008B4DA2">
        <w:rPr>
          <w:noProof/>
        </w:rPr>
        <w:tab/>
        <w:t>W celu zapewnienia jednolitych warunków wykonywania niniejszej dyrektywy należy powierzyć Komisji uprawnienia wykonawcze do określania: elementów interoperacyjności</w:t>
      </w:r>
      <w:r w:rsidR="00B83C93" w:rsidRPr="008B4DA2">
        <w:rPr>
          <w:noProof/>
        </w:rPr>
        <w:t xml:space="preserve"> i</w:t>
      </w:r>
      <w:r w:rsidR="00B83C93">
        <w:rPr>
          <w:noProof/>
        </w:rPr>
        <w:t> </w:t>
      </w:r>
      <w:r w:rsidR="00B83C93" w:rsidRPr="008B4DA2">
        <w:rPr>
          <w:noProof/>
        </w:rPr>
        <w:t>śro</w:t>
      </w:r>
      <w:r w:rsidRPr="008B4DA2">
        <w:rPr>
          <w:noProof/>
        </w:rPr>
        <w:t>dków bezpieczeństwa mających zastosowanie do kodów QR umieszczanych na fizycznych prawach jazdy; przepisów dotyczących interoperacyjności, bezpieczeństwa</w:t>
      </w:r>
      <w:r w:rsidR="00B83C93" w:rsidRPr="008B4DA2">
        <w:rPr>
          <w:noProof/>
        </w:rPr>
        <w:t xml:space="preserve"> i</w:t>
      </w:r>
      <w:r w:rsidR="00B83C93">
        <w:rPr>
          <w:noProof/>
        </w:rPr>
        <w:t> </w:t>
      </w:r>
      <w:r w:rsidR="00B83C93" w:rsidRPr="008B4DA2">
        <w:rPr>
          <w:noProof/>
        </w:rPr>
        <w:t>tes</w:t>
      </w:r>
      <w:r w:rsidRPr="008B4DA2">
        <w:rPr>
          <w:noProof/>
        </w:rPr>
        <w:t>towania mobilnych praw jazdy; przedłużenia administracyjnego okresu ważności praw jazdy</w:t>
      </w:r>
      <w:r w:rsidR="00B83C93" w:rsidRPr="008B4DA2">
        <w:rPr>
          <w:noProof/>
        </w:rPr>
        <w:t xml:space="preserve"> w</w:t>
      </w:r>
      <w:r w:rsidR="00B83C93">
        <w:rPr>
          <w:noProof/>
        </w:rPr>
        <w:t> </w:t>
      </w:r>
      <w:r w:rsidR="00B83C93" w:rsidRPr="008B4DA2">
        <w:rPr>
          <w:noProof/>
        </w:rPr>
        <w:t>Uni</w:t>
      </w:r>
      <w:r w:rsidRPr="008B4DA2">
        <w:rPr>
          <w:noProof/>
        </w:rPr>
        <w:t>i</w:t>
      </w:r>
      <w:r w:rsidR="00B83C93" w:rsidRPr="008B4DA2">
        <w:rPr>
          <w:noProof/>
        </w:rPr>
        <w:t xml:space="preserve"> w</w:t>
      </w:r>
      <w:r w:rsidR="00B83C93">
        <w:rPr>
          <w:noProof/>
        </w:rPr>
        <w:t> </w:t>
      </w:r>
      <w:r w:rsidR="00B83C93" w:rsidRPr="008B4DA2">
        <w:rPr>
          <w:noProof/>
        </w:rPr>
        <w:t>prz</w:t>
      </w:r>
      <w:r w:rsidRPr="008B4DA2">
        <w:rPr>
          <w:noProof/>
        </w:rPr>
        <w:t>ypadku wystąpienia kryzysu; treści samooceny fizycznej</w:t>
      </w:r>
      <w:r w:rsidR="00B83C93" w:rsidRPr="008B4DA2">
        <w:rPr>
          <w:noProof/>
        </w:rPr>
        <w:t xml:space="preserve"> i</w:t>
      </w:r>
      <w:r w:rsidR="00B83C93">
        <w:rPr>
          <w:noProof/>
        </w:rPr>
        <w:t> </w:t>
      </w:r>
      <w:r w:rsidR="00B83C93" w:rsidRPr="008B4DA2">
        <w:rPr>
          <w:noProof/>
        </w:rPr>
        <w:t>psy</w:t>
      </w:r>
      <w:r w:rsidRPr="008B4DA2">
        <w:rPr>
          <w:noProof/>
        </w:rPr>
        <w:t>chicznej zdolności, którą to samoocenę przeprowadzają kierowcy należący do grupy 1; warunków wymiany praw jazdy wydanych przez państwa trzecie na prawa jazdy wydane przez państwa członkowskie bez rejestracji faktu wymiany prawa jazdy;</w:t>
      </w:r>
      <w:r w:rsidR="00B83C93" w:rsidRPr="008B4DA2">
        <w:rPr>
          <w:noProof/>
        </w:rPr>
        <w:t xml:space="preserve"> a</w:t>
      </w:r>
      <w:r w:rsidR="00B83C93">
        <w:rPr>
          <w:noProof/>
        </w:rPr>
        <w:t> </w:t>
      </w:r>
      <w:r w:rsidR="00B83C93" w:rsidRPr="008B4DA2">
        <w:rPr>
          <w:noProof/>
        </w:rPr>
        <w:t>tak</w:t>
      </w:r>
      <w:r w:rsidRPr="008B4DA2">
        <w:rPr>
          <w:noProof/>
        </w:rPr>
        <w:t xml:space="preserve">że </w:t>
      </w:r>
      <w:r w:rsidRPr="008B4DA2">
        <w:rPr>
          <w:rStyle w:val="normaltextrun"/>
          <w:noProof/>
        </w:rPr>
        <w:t>interoperacyjności między systemami krajowymi połączonymi</w:t>
      </w:r>
      <w:r w:rsidR="00B83C93" w:rsidRPr="008B4DA2">
        <w:rPr>
          <w:rStyle w:val="normaltextrun"/>
          <w:noProof/>
        </w:rPr>
        <w:t xml:space="preserve"> z</w:t>
      </w:r>
      <w:r w:rsidR="00B83C93">
        <w:rPr>
          <w:rStyle w:val="normaltextrun"/>
          <w:noProof/>
        </w:rPr>
        <w:t> </w:t>
      </w:r>
      <w:r w:rsidR="00B83C93" w:rsidRPr="008B4DA2">
        <w:rPr>
          <w:rStyle w:val="normaltextrun"/>
          <w:noProof/>
        </w:rPr>
        <w:t>Eur</w:t>
      </w:r>
      <w:r w:rsidRPr="008B4DA2">
        <w:rPr>
          <w:rStyle w:val="normaltextrun"/>
          <w:noProof/>
        </w:rPr>
        <w:t>opejską Siecią Praw Jazdy oraz ochrony danych osobowych wymienianych</w:t>
      </w:r>
      <w:r w:rsidR="00B83C93" w:rsidRPr="008B4DA2">
        <w:rPr>
          <w:rStyle w:val="normaltextrun"/>
          <w:noProof/>
        </w:rPr>
        <w:t xml:space="preserve"> w</w:t>
      </w:r>
      <w:r w:rsidR="00B83C93">
        <w:rPr>
          <w:rStyle w:val="normaltextrun"/>
          <w:noProof/>
        </w:rPr>
        <w:t> </w:t>
      </w:r>
      <w:r w:rsidR="00B83C93" w:rsidRPr="008B4DA2">
        <w:rPr>
          <w:rStyle w:val="normaltextrun"/>
          <w:noProof/>
        </w:rPr>
        <w:t>tym</w:t>
      </w:r>
      <w:r w:rsidRPr="008B4DA2">
        <w:rPr>
          <w:rStyle w:val="normaltextrun"/>
          <w:noProof/>
        </w:rPr>
        <w:t xml:space="preserve"> </w:t>
      </w:r>
      <w:r w:rsidRPr="008B4DA2">
        <w:rPr>
          <w:noProof/>
        </w:rPr>
        <w:t>kontekście. Uprawnienia te powinny być wykonywane zgodnie</w:t>
      </w:r>
      <w:r w:rsidR="00B83C93" w:rsidRPr="008B4DA2">
        <w:rPr>
          <w:noProof/>
        </w:rPr>
        <w:t xml:space="preserve"> z</w:t>
      </w:r>
      <w:r w:rsidR="00B83C93">
        <w:rPr>
          <w:noProof/>
        </w:rPr>
        <w:t> </w:t>
      </w:r>
      <w:r w:rsidR="00B83C93" w:rsidRPr="008B4DA2">
        <w:rPr>
          <w:noProof/>
        </w:rPr>
        <w:t>roz</w:t>
      </w:r>
      <w:r w:rsidRPr="008B4DA2">
        <w:rPr>
          <w:noProof/>
        </w:rPr>
        <w:t>porządzeniem Parlamentu Europejskiego</w:t>
      </w:r>
      <w:r w:rsidR="00B83C93" w:rsidRPr="008B4DA2">
        <w:rPr>
          <w:noProof/>
        </w:rPr>
        <w:t xml:space="preserve"> i</w:t>
      </w:r>
      <w:r w:rsidR="00B83C93">
        <w:rPr>
          <w:noProof/>
        </w:rPr>
        <w:t> </w:t>
      </w:r>
      <w:r w:rsidR="00B83C93" w:rsidRPr="008B4DA2">
        <w:rPr>
          <w:noProof/>
        </w:rPr>
        <w:t>Rad</w:t>
      </w:r>
      <w:r w:rsidRPr="008B4DA2">
        <w:rPr>
          <w:noProof/>
        </w:rPr>
        <w:t xml:space="preserve">y (UE) </w:t>
      </w:r>
      <w:r w:rsidRPr="00B83C93">
        <w:rPr>
          <w:noProof/>
        </w:rPr>
        <w:t>nr</w:t>
      </w:r>
      <w:r w:rsidR="00B83C93" w:rsidRPr="00B83C93">
        <w:rPr>
          <w:noProof/>
        </w:rPr>
        <w:t> </w:t>
      </w:r>
      <w:r w:rsidRPr="00B83C93">
        <w:rPr>
          <w:noProof/>
        </w:rPr>
        <w:t>1</w:t>
      </w:r>
      <w:r w:rsidRPr="008B4DA2">
        <w:rPr>
          <w:noProof/>
        </w:rPr>
        <w:t>82/2011</w:t>
      </w:r>
      <w:r w:rsidRPr="008B4DA2">
        <w:rPr>
          <w:rStyle w:val="FootnoteReference"/>
          <w:noProof/>
        </w:rPr>
        <w:footnoteReference w:id="58"/>
      </w:r>
      <w:r w:rsidRPr="008B4DA2">
        <w:rPr>
          <w:noProof/>
        </w:rPr>
        <w:t>.</w:t>
      </w:r>
    </w:p>
    <w:p w:rsidR="00BD67F9" w:rsidRPr="008B4DA2" w:rsidRDefault="00DF60AC" w:rsidP="00DF60AC">
      <w:pPr>
        <w:pStyle w:val="ManualConsidrant"/>
        <w:rPr>
          <w:noProof/>
        </w:rPr>
      </w:pPr>
      <w:r w:rsidRPr="008B4DA2">
        <w:rPr>
          <w:noProof/>
        </w:rPr>
        <w:t>(39)</w:t>
      </w:r>
      <w:r w:rsidRPr="008B4DA2">
        <w:rPr>
          <w:noProof/>
        </w:rPr>
        <w:tab/>
        <w:t>Na potrzeby zachowania spójności należy zmienić dyrektywę Parlamentu Europejskiego</w:t>
      </w:r>
      <w:r w:rsidR="00B83C93" w:rsidRPr="008B4DA2">
        <w:rPr>
          <w:noProof/>
        </w:rPr>
        <w:t xml:space="preserve"> i</w:t>
      </w:r>
      <w:r w:rsidR="00B83C93">
        <w:rPr>
          <w:noProof/>
        </w:rPr>
        <w:t> </w:t>
      </w:r>
      <w:r w:rsidR="00B83C93" w:rsidRPr="008B4DA2">
        <w:rPr>
          <w:noProof/>
        </w:rPr>
        <w:t>Rad</w:t>
      </w:r>
      <w:r w:rsidRPr="008B4DA2">
        <w:rPr>
          <w:noProof/>
        </w:rPr>
        <w:t>y (UE) 2022/2561</w:t>
      </w:r>
      <w:r w:rsidRPr="008B4DA2">
        <w:rPr>
          <w:rStyle w:val="FootnoteReference"/>
          <w:noProof/>
        </w:rPr>
        <w:footnoteReference w:id="59"/>
      </w:r>
      <w:r w:rsidRPr="008B4DA2">
        <w:rPr>
          <w:noProof/>
        </w:rPr>
        <w:t>, która reguluje niektóre kwestie objęte zakresem stosowania niniejszej dyrektywy, oraz rozporządzenie (UE) 2018/1724.</w:t>
      </w:r>
    </w:p>
    <w:p w:rsidR="00BD67F9" w:rsidRPr="008B4DA2" w:rsidRDefault="00DF60AC" w:rsidP="00DF60AC">
      <w:pPr>
        <w:pStyle w:val="ManualConsidrant"/>
        <w:rPr>
          <w:noProof/>
        </w:rPr>
      </w:pPr>
      <w:r w:rsidRPr="008B4DA2">
        <w:rPr>
          <w:noProof/>
        </w:rPr>
        <w:t>(40)</w:t>
      </w:r>
      <w:r w:rsidRPr="008B4DA2">
        <w:rPr>
          <w:noProof/>
        </w:rPr>
        <w:tab/>
        <w:t>Należy uchylić dyrektywę 2006/126/WE</w:t>
      </w:r>
      <w:r w:rsidR="00B83C93" w:rsidRPr="008B4DA2">
        <w:rPr>
          <w:noProof/>
        </w:rPr>
        <w:t xml:space="preserve"> i</w:t>
      </w:r>
      <w:r w:rsidR="00B83C93">
        <w:rPr>
          <w:noProof/>
        </w:rPr>
        <w:t> </w:t>
      </w:r>
      <w:r w:rsidR="00B83C93" w:rsidRPr="008B4DA2">
        <w:rPr>
          <w:noProof/>
        </w:rPr>
        <w:t>roz</w:t>
      </w:r>
      <w:r w:rsidRPr="008B4DA2">
        <w:rPr>
          <w:noProof/>
        </w:rPr>
        <w:t xml:space="preserve">porządzenie Komisji (UE) </w:t>
      </w:r>
      <w:r w:rsidRPr="00B83C93">
        <w:rPr>
          <w:noProof/>
        </w:rPr>
        <w:t>nr</w:t>
      </w:r>
      <w:r w:rsidR="00B83C93" w:rsidRPr="00B83C93">
        <w:rPr>
          <w:noProof/>
        </w:rPr>
        <w:t> </w:t>
      </w:r>
      <w:r w:rsidRPr="00B83C93">
        <w:rPr>
          <w:noProof/>
        </w:rPr>
        <w:t>3</w:t>
      </w:r>
      <w:r w:rsidRPr="008B4DA2">
        <w:rPr>
          <w:noProof/>
        </w:rPr>
        <w:t>83/2012</w:t>
      </w:r>
      <w:r w:rsidRPr="008B4DA2">
        <w:rPr>
          <w:rStyle w:val="FootnoteReference"/>
          <w:noProof/>
        </w:rPr>
        <w:footnoteReference w:id="60"/>
      </w:r>
      <w:r w:rsidRPr="008B4DA2">
        <w:rPr>
          <w:noProof/>
        </w:rPr>
        <w:t>.</w:t>
      </w:r>
    </w:p>
    <w:p w:rsidR="00BD67F9" w:rsidRPr="008B4DA2" w:rsidRDefault="00DF60AC" w:rsidP="00DF60AC">
      <w:pPr>
        <w:pStyle w:val="ManualConsidrant"/>
        <w:rPr>
          <w:noProof/>
        </w:rPr>
      </w:pPr>
      <w:r w:rsidRPr="008B4DA2">
        <w:rPr>
          <w:noProof/>
        </w:rPr>
        <w:t>(41)</w:t>
      </w:r>
      <w:r w:rsidRPr="008B4DA2">
        <w:rPr>
          <w:noProof/>
        </w:rPr>
        <w:tab/>
        <w:t>Państwa członkowskie nie są</w:t>
      </w:r>
      <w:r w:rsidR="00B83C93" w:rsidRPr="008B4DA2">
        <w:rPr>
          <w:noProof/>
        </w:rPr>
        <w:t xml:space="preserve"> w</w:t>
      </w:r>
      <w:r w:rsidR="00B83C93">
        <w:rPr>
          <w:noProof/>
        </w:rPr>
        <w:t> </w:t>
      </w:r>
      <w:r w:rsidR="00B83C93" w:rsidRPr="008B4DA2">
        <w:rPr>
          <w:noProof/>
        </w:rPr>
        <w:t>sta</w:t>
      </w:r>
      <w:r w:rsidRPr="008B4DA2">
        <w:rPr>
          <w:noProof/>
        </w:rPr>
        <w:t>nie</w:t>
      </w:r>
      <w:r w:rsidR="00B83C93" w:rsidRPr="008B4DA2">
        <w:rPr>
          <w:noProof/>
        </w:rPr>
        <w:t xml:space="preserve"> w</w:t>
      </w:r>
      <w:r w:rsidR="00B83C93">
        <w:rPr>
          <w:noProof/>
        </w:rPr>
        <w:t> </w:t>
      </w:r>
      <w:r w:rsidR="00B83C93" w:rsidRPr="008B4DA2">
        <w:rPr>
          <w:noProof/>
        </w:rPr>
        <w:t>wys</w:t>
      </w:r>
      <w:r w:rsidRPr="008B4DA2">
        <w:rPr>
          <w:noProof/>
        </w:rPr>
        <w:t>tarczającym stopniu osiągnąć celów niniejszej dyrektywy, ponieważ poziom zróżnicowania wymogów wynikających</w:t>
      </w:r>
      <w:r w:rsidR="00B83C93" w:rsidRPr="008B4DA2">
        <w:rPr>
          <w:noProof/>
        </w:rPr>
        <w:t xml:space="preserve"> z</w:t>
      </w:r>
      <w:r w:rsidR="00B83C93">
        <w:rPr>
          <w:noProof/>
        </w:rPr>
        <w:t> </w:t>
      </w:r>
      <w:r w:rsidR="00B83C93" w:rsidRPr="008B4DA2">
        <w:rPr>
          <w:noProof/>
        </w:rPr>
        <w:t>prz</w:t>
      </w:r>
      <w:r w:rsidRPr="008B4DA2">
        <w:rPr>
          <w:noProof/>
        </w:rPr>
        <w:t>episów regulujących wydawanie, przedłużanie okresu ważności, wydawanie wtórników</w:t>
      </w:r>
      <w:r w:rsidR="00B83C93" w:rsidRPr="008B4DA2">
        <w:rPr>
          <w:noProof/>
        </w:rPr>
        <w:t xml:space="preserve"> i</w:t>
      </w:r>
      <w:r w:rsidR="00B83C93">
        <w:rPr>
          <w:noProof/>
        </w:rPr>
        <w:t> </w:t>
      </w:r>
      <w:r w:rsidR="00B83C93" w:rsidRPr="008B4DA2">
        <w:rPr>
          <w:noProof/>
        </w:rPr>
        <w:t>wym</w:t>
      </w:r>
      <w:r w:rsidRPr="008B4DA2">
        <w:rPr>
          <w:noProof/>
        </w:rPr>
        <w:t>ianę praw jazdy byłby tak wysoki, że nie byłoby możliwe osiągnięcie poziomu bezpieczeństwa ruchu drogowego</w:t>
      </w:r>
      <w:r w:rsidR="00B83C93" w:rsidRPr="008B4DA2">
        <w:rPr>
          <w:noProof/>
        </w:rPr>
        <w:t xml:space="preserve"> i</w:t>
      </w:r>
      <w:r w:rsidR="00B83C93">
        <w:rPr>
          <w:noProof/>
        </w:rPr>
        <w:t> </w:t>
      </w:r>
      <w:r w:rsidR="00B83C93" w:rsidRPr="008B4DA2">
        <w:rPr>
          <w:noProof/>
        </w:rPr>
        <w:t>swo</w:t>
      </w:r>
      <w:r w:rsidRPr="008B4DA2">
        <w:rPr>
          <w:noProof/>
        </w:rPr>
        <w:t>bodnego przepływu obywateli zapewnianego</w:t>
      </w:r>
      <w:r w:rsidR="00B83C93" w:rsidRPr="008B4DA2">
        <w:rPr>
          <w:noProof/>
        </w:rPr>
        <w:t xml:space="preserve"> w</w:t>
      </w:r>
      <w:r w:rsidR="00B83C93">
        <w:rPr>
          <w:noProof/>
        </w:rPr>
        <w:t> </w:t>
      </w:r>
      <w:r w:rsidR="00B83C93" w:rsidRPr="008B4DA2">
        <w:rPr>
          <w:noProof/>
        </w:rPr>
        <w:t>ram</w:t>
      </w:r>
      <w:r w:rsidRPr="008B4DA2">
        <w:rPr>
          <w:noProof/>
        </w:rPr>
        <w:t>ach przepisów zharmonizowanych,</w:t>
      </w:r>
      <w:r w:rsidR="00B83C93" w:rsidRPr="008B4DA2">
        <w:rPr>
          <w:noProof/>
        </w:rPr>
        <w:t xml:space="preserve"> w</w:t>
      </w:r>
      <w:r w:rsidR="00B83C93">
        <w:rPr>
          <w:noProof/>
        </w:rPr>
        <w:t> </w:t>
      </w:r>
      <w:r w:rsidR="00B83C93" w:rsidRPr="008B4DA2">
        <w:rPr>
          <w:noProof/>
        </w:rPr>
        <w:t>zwi</w:t>
      </w:r>
      <w:r w:rsidRPr="008B4DA2">
        <w:rPr>
          <w:noProof/>
        </w:rPr>
        <w:t>ązku</w:t>
      </w:r>
      <w:r w:rsidR="00B83C93" w:rsidRPr="008B4DA2">
        <w:rPr>
          <w:noProof/>
        </w:rPr>
        <w:t xml:space="preserve"> z</w:t>
      </w:r>
      <w:r w:rsidR="00B83C93">
        <w:rPr>
          <w:noProof/>
        </w:rPr>
        <w:t> </w:t>
      </w:r>
      <w:r w:rsidR="00B83C93" w:rsidRPr="008B4DA2">
        <w:rPr>
          <w:noProof/>
        </w:rPr>
        <w:t>czy</w:t>
      </w:r>
      <w:r w:rsidRPr="008B4DA2">
        <w:rPr>
          <w:noProof/>
        </w:rPr>
        <w:t>m lepszym sposobem na osiągnięcie tych celów jest określenie minimalnych wymogów na szczeblu unijnym</w:t>
      </w:r>
      <w:r w:rsidR="00B83C93" w:rsidRPr="008B4DA2">
        <w:rPr>
          <w:noProof/>
        </w:rPr>
        <w:t>. W</w:t>
      </w:r>
      <w:r w:rsidR="00B83C93">
        <w:rPr>
          <w:noProof/>
        </w:rPr>
        <w:t> </w:t>
      </w:r>
      <w:r w:rsidR="00B83C93" w:rsidRPr="008B4DA2">
        <w:rPr>
          <w:noProof/>
        </w:rPr>
        <w:t>zwi</w:t>
      </w:r>
      <w:r w:rsidRPr="008B4DA2">
        <w:rPr>
          <w:noProof/>
        </w:rPr>
        <w:t>ązku</w:t>
      </w:r>
      <w:r w:rsidR="00B83C93" w:rsidRPr="008B4DA2">
        <w:rPr>
          <w:noProof/>
        </w:rPr>
        <w:t xml:space="preserve"> z</w:t>
      </w:r>
      <w:r w:rsidR="00B83C93">
        <w:rPr>
          <w:noProof/>
        </w:rPr>
        <w:t> </w:t>
      </w:r>
      <w:r w:rsidR="00B83C93" w:rsidRPr="008B4DA2">
        <w:rPr>
          <w:noProof/>
        </w:rPr>
        <w:t>pow</w:t>
      </w:r>
      <w:r w:rsidRPr="008B4DA2">
        <w:rPr>
          <w:noProof/>
        </w:rPr>
        <w:t>yższym Unia może przyjąć środki zgodnie</w:t>
      </w:r>
      <w:r w:rsidR="00B83C93" w:rsidRPr="008B4DA2">
        <w:rPr>
          <w:noProof/>
        </w:rPr>
        <w:t xml:space="preserve"> z</w:t>
      </w:r>
      <w:r w:rsidR="00B83C93">
        <w:rPr>
          <w:noProof/>
        </w:rPr>
        <w:t> </w:t>
      </w:r>
      <w:r w:rsidR="00B83C93" w:rsidRPr="008B4DA2">
        <w:rPr>
          <w:noProof/>
        </w:rPr>
        <w:t>zas</w:t>
      </w:r>
      <w:r w:rsidRPr="008B4DA2">
        <w:rPr>
          <w:noProof/>
        </w:rPr>
        <w:t>adą pomocniczości określoną</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5</w:t>
      </w:r>
      <w:r w:rsidRPr="008B4DA2">
        <w:rPr>
          <w:noProof/>
        </w:rPr>
        <w:t xml:space="preserve"> Traktatu</w:t>
      </w:r>
      <w:r w:rsidR="00B83C93" w:rsidRPr="008B4DA2">
        <w:rPr>
          <w:noProof/>
        </w:rPr>
        <w:t xml:space="preserve"> o</w:t>
      </w:r>
      <w:r w:rsidR="00B83C93">
        <w:rPr>
          <w:noProof/>
        </w:rPr>
        <w:t> </w:t>
      </w:r>
      <w:r w:rsidR="00B83C93" w:rsidRPr="008B4DA2">
        <w:rPr>
          <w:noProof/>
        </w:rPr>
        <w:t>Uni</w:t>
      </w:r>
      <w:r w:rsidRPr="008B4DA2">
        <w:rPr>
          <w:noProof/>
        </w:rPr>
        <w:t>i Europejskiej. Zgodnie</w:t>
      </w:r>
      <w:r w:rsidR="00B83C93" w:rsidRPr="008B4DA2">
        <w:rPr>
          <w:noProof/>
        </w:rPr>
        <w:t xml:space="preserve"> z</w:t>
      </w:r>
      <w:r w:rsidR="00B83C93">
        <w:rPr>
          <w:noProof/>
        </w:rPr>
        <w:t> </w:t>
      </w:r>
      <w:r w:rsidR="00B83C93" w:rsidRPr="008B4DA2">
        <w:rPr>
          <w:noProof/>
        </w:rPr>
        <w:t>zas</w:t>
      </w:r>
      <w:r w:rsidRPr="008B4DA2">
        <w:rPr>
          <w:noProof/>
        </w:rPr>
        <w:t>adą proporcjonalności określoną</w:t>
      </w:r>
      <w:r w:rsidR="00B83C93" w:rsidRPr="008B4DA2">
        <w:rPr>
          <w:noProof/>
        </w:rPr>
        <w:t xml:space="preserve"> w</w:t>
      </w:r>
      <w:r w:rsidR="00B83C93">
        <w:rPr>
          <w:noProof/>
        </w:rPr>
        <w:t> </w:t>
      </w:r>
      <w:r w:rsidR="00B83C93" w:rsidRPr="008B4DA2">
        <w:rPr>
          <w:noProof/>
        </w:rPr>
        <w:t>tym</w:t>
      </w:r>
      <w:r w:rsidRPr="008B4DA2">
        <w:rPr>
          <w:noProof/>
        </w:rPr>
        <w:t xml:space="preserve"> artykule niniejsza dyrektywa nie wykracza poza to, co jest konieczne do osiągnięcia tych celów.</w:t>
      </w:r>
    </w:p>
    <w:p w:rsidR="00BD67F9" w:rsidRPr="008B4DA2" w:rsidRDefault="00DF60AC" w:rsidP="00DF60AC">
      <w:pPr>
        <w:pStyle w:val="ManualConsidrant"/>
        <w:rPr>
          <w:noProof/>
        </w:rPr>
      </w:pPr>
      <w:r w:rsidRPr="008B4DA2">
        <w:rPr>
          <w:noProof/>
        </w:rPr>
        <w:t>(42)</w:t>
      </w:r>
      <w:r w:rsidRPr="008B4DA2">
        <w:rPr>
          <w:noProof/>
        </w:rPr>
        <w:tab/>
        <w:t>Zgodnie</w:t>
      </w:r>
      <w:r w:rsidR="00B83C93" w:rsidRPr="008B4DA2">
        <w:rPr>
          <w:noProof/>
        </w:rPr>
        <w:t xml:space="preserve"> z</w:t>
      </w:r>
      <w:r w:rsidR="00B83C93">
        <w:rPr>
          <w:noProof/>
        </w:rPr>
        <w:t> </w:t>
      </w:r>
      <w:r w:rsidR="00B83C93" w:rsidRPr="00B83C93">
        <w:rPr>
          <w:noProof/>
        </w:rPr>
        <w:t>art</w:t>
      </w:r>
      <w:r w:rsidRPr="00B83C93">
        <w:rPr>
          <w:noProof/>
        </w:rPr>
        <w:t>.</w:t>
      </w:r>
      <w:r w:rsidR="00B83C93" w:rsidRPr="00B83C93">
        <w:rPr>
          <w:noProof/>
        </w:rPr>
        <w:t> </w:t>
      </w:r>
      <w:r w:rsidRPr="00B83C93">
        <w:rPr>
          <w:noProof/>
        </w:rPr>
        <w:t>4</w:t>
      </w:r>
      <w:r w:rsidRPr="008B4DA2">
        <w:rPr>
          <w:noProof/>
        </w:rPr>
        <w:t xml:space="preserve">2 </w:t>
      </w:r>
      <w:r w:rsidRPr="00B83C93">
        <w:rPr>
          <w:noProof/>
        </w:rPr>
        <w:t>ust.</w:t>
      </w:r>
      <w:r w:rsidR="00B83C93" w:rsidRPr="00B83C93">
        <w:rPr>
          <w:noProof/>
        </w:rPr>
        <w:t> </w:t>
      </w:r>
      <w:r w:rsidRPr="00B83C93">
        <w:rPr>
          <w:noProof/>
        </w:rPr>
        <w:t>1</w:t>
      </w:r>
      <w:r w:rsidRPr="008B4DA2">
        <w:rPr>
          <w:noProof/>
        </w:rPr>
        <w:t xml:space="preserve"> rozporządzenia (UE) 2018/1725 skonsultowano się</w:t>
      </w:r>
      <w:r w:rsidR="00B83C93" w:rsidRPr="008B4DA2">
        <w:rPr>
          <w:noProof/>
        </w:rPr>
        <w:t xml:space="preserve"> z</w:t>
      </w:r>
      <w:r w:rsidR="00B83C93">
        <w:rPr>
          <w:noProof/>
        </w:rPr>
        <w:t> </w:t>
      </w:r>
      <w:r w:rsidR="00B83C93" w:rsidRPr="008B4DA2">
        <w:rPr>
          <w:noProof/>
        </w:rPr>
        <w:t>Eur</w:t>
      </w:r>
      <w:r w:rsidRPr="008B4DA2">
        <w:rPr>
          <w:noProof/>
        </w:rPr>
        <w:t>opejskim Inspektorem Ochrony Danych, który wydał opinię dnia [DD/MM/RRRR] r.</w:t>
      </w:r>
    </w:p>
    <w:p w:rsidR="00BD67F9" w:rsidRPr="008B4DA2" w:rsidRDefault="00DF60AC" w:rsidP="00DF60AC">
      <w:pPr>
        <w:pStyle w:val="ManualConsidrant"/>
        <w:rPr>
          <w:noProof/>
        </w:rPr>
      </w:pPr>
      <w:r w:rsidRPr="008B4DA2">
        <w:rPr>
          <w:noProof/>
        </w:rPr>
        <w:t>(43)</w:t>
      </w:r>
      <w:r w:rsidRPr="008B4DA2">
        <w:rPr>
          <w:noProof/>
        </w:rPr>
        <w:tab/>
        <w:t>Zgodnie ze wspólną deklaracją polityczną państw członkowskich</w:t>
      </w:r>
      <w:r w:rsidR="00B83C93" w:rsidRPr="008B4DA2">
        <w:rPr>
          <w:noProof/>
        </w:rPr>
        <w:t xml:space="preserve"> i</w:t>
      </w:r>
      <w:r w:rsidR="00B83C93">
        <w:rPr>
          <w:noProof/>
        </w:rPr>
        <w:t> </w:t>
      </w:r>
      <w:r w:rsidR="00B83C93" w:rsidRPr="008B4DA2">
        <w:rPr>
          <w:noProof/>
        </w:rPr>
        <w:t>Kom</w:t>
      </w:r>
      <w:r w:rsidRPr="008B4DA2">
        <w:rPr>
          <w:noProof/>
        </w:rPr>
        <w:t>isji</w:t>
      </w:r>
      <w:r w:rsidR="00B83C93" w:rsidRPr="008B4DA2">
        <w:rPr>
          <w:noProof/>
        </w:rPr>
        <w:t xml:space="preserve"> z</w:t>
      </w:r>
      <w:r w:rsidR="00B83C93">
        <w:rPr>
          <w:noProof/>
        </w:rPr>
        <w:t> </w:t>
      </w:r>
      <w:r w:rsidR="00B83C93" w:rsidRPr="008B4DA2">
        <w:rPr>
          <w:noProof/>
        </w:rPr>
        <w:t>dni</w:t>
      </w:r>
      <w:r w:rsidRPr="008B4DA2">
        <w:rPr>
          <w:noProof/>
        </w:rPr>
        <w:t>a 28 września 2011 r. dotyczącą dokumentów wyjaśniających</w:t>
      </w:r>
      <w:r w:rsidRPr="008B4DA2">
        <w:rPr>
          <w:rStyle w:val="FootnoteReference"/>
          <w:noProof/>
        </w:rPr>
        <w:footnoteReference w:id="61"/>
      </w:r>
      <w:r w:rsidRPr="008B4DA2">
        <w:rPr>
          <w:noProof/>
        </w:rPr>
        <w:t xml:space="preserve"> państwa członkowskie zobowiązały się do złożenia,</w:t>
      </w:r>
      <w:r w:rsidR="00B83C93" w:rsidRPr="008B4DA2">
        <w:rPr>
          <w:noProof/>
        </w:rPr>
        <w:t xml:space="preserve"> w</w:t>
      </w:r>
      <w:r w:rsidR="00B83C93">
        <w:rPr>
          <w:noProof/>
        </w:rPr>
        <w:t> </w:t>
      </w:r>
      <w:r w:rsidR="00B83C93" w:rsidRPr="008B4DA2">
        <w:rPr>
          <w:noProof/>
        </w:rPr>
        <w:t>uza</w:t>
      </w:r>
      <w:r w:rsidRPr="008B4DA2">
        <w:rPr>
          <w:noProof/>
        </w:rPr>
        <w:t>sadnionych przypadkach, wraz</w:t>
      </w:r>
      <w:r w:rsidR="00B83C93" w:rsidRPr="008B4DA2">
        <w:rPr>
          <w:noProof/>
        </w:rPr>
        <w:t xml:space="preserve"> z</w:t>
      </w:r>
      <w:r w:rsidR="00B83C93">
        <w:rPr>
          <w:noProof/>
        </w:rPr>
        <w:t> </w:t>
      </w:r>
      <w:r w:rsidR="00B83C93" w:rsidRPr="008B4DA2">
        <w:rPr>
          <w:noProof/>
        </w:rPr>
        <w:t>pow</w:t>
      </w:r>
      <w:r w:rsidRPr="008B4DA2">
        <w:rPr>
          <w:noProof/>
        </w:rPr>
        <w:t>iadomieniem</w:t>
      </w:r>
      <w:r w:rsidR="00B83C93" w:rsidRPr="008B4DA2">
        <w:rPr>
          <w:noProof/>
        </w:rPr>
        <w:t xml:space="preserve"> o</w:t>
      </w:r>
      <w:r w:rsidR="00B83C93">
        <w:rPr>
          <w:noProof/>
        </w:rPr>
        <w:t> </w:t>
      </w:r>
      <w:r w:rsidR="00B83C93" w:rsidRPr="008B4DA2">
        <w:rPr>
          <w:noProof/>
        </w:rPr>
        <w:t>tra</w:t>
      </w:r>
      <w:r w:rsidRPr="008B4DA2">
        <w:rPr>
          <w:noProof/>
        </w:rPr>
        <w:t>nspozycji, jednego lub większej liczby dokumentów wyjaśniających związki między elementami dyrektywy</w:t>
      </w:r>
      <w:r w:rsidR="00B83C93" w:rsidRPr="008B4DA2">
        <w:rPr>
          <w:noProof/>
        </w:rPr>
        <w:t xml:space="preserve"> a</w:t>
      </w:r>
      <w:r w:rsidR="00B83C93">
        <w:rPr>
          <w:noProof/>
        </w:rPr>
        <w:t> </w:t>
      </w:r>
      <w:r w:rsidR="00B83C93" w:rsidRPr="008B4DA2">
        <w:rPr>
          <w:noProof/>
        </w:rPr>
        <w:t>odp</w:t>
      </w:r>
      <w:r w:rsidRPr="008B4DA2">
        <w:rPr>
          <w:noProof/>
        </w:rPr>
        <w:t>owiadającymi im częściami krajowych instrumentów transpozycyjnych</w:t>
      </w:r>
      <w:r w:rsidR="00B83C93" w:rsidRPr="008B4DA2">
        <w:rPr>
          <w:noProof/>
        </w:rPr>
        <w:t>. W</w:t>
      </w:r>
      <w:r w:rsidR="00B83C93">
        <w:rPr>
          <w:noProof/>
        </w:rPr>
        <w:t> </w:t>
      </w:r>
      <w:r w:rsidR="00B83C93" w:rsidRPr="008B4DA2">
        <w:rPr>
          <w:noProof/>
        </w:rPr>
        <w:t>odn</w:t>
      </w:r>
      <w:r w:rsidRPr="008B4DA2">
        <w:rPr>
          <w:noProof/>
        </w:rPr>
        <w:t>iesieniu do niniejszej dyrektywy prawodawca uznaje, że przekazanie takich dokumentów jest uzasadnione,</w:t>
      </w:r>
    </w:p>
    <w:p w:rsidR="00BD67F9" w:rsidRPr="008B4DA2" w:rsidRDefault="00BD67F9" w:rsidP="00BD67F9">
      <w:pPr>
        <w:pStyle w:val="Formuledadoption"/>
        <w:rPr>
          <w:noProof/>
        </w:rPr>
      </w:pPr>
      <w:r w:rsidRPr="008B4DA2">
        <w:rPr>
          <w:noProof/>
        </w:rPr>
        <w:t>PRZYJMUJĄ NINIEJSZĄ DYREKTYWĘ:</w:t>
      </w:r>
    </w:p>
    <w:p w:rsidR="00BD67F9" w:rsidRPr="008B4DA2" w:rsidRDefault="00BD67F9" w:rsidP="00BD67F9">
      <w:pPr>
        <w:pStyle w:val="Titrearticle"/>
        <w:rPr>
          <w:noProof/>
        </w:rPr>
      </w:pPr>
      <w:r w:rsidRPr="008B4DA2">
        <w:rPr>
          <w:noProof/>
        </w:rPr>
        <w:t>Artykuł 1</w:t>
      </w:r>
    </w:p>
    <w:p w:rsidR="00BD67F9" w:rsidRPr="008B4DA2" w:rsidRDefault="00BD67F9" w:rsidP="00BD67F9">
      <w:pPr>
        <w:pStyle w:val="Objetacteprincipal"/>
        <w:rPr>
          <w:noProof/>
        </w:rPr>
      </w:pPr>
      <w:r w:rsidRPr="008B4DA2">
        <w:rPr>
          <w:noProof/>
        </w:rPr>
        <w:t>Przedmiot</w:t>
      </w:r>
      <w:r w:rsidR="00B83C93" w:rsidRPr="008B4DA2">
        <w:rPr>
          <w:noProof/>
        </w:rPr>
        <w:t xml:space="preserve"> i</w:t>
      </w:r>
      <w:r w:rsidR="00B83C93">
        <w:rPr>
          <w:noProof/>
        </w:rPr>
        <w:t> </w:t>
      </w:r>
      <w:r w:rsidR="00B83C93" w:rsidRPr="008B4DA2">
        <w:rPr>
          <w:noProof/>
        </w:rPr>
        <w:t>zak</w:t>
      </w:r>
      <w:r w:rsidRPr="008B4DA2">
        <w:rPr>
          <w:noProof/>
        </w:rPr>
        <w:t>res stosowania</w:t>
      </w:r>
    </w:p>
    <w:p w:rsidR="00BD67F9" w:rsidRPr="008B4DA2" w:rsidRDefault="00DF60AC" w:rsidP="00DF60AC">
      <w:pPr>
        <w:pStyle w:val="ManualNumPar1"/>
        <w:rPr>
          <w:noProof/>
        </w:rPr>
      </w:pPr>
      <w:r w:rsidRPr="008B4DA2">
        <w:rPr>
          <w:noProof/>
        </w:rPr>
        <w:t>1.</w:t>
      </w:r>
      <w:r w:rsidRPr="008B4DA2">
        <w:rPr>
          <w:noProof/>
        </w:rPr>
        <w:tab/>
        <w:t>Niniejsza dyrektywa ustanawia wspólne przepisy dotyczące:</w:t>
      </w:r>
    </w:p>
    <w:p w:rsidR="00BD67F9" w:rsidRPr="008B4DA2" w:rsidRDefault="00DF60AC" w:rsidP="00DF60AC">
      <w:pPr>
        <w:pStyle w:val="Point1"/>
        <w:rPr>
          <w:noProof/>
        </w:rPr>
      </w:pPr>
      <w:r w:rsidRPr="008B4DA2">
        <w:rPr>
          <w:noProof/>
        </w:rPr>
        <w:t>a)</w:t>
      </w:r>
      <w:r w:rsidRPr="008B4DA2">
        <w:rPr>
          <w:noProof/>
        </w:rPr>
        <w:tab/>
        <w:t>wzorów, standardów</w:t>
      </w:r>
      <w:r w:rsidR="00B83C93" w:rsidRPr="008B4DA2">
        <w:rPr>
          <w:noProof/>
        </w:rPr>
        <w:t xml:space="preserve"> i</w:t>
      </w:r>
      <w:r w:rsidR="00B83C93">
        <w:rPr>
          <w:noProof/>
        </w:rPr>
        <w:t> </w:t>
      </w:r>
      <w:r w:rsidR="00B83C93" w:rsidRPr="008B4DA2">
        <w:rPr>
          <w:noProof/>
        </w:rPr>
        <w:t>kat</w:t>
      </w:r>
      <w:r w:rsidRPr="008B4DA2">
        <w:rPr>
          <w:noProof/>
        </w:rPr>
        <w:t>egorii praw jazdy;</w:t>
      </w:r>
    </w:p>
    <w:p w:rsidR="00BD67F9" w:rsidRPr="008B4DA2" w:rsidRDefault="00DF60AC" w:rsidP="00DF60AC">
      <w:pPr>
        <w:pStyle w:val="Point1"/>
        <w:rPr>
          <w:noProof/>
        </w:rPr>
      </w:pPr>
      <w:r w:rsidRPr="008B4DA2">
        <w:rPr>
          <w:noProof/>
        </w:rPr>
        <w:t>b)</w:t>
      </w:r>
      <w:r w:rsidRPr="008B4DA2">
        <w:rPr>
          <w:noProof/>
        </w:rPr>
        <w:tab/>
        <w:t>wydawania, ważności, przedłużania okresu ważności</w:t>
      </w:r>
      <w:r w:rsidR="00B83C93" w:rsidRPr="008B4DA2">
        <w:rPr>
          <w:noProof/>
        </w:rPr>
        <w:t xml:space="preserve"> i</w:t>
      </w:r>
      <w:r w:rsidR="00B83C93">
        <w:rPr>
          <w:noProof/>
        </w:rPr>
        <w:t> </w:t>
      </w:r>
      <w:r w:rsidR="00B83C93" w:rsidRPr="008B4DA2">
        <w:rPr>
          <w:noProof/>
        </w:rPr>
        <w:t>wza</w:t>
      </w:r>
      <w:r w:rsidRPr="008B4DA2">
        <w:rPr>
          <w:noProof/>
        </w:rPr>
        <w:t>jemnego uznawania praw jazdy;</w:t>
      </w:r>
    </w:p>
    <w:p w:rsidR="00BD67F9" w:rsidRPr="008B4DA2" w:rsidRDefault="00DF60AC" w:rsidP="00DF60AC">
      <w:pPr>
        <w:pStyle w:val="Point1"/>
        <w:rPr>
          <w:noProof/>
        </w:rPr>
      </w:pPr>
      <w:r w:rsidRPr="008B4DA2">
        <w:rPr>
          <w:noProof/>
        </w:rPr>
        <w:t>c)</w:t>
      </w:r>
      <w:r w:rsidRPr="008B4DA2">
        <w:rPr>
          <w:noProof/>
        </w:rPr>
        <w:tab/>
        <w:t>określonych aspektów dotyczących wymiany, wydawania wtórników, cofania, ograniczania, zawieszania</w:t>
      </w:r>
      <w:r w:rsidR="00B83C93" w:rsidRPr="008B4DA2">
        <w:rPr>
          <w:noProof/>
        </w:rPr>
        <w:t xml:space="preserve"> i</w:t>
      </w:r>
      <w:r w:rsidR="00B83C93">
        <w:rPr>
          <w:noProof/>
        </w:rPr>
        <w:t> </w:t>
      </w:r>
      <w:r w:rsidR="00B83C93" w:rsidRPr="008B4DA2">
        <w:rPr>
          <w:noProof/>
        </w:rPr>
        <w:t>uni</w:t>
      </w:r>
      <w:r w:rsidRPr="008B4DA2">
        <w:rPr>
          <w:noProof/>
        </w:rPr>
        <w:t>eważniania praw jazdy;</w:t>
      </w:r>
    </w:p>
    <w:p w:rsidR="00BD67F9" w:rsidRPr="008B4DA2" w:rsidRDefault="00DF60AC" w:rsidP="00DF60AC">
      <w:pPr>
        <w:pStyle w:val="Point1"/>
        <w:rPr>
          <w:noProof/>
        </w:rPr>
      </w:pPr>
      <w:r w:rsidRPr="008B4DA2">
        <w:rPr>
          <w:noProof/>
        </w:rPr>
        <w:t>d)</w:t>
      </w:r>
      <w:r w:rsidRPr="008B4DA2">
        <w:rPr>
          <w:noProof/>
        </w:rPr>
        <w:tab/>
        <w:t>określonych aspektów mających zastosowanie do początkujących kierowców.</w:t>
      </w:r>
    </w:p>
    <w:p w:rsidR="00BD67F9" w:rsidRPr="008B4DA2" w:rsidRDefault="00DF60AC" w:rsidP="00DF60AC">
      <w:pPr>
        <w:pStyle w:val="ManualNumPar1"/>
        <w:rPr>
          <w:noProof/>
        </w:rPr>
      </w:pPr>
      <w:r w:rsidRPr="008B4DA2">
        <w:rPr>
          <w:noProof/>
        </w:rPr>
        <w:t>2.</w:t>
      </w:r>
      <w:r w:rsidRPr="008B4DA2">
        <w:rPr>
          <w:noProof/>
        </w:rPr>
        <w:tab/>
        <w:t>Niniejsza dyrektywa nie ma zastosowania do pojazdów mechanicznych poruszających się na kołach lub gąsienicach, mających co najmniej dwie osie, których główną funkcję stanowi siła ciągnąca</w:t>
      </w:r>
      <w:r w:rsidR="00B83C93" w:rsidRPr="008B4DA2">
        <w:rPr>
          <w:noProof/>
        </w:rPr>
        <w:t xml:space="preserve"> i</w:t>
      </w:r>
      <w:r w:rsidR="00B83C93">
        <w:rPr>
          <w:noProof/>
        </w:rPr>
        <w:t> </w:t>
      </w:r>
      <w:r w:rsidR="00B83C93" w:rsidRPr="008B4DA2">
        <w:rPr>
          <w:noProof/>
        </w:rPr>
        <w:t>któ</w:t>
      </w:r>
      <w:r w:rsidRPr="008B4DA2">
        <w:rPr>
          <w:noProof/>
        </w:rPr>
        <w:t>re są specjalnie zaprojektowane do ciągnięcia, pchania lub przenoszenia pewnych narzędzi, maszyn lub przyczep używanych</w:t>
      </w:r>
      <w:r w:rsidR="00B83C93" w:rsidRPr="008B4DA2">
        <w:rPr>
          <w:noProof/>
        </w:rPr>
        <w:t xml:space="preserve"> w</w:t>
      </w:r>
      <w:r w:rsidR="00B83C93">
        <w:rPr>
          <w:noProof/>
        </w:rPr>
        <w:t> </w:t>
      </w:r>
      <w:r w:rsidR="00B83C93" w:rsidRPr="008B4DA2">
        <w:rPr>
          <w:noProof/>
        </w:rPr>
        <w:t>zwi</w:t>
      </w:r>
      <w:r w:rsidRPr="008B4DA2">
        <w:rPr>
          <w:noProof/>
        </w:rPr>
        <w:t>ązku</w:t>
      </w:r>
      <w:r w:rsidR="00B83C93" w:rsidRPr="008B4DA2">
        <w:rPr>
          <w:noProof/>
        </w:rPr>
        <w:t xml:space="preserve"> z</w:t>
      </w:r>
      <w:r w:rsidR="00B83C93">
        <w:rPr>
          <w:noProof/>
        </w:rPr>
        <w:t> </w:t>
      </w:r>
      <w:r w:rsidR="00B83C93" w:rsidRPr="008B4DA2">
        <w:rPr>
          <w:noProof/>
        </w:rPr>
        <w:t>czy</w:t>
      </w:r>
      <w:r w:rsidRPr="008B4DA2">
        <w:rPr>
          <w:noProof/>
        </w:rPr>
        <w:t>nnościami rolniczymi</w:t>
      </w:r>
      <w:r w:rsidR="00B83C93" w:rsidRPr="008B4DA2">
        <w:rPr>
          <w:noProof/>
        </w:rPr>
        <w:t xml:space="preserve"> i</w:t>
      </w:r>
      <w:r w:rsidR="00B83C93">
        <w:rPr>
          <w:noProof/>
        </w:rPr>
        <w:t> </w:t>
      </w:r>
      <w:r w:rsidR="00B83C93" w:rsidRPr="008B4DA2">
        <w:rPr>
          <w:noProof/>
        </w:rPr>
        <w:t>leś</w:t>
      </w:r>
      <w:r w:rsidRPr="008B4DA2">
        <w:rPr>
          <w:noProof/>
        </w:rPr>
        <w:t>nymi lub do manewrowania takimi narzędziami, maszynami lub przyczepami,</w:t>
      </w:r>
      <w:r w:rsidR="00B83C93" w:rsidRPr="008B4DA2">
        <w:rPr>
          <w:noProof/>
        </w:rPr>
        <w:t xml:space="preserve"> i</w:t>
      </w:r>
      <w:r w:rsidR="00B83C93">
        <w:rPr>
          <w:noProof/>
        </w:rPr>
        <w:t> </w:t>
      </w:r>
      <w:r w:rsidR="00B83C93" w:rsidRPr="008B4DA2">
        <w:rPr>
          <w:noProof/>
        </w:rPr>
        <w:t>któ</w:t>
      </w:r>
      <w:r w:rsidRPr="008B4DA2">
        <w:rPr>
          <w:noProof/>
        </w:rPr>
        <w:t>rych używanie do przewozu drogowego osób lub rzeczy lub do ciągnięcia po drodze pojazdów używanych do przewozu osób lub rzeczy jest tylko funkcją drugorzędną.</w:t>
      </w:r>
    </w:p>
    <w:p w:rsidR="00BD67F9" w:rsidRPr="008B4DA2" w:rsidRDefault="00BD67F9" w:rsidP="00BD67F9">
      <w:pPr>
        <w:pStyle w:val="Titrearticle"/>
        <w:keepLines/>
        <w:rPr>
          <w:noProof/>
        </w:rPr>
      </w:pPr>
      <w:r w:rsidRPr="008B4DA2">
        <w:rPr>
          <w:noProof/>
        </w:rPr>
        <w:t>Artykuł 2</w:t>
      </w:r>
    </w:p>
    <w:p w:rsidR="00BD67F9" w:rsidRPr="008B4DA2" w:rsidRDefault="00BD67F9" w:rsidP="00BD67F9">
      <w:pPr>
        <w:pStyle w:val="Objetacteprincipal"/>
        <w:rPr>
          <w:noProof/>
        </w:rPr>
      </w:pPr>
      <w:r w:rsidRPr="008B4DA2">
        <w:rPr>
          <w:noProof/>
        </w:rPr>
        <w:t>Definicje</w:t>
      </w:r>
    </w:p>
    <w:p w:rsidR="00BD67F9" w:rsidRPr="008B4DA2" w:rsidRDefault="00BD67F9" w:rsidP="00BD67F9">
      <w:pPr>
        <w:rPr>
          <w:noProof/>
        </w:rPr>
      </w:pPr>
      <w:r w:rsidRPr="008B4DA2">
        <w:rPr>
          <w:noProof/>
        </w:rPr>
        <w:t xml:space="preserve">Do celów niniejszej dyrektywy stosuje się następujące definicje: </w:t>
      </w:r>
    </w:p>
    <w:p w:rsidR="00BD67F9" w:rsidRPr="008B4DA2" w:rsidRDefault="00DF60AC" w:rsidP="00DF60AC">
      <w:pPr>
        <w:pStyle w:val="Point0"/>
        <w:rPr>
          <w:noProof/>
        </w:rPr>
      </w:pPr>
      <w:r w:rsidRPr="008B4DA2">
        <w:rPr>
          <w:noProof/>
        </w:rPr>
        <w:t>1)</w:t>
      </w:r>
      <w:r w:rsidRPr="008B4DA2">
        <w:rPr>
          <w:noProof/>
        </w:rPr>
        <w:tab/>
        <w:t>„prawo jazdy” oznacza elektroniczny lub fizyczny dokument potwierdzający uprawnienia do kierowania pojazdami mechanicznymi</w:t>
      </w:r>
      <w:r w:rsidR="00B83C93" w:rsidRPr="008B4DA2">
        <w:rPr>
          <w:noProof/>
        </w:rPr>
        <w:t xml:space="preserve"> i</w:t>
      </w:r>
      <w:r w:rsidR="00B83C93">
        <w:rPr>
          <w:noProof/>
        </w:rPr>
        <w:t> </w:t>
      </w:r>
      <w:r w:rsidR="00B83C93" w:rsidRPr="008B4DA2">
        <w:rPr>
          <w:noProof/>
        </w:rPr>
        <w:t>okr</w:t>
      </w:r>
      <w:r w:rsidRPr="008B4DA2">
        <w:rPr>
          <w:noProof/>
        </w:rPr>
        <w:t>eślający warunki, według których jego posiadacz jest uprawniony do kierowania pojazdem;</w:t>
      </w:r>
    </w:p>
    <w:p w:rsidR="00BD67F9" w:rsidRPr="008B4DA2" w:rsidRDefault="00DF60AC" w:rsidP="00DF60AC">
      <w:pPr>
        <w:pStyle w:val="Point0"/>
        <w:rPr>
          <w:noProof/>
        </w:rPr>
      </w:pPr>
      <w:r w:rsidRPr="008B4DA2">
        <w:rPr>
          <w:noProof/>
        </w:rPr>
        <w:t>2)</w:t>
      </w:r>
      <w:r w:rsidRPr="008B4DA2">
        <w:rPr>
          <w:noProof/>
        </w:rPr>
        <w:tab/>
        <w:t>„fizyczne prawo jazdy” oznacza prawo jazdy</w:t>
      </w:r>
      <w:r w:rsidR="00B83C93" w:rsidRPr="008B4DA2">
        <w:rPr>
          <w:noProof/>
        </w:rPr>
        <w:t xml:space="preserve"> w</w:t>
      </w:r>
      <w:r w:rsidR="00B83C93">
        <w:rPr>
          <w:noProof/>
        </w:rPr>
        <w:t> </w:t>
      </w:r>
      <w:r w:rsidR="00B83C93" w:rsidRPr="008B4DA2">
        <w:rPr>
          <w:noProof/>
        </w:rPr>
        <w:t>pos</w:t>
      </w:r>
      <w:r w:rsidRPr="008B4DA2">
        <w:rPr>
          <w:noProof/>
        </w:rPr>
        <w:t>taci fizycznej wydane zgodnie</w:t>
      </w:r>
      <w:r w:rsidR="00B83C93" w:rsidRPr="008B4DA2">
        <w:rPr>
          <w:noProof/>
        </w:rPr>
        <w:t xml:space="preserve"> z</w:t>
      </w:r>
      <w:r w:rsidR="00B83C93">
        <w:rPr>
          <w:noProof/>
        </w:rPr>
        <w:t> </w:t>
      </w:r>
      <w:r w:rsidR="00B83C93" w:rsidRPr="00B83C93">
        <w:rPr>
          <w:noProof/>
        </w:rPr>
        <w:t>art</w:t>
      </w:r>
      <w:r w:rsidRPr="00B83C93">
        <w:rPr>
          <w:noProof/>
        </w:rPr>
        <w:t>.</w:t>
      </w:r>
      <w:r w:rsidR="00B83C93" w:rsidRPr="00B83C93">
        <w:rPr>
          <w:noProof/>
        </w:rPr>
        <w:t> </w:t>
      </w:r>
      <w:r w:rsidRPr="00B83C93">
        <w:rPr>
          <w:noProof/>
        </w:rPr>
        <w:t>4</w:t>
      </w:r>
      <w:r w:rsidRPr="008B4DA2">
        <w:rPr>
          <w:noProof/>
        </w:rPr>
        <w:t xml:space="preserve">; </w:t>
      </w:r>
    </w:p>
    <w:p w:rsidR="00BD67F9" w:rsidRPr="008B4DA2" w:rsidRDefault="00DF60AC" w:rsidP="00DF60AC">
      <w:pPr>
        <w:pStyle w:val="Point0"/>
        <w:rPr>
          <w:noProof/>
        </w:rPr>
      </w:pPr>
      <w:r w:rsidRPr="008B4DA2">
        <w:rPr>
          <w:noProof/>
        </w:rPr>
        <w:t>3)</w:t>
      </w:r>
      <w:r w:rsidRPr="008B4DA2">
        <w:rPr>
          <w:noProof/>
        </w:rPr>
        <w:tab/>
        <w:t>„mobilne prawo jazdy” oznacza prawo jazdy</w:t>
      </w:r>
      <w:r w:rsidR="00B83C93" w:rsidRPr="008B4DA2">
        <w:rPr>
          <w:noProof/>
        </w:rPr>
        <w:t xml:space="preserve"> w</w:t>
      </w:r>
      <w:r w:rsidR="00B83C93">
        <w:rPr>
          <w:noProof/>
        </w:rPr>
        <w:t> </w:t>
      </w:r>
      <w:r w:rsidR="00B83C93" w:rsidRPr="008B4DA2">
        <w:rPr>
          <w:noProof/>
        </w:rPr>
        <w:t>pos</w:t>
      </w:r>
      <w:r w:rsidRPr="008B4DA2">
        <w:rPr>
          <w:noProof/>
        </w:rPr>
        <w:t>taci cyfrowej wydane zgodnie</w:t>
      </w:r>
      <w:r w:rsidR="00B83C93" w:rsidRPr="008B4DA2">
        <w:rPr>
          <w:noProof/>
        </w:rPr>
        <w:t xml:space="preserve"> z</w:t>
      </w:r>
      <w:r w:rsidR="00B83C93">
        <w:rPr>
          <w:noProof/>
        </w:rPr>
        <w:t> </w:t>
      </w:r>
      <w:r w:rsidR="00B83C93" w:rsidRPr="00B83C93">
        <w:rPr>
          <w:noProof/>
        </w:rPr>
        <w:t>art</w:t>
      </w:r>
      <w:r w:rsidRPr="00B83C93">
        <w:rPr>
          <w:noProof/>
        </w:rPr>
        <w:t>.</w:t>
      </w:r>
      <w:r w:rsidR="00B83C93" w:rsidRPr="00B83C93">
        <w:rPr>
          <w:noProof/>
        </w:rPr>
        <w:t> </w:t>
      </w:r>
      <w:r w:rsidRPr="00B83C93">
        <w:rPr>
          <w:noProof/>
        </w:rPr>
        <w:t>5</w:t>
      </w:r>
      <w:r w:rsidRPr="008B4DA2">
        <w:rPr>
          <w:noProof/>
        </w:rPr>
        <w:t>;</w:t>
      </w:r>
    </w:p>
    <w:p w:rsidR="00BD67F9" w:rsidRPr="008B4DA2" w:rsidRDefault="00DF60AC" w:rsidP="00DF60AC">
      <w:pPr>
        <w:pStyle w:val="Point0"/>
        <w:rPr>
          <w:noProof/>
        </w:rPr>
      </w:pPr>
      <w:r w:rsidRPr="008B4DA2">
        <w:rPr>
          <w:noProof/>
        </w:rPr>
        <w:t>4)</w:t>
      </w:r>
      <w:r w:rsidRPr="008B4DA2">
        <w:rPr>
          <w:noProof/>
        </w:rPr>
        <w:tab/>
        <w:t xml:space="preserve">„pojazd mechaniczny” oznacza wszelkie pojazdy samobieżne poruszające się po drodze posiadające własny napęd, oprócz pojazdów szynowych; </w:t>
      </w:r>
    </w:p>
    <w:p w:rsidR="00BD67F9" w:rsidRPr="008B4DA2" w:rsidRDefault="00DF60AC" w:rsidP="00DF60AC">
      <w:pPr>
        <w:pStyle w:val="Point0"/>
        <w:rPr>
          <w:noProof/>
        </w:rPr>
      </w:pPr>
      <w:r w:rsidRPr="008B4DA2">
        <w:rPr>
          <w:noProof/>
        </w:rPr>
        <w:t>5)</w:t>
      </w:r>
      <w:r w:rsidRPr="008B4DA2">
        <w:rPr>
          <w:noProof/>
        </w:rPr>
        <w:tab/>
        <w:t>„pojazd dwukołowy” oznacza pojazd,</w:t>
      </w:r>
      <w:r w:rsidR="00B83C93" w:rsidRPr="008B4DA2">
        <w:rPr>
          <w:noProof/>
        </w:rPr>
        <w:t xml:space="preserve"> o</w:t>
      </w:r>
      <w:r w:rsidR="00B83C93">
        <w:rPr>
          <w:noProof/>
        </w:rPr>
        <w:t> </w:t>
      </w:r>
      <w:r w:rsidR="00B83C93" w:rsidRPr="008B4DA2">
        <w:rPr>
          <w:noProof/>
        </w:rPr>
        <w:t>któ</w:t>
      </w:r>
      <w:r w:rsidRPr="008B4DA2">
        <w:rPr>
          <w:noProof/>
        </w:rPr>
        <w:t>rym mowa</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4</w:t>
      </w:r>
      <w:r w:rsidRPr="008B4DA2">
        <w:rPr>
          <w:noProof/>
        </w:rPr>
        <w:t xml:space="preserve"> </w:t>
      </w:r>
      <w:r w:rsidRPr="00B83C93">
        <w:rPr>
          <w:noProof/>
        </w:rPr>
        <w:t>ust.</w:t>
      </w:r>
      <w:r w:rsidR="00B83C93" w:rsidRPr="00B83C93">
        <w:rPr>
          <w:noProof/>
        </w:rPr>
        <w:t> </w:t>
      </w:r>
      <w:r w:rsidRPr="00B83C93">
        <w:rPr>
          <w:noProof/>
        </w:rPr>
        <w:t>2</w:t>
      </w:r>
      <w:r w:rsidRPr="008B4DA2">
        <w:rPr>
          <w:noProof/>
        </w:rPr>
        <w:t xml:space="preserve"> </w:t>
      </w:r>
      <w:r w:rsidRPr="00B83C93">
        <w:rPr>
          <w:noProof/>
        </w:rPr>
        <w:t>lit.</w:t>
      </w:r>
      <w:r w:rsidR="00B83C93" w:rsidRPr="00B83C93">
        <w:rPr>
          <w:noProof/>
        </w:rPr>
        <w:t> </w:t>
      </w:r>
      <w:r w:rsidRPr="00B83C93">
        <w:rPr>
          <w:noProof/>
        </w:rPr>
        <w:t>a)</w:t>
      </w:r>
      <w:r w:rsidRPr="008B4DA2">
        <w:rPr>
          <w:noProof/>
        </w:rPr>
        <w:t xml:space="preserve"> rozporządzenia Parlamentu Europejskiego</w:t>
      </w:r>
      <w:r w:rsidR="00B83C93" w:rsidRPr="008B4DA2">
        <w:rPr>
          <w:noProof/>
        </w:rPr>
        <w:t xml:space="preserve"> i</w:t>
      </w:r>
      <w:r w:rsidR="00B83C93">
        <w:rPr>
          <w:noProof/>
        </w:rPr>
        <w:t> </w:t>
      </w:r>
      <w:r w:rsidR="00B83C93" w:rsidRPr="008B4DA2">
        <w:rPr>
          <w:noProof/>
        </w:rPr>
        <w:t>Rad</w:t>
      </w:r>
      <w:r w:rsidRPr="008B4DA2">
        <w:rPr>
          <w:noProof/>
        </w:rPr>
        <w:t xml:space="preserve">y (UE) </w:t>
      </w:r>
      <w:r w:rsidRPr="00B83C93">
        <w:rPr>
          <w:noProof/>
        </w:rPr>
        <w:t>nr</w:t>
      </w:r>
      <w:r w:rsidR="00B83C93" w:rsidRPr="00B83C93">
        <w:rPr>
          <w:noProof/>
        </w:rPr>
        <w:t> </w:t>
      </w:r>
      <w:r w:rsidRPr="00B83C93">
        <w:rPr>
          <w:noProof/>
        </w:rPr>
        <w:t>1</w:t>
      </w:r>
      <w:r w:rsidRPr="008B4DA2">
        <w:rPr>
          <w:noProof/>
        </w:rPr>
        <w:t>68/2013</w:t>
      </w:r>
      <w:r w:rsidRPr="008B4DA2">
        <w:rPr>
          <w:rStyle w:val="FootnoteReference"/>
          <w:noProof/>
        </w:rPr>
        <w:footnoteReference w:id="62"/>
      </w:r>
      <w:r w:rsidRPr="008B4DA2">
        <w:rPr>
          <w:noProof/>
        </w:rPr>
        <w:t>;</w:t>
      </w:r>
    </w:p>
    <w:p w:rsidR="00BD67F9" w:rsidRPr="008B4DA2" w:rsidRDefault="00DF60AC" w:rsidP="00DF60AC">
      <w:pPr>
        <w:pStyle w:val="Point0"/>
        <w:rPr>
          <w:noProof/>
        </w:rPr>
      </w:pPr>
      <w:r w:rsidRPr="008B4DA2">
        <w:rPr>
          <w:noProof/>
        </w:rPr>
        <w:t>6)</w:t>
      </w:r>
      <w:r w:rsidRPr="008B4DA2">
        <w:rPr>
          <w:noProof/>
        </w:rPr>
        <w:tab/>
        <w:t>„pojazd trzykołowy” oznacza pojazd,</w:t>
      </w:r>
      <w:r w:rsidR="00B83C93" w:rsidRPr="008B4DA2">
        <w:rPr>
          <w:noProof/>
        </w:rPr>
        <w:t xml:space="preserve"> o</w:t>
      </w:r>
      <w:r w:rsidR="00B83C93">
        <w:rPr>
          <w:noProof/>
        </w:rPr>
        <w:t> </w:t>
      </w:r>
      <w:r w:rsidR="00B83C93" w:rsidRPr="008B4DA2">
        <w:rPr>
          <w:noProof/>
        </w:rPr>
        <w:t>któ</w:t>
      </w:r>
      <w:r w:rsidRPr="008B4DA2">
        <w:rPr>
          <w:noProof/>
        </w:rPr>
        <w:t>rym mowa</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4</w:t>
      </w:r>
      <w:r w:rsidRPr="008B4DA2">
        <w:rPr>
          <w:noProof/>
        </w:rPr>
        <w:t xml:space="preserve"> </w:t>
      </w:r>
      <w:r w:rsidRPr="00B83C93">
        <w:rPr>
          <w:noProof/>
        </w:rPr>
        <w:t>ust.</w:t>
      </w:r>
      <w:r w:rsidR="00B83C93" w:rsidRPr="00B83C93">
        <w:rPr>
          <w:noProof/>
        </w:rPr>
        <w:t> </w:t>
      </w:r>
      <w:r w:rsidRPr="00B83C93">
        <w:rPr>
          <w:noProof/>
        </w:rPr>
        <w:t>2</w:t>
      </w:r>
      <w:r w:rsidRPr="008B4DA2">
        <w:rPr>
          <w:noProof/>
        </w:rPr>
        <w:t xml:space="preserve"> </w:t>
      </w:r>
      <w:r w:rsidRPr="00B83C93">
        <w:rPr>
          <w:noProof/>
        </w:rPr>
        <w:t>lit.</w:t>
      </w:r>
      <w:r w:rsidR="00B83C93" w:rsidRPr="00B83C93">
        <w:rPr>
          <w:noProof/>
        </w:rPr>
        <w:t> </w:t>
      </w:r>
      <w:r w:rsidRPr="00B83C93">
        <w:rPr>
          <w:noProof/>
        </w:rPr>
        <w:t>b)</w:t>
      </w:r>
      <w:r w:rsidRPr="008B4DA2">
        <w:rPr>
          <w:noProof/>
        </w:rPr>
        <w:t xml:space="preserve"> rozporządzenia (UE) </w:t>
      </w:r>
      <w:r w:rsidRPr="00B83C93">
        <w:rPr>
          <w:noProof/>
        </w:rPr>
        <w:t>nr</w:t>
      </w:r>
      <w:r w:rsidR="00B83C93" w:rsidRPr="00B83C93">
        <w:rPr>
          <w:noProof/>
        </w:rPr>
        <w:t> </w:t>
      </w:r>
      <w:r w:rsidRPr="00B83C93">
        <w:rPr>
          <w:noProof/>
        </w:rPr>
        <w:t>1</w:t>
      </w:r>
      <w:r w:rsidRPr="008B4DA2">
        <w:rPr>
          <w:noProof/>
        </w:rPr>
        <w:t>68/2013;</w:t>
      </w:r>
    </w:p>
    <w:p w:rsidR="00BD67F9" w:rsidRPr="008B4DA2" w:rsidRDefault="00DF60AC" w:rsidP="00DF60AC">
      <w:pPr>
        <w:pStyle w:val="Point0"/>
        <w:rPr>
          <w:noProof/>
        </w:rPr>
      </w:pPr>
      <w:r w:rsidRPr="008B4DA2">
        <w:rPr>
          <w:noProof/>
        </w:rPr>
        <w:t>7)</w:t>
      </w:r>
      <w:r w:rsidRPr="008B4DA2">
        <w:rPr>
          <w:noProof/>
        </w:rPr>
        <w:tab/>
        <w:t>„lekki czterokołowiec” oznacza pojazd,</w:t>
      </w:r>
      <w:r w:rsidR="00B83C93" w:rsidRPr="008B4DA2">
        <w:rPr>
          <w:noProof/>
        </w:rPr>
        <w:t xml:space="preserve"> o</w:t>
      </w:r>
      <w:r w:rsidR="00B83C93">
        <w:rPr>
          <w:noProof/>
        </w:rPr>
        <w:t> </w:t>
      </w:r>
      <w:r w:rsidR="00B83C93" w:rsidRPr="008B4DA2">
        <w:rPr>
          <w:noProof/>
        </w:rPr>
        <w:t>któ</w:t>
      </w:r>
      <w:r w:rsidRPr="008B4DA2">
        <w:rPr>
          <w:noProof/>
        </w:rPr>
        <w:t>rym mowa</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4</w:t>
      </w:r>
      <w:r w:rsidRPr="008B4DA2">
        <w:rPr>
          <w:noProof/>
        </w:rPr>
        <w:t xml:space="preserve"> </w:t>
      </w:r>
      <w:r w:rsidRPr="00B83C93">
        <w:rPr>
          <w:noProof/>
        </w:rPr>
        <w:t>ust.</w:t>
      </w:r>
      <w:r w:rsidR="00B83C93" w:rsidRPr="00B83C93">
        <w:rPr>
          <w:noProof/>
        </w:rPr>
        <w:t> </w:t>
      </w:r>
      <w:r w:rsidRPr="00B83C93">
        <w:rPr>
          <w:noProof/>
        </w:rPr>
        <w:t>2</w:t>
      </w:r>
      <w:r w:rsidRPr="008B4DA2">
        <w:rPr>
          <w:noProof/>
        </w:rPr>
        <w:t xml:space="preserve"> </w:t>
      </w:r>
      <w:r w:rsidRPr="00B83C93">
        <w:rPr>
          <w:noProof/>
        </w:rPr>
        <w:t>lit.</w:t>
      </w:r>
      <w:r w:rsidR="00B83C93" w:rsidRPr="00B83C93">
        <w:rPr>
          <w:noProof/>
        </w:rPr>
        <w:t> </w:t>
      </w:r>
      <w:r w:rsidRPr="00B83C93">
        <w:rPr>
          <w:noProof/>
        </w:rPr>
        <w:t>f)</w:t>
      </w:r>
      <w:r w:rsidRPr="008B4DA2">
        <w:rPr>
          <w:noProof/>
        </w:rPr>
        <w:t xml:space="preserve"> rozporządzenia (UE) </w:t>
      </w:r>
      <w:r w:rsidRPr="00B83C93">
        <w:rPr>
          <w:noProof/>
        </w:rPr>
        <w:t>nr</w:t>
      </w:r>
      <w:r w:rsidR="00B83C93" w:rsidRPr="00B83C93">
        <w:rPr>
          <w:noProof/>
        </w:rPr>
        <w:t> </w:t>
      </w:r>
      <w:r w:rsidRPr="00B83C93">
        <w:rPr>
          <w:noProof/>
        </w:rPr>
        <w:t>1</w:t>
      </w:r>
      <w:r w:rsidRPr="008B4DA2">
        <w:rPr>
          <w:noProof/>
        </w:rPr>
        <w:t>68/2013;</w:t>
      </w:r>
    </w:p>
    <w:p w:rsidR="00BD67F9" w:rsidRPr="008B4DA2" w:rsidRDefault="00DF60AC" w:rsidP="00DF60AC">
      <w:pPr>
        <w:pStyle w:val="Point0"/>
        <w:rPr>
          <w:noProof/>
        </w:rPr>
      </w:pPr>
      <w:r w:rsidRPr="008B4DA2">
        <w:rPr>
          <w:noProof/>
        </w:rPr>
        <w:t>8)</w:t>
      </w:r>
      <w:r w:rsidRPr="008B4DA2">
        <w:rPr>
          <w:noProof/>
        </w:rPr>
        <w:tab/>
        <w:t>„motocykl” oznacza pojazd dwukołowy</w:t>
      </w:r>
      <w:r w:rsidR="00B83C93" w:rsidRPr="008B4DA2">
        <w:rPr>
          <w:noProof/>
        </w:rPr>
        <w:t xml:space="preserve"> z</w:t>
      </w:r>
      <w:r w:rsidR="00B83C93">
        <w:rPr>
          <w:noProof/>
        </w:rPr>
        <w:t> </w:t>
      </w:r>
      <w:r w:rsidR="00B83C93" w:rsidRPr="008B4DA2">
        <w:rPr>
          <w:noProof/>
        </w:rPr>
        <w:t>boc</w:t>
      </w:r>
      <w:r w:rsidRPr="008B4DA2">
        <w:rPr>
          <w:noProof/>
        </w:rPr>
        <w:t>znym wózkiem lub bez,</w:t>
      </w:r>
      <w:r w:rsidR="00B83C93" w:rsidRPr="008B4DA2">
        <w:rPr>
          <w:noProof/>
        </w:rPr>
        <w:t xml:space="preserve"> o</w:t>
      </w:r>
      <w:r w:rsidR="00B83C93">
        <w:rPr>
          <w:noProof/>
        </w:rPr>
        <w:t> </w:t>
      </w:r>
      <w:r w:rsidR="00B83C93" w:rsidRPr="008B4DA2">
        <w:rPr>
          <w:noProof/>
        </w:rPr>
        <w:t>któ</w:t>
      </w:r>
      <w:r w:rsidRPr="008B4DA2">
        <w:rPr>
          <w:noProof/>
        </w:rPr>
        <w:t>rym to pojeździe mowa</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4</w:t>
      </w:r>
      <w:r w:rsidRPr="008B4DA2">
        <w:rPr>
          <w:noProof/>
        </w:rPr>
        <w:t xml:space="preserve"> </w:t>
      </w:r>
      <w:r w:rsidRPr="00B83C93">
        <w:rPr>
          <w:noProof/>
        </w:rPr>
        <w:t>ust.</w:t>
      </w:r>
      <w:r w:rsidR="00B83C93" w:rsidRPr="00B83C93">
        <w:rPr>
          <w:noProof/>
        </w:rPr>
        <w:t> </w:t>
      </w:r>
      <w:r w:rsidRPr="00B83C93">
        <w:rPr>
          <w:noProof/>
        </w:rPr>
        <w:t>2</w:t>
      </w:r>
      <w:r w:rsidRPr="008B4DA2">
        <w:rPr>
          <w:noProof/>
        </w:rPr>
        <w:t xml:space="preserve"> </w:t>
      </w:r>
      <w:r w:rsidRPr="00B83C93">
        <w:rPr>
          <w:noProof/>
        </w:rPr>
        <w:t>lit.</w:t>
      </w:r>
      <w:r w:rsidR="00B83C93" w:rsidRPr="00B83C93">
        <w:rPr>
          <w:noProof/>
        </w:rPr>
        <w:t> </w:t>
      </w:r>
      <w:r w:rsidRPr="00B83C93">
        <w:rPr>
          <w:noProof/>
        </w:rPr>
        <w:t>c)</w:t>
      </w:r>
      <w:r w:rsidRPr="008B4DA2">
        <w:rPr>
          <w:noProof/>
        </w:rPr>
        <w:t xml:space="preserve"> i d) rozporządzenia (UE) </w:t>
      </w:r>
      <w:r w:rsidRPr="00B83C93">
        <w:rPr>
          <w:noProof/>
        </w:rPr>
        <w:t>nr</w:t>
      </w:r>
      <w:r w:rsidR="00B83C93" w:rsidRPr="00B83C93">
        <w:rPr>
          <w:noProof/>
        </w:rPr>
        <w:t> </w:t>
      </w:r>
      <w:r w:rsidRPr="00B83C93">
        <w:rPr>
          <w:noProof/>
        </w:rPr>
        <w:t>1</w:t>
      </w:r>
      <w:r w:rsidRPr="008B4DA2">
        <w:rPr>
          <w:noProof/>
        </w:rPr>
        <w:t>68/2013;</w:t>
      </w:r>
    </w:p>
    <w:p w:rsidR="00BD67F9" w:rsidRPr="008B4DA2" w:rsidRDefault="00DF60AC" w:rsidP="00DF60AC">
      <w:pPr>
        <w:pStyle w:val="Point0"/>
        <w:rPr>
          <w:noProof/>
        </w:rPr>
      </w:pPr>
      <w:r w:rsidRPr="008B4DA2">
        <w:rPr>
          <w:noProof/>
        </w:rPr>
        <w:t>9)</w:t>
      </w:r>
      <w:r w:rsidRPr="008B4DA2">
        <w:rPr>
          <w:noProof/>
        </w:rPr>
        <w:tab/>
        <w:t>„trzykołowy pojazd silnikowy” oznacza pojazd posiadający trzy koła umieszczone symetrycznie,</w:t>
      </w:r>
      <w:r w:rsidR="00B83C93" w:rsidRPr="008B4DA2">
        <w:rPr>
          <w:noProof/>
        </w:rPr>
        <w:t xml:space="preserve"> o</w:t>
      </w:r>
      <w:r w:rsidR="00B83C93">
        <w:rPr>
          <w:noProof/>
        </w:rPr>
        <w:t> </w:t>
      </w:r>
      <w:r w:rsidR="00B83C93" w:rsidRPr="008B4DA2">
        <w:rPr>
          <w:noProof/>
        </w:rPr>
        <w:t>któ</w:t>
      </w:r>
      <w:r w:rsidRPr="008B4DA2">
        <w:rPr>
          <w:noProof/>
        </w:rPr>
        <w:t>rym mowa</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4</w:t>
      </w:r>
      <w:r w:rsidRPr="008B4DA2">
        <w:rPr>
          <w:noProof/>
        </w:rPr>
        <w:t xml:space="preserve"> </w:t>
      </w:r>
      <w:r w:rsidRPr="00B83C93">
        <w:rPr>
          <w:noProof/>
        </w:rPr>
        <w:t>ust.</w:t>
      </w:r>
      <w:r w:rsidR="00B83C93" w:rsidRPr="00B83C93">
        <w:rPr>
          <w:noProof/>
        </w:rPr>
        <w:t> </w:t>
      </w:r>
      <w:r w:rsidRPr="00B83C93">
        <w:rPr>
          <w:noProof/>
        </w:rPr>
        <w:t>2</w:t>
      </w:r>
      <w:r w:rsidRPr="008B4DA2">
        <w:rPr>
          <w:noProof/>
        </w:rPr>
        <w:t xml:space="preserve"> </w:t>
      </w:r>
      <w:r w:rsidRPr="00B83C93">
        <w:rPr>
          <w:noProof/>
        </w:rPr>
        <w:t>lit.</w:t>
      </w:r>
      <w:r w:rsidR="00B83C93" w:rsidRPr="00B83C93">
        <w:rPr>
          <w:noProof/>
        </w:rPr>
        <w:t> </w:t>
      </w:r>
      <w:r w:rsidRPr="00B83C93">
        <w:rPr>
          <w:noProof/>
        </w:rPr>
        <w:t>e)</w:t>
      </w:r>
      <w:r w:rsidRPr="008B4DA2">
        <w:rPr>
          <w:noProof/>
        </w:rPr>
        <w:t xml:space="preserve"> rozporządzenia (UE) </w:t>
      </w:r>
      <w:r w:rsidRPr="00B83C93">
        <w:rPr>
          <w:noProof/>
        </w:rPr>
        <w:t>nr</w:t>
      </w:r>
      <w:r w:rsidR="00B83C93" w:rsidRPr="00B83C93">
        <w:rPr>
          <w:noProof/>
        </w:rPr>
        <w:t> </w:t>
      </w:r>
      <w:r w:rsidRPr="00B83C93">
        <w:rPr>
          <w:noProof/>
        </w:rPr>
        <w:t>1</w:t>
      </w:r>
      <w:r w:rsidRPr="008B4DA2">
        <w:rPr>
          <w:noProof/>
        </w:rPr>
        <w:t xml:space="preserve">68/2013; </w:t>
      </w:r>
    </w:p>
    <w:p w:rsidR="00BD67F9" w:rsidRPr="008B4DA2" w:rsidRDefault="00DF60AC" w:rsidP="00DF60AC">
      <w:pPr>
        <w:pStyle w:val="Point0"/>
        <w:rPr>
          <w:noProof/>
        </w:rPr>
      </w:pPr>
      <w:r w:rsidRPr="008B4DA2">
        <w:rPr>
          <w:noProof/>
        </w:rPr>
        <w:t>10)</w:t>
      </w:r>
      <w:r w:rsidRPr="008B4DA2">
        <w:rPr>
          <w:noProof/>
        </w:rPr>
        <w:tab/>
        <w:t>„pojazd silnikowy” oznacza wszelkie pojazdy mechaniczne, zwykle używane do przewozu drogowego osób lub rzeczy lub do ciągnięcia po drodze pojazdów używanych do przewozu osób lub rzeczy. Określenie to obejmuje trolejbusy, tj. pojazdy podłączone do przewodu elektrycznego, ale nie poruszające się po szynach;</w:t>
      </w:r>
    </w:p>
    <w:p w:rsidR="001807A7" w:rsidRPr="008B4DA2" w:rsidRDefault="00DF60AC" w:rsidP="00DF60AC">
      <w:pPr>
        <w:pStyle w:val="Point0"/>
        <w:rPr>
          <w:noProof/>
        </w:rPr>
      </w:pPr>
      <w:r w:rsidRPr="008B4DA2">
        <w:rPr>
          <w:noProof/>
        </w:rPr>
        <w:t>11)</w:t>
      </w:r>
      <w:r w:rsidRPr="008B4DA2">
        <w:rPr>
          <w:noProof/>
        </w:rPr>
        <w:tab/>
        <w:t>„ciężki czterokołowiec” oznacza pojazd,</w:t>
      </w:r>
      <w:r w:rsidR="00B83C93" w:rsidRPr="008B4DA2">
        <w:rPr>
          <w:noProof/>
        </w:rPr>
        <w:t xml:space="preserve"> o</w:t>
      </w:r>
      <w:r w:rsidR="00B83C93">
        <w:rPr>
          <w:noProof/>
        </w:rPr>
        <w:t> </w:t>
      </w:r>
      <w:r w:rsidR="00B83C93" w:rsidRPr="008B4DA2">
        <w:rPr>
          <w:noProof/>
        </w:rPr>
        <w:t>któ</w:t>
      </w:r>
      <w:r w:rsidRPr="008B4DA2">
        <w:rPr>
          <w:noProof/>
        </w:rPr>
        <w:t>rym mowa</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4</w:t>
      </w:r>
      <w:r w:rsidRPr="008B4DA2">
        <w:rPr>
          <w:noProof/>
        </w:rPr>
        <w:t xml:space="preserve"> </w:t>
      </w:r>
      <w:r w:rsidRPr="00B83C93">
        <w:rPr>
          <w:noProof/>
        </w:rPr>
        <w:t>ust.</w:t>
      </w:r>
      <w:r w:rsidR="00B83C93" w:rsidRPr="00B83C93">
        <w:rPr>
          <w:noProof/>
        </w:rPr>
        <w:t> </w:t>
      </w:r>
      <w:r w:rsidRPr="00B83C93">
        <w:rPr>
          <w:noProof/>
        </w:rPr>
        <w:t>2</w:t>
      </w:r>
      <w:r w:rsidRPr="008B4DA2">
        <w:rPr>
          <w:noProof/>
        </w:rPr>
        <w:t xml:space="preserve"> </w:t>
      </w:r>
      <w:r w:rsidRPr="00B83C93">
        <w:rPr>
          <w:noProof/>
        </w:rPr>
        <w:t>lit.</w:t>
      </w:r>
      <w:r w:rsidR="00B83C93" w:rsidRPr="00B83C93">
        <w:rPr>
          <w:noProof/>
        </w:rPr>
        <w:t> </w:t>
      </w:r>
      <w:r w:rsidRPr="00B83C93">
        <w:rPr>
          <w:noProof/>
        </w:rPr>
        <w:t>g)</w:t>
      </w:r>
      <w:r w:rsidRPr="008B4DA2">
        <w:rPr>
          <w:noProof/>
        </w:rPr>
        <w:t xml:space="preserve"> rozporządzenia (UE) </w:t>
      </w:r>
      <w:r w:rsidRPr="00B83C93">
        <w:rPr>
          <w:noProof/>
        </w:rPr>
        <w:t>nr</w:t>
      </w:r>
      <w:r w:rsidR="00B83C93" w:rsidRPr="00B83C93">
        <w:rPr>
          <w:noProof/>
        </w:rPr>
        <w:t> </w:t>
      </w:r>
      <w:r w:rsidRPr="00B83C93">
        <w:rPr>
          <w:noProof/>
        </w:rPr>
        <w:t>1</w:t>
      </w:r>
      <w:r w:rsidRPr="008B4DA2">
        <w:rPr>
          <w:noProof/>
        </w:rPr>
        <w:t>68/2013;</w:t>
      </w:r>
    </w:p>
    <w:p w:rsidR="00BD67F9" w:rsidRPr="008B4DA2" w:rsidRDefault="00DF60AC" w:rsidP="00DF60AC">
      <w:pPr>
        <w:pStyle w:val="Point0"/>
        <w:rPr>
          <w:noProof/>
        </w:rPr>
      </w:pPr>
      <w:r w:rsidRPr="008B4DA2">
        <w:rPr>
          <w:noProof/>
        </w:rPr>
        <w:t>12)</w:t>
      </w:r>
      <w:r w:rsidRPr="008B4DA2">
        <w:rPr>
          <w:noProof/>
        </w:rPr>
        <w:tab/>
        <w:t>„zakaz prowadzenia pojazdów” oznacza każdą decyzję skutkującą cofnięciem, unieważnieniem, ograniczeniem lub zawieszeniem prawa jazdy lub uprawnień do kierowania pojazdami</w:t>
      </w:r>
      <w:r w:rsidR="00B83C93" w:rsidRPr="008B4DA2">
        <w:rPr>
          <w:noProof/>
        </w:rPr>
        <w:t xml:space="preserve"> w</w:t>
      </w:r>
      <w:r w:rsidR="00B83C93">
        <w:rPr>
          <w:noProof/>
        </w:rPr>
        <w:t> </w:t>
      </w:r>
      <w:r w:rsidR="00B83C93" w:rsidRPr="008B4DA2">
        <w:rPr>
          <w:noProof/>
        </w:rPr>
        <w:t>odn</w:t>
      </w:r>
      <w:r w:rsidRPr="008B4DA2">
        <w:rPr>
          <w:noProof/>
        </w:rPr>
        <w:t>iesieniu do kierowcy pojazdu mechanicznego, od której to decyzji nie przysługuje już prawo do odwołania. Taki środek może stanowić główną, dodatkową lub uzupełniającą karę albo środek bezpieczeństwa.</w:t>
      </w:r>
    </w:p>
    <w:p w:rsidR="00BD67F9" w:rsidRPr="008B4DA2" w:rsidRDefault="00BD67F9" w:rsidP="00BD67F9">
      <w:pPr>
        <w:pStyle w:val="Titrearticle"/>
        <w:rPr>
          <w:noProof/>
        </w:rPr>
      </w:pPr>
      <w:r w:rsidRPr="008B4DA2">
        <w:rPr>
          <w:noProof/>
        </w:rPr>
        <w:t>Artykuł 3</w:t>
      </w:r>
    </w:p>
    <w:p w:rsidR="00BD67F9" w:rsidRPr="008B4DA2" w:rsidRDefault="00BD67F9" w:rsidP="00BD67F9">
      <w:pPr>
        <w:pStyle w:val="Objetacteprincipal"/>
        <w:rPr>
          <w:noProof/>
        </w:rPr>
      </w:pPr>
      <w:r w:rsidRPr="008B4DA2">
        <w:rPr>
          <w:noProof/>
        </w:rPr>
        <w:t>Unijna standardowa specyfikacja prawa jazdy oraz wzajemne uznawanie</w:t>
      </w:r>
    </w:p>
    <w:p w:rsidR="00BD67F9" w:rsidRPr="008B4DA2" w:rsidRDefault="00DF60AC" w:rsidP="00DF60AC">
      <w:pPr>
        <w:pStyle w:val="ManualNumPar1"/>
        <w:rPr>
          <w:noProof/>
        </w:rPr>
      </w:pPr>
      <w:r w:rsidRPr="008B4DA2">
        <w:rPr>
          <w:noProof/>
        </w:rPr>
        <w:t>1.</w:t>
      </w:r>
      <w:r w:rsidRPr="008B4DA2">
        <w:rPr>
          <w:noProof/>
        </w:rPr>
        <w:tab/>
        <w:t>Państwa członkowskie zapewniają, aby krajowe prawa jazdy były wydawane zgodnie</w:t>
      </w:r>
      <w:r w:rsidR="00B83C93" w:rsidRPr="008B4DA2">
        <w:rPr>
          <w:noProof/>
        </w:rPr>
        <w:t xml:space="preserve"> z</w:t>
      </w:r>
      <w:r w:rsidR="00B83C93">
        <w:rPr>
          <w:noProof/>
        </w:rPr>
        <w:t> </w:t>
      </w:r>
      <w:r w:rsidR="00B83C93" w:rsidRPr="008B4DA2">
        <w:rPr>
          <w:noProof/>
        </w:rPr>
        <w:t>prz</w:t>
      </w:r>
      <w:r w:rsidRPr="008B4DA2">
        <w:rPr>
          <w:noProof/>
        </w:rPr>
        <w:t>episami niniejszej dyrektywy</w:t>
      </w:r>
      <w:r w:rsidR="00B83C93" w:rsidRPr="008B4DA2">
        <w:rPr>
          <w:noProof/>
        </w:rPr>
        <w:t xml:space="preserve"> i</w:t>
      </w:r>
      <w:r w:rsidR="00B83C93">
        <w:rPr>
          <w:noProof/>
        </w:rPr>
        <w:t> </w:t>
      </w:r>
      <w:r w:rsidR="00B83C93" w:rsidRPr="008B4DA2">
        <w:rPr>
          <w:noProof/>
        </w:rPr>
        <w:t>był</w:t>
      </w:r>
      <w:r w:rsidRPr="008B4DA2">
        <w:rPr>
          <w:noProof/>
        </w:rPr>
        <w:t>y zgodne</w:t>
      </w:r>
      <w:r w:rsidR="00B83C93" w:rsidRPr="008B4DA2">
        <w:rPr>
          <w:noProof/>
        </w:rPr>
        <w:t xml:space="preserve"> z</w:t>
      </w:r>
      <w:r w:rsidR="00B83C93">
        <w:rPr>
          <w:noProof/>
        </w:rPr>
        <w:t> </w:t>
      </w:r>
      <w:r w:rsidR="00B83C93" w:rsidRPr="008B4DA2">
        <w:rPr>
          <w:noProof/>
        </w:rPr>
        <w:t>uni</w:t>
      </w:r>
      <w:r w:rsidRPr="008B4DA2">
        <w:rPr>
          <w:noProof/>
        </w:rPr>
        <w:t>jną standardową specyfikacją</w:t>
      </w:r>
      <w:r w:rsidR="00B83C93" w:rsidRPr="008B4DA2">
        <w:rPr>
          <w:noProof/>
        </w:rPr>
        <w:t xml:space="preserve"> i</w:t>
      </w:r>
      <w:r w:rsidR="00B83C93">
        <w:rPr>
          <w:noProof/>
        </w:rPr>
        <w:t> </w:t>
      </w:r>
      <w:r w:rsidR="00B83C93" w:rsidRPr="008B4DA2">
        <w:rPr>
          <w:noProof/>
        </w:rPr>
        <w:t>poz</w:t>
      </w:r>
      <w:r w:rsidRPr="008B4DA2">
        <w:rPr>
          <w:noProof/>
        </w:rPr>
        <w:t>ostałymi kryteriami na podstawie:</w:t>
      </w:r>
    </w:p>
    <w:p w:rsidR="00BD67F9" w:rsidRPr="008B4DA2" w:rsidRDefault="00DF60AC" w:rsidP="00DF60AC">
      <w:pPr>
        <w:pStyle w:val="Point1"/>
        <w:rPr>
          <w:noProof/>
        </w:rPr>
      </w:pPr>
      <w:r w:rsidRPr="008B4DA2">
        <w:rPr>
          <w:noProof/>
        </w:rPr>
        <w:t>a)</w:t>
      </w:r>
      <w:r w:rsidRPr="008B4DA2">
        <w:rPr>
          <w:noProof/>
        </w:rPr>
        <w:tab/>
      </w:r>
      <w:r w:rsidRPr="00B83C93">
        <w:rPr>
          <w:noProof/>
        </w:rPr>
        <w:t>art.</w:t>
      </w:r>
      <w:r w:rsidR="00B83C93" w:rsidRPr="00B83C93">
        <w:rPr>
          <w:noProof/>
        </w:rPr>
        <w:t> </w:t>
      </w:r>
      <w:r w:rsidRPr="00B83C93">
        <w:rPr>
          <w:noProof/>
        </w:rPr>
        <w:t>4</w:t>
      </w:r>
      <w:r w:rsidR="00B83C93" w:rsidRPr="008B4DA2">
        <w:rPr>
          <w:noProof/>
        </w:rPr>
        <w:t xml:space="preserve"> w</w:t>
      </w:r>
      <w:r w:rsidR="00B83C93">
        <w:rPr>
          <w:noProof/>
        </w:rPr>
        <w:t> </w:t>
      </w:r>
      <w:r w:rsidR="00B83C93" w:rsidRPr="008B4DA2">
        <w:rPr>
          <w:noProof/>
        </w:rPr>
        <w:t>prz</w:t>
      </w:r>
      <w:r w:rsidRPr="008B4DA2">
        <w:rPr>
          <w:noProof/>
        </w:rPr>
        <w:t>ypadku fizycznych praw jazdy;</w:t>
      </w:r>
    </w:p>
    <w:p w:rsidR="00BD67F9" w:rsidRPr="008B4DA2" w:rsidRDefault="00DF60AC" w:rsidP="00DF60AC">
      <w:pPr>
        <w:pStyle w:val="Point1"/>
        <w:rPr>
          <w:noProof/>
        </w:rPr>
      </w:pPr>
      <w:r w:rsidRPr="008B4DA2">
        <w:rPr>
          <w:noProof/>
        </w:rPr>
        <w:t>b)</w:t>
      </w:r>
      <w:r w:rsidRPr="008B4DA2">
        <w:rPr>
          <w:noProof/>
        </w:rPr>
        <w:tab/>
      </w:r>
      <w:r w:rsidRPr="00B83C93">
        <w:rPr>
          <w:noProof/>
        </w:rPr>
        <w:t>art.</w:t>
      </w:r>
      <w:r w:rsidR="00B83C93" w:rsidRPr="00B83C93">
        <w:rPr>
          <w:noProof/>
        </w:rPr>
        <w:t> </w:t>
      </w:r>
      <w:r w:rsidRPr="00B83C93">
        <w:rPr>
          <w:noProof/>
        </w:rPr>
        <w:t>5</w:t>
      </w:r>
      <w:r w:rsidR="00B83C93" w:rsidRPr="008B4DA2">
        <w:rPr>
          <w:noProof/>
        </w:rPr>
        <w:t xml:space="preserve"> w</w:t>
      </w:r>
      <w:r w:rsidR="00B83C93">
        <w:rPr>
          <w:noProof/>
        </w:rPr>
        <w:t> </w:t>
      </w:r>
      <w:r w:rsidR="00B83C93" w:rsidRPr="008B4DA2">
        <w:rPr>
          <w:noProof/>
        </w:rPr>
        <w:t>prz</w:t>
      </w:r>
      <w:r w:rsidRPr="008B4DA2">
        <w:rPr>
          <w:noProof/>
        </w:rPr>
        <w:t xml:space="preserve">ypadku mobilnych praw jazdy. </w:t>
      </w:r>
    </w:p>
    <w:p w:rsidR="00BD67F9" w:rsidRPr="008B4DA2" w:rsidRDefault="00DF60AC" w:rsidP="00DF60AC">
      <w:pPr>
        <w:pStyle w:val="ManualNumPar1"/>
        <w:rPr>
          <w:noProof/>
        </w:rPr>
      </w:pPr>
      <w:r w:rsidRPr="008B4DA2">
        <w:rPr>
          <w:noProof/>
        </w:rPr>
        <w:t>2.</w:t>
      </w:r>
      <w:r w:rsidRPr="008B4DA2">
        <w:rPr>
          <w:noProof/>
        </w:rPr>
        <w:tab/>
        <w:t>Państwa członkowskie zapewniają, aby fizyczne prawo jazdy</w:t>
      </w:r>
      <w:r w:rsidR="00B83C93" w:rsidRPr="008B4DA2">
        <w:rPr>
          <w:noProof/>
        </w:rPr>
        <w:t xml:space="preserve"> i</w:t>
      </w:r>
      <w:r w:rsidR="00B83C93">
        <w:rPr>
          <w:noProof/>
        </w:rPr>
        <w:t> </w:t>
      </w:r>
      <w:r w:rsidR="00B83C93" w:rsidRPr="008B4DA2">
        <w:rPr>
          <w:noProof/>
        </w:rPr>
        <w:t>mob</w:t>
      </w:r>
      <w:r w:rsidRPr="008B4DA2">
        <w:rPr>
          <w:noProof/>
        </w:rPr>
        <w:t>ilne prawo jazdy wydane tej samej osobie były</w:t>
      </w:r>
      <w:r w:rsidR="00B83C93" w:rsidRPr="008B4DA2">
        <w:rPr>
          <w:noProof/>
        </w:rPr>
        <w:t xml:space="preserve"> w</w:t>
      </w:r>
      <w:r w:rsidR="00B83C93">
        <w:rPr>
          <w:noProof/>
        </w:rPr>
        <w:t> </w:t>
      </w:r>
      <w:r w:rsidR="00B83C93" w:rsidRPr="008B4DA2">
        <w:rPr>
          <w:noProof/>
        </w:rPr>
        <w:t>peł</w:t>
      </w:r>
      <w:r w:rsidRPr="008B4DA2">
        <w:rPr>
          <w:noProof/>
        </w:rPr>
        <w:t>ni równoważne</w:t>
      </w:r>
      <w:r w:rsidR="00B83C93" w:rsidRPr="008B4DA2">
        <w:rPr>
          <w:noProof/>
        </w:rPr>
        <w:t xml:space="preserve"> i</w:t>
      </w:r>
      <w:r w:rsidR="00B83C93">
        <w:rPr>
          <w:noProof/>
        </w:rPr>
        <w:t> </w:t>
      </w:r>
      <w:r w:rsidR="00B83C93" w:rsidRPr="008B4DA2">
        <w:rPr>
          <w:noProof/>
        </w:rPr>
        <w:t>okr</w:t>
      </w:r>
      <w:r w:rsidRPr="008B4DA2">
        <w:rPr>
          <w:noProof/>
        </w:rPr>
        <w:t>eślały dokładnie taki sam zestaw uprawnień</w:t>
      </w:r>
      <w:r w:rsidR="00B83C93" w:rsidRPr="008B4DA2">
        <w:rPr>
          <w:noProof/>
        </w:rPr>
        <w:t xml:space="preserve"> i</w:t>
      </w:r>
      <w:r w:rsidR="00B83C93">
        <w:rPr>
          <w:noProof/>
        </w:rPr>
        <w:t> </w:t>
      </w:r>
      <w:r w:rsidR="00B83C93" w:rsidRPr="008B4DA2">
        <w:rPr>
          <w:noProof/>
        </w:rPr>
        <w:t>war</w:t>
      </w:r>
      <w:r w:rsidRPr="008B4DA2">
        <w:rPr>
          <w:noProof/>
        </w:rPr>
        <w:t>unków, według których dana osoba jest uprawniona do kierowania pojazdami.</w:t>
      </w:r>
    </w:p>
    <w:p w:rsidR="00BD67F9" w:rsidRPr="008B4DA2" w:rsidRDefault="00DF60AC" w:rsidP="00DF60AC">
      <w:pPr>
        <w:pStyle w:val="ManualNumPar1"/>
        <w:rPr>
          <w:noProof/>
        </w:rPr>
      </w:pPr>
      <w:r w:rsidRPr="008B4DA2">
        <w:rPr>
          <w:noProof/>
        </w:rPr>
        <w:t>3.</w:t>
      </w:r>
      <w:r w:rsidRPr="008B4DA2">
        <w:rPr>
          <w:noProof/>
        </w:rPr>
        <w:tab/>
        <w:t>Państwa członkowskie nie mogą stosować wymogu posiadania przez wnioskodawcę fizycznego prawa jazdy albo mobilnego prawa jazdy jako warunku wstępnego przy wydawaniu, przedłużaniu okresu ważności, wydawaniu wtórnika lub wymianie prawa jazdy</w:t>
      </w:r>
      <w:r w:rsidR="00B83C93" w:rsidRPr="008B4DA2">
        <w:rPr>
          <w:noProof/>
        </w:rPr>
        <w:t xml:space="preserve"> w</w:t>
      </w:r>
      <w:r w:rsidR="00B83C93">
        <w:rPr>
          <w:noProof/>
        </w:rPr>
        <w:t> </w:t>
      </w:r>
      <w:r w:rsidR="00B83C93" w:rsidRPr="008B4DA2">
        <w:rPr>
          <w:noProof/>
        </w:rPr>
        <w:t>jeg</w:t>
      </w:r>
      <w:r w:rsidRPr="008B4DA2">
        <w:rPr>
          <w:noProof/>
        </w:rPr>
        <w:t>o drugiej postaci.</w:t>
      </w:r>
    </w:p>
    <w:p w:rsidR="00BD67F9" w:rsidRPr="008B4DA2" w:rsidRDefault="00DF60AC" w:rsidP="00DF60AC">
      <w:pPr>
        <w:pStyle w:val="ManualNumPar1"/>
        <w:rPr>
          <w:noProof/>
        </w:rPr>
      </w:pPr>
      <w:r w:rsidRPr="008B4DA2">
        <w:rPr>
          <w:noProof/>
        </w:rPr>
        <w:t>4.</w:t>
      </w:r>
      <w:r w:rsidRPr="008B4DA2">
        <w:rPr>
          <w:noProof/>
        </w:rPr>
        <w:tab/>
        <w:t>W terminie do [data przyjęcia + 4 lata] państwa członkowskie zapewnią, aby domyślnie wydawano wyłącznie mobilne prawa jazdy. Do tego czasu państwa członkowskie mają możliwość decydowania odnośnie do kwestii wydawania mobilnych praw jazdy.</w:t>
      </w:r>
    </w:p>
    <w:p w:rsidR="00BD67F9" w:rsidRPr="008B4DA2" w:rsidRDefault="00DF60AC" w:rsidP="00DF60AC">
      <w:pPr>
        <w:pStyle w:val="ManualNumPar1"/>
        <w:rPr>
          <w:noProof/>
        </w:rPr>
      </w:pPr>
      <w:r w:rsidRPr="008B4DA2">
        <w:rPr>
          <w:noProof/>
        </w:rPr>
        <w:t>5.</w:t>
      </w:r>
      <w:r w:rsidRPr="008B4DA2">
        <w:rPr>
          <w:noProof/>
        </w:rPr>
        <w:tab/>
        <w:t xml:space="preserve">Na zasadzie odstępstwa od </w:t>
      </w:r>
      <w:r w:rsidRPr="00B83C93">
        <w:rPr>
          <w:noProof/>
        </w:rPr>
        <w:t>ust.</w:t>
      </w:r>
      <w:r w:rsidR="00B83C93" w:rsidRPr="00B83C93">
        <w:rPr>
          <w:noProof/>
        </w:rPr>
        <w:t> </w:t>
      </w:r>
      <w:r w:rsidRPr="00B83C93">
        <w:rPr>
          <w:noProof/>
        </w:rPr>
        <w:t>4</w:t>
      </w:r>
      <w:r w:rsidRPr="008B4DA2">
        <w:rPr>
          <w:noProof/>
        </w:rPr>
        <w:t>, na życzenie wnioskodawcy, państwa członkowskie zapewniają możliwość wydania fizycznego prawa jazdy zamiast mobilnego prawa jazdy lub łącznie</w:t>
      </w:r>
      <w:r w:rsidR="00B83C93" w:rsidRPr="008B4DA2">
        <w:rPr>
          <w:noProof/>
        </w:rPr>
        <w:t xml:space="preserve"> z</w:t>
      </w:r>
      <w:r w:rsidR="00B83C93">
        <w:rPr>
          <w:noProof/>
        </w:rPr>
        <w:t> </w:t>
      </w:r>
      <w:r w:rsidR="00B83C93" w:rsidRPr="008B4DA2">
        <w:rPr>
          <w:noProof/>
        </w:rPr>
        <w:t>mob</w:t>
      </w:r>
      <w:r w:rsidRPr="008B4DA2">
        <w:rPr>
          <w:noProof/>
        </w:rPr>
        <w:t>ilnym prawem jazdy.</w:t>
      </w:r>
    </w:p>
    <w:p w:rsidR="00BD67F9" w:rsidRPr="008B4DA2" w:rsidRDefault="00DF60AC" w:rsidP="00DF60AC">
      <w:pPr>
        <w:pStyle w:val="ManualNumPar1"/>
        <w:rPr>
          <w:noProof/>
        </w:rPr>
      </w:pPr>
      <w:r w:rsidRPr="008B4DA2">
        <w:rPr>
          <w:noProof/>
        </w:rPr>
        <w:t>6.</w:t>
      </w:r>
      <w:r w:rsidRPr="008B4DA2">
        <w:rPr>
          <w:noProof/>
        </w:rPr>
        <w:tab/>
        <w:t>Prawa jazdy wydawane przez państwa członkowskie są wzajemnie uznawane.</w:t>
      </w:r>
    </w:p>
    <w:p w:rsidR="00BD67F9" w:rsidRPr="008B4DA2" w:rsidRDefault="00DF60AC" w:rsidP="00DF60AC">
      <w:pPr>
        <w:pStyle w:val="ManualNumPar1"/>
        <w:rPr>
          <w:noProof/>
        </w:rPr>
      </w:pPr>
      <w:r w:rsidRPr="008B4DA2">
        <w:rPr>
          <w:noProof/>
        </w:rPr>
        <w:t>7.</w:t>
      </w:r>
      <w:r w:rsidRPr="008B4DA2">
        <w:rPr>
          <w:noProof/>
        </w:rPr>
        <w:tab/>
        <w:t xml:space="preserve">Na zasadzie odstępstwa od </w:t>
      </w:r>
      <w:r w:rsidRPr="00B83C93">
        <w:rPr>
          <w:noProof/>
        </w:rPr>
        <w:t>ust.</w:t>
      </w:r>
      <w:r w:rsidR="00B83C93" w:rsidRPr="00B83C93">
        <w:rPr>
          <w:noProof/>
        </w:rPr>
        <w:t> </w:t>
      </w:r>
      <w:r w:rsidRPr="00B83C93">
        <w:rPr>
          <w:noProof/>
        </w:rPr>
        <w:t>6</w:t>
      </w:r>
      <w:r w:rsidRPr="008B4DA2">
        <w:rPr>
          <w:noProof/>
        </w:rPr>
        <w:t xml:space="preserve"> państwa członkowskie wzajemnie uznają wyłącznie mobilne prawa jazdy wydane po [data przyjęcia + 3 lata] zgodnie</w:t>
      </w:r>
      <w:r w:rsidR="00B83C93" w:rsidRPr="008B4DA2">
        <w:rPr>
          <w:noProof/>
        </w:rPr>
        <w:t xml:space="preserve"> z</w:t>
      </w:r>
      <w:r w:rsidR="00B83C93">
        <w:rPr>
          <w:noProof/>
        </w:rPr>
        <w:t> </w:t>
      </w:r>
      <w:r w:rsidR="00B83C93" w:rsidRPr="00B83C93">
        <w:rPr>
          <w:noProof/>
        </w:rPr>
        <w:t>art</w:t>
      </w:r>
      <w:r w:rsidRPr="00B83C93">
        <w:rPr>
          <w:noProof/>
        </w:rPr>
        <w:t>.</w:t>
      </w:r>
      <w:r w:rsidR="00B83C93" w:rsidRPr="00B83C93">
        <w:rPr>
          <w:noProof/>
        </w:rPr>
        <w:t> </w:t>
      </w:r>
      <w:r w:rsidRPr="00B83C93">
        <w:rPr>
          <w:noProof/>
        </w:rPr>
        <w:t>5</w:t>
      </w:r>
      <w:r w:rsidRPr="008B4DA2">
        <w:rPr>
          <w:noProof/>
        </w:rPr>
        <w:t>. Mobilne prawa jazdy, które zostały wydane przed tą datą, ale spełniają wymogi określone</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5</w:t>
      </w:r>
      <w:r w:rsidRPr="008B4DA2">
        <w:rPr>
          <w:noProof/>
        </w:rPr>
        <w:t>, są wzajemnie uznawane po tej dacie.</w:t>
      </w:r>
    </w:p>
    <w:p w:rsidR="00BD67F9" w:rsidRPr="008B4DA2" w:rsidRDefault="00BD67F9" w:rsidP="00BD67F9">
      <w:pPr>
        <w:pStyle w:val="Titrearticle"/>
        <w:rPr>
          <w:noProof/>
        </w:rPr>
      </w:pPr>
      <w:r w:rsidRPr="008B4DA2">
        <w:rPr>
          <w:noProof/>
        </w:rPr>
        <w:t>Artykuł 4</w:t>
      </w:r>
    </w:p>
    <w:p w:rsidR="00BD67F9" w:rsidRPr="008B4DA2" w:rsidRDefault="00BD67F9" w:rsidP="00BD67F9">
      <w:pPr>
        <w:pStyle w:val="Objetacteprincipal"/>
        <w:rPr>
          <w:noProof/>
        </w:rPr>
      </w:pPr>
      <w:r w:rsidRPr="008B4DA2">
        <w:rPr>
          <w:noProof/>
        </w:rPr>
        <w:t>Fizyczne prawa jazdy</w:t>
      </w:r>
    </w:p>
    <w:p w:rsidR="00BD67F9" w:rsidRPr="008B4DA2" w:rsidRDefault="00DF60AC" w:rsidP="00DF60AC">
      <w:pPr>
        <w:pStyle w:val="ManualNumPar1"/>
        <w:rPr>
          <w:noProof/>
        </w:rPr>
      </w:pPr>
      <w:r w:rsidRPr="008B4DA2">
        <w:rPr>
          <w:noProof/>
        </w:rPr>
        <w:t>1.</w:t>
      </w:r>
      <w:r w:rsidRPr="008B4DA2">
        <w:rPr>
          <w:noProof/>
        </w:rPr>
        <w:tab/>
        <w:t>Państwa członkowskie wydają fizyczne prawa jazdy na podstawie unijnej standardowej specyfikacji określonej</w:t>
      </w:r>
      <w:r w:rsidR="00B83C93" w:rsidRPr="008B4DA2">
        <w:rPr>
          <w:noProof/>
        </w:rPr>
        <w:t xml:space="preserve"> w</w:t>
      </w:r>
      <w:r w:rsidR="00B83C93">
        <w:rPr>
          <w:noProof/>
        </w:rPr>
        <w:t> </w:t>
      </w:r>
      <w:r w:rsidR="00B83C93" w:rsidRPr="008B4DA2">
        <w:rPr>
          <w:noProof/>
        </w:rPr>
        <w:t>zał</w:t>
      </w:r>
      <w:r w:rsidRPr="008B4DA2">
        <w:rPr>
          <w:noProof/>
        </w:rPr>
        <w:t>ączniku I część A1.</w:t>
      </w:r>
    </w:p>
    <w:p w:rsidR="00BD67F9" w:rsidRPr="008B4DA2" w:rsidRDefault="00DF60AC" w:rsidP="00DF60AC">
      <w:pPr>
        <w:pStyle w:val="ManualNumPar1"/>
        <w:rPr>
          <w:noProof/>
        </w:rPr>
      </w:pPr>
      <w:r w:rsidRPr="008B4DA2">
        <w:rPr>
          <w:noProof/>
        </w:rPr>
        <w:t>2.</w:t>
      </w:r>
      <w:r w:rsidRPr="008B4DA2">
        <w:rPr>
          <w:noProof/>
        </w:rPr>
        <w:tab/>
        <w:t>Państwa członkowskie podejmują wszelkie niezbędne kroki</w:t>
      </w:r>
      <w:r w:rsidR="00B83C93" w:rsidRPr="008B4DA2">
        <w:rPr>
          <w:noProof/>
        </w:rPr>
        <w:t xml:space="preserve"> w</w:t>
      </w:r>
      <w:r w:rsidR="00B83C93">
        <w:rPr>
          <w:noProof/>
        </w:rPr>
        <w:t> </w:t>
      </w:r>
      <w:r w:rsidR="00B83C93" w:rsidRPr="008B4DA2">
        <w:rPr>
          <w:noProof/>
        </w:rPr>
        <w:t>cel</w:t>
      </w:r>
      <w:r w:rsidRPr="008B4DA2">
        <w:rPr>
          <w:noProof/>
        </w:rPr>
        <w:t>u uniknięcia ryzyka fałszerstw praw jazdy,</w:t>
      </w:r>
      <w:r w:rsidR="00B83C93" w:rsidRPr="008B4DA2">
        <w:rPr>
          <w:noProof/>
        </w:rPr>
        <w:t xml:space="preserve"> w</w:t>
      </w:r>
      <w:r w:rsidR="00B83C93">
        <w:rPr>
          <w:noProof/>
        </w:rPr>
        <w:t> </w:t>
      </w:r>
      <w:r w:rsidR="00B83C93" w:rsidRPr="008B4DA2">
        <w:rPr>
          <w:noProof/>
        </w:rPr>
        <w:t>tym w</w:t>
      </w:r>
      <w:r w:rsidR="00B83C93">
        <w:rPr>
          <w:noProof/>
        </w:rPr>
        <w:t> </w:t>
      </w:r>
      <w:r w:rsidR="00B83C93" w:rsidRPr="008B4DA2">
        <w:rPr>
          <w:noProof/>
        </w:rPr>
        <w:t>odn</w:t>
      </w:r>
      <w:r w:rsidRPr="008B4DA2">
        <w:rPr>
          <w:noProof/>
        </w:rPr>
        <w:t>iesieniu do wzorów praw jazdy wydanych przed wejściem</w:t>
      </w:r>
      <w:r w:rsidR="00B83C93" w:rsidRPr="008B4DA2">
        <w:rPr>
          <w:noProof/>
        </w:rPr>
        <w:t xml:space="preserve"> w</w:t>
      </w:r>
      <w:r w:rsidR="00B83C93">
        <w:rPr>
          <w:noProof/>
        </w:rPr>
        <w:t> </w:t>
      </w:r>
      <w:r w:rsidR="00B83C93" w:rsidRPr="008B4DA2">
        <w:rPr>
          <w:noProof/>
        </w:rPr>
        <w:t>życ</w:t>
      </w:r>
      <w:r w:rsidRPr="008B4DA2">
        <w:rPr>
          <w:noProof/>
        </w:rPr>
        <w:t>ie niniejszej dyrektywy. Informują one</w:t>
      </w:r>
      <w:r w:rsidR="00B83C93" w:rsidRPr="008B4DA2">
        <w:rPr>
          <w:noProof/>
        </w:rPr>
        <w:t xml:space="preserve"> o</w:t>
      </w:r>
      <w:r w:rsidR="00B83C93">
        <w:rPr>
          <w:noProof/>
        </w:rPr>
        <w:t> </w:t>
      </w:r>
      <w:r w:rsidR="00B83C93" w:rsidRPr="008B4DA2">
        <w:rPr>
          <w:noProof/>
        </w:rPr>
        <w:t>tym</w:t>
      </w:r>
      <w:r w:rsidRPr="008B4DA2">
        <w:rPr>
          <w:noProof/>
        </w:rPr>
        <w:t xml:space="preserve"> Komisję.</w:t>
      </w:r>
    </w:p>
    <w:p w:rsidR="00BD67F9" w:rsidRPr="008B4DA2" w:rsidRDefault="00BD67F9" w:rsidP="00BD67F9">
      <w:pPr>
        <w:pStyle w:val="Text1"/>
        <w:rPr>
          <w:noProof/>
        </w:rPr>
      </w:pPr>
      <w:r w:rsidRPr="008B4DA2">
        <w:rPr>
          <w:noProof/>
        </w:rPr>
        <w:t>Fizyczne prawo jazdy musi być zabezpieczone przed fałszerstwami za pomocą unijnej standardowej specyfikacji określonej</w:t>
      </w:r>
      <w:r w:rsidR="00B83C93" w:rsidRPr="008B4DA2">
        <w:rPr>
          <w:noProof/>
        </w:rPr>
        <w:t xml:space="preserve"> w</w:t>
      </w:r>
      <w:r w:rsidR="00B83C93">
        <w:rPr>
          <w:noProof/>
        </w:rPr>
        <w:t> </w:t>
      </w:r>
      <w:r w:rsidR="00B83C93" w:rsidRPr="008B4DA2">
        <w:rPr>
          <w:noProof/>
        </w:rPr>
        <w:t>zał</w:t>
      </w:r>
      <w:r w:rsidRPr="008B4DA2">
        <w:rPr>
          <w:noProof/>
        </w:rPr>
        <w:t>ączniku I część A2. Państwa członkowskie mogą stosować dodatkowe zabezpieczenia.</w:t>
      </w:r>
    </w:p>
    <w:p w:rsidR="00BD67F9" w:rsidRPr="008B4DA2" w:rsidRDefault="00DF60AC" w:rsidP="00DF60AC">
      <w:pPr>
        <w:pStyle w:val="ManualNumPar1"/>
        <w:rPr>
          <w:noProof/>
        </w:rPr>
      </w:pPr>
      <w:r w:rsidRPr="008B4DA2">
        <w:rPr>
          <w:noProof/>
        </w:rPr>
        <w:t>3.</w:t>
      </w:r>
      <w:r w:rsidRPr="008B4DA2">
        <w:rPr>
          <w:noProof/>
        </w:rPr>
        <w:tab/>
        <w:t>Jeżeli posiadacz ważnego fizycznego prawa jazdy bez administracyjnego okresu ważności ustanawia miejsce stałego zamieszkania</w:t>
      </w:r>
      <w:r w:rsidR="00B83C93" w:rsidRPr="008B4DA2">
        <w:rPr>
          <w:noProof/>
        </w:rPr>
        <w:t xml:space="preserve"> w</w:t>
      </w:r>
      <w:r w:rsidR="00B83C93">
        <w:rPr>
          <w:noProof/>
        </w:rPr>
        <w:t> </w:t>
      </w:r>
      <w:r w:rsidR="00B83C93" w:rsidRPr="008B4DA2">
        <w:rPr>
          <w:noProof/>
        </w:rPr>
        <w:t>pań</w:t>
      </w:r>
      <w:r w:rsidRPr="008B4DA2">
        <w:rPr>
          <w:noProof/>
        </w:rPr>
        <w:t>stwie członkowskim innym niż państwo, które wydało prawo jazdy, to przyjmujące państwo członkowskie może stosować do tego prawa jazdy administracyjne okresy ważności,</w:t>
      </w:r>
      <w:r w:rsidR="00B83C93" w:rsidRPr="008B4DA2">
        <w:rPr>
          <w:noProof/>
        </w:rPr>
        <w:t xml:space="preserve"> o</w:t>
      </w:r>
      <w:r w:rsidR="00B83C93">
        <w:rPr>
          <w:noProof/>
        </w:rPr>
        <w:t> </w:t>
      </w:r>
      <w:r w:rsidR="00B83C93" w:rsidRPr="008B4DA2">
        <w:rPr>
          <w:noProof/>
        </w:rPr>
        <w:t>któ</w:t>
      </w:r>
      <w:r w:rsidRPr="008B4DA2">
        <w:rPr>
          <w:noProof/>
        </w:rPr>
        <w:t>rych mowa</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1</w:t>
      </w:r>
      <w:r w:rsidRPr="008B4DA2">
        <w:rPr>
          <w:noProof/>
        </w:rPr>
        <w:t xml:space="preserve">0 </w:t>
      </w:r>
      <w:r w:rsidRPr="00B83C93">
        <w:rPr>
          <w:noProof/>
        </w:rPr>
        <w:t>ust.</w:t>
      </w:r>
      <w:r w:rsidR="00B83C93" w:rsidRPr="00B83C93">
        <w:rPr>
          <w:noProof/>
        </w:rPr>
        <w:t> </w:t>
      </w:r>
      <w:r w:rsidRPr="00B83C93">
        <w:rPr>
          <w:noProof/>
        </w:rPr>
        <w:t>2</w:t>
      </w:r>
      <w:r w:rsidRPr="008B4DA2">
        <w:rPr>
          <w:noProof/>
        </w:rPr>
        <w:t>,</w:t>
      </w:r>
      <w:r w:rsidR="00B83C93" w:rsidRPr="008B4DA2">
        <w:rPr>
          <w:noProof/>
        </w:rPr>
        <w:t xml:space="preserve"> w</w:t>
      </w:r>
      <w:r w:rsidR="00B83C93">
        <w:rPr>
          <w:noProof/>
        </w:rPr>
        <w:t> </w:t>
      </w:r>
      <w:r w:rsidR="00B83C93" w:rsidRPr="008B4DA2">
        <w:rPr>
          <w:noProof/>
        </w:rPr>
        <w:t>dro</w:t>
      </w:r>
      <w:r w:rsidRPr="008B4DA2">
        <w:rPr>
          <w:noProof/>
        </w:rPr>
        <w:t>dze przedłużenia okresu ważności prawa jazdy, po upływie dwóch lat od dnia, od którego posiadacz prawa jazdy ustanowił miejsce stałego zamieszkania na jego terytorium.</w:t>
      </w:r>
    </w:p>
    <w:p w:rsidR="00BD67F9" w:rsidRPr="008B4DA2" w:rsidRDefault="00DF60AC" w:rsidP="00DF60AC">
      <w:pPr>
        <w:pStyle w:val="ManualNumPar1"/>
        <w:rPr>
          <w:noProof/>
        </w:rPr>
      </w:pPr>
      <w:r w:rsidRPr="008B4DA2">
        <w:rPr>
          <w:noProof/>
        </w:rPr>
        <w:t>4.</w:t>
      </w:r>
      <w:r w:rsidRPr="008B4DA2">
        <w:rPr>
          <w:noProof/>
        </w:rPr>
        <w:tab/>
        <w:t>Państwa członkowskie zapewniają, aby do dnia 19 stycznia 20</w:t>
      </w:r>
      <w:r w:rsidRPr="00B83C93">
        <w:rPr>
          <w:noProof/>
        </w:rPr>
        <w:t>30</w:t>
      </w:r>
      <w:r w:rsidR="00B83C93" w:rsidRPr="00B83C93">
        <w:rPr>
          <w:noProof/>
        </w:rPr>
        <w:t> </w:t>
      </w:r>
      <w:r w:rsidRPr="00B83C93">
        <w:rPr>
          <w:noProof/>
        </w:rPr>
        <w:t>r.</w:t>
      </w:r>
      <w:r w:rsidRPr="008B4DA2">
        <w:rPr>
          <w:noProof/>
        </w:rPr>
        <w:t>, wszystkie fizyczne prawa jazdy wydawane lub znajdujące się</w:t>
      </w:r>
      <w:r w:rsidR="00B83C93" w:rsidRPr="008B4DA2">
        <w:rPr>
          <w:noProof/>
        </w:rPr>
        <w:t xml:space="preserve"> w</w:t>
      </w:r>
      <w:r w:rsidR="00B83C93">
        <w:rPr>
          <w:noProof/>
        </w:rPr>
        <w:t> </w:t>
      </w:r>
      <w:r w:rsidR="00B83C93" w:rsidRPr="008B4DA2">
        <w:rPr>
          <w:noProof/>
        </w:rPr>
        <w:t>obi</w:t>
      </w:r>
      <w:r w:rsidRPr="008B4DA2">
        <w:rPr>
          <w:noProof/>
        </w:rPr>
        <w:t>egu spełniały wszystkie wymogi niniejszej dyrektywy.</w:t>
      </w:r>
    </w:p>
    <w:p w:rsidR="00BD67F9" w:rsidRPr="008B4DA2" w:rsidRDefault="00DF60AC" w:rsidP="00DF60AC">
      <w:pPr>
        <w:pStyle w:val="ManualNumPar1"/>
        <w:rPr>
          <w:noProof/>
        </w:rPr>
      </w:pPr>
      <w:r w:rsidRPr="008B4DA2">
        <w:rPr>
          <w:noProof/>
        </w:rPr>
        <w:t>5.</w:t>
      </w:r>
      <w:r w:rsidRPr="008B4DA2">
        <w:rPr>
          <w:noProof/>
        </w:rPr>
        <w:tab/>
        <w:t>Państwa członkowskie mogą zdecydować</w:t>
      </w:r>
      <w:r w:rsidR="00B83C93" w:rsidRPr="008B4DA2">
        <w:rPr>
          <w:noProof/>
        </w:rPr>
        <w:t xml:space="preserve"> o</w:t>
      </w:r>
      <w:r w:rsidR="00B83C93">
        <w:rPr>
          <w:noProof/>
        </w:rPr>
        <w:t> </w:t>
      </w:r>
      <w:r w:rsidR="00B83C93" w:rsidRPr="008B4DA2">
        <w:rPr>
          <w:noProof/>
        </w:rPr>
        <w:t>wpr</w:t>
      </w:r>
      <w:r w:rsidRPr="008B4DA2">
        <w:rPr>
          <w:noProof/>
        </w:rPr>
        <w:t>owadzeniu nośnika danych (mikroczipa) jako elementu fizycznego prawa jazdy</w:t>
      </w:r>
      <w:r w:rsidR="00B83C93" w:rsidRPr="008B4DA2">
        <w:rPr>
          <w:noProof/>
        </w:rPr>
        <w:t>. W</w:t>
      </w:r>
      <w:r w:rsidR="00B83C93">
        <w:rPr>
          <w:noProof/>
        </w:rPr>
        <w:t> </w:t>
      </w:r>
      <w:r w:rsidR="00B83C93" w:rsidRPr="008B4DA2">
        <w:rPr>
          <w:noProof/>
        </w:rPr>
        <w:t>prz</w:t>
      </w:r>
      <w:r w:rsidRPr="008B4DA2">
        <w:rPr>
          <w:noProof/>
        </w:rPr>
        <w:t>ypadku gdy państwo członkowskie decyduje się na zastosowanie mikroczipa jako elementu krajowego fizycznego prawa jazdy, wówczas może również zdecydować</w:t>
      </w:r>
      <w:r w:rsidR="00B83C93" w:rsidRPr="008B4DA2">
        <w:rPr>
          <w:noProof/>
        </w:rPr>
        <w:t xml:space="preserve"> o</w:t>
      </w:r>
      <w:r w:rsidR="00B83C93">
        <w:rPr>
          <w:noProof/>
        </w:rPr>
        <w:t> </w:t>
      </w:r>
      <w:r w:rsidR="00B83C93" w:rsidRPr="008B4DA2">
        <w:rPr>
          <w:noProof/>
        </w:rPr>
        <w:t>prz</w:t>
      </w:r>
      <w:r w:rsidRPr="008B4DA2">
        <w:rPr>
          <w:noProof/>
        </w:rPr>
        <w:t>echowywaniu na mikroczipie danych dodatkowych względem danych określonych</w:t>
      </w:r>
      <w:r w:rsidR="00B83C93" w:rsidRPr="008B4DA2">
        <w:rPr>
          <w:noProof/>
        </w:rPr>
        <w:t xml:space="preserve"> w</w:t>
      </w:r>
      <w:r w:rsidR="00B83C93">
        <w:rPr>
          <w:noProof/>
        </w:rPr>
        <w:t> </w:t>
      </w:r>
      <w:r w:rsidR="00B83C93" w:rsidRPr="008B4DA2">
        <w:rPr>
          <w:noProof/>
        </w:rPr>
        <w:t>zał</w:t>
      </w:r>
      <w:r w:rsidRPr="008B4DA2">
        <w:rPr>
          <w:noProof/>
        </w:rPr>
        <w:t>ączniku I część D, jeżeli taką możliwość przewidziano</w:t>
      </w:r>
      <w:r w:rsidR="00B83C93" w:rsidRPr="008B4DA2">
        <w:rPr>
          <w:noProof/>
        </w:rPr>
        <w:t xml:space="preserve"> w</w:t>
      </w:r>
      <w:r w:rsidR="00B83C93">
        <w:rPr>
          <w:noProof/>
        </w:rPr>
        <w:t> </w:t>
      </w:r>
      <w:r w:rsidR="00B83C93" w:rsidRPr="008B4DA2">
        <w:rPr>
          <w:noProof/>
        </w:rPr>
        <w:t>jeg</w:t>
      </w:r>
      <w:r w:rsidRPr="008B4DA2">
        <w:rPr>
          <w:noProof/>
        </w:rPr>
        <w:t>o przepisach krajowych dotyczących praw jazdy.</w:t>
      </w:r>
    </w:p>
    <w:p w:rsidR="00BD67F9" w:rsidRPr="008B4DA2" w:rsidRDefault="00BD67F9" w:rsidP="007F5A7D">
      <w:pPr>
        <w:pStyle w:val="Text1"/>
        <w:rPr>
          <w:noProof/>
        </w:rPr>
      </w:pPr>
      <w:r w:rsidRPr="008B4DA2">
        <w:rPr>
          <w:noProof/>
        </w:rPr>
        <w:t>Jeżeli państwa członkowskie przewidują wykorzystanie mikroczipa jako elementu fizycznego prawa jazdy, stosują wówczas wymagania techniczne określone</w:t>
      </w:r>
      <w:r w:rsidR="00B83C93" w:rsidRPr="008B4DA2">
        <w:rPr>
          <w:noProof/>
        </w:rPr>
        <w:t xml:space="preserve"> w</w:t>
      </w:r>
      <w:r w:rsidR="00B83C93">
        <w:rPr>
          <w:noProof/>
        </w:rPr>
        <w:t> </w:t>
      </w:r>
      <w:r w:rsidR="00B83C93" w:rsidRPr="008B4DA2">
        <w:rPr>
          <w:noProof/>
        </w:rPr>
        <w:t>zał</w:t>
      </w:r>
      <w:r w:rsidRPr="008B4DA2">
        <w:rPr>
          <w:noProof/>
        </w:rPr>
        <w:t>ączniku I część B. Państwa członkowskie mogą stosować dodatkowe zabezpieczenia.</w:t>
      </w:r>
    </w:p>
    <w:p w:rsidR="00BD67F9" w:rsidRPr="008B4DA2" w:rsidRDefault="00BD67F9" w:rsidP="007F5A7D">
      <w:pPr>
        <w:pStyle w:val="Text1"/>
        <w:rPr>
          <w:noProof/>
        </w:rPr>
      </w:pPr>
      <w:r w:rsidRPr="008B4DA2">
        <w:rPr>
          <w:noProof/>
        </w:rPr>
        <w:t>Państwa członkowskie informują Komisję</w:t>
      </w:r>
      <w:r w:rsidR="00B83C93" w:rsidRPr="008B4DA2">
        <w:rPr>
          <w:noProof/>
        </w:rPr>
        <w:t xml:space="preserve"> o</w:t>
      </w:r>
      <w:r w:rsidR="00B83C93">
        <w:rPr>
          <w:noProof/>
        </w:rPr>
        <w:t> </w:t>
      </w:r>
      <w:r w:rsidR="00B83C93" w:rsidRPr="008B4DA2">
        <w:rPr>
          <w:noProof/>
        </w:rPr>
        <w:t>pod</w:t>
      </w:r>
      <w:r w:rsidRPr="008B4DA2">
        <w:rPr>
          <w:noProof/>
        </w:rPr>
        <w:t>jęciu decyzji</w:t>
      </w:r>
      <w:r w:rsidR="00B83C93" w:rsidRPr="008B4DA2">
        <w:rPr>
          <w:noProof/>
        </w:rPr>
        <w:t xml:space="preserve"> o</w:t>
      </w:r>
      <w:r w:rsidR="00B83C93">
        <w:rPr>
          <w:noProof/>
        </w:rPr>
        <w:t> </w:t>
      </w:r>
      <w:r w:rsidR="00B83C93" w:rsidRPr="008B4DA2">
        <w:rPr>
          <w:noProof/>
        </w:rPr>
        <w:t>zas</w:t>
      </w:r>
      <w:r w:rsidRPr="008B4DA2">
        <w:rPr>
          <w:noProof/>
        </w:rPr>
        <w:t>tosowaniu mikroczipa</w:t>
      </w:r>
      <w:r w:rsidR="00B83C93" w:rsidRPr="008B4DA2">
        <w:rPr>
          <w:noProof/>
        </w:rPr>
        <w:t xml:space="preserve"> w</w:t>
      </w:r>
      <w:r w:rsidR="00B83C93">
        <w:rPr>
          <w:noProof/>
        </w:rPr>
        <w:t> </w:t>
      </w:r>
      <w:r w:rsidR="00B83C93" w:rsidRPr="008B4DA2">
        <w:rPr>
          <w:noProof/>
        </w:rPr>
        <w:t>fiz</w:t>
      </w:r>
      <w:r w:rsidRPr="008B4DA2">
        <w:rPr>
          <w:noProof/>
        </w:rPr>
        <w:t>ycznych prawach jazdy, bądź</w:t>
      </w:r>
      <w:r w:rsidR="00B83C93" w:rsidRPr="008B4DA2">
        <w:rPr>
          <w:noProof/>
        </w:rPr>
        <w:t xml:space="preserve"> o</w:t>
      </w:r>
      <w:r w:rsidR="00B83C93">
        <w:rPr>
          <w:noProof/>
        </w:rPr>
        <w:t> </w:t>
      </w:r>
      <w:r w:rsidR="00B83C93" w:rsidRPr="008B4DA2">
        <w:rPr>
          <w:noProof/>
        </w:rPr>
        <w:t>każ</w:t>
      </w:r>
      <w:r w:rsidRPr="008B4DA2">
        <w:rPr>
          <w:noProof/>
        </w:rPr>
        <w:t>dej zmianie dotyczącej takiej decyzji,</w:t>
      </w:r>
      <w:r w:rsidR="00B83C93" w:rsidRPr="008B4DA2">
        <w:rPr>
          <w:noProof/>
        </w:rPr>
        <w:t xml:space="preserve"> w</w:t>
      </w:r>
      <w:r w:rsidR="00B83C93">
        <w:rPr>
          <w:noProof/>
        </w:rPr>
        <w:t> </w:t>
      </w:r>
      <w:r w:rsidR="00B83C93" w:rsidRPr="008B4DA2">
        <w:rPr>
          <w:noProof/>
        </w:rPr>
        <w:t>ter</w:t>
      </w:r>
      <w:r w:rsidRPr="008B4DA2">
        <w:rPr>
          <w:noProof/>
        </w:rPr>
        <w:t>minie trzech miesięcy od jej przyjęcia. Państwa członkowskie, które już stosują mikroczip jako element fizycznych praw jazdy, informują</w:t>
      </w:r>
      <w:r w:rsidR="00B83C93" w:rsidRPr="008B4DA2">
        <w:rPr>
          <w:noProof/>
        </w:rPr>
        <w:t xml:space="preserve"> o</w:t>
      </w:r>
      <w:r w:rsidR="00B83C93">
        <w:rPr>
          <w:noProof/>
        </w:rPr>
        <w:t> </w:t>
      </w:r>
      <w:r w:rsidR="00B83C93" w:rsidRPr="008B4DA2">
        <w:rPr>
          <w:noProof/>
        </w:rPr>
        <w:t>tym</w:t>
      </w:r>
      <w:r w:rsidRPr="008B4DA2">
        <w:rPr>
          <w:noProof/>
        </w:rPr>
        <w:t xml:space="preserve"> fakcie Komisję</w:t>
      </w:r>
      <w:r w:rsidR="00B83C93" w:rsidRPr="008B4DA2">
        <w:rPr>
          <w:noProof/>
        </w:rPr>
        <w:t xml:space="preserve"> w</w:t>
      </w:r>
      <w:r w:rsidR="00B83C93">
        <w:rPr>
          <w:noProof/>
        </w:rPr>
        <w:t> </w:t>
      </w:r>
      <w:r w:rsidR="00B83C93" w:rsidRPr="008B4DA2">
        <w:rPr>
          <w:noProof/>
        </w:rPr>
        <w:t>ter</w:t>
      </w:r>
      <w:r w:rsidRPr="008B4DA2">
        <w:rPr>
          <w:noProof/>
        </w:rPr>
        <w:t>minie trzech miesięcy od wejścia</w:t>
      </w:r>
      <w:r w:rsidR="00B83C93" w:rsidRPr="008B4DA2">
        <w:rPr>
          <w:noProof/>
        </w:rPr>
        <w:t xml:space="preserve"> w</w:t>
      </w:r>
      <w:r w:rsidR="00B83C93">
        <w:rPr>
          <w:noProof/>
        </w:rPr>
        <w:t> </w:t>
      </w:r>
      <w:r w:rsidR="00B83C93" w:rsidRPr="008B4DA2">
        <w:rPr>
          <w:noProof/>
        </w:rPr>
        <w:t>życ</w:t>
      </w:r>
      <w:r w:rsidRPr="008B4DA2">
        <w:rPr>
          <w:noProof/>
        </w:rPr>
        <w:t xml:space="preserve">ie niniejszej dyrektywy.   </w:t>
      </w:r>
    </w:p>
    <w:p w:rsidR="00BD67F9" w:rsidRPr="008B4DA2" w:rsidRDefault="00DF60AC" w:rsidP="00DF60AC">
      <w:pPr>
        <w:pStyle w:val="ManualNumPar1"/>
        <w:rPr>
          <w:noProof/>
        </w:rPr>
      </w:pPr>
      <w:r w:rsidRPr="008B4DA2">
        <w:rPr>
          <w:noProof/>
        </w:rPr>
        <w:t>6.</w:t>
      </w:r>
      <w:r w:rsidRPr="008B4DA2">
        <w:rPr>
          <w:noProof/>
        </w:rPr>
        <w:tab/>
        <w:t>Jeżeli mikroczipa nie stosuje się jako elementu fizycznego prawa jazdy, państwa członkowskie mogą również zdecydować</w:t>
      </w:r>
      <w:r w:rsidR="00B83C93" w:rsidRPr="008B4DA2">
        <w:rPr>
          <w:noProof/>
        </w:rPr>
        <w:t xml:space="preserve"> o</w:t>
      </w:r>
      <w:r w:rsidR="00B83C93">
        <w:rPr>
          <w:noProof/>
        </w:rPr>
        <w:t> </w:t>
      </w:r>
      <w:r w:rsidR="00B83C93" w:rsidRPr="008B4DA2">
        <w:rPr>
          <w:noProof/>
        </w:rPr>
        <w:t>umi</w:t>
      </w:r>
      <w:r w:rsidRPr="008B4DA2">
        <w:rPr>
          <w:noProof/>
        </w:rPr>
        <w:t>eszczeniu nadruku kodu QR</w:t>
      </w:r>
      <w:r w:rsidR="00B83C93" w:rsidRPr="008B4DA2">
        <w:rPr>
          <w:noProof/>
        </w:rPr>
        <w:t xml:space="preserve"> w</w:t>
      </w:r>
      <w:r w:rsidR="00B83C93">
        <w:rPr>
          <w:noProof/>
        </w:rPr>
        <w:t> </w:t>
      </w:r>
      <w:r w:rsidR="00B83C93" w:rsidRPr="008B4DA2">
        <w:rPr>
          <w:noProof/>
        </w:rPr>
        <w:t>prz</w:t>
      </w:r>
      <w:r w:rsidRPr="008B4DA2">
        <w:rPr>
          <w:noProof/>
        </w:rPr>
        <w:t>eznaczonym do tego celu miejscu na wydawanych przez nie fizycznych prawach jazdy. Kod QR musi pozwalać na weryfikację autentyczności informacji zawartych</w:t>
      </w:r>
      <w:r w:rsidR="00B83C93" w:rsidRPr="008B4DA2">
        <w:rPr>
          <w:noProof/>
        </w:rPr>
        <w:t xml:space="preserve"> w</w:t>
      </w:r>
      <w:r w:rsidR="00B83C93">
        <w:rPr>
          <w:noProof/>
        </w:rPr>
        <w:t> </w:t>
      </w:r>
      <w:r w:rsidR="00B83C93" w:rsidRPr="008B4DA2">
        <w:rPr>
          <w:noProof/>
        </w:rPr>
        <w:t>fiz</w:t>
      </w:r>
      <w:r w:rsidRPr="008B4DA2">
        <w:rPr>
          <w:noProof/>
        </w:rPr>
        <w:t xml:space="preserve">ycznym prawie jazdy. </w:t>
      </w:r>
    </w:p>
    <w:p w:rsidR="00BD67F9" w:rsidRPr="008B4DA2" w:rsidRDefault="00DF60AC" w:rsidP="00DF60AC">
      <w:pPr>
        <w:pStyle w:val="ManualNumPar1"/>
        <w:rPr>
          <w:noProof/>
        </w:rPr>
      </w:pPr>
      <w:r w:rsidRPr="008B4DA2">
        <w:rPr>
          <w:noProof/>
        </w:rPr>
        <w:t>7.</w:t>
      </w:r>
      <w:r w:rsidRPr="008B4DA2">
        <w:rPr>
          <w:noProof/>
        </w:rPr>
        <w:tab/>
        <w:t>Państwa członkowskie zapewniają, aby dane osobowe niezbędne do weryfikacji informacji zawartych</w:t>
      </w:r>
      <w:r w:rsidR="00B83C93" w:rsidRPr="008B4DA2">
        <w:rPr>
          <w:noProof/>
        </w:rPr>
        <w:t xml:space="preserve"> w</w:t>
      </w:r>
      <w:r w:rsidR="00B83C93">
        <w:rPr>
          <w:noProof/>
        </w:rPr>
        <w:t> </w:t>
      </w:r>
      <w:r w:rsidR="00B83C93" w:rsidRPr="008B4DA2">
        <w:rPr>
          <w:noProof/>
        </w:rPr>
        <w:t>fiz</w:t>
      </w:r>
      <w:r w:rsidRPr="008B4DA2">
        <w:rPr>
          <w:noProof/>
        </w:rPr>
        <w:t>ycznym prawie jazdy nie były zatrzymywane przez sprawdzającego,</w:t>
      </w:r>
      <w:r w:rsidR="00B83C93" w:rsidRPr="008B4DA2">
        <w:rPr>
          <w:noProof/>
        </w:rPr>
        <w:t xml:space="preserve"> a</w:t>
      </w:r>
      <w:r w:rsidR="00B83C93">
        <w:rPr>
          <w:noProof/>
        </w:rPr>
        <w:t> </w:t>
      </w:r>
      <w:r w:rsidR="00B83C93" w:rsidRPr="008B4DA2">
        <w:rPr>
          <w:noProof/>
        </w:rPr>
        <w:t>org</w:t>
      </w:r>
      <w:r w:rsidRPr="008B4DA2">
        <w:rPr>
          <w:noProof/>
        </w:rPr>
        <w:t>an wydający prawo jazdy nie był informowany</w:t>
      </w:r>
      <w:r w:rsidR="00B83C93" w:rsidRPr="008B4DA2">
        <w:rPr>
          <w:noProof/>
        </w:rPr>
        <w:t xml:space="preserve"> o</w:t>
      </w:r>
      <w:r w:rsidR="00B83C93">
        <w:rPr>
          <w:noProof/>
        </w:rPr>
        <w:t> </w:t>
      </w:r>
      <w:r w:rsidR="00B83C93" w:rsidRPr="008B4DA2">
        <w:rPr>
          <w:noProof/>
        </w:rPr>
        <w:t>tym</w:t>
      </w:r>
      <w:r w:rsidRPr="008B4DA2">
        <w:rPr>
          <w:noProof/>
        </w:rPr>
        <w:t xml:space="preserve"> procesie weryfikacji.</w:t>
      </w:r>
    </w:p>
    <w:p w:rsidR="00BD67F9" w:rsidRPr="008B4DA2" w:rsidRDefault="00BD67F9" w:rsidP="00BD67F9">
      <w:pPr>
        <w:pStyle w:val="Text1"/>
        <w:rPr>
          <w:noProof/>
        </w:rPr>
      </w:pPr>
      <w:r w:rsidRPr="008B4DA2">
        <w:rPr>
          <w:noProof/>
        </w:rPr>
        <w:t>Komisja przyjmuje akty wykonawcze określające szczegółowe przepisy dotyczące elementów interoperacyjności</w:t>
      </w:r>
      <w:r w:rsidR="00B83C93" w:rsidRPr="008B4DA2">
        <w:rPr>
          <w:noProof/>
        </w:rPr>
        <w:t xml:space="preserve"> i</w:t>
      </w:r>
      <w:r w:rsidR="00B83C93">
        <w:rPr>
          <w:noProof/>
        </w:rPr>
        <w:t> </w:t>
      </w:r>
      <w:r w:rsidR="00B83C93" w:rsidRPr="008B4DA2">
        <w:rPr>
          <w:noProof/>
        </w:rPr>
        <w:t>śro</w:t>
      </w:r>
      <w:r w:rsidRPr="008B4DA2">
        <w:rPr>
          <w:noProof/>
        </w:rPr>
        <w:t>dków bezpieczeństwa, które należy stosować</w:t>
      </w:r>
      <w:r w:rsidR="00B83C93" w:rsidRPr="008B4DA2">
        <w:rPr>
          <w:noProof/>
        </w:rPr>
        <w:t xml:space="preserve"> w</w:t>
      </w:r>
      <w:r w:rsidR="00B83C93">
        <w:rPr>
          <w:noProof/>
        </w:rPr>
        <w:t> </w:t>
      </w:r>
      <w:r w:rsidR="00B83C93" w:rsidRPr="008B4DA2">
        <w:rPr>
          <w:noProof/>
        </w:rPr>
        <w:t>prz</w:t>
      </w:r>
      <w:r w:rsidRPr="008B4DA2">
        <w:rPr>
          <w:noProof/>
        </w:rPr>
        <w:t>ypadku kodów QR nadrukowywanych na fizycznych prawach jazdy. Te akty wykonawcze przyjmuje się zgodnie</w:t>
      </w:r>
      <w:r w:rsidR="00B83C93" w:rsidRPr="008B4DA2">
        <w:rPr>
          <w:noProof/>
        </w:rPr>
        <w:t xml:space="preserve"> z</w:t>
      </w:r>
      <w:r w:rsidR="00B83C93">
        <w:rPr>
          <w:noProof/>
        </w:rPr>
        <w:t> </w:t>
      </w:r>
      <w:r w:rsidR="00B83C93" w:rsidRPr="008B4DA2">
        <w:rPr>
          <w:noProof/>
        </w:rPr>
        <w:t>pro</w:t>
      </w:r>
      <w:r w:rsidRPr="008B4DA2">
        <w:rPr>
          <w:noProof/>
        </w:rPr>
        <w:t>cedurą sprawdzającą,</w:t>
      </w:r>
      <w:r w:rsidR="00B83C93" w:rsidRPr="008B4DA2">
        <w:rPr>
          <w:noProof/>
        </w:rPr>
        <w:t xml:space="preserve"> o</w:t>
      </w:r>
      <w:r w:rsidR="00B83C93">
        <w:rPr>
          <w:noProof/>
        </w:rPr>
        <w:t> </w:t>
      </w:r>
      <w:r w:rsidR="00B83C93" w:rsidRPr="008B4DA2">
        <w:rPr>
          <w:noProof/>
        </w:rPr>
        <w:t>któ</w:t>
      </w:r>
      <w:r w:rsidRPr="008B4DA2">
        <w:rPr>
          <w:noProof/>
        </w:rPr>
        <w:t>rej mowa</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2</w:t>
      </w:r>
      <w:r w:rsidRPr="008B4DA2">
        <w:rPr>
          <w:noProof/>
        </w:rPr>
        <w:t xml:space="preserve">2 </w:t>
      </w:r>
      <w:r w:rsidRPr="00B83C93">
        <w:rPr>
          <w:noProof/>
        </w:rPr>
        <w:t>ust.</w:t>
      </w:r>
      <w:r w:rsidR="00B83C93" w:rsidRPr="00B83C93">
        <w:rPr>
          <w:noProof/>
        </w:rPr>
        <w:t> </w:t>
      </w:r>
      <w:r w:rsidRPr="00B83C93">
        <w:rPr>
          <w:noProof/>
        </w:rPr>
        <w:t>2</w:t>
      </w:r>
      <w:r w:rsidRPr="008B4DA2">
        <w:rPr>
          <w:noProof/>
        </w:rPr>
        <w:t>.</w:t>
      </w:r>
    </w:p>
    <w:p w:rsidR="00BD67F9" w:rsidRPr="008B4DA2" w:rsidRDefault="00BD67F9" w:rsidP="005B2A2F">
      <w:pPr>
        <w:pStyle w:val="Text1"/>
        <w:rPr>
          <w:noProof/>
        </w:rPr>
      </w:pPr>
      <w:r w:rsidRPr="008B4DA2">
        <w:rPr>
          <w:noProof/>
        </w:rPr>
        <w:t>Państwa członkowskie informują Komisję</w:t>
      </w:r>
      <w:r w:rsidR="00B83C93" w:rsidRPr="008B4DA2">
        <w:rPr>
          <w:noProof/>
        </w:rPr>
        <w:t xml:space="preserve"> o</w:t>
      </w:r>
      <w:r w:rsidR="00B83C93">
        <w:rPr>
          <w:noProof/>
        </w:rPr>
        <w:t> </w:t>
      </w:r>
      <w:r w:rsidR="00B83C93" w:rsidRPr="008B4DA2">
        <w:rPr>
          <w:noProof/>
        </w:rPr>
        <w:t>każ</w:t>
      </w:r>
      <w:r w:rsidRPr="008B4DA2">
        <w:rPr>
          <w:noProof/>
        </w:rPr>
        <w:t>dym środku służącym umieszczeniu kodu QR na wydanych przez nie prawach jazdy, bądź</w:t>
      </w:r>
      <w:r w:rsidR="00B83C93" w:rsidRPr="008B4DA2">
        <w:rPr>
          <w:noProof/>
        </w:rPr>
        <w:t xml:space="preserve"> o</w:t>
      </w:r>
      <w:r w:rsidR="00B83C93">
        <w:rPr>
          <w:noProof/>
        </w:rPr>
        <w:t> </w:t>
      </w:r>
      <w:r w:rsidR="00B83C93" w:rsidRPr="008B4DA2">
        <w:rPr>
          <w:noProof/>
        </w:rPr>
        <w:t>każ</w:t>
      </w:r>
      <w:r w:rsidRPr="008B4DA2">
        <w:rPr>
          <w:noProof/>
        </w:rPr>
        <w:t>dej zmianie takiego środka,</w:t>
      </w:r>
      <w:r w:rsidR="00B83C93" w:rsidRPr="008B4DA2">
        <w:rPr>
          <w:noProof/>
        </w:rPr>
        <w:t xml:space="preserve"> w</w:t>
      </w:r>
      <w:r w:rsidR="00B83C93">
        <w:rPr>
          <w:noProof/>
        </w:rPr>
        <w:t> </w:t>
      </w:r>
      <w:r w:rsidR="00B83C93" w:rsidRPr="008B4DA2">
        <w:rPr>
          <w:noProof/>
        </w:rPr>
        <w:t>ter</w:t>
      </w:r>
      <w:r w:rsidRPr="008B4DA2">
        <w:rPr>
          <w:noProof/>
        </w:rPr>
        <w:t>minie trzech miesięcy od przyjęcia takiego środka lub jego zmiany.</w:t>
      </w:r>
    </w:p>
    <w:p w:rsidR="00BD67F9" w:rsidRPr="008B4DA2" w:rsidRDefault="00DF60AC" w:rsidP="00DF60AC">
      <w:pPr>
        <w:pStyle w:val="ManualNumPar1"/>
        <w:rPr>
          <w:noProof/>
        </w:rPr>
      </w:pPr>
      <w:r w:rsidRPr="008B4DA2">
        <w:rPr>
          <w:noProof/>
        </w:rPr>
        <w:t>8.</w:t>
      </w:r>
      <w:r w:rsidRPr="008B4DA2">
        <w:rPr>
          <w:noProof/>
        </w:rPr>
        <w:tab/>
        <w:t>Komisja jest uprawniona do przyjmowania aktów delegowanych zgodnie</w:t>
      </w:r>
      <w:r w:rsidR="00B83C93" w:rsidRPr="008B4DA2">
        <w:rPr>
          <w:noProof/>
        </w:rPr>
        <w:t xml:space="preserve"> z</w:t>
      </w:r>
      <w:r w:rsidR="00B83C93">
        <w:rPr>
          <w:noProof/>
        </w:rPr>
        <w:t> </w:t>
      </w:r>
      <w:r w:rsidR="00B83C93" w:rsidRPr="00B83C93">
        <w:rPr>
          <w:noProof/>
        </w:rPr>
        <w:t>art</w:t>
      </w:r>
      <w:r w:rsidRPr="00B83C93">
        <w:rPr>
          <w:noProof/>
        </w:rPr>
        <w:t>.</w:t>
      </w:r>
      <w:r w:rsidR="00B83C93" w:rsidRPr="00B83C93">
        <w:rPr>
          <w:noProof/>
        </w:rPr>
        <w:t> </w:t>
      </w:r>
      <w:r w:rsidRPr="00B83C93">
        <w:rPr>
          <w:noProof/>
        </w:rPr>
        <w:t>2</w:t>
      </w:r>
      <w:r w:rsidRPr="008B4DA2">
        <w:rPr>
          <w:noProof/>
        </w:rPr>
        <w:t>1, aby dokonać zmiany części A, B i D załącznika I, jeżeli jest to konieczne</w:t>
      </w:r>
      <w:r w:rsidR="00B83C93" w:rsidRPr="008B4DA2">
        <w:rPr>
          <w:noProof/>
        </w:rPr>
        <w:t xml:space="preserve"> w</w:t>
      </w:r>
      <w:r w:rsidR="00B83C93">
        <w:rPr>
          <w:noProof/>
        </w:rPr>
        <w:t> </w:t>
      </w:r>
      <w:r w:rsidR="00B83C93" w:rsidRPr="008B4DA2">
        <w:rPr>
          <w:noProof/>
        </w:rPr>
        <w:t>cel</w:t>
      </w:r>
      <w:r w:rsidRPr="008B4DA2">
        <w:rPr>
          <w:noProof/>
        </w:rPr>
        <w:t>u uwzględnienia zmian technicznych, operacyjnych lub naukowych.</w:t>
      </w:r>
    </w:p>
    <w:p w:rsidR="00BD67F9" w:rsidRPr="008B4DA2" w:rsidRDefault="00BD67F9" w:rsidP="00BD67F9">
      <w:pPr>
        <w:pStyle w:val="Titrearticle"/>
        <w:rPr>
          <w:noProof/>
        </w:rPr>
      </w:pPr>
      <w:r w:rsidRPr="008B4DA2">
        <w:rPr>
          <w:noProof/>
        </w:rPr>
        <w:t>Artykuł 5</w:t>
      </w:r>
    </w:p>
    <w:p w:rsidR="00BD67F9" w:rsidRPr="008B4DA2" w:rsidRDefault="00BD67F9" w:rsidP="00BD67F9">
      <w:pPr>
        <w:pStyle w:val="Objetacteprincipal"/>
        <w:rPr>
          <w:noProof/>
        </w:rPr>
      </w:pPr>
      <w:r w:rsidRPr="008B4DA2">
        <w:rPr>
          <w:noProof/>
        </w:rPr>
        <w:t>Mobilne prawa jazdy</w:t>
      </w:r>
    </w:p>
    <w:p w:rsidR="00BD67F9" w:rsidRPr="008B4DA2" w:rsidRDefault="00DF60AC" w:rsidP="00DF60AC">
      <w:pPr>
        <w:pStyle w:val="ManualNumPar1"/>
        <w:rPr>
          <w:noProof/>
        </w:rPr>
      </w:pPr>
      <w:r w:rsidRPr="008B4DA2">
        <w:rPr>
          <w:noProof/>
        </w:rPr>
        <w:t>1.</w:t>
      </w:r>
      <w:r w:rsidRPr="008B4DA2">
        <w:rPr>
          <w:noProof/>
        </w:rPr>
        <w:tab/>
        <w:t>Państwa członkowskie wydają mobilne prawa jazdy na podstawie unijnej standardowej specyfikacji określonej</w:t>
      </w:r>
      <w:r w:rsidR="00B83C93" w:rsidRPr="008B4DA2">
        <w:rPr>
          <w:noProof/>
        </w:rPr>
        <w:t xml:space="preserve"> w</w:t>
      </w:r>
      <w:r w:rsidR="00B83C93">
        <w:rPr>
          <w:noProof/>
        </w:rPr>
        <w:t> </w:t>
      </w:r>
      <w:r w:rsidR="00B83C93" w:rsidRPr="008B4DA2">
        <w:rPr>
          <w:noProof/>
        </w:rPr>
        <w:t>zał</w:t>
      </w:r>
      <w:r w:rsidRPr="008B4DA2">
        <w:rPr>
          <w:noProof/>
        </w:rPr>
        <w:t xml:space="preserve">ączniku I część C. </w:t>
      </w:r>
    </w:p>
    <w:p w:rsidR="00BD67F9" w:rsidRPr="008B4DA2" w:rsidRDefault="00DF60AC" w:rsidP="00DF60AC">
      <w:pPr>
        <w:pStyle w:val="ManualNumPar1"/>
        <w:rPr>
          <w:noProof/>
        </w:rPr>
      </w:pPr>
      <w:r w:rsidRPr="008B4DA2">
        <w:rPr>
          <w:noProof/>
        </w:rPr>
        <w:t>2.</w:t>
      </w:r>
      <w:r w:rsidRPr="008B4DA2">
        <w:rPr>
          <w:noProof/>
        </w:rPr>
        <w:tab/>
        <w:t>Państwa członkowskie zapewniają, aby aplikacje elektroniczne utworzone na potrzeby mobilnych praw jazdy</w:t>
      </w:r>
      <w:r w:rsidR="00B83C93" w:rsidRPr="008B4DA2">
        <w:rPr>
          <w:noProof/>
        </w:rPr>
        <w:t xml:space="preserve"> w</w:t>
      </w:r>
      <w:r w:rsidR="00B83C93">
        <w:rPr>
          <w:noProof/>
        </w:rPr>
        <w:t> </w:t>
      </w:r>
      <w:r w:rsidR="00B83C93" w:rsidRPr="008B4DA2">
        <w:rPr>
          <w:noProof/>
        </w:rPr>
        <w:t>cel</w:t>
      </w:r>
      <w:r w:rsidRPr="008B4DA2">
        <w:rPr>
          <w:noProof/>
        </w:rPr>
        <w:t>u umożliwienia weryfikacji, czy posiadacz prawa jazdy ma uprawnienia do kierowania pojazdami, były nieodpłatnie dostępne dla osób mających miejsce stałego zamieszkania na ich terytorium lub dla osób, które</w:t>
      </w:r>
      <w:r w:rsidR="00B83C93" w:rsidRPr="008B4DA2">
        <w:rPr>
          <w:noProof/>
        </w:rPr>
        <w:t xml:space="preserve"> z</w:t>
      </w:r>
      <w:r w:rsidR="00B83C93">
        <w:rPr>
          <w:noProof/>
        </w:rPr>
        <w:t> </w:t>
      </w:r>
      <w:r w:rsidR="00B83C93" w:rsidRPr="008B4DA2">
        <w:rPr>
          <w:noProof/>
        </w:rPr>
        <w:t>inn</w:t>
      </w:r>
      <w:r w:rsidRPr="008B4DA2">
        <w:rPr>
          <w:noProof/>
        </w:rPr>
        <w:t xml:space="preserve">ego względu mają prawo uzyskać wydane przez nie mobilne prawo jazdy. </w:t>
      </w:r>
    </w:p>
    <w:p w:rsidR="00BD67F9" w:rsidRPr="008B4DA2" w:rsidRDefault="00BD67F9" w:rsidP="00BD67F9">
      <w:pPr>
        <w:pStyle w:val="Text1"/>
        <w:rPr>
          <w:noProof/>
        </w:rPr>
      </w:pPr>
      <w:r w:rsidRPr="008B4DA2">
        <w:rPr>
          <w:noProof/>
        </w:rPr>
        <w:t>Aplikacje te muszą się opierać na europejskich portfelach tożsamości cyfrowej wydawanych zgodnie</w:t>
      </w:r>
      <w:r w:rsidR="00B83C93" w:rsidRPr="008B4DA2">
        <w:rPr>
          <w:noProof/>
        </w:rPr>
        <w:t xml:space="preserve"> z</w:t>
      </w:r>
      <w:r w:rsidR="00B83C93">
        <w:rPr>
          <w:noProof/>
        </w:rPr>
        <w:t> </w:t>
      </w:r>
      <w:r w:rsidR="00B83C93" w:rsidRPr="008B4DA2">
        <w:rPr>
          <w:noProof/>
        </w:rPr>
        <w:t>roz</w:t>
      </w:r>
      <w:r w:rsidRPr="008B4DA2">
        <w:rPr>
          <w:noProof/>
        </w:rPr>
        <w:t>porządzeniem Parlamentu Europejskiego</w:t>
      </w:r>
      <w:r w:rsidR="00B83C93" w:rsidRPr="008B4DA2">
        <w:rPr>
          <w:noProof/>
        </w:rPr>
        <w:t xml:space="preserve"> i</w:t>
      </w:r>
      <w:r w:rsidR="00B83C93">
        <w:rPr>
          <w:noProof/>
        </w:rPr>
        <w:t> </w:t>
      </w:r>
      <w:r w:rsidR="00B83C93" w:rsidRPr="008B4DA2">
        <w:rPr>
          <w:noProof/>
        </w:rPr>
        <w:t>Rad</w:t>
      </w:r>
      <w:r w:rsidRPr="008B4DA2">
        <w:rPr>
          <w:noProof/>
        </w:rPr>
        <w:t xml:space="preserve">y (UE) </w:t>
      </w:r>
      <w:r w:rsidRPr="00B83C93">
        <w:rPr>
          <w:noProof/>
        </w:rPr>
        <w:t>nr</w:t>
      </w:r>
      <w:r w:rsidR="00B83C93" w:rsidRPr="00B83C93">
        <w:rPr>
          <w:noProof/>
        </w:rPr>
        <w:t> </w:t>
      </w:r>
      <w:r w:rsidRPr="00B83C93">
        <w:rPr>
          <w:noProof/>
        </w:rPr>
        <w:t>9</w:t>
      </w:r>
      <w:r w:rsidRPr="008B4DA2">
        <w:rPr>
          <w:noProof/>
        </w:rPr>
        <w:t>10/2014</w:t>
      </w:r>
      <w:r w:rsidRPr="008B4DA2">
        <w:rPr>
          <w:rStyle w:val="FootnoteReference"/>
          <w:noProof/>
        </w:rPr>
        <w:footnoteReference w:id="63"/>
      </w:r>
      <w:r w:rsidRPr="008B4DA2">
        <w:rPr>
          <w:noProof/>
        </w:rPr>
        <w:t>.</w:t>
      </w:r>
    </w:p>
    <w:p w:rsidR="00BD67F9" w:rsidRPr="008B4DA2" w:rsidRDefault="00DF60AC" w:rsidP="00DF60AC">
      <w:pPr>
        <w:pStyle w:val="ManualNumPar1"/>
        <w:rPr>
          <w:noProof/>
        </w:rPr>
      </w:pPr>
      <w:r w:rsidRPr="008B4DA2">
        <w:rPr>
          <w:noProof/>
        </w:rPr>
        <w:t>3.</w:t>
      </w:r>
      <w:r w:rsidRPr="008B4DA2">
        <w:rPr>
          <w:noProof/>
        </w:rPr>
        <w:tab/>
        <w:t>Państwa członkowskie publikują</w:t>
      </w:r>
      <w:r w:rsidR="00B83C93" w:rsidRPr="008B4DA2">
        <w:rPr>
          <w:noProof/>
        </w:rPr>
        <w:t xml:space="preserve"> i</w:t>
      </w:r>
      <w:r w:rsidR="00B83C93">
        <w:rPr>
          <w:noProof/>
        </w:rPr>
        <w:t> </w:t>
      </w:r>
      <w:r w:rsidR="00B83C93" w:rsidRPr="008B4DA2">
        <w:rPr>
          <w:noProof/>
        </w:rPr>
        <w:t>reg</w:t>
      </w:r>
      <w:r w:rsidRPr="008B4DA2">
        <w:rPr>
          <w:noProof/>
        </w:rPr>
        <w:t>ularnie aktualizują wykaz dostępnych aplikacji elektronicznych utworzonych</w:t>
      </w:r>
      <w:r w:rsidR="00B83C93" w:rsidRPr="008B4DA2">
        <w:rPr>
          <w:noProof/>
        </w:rPr>
        <w:t xml:space="preserve"> i</w:t>
      </w:r>
      <w:r w:rsidR="00B83C93">
        <w:rPr>
          <w:noProof/>
        </w:rPr>
        <w:t> </w:t>
      </w:r>
      <w:r w:rsidR="00B83C93" w:rsidRPr="008B4DA2">
        <w:rPr>
          <w:noProof/>
        </w:rPr>
        <w:t>obs</w:t>
      </w:r>
      <w:r w:rsidRPr="008B4DA2">
        <w:rPr>
          <w:noProof/>
        </w:rPr>
        <w:t xml:space="preserve">ługiwanych na potrzeby niniejszego artykułu. </w:t>
      </w:r>
    </w:p>
    <w:p w:rsidR="00BD67F9" w:rsidRPr="008B4DA2" w:rsidRDefault="00BD67F9" w:rsidP="007F5A7D">
      <w:pPr>
        <w:pStyle w:val="Text1"/>
        <w:rPr>
          <w:noProof/>
        </w:rPr>
      </w:pPr>
      <w:r w:rsidRPr="008B4DA2">
        <w:rPr>
          <w:noProof/>
        </w:rPr>
        <w:t>Państwa członkowskie zapewniają, aby te aplikacje elektroniczne nie zawierały ani –</w:t>
      </w:r>
      <w:r w:rsidR="00B83C93" w:rsidRPr="008B4DA2">
        <w:rPr>
          <w:noProof/>
        </w:rPr>
        <w:t xml:space="preserve"> w</w:t>
      </w:r>
      <w:r w:rsidR="00B83C93">
        <w:rPr>
          <w:noProof/>
        </w:rPr>
        <w:t> </w:t>
      </w:r>
      <w:r w:rsidR="00B83C93" w:rsidRPr="008B4DA2">
        <w:rPr>
          <w:noProof/>
        </w:rPr>
        <w:t>prz</w:t>
      </w:r>
      <w:r w:rsidRPr="008B4DA2">
        <w:rPr>
          <w:noProof/>
        </w:rPr>
        <w:t>ypadku stosowania wskaźnika – nie udostępniały danych wykraczających poza dane,</w:t>
      </w:r>
      <w:r w:rsidR="00B83C93" w:rsidRPr="008B4DA2">
        <w:rPr>
          <w:noProof/>
        </w:rPr>
        <w:t xml:space="preserve"> o</w:t>
      </w:r>
      <w:r w:rsidR="00B83C93">
        <w:rPr>
          <w:noProof/>
        </w:rPr>
        <w:t> </w:t>
      </w:r>
      <w:r w:rsidR="00B83C93" w:rsidRPr="008B4DA2">
        <w:rPr>
          <w:noProof/>
        </w:rPr>
        <w:t>któ</w:t>
      </w:r>
      <w:r w:rsidRPr="008B4DA2">
        <w:rPr>
          <w:noProof/>
        </w:rPr>
        <w:t>rych mowa</w:t>
      </w:r>
      <w:r w:rsidR="00B83C93" w:rsidRPr="008B4DA2">
        <w:rPr>
          <w:noProof/>
        </w:rPr>
        <w:t xml:space="preserve"> w</w:t>
      </w:r>
      <w:r w:rsidR="00B83C93">
        <w:rPr>
          <w:noProof/>
        </w:rPr>
        <w:t> </w:t>
      </w:r>
      <w:r w:rsidR="00B83C93" w:rsidRPr="008B4DA2">
        <w:rPr>
          <w:noProof/>
        </w:rPr>
        <w:t>zał</w:t>
      </w:r>
      <w:r w:rsidRPr="008B4DA2">
        <w:rPr>
          <w:noProof/>
        </w:rPr>
        <w:t>ączniku I część D.</w:t>
      </w:r>
    </w:p>
    <w:p w:rsidR="00BD67F9" w:rsidRPr="008B4DA2" w:rsidRDefault="00DF60AC" w:rsidP="00DF60AC">
      <w:pPr>
        <w:pStyle w:val="ManualNumPar1"/>
        <w:rPr>
          <w:noProof/>
        </w:rPr>
      </w:pPr>
      <w:r w:rsidRPr="008B4DA2">
        <w:rPr>
          <w:noProof/>
        </w:rPr>
        <w:t>4.</w:t>
      </w:r>
      <w:r w:rsidRPr="008B4DA2">
        <w:rPr>
          <w:noProof/>
        </w:rPr>
        <w:tab/>
        <w:t>Państwa członkowskie udostępniają informacje wymagane do uzyskania dostępu do krajowych systemów,</w:t>
      </w:r>
      <w:r w:rsidR="00B83C93" w:rsidRPr="008B4DA2">
        <w:rPr>
          <w:noProof/>
        </w:rPr>
        <w:t xml:space="preserve"> o</w:t>
      </w:r>
      <w:r w:rsidR="00B83C93">
        <w:rPr>
          <w:noProof/>
        </w:rPr>
        <w:t> </w:t>
      </w:r>
      <w:r w:rsidR="00B83C93" w:rsidRPr="008B4DA2">
        <w:rPr>
          <w:noProof/>
        </w:rPr>
        <w:t>któ</w:t>
      </w:r>
      <w:r w:rsidRPr="008B4DA2">
        <w:rPr>
          <w:noProof/>
        </w:rPr>
        <w:t>rych mowa</w:t>
      </w:r>
      <w:r w:rsidR="00B83C93" w:rsidRPr="008B4DA2">
        <w:rPr>
          <w:noProof/>
        </w:rPr>
        <w:t xml:space="preserve"> w</w:t>
      </w:r>
      <w:r w:rsidR="00B83C93">
        <w:rPr>
          <w:noProof/>
        </w:rPr>
        <w:t> </w:t>
      </w:r>
      <w:r w:rsidR="00B83C93" w:rsidRPr="008B4DA2">
        <w:rPr>
          <w:noProof/>
        </w:rPr>
        <w:t>zał</w:t>
      </w:r>
      <w:r w:rsidRPr="008B4DA2">
        <w:rPr>
          <w:noProof/>
        </w:rPr>
        <w:t>ączniku I część C, służących do weryfikacji mobilnych praw jazdy</w:t>
      </w:r>
      <w:r w:rsidR="00B83C93" w:rsidRPr="008B4DA2">
        <w:rPr>
          <w:noProof/>
        </w:rPr>
        <w:t xml:space="preserve"> i</w:t>
      </w:r>
      <w:r w:rsidR="00B83C93">
        <w:rPr>
          <w:noProof/>
        </w:rPr>
        <w:t> </w:t>
      </w:r>
      <w:r w:rsidR="00B83C93" w:rsidRPr="008B4DA2">
        <w:rPr>
          <w:noProof/>
        </w:rPr>
        <w:t>wza</w:t>
      </w:r>
      <w:r w:rsidRPr="008B4DA2">
        <w:rPr>
          <w:noProof/>
        </w:rPr>
        <w:t>jemnie regularnie informują się</w:t>
      </w:r>
      <w:r w:rsidR="00B83C93" w:rsidRPr="008B4DA2">
        <w:rPr>
          <w:noProof/>
        </w:rPr>
        <w:t xml:space="preserve"> o</w:t>
      </w:r>
      <w:r w:rsidR="00B83C93">
        <w:rPr>
          <w:noProof/>
        </w:rPr>
        <w:t> </w:t>
      </w:r>
      <w:r w:rsidR="00B83C93" w:rsidRPr="008B4DA2">
        <w:rPr>
          <w:noProof/>
        </w:rPr>
        <w:t>zmi</w:t>
      </w:r>
      <w:r w:rsidRPr="008B4DA2">
        <w:rPr>
          <w:noProof/>
        </w:rPr>
        <w:t>anach takich informacji.</w:t>
      </w:r>
    </w:p>
    <w:p w:rsidR="00BD67F9" w:rsidRPr="008B4DA2" w:rsidRDefault="00BD67F9" w:rsidP="007F5A7D">
      <w:pPr>
        <w:pStyle w:val="Text1"/>
        <w:rPr>
          <w:noProof/>
        </w:rPr>
      </w:pPr>
      <w:r w:rsidRPr="008B4DA2">
        <w:rPr>
          <w:noProof/>
        </w:rPr>
        <w:t>Państwa członkowskie zapewniają, aby dane osobowe niezbędne do weryfikacji uprawnień do kierowania pojazdami posiadanych przez posiadacza mobilnego prawa jazdy nie były zatrzymywane przez sprawdzającego,</w:t>
      </w:r>
      <w:r w:rsidR="00B83C93" w:rsidRPr="008B4DA2">
        <w:rPr>
          <w:noProof/>
        </w:rPr>
        <w:t xml:space="preserve"> a</w:t>
      </w:r>
      <w:r w:rsidR="00B83C93">
        <w:rPr>
          <w:noProof/>
        </w:rPr>
        <w:t> </w:t>
      </w:r>
      <w:r w:rsidR="00B83C93" w:rsidRPr="008B4DA2">
        <w:rPr>
          <w:noProof/>
        </w:rPr>
        <w:t>org</w:t>
      </w:r>
      <w:r w:rsidRPr="008B4DA2">
        <w:rPr>
          <w:noProof/>
        </w:rPr>
        <w:t>an wydający prawo jazdy przetwarzał informacje otrzymane</w:t>
      </w:r>
      <w:r w:rsidR="00B83C93" w:rsidRPr="008B4DA2">
        <w:rPr>
          <w:noProof/>
        </w:rPr>
        <w:t xml:space="preserve"> w</w:t>
      </w:r>
      <w:r w:rsidR="00B83C93">
        <w:rPr>
          <w:noProof/>
        </w:rPr>
        <w:t> </w:t>
      </w:r>
      <w:r w:rsidR="00B83C93" w:rsidRPr="008B4DA2">
        <w:rPr>
          <w:noProof/>
        </w:rPr>
        <w:t>dro</w:t>
      </w:r>
      <w:r w:rsidRPr="008B4DA2">
        <w:rPr>
          <w:noProof/>
        </w:rPr>
        <w:t>dze powiadomienia wyłącznie do celów odpowiedzi na żądanie weryfikacji.</w:t>
      </w:r>
    </w:p>
    <w:p w:rsidR="00BD67F9" w:rsidRPr="008B4DA2" w:rsidRDefault="00DF60AC" w:rsidP="00DF60AC">
      <w:pPr>
        <w:pStyle w:val="ManualNumPar1"/>
        <w:rPr>
          <w:noProof/>
        </w:rPr>
      </w:pPr>
      <w:r w:rsidRPr="008B4DA2">
        <w:rPr>
          <w:noProof/>
        </w:rPr>
        <w:t>5.</w:t>
      </w:r>
      <w:r w:rsidRPr="008B4DA2">
        <w:rPr>
          <w:noProof/>
        </w:rPr>
        <w:tab/>
        <w:t>Państwa członkowskie przekazują Komisji wykaz odpowiednich systemów krajowych uprawnionych do przekazywania danych</w:t>
      </w:r>
      <w:r w:rsidR="00B83C93" w:rsidRPr="008B4DA2">
        <w:rPr>
          <w:noProof/>
        </w:rPr>
        <w:t xml:space="preserve"> i</w:t>
      </w:r>
      <w:r w:rsidR="00B83C93">
        <w:rPr>
          <w:noProof/>
        </w:rPr>
        <w:t> </w:t>
      </w:r>
      <w:r w:rsidR="00B83C93" w:rsidRPr="008B4DA2">
        <w:rPr>
          <w:noProof/>
        </w:rPr>
        <w:t>wsk</w:t>
      </w:r>
      <w:r w:rsidRPr="008B4DA2">
        <w:rPr>
          <w:noProof/>
        </w:rPr>
        <w:t>aźników na potrzeby mobilnych praw jazdy. Komisja podaje do wiadomości publicznej wykaz takich krajowych systemów państw członkowskich</w:t>
      </w:r>
      <w:r w:rsidR="00B83C93" w:rsidRPr="008B4DA2">
        <w:rPr>
          <w:noProof/>
        </w:rPr>
        <w:t xml:space="preserve"> w</w:t>
      </w:r>
      <w:r w:rsidR="00B83C93">
        <w:rPr>
          <w:noProof/>
        </w:rPr>
        <w:t> </w:t>
      </w:r>
      <w:r w:rsidR="00B83C93" w:rsidRPr="008B4DA2">
        <w:rPr>
          <w:noProof/>
        </w:rPr>
        <w:t>ele</w:t>
      </w:r>
      <w:r w:rsidRPr="008B4DA2">
        <w:rPr>
          <w:noProof/>
        </w:rPr>
        <w:t>ktronicznie podpisanej lub opatrzonej pieczęcią elektroniczną postaci dostosowanej do automatycznego przetwarzania, używając</w:t>
      </w:r>
      <w:r w:rsidR="00B83C93" w:rsidRPr="008B4DA2">
        <w:rPr>
          <w:noProof/>
        </w:rPr>
        <w:t xml:space="preserve"> w</w:t>
      </w:r>
      <w:r w:rsidR="00B83C93">
        <w:rPr>
          <w:noProof/>
        </w:rPr>
        <w:t> </w:t>
      </w:r>
      <w:r w:rsidR="00B83C93" w:rsidRPr="008B4DA2">
        <w:rPr>
          <w:noProof/>
        </w:rPr>
        <w:t>tym</w:t>
      </w:r>
      <w:r w:rsidRPr="008B4DA2">
        <w:rPr>
          <w:noProof/>
        </w:rPr>
        <w:t xml:space="preserve"> celu zabezpieczonego kanału komunikacji.</w:t>
      </w:r>
    </w:p>
    <w:p w:rsidR="00BD67F9" w:rsidRPr="008B4DA2" w:rsidRDefault="00DF60AC" w:rsidP="00DF60AC">
      <w:pPr>
        <w:pStyle w:val="ManualNumPar1"/>
        <w:rPr>
          <w:noProof/>
        </w:rPr>
      </w:pPr>
      <w:r w:rsidRPr="008B4DA2">
        <w:rPr>
          <w:noProof/>
        </w:rPr>
        <w:t>6.</w:t>
      </w:r>
      <w:r w:rsidRPr="008B4DA2">
        <w:rPr>
          <w:noProof/>
        </w:rPr>
        <w:tab/>
        <w:t>Komisja jest uprawniona do przyjmowania aktów delegowanych zgodnie</w:t>
      </w:r>
      <w:r w:rsidR="00B83C93" w:rsidRPr="008B4DA2">
        <w:rPr>
          <w:noProof/>
        </w:rPr>
        <w:t xml:space="preserve"> z</w:t>
      </w:r>
      <w:r w:rsidR="00B83C93">
        <w:rPr>
          <w:noProof/>
        </w:rPr>
        <w:t> </w:t>
      </w:r>
      <w:r w:rsidR="00B83C93" w:rsidRPr="00B83C93">
        <w:rPr>
          <w:noProof/>
        </w:rPr>
        <w:t>art</w:t>
      </w:r>
      <w:r w:rsidRPr="00B83C93">
        <w:rPr>
          <w:noProof/>
        </w:rPr>
        <w:t>.</w:t>
      </w:r>
      <w:r w:rsidR="00B83C93" w:rsidRPr="00B83C93">
        <w:rPr>
          <w:noProof/>
        </w:rPr>
        <w:t> </w:t>
      </w:r>
      <w:r w:rsidRPr="00B83C93">
        <w:rPr>
          <w:noProof/>
        </w:rPr>
        <w:t>2</w:t>
      </w:r>
      <w:r w:rsidRPr="008B4DA2">
        <w:rPr>
          <w:noProof/>
        </w:rPr>
        <w:t>1, aby dokonać zmiany części C załącznika I, jeżeli jest to konieczne</w:t>
      </w:r>
      <w:r w:rsidR="00B83C93" w:rsidRPr="008B4DA2">
        <w:rPr>
          <w:noProof/>
        </w:rPr>
        <w:t xml:space="preserve"> w</w:t>
      </w:r>
      <w:r w:rsidR="00B83C93">
        <w:rPr>
          <w:noProof/>
        </w:rPr>
        <w:t> </w:t>
      </w:r>
      <w:r w:rsidR="00B83C93" w:rsidRPr="008B4DA2">
        <w:rPr>
          <w:noProof/>
        </w:rPr>
        <w:t>cel</w:t>
      </w:r>
      <w:r w:rsidRPr="008B4DA2">
        <w:rPr>
          <w:noProof/>
        </w:rPr>
        <w:t>u uwzględnienia zmian technicznych, operacyjnych lub naukowych.</w:t>
      </w:r>
    </w:p>
    <w:p w:rsidR="00BD67F9" w:rsidRPr="008B4DA2" w:rsidRDefault="00DF60AC" w:rsidP="00DF60AC">
      <w:pPr>
        <w:pStyle w:val="ManualNumPar1"/>
        <w:rPr>
          <w:noProof/>
        </w:rPr>
      </w:pPr>
      <w:r w:rsidRPr="008B4DA2">
        <w:rPr>
          <w:noProof/>
        </w:rPr>
        <w:t>7.</w:t>
      </w:r>
      <w:r w:rsidRPr="008B4DA2">
        <w:rPr>
          <w:noProof/>
        </w:rPr>
        <w:tab/>
        <w:t>Do [data przyjęcia + 18 miesięcy] Komisja przyjmie akty wykonawcze określające szczegółowe przepisy dotyczące interoperacyjności, bezpieczeństwa</w:t>
      </w:r>
      <w:r w:rsidR="00B83C93" w:rsidRPr="008B4DA2">
        <w:rPr>
          <w:noProof/>
        </w:rPr>
        <w:t xml:space="preserve"> i</w:t>
      </w:r>
      <w:r w:rsidR="00B83C93">
        <w:rPr>
          <w:noProof/>
        </w:rPr>
        <w:t> </w:t>
      </w:r>
      <w:r w:rsidR="00B83C93" w:rsidRPr="008B4DA2">
        <w:rPr>
          <w:noProof/>
        </w:rPr>
        <w:t>tes</w:t>
      </w:r>
      <w:r w:rsidRPr="008B4DA2">
        <w:rPr>
          <w:noProof/>
        </w:rPr>
        <w:t>towania mobilnych praw jazdy,</w:t>
      </w:r>
      <w:r w:rsidR="00B83C93" w:rsidRPr="008B4DA2">
        <w:rPr>
          <w:noProof/>
        </w:rPr>
        <w:t xml:space="preserve"> w</w:t>
      </w:r>
      <w:r w:rsidR="00B83C93">
        <w:rPr>
          <w:noProof/>
        </w:rPr>
        <w:t> </w:t>
      </w:r>
      <w:r w:rsidR="00B83C93" w:rsidRPr="008B4DA2">
        <w:rPr>
          <w:noProof/>
        </w:rPr>
        <w:t>tym</w:t>
      </w:r>
      <w:r w:rsidRPr="008B4DA2">
        <w:rPr>
          <w:noProof/>
        </w:rPr>
        <w:t xml:space="preserve"> elementów weryfikacji</w:t>
      </w:r>
      <w:r w:rsidR="00B83C93" w:rsidRPr="008B4DA2">
        <w:rPr>
          <w:noProof/>
        </w:rPr>
        <w:t xml:space="preserve"> i</w:t>
      </w:r>
      <w:r w:rsidR="00B83C93">
        <w:rPr>
          <w:noProof/>
        </w:rPr>
        <w:t> </w:t>
      </w:r>
      <w:r w:rsidR="00B83C93" w:rsidRPr="008B4DA2">
        <w:rPr>
          <w:noProof/>
        </w:rPr>
        <w:t>int</w:t>
      </w:r>
      <w:r w:rsidRPr="008B4DA2">
        <w:rPr>
          <w:noProof/>
        </w:rPr>
        <w:t>erfejsu</w:t>
      </w:r>
      <w:r w:rsidR="00B83C93" w:rsidRPr="008B4DA2">
        <w:rPr>
          <w:noProof/>
        </w:rPr>
        <w:t xml:space="preserve"> z</w:t>
      </w:r>
      <w:r w:rsidR="00B83C93">
        <w:rPr>
          <w:noProof/>
        </w:rPr>
        <w:t> </w:t>
      </w:r>
      <w:r w:rsidR="00B83C93" w:rsidRPr="008B4DA2">
        <w:rPr>
          <w:noProof/>
        </w:rPr>
        <w:t>sys</w:t>
      </w:r>
      <w:r w:rsidRPr="008B4DA2">
        <w:rPr>
          <w:noProof/>
        </w:rPr>
        <w:t>temami krajowymi. Te akty wykonawcze przyjmuje się zgodnie</w:t>
      </w:r>
      <w:r w:rsidR="00B83C93" w:rsidRPr="008B4DA2">
        <w:rPr>
          <w:noProof/>
        </w:rPr>
        <w:t xml:space="preserve"> z</w:t>
      </w:r>
      <w:r w:rsidR="00B83C93">
        <w:rPr>
          <w:noProof/>
        </w:rPr>
        <w:t> </w:t>
      </w:r>
      <w:r w:rsidR="00B83C93" w:rsidRPr="008B4DA2">
        <w:rPr>
          <w:noProof/>
        </w:rPr>
        <w:t>pro</w:t>
      </w:r>
      <w:r w:rsidRPr="008B4DA2">
        <w:rPr>
          <w:noProof/>
        </w:rPr>
        <w:t>cedurą sprawdzającą,</w:t>
      </w:r>
      <w:r w:rsidR="00B83C93" w:rsidRPr="008B4DA2">
        <w:rPr>
          <w:noProof/>
        </w:rPr>
        <w:t xml:space="preserve"> o</w:t>
      </w:r>
      <w:r w:rsidR="00B83C93">
        <w:rPr>
          <w:noProof/>
        </w:rPr>
        <w:t> </w:t>
      </w:r>
      <w:r w:rsidR="00B83C93" w:rsidRPr="008B4DA2">
        <w:rPr>
          <w:noProof/>
        </w:rPr>
        <w:t>któ</w:t>
      </w:r>
      <w:r w:rsidRPr="008B4DA2">
        <w:rPr>
          <w:noProof/>
        </w:rPr>
        <w:t>rej mowa</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2</w:t>
      </w:r>
      <w:r w:rsidRPr="008B4DA2">
        <w:rPr>
          <w:noProof/>
        </w:rPr>
        <w:t xml:space="preserve">2 </w:t>
      </w:r>
      <w:r w:rsidRPr="00B83C93">
        <w:rPr>
          <w:noProof/>
        </w:rPr>
        <w:t>ust.</w:t>
      </w:r>
      <w:r w:rsidR="00B83C93" w:rsidRPr="00B83C93">
        <w:rPr>
          <w:noProof/>
        </w:rPr>
        <w:t> </w:t>
      </w:r>
      <w:r w:rsidRPr="00B83C93">
        <w:rPr>
          <w:noProof/>
        </w:rPr>
        <w:t>2</w:t>
      </w:r>
      <w:r w:rsidRPr="008B4DA2">
        <w:rPr>
          <w:noProof/>
        </w:rPr>
        <w:t>.</w:t>
      </w:r>
    </w:p>
    <w:p w:rsidR="00BD67F9" w:rsidRPr="008B4DA2" w:rsidRDefault="00BD67F9" w:rsidP="00BD67F9">
      <w:pPr>
        <w:pStyle w:val="Titrearticle"/>
        <w:rPr>
          <w:noProof/>
        </w:rPr>
      </w:pPr>
      <w:r w:rsidRPr="008B4DA2">
        <w:rPr>
          <w:noProof/>
        </w:rPr>
        <w:t>Artykuł 6</w:t>
      </w:r>
    </w:p>
    <w:p w:rsidR="00BD67F9" w:rsidRPr="008B4DA2" w:rsidRDefault="00BD67F9" w:rsidP="00BD67F9">
      <w:pPr>
        <w:pStyle w:val="Objetacteprincipal"/>
        <w:rPr>
          <w:noProof/>
        </w:rPr>
      </w:pPr>
      <w:r w:rsidRPr="008B4DA2">
        <w:rPr>
          <w:noProof/>
        </w:rPr>
        <w:t xml:space="preserve">Kategorie prawa jazdy </w:t>
      </w:r>
    </w:p>
    <w:p w:rsidR="00BD67F9" w:rsidRPr="008B4DA2" w:rsidRDefault="00DF60AC" w:rsidP="00DF60AC">
      <w:pPr>
        <w:pStyle w:val="ManualNumPar1"/>
        <w:rPr>
          <w:noProof/>
        </w:rPr>
      </w:pPr>
      <w:r w:rsidRPr="008B4DA2">
        <w:rPr>
          <w:noProof/>
        </w:rPr>
        <w:t>1.</w:t>
      </w:r>
      <w:r w:rsidRPr="008B4DA2">
        <w:rPr>
          <w:noProof/>
        </w:rPr>
        <w:tab/>
        <w:t xml:space="preserve">Prawo jazdy uprawnia do kierowania pojazdami mechanicznymi należącymi do poniższych kategorii: </w:t>
      </w:r>
    </w:p>
    <w:p w:rsidR="00BD67F9" w:rsidRPr="008B4DA2" w:rsidRDefault="00DF60AC" w:rsidP="00DF60AC">
      <w:pPr>
        <w:pStyle w:val="Point0"/>
        <w:rPr>
          <w:noProof/>
        </w:rPr>
      </w:pPr>
      <w:r w:rsidRPr="008B4DA2">
        <w:rPr>
          <w:noProof/>
        </w:rPr>
        <w:t>a)</w:t>
      </w:r>
      <w:r w:rsidRPr="008B4DA2">
        <w:rPr>
          <w:noProof/>
        </w:rPr>
        <w:tab/>
        <w:t xml:space="preserve">motorowery: </w:t>
      </w:r>
    </w:p>
    <w:p w:rsidR="00BD67F9" w:rsidRPr="008B4DA2" w:rsidRDefault="00BD67F9" w:rsidP="005B2A2F">
      <w:pPr>
        <w:pStyle w:val="Text1"/>
        <w:rPr>
          <w:noProof/>
        </w:rPr>
      </w:pPr>
      <w:r w:rsidRPr="008B4DA2">
        <w:rPr>
          <w:noProof/>
        </w:rPr>
        <w:t xml:space="preserve">kategoria AM: </w:t>
      </w:r>
    </w:p>
    <w:p w:rsidR="00BD67F9" w:rsidRPr="008B4DA2" w:rsidRDefault="00BD67F9" w:rsidP="001404F6">
      <w:pPr>
        <w:pStyle w:val="Tiret1"/>
        <w:numPr>
          <w:ilvl w:val="0"/>
          <w:numId w:val="20"/>
        </w:numPr>
        <w:rPr>
          <w:noProof/>
        </w:rPr>
      </w:pPr>
      <w:r w:rsidRPr="008B4DA2">
        <w:rPr>
          <w:noProof/>
        </w:rPr>
        <w:t>pojazdy dwu- lub trzykołowe</w:t>
      </w:r>
      <w:r w:rsidR="00B83C93" w:rsidRPr="008B4DA2">
        <w:rPr>
          <w:noProof/>
        </w:rPr>
        <w:t xml:space="preserve"> o</w:t>
      </w:r>
      <w:r w:rsidR="00B83C93">
        <w:rPr>
          <w:noProof/>
        </w:rPr>
        <w:t> </w:t>
      </w:r>
      <w:r w:rsidR="00B83C93" w:rsidRPr="008B4DA2">
        <w:rPr>
          <w:noProof/>
        </w:rPr>
        <w:t>mak</w:t>
      </w:r>
      <w:r w:rsidRPr="008B4DA2">
        <w:rPr>
          <w:noProof/>
        </w:rPr>
        <w:t xml:space="preserve">symalnej prędkości konstrukcyjnej </w:t>
      </w:r>
      <w:r w:rsidRPr="00B83C93">
        <w:rPr>
          <w:noProof/>
        </w:rPr>
        <w:t>do</w:t>
      </w:r>
      <w:r w:rsidR="00B83C93" w:rsidRPr="00B83C93">
        <w:rPr>
          <w:noProof/>
        </w:rPr>
        <w:t> </w:t>
      </w:r>
      <w:r w:rsidRPr="00B83C93">
        <w:rPr>
          <w:noProof/>
        </w:rPr>
        <w:t>4</w:t>
      </w:r>
      <w:r w:rsidRPr="008B4DA2">
        <w:rPr>
          <w:noProof/>
        </w:rPr>
        <w:t>5 km/h (z wyjątkiem pojazdów, których maksymalna prędkość konstrukcyjna nie przekracza lub wynosi 25 km/h);</w:t>
      </w:r>
    </w:p>
    <w:p w:rsidR="00BD67F9" w:rsidRPr="008B4DA2" w:rsidRDefault="00BD67F9" w:rsidP="00BD67F9">
      <w:pPr>
        <w:pStyle w:val="Tiret1"/>
        <w:rPr>
          <w:noProof/>
        </w:rPr>
      </w:pPr>
      <w:r w:rsidRPr="008B4DA2">
        <w:rPr>
          <w:noProof/>
        </w:rPr>
        <w:t>lekkie czterokołowce;</w:t>
      </w:r>
    </w:p>
    <w:p w:rsidR="00BD67F9" w:rsidRPr="008B4DA2" w:rsidRDefault="00DF60AC" w:rsidP="00DF60AC">
      <w:pPr>
        <w:pStyle w:val="Point0"/>
        <w:rPr>
          <w:noProof/>
        </w:rPr>
      </w:pPr>
      <w:r w:rsidRPr="008B4DA2">
        <w:rPr>
          <w:noProof/>
        </w:rPr>
        <w:t>b)</w:t>
      </w:r>
      <w:r w:rsidRPr="008B4DA2">
        <w:rPr>
          <w:noProof/>
        </w:rPr>
        <w:tab/>
        <w:t>motocykle</w:t>
      </w:r>
      <w:r w:rsidR="00B83C93" w:rsidRPr="008B4DA2">
        <w:rPr>
          <w:noProof/>
        </w:rPr>
        <w:t xml:space="preserve"> i</w:t>
      </w:r>
      <w:r w:rsidR="00B83C93">
        <w:rPr>
          <w:noProof/>
        </w:rPr>
        <w:t> </w:t>
      </w:r>
      <w:r w:rsidR="00B83C93" w:rsidRPr="008B4DA2">
        <w:rPr>
          <w:noProof/>
        </w:rPr>
        <w:t>trz</w:t>
      </w:r>
      <w:r w:rsidRPr="008B4DA2">
        <w:rPr>
          <w:noProof/>
        </w:rPr>
        <w:t xml:space="preserve">ykołowe pojazdy silnikowe: </w:t>
      </w:r>
    </w:p>
    <w:p w:rsidR="00BD67F9" w:rsidRPr="008B4DA2" w:rsidRDefault="00BD67F9" w:rsidP="005B2A2F">
      <w:pPr>
        <w:pStyle w:val="Text1"/>
        <w:rPr>
          <w:noProof/>
        </w:rPr>
      </w:pPr>
      <w:r w:rsidRPr="008B4DA2">
        <w:rPr>
          <w:rStyle w:val="normaltextrun"/>
          <w:noProof/>
        </w:rPr>
        <w:t xml:space="preserve">(i) </w:t>
      </w:r>
      <w:r w:rsidRPr="008B4DA2">
        <w:rPr>
          <w:noProof/>
        </w:rPr>
        <w:tab/>
      </w:r>
      <w:r w:rsidRPr="008B4DA2">
        <w:rPr>
          <w:rStyle w:val="normaltextrun"/>
          <w:noProof/>
        </w:rPr>
        <w:t>kategoria A1:</w:t>
      </w:r>
      <w:r w:rsidRPr="008B4DA2">
        <w:rPr>
          <w:rStyle w:val="eop"/>
          <w:noProof/>
        </w:rPr>
        <w:t xml:space="preserve"> </w:t>
      </w:r>
    </w:p>
    <w:p w:rsidR="00BD67F9" w:rsidRPr="008B4DA2" w:rsidRDefault="00BD67F9" w:rsidP="00BD67F9">
      <w:pPr>
        <w:pStyle w:val="Tiret1"/>
        <w:rPr>
          <w:noProof/>
        </w:rPr>
      </w:pPr>
      <w:r w:rsidRPr="008B4DA2">
        <w:rPr>
          <w:noProof/>
        </w:rPr>
        <w:t>motocykle</w:t>
      </w:r>
      <w:r w:rsidR="00B83C93" w:rsidRPr="008B4DA2">
        <w:rPr>
          <w:noProof/>
        </w:rPr>
        <w:t xml:space="preserve"> o</w:t>
      </w:r>
      <w:r w:rsidR="00B83C93">
        <w:rPr>
          <w:noProof/>
        </w:rPr>
        <w:t> </w:t>
      </w:r>
      <w:r w:rsidR="00B83C93" w:rsidRPr="008B4DA2">
        <w:rPr>
          <w:noProof/>
        </w:rPr>
        <w:t>poj</w:t>
      </w:r>
      <w:r w:rsidRPr="008B4DA2">
        <w:rPr>
          <w:noProof/>
        </w:rPr>
        <w:t>emności skokowej silnika nieprzekraczającej 125 cm</w:t>
      </w:r>
      <w:r w:rsidRPr="008B4DA2">
        <w:rPr>
          <w:noProof/>
          <w:vertAlign w:val="superscript"/>
        </w:rPr>
        <w:t>3</w:t>
      </w:r>
      <w:r w:rsidRPr="008B4DA2">
        <w:rPr>
          <w:noProof/>
        </w:rPr>
        <w:t>, mocy nieprzekraczającej 11 kW</w:t>
      </w:r>
      <w:r w:rsidR="00B83C93" w:rsidRPr="008B4DA2">
        <w:rPr>
          <w:noProof/>
        </w:rPr>
        <w:t xml:space="preserve"> i</w:t>
      </w:r>
      <w:r w:rsidR="00B83C93">
        <w:rPr>
          <w:noProof/>
        </w:rPr>
        <w:t> </w:t>
      </w:r>
      <w:r w:rsidR="00B83C93" w:rsidRPr="008B4DA2">
        <w:rPr>
          <w:noProof/>
        </w:rPr>
        <w:t>sto</w:t>
      </w:r>
      <w:r w:rsidRPr="008B4DA2">
        <w:rPr>
          <w:noProof/>
        </w:rPr>
        <w:t>sunku mocy do masy nieprzekraczającym 0,1 kW/kg;</w:t>
      </w:r>
    </w:p>
    <w:p w:rsidR="00BD67F9" w:rsidRPr="008B4DA2" w:rsidRDefault="00BD67F9" w:rsidP="00BD67F9">
      <w:pPr>
        <w:pStyle w:val="Tiret1"/>
        <w:rPr>
          <w:noProof/>
        </w:rPr>
      </w:pPr>
      <w:r w:rsidRPr="008B4DA2">
        <w:rPr>
          <w:noProof/>
        </w:rPr>
        <w:t>trzykołowe pojazdy silnikowe</w:t>
      </w:r>
      <w:r w:rsidR="00B83C93" w:rsidRPr="008B4DA2">
        <w:rPr>
          <w:noProof/>
        </w:rPr>
        <w:t xml:space="preserve"> o</w:t>
      </w:r>
      <w:r w:rsidR="00B83C93">
        <w:rPr>
          <w:noProof/>
        </w:rPr>
        <w:t> </w:t>
      </w:r>
      <w:r w:rsidR="00B83C93" w:rsidRPr="008B4DA2">
        <w:rPr>
          <w:noProof/>
        </w:rPr>
        <w:t>moc</w:t>
      </w:r>
      <w:r w:rsidRPr="008B4DA2">
        <w:rPr>
          <w:noProof/>
        </w:rPr>
        <w:t>y nieprzekraczającej 15 kW;</w:t>
      </w:r>
    </w:p>
    <w:p w:rsidR="00BD67F9" w:rsidRPr="008B4DA2" w:rsidRDefault="00BD67F9" w:rsidP="005B2A2F">
      <w:pPr>
        <w:pStyle w:val="Text1"/>
        <w:rPr>
          <w:rStyle w:val="normaltextrun"/>
          <w:noProof/>
        </w:rPr>
      </w:pPr>
      <w:r w:rsidRPr="008B4DA2">
        <w:rPr>
          <w:rStyle w:val="normaltextrun"/>
          <w:noProof/>
        </w:rPr>
        <w:t xml:space="preserve">(ii) </w:t>
      </w:r>
      <w:r w:rsidRPr="008B4DA2">
        <w:rPr>
          <w:noProof/>
        </w:rPr>
        <w:tab/>
      </w:r>
      <w:r w:rsidRPr="008B4DA2">
        <w:rPr>
          <w:rStyle w:val="normaltextrun"/>
          <w:noProof/>
        </w:rPr>
        <w:t xml:space="preserve">kategoria A2: </w:t>
      </w:r>
    </w:p>
    <w:p w:rsidR="00BD67F9" w:rsidRPr="008B4DA2" w:rsidRDefault="00BD67F9" w:rsidP="00BD67F9">
      <w:pPr>
        <w:pStyle w:val="Tiret1"/>
        <w:rPr>
          <w:noProof/>
        </w:rPr>
      </w:pPr>
      <w:r w:rsidRPr="008B4DA2">
        <w:rPr>
          <w:noProof/>
        </w:rPr>
        <w:t>motocykle</w:t>
      </w:r>
      <w:r w:rsidR="00B83C93" w:rsidRPr="008B4DA2">
        <w:rPr>
          <w:noProof/>
        </w:rPr>
        <w:t xml:space="preserve"> o</w:t>
      </w:r>
      <w:r w:rsidR="00B83C93">
        <w:rPr>
          <w:noProof/>
        </w:rPr>
        <w:t> </w:t>
      </w:r>
      <w:r w:rsidR="00B83C93" w:rsidRPr="008B4DA2">
        <w:rPr>
          <w:noProof/>
        </w:rPr>
        <w:t>moc</w:t>
      </w:r>
      <w:r w:rsidRPr="008B4DA2">
        <w:rPr>
          <w:noProof/>
        </w:rPr>
        <w:t>y nieprzekraczającej 35 kW</w:t>
      </w:r>
      <w:r w:rsidR="00B83C93" w:rsidRPr="008B4DA2">
        <w:rPr>
          <w:noProof/>
        </w:rPr>
        <w:t xml:space="preserve"> i</w:t>
      </w:r>
      <w:r w:rsidR="00B83C93">
        <w:rPr>
          <w:noProof/>
        </w:rPr>
        <w:t> </w:t>
      </w:r>
      <w:r w:rsidR="00B83C93" w:rsidRPr="008B4DA2">
        <w:rPr>
          <w:noProof/>
        </w:rPr>
        <w:t>sto</w:t>
      </w:r>
      <w:r w:rsidRPr="008B4DA2">
        <w:rPr>
          <w:noProof/>
        </w:rPr>
        <w:t>sunku mocy do masy nieprzekraczającym 0,2 kW/kg oraz niepochodzące od pojazdów</w:t>
      </w:r>
      <w:r w:rsidR="00B83C93" w:rsidRPr="008B4DA2">
        <w:rPr>
          <w:noProof/>
        </w:rPr>
        <w:t xml:space="preserve"> o</w:t>
      </w:r>
      <w:r w:rsidR="00B83C93">
        <w:rPr>
          <w:noProof/>
        </w:rPr>
        <w:t> </w:t>
      </w:r>
      <w:r w:rsidR="00B83C93" w:rsidRPr="008B4DA2">
        <w:rPr>
          <w:noProof/>
        </w:rPr>
        <w:t>moc</w:t>
      </w:r>
      <w:r w:rsidRPr="008B4DA2">
        <w:rPr>
          <w:noProof/>
        </w:rPr>
        <w:t xml:space="preserve">y powyżej 70 kW; </w:t>
      </w:r>
    </w:p>
    <w:p w:rsidR="00BD67F9" w:rsidRPr="008B4DA2" w:rsidRDefault="00BD67F9" w:rsidP="005B2A2F">
      <w:pPr>
        <w:pStyle w:val="Text1"/>
        <w:rPr>
          <w:rStyle w:val="normaltextrun"/>
          <w:noProof/>
        </w:rPr>
      </w:pPr>
      <w:r w:rsidRPr="008B4DA2">
        <w:rPr>
          <w:rStyle w:val="normaltextrun"/>
          <w:noProof/>
        </w:rPr>
        <w:t xml:space="preserve">(iii) </w:t>
      </w:r>
      <w:r w:rsidRPr="008B4DA2">
        <w:rPr>
          <w:noProof/>
        </w:rPr>
        <w:tab/>
      </w:r>
      <w:r w:rsidRPr="008B4DA2">
        <w:rPr>
          <w:rStyle w:val="normaltextrun"/>
          <w:noProof/>
        </w:rPr>
        <w:t xml:space="preserve">kategoria A: </w:t>
      </w:r>
    </w:p>
    <w:p w:rsidR="00BD67F9" w:rsidRPr="008B4DA2" w:rsidRDefault="00BD67F9" w:rsidP="00BD67F9">
      <w:pPr>
        <w:pStyle w:val="Tiret1"/>
        <w:rPr>
          <w:noProof/>
        </w:rPr>
      </w:pPr>
      <w:r w:rsidRPr="008B4DA2">
        <w:rPr>
          <w:noProof/>
        </w:rPr>
        <w:t xml:space="preserve">motocykle; </w:t>
      </w:r>
    </w:p>
    <w:p w:rsidR="00BD67F9" w:rsidRPr="008B4DA2" w:rsidRDefault="00BD67F9" w:rsidP="00BD67F9">
      <w:pPr>
        <w:pStyle w:val="Tiret1"/>
        <w:rPr>
          <w:noProof/>
        </w:rPr>
      </w:pPr>
      <w:r w:rsidRPr="008B4DA2">
        <w:rPr>
          <w:noProof/>
        </w:rPr>
        <w:t>trzykołowe pojazdy silnikowe</w:t>
      </w:r>
      <w:r w:rsidR="00B83C93" w:rsidRPr="008B4DA2">
        <w:rPr>
          <w:noProof/>
        </w:rPr>
        <w:t xml:space="preserve"> o</w:t>
      </w:r>
      <w:r w:rsidR="00B83C93">
        <w:rPr>
          <w:noProof/>
        </w:rPr>
        <w:t> </w:t>
      </w:r>
      <w:r w:rsidR="00B83C93" w:rsidRPr="008B4DA2">
        <w:rPr>
          <w:noProof/>
        </w:rPr>
        <w:t>moc</w:t>
      </w:r>
      <w:r w:rsidRPr="008B4DA2">
        <w:rPr>
          <w:noProof/>
        </w:rPr>
        <w:t>y powyżej 15 kW;</w:t>
      </w:r>
    </w:p>
    <w:p w:rsidR="00BD67F9" w:rsidRPr="008B4DA2" w:rsidRDefault="00DF60AC" w:rsidP="00DF60AC">
      <w:pPr>
        <w:pStyle w:val="Point0"/>
        <w:rPr>
          <w:noProof/>
        </w:rPr>
      </w:pPr>
      <w:r w:rsidRPr="008B4DA2">
        <w:rPr>
          <w:noProof/>
        </w:rPr>
        <w:t>c)</w:t>
      </w:r>
      <w:r w:rsidRPr="008B4DA2">
        <w:rPr>
          <w:noProof/>
        </w:rPr>
        <w:tab/>
        <w:t xml:space="preserve">pojazdy silnikowe: </w:t>
      </w:r>
    </w:p>
    <w:p w:rsidR="00BD67F9" w:rsidRPr="008B4DA2" w:rsidRDefault="00BD67F9" w:rsidP="005B2A2F">
      <w:pPr>
        <w:pStyle w:val="Text1"/>
        <w:rPr>
          <w:rStyle w:val="normaltextrun"/>
          <w:noProof/>
        </w:rPr>
      </w:pPr>
      <w:r w:rsidRPr="008B4DA2">
        <w:rPr>
          <w:rStyle w:val="normaltextrun"/>
          <w:noProof/>
        </w:rPr>
        <w:t xml:space="preserve">(i) </w:t>
      </w:r>
      <w:r w:rsidRPr="008B4DA2">
        <w:rPr>
          <w:noProof/>
        </w:rPr>
        <w:tab/>
      </w:r>
      <w:r w:rsidRPr="008B4DA2">
        <w:rPr>
          <w:rStyle w:val="normaltextrun"/>
          <w:noProof/>
        </w:rPr>
        <w:t xml:space="preserve">kategoria B1: </w:t>
      </w:r>
    </w:p>
    <w:p w:rsidR="00BD67F9" w:rsidRPr="008B4DA2" w:rsidRDefault="00BD67F9" w:rsidP="00BD67F9">
      <w:pPr>
        <w:pStyle w:val="Tiret1"/>
        <w:rPr>
          <w:noProof/>
        </w:rPr>
      </w:pPr>
      <w:r w:rsidRPr="008B4DA2">
        <w:rPr>
          <w:noProof/>
        </w:rPr>
        <w:t>ciężkie czterokołowce.</w:t>
      </w:r>
    </w:p>
    <w:p w:rsidR="00D93A70" w:rsidRPr="008B4DA2" w:rsidRDefault="00BD67F9" w:rsidP="007F5A7D">
      <w:pPr>
        <w:pStyle w:val="Text1"/>
        <w:ind w:left="1418"/>
        <w:rPr>
          <w:noProof/>
        </w:rPr>
      </w:pPr>
      <w:r w:rsidRPr="008B4DA2">
        <w:rPr>
          <w:noProof/>
        </w:rPr>
        <w:t>Kategoria B1 jest fakultatywna</w:t>
      </w:r>
      <w:r w:rsidR="00B83C93" w:rsidRPr="008B4DA2">
        <w:rPr>
          <w:noProof/>
        </w:rPr>
        <w:t>. W</w:t>
      </w:r>
      <w:r w:rsidR="00B83C93">
        <w:rPr>
          <w:noProof/>
        </w:rPr>
        <w:t> </w:t>
      </w:r>
      <w:r w:rsidR="00B83C93" w:rsidRPr="008B4DA2">
        <w:rPr>
          <w:noProof/>
        </w:rPr>
        <w:t>pań</w:t>
      </w:r>
      <w:r w:rsidRPr="008B4DA2">
        <w:rPr>
          <w:noProof/>
        </w:rPr>
        <w:t xml:space="preserve">stwach członkowskich, które nie wprowadzają tej kategorii prawa jazdy, do kierowania tymi pojazdami wymagane jest posiadanie prawa jazdy kategorii B; </w:t>
      </w:r>
    </w:p>
    <w:p w:rsidR="00BD67F9" w:rsidRPr="008B4DA2" w:rsidRDefault="00D93A70" w:rsidP="007F5A7D">
      <w:pPr>
        <w:pStyle w:val="Text1"/>
        <w:ind w:left="1418"/>
        <w:rPr>
          <w:noProof/>
        </w:rPr>
      </w:pPr>
      <w:r w:rsidRPr="008B4DA2">
        <w:rPr>
          <w:noProof/>
        </w:rPr>
        <w:t>Państwa członkowskie mogą również zdecydować</w:t>
      </w:r>
      <w:r w:rsidR="00B83C93" w:rsidRPr="008B4DA2">
        <w:rPr>
          <w:noProof/>
        </w:rPr>
        <w:t xml:space="preserve"> o</w:t>
      </w:r>
      <w:r w:rsidR="00B83C93">
        <w:rPr>
          <w:noProof/>
        </w:rPr>
        <w:t> </w:t>
      </w:r>
      <w:r w:rsidR="00B83C93" w:rsidRPr="008B4DA2">
        <w:rPr>
          <w:noProof/>
        </w:rPr>
        <w:t>wpr</w:t>
      </w:r>
      <w:r w:rsidRPr="008B4DA2">
        <w:rPr>
          <w:noProof/>
        </w:rPr>
        <w:t>owadzeniu tej kategorii wyłącznie</w:t>
      </w:r>
      <w:r w:rsidR="00B83C93" w:rsidRPr="008B4DA2">
        <w:rPr>
          <w:noProof/>
        </w:rPr>
        <w:t xml:space="preserve"> w</w:t>
      </w:r>
      <w:r w:rsidR="00B83C93">
        <w:rPr>
          <w:noProof/>
        </w:rPr>
        <w:t> </w:t>
      </w:r>
      <w:r w:rsidR="00B83C93" w:rsidRPr="008B4DA2">
        <w:rPr>
          <w:noProof/>
        </w:rPr>
        <w:t>odn</w:t>
      </w:r>
      <w:r w:rsidRPr="008B4DA2">
        <w:rPr>
          <w:noProof/>
        </w:rPr>
        <w:t>iesieniu do pojazdów,</w:t>
      </w:r>
      <w:r w:rsidR="00B83C93" w:rsidRPr="008B4DA2">
        <w:rPr>
          <w:noProof/>
        </w:rPr>
        <w:t xml:space="preserve"> o</w:t>
      </w:r>
      <w:r w:rsidR="00B83C93">
        <w:rPr>
          <w:noProof/>
        </w:rPr>
        <w:t> </w:t>
      </w:r>
      <w:r w:rsidR="00B83C93" w:rsidRPr="008B4DA2">
        <w:rPr>
          <w:noProof/>
        </w:rPr>
        <w:t>któ</w:t>
      </w:r>
      <w:r w:rsidRPr="008B4DA2">
        <w:rPr>
          <w:noProof/>
        </w:rPr>
        <w:t>rych mowa</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9</w:t>
      </w:r>
      <w:r w:rsidRPr="008B4DA2">
        <w:rPr>
          <w:noProof/>
        </w:rPr>
        <w:t xml:space="preserve"> </w:t>
      </w:r>
      <w:r w:rsidRPr="00B83C93">
        <w:rPr>
          <w:noProof/>
        </w:rPr>
        <w:t>ust.</w:t>
      </w:r>
      <w:r w:rsidR="00B83C93" w:rsidRPr="00B83C93">
        <w:rPr>
          <w:noProof/>
        </w:rPr>
        <w:t> </w:t>
      </w:r>
      <w:r w:rsidRPr="00B83C93">
        <w:rPr>
          <w:noProof/>
        </w:rPr>
        <w:t>4</w:t>
      </w:r>
      <w:r w:rsidRPr="008B4DA2">
        <w:rPr>
          <w:noProof/>
        </w:rPr>
        <w:t xml:space="preserve"> akapit pierwszy </w:t>
      </w:r>
      <w:r w:rsidRPr="00B83C93">
        <w:rPr>
          <w:noProof/>
        </w:rPr>
        <w:t>lit.</w:t>
      </w:r>
      <w:r w:rsidR="00B83C93" w:rsidRPr="00B83C93">
        <w:rPr>
          <w:noProof/>
        </w:rPr>
        <w:t> </w:t>
      </w:r>
      <w:r w:rsidRPr="00B83C93">
        <w:rPr>
          <w:noProof/>
        </w:rPr>
        <w:t>c)</w:t>
      </w:r>
      <w:r w:rsidRPr="008B4DA2">
        <w:rPr>
          <w:noProof/>
        </w:rPr>
        <w:t>,</w:t>
      </w:r>
      <w:r w:rsidR="00B83C93" w:rsidRPr="008B4DA2">
        <w:rPr>
          <w:noProof/>
        </w:rPr>
        <w:t xml:space="preserve"> i</w:t>
      </w:r>
      <w:r w:rsidR="00B83C93">
        <w:rPr>
          <w:noProof/>
        </w:rPr>
        <w:t> </w:t>
      </w:r>
      <w:r w:rsidR="00B83C93" w:rsidRPr="008B4DA2">
        <w:rPr>
          <w:noProof/>
        </w:rPr>
        <w:t>zgo</w:t>
      </w:r>
      <w:r w:rsidRPr="008B4DA2">
        <w:rPr>
          <w:noProof/>
        </w:rPr>
        <w:t>dnie</w:t>
      </w:r>
      <w:r w:rsidR="00B83C93" w:rsidRPr="008B4DA2">
        <w:rPr>
          <w:noProof/>
        </w:rPr>
        <w:t xml:space="preserve"> z</w:t>
      </w:r>
      <w:r w:rsidR="00B83C93">
        <w:rPr>
          <w:noProof/>
        </w:rPr>
        <w:t> </w:t>
      </w:r>
      <w:r w:rsidR="00B83C93" w:rsidRPr="008B4DA2">
        <w:rPr>
          <w:noProof/>
        </w:rPr>
        <w:t>war</w:t>
      </w:r>
      <w:r w:rsidRPr="008B4DA2">
        <w:rPr>
          <w:noProof/>
        </w:rPr>
        <w:t>unkami określonymi</w:t>
      </w:r>
      <w:r w:rsidR="00B83C93" w:rsidRPr="008B4DA2">
        <w:rPr>
          <w:noProof/>
        </w:rPr>
        <w:t xml:space="preserve"> w</w:t>
      </w:r>
      <w:r w:rsidR="00B83C93">
        <w:rPr>
          <w:noProof/>
        </w:rPr>
        <w:t> </w:t>
      </w:r>
      <w:r w:rsidR="00B83C93" w:rsidRPr="008B4DA2">
        <w:rPr>
          <w:noProof/>
        </w:rPr>
        <w:t>tym</w:t>
      </w:r>
      <w:r w:rsidRPr="008B4DA2">
        <w:rPr>
          <w:noProof/>
        </w:rPr>
        <w:t>że ustępie</w:t>
      </w:r>
      <w:r w:rsidR="00B83C93" w:rsidRPr="008B4DA2">
        <w:rPr>
          <w:noProof/>
        </w:rPr>
        <w:t>. W</w:t>
      </w:r>
      <w:r w:rsidR="00B83C93">
        <w:rPr>
          <w:noProof/>
        </w:rPr>
        <w:t> </w:t>
      </w:r>
      <w:r w:rsidR="00B83C93" w:rsidRPr="008B4DA2">
        <w:rPr>
          <w:noProof/>
        </w:rPr>
        <w:t>prz</w:t>
      </w:r>
      <w:r w:rsidRPr="008B4DA2">
        <w:rPr>
          <w:noProof/>
        </w:rPr>
        <w:t>ypadku podjęcia takiej decyzji państwo członkowskie oznacza ten fakt</w:t>
      </w:r>
      <w:r w:rsidR="00B83C93" w:rsidRPr="008B4DA2">
        <w:rPr>
          <w:noProof/>
        </w:rPr>
        <w:t xml:space="preserve"> w</w:t>
      </w:r>
      <w:r w:rsidR="00B83C93">
        <w:rPr>
          <w:noProof/>
        </w:rPr>
        <w:t> </w:t>
      </w:r>
      <w:r w:rsidR="00B83C93" w:rsidRPr="008B4DA2">
        <w:rPr>
          <w:noProof/>
        </w:rPr>
        <w:t>pra</w:t>
      </w:r>
      <w:r w:rsidRPr="008B4DA2">
        <w:rPr>
          <w:noProof/>
        </w:rPr>
        <w:t xml:space="preserve">wie jazdy za pomocą kodu unijnego 60.03; </w:t>
      </w:r>
    </w:p>
    <w:p w:rsidR="00BD67F9" w:rsidRPr="008B4DA2" w:rsidRDefault="00BD67F9" w:rsidP="005B2A2F">
      <w:pPr>
        <w:pStyle w:val="Text1"/>
        <w:rPr>
          <w:rStyle w:val="normaltextrun"/>
          <w:noProof/>
        </w:rPr>
      </w:pPr>
      <w:r w:rsidRPr="008B4DA2">
        <w:rPr>
          <w:rStyle w:val="normaltextrun"/>
          <w:noProof/>
        </w:rPr>
        <w:t>(ii)</w:t>
      </w:r>
      <w:r w:rsidRPr="008B4DA2">
        <w:rPr>
          <w:noProof/>
        </w:rPr>
        <w:tab/>
      </w:r>
      <w:r w:rsidRPr="008B4DA2">
        <w:rPr>
          <w:rStyle w:val="normaltextrun"/>
          <w:noProof/>
        </w:rPr>
        <w:t xml:space="preserve">kategoria B: </w:t>
      </w:r>
    </w:p>
    <w:p w:rsidR="00BD67F9" w:rsidRPr="008B4DA2" w:rsidRDefault="00BD67F9" w:rsidP="00BD67F9">
      <w:pPr>
        <w:pStyle w:val="Tiret1"/>
        <w:rPr>
          <w:noProof/>
        </w:rPr>
      </w:pPr>
      <w:r w:rsidRPr="008B4DA2">
        <w:rPr>
          <w:noProof/>
        </w:rPr>
        <w:t>pojazdy silnikowe</w:t>
      </w:r>
      <w:r w:rsidR="00B83C93" w:rsidRPr="008B4DA2">
        <w:rPr>
          <w:noProof/>
        </w:rPr>
        <w:t xml:space="preserve"> o</w:t>
      </w:r>
      <w:r w:rsidR="00B83C93">
        <w:rPr>
          <w:noProof/>
        </w:rPr>
        <w:t> </w:t>
      </w:r>
      <w:r w:rsidR="00B83C93" w:rsidRPr="008B4DA2">
        <w:rPr>
          <w:noProof/>
        </w:rPr>
        <w:t>dop</w:t>
      </w:r>
      <w:r w:rsidRPr="008B4DA2">
        <w:rPr>
          <w:noProof/>
        </w:rPr>
        <w:t>uszczalnej masie całkowitej nieprzekraczającej 3 500 kg</w:t>
      </w:r>
      <w:r w:rsidR="00B83C93" w:rsidRPr="008B4DA2">
        <w:rPr>
          <w:noProof/>
        </w:rPr>
        <w:t xml:space="preserve"> i</w:t>
      </w:r>
      <w:r w:rsidR="00B83C93">
        <w:rPr>
          <w:noProof/>
        </w:rPr>
        <w:t> </w:t>
      </w:r>
      <w:r w:rsidR="00B83C93" w:rsidRPr="008B4DA2">
        <w:rPr>
          <w:noProof/>
        </w:rPr>
        <w:t>kon</w:t>
      </w:r>
      <w:r w:rsidRPr="008B4DA2">
        <w:rPr>
          <w:noProof/>
        </w:rPr>
        <w:t xml:space="preserve">strukcyjnie przeznaczone do przewozu nie więcej niż ośmiu pasażerów oprócz kierowcy; </w:t>
      </w:r>
    </w:p>
    <w:p w:rsidR="00BD67F9" w:rsidRPr="008B4DA2" w:rsidRDefault="00BD67F9" w:rsidP="00BD67F9">
      <w:pPr>
        <w:pStyle w:val="Tiret1"/>
        <w:rPr>
          <w:noProof/>
        </w:rPr>
      </w:pPr>
      <w:r w:rsidRPr="008B4DA2">
        <w:rPr>
          <w:noProof/>
        </w:rPr>
        <w:t>pojazdy silnikowe tej kategorii mogą być łączone</w:t>
      </w:r>
      <w:r w:rsidR="00B83C93" w:rsidRPr="008B4DA2">
        <w:rPr>
          <w:noProof/>
        </w:rPr>
        <w:t xml:space="preserve"> z</w:t>
      </w:r>
      <w:r w:rsidR="00B83C93">
        <w:rPr>
          <w:noProof/>
        </w:rPr>
        <w:t> </w:t>
      </w:r>
      <w:r w:rsidR="00B83C93" w:rsidRPr="008B4DA2">
        <w:rPr>
          <w:noProof/>
        </w:rPr>
        <w:t>prz</w:t>
      </w:r>
      <w:r w:rsidRPr="008B4DA2">
        <w:rPr>
          <w:noProof/>
        </w:rPr>
        <w:t>yczepą</w:t>
      </w:r>
      <w:r w:rsidR="00B83C93" w:rsidRPr="008B4DA2">
        <w:rPr>
          <w:noProof/>
        </w:rPr>
        <w:t xml:space="preserve"> o</w:t>
      </w:r>
      <w:r w:rsidR="00B83C93">
        <w:rPr>
          <w:noProof/>
        </w:rPr>
        <w:t> </w:t>
      </w:r>
      <w:r w:rsidR="00B83C93" w:rsidRPr="008B4DA2">
        <w:rPr>
          <w:noProof/>
        </w:rPr>
        <w:t>dop</w:t>
      </w:r>
      <w:r w:rsidRPr="008B4DA2">
        <w:rPr>
          <w:noProof/>
        </w:rPr>
        <w:t xml:space="preserve">uszczalnej masie całkowitej nieprzekraczającej 750 kg. </w:t>
      </w:r>
    </w:p>
    <w:p w:rsidR="00BD67F9" w:rsidRPr="008B4DA2" w:rsidRDefault="00BD67F9" w:rsidP="007F5A7D">
      <w:pPr>
        <w:pStyle w:val="Text1"/>
        <w:ind w:left="1418"/>
        <w:rPr>
          <w:noProof/>
        </w:rPr>
      </w:pPr>
      <w:r w:rsidRPr="008B4DA2">
        <w:rPr>
          <w:noProof/>
        </w:rPr>
        <w:t>Bez uszczerbku dla przepisów dotyczących zasad przyznawania przedmiotowym pojazdom homologacji typu, pojazdy silnikowe należące do tej kategorii mogą być łączone</w:t>
      </w:r>
      <w:r w:rsidR="00B83C93" w:rsidRPr="008B4DA2">
        <w:rPr>
          <w:noProof/>
        </w:rPr>
        <w:t xml:space="preserve"> z</w:t>
      </w:r>
      <w:r w:rsidR="00B83C93">
        <w:rPr>
          <w:noProof/>
        </w:rPr>
        <w:t> </w:t>
      </w:r>
      <w:r w:rsidR="00B83C93" w:rsidRPr="008B4DA2">
        <w:rPr>
          <w:noProof/>
        </w:rPr>
        <w:t>prz</w:t>
      </w:r>
      <w:r w:rsidRPr="008B4DA2">
        <w:rPr>
          <w:noProof/>
        </w:rPr>
        <w:t>yczepą</w:t>
      </w:r>
      <w:r w:rsidR="00B83C93" w:rsidRPr="008B4DA2">
        <w:rPr>
          <w:noProof/>
        </w:rPr>
        <w:t xml:space="preserve"> o</w:t>
      </w:r>
      <w:r w:rsidR="00B83C93">
        <w:rPr>
          <w:noProof/>
        </w:rPr>
        <w:t> </w:t>
      </w:r>
      <w:r w:rsidR="00B83C93" w:rsidRPr="008B4DA2">
        <w:rPr>
          <w:noProof/>
        </w:rPr>
        <w:t>dop</w:t>
      </w:r>
      <w:r w:rsidRPr="008B4DA2">
        <w:rPr>
          <w:noProof/>
        </w:rPr>
        <w:t>uszczalnej masie całkowitej przekraczającej 750 kg, pod warunkiem że dopuszczalna masa całkowita takiego zespołu pojazdów nie przekracza 4 250 kg</w:t>
      </w:r>
      <w:r w:rsidR="00B83C93" w:rsidRPr="008B4DA2">
        <w:rPr>
          <w:noProof/>
        </w:rPr>
        <w:t>. W</w:t>
      </w:r>
      <w:r w:rsidR="00B83C93">
        <w:rPr>
          <w:noProof/>
        </w:rPr>
        <w:t> </w:t>
      </w:r>
      <w:r w:rsidR="00B83C93" w:rsidRPr="008B4DA2">
        <w:rPr>
          <w:noProof/>
        </w:rPr>
        <w:t>prz</w:t>
      </w:r>
      <w:r w:rsidRPr="008B4DA2">
        <w:rPr>
          <w:noProof/>
        </w:rPr>
        <w:t>ypadku gdy masa takiego zespołu pojazdów przekracza 3 500 kg, państwa członkowskie, zgodnie</w:t>
      </w:r>
      <w:r w:rsidR="00B83C93" w:rsidRPr="008B4DA2">
        <w:rPr>
          <w:noProof/>
        </w:rPr>
        <w:t xml:space="preserve"> z</w:t>
      </w:r>
      <w:r w:rsidR="00B83C93">
        <w:rPr>
          <w:noProof/>
        </w:rPr>
        <w:t> </w:t>
      </w:r>
      <w:r w:rsidR="00B83C93" w:rsidRPr="008B4DA2">
        <w:rPr>
          <w:noProof/>
        </w:rPr>
        <w:t>prz</w:t>
      </w:r>
      <w:r w:rsidRPr="008B4DA2">
        <w:rPr>
          <w:noProof/>
        </w:rPr>
        <w:t xml:space="preserve">episami załącznika V, stosują wymóg, aby takim zespołem pojazdów można było kierować wyłącznie po: </w:t>
      </w:r>
    </w:p>
    <w:p w:rsidR="00BD67F9" w:rsidRPr="008B4DA2" w:rsidRDefault="00BD67F9" w:rsidP="001404F6">
      <w:pPr>
        <w:pStyle w:val="Tiret3"/>
        <w:numPr>
          <w:ilvl w:val="0"/>
          <w:numId w:val="16"/>
        </w:numPr>
        <w:rPr>
          <w:noProof/>
        </w:rPr>
      </w:pPr>
      <w:r w:rsidRPr="008B4DA2">
        <w:rPr>
          <w:rStyle w:val="normaltextrun"/>
          <w:noProof/>
        </w:rPr>
        <w:t>ukończeniu szkolenia lub</w:t>
      </w:r>
      <w:r w:rsidRPr="008B4DA2">
        <w:rPr>
          <w:rStyle w:val="eop"/>
          <w:noProof/>
        </w:rPr>
        <w:t xml:space="preserve"> </w:t>
      </w:r>
    </w:p>
    <w:p w:rsidR="00BD67F9" w:rsidRPr="008B4DA2" w:rsidRDefault="00BD67F9" w:rsidP="00BD67F9">
      <w:pPr>
        <w:pStyle w:val="Tiret3"/>
        <w:rPr>
          <w:rStyle w:val="normaltextrun"/>
          <w:noProof/>
        </w:rPr>
      </w:pPr>
      <w:r w:rsidRPr="008B4DA2">
        <w:rPr>
          <w:rStyle w:val="normaltextrun"/>
          <w:noProof/>
        </w:rPr>
        <w:t>zdaniu egzaminu umiejętności</w:t>
      </w:r>
      <w:r w:rsidR="00B83C93" w:rsidRPr="008B4DA2">
        <w:rPr>
          <w:rStyle w:val="normaltextrun"/>
          <w:noProof/>
        </w:rPr>
        <w:t xml:space="preserve"> i</w:t>
      </w:r>
      <w:r w:rsidR="00B83C93">
        <w:rPr>
          <w:rStyle w:val="normaltextrun"/>
          <w:noProof/>
        </w:rPr>
        <w:t> </w:t>
      </w:r>
      <w:r w:rsidR="00B83C93" w:rsidRPr="008B4DA2">
        <w:rPr>
          <w:rStyle w:val="normaltextrun"/>
          <w:noProof/>
        </w:rPr>
        <w:t>zac</w:t>
      </w:r>
      <w:r w:rsidRPr="008B4DA2">
        <w:rPr>
          <w:rStyle w:val="normaltextrun"/>
          <w:noProof/>
        </w:rPr>
        <w:t xml:space="preserve">howań. </w:t>
      </w:r>
    </w:p>
    <w:p w:rsidR="00BD67F9" w:rsidRPr="008B4DA2" w:rsidRDefault="00BD67F9" w:rsidP="007F5A7D">
      <w:pPr>
        <w:pStyle w:val="Text1"/>
        <w:ind w:left="1418"/>
        <w:rPr>
          <w:noProof/>
        </w:rPr>
      </w:pPr>
      <w:r w:rsidRPr="008B4DA2">
        <w:rPr>
          <w:noProof/>
        </w:rPr>
        <w:t>Państwa członkowskie mogą także wymagać zarówno ukończenia takiego szkolenia, jak</w:t>
      </w:r>
      <w:r w:rsidR="00B83C93" w:rsidRPr="008B4DA2">
        <w:rPr>
          <w:noProof/>
        </w:rPr>
        <w:t xml:space="preserve"> i</w:t>
      </w:r>
      <w:r w:rsidR="00B83C93">
        <w:rPr>
          <w:noProof/>
        </w:rPr>
        <w:t> </w:t>
      </w:r>
      <w:r w:rsidR="00B83C93" w:rsidRPr="008B4DA2">
        <w:rPr>
          <w:noProof/>
        </w:rPr>
        <w:t>zda</w:t>
      </w:r>
      <w:r w:rsidRPr="008B4DA2">
        <w:rPr>
          <w:noProof/>
        </w:rPr>
        <w:t>nia egzaminu umiejętności</w:t>
      </w:r>
      <w:r w:rsidR="00B83C93" w:rsidRPr="008B4DA2">
        <w:rPr>
          <w:noProof/>
        </w:rPr>
        <w:t xml:space="preserve"> i</w:t>
      </w:r>
      <w:r w:rsidR="00B83C93">
        <w:rPr>
          <w:noProof/>
        </w:rPr>
        <w:t> </w:t>
      </w:r>
      <w:r w:rsidR="00B83C93" w:rsidRPr="008B4DA2">
        <w:rPr>
          <w:noProof/>
        </w:rPr>
        <w:t>zac</w:t>
      </w:r>
      <w:r w:rsidRPr="008B4DA2">
        <w:rPr>
          <w:noProof/>
        </w:rPr>
        <w:t xml:space="preserve">howań. </w:t>
      </w:r>
    </w:p>
    <w:p w:rsidR="00BD67F9" w:rsidRPr="008B4DA2" w:rsidRDefault="00BD67F9" w:rsidP="007F5A7D">
      <w:pPr>
        <w:pStyle w:val="Text1"/>
        <w:ind w:left="1418"/>
        <w:rPr>
          <w:noProof/>
        </w:rPr>
      </w:pPr>
      <w:r w:rsidRPr="008B4DA2">
        <w:rPr>
          <w:noProof/>
        </w:rPr>
        <w:t>Państwa członkowskie umieszczają na prawie jazdy odpowiedni kod unijny, zgodnie</w:t>
      </w:r>
      <w:r w:rsidR="00B83C93" w:rsidRPr="008B4DA2">
        <w:rPr>
          <w:noProof/>
        </w:rPr>
        <w:t xml:space="preserve"> z</w:t>
      </w:r>
      <w:r w:rsidR="00B83C93">
        <w:rPr>
          <w:noProof/>
        </w:rPr>
        <w:t> </w:t>
      </w:r>
      <w:r w:rsidR="00B83C93" w:rsidRPr="008B4DA2">
        <w:rPr>
          <w:noProof/>
        </w:rPr>
        <w:t>czę</w:t>
      </w:r>
      <w:r w:rsidRPr="008B4DA2">
        <w:rPr>
          <w:noProof/>
        </w:rPr>
        <w:t>ścią E załącznika I, informujący</w:t>
      </w:r>
      <w:r w:rsidR="00B83C93" w:rsidRPr="008B4DA2">
        <w:rPr>
          <w:noProof/>
        </w:rPr>
        <w:t xml:space="preserve"> o</w:t>
      </w:r>
      <w:r w:rsidR="00B83C93">
        <w:rPr>
          <w:noProof/>
        </w:rPr>
        <w:t> </w:t>
      </w:r>
      <w:r w:rsidR="00B83C93" w:rsidRPr="008B4DA2">
        <w:rPr>
          <w:noProof/>
        </w:rPr>
        <w:t>nad</w:t>
      </w:r>
      <w:r w:rsidRPr="008B4DA2">
        <w:rPr>
          <w:noProof/>
        </w:rPr>
        <w:t>aniu uprawnień do kierowania takim zespołem pojazdów;</w:t>
      </w:r>
    </w:p>
    <w:p w:rsidR="00BD67F9" w:rsidRPr="008B4DA2" w:rsidRDefault="00BD67F9" w:rsidP="005B2A2F">
      <w:pPr>
        <w:pStyle w:val="Text1"/>
        <w:rPr>
          <w:rStyle w:val="normaltextrun"/>
          <w:noProof/>
        </w:rPr>
      </w:pPr>
      <w:r w:rsidRPr="008B4DA2">
        <w:rPr>
          <w:rStyle w:val="normaltextrun"/>
          <w:noProof/>
        </w:rPr>
        <w:t>(iii)</w:t>
      </w:r>
      <w:r w:rsidRPr="008B4DA2">
        <w:rPr>
          <w:noProof/>
        </w:rPr>
        <w:tab/>
      </w:r>
      <w:r w:rsidRPr="008B4DA2">
        <w:rPr>
          <w:rStyle w:val="normaltextrun"/>
          <w:noProof/>
        </w:rPr>
        <w:t xml:space="preserve">kategoria BE: </w:t>
      </w:r>
    </w:p>
    <w:p w:rsidR="00BD67F9" w:rsidRPr="008B4DA2" w:rsidRDefault="00BD67F9" w:rsidP="00BD67F9">
      <w:pPr>
        <w:pStyle w:val="Tiret1"/>
        <w:rPr>
          <w:noProof/>
        </w:rPr>
      </w:pPr>
      <w:r w:rsidRPr="008B4DA2">
        <w:rPr>
          <w:noProof/>
        </w:rPr>
        <w:t>bez uszczerbku dla przepisów dotyczących zasad przyznawania przedmiotowym pojazdom homologacji typu, zespół pojazdów złożony</w:t>
      </w:r>
      <w:r w:rsidR="00B83C93" w:rsidRPr="008B4DA2">
        <w:rPr>
          <w:noProof/>
        </w:rPr>
        <w:t xml:space="preserve"> z</w:t>
      </w:r>
      <w:r w:rsidR="00B83C93">
        <w:rPr>
          <w:noProof/>
        </w:rPr>
        <w:t> </w:t>
      </w:r>
      <w:r w:rsidR="00B83C93" w:rsidRPr="008B4DA2">
        <w:rPr>
          <w:noProof/>
        </w:rPr>
        <w:t>poj</w:t>
      </w:r>
      <w:r w:rsidRPr="008B4DA2">
        <w:rPr>
          <w:noProof/>
        </w:rPr>
        <w:t>azdu ciągnącego kategorii B oraz przyczepy lub naczepy, przy czym dopuszczalna masa całkowita przyczepy lub naczepy nie przekracza 3 500 kg;</w:t>
      </w:r>
    </w:p>
    <w:p w:rsidR="00BD67F9" w:rsidRPr="008B4DA2" w:rsidRDefault="00BD67F9" w:rsidP="005B2A2F">
      <w:pPr>
        <w:pStyle w:val="Text1"/>
        <w:rPr>
          <w:rStyle w:val="normaltextrun"/>
          <w:noProof/>
        </w:rPr>
      </w:pPr>
      <w:r w:rsidRPr="008B4DA2">
        <w:rPr>
          <w:rStyle w:val="normaltextrun"/>
          <w:noProof/>
        </w:rPr>
        <w:t>(iv)</w:t>
      </w:r>
      <w:r w:rsidRPr="008B4DA2">
        <w:rPr>
          <w:noProof/>
        </w:rPr>
        <w:tab/>
      </w:r>
      <w:r w:rsidRPr="008B4DA2">
        <w:rPr>
          <w:rStyle w:val="normaltextrun"/>
          <w:noProof/>
        </w:rPr>
        <w:t xml:space="preserve">kategoria C1: </w:t>
      </w:r>
    </w:p>
    <w:p w:rsidR="00BD67F9" w:rsidRPr="008B4DA2" w:rsidRDefault="00BD67F9" w:rsidP="00BD67F9">
      <w:pPr>
        <w:pStyle w:val="Tiret1"/>
        <w:rPr>
          <w:noProof/>
        </w:rPr>
      </w:pPr>
      <w:r w:rsidRPr="008B4DA2">
        <w:rPr>
          <w:noProof/>
        </w:rPr>
        <w:t>pojazdy silnikowe nieujęte</w:t>
      </w:r>
      <w:r w:rsidR="00B83C93" w:rsidRPr="008B4DA2">
        <w:rPr>
          <w:noProof/>
        </w:rPr>
        <w:t xml:space="preserve"> w</w:t>
      </w:r>
      <w:r w:rsidR="00B83C93">
        <w:rPr>
          <w:noProof/>
        </w:rPr>
        <w:t> </w:t>
      </w:r>
      <w:r w:rsidR="00B83C93" w:rsidRPr="008B4DA2">
        <w:rPr>
          <w:noProof/>
        </w:rPr>
        <w:t>kat</w:t>
      </w:r>
      <w:r w:rsidRPr="008B4DA2">
        <w:rPr>
          <w:noProof/>
        </w:rPr>
        <w:t>egoriach D1 lub D,</w:t>
      </w:r>
      <w:r w:rsidR="00B83C93" w:rsidRPr="008B4DA2">
        <w:rPr>
          <w:noProof/>
        </w:rPr>
        <w:t xml:space="preserve"> o</w:t>
      </w:r>
      <w:r w:rsidR="00B83C93">
        <w:rPr>
          <w:noProof/>
        </w:rPr>
        <w:t> </w:t>
      </w:r>
      <w:r w:rsidR="00B83C93" w:rsidRPr="008B4DA2">
        <w:rPr>
          <w:noProof/>
        </w:rPr>
        <w:t>dop</w:t>
      </w:r>
      <w:r w:rsidRPr="008B4DA2">
        <w:rPr>
          <w:noProof/>
        </w:rPr>
        <w:t>uszczalnej masie całkowitej przekraczającej 3 500 kg, lecz nieprzekraczającej 7 500 kg,</w:t>
      </w:r>
      <w:r w:rsidR="00B83C93" w:rsidRPr="008B4DA2">
        <w:rPr>
          <w:noProof/>
        </w:rPr>
        <w:t xml:space="preserve"> i</w:t>
      </w:r>
      <w:r w:rsidR="00B83C93">
        <w:rPr>
          <w:noProof/>
        </w:rPr>
        <w:t> </w:t>
      </w:r>
      <w:r w:rsidR="00B83C93" w:rsidRPr="008B4DA2">
        <w:rPr>
          <w:noProof/>
        </w:rPr>
        <w:t>kon</w:t>
      </w:r>
      <w:r w:rsidRPr="008B4DA2">
        <w:rPr>
          <w:noProof/>
        </w:rPr>
        <w:t xml:space="preserve">strukcyjnie przeznaczone do przewozu nie więcej niż ośmiu pasażerów oprócz kierowcy; </w:t>
      </w:r>
    </w:p>
    <w:p w:rsidR="00BD67F9" w:rsidRPr="008B4DA2" w:rsidRDefault="00BD67F9" w:rsidP="00BD67F9">
      <w:pPr>
        <w:pStyle w:val="Tiret1"/>
        <w:rPr>
          <w:noProof/>
        </w:rPr>
      </w:pPr>
      <w:r w:rsidRPr="008B4DA2">
        <w:rPr>
          <w:noProof/>
        </w:rPr>
        <w:t>pojazdy silnikowe tej kategorii mogą być łączone</w:t>
      </w:r>
      <w:r w:rsidR="00B83C93" w:rsidRPr="008B4DA2">
        <w:rPr>
          <w:noProof/>
        </w:rPr>
        <w:t xml:space="preserve"> z</w:t>
      </w:r>
      <w:r w:rsidR="00B83C93">
        <w:rPr>
          <w:noProof/>
        </w:rPr>
        <w:t> </w:t>
      </w:r>
      <w:r w:rsidR="00B83C93" w:rsidRPr="008B4DA2">
        <w:rPr>
          <w:noProof/>
        </w:rPr>
        <w:t>prz</w:t>
      </w:r>
      <w:r w:rsidRPr="008B4DA2">
        <w:rPr>
          <w:noProof/>
        </w:rPr>
        <w:t>yczepą</w:t>
      </w:r>
      <w:r w:rsidR="00B83C93" w:rsidRPr="008B4DA2">
        <w:rPr>
          <w:noProof/>
        </w:rPr>
        <w:t xml:space="preserve"> o</w:t>
      </w:r>
      <w:r w:rsidR="00B83C93">
        <w:rPr>
          <w:noProof/>
        </w:rPr>
        <w:t> </w:t>
      </w:r>
      <w:r w:rsidR="00B83C93" w:rsidRPr="008B4DA2">
        <w:rPr>
          <w:noProof/>
        </w:rPr>
        <w:t>dop</w:t>
      </w:r>
      <w:r w:rsidRPr="008B4DA2">
        <w:rPr>
          <w:noProof/>
        </w:rPr>
        <w:t>uszczalnej masie całkowitej nieprzekraczającej 750 kg;</w:t>
      </w:r>
    </w:p>
    <w:p w:rsidR="00BD67F9" w:rsidRPr="008B4DA2" w:rsidRDefault="00BD67F9" w:rsidP="005B2A2F">
      <w:pPr>
        <w:pStyle w:val="Text1"/>
        <w:rPr>
          <w:rStyle w:val="normaltextrun"/>
          <w:noProof/>
        </w:rPr>
      </w:pPr>
      <w:r w:rsidRPr="008B4DA2">
        <w:rPr>
          <w:rStyle w:val="normaltextrun"/>
          <w:noProof/>
        </w:rPr>
        <w:t>(v)</w:t>
      </w:r>
      <w:r w:rsidRPr="008B4DA2">
        <w:rPr>
          <w:noProof/>
        </w:rPr>
        <w:tab/>
      </w:r>
      <w:r w:rsidRPr="008B4DA2">
        <w:rPr>
          <w:rStyle w:val="normaltextrun"/>
          <w:noProof/>
        </w:rPr>
        <w:t xml:space="preserve">kategoria C1E: </w:t>
      </w:r>
    </w:p>
    <w:p w:rsidR="00BD67F9" w:rsidRPr="008B4DA2" w:rsidRDefault="00BD67F9" w:rsidP="00BD67F9">
      <w:pPr>
        <w:pStyle w:val="Tiret1"/>
        <w:rPr>
          <w:noProof/>
        </w:rPr>
      </w:pPr>
      <w:r w:rsidRPr="008B4DA2">
        <w:rPr>
          <w:noProof/>
        </w:rPr>
        <w:t>bez uszczerbku dla przepisów dotyczących zasad przyznawania przedmiotowym pojazdom homologacji typu, zespoły pojazdów złożone</w:t>
      </w:r>
      <w:r w:rsidR="00B83C93" w:rsidRPr="008B4DA2">
        <w:rPr>
          <w:noProof/>
        </w:rPr>
        <w:t xml:space="preserve"> z</w:t>
      </w:r>
      <w:r w:rsidR="00B83C93">
        <w:rPr>
          <w:noProof/>
        </w:rPr>
        <w:t> </w:t>
      </w:r>
      <w:r w:rsidR="00B83C93" w:rsidRPr="008B4DA2">
        <w:rPr>
          <w:noProof/>
        </w:rPr>
        <w:t>poj</w:t>
      </w:r>
      <w:r w:rsidRPr="008B4DA2">
        <w:rPr>
          <w:noProof/>
        </w:rPr>
        <w:t>azdu ciągnącego kategorii C1 oraz przyczepy lub naczepy, której dopuszczalna masa całkowita przekracza 750 kg, pod warunkiem że dopuszczalna masa takiego zespołu pojazdów nie przekracza 12 000 kg;</w:t>
      </w:r>
    </w:p>
    <w:p w:rsidR="00BD67F9" w:rsidRPr="008B4DA2" w:rsidRDefault="00BD67F9" w:rsidP="00BD67F9">
      <w:pPr>
        <w:pStyle w:val="Tiret1"/>
        <w:rPr>
          <w:noProof/>
        </w:rPr>
      </w:pPr>
      <w:r w:rsidRPr="008B4DA2">
        <w:rPr>
          <w:noProof/>
        </w:rPr>
        <w:t>bez uszczerbku dla przepisów dotyczących zasad przyznawania przedmiotowym pojazdom homologacji typu, zespoły pojazdów złożone</w:t>
      </w:r>
      <w:r w:rsidR="00B83C93" w:rsidRPr="008B4DA2">
        <w:rPr>
          <w:noProof/>
        </w:rPr>
        <w:t xml:space="preserve"> z</w:t>
      </w:r>
      <w:r w:rsidR="00B83C93">
        <w:rPr>
          <w:noProof/>
        </w:rPr>
        <w:t> </w:t>
      </w:r>
      <w:r w:rsidR="00B83C93" w:rsidRPr="008B4DA2">
        <w:rPr>
          <w:noProof/>
        </w:rPr>
        <w:t>poj</w:t>
      </w:r>
      <w:r w:rsidRPr="008B4DA2">
        <w:rPr>
          <w:noProof/>
        </w:rPr>
        <w:t>azdu ciągnącego kategorii B oraz przyczepy lub naczepy, której dopuszczalna masa całkowita przekracza 3 500 kg, pod warunkiem że dopuszczalna masa takiego zespołu pojazdów nie przekracza 12 000 kg;</w:t>
      </w:r>
    </w:p>
    <w:p w:rsidR="00BD67F9" w:rsidRPr="008B4DA2" w:rsidRDefault="00BD67F9" w:rsidP="005B2A2F">
      <w:pPr>
        <w:pStyle w:val="Text1"/>
        <w:rPr>
          <w:rStyle w:val="normaltextrun"/>
          <w:noProof/>
        </w:rPr>
      </w:pPr>
      <w:r w:rsidRPr="008B4DA2">
        <w:rPr>
          <w:rStyle w:val="normaltextrun"/>
          <w:noProof/>
        </w:rPr>
        <w:t>(vi)</w:t>
      </w:r>
      <w:r w:rsidRPr="008B4DA2">
        <w:rPr>
          <w:noProof/>
        </w:rPr>
        <w:tab/>
      </w:r>
      <w:r w:rsidRPr="008B4DA2">
        <w:rPr>
          <w:rStyle w:val="normaltextrun"/>
          <w:noProof/>
        </w:rPr>
        <w:t xml:space="preserve">kategoria C: </w:t>
      </w:r>
    </w:p>
    <w:p w:rsidR="00BD67F9" w:rsidRPr="008B4DA2" w:rsidRDefault="00BD67F9" w:rsidP="00BD67F9">
      <w:pPr>
        <w:pStyle w:val="Tiret1"/>
        <w:rPr>
          <w:noProof/>
        </w:rPr>
      </w:pPr>
      <w:r w:rsidRPr="008B4DA2">
        <w:rPr>
          <w:noProof/>
        </w:rPr>
        <w:t>pojazdy silnikowe nieujęte</w:t>
      </w:r>
      <w:r w:rsidR="00B83C93" w:rsidRPr="008B4DA2">
        <w:rPr>
          <w:noProof/>
        </w:rPr>
        <w:t xml:space="preserve"> w</w:t>
      </w:r>
      <w:r w:rsidR="00B83C93">
        <w:rPr>
          <w:noProof/>
        </w:rPr>
        <w:t> </w:t>
      </w:r>
      <w:r w:rsidR="00B83C93" w:rsidRPr="008B4DA2">
        <w:rPr>
          <w:noProof/>
        </w:rPr>
        <w:t>kat</w:t>
      </w:r>
      <w:r w:rsidRPr="008B4DA2">
        <w:rPr>
          <w:noProof/>
        </w:rPr>
        <w:t>egoriach D1 lub D, których dopuszczalna masa całkowita przekracza 3 500 kg</w:t>
      </w:r>
      <w:r w:rsidR="00B83C93" w:rsidRPr="008B4DA2">
        <w:rPr>
          <w:noProof/>
        </w:rPr>
        <w:t xml:space="preserve"> i</w:t>
      </w:r>
      <w:r w:rsidR="00B83C93">
        <w:rPr>
          <w:noProof/>
        </w:rPr>
        <w:t> </w:t>
      </w:r>
      <w:r w:rsidR="00B83C93" w:rsidRPr="008B4DA2">
        <w:rPr>
          <w:noProof/>
        </w:rPr>
        <w:t>któ</w:t>
      </w:r>
      <w:r w:rsidRPr="008B4DA2">
        <w:rPr>
          <w:noProof/>
        </w:rPr>
        <w:t xml:space="preserve">re są konstrukcyjnie przeznaczone do przewozu nie więcej niż ośmiu pasażerów oprócz kierowcy; </w:t>
      </w:r>
    </w:p>
    <w:p w:rsidR="00BD67F9" w:rsidRPr="008B4DA2" w:rsidRDefault="00BD67F9" w:rsidP="00BD67F9">
      <w:pPr>
        <w:pStyle w:val="Tiret1"/>
        <w:rPr>
          <w:noProof/>
        </w:rPr>
      </w:pPr>
      <w:r w:rsidRPr="008B4DA2">
        <w:rPr>
          <w:noProof/>
        </w:rPr>
        <w:t>pojazdy silnikowe tej kategorii mogą być łączone</w:t>
      </w:r>
      <w:r w:rsidR="00B83C93" w:rsidRPr="008B4DA2">
        <w:rPr>
          <w:noProof/>
        </w:rPr>
        <w:t xml:space="preserve"> z</w:t>
      </w:r>
      <w:r w:rsidR="00B83C93">
        <w:rPr>
          <w:noProof/>
        </w:rPr>
        <w:t> </w:t>
      </w:r>
      <w:r w:rsidR="00B83C93" w:rsidRPr="008B4DA2">
        <w:rPr>
          <w:noProof/>
        </w:rPr>
        <w:t>prz</w:t>
      </w:r>
      <w:r w:rsidRPr="008B4DA2">
        <w:rPr>
          <w:noProof/>
        </w:rPr>
        <w:t>yczepą</w:t>
      </w:r>
      <w:r w:rsidR="00B83C93" w:rsidRPr="008B4DA2">
        <w:rPr>
          <w:noProof/>
        </w:rPr>
        <w:t xml:space="preserve"> o</w:t>
      </w:r>
      <w:r w:rsidR="00B83C93">
        <w:rPr>
          <w:noProof/>
        </w:rPr>
        <w:t> </w:t>
      </w:r>
      <w:r w:rsidR="00B83C93" w:rsidRPr="008B4DA2">
        <w:rPr>
          <w:noProof/>
        </w:rPr>
        <w:t>dop</w:t>
      </w:r>
      <w:r w:rsidRPr="008B4DA2">
        <w:rPr>
          <w:noProof/>
        </w:rPr>
        <w:t>uszczalnej masie całkowitej nieprzekraczającej 750 kg;</w:t>
      </w:r>
    </w:p>
    <w:p w:rsidR="00BD67F9" w:rsidRPr="008B4DA2" w:rsidRDefault="00BD67F9" w:rsidP="005B2A2F">
      <w:pPr>
        <w:pStyle w:val="Text1"/>
        <w:rPr>
          <w:rStyle w:val="normaltextrun"/>
          <w:noProof/>
        </w:rPr>
      </w:pPr>
      <w:r w:rsidRPr="008B4DA2">
        <w:rPr>
          <w:rStyle w:val="normaltextrun"/>
          <w:noProof/>
        </w:rPr>
        <w:t>(vii)</w:t>
      </w:r>
      <w:r w:rsidRPr="008B4DA2">
        <w:rPr>
          <w:noProof/>
        </w:rPr>
        <w:tab/>
      </w:r>
      <w:r w:rsidRPr="008B4DA2">
        <w:rPr>
          <w:rStyle w:val="normaltextrun"/>
          <w:noProof/>
        </w:rPr>
        <w:t xml:space="preserve">kategoria CE: </w:t>
      </w:r>
    </w:p>
    <w:p w:rsidR="00BD67F9" w:rsidRPr="008B4DA2" w:rsidRDefault="00BD67F9" w:rsidP="00BD67F9">
      <w:pPr>
        <w:pStyle w:val="Tiret1"/>
        <w:rPr>
          <w:noProof/>
        </w:rPr>
      </w:pPr>
      <w:r w:rsidRPr="008B4DA2">
        <w:rPr>
          <w:noProof/>
        </w:rPr>
        <w:t>bez uszczerbku dla przepisów dotyczących zasad przyznawania przedmiotowym pojazdom homologacji typu, zespoły pojazdów złożone</w:t>
      </w:r>
      <w:r w:rsidR="00B83C93" w:rsidRPr="008B4DA2">
        <w:rPr>
          <w:noProof/>
        </w:rPr>
        <w:t xml:space="preserve"> z</w:t>
      </w:r>
      <w:r w:rsidR="00B83C93">
        <w:rPr>
          <w:noProof/>
        </w:rPr>
        <w:t> </w:t>
      </w:r>
      <w:r w:rsidR="00B83C93" w:rsidRPr="008B4DA2">
        <w:rPr>
          <w:noProof/>
        </w:rPr>
        <w:t>poj</w:t>
      </w:r>
      <w:r w:rsidRPr="008B4DA2">
        <w:rPr>
          <w:noProof/>
        </w:rPr>
        <w:t>azdu ciągnącego kategorii C oraz przyczepy lub naczepy, której dopuszczalna masa całkowita przekracza 750 kg;</w:t>
      </w:r>
    </w:p>
    <w:p w:rsidR="00BD67F9" w:rsidRPr="008B4DA2" w:rsidRDefault="00BD67F9" w:rsidP="005B2A2F">
      <w:pPr>
        <w:pStyle w:val="Text1"/>
        <w:rPr>
          <w:rStyle w:val="normaltextrun"/>
          <w:noProof/>
        </w:rPr>
      </w:pPr>
      <w:r w:rsidRPr="008B4DA2">
        <w:rPr>
          <w:rStyle w:val="normaltextrun"/>
          <w:noProof/>
        </w:rPr>
        <w:t>(viii)</w:t>
      </w:r>
      <w:r w:rsidRPr="008B4DA2">
        <w:rPr>
          <w:noProof/>
        </w:rPr>
        <w:tab/>
      </w:r>
      <w:r w:rsidRPr="008B4DA2">
        <w:rPr>
          <w:rStyle w:val="normaltextrun"/>
          <w:noProof/>
        </w:rPr>
        <w:t xml:space="preserve">kategoria D1: </w:t>
      </w:r>
    </w:p>
    <w:p w:rsidR="00BD67F9" w:rsidRPr="008B4DA2" w:rsidRDefault="00BD67F9" w:rsidP="00BD67F9">
      <w:pPr>
        <w:pStyle w:val="Tiret1"/>
        <w:rPr>
          <w:noProof/>
        </w:rPr>
      </w:pPr>
      <w:r w:rsidRPr="008B4DA2">
        <w:rPr>
          <w:noProof/>
        </w:rPr>
        <w:t>pojazdy silnikowe konstrukcyjnie przeznaczone do przewozu nie więcej niż 16 pasażerów oprócz kierowcy</w:t>
      </w:r>
      <w:r w:rsidR="00B83C93" w:rsidRPr="008B4DA2">
        <w:rPr>
          <w:noProof/>
        </w:rPr>
        <w:t xml:space="preserve"> i</w:t>
      </w:r>
      <w:r w:rsidR="00B83C93">
        <w:rPr>
          <w:noProof/>
        </w:rPr>
        <w:t> </w:t>
      </w:r>
      <w:r w:rsidR="00B83C93" w:rsidRPr="008B4DA2">
        <w:rPr>
          <w:noProof/>
        </w:rPr>
        <w:t>mak</w:t>
      </w:r>
      <w:r w:rsidRPr="008B4DA2">
        <w:rPr>
          <w:noProof/>
        </w:rPr>
        <w:t xml:space="preserve">symalnej długości </w:t>
      </w:r>
      <w:r w:rsidRPr="00B83C93">
        <w:rPr>
          <w:noProof/>
        </w:rPr>
        <w:t>do</w:t>
      </w:r>
      <w:r w:rsidR="00B83C93" w:rsidRPr="00B83C93">
        <w:rPr>
          <w:noProof/>
        </w:rPr>
        <w:t> </w:t>
      </w:r>
      <w:r w:rsidRPr="00B83C93">
        <w:rPr>
          <w:noProof/>
        </w:rPr>
        <w:t>8</w:t>
      </w:r>
      <w:r w:rsidRPr="008B4DA2">
        <w:rPr>
          <w:noProof/>
        </w:rPr>
        <w:t xml:space="preserve"> m; </w:t>
      </w:r>
    </w:p>
    <w:p w:rsidR="00BD67F9" w:rsidRPr="008B4DA2" w:rsidRDefault="00BD67F9" w:rsidP="00BD67F9">
      <w:pPr>
        <w:pStyle w:val="Tiret1"/>
        <w:rPr>
          <w:noProof/>
        </w:rPr>
      </w:pPr>
      <w:r w:rsidRPr="008B4DA2">
        <w:rPr>
          <w:noProof/>
        </w:rPr>
        <w:t>pojazdy silnikowe tej kategorii mogą być łączone</w:t>
      </w:r>
      <w:r w:rsidR="00B83C93" w:rsidRPr="008B4DA2">
        <w:rPr>
          <w:noProof/>
        </w:rPr>
        <w:t xml:space="preserve"> z</w:t>
      </w:r>
      <w:r w:rsidR="00B83C93">
        <w:rPr>
          <w:noProof/>
        </w:rPr>
        <w:t> </w:t>
      </w:r>
      <w:r w:rsidR="00B83C93" w:rsidRPr="008B4DA2">
        <w:rPr>
          <w:noProof/>
        </w:rPr>
        <w:t>prz</w:t>
      </w:r>
      <w:r w:rsidRPr="008B4DA2">
        <w:rPr>
          <w:noProof/>
        </w:rPr>
        <w:t>yczepą</w:t>
      </w:r>
      <w:r w:rsidR="00B83C93" w:rsidRPr="008B4DA2">
        <w:rPr>
          <w:noProof/>
        </w:rPr>
        <w:t xml:space="preserve"> o</w:t>
      </w:r>
      <w:r w:rsidR="00B83C93">
        <w:rPr>
          <w:noProof/>
        </w:rPr>
        <w:t> </w:t>
      </w:r>
      <w:r w:rsidR="00B83C93" w:rsidRPr="008B4DA2">
        <w:rPr>
          <w:noProof/>
        </w:rPr>
        <w:t>dop</w:t>
      </w:r>
      <w:r w:rsidRPr="008B4DA2">
        <w:rPr>
          <w:noProof/>
        </w:rPr>
        <w:t>uszczalnej masie całkowitej nieprzekraczającej 750 kg;</w:t>
      </w:r>
    </w:p>
    <w:p w:rsidR="00BD67F9" w:rsidRPr="008B4DA2" w:rsidRDefault="00BD67F9" w:rsidP="005B2A2F">
      <w:pPr>
        <w:pStyle w:val="Text1"/>
        <w:rPr>
          <w:rStyle w:val="normaltextrun"/>
          <w:noProof/>
        </w:rPr>
      </w:pPr>
      <w:r w:rsidRPr="008B4DA2">
        <w:rPr>
          <w:rStyle w:val="normaltextrun"/>
          <w:noProof/>
        </w:rPr>
        <w:t>(ix)</w:t>
      </w:r>
      <w:r w:rsidRPr="008B4DA2">
        <w:rPr>
          <w:noProof/>
        </w:rPr>
        <w:tab/>
      </w:r>
      <w:r w:rsidRPr="008B4DA2">
        <w:rPr>
          <w:rStyle w:val="normaltextrun"/>
          <w:noProof/>
        </w:rPr>
        <w:t xml:space="preserve">kategoria D1E: </w:t>
      </w:r>
    </w:p>
    <w:p w:rsidR="00BD67F9" w:rsidRPr="008B4DA2" w:rsidRDefault="00BD67F9" w:rsidP="00BD67F9">
      <w:pPr>
        <w:pStyle w:val="Tiret1"/>
        <w:rPr>
          <w:noProof/>
        </w:rPr>
      </w:pPr>
      <w:r w:rsidRPr="008B4DA2">
        <w:rPr>
          <w:noProof/>
        </w:rPr>
        <w:t>bez uszczerbku dla przepisów dotyczących zasad przyznawania przedmiotowym pojazdom homologacji typu, zespoły pojazdów złożone</w:t>
      </w:r>
      <w:r w:rsidR="00B83C93" w:rsidRPr="008B4DA2">
        <w:rPr>
          <w:noProof/>
        </w:rPr>
        <w:t xml:space="preserve"> z</w:t>
      </w:r>
      <w:r w:rsidR="00B83C93">
        <w:rPr>
          <w:noProof/>
        </w:rPr>
        <w:t> </w:t>
      </w:r>
      <w:r w:rsidR="00B83C93" w:rsidRPr="008B4DA2">
        <w:rPr>
          <w:noProof/>
        </w:rPr>
        <w:t>poj</w:t>
      </w:r>
      <w:r w:rsidRPr="008B4DA2">
        <w:rPr>
          <w:noProof/>
        </w:rPr>
        <w:t>azdu ciągnącego kategorii D1 oraz przyczepy, której dopuszczalna masa całkowita przekracza 750 kg;</w:t>
      </w:r>
    </w:p>
    <w:p w:rsidR="00BD67F9" w:rsidRPr="008B4DA2" w:rsidRDefault="00BD67F9" w:rsidP="005B2A2F">
      <w:pPr>
        <w:pStyle w:val="Text1"/>
        <w:rPr>
          <w:rStyle w:val="normaltextrun"/>
          <w:noProof/>
        </w:rPr>
      </w:pPr>
      <w:r w:rsidRPr="008B4DA2">
        <w:rPr>
          <w:rStyle w:val="normaltextrun"/>
          <w:noProof/>
        </w:rPr>
        <w:t>(x)</w:t>
      </w:r>
      <w:r w:rsidRPr="008B4DA2">
        <w:rPr>
          <w:noProof/>
        </w:rPr>
        <w:tab/>
      </w:r>
      <w:r w:rsidRPr="008B4DA2">
        <w:rPr>
          <w:rStyle w:val="normaltextrun"/>
          <w:noProof/>
        </w:rPr>
        <w:t xml:space="preserve">kategoria D: </w:t>
      </w:r>
    </w:p>
    <w:p w:rsidR="00BD67F9" w:rsidRPr="008B4DA2" w:rsidRDefault="00BD67F9" w:rsidP="00BD67F9">
      <w:pPr>
        <w:pStyle w:val="Tiret1"/>
        <w:rPr>
          <w:noProof/>
        </w:rPr>
      </w:pPr>
      <w:r w:rsidRPr="008B4DA2">
        <w:rPr>
          <w:noProof/>
        </w:rPr>
        <w:t>pojazdy silnikowe konstrukcyjnie przeznaczone do przewozu nie więcej niż ośmiu pasażerów oprócz kierowcy; pojazdy silnikowe, którymi można kierować na podstawie prawa jazdy kategorii D, mogą być łączone</w:t>
      </w:r>
      <w:r w:rsidR="00B83C93" w:rsidRPr="008B4DA2">
        <w:rPr>
          <w:noProof/>
        </w:rPr>
        <w:t xml:space="preserve"> z</w:t>
      </w:r>
      <w:r w:rsidR="00B83C93">
        <w:rPr>
          <w:noProof/>
        </w:rPr>
        <w:t> </w:t>
      </w:r>
      <w:r w:rsidR="00B83C93" w:rsidRPr="008B4DA2">
        <w:rPr>
          <w:noProof/>
        </w:rPr>
        <w:t>prz</w:t>
      </w:r>
      <w:r w:rsidRPr="008B4DA2">
        <w:rPr>
          <w:noProof/>
        </w:rPr>
        <w:t>yczepą</w:t>
      </w:r>
      <w:r w:rsidR="00B83C93" w:rsidRPr="008B4DA2">
        <w:rPr>
          <w:noProof/>
        </w:rPr>
        <w:t xml:space="preserve"> o</w:t>
      </w:r>
      <w:r w:rsidR="00B83C93">
        <w:rPr>
          <w:noProof/>
        </w:rPr>
        <w:t> </w:t>
      </w:r>
      <w:r w:rsidR="00B83C93" w:rsidRPr="008B4DA2">
        <w:rPr>
          <w:noProof/>
        </w:rPr>
        <w:t>dop</w:t>
      </w:r>
      <w:r w:rsidRPr="008B4DA2">
        <w:rPr>
          <w:noProof/>
        </w:rPr>
        <w:t xml:space="preserve">uszczalnej masie całkowitej </w:t>
      </w:r>
      <w:r w:rsidRPr="00B83C93">
        <w:rPr>
          <w:noProof/>
        </w:rPr>
        <w:t>do</w:t>
      </w:r>
      <w:r w:rsidR="00B83C93" w:rsidRPr="00B83C93">
        <w:rPr>
          <w:noProof/>
        </w:rPr>
        <w:t> </w:t>
      </w:r>
      <w:r w:rsidRPr="00B83C93">
        <w:rPr>
          <w:noProof/>
        </w:rPr>
        <w:t>7</w:t>
      </w:r>
      <w:r w:rsidRPr="008B4DA2">
        <w:rPr>
          <w:noProof/>
        </w:rPr>
        <w:t>50 kg;</w:t>
      </w:r>
    </w:p>
    <w:p w:rsidR="00BD67F9" w:rsidRPr="008B4DA2" w:rsidRDefault="00BD67F9" w:rsidP="005B2A2F">
      <w:pPr>
        <w:pStyle w:val="Text1"/>
        <w:rPr>
          <w:rStyle w:val="normaltextrun"/>
          <w:noProof/>
        </w:rPr>
      </w:pPr>
      <w:r w:rsidRPr="008B4DA2">
        <w:rPr>
          <w:rStyle w:val="normaltextrun"/>
          <w:noProof/>
        </w:rPr>
        <w:t>(xi)</w:t>
      </w:r>
      <w:r w:rsidRPr="008B4DA2">
        <w:rPr>
          <w:noProof/>
        </w:rPr>
        <w:tab/>
      </w:r>
      <w:r w:rsidRPr="008B4DA2">
        <w:rPr>
          <w:rStyle w:val="normaltextrun"/>
          <w:noProof/>
        </w:rPr>
        <w:t xml:space="preserve">kategoria DE: </w:t>
      </w:r>
    </w:p>
    <w:p w:rsidR="00BD67F9" w:rsidRPr="008B4DA2" w:rsidRDefault="00BD67F9" w:rsidP="00BD67F9">
      <w:pPr>
        <w:pStyle w:val="Tiret1"/>
        <w:rPr>
          <w:noProof/>
        </w:rPr>
      </w:pPr>
      <w:r w:rsidRPr="008B4DA2">
        <w:rPr>
          <w:noProof/>
        </w:rPr>
        <w:t>bez uszczerbku dla przepisów dotyczących zasad przyznawania przedmiotowym pojazdom homologacji typu, zespoły pojazdów złożone</w:t>
      </w:r>
      <w:r w:rsidR="00B83C93" w:rsidRPr="008B4DA2">
        <w:rPr>
          <w:noProof/>
        </w:rPr>
        <w:t xml:space="preserve"> z</w:t>
      </w:r>
      <w:r w:rsidR="00B83C93">
        <w:rPr>
          <w:noProof/>
        </w:rPr>
        <w:t> </w:t>
      </w:r>
      <w:r w:rsidR="00B83C93" w:rsidRPr="008B4DA2">
        <w:rPr>
          <w:noProof/>
        </w:rPr>
        <w:t>poj</w:t>
      </w:r>
      <w:r w:rsidRPr="008B4DA2">
        <w:rPr>
          <w:noProof/>
        </w:rPr>
        <w:t>azdu ciągnącego kategorii D oraz przyczepy, której dopuszczalna masa całkowita przekracza 750 kg.</w:t>
      </w:r>
    </w:p>
    <w:p w:rsidR="00BD67F9" w:rsidRPr="008B4DA2" w:rsidRDefault="00DF60AC" w:rsidP="00DF60AC">
      <w:pPr>
        <w:pStyle w:val="ManualNumPar1"/>
        <w:rPr>
          <w:noProof/>
        </w:rPr>
      </w:pPr>
      <w:r w:rsidRPr="008B4DA2">
        <w:rPr>
          <w:noProof/>
        </w:rPr>
        <w:t>2.</w:t>
      </w:r>
      <w:r w:rsidRPr="008B4DA2">
        <w:rPr>
          <w:noProof/>
        </w:rPr>
        <w:tab/>
        <w:t>Za wcześniejszą zgodą Komisji, która przeprowadza ocenę wpływu proponowanego środka na bezpieczeństwo ruchu drogowego, państwa członkowskie mogą wyłączyć</w:t>
      </w:r>
      <w:r w:rsidR="00B83C93" w:rsidRPr="008B4DA2">
        <w:rPr>
          <w:noProof/>
        </w:rPr>
        <w:t xml:space="preserve"> z</w:t>
      </w:r>
      <w:r w:rsidR="00B83C93">
        <w:rPr>
          <w:noProof/>
        </w:rPr>
        <w:t> </w:t>
      </w:r>
      <w:r w:rsidR="00B83C93" w:rsidRPr="008B4DA2">
        <w:rPr>
          <w:noProof/>
        </w:rPr>
        <w:t>zak</w:t>
      </w:r>
      <w:r w:rsidRPr="008B4DA2">
        <w:rPr>
          <w:noProof/>
        </w:rPr>
        <w:t>resu stosowania niniejszego artykułu niektóre określone typy pojazdów mechanicznych, takie jak pojazdy specjalne dla osób</w:t>
      </w:r>
      <w:r w:rsidR="00B83C93" w:rsidRPr="008B4DA2">
        <w:rPr>
          <w:noProof/>
        </w:rPr>
        <w:t xml:space="preserve"> z</w:t>
      </w:r>
      <w:r w:rsidR="00B83C93">
        <w:rPr>
          <w:noProof/>
        </w:rPr>
        <w:t> </w:t>
      </w:r>
      <w:r w:rsidR="00B83C93" w:rsidRPr="008B4DA2">
        <w:rPr>
          <w:noProof/>
        </w:rPr>
        <w:t>nie</w:t>
      </w:r>
      <w:r w:rsidRPr="008B4DA2">
        <w:rPr>
          <w:noProof/>
        </w:rPr>
        <w:t>pełnosprawnościami.</w:t>
      </w:r>
    </w:p>
    <w:p w:rsidR="00BD67F9" w:rsidRPr="008B4DA2" w:rsidRDefault="00BD67F9" w:rsidP="00BD67F9">
      <w:pPr>
        <w:pStyle w:val="Text1"/>
        <w:rPr>
          <w:noProof/>
        </w:rPr>
      </w:pPr>
      <w:r w:rsidRPr="008B4DA2">
        <w:rPr>
          <w:noProof/>
        </w:rPr>
        <w:t>Państwa członkowskie mogą wyłączyć</w:t>
      </w:r>
      <w:r w:rsidR="00B83C93" w:rsidRPr="008B4DA2">
        <w:rPr>
          <w:noProof/>
        </w:rPr>
        <w:t xml:space="preserve"> z</w:t>
      </w:r>
      <w:r w:rsidR="00B83C93">
        <w:rPr>
          <w:noProof/>
        </w:rPr>
        <w:t> </w:t>
      </w:r>
      <w:r w:rsidR="00B83C93" w:rsidRPr="008B4DA2">
        <w:rPr>
          <w:noProof/>
        </w:rPr>
        <w:t>zak</w:t>
      </w:r>
      <w:r w:rsidRPr="008B4DA2">
        <w:rPr>
          <w:noProof/>
        </w:rPr>
        <w:t>resu stosowania niniejszej dyrektywy typy pojazdów pozostające</w:t>
      </w:r>
      <w:r w:rsidR="00B83C93" w:rsidRPr="008B4DA2">
        <w:rPr>
          <w:noProof/>
        </w:rPr>
        <w:t xml:space="preserve"> w</w:t>
      </w:r>
      <w:r w:rsidR="00B83C93">
        <w:rPr>
          <w:noProof/>
        </w:rPr>
        <w:t> </w:t>
      </w:r>
      <w:r w:rsidR="00B83C93" w:rsidRPr="008B4DA2">
        <w:rPr>
          <w:noProof/>
        </w:rPr>
        <w:t>uży</w:t>
      </w:r>
      <w:r w:rsidRPr="008B4DA2">
        <w:rPr>
          <w:noProof/>
        </w:rPr>
        <w:t>ciu lub pod kontrolą sił zbrojnych</w:t>
      </w:r>
      <w:r w:rsidR="00B83C93" w:rsidRPr="008B4DA2">
        <w:rPr>
          <w:noProof/>
        </w:rPr>
        <w:t xml:space="preserve"> i</w:t>
      </w:r>
      <w:r w:rsidR="00B83C93">
        <w:rPr>
          <w:noProof/>
        </w:rPr>
        <w:t> </w:t>
      </w:r>
      <w:r w:rsidR="00B83C93" w:rsidRPr="008B4DA2">
        <w:rPr>
          <w:noProof/>
        </w:rPr>
        <w:t>obr</w:t>
      </w:r>
      <w:r w:rsidRPr="008B4DA2">
        <w:rPr>
          <w:noProof/>
        </w:rPr>
        <w:t>ony cywilnej. Informują one</w:t>
      </w:r>
      <w:r w:rsidR="00B83C93" w:rsidRPr="008B4DA2">
        <w:rPr>
          <w:noProof/>
        </w:rPr>
        <w:t xml:space="preserve"> o</w:t>
      </w:r>
      <w:r w:rsidR="00B83C93">
        <w:rPr>
          <w:noProof/>
        </w:rPr>
        <w:t> </w:t>
      </w:r>
      <w:r w:rsidR="00B83C93" w:rsidRPr="008B4DA2">
        <w:rPr>
          <w:noProof/>
        </w:rPr>
        <w:t>tym</w:t>
      </w:r>
      <w:r w:rsidRPr="008B4DA2">
        <w:rPr>
          <w:noProof/>
        </w:rPr>
        <w:t xml:space="preserve"> Komisję.</w:t>
      </w:r>
    </w:p>
    <w:p w:rsidR="00BD67F9" w:rsidRPr="008B4DA2" w:rsidRDefault="00BD67F9" w:rsidP="00BD67F9">
      <w:pPr>
        <w:pStyle w:val="Titrearticle"/>
        <w:rPr>
          <w:noProof/>
        </w:rPr>
      </w:pPr>
      <w:r w:rsidRPr="008B4DA2">
        <w:rPr>
          <w:noProof/>
        </w:rPr>
        <w:t>Artykuł 7</w:t>
      </w:r>
    </w:p>
    <w:p w:rsidR="00BD67F9" w:rsidRPr="008B4DA2" w:rsidRDefault="00BD67F9" w:rsidP="00BD67F9">
      <w:pPr>
        <w:pStyle w:val="Objetacteprincipal"/>
        <w:rPr>
          <w:noProof/>
        </w:rPr>
      </w:pPr>
      <w:r w:rsidRPr="008B4DA2">
        <w:rPr>
          <w:noProof/>
        </w:rPr>
        <w:t xml:space="preserve">Dolne granice wieku </w:t>
      </w:r>
    </w:p>
    <w:p w:rsidR="00BD67F9" w:rsidRPr="008B4DA2" w:rsidRDefault="00DF60AC" w:rsidP="00DF60AC">
      <w:pPr>
        <w:pStyle w:val="ManualNumPar1"/>
        <w:rPr>
          <w:noProof/>
        </w:rPr>
      </w:pPr>
      <w:r w:rsidRPr="008B4DA2">
        <w:rPr>
          <w:noProof/>
        </w:rPr>
        <w:t>1.</w:t>
      </w:r>
      <w:r w:rsidRPr="008B4DA2">
        <w:rPr>
          <w:noProof/>
        </w:rPr>
        <w:tab/>
        <w:t>Dolna granica wieku, od której wydawane jest prawo jazdy, jest następująca:</w:t>
      </w:r>
    </w:p>
    <w:p w:rsidR="00BD67F9" w:rsidRPr="008B4DA2" w:rsidRDefault="00DF60AC" w:rsidP="00DF60AC">
      <w:pPr>
        <w:pStyle w:val="Point1"/>
        <w:rPr>
          <w:noProof/>
        </w:rPr>
      </w:pPr>
      <w:r w:rsidRPr="008B4DA2">
        <w:rPr>
          <w:noProof/>
        </w:rPr>
        <w:t>a)</w:t>
      </w:r>
      <w:r w:rsidRPr="008B4DA2">
        <w:rPr>
          <w:noProof/>
        </w:rPr>
        <w:tab/>
        <w:t>16 lat</w:t>
      </w:r>
      <w:r w:rsidR="00B83C93" w:rsidRPr="008B4DA2">
        <w:rPr>
          <w:noProof/>
        </w:rPr>
        <w:t xml:space="preserve"> w</w:t>
      </w:r>
      <w:r w:rsidR="00B83C93">
        <w:rPr>
          <w:noProof/>
        </w:rPr>
        <w:t> </w:t>
      </w:r>
      <w:r w:rsidR="00B83C93" w:rsidRPr="008B4DA2">
        <w:rPr>
          <w:noProof/>
        </w:rPr>
        <w:t>prz</w:t>
      </w:r>
      <w:r w:rsidRPr="008B4DA2">
        <w:rPr>
          <w:noProof/>
        </w:rPr>
        <w:t>ypadku praw jazdy kategorii AM, A1 i B1;</w:t>
      </w:r>
    </w:p>
    <w:p w:rsidR="00BD67F9" w:rsidRPr="008B4DA2" w:rsidRDefault="00DF60AC" w:rsidP="00DF60AC">
      <w:pPr>
        <w:pStyle w:val="Point1"/>
        <w:rPr>
          <w:noProof/>
        </w:rPr>
      </w:pPr>
      <w:r w:rsidRPr="008B4DA2">
        <w:rPr>
          <w:noProof/>
        </w:rPr>
        <w:t>b)</w:t>
      </w:r>
      <w:r w:rsidRPr="008B4DA2">
        <w:rPr>
          <w:noProof/>
        </w:rPr>
        <w:tab/>
        <w:t>18 lat</w:t>
      </w:r>
      <w:r w:rsidR="00B83C93" w:rsidRPr="008B4DA2">
        <w:rPr>
          <w:noProof/>
        </w:rPr>
        <w:t xml:space="preserve"> w</w:t>
      </w:r>
      <w:r w:rsidR="00B83C93">
        <w:rPr>
          <w:noProof/>
        </w:rPr>
        <w:t> </w:t>
      </w:r>
      <w:r w:rsidR="00B83C93" w:rsidRPr="008B4DA2">
        <w:rPr>
          <w:noProof/>
        </w:rPr>
        <w:t>prz</w:t>
      </w:r>
      <w:r w:rsidRPr="008B4DA2">
        <w:rPr>
          <w:noProof/>
        </w:rPr>
        <w:t>ypadku praw jazdy kategorii A2, B, BE, C1 i C1E;</w:t>
      </w:r>
    </w:p>
    <w:p w:rsidR="00BD67F9" w:rsidRPr="008B4DA2" w:rsidRDefault="00DF60AC" w:rsidP="00DF60AC">
      <w:pPr>
        <w:pStyle w:val="Point1"/>
        <w:rPr>
          <w:noProof/>
        </w:rPr>
      </w:pPr>
      <w:r w:rsidRPr="008B4DA2">
        <w:rPr>
          <w:noProof/>
        </w:rPr>
        <w:t>c)</w:t>
      </w:r>
      <w:r w:rsidRPr="008B4DA2">
        <w:rPr>
          <w:noProof/>
        </w:rPr>
        <w:tab/>
        <w:t>w odniesieniu do praw jazdy kategorii A:</w:t>
      </w:r>
    </w:p>
    <w:p w:rsidR="00BD67F9" w:rsidRPr="008B4DA2" w:rsidRDefault="00BD67F9" w:rsidP="005B2A2F">
      <w:pPr>
        <w:pStyle w:val="Text2"/>
        <w:rPr>
          <w:noProof/>
        </w:rPr>
      </w:pPr>
      <w:r w:rsidRPr="008B4DA2">
        <w:rPr>
          <w:noProof/>
        </w:rPr>
        <w:t>(i)</w:t>
      </w:r>
      <w:r w:rsidRPr="008B4DA2">
        <w:rPr>
          <w:noProof/>
        </w:rPr>
        <w:tab/>
        <w:t>20 lat</w:t>
      </w:r>
      <w:r w:rsidR="00B83C93" w:rsidRPr="008B4DA2">
        <w:rPr>
          <w:noProof/>
        </w:rPr>
        <w:t xml:space="preserve"> w</w:t>
      </w:r>
      <w:r w:rsidR="00B83C93">
        <w:rPr>
          <w:noProof/>
        </w:rPr>
        <w:t> </w:t>
      </w:r>
      <w:r w:rsidR="00B83C93" w:rsidRPr="008B4DA2">
        <w:rPr>
          <w:noProof/>
        </w:rPr>
        <w:t>prz</w:t>
      </w:r>
      <w:r w:rsidRPr="008B4DA2">
        <w:rPr>
          <w:noProof/>
        </w:rPr>
        <w:t>ypadku motocykli. Uzyskanie uprawnienia do kierowania motocyklami tej kategorii uzależnione jest jednak od posiadania co najmniej dwuletniego doświadczenia</w:t>
      </w:r>
      <w:r w:rsidR="00B83C93" w:rsidRPr="008B4DA2">
        <w:rPr>
          <w:noProof/>
        </w:rPr>
        <w:t xml:space="preserve"> w</w:t>
      </w:r>
      <w:r w:rsidR="00B83C93">
        <w:rPr>
          <w:noProof/>
        </w:rPr>
        <w:t> </w:t>
      </w:r>
      <w:r w:rsidR="00B83C93" w:rsidRPr="008B4DA2">
        <w:rPr>
          <w:noProof/>
        </w:rPr>
        <w:t>kie</w:t>
      </w:r>
      <w:r w:rsidRPr="008B4DA2">
        <w:rPr>
          <w:noProof/>
        </w:rPr>
        <w:t>rowaniu motocyklami na podstawie prawa jazdy kategorii A2. Od wymogu wcześniejszego dwuletniego doświadczenia można odstąpić, jeżeli kandydat ma przynajmniej 24 lata;</w:t>
      </w:r>
    </w:p>
    <w:p w:rsidR="00BD67F9" w:rsidRPr="008B4DA2" w:rsidRDefault="00BD67F9" w:rsidP="005B2A2F">
      <w:pPr>
        <w:pStyle w:val="Text2"/>
        <w:rPr>
          <w:noProof/>
        </w:rPr>
      </w:pPr>
      <w:r w:rsidRPr="008B4DA2">
        <w:rPr>
          <w:noProof/>
        </w:rPr>
        <w:t>(ii)</w:t>
      </w:r>
      <w:r w:rsidRPr="008B4DA2">
        <w:rPr>
          <w:noProof/>
        </w:rPr>
        <w:tab/>
        <w:t>21 lat</w:t>
      </w:r>
      <w:r w:rsidR="00B83C93" w:rsidRPr="008B4DA2">
        <w:rPr>
          <w:noProof/>
        </w:rPr>
        <w:t xml:space="preserve"> w</w:t>
      </w:r>
      <w:r w:rsidR="00B83C93">
        <w:rPr>
          <w:noProof/>
        </w:rPr>
        <w:t> </w:t>
      </w:r>
      <w:r w:rsidR="00B83C93" w:rsidRPr="008B4DA2">
        <w:rPr>
          <w:noProof/>
        </w:rPr>
        <w:t>prz</w:t>
      </w:r>
      <w:r w:rsidRPr="008B4DA2">
        <w:rPr>
          <w:noProof/>
        </w:rPr>
        <w:t>ypadku trzykołowych pojazdów silnikowych</w:t>
      </w:r>
      <w:r w:rsidR="00B83C93" w:rsidRPr="008B4DA2">
        <w:rPr>
          <w:noProof/>
        </w:rPr>
        <w:t xml:space="preserve"> o</w:t>
      </w:r>
      <w:r w:rsidR="00B83C93">
        <w:rPr>
          <w:noProof/>
        </w:rPr>
        <w:t> </w:t>
      </w:r>
      <w:r w:rsidR="00B83C93" w:rsidRPr="008B4DA2">
        <w:rPr>
          <w:noProof/>
        </w:rPr>
        <w:t>moc</w:t>
      </w:r>
      <w:r w:rsidRPr="008B4DA2">
        <w:rPr>
          <w:noProof/>
        </w:rPr>
        <w:t>y przekraczającej 15 kW;</w:t>
      </w:r>
    </w:p>
    <w:p w:rsidR="00BD67F9" w:rsidRPr="008B4DA2" w:rsidRDefault="00DF60AC" w:rsidP="00DF60AC">
      <w:pPr>
        <w:pStyle w:val="Point1"/>
        <w:rPr>
          <w:noProof/>
        </w:rPr>
      </w:pPr>
      <w:r w:rsidRPr="008B4DA2">
        <w:rPr>
          <w:noProof/>
        </w:rPr>
        <w:t>d)</w:t>
      </w:r>
      <w:r w:rsidRPr="008B4DA2">
        <w:rPr>
          <w:noProof/>
        </w:rPr>
        <w:tab/>
        <w:t>21 lat</w:t>
      </w:r>
      <w:r w:rsidR="00B83C93" w:rsidRPr="008B4DA2">
        <w:rPr>
          <w:noProof/>
        </w:rPr>
        <w:t xml:space="preserve"> w</w:t>
      </w:r>
      <w:r w:rsidR="00B83C93">
        <w:rPr>
          <w:noProof/>
        </w:rPr>
        <w:t> </w:t>
      </w:r>
      <w:r w:rsidR="00B83C93" w:rsidRPr="008B4DA2">
        <w:rPr>
          <w:noProof/>
        </w:rPr>
        <w:t>prz</w:t>
      </w:r>
      <w:r w:rsidRPr="008B4DA2">
        <w:rPr>
          <w:noProof/>
        </w:rPr>
        <w:t>ypadku praw jazdy kategorii C, CE, D1 i D1E;</w:t>
      </w:r>
    </w:p>
    <w:p w:rsidR="00BD67F9" w:rsidRPr="008B4DA2" w:rsidRDefault="00DF60AC" w:rsidP="00DF60AC">
      <w:pPr>
        <w:pStyle w:val="Point1"/>
        <w:rPr>
          <w:noProof/>
        </w:rPr>
      </w:pPr>
      <w:r w:rsidRPr="008B4DA2">
        <w:rPr>
          <w:noProof/>
        </w:rPr>
        <w:t>e)</w:t>
      </w:r>
      <w:r w:rsidRPr="008B4DA2">
        <w:rPr>
          <w:noProof/>
        </w:rPr>
        <w:tab/>
        <w:t>24 lata</w:t>
      </w:r>
      <w:r w:rsidR="00B83C93" w:rsidRPr="008B4DA2">
        <w:rPr>
          <w:noProof/>
        </w:rPr>
        <w:t xml:space="preserve"> w</w:t>
      </w:r>
      <w:r w:rsidR="00B83C93">
        <w:rPr>
          <w:noProof/>
        </w:rPr>
        <w:t> </w:t>
      </w:r>
      <w:r w:rsidR="00B83C93" w:rsidRPr="008B4DA2">
        <w:rPr>
          <w:noProof/>
        </w:rPr>
        <w:t>prz</w:t>
      </w:r>
      <w:r w:rsidRPr="008B4DA2">
        <w:rPr>
          <w:noProof/>
        </w:rPr>
        <w:t xml:space="preserve">ypadku praw jazdy kategorii D i DE. </w:t>
      </w:r>
    </w:p>
    <w:p w:rsidR="00BD67F9" w:rsidRPr="008B4DA2" w:rsidRDefault="00DF60AC" w:rsidP="00DF60AC">
      <w:pPr>
        <w:pStyle w:val="ManualNumPar1"/>
        <w:rPr>
          <w:noProof/>
        </w:rPr>
      </w:pPr>
      <w:r w:rsidRPr="008B4DA2">
        <w:rPr>
          <w:noProof/>
        </w:rPr>
        <w:t>2.</w:t>
      </w:r>
      <w:r w:rsidRPr="008B4DA2">
        <w:rPr>
          <w:noProof/>
        </w:rPr>
        <w:tab/>
        <w:t xml:space="preserve">Państwa członkowskie mogą podwyższyć lub obniżyć dolną granicę wieku, od której wydawane jest prawo jazdy: </w:t>
      </w:r>
    </w:p>
    <w:p w:rsidR="00BD67F9" w:rsidRPr="008B4DA2" w:rsidRDefault="00DF60AC" w:rsidP="00DF60AC">
      <w:pPr>
        <w:pStyle w:val="Point1"/>
        <w:rPr>
          <w:rStyle w:val="normaltextrun"/>
          <w:noProof/>
        </w:rPr>
      </w:pPr>
      <w:r w:rsidRPr="008B4DA2">
        <w:rPr>
          <w:rStyle w:val="normaltextrun"/>
          <w:noProof/>
        </w:rPr>
        <w:t>a)</w:t>
      </w:r>
      <w:r w:rsidRPr="008B4DA2">
        <w:rPr>
          <w:noProof/>
        </w:rPr>
        <w:tab/>
      </w:r>
      <w:r w:rsidRPr="008B4DA2">
        <w:rPr>
          <w:rStyle w:val="normaltextrun"/>
          <w:noProof/>
        </w:rPr>
        <w:t xml:space="preserve">dla kategorii AM — obniżyć </w:t>
      </w:r>
      <w:r w:rsidRPr="00B83C93">
        <w:rPr>
          <w:rStyle w:val="normaltextrun"/>
          <w:noProof/>
        </w:rPr>
        <w:t>do</w:t>
      </w:r>
      <w:r w:rsidR="00B83C93" w:rsidRPr="00B83C93">
        <w:rPr>
          <w:rStyle w:val="normaltextrun"/>
          <w:noProof/>
        </w:rPr>
        <w:t> </w:t>
      </w:r>
      <w:r w:rsidRPr="00B83C93">
        <w:rPr>
          <w:rStyle w:val="normaltextrun"/>
          <w:noProof/>
        </w:rPr>
        <w:t>1</w:t>
      </w:r>
      <w:r w:rsidRPr="008B4DA2">
        <w:rPr>
          <w:rStyle w:val="normaltextrun"/>
          <w:noProof/>
        </w:rPr>
        <w:t xml:space="preserve">4 lat lub podwyższyć </w:t>
      </w:r>
      <w:r w:rsidRPr="00B83C93">
        <w:rPr>
          <w:rStyle w:val="normaltextrun"/>
          <w:noProof/>
        </w:rPr>
        <w:t>do</w:t>
      </w:r>
      <w:r w:rsidR="00B83C93" w:rsidRPr="00B83C93">
        <w:rPr>
          <w:rStyle w:val="normaltextrun"/>
          <w:noProof/>
        </w:rPr>
        <w:t> </w:t>
      </w:r>
      <w:r w:rsidRPr="00B83C93">
        <w:rPr>
          <w:rStyle w:val="normaltextrun"/>
          <w:noProof/>
        </w:rPr>
        <w:t>1</w:t>
      </w:r>
      <w:r w:rsidRPr="008B4DA2">
        <w:rPr>
          <w:rStyle w:val="normaltextrun"/>
          <w:noProof/>
        </w:rPr>
        <w:t xml:space="preserve">8 lat; </w:t>
      </w:r>
    </w:p>
    <w:p w:rsidR="00BD67F9" w:rsidRPr="008B4DA2" w:rsidRDefault="00DF60AC" w:rsidP="00DF60AC">
      <w:pPr>
        <w:pStyle w:val="Point1"/>
        <w:rPr>
          <w:rStyle w:val="normaltextrun"/>
          <w:noProof/>
        </w:rPr>
      </w:pPr>
      <w:r w:rsidRPr="008B4DA2">
        <w:rPr>
          <w:rStyle w:val="normaltextrun"/>
          <w:noProof/>
        </w:rPr>
        <w:t>b)</w:t>
      </w:r>
      <w:r w:rsidRPr="008B4DA2">
        <w:rPr>
          <w:noProof/>
        </w:rPr>
        <w:tab/>
      </w:r>
      <w:r w:rsidRPr="008B4DA2">
        <w:rPr>
          <w:rStyle w:val="normaltextrun"/>
          <w:noProof/>
        </w:rPr>
        <w:t xml:space="preserve">dla kategorii B1 — podwyższyć </w:t>
      </w:r>
      <w:r w:rsidRPr="00B83C93">
        <w:rPr>
          <w:rStyle w:val="normaltextrun"/>
          <w:noProof/>
        </w:rPr>
        <w:t>do</w:t>
      </w:r>
      <w:r w:rsidR="00B83C93" w:rsidRPr="00B83C93">
        <w:rPr>
          <w:rStyle w:val="normaltextrun"/>
          <w:noProof/>
        </w:rPr>
        <w:t> </w:t>
      </w:r>
      <w:r w:rsidRPr="00B83C93">
        <w:rPr>
          <w:rStyle w:val="normaltextrun"/>
          <w:noProof/>
        </w:rPr>
        <w:t>1</w:t>
      </w:r>
      <w:r w:rsidRPr="008B4DA2">
        <w:rPr>
          <w:rStyle w:val="normaltextrun"/>
          <w:noProof/>
        </w:rPr>
        <w:t xml:space="preserve">8 lat; </w:t>
      </w:r>
    </w:p>
    <w:p w:rsidR="00BD67F9" w:rsidRPr="008B4DA2" w:rsidRDefault="00DF60AC" w:rsidP="00DF60AC">
      <w:pPr>
        <w:pStyle w:val="Point1"/>
        <w:rPr>
          <w:rStyle w:val="normaltextrun"/>
          <w:noProof/>
        </w:rPr>
      </w:pPr>
      <w:r w:rsidRPr="008B4DA2">
        <w:rPr>
          <w:rStyle w:val="normaltextrun"/>
          <w:noProof/>
        </w:rPr>
        <w:t>c)</w:t>
      </w:r>
      <w:r w:rsidRPr="008B4DA2">
        <w:rPr>
          <w:noProof/>
        </w:rPr>
        <w:tab/>
      </w:r>
      <w:r w:rsidRPr="008B4DA2">
        <w:rPr>
          <w:rStyle w:val="normaltextrun"/>
          <w:noProof/>
        </w:rPr>
        <w:t xml:space="preserve">dla kategorii A1 — podwyższyć </w:t>
      </w:r>
      <w:r w:rsidRPr="00B83C93">
        <w:rPr>
          <w:rStyle w:val="normaltextrun"/>
          <w:noProof/>
        </w:rPr>
        <w:t>do</w:t>
      </w:r>
      <w:r w:rsidR="00B83C93" w:rsidRPr="00B83C93">
        <w:rPr>
          <w:rStyle w:val="normaltextrun"/>
          <w:noProof/>
        </w:rPr>
        <w:t> </w:t>
      </w:r>
      <w:r w:rsidRPr="00B83C93">
        <w:rPr>
          <w:rStyle w:val="normaltextrun"/>
          <w:noProof/>
        </w:rPr>
        <w:t>1</w:t>
      </w:r>
      <w:r w:rsidRPr="008B4DA2">
        <w:rPr>
          <w:rStyle w:val="normaltextrun"/>
          <w:noProof/>
        </w:rPr>
        <w:t>8 lat, jeżeli spełnione są oba poniższe warunki:</w:t>
      </w:r>
    </w:p>
    <w:p w:rsidR="00BD67F9" w:rsidRPr="008B4DA2" w:rsidRDefault="00BD67F9" w:rsidP="005B2A2F">
      <w:pPr>
        <w:pStyle w:val="Text2"/>
        <w:rPr>
          <w:noProof/>
        </w:rPr>
      </w:pPr>
      <w:r w:rsidRPr="008B4DA2">
        <w:rPr>
          <w:noProof/>
        </w:rPr>
        <w:t>(i)</w:t>
      </w:r>
      <w:r w:rsidRPr="008B4DA2">
        <w:rPr>
          <w:noProof/>
        </w:rPr>
        <w:tab/>
        <w:t>pomiędzy dolną granicą wieku ustaloną dla kategorii A1</w:t>
      </w:r>
      <w:r w:rsidR="00B83C93" w:rsidRPr="008B4DA2">
        <w:rPr>
          <w:noProof/>
        </w:rPr>
        <w:t xml:space="preserve"> a</w:t>
      </w:r>
      <w:r w:rsidR="00B83C93">
        <w:rPr>
          <w:noProof/>
        </w:rPr>
        <w:t> </w:t>
      </w:r>
      <w:r w:rsidR="00B83C93" w:rsidRPr="008B4DA2">
        <w:rPr>
          <w:noProof/>
        </w:rPr>
        <w:t>dol</w:t>
      </w:r>
      <w:r w:rsidRPr="008B4DA2">
        <w:rPr>
          <w:noProof/>
        </w:rPr>
        <w:t xml:space="preserve">ną granicą wieku ustaloną dla kategorii A2 są dwa lata różnicy; </w:t>
      </w:r>
    </w:p>
    <w:p w:rsidR="00BD67F9" w:rsidRPr="008B4DA2" w:rsidRDefault="00BD67F9" w:rsidP="005B2A2F">
      <w:pPr>
        <w:pStyle w:val="Text2"/>
        <w:rPr>
          <w:noProof/>
        </w:rPr>
      </w:pPr>
      <w:r w:rsidRPr="008B4DA2">
        <w:rPr>
          <w:noProof/>
        </w:rPr>
        <w:t>(ii)</w:t>
      </w:r>
      <w:r w:rsidRPr="008B4DA2">
        <w:rPr>
          <w:noProof/>
        </w:rPr>
        <w:tab/>
        <w:t>uzyskanie uprawnienia do kierowania motocyklami kategorii A uzależnione jest od posiadania co najmniej dwuletniego doświadczenia</w:t>
      </w:r>
      <w:r w:rsidR="00B83C93" w:rsidRPr="008B4DA2">
        <w:rPr>
          <w:noProof/>
        </w:rPr>
        <w:t xml:space="preserve"> w</w:t>
      </w:r>
      <w:r w:rsidR="00B83C93">
        <w:rPr>
          <w:noProof/>
        </w:rPr>
        <w:t> </w:t>
      </w:r>
      <w:r w:rsidR="00B83C93" w:rsidRPr="008B4DA2">
        <w:rPr>
          <w:noProof/>
        </w:rPr>
        <w:t>kie</w:t>
      </w:r>
      <w:r w:rsidRPr="008B4DA2">
        <w:rPr>
          <w:noProof/>
        </w:rPr>
        <w:t>rowaniu motocyklami kategorii A2,</w:t>
      </w:r>
      <w:r w:rsidR="00B83C93" w:rsidRPr="008B4DA2">
        <w:rPr>
          <w:noProof/>
        </w:rPr>
        <w:t xml:space="preserve"> o</w:t>
      </w:r>
      <w:r w:rsidR="00B83C93">
        <w:rPr>
          <w:noProof/>
        </w:rPr>
        <w:t> </w:t>
      </w:r>
      <w:r w:rsidR="00B83C93" w:rsidRPr="008B4DA2">
        <w:rPr>
          <w:noProof/>
        </w:rPr>
        <w:t>któ</w:t>
      </w:r>
      <w:r w:rsidRPr="008B4DA2">
        <w:rPr>
          <w:noProof/>
        </w:rPr>
        <w:t>rym mowa</w:t>
      </w:r>
      <w:r w:rsidR="00B83C93" w:rsidRPr="008B4DA2">
        <w:rPr>
          <w:noProof/>
        </w:rPr>
        <w:t xml:space="preserve"> w</w:t>
      </w:r>
      <w:r w:rsidR="00B83C93">
        <w:rPr>
          <w:noProof/>
        </w:rPr>
        <w:t> </w:t>
      </w:r>
      <w:r w:rsidR="00B83C93" w:rsidRPr="008B4DA2">
        <w:rPr>
          <w:noProof/>
        </w:rPr>
        <w:t>ust</w:t>
      </w:r>
      <w:r w:rsidRPr="008B4DA2">
        <w:rPr>
          <w:noProof/>
        </w:rPr>
        <w:t xml:space="preserve">. 1 </w:t>
      </w:r>
      <w:r w:rsidRPr="00B83C93">
        <w:rPr>
          <w:noProof/>
        </w:rPr>
        <w:t>lit.</w:t>
      </w:r>
      <w:r w:rsidR="00B83C93" w:rsidRPr="00B83C93">
        <w:rPr>
          <w:noProof/>
        </w:rPr>
        <w:t> </w:t>
      </w:r>
      <w:r w:rsidRPr="00B83C93">
        <w:rPr>
          <w:noProof/>
        </w:rPr>
        <w:t>c)</w:t>
      </w:r>
      <w:r w:rsidRPr="008B4DA2">
        <w:rPr>
          <w:noProof/>
        </w:rPr>
        <w:t xml:space="preserve"> ppkt (i);</w:t>
      </w:r>
    </w:p>
    <w:p w:rsidR="00BD67F9" w:rsidRPr="008B4DA2" w:rsidRDefault="00DF60AC" w:rsidP="00DF60AC">
      <w:pPr>
        <w:pStyle w:val="Point1"/>
        <w:rPr>
          <w:rStyle w:val="normaltextrun"/>
          <w:noProof/>
        </w:rPr>
      </w:pPr>
      <w:r w:rsidRPr="008B4DA2">
        <w:rPr>
          <w:rStyle w:val="normaltextrun"/>
          <w:noProof/>
        </w:rPr>
        <w:t>d)</w:t>
      </w:r>
      <w:r w:rsidRPr="008B4DA2">
        <w:rPr>
          <w:noProof/>
        </w:rPr>
        <w:tab/>
      </w:r>
      <w:r w:rsidRPr="008B4DA2">
        <w:rPr>
          <w:rStyle w:val="normaltextrun"/>
          <w:noProof/>
        </w:rPr>
        <w:t xml:space="preserve">dla kategorii B i BE — obniżyć </w:t>
      </w:r>
      <w:r w:rsidRPr="00B83C93">
        <w:rPr>
          <w:rStyle w:val="normaltextrun"/>
          <w:noProof/>
        </w:rPr>
        <w:t>do</w:t>
      </w:r>
      <w:r w:rsidR="00B83C93" w:rsidRPr="00B83C93">
        <w:rPr>
          <w:rStyle w:val="normaltextrun"/>
          <w:noProof/>
        </w:rPr>
        <w:t> </w:t>
      </w:r>
      <w:r w:rsidRPr="00B83C93">
        <w:rPr>
          <w:rStyle w:val="normaltextrun"/>
          <w:noProof/>
        </w:rPr>
        <w:t>1</w:t>
      </w:r>
      <w:r w:rsidRPr="008B4DA2">
        <w:rPr>
          <w:rStyle w:val="normaltextrun"/>
          <w:noProof/>
        </w:rPr>
        <w:t xml:space="preserve">7 lat. </w:t>
      </w:r>
    </w:p>
    <w:p w:rsidR="00BD67F9" w:rsidRPr="008B4DA2" w:rsidRDefault="00DF60AC" w:rsidP="00DF60AC">
      <w:pPr>
        <w:pStyle w:val="ManualNumPar1"/>
        <w:rPr>
          <w:noProof/>
        </w:rPr>
      </w:pPr>
      <w:r w:rsidRPr="008B4DA2">
        <w:rPr>
          <w:noProof/>
        </w:rPr>
        <w:t>3.</w:t>
      </w:r>
      <w:r w:rsidRPr="008B4DA2">
        <w:rPr>
          <w:noProof/>
        </w:rPr>
        <w:tab/>
        <w:t xml:space="preserve">Państwa członkowskie mogą obniżyć dolną granicę wieku dla kategorii C </w:t>
      </w:r>
      <w:r w:rsidRPr="00B83C93">
        <w:rPr>
          <w:noProof/>
        </w:rPr>
        <w:t>do</w:t>
      </w:r>
      <w:r w:rsidR="00B83C93" w:rsidRPr="00B83C93">
        <w:rPr>
          <w:noProof/>
        </w:rPr>
        <w:t> </w:t>
      </w:r>
      <w:r w:rsidRPr="00B83C93">
        <w:rPr>
          <w:noProof/>
        </w:rPr>
        <w:t>1</w:t>
      </w:r>
      <w:r w:rsidRPr="008B4DA2">
        <w:rPr>
          <w:noProof/>
        </w:rPr>
        <w:t>8 lat,</w:t>
      </w:r>
      <w:r w:rsidR="00B83C93" w:rsidRPr="008B4DA2">
        <w:rPr>
          <w:noProof/>
        </w:rPr>
        <w:t xml:space="preserve"> a</w:t>
      </w:r>
      <w:r w:rsidR="00B83C93">
        <w:rPr>
          <w:noProof/>
        </w:rPr>
        <w:t> </w:t>
      </w:r>
      <w:r w:rsidR="00B83C93" w:rsidRPr="008B4DA2">
        <w:rPr>
          <w:noProof/>
        </w:rPr>
        <w:t>dla</w:t>
      </w:r>
      <w:r w:rsidRPr="008B4DA2">
        <w:rPr>
          <w:noProof/>
        </w:rPr>
        <w:t xml:space="preserve"> kategorii D — </w:t>
      </w:r>
      <w:r w:rsidRPr="00B83C93">
        <w:rPr>
          <w:noProof/>
        </w:rPr>
        <w:t>do</w:t>
      </w:r>
      <w:r w:rsidR="00B83C93" w:rsidRPr="00B83C93">
        <w:rPr>
          <w:noProof/>
        </w:rPr>
        <w:t> </w:t>
      </w:r>
      <w:r w:rsidRPr="00B83C93">
        <w:rPr>
          <w:noProof/>
        </w:rPr>
        <w:t>2</w:t>
      </w:r>
      <w:r w:rsidRPr="008B4DA2">
        <w:rPr>
          <w:noProof/>
        </w:rPr>
        <w:t>1 lat</w:t>
      </w:r>
      <w:r w:rsidR="00B83C93" w:rsidRPr="008B4DA2">
        <w:rPr>
          <w:noProof/>
        </w:rPr>
        <w:t xml:space="preserve"> w</w:t>
      </w:r>
      <w:r w:rsidR="00B83C93">
        <w:rPr>
          <w:noProof/>
        </w:rPr>
        <w:t> </w:t>
      </w:r>
      <w:r w:rsidR="00B83C93" w:rsidRPr="008B4DA2">
        <w:rPr>
          <w:noProof/>
        </w:rPr>
        <w:t>odn</w:t>
      </w:r>
      <w:r w:rsidRPr="008B4DA2">
        <w:rPr>
          <w:noProof/>
        </w:rPr>
        <w:t xml:space="preserve">iesieniu do: </w:t>
      </w:r>
    </w:p>
    <w:p w:rsidR="00BD67F9" w:rsidRPr="008B4DA2" w:rsidRDefault="00DF60AC" w:rsidP="00DF60AC">
      <w:pPr>
        <w:pStyle w:val="Point1"/>
        <w:rPr>
          <w:rStyle w:val="normaltextrun"/>
          <w:noProof/>
        </w:rPr>
      </w:pPr>
      <w:r w:rsidRPr="008B4DA2">
        <w:rPr>
          <w:rStyle w:val="normaltextrun"/>
          <w:noProof/>
        </w:rPr>
        <w:t>a)</w:t>
      </w:r>
      <w:r w:rsidRPr="008B4DA2">
        <w:rPr>
          <w:noProof/>
        </w:rPr>
        <w:tab/>
      </w:r>
      <w:r w:rsidRPr="008B4DA2">
        <w:rPr>
          <w:rStyle w:val="normaltextrun"/>
          <w:noProof/>
        </w:rPr>
        <w:t>pojazdów używanych przez służby przeciwpożarowe</w:t>
      </w:r>
      <w:r w:rsidR="00B83C93" w:rsidRPr="008B4DA2">
        <w:rPr>
          <w:rStyle w:val="normaltextrun"/>
          <w:noProof/>
        </w:rPr>
        <w:t xml:space="preserve"> i</w:t>
      </w:r>
      <w:r w:rsidR="00B83C93">
        <w:rPr>
          <w:rStyle w:val="normaltextrun"/>
          <w:noProof/>
        </w:rPr>
        <w:t> </w:t>
      </w:r>
      <w:r w:rsidR="00B83C93" w:rsidRPr="008B4DA2">
        <w:rPr>
          <w:rStyle w:val="normaltextrun"/>
          <w:noProof/>
        </w:rPr>
        <w:t>poj</w:t>
      </w:r>
      <w:r w:rsidRPr="008B4DA2">
        <w:rPr>
          <w:rStyle w:val="normaltextrun"/>
          <w:noProof/>
        </w:rPr>
        <w:t>azdów używanych do utrzymywania porządku publicznego;</w:t>
      </w:r>
    </w:p>
    <w:p w:rsidR="00BD67F9" w:rsidRPr="008B4DA2" w:rsidRDefault="00DF60AC" w:rsidP="00DF60AC">
      <w:pPr>
        <w:pStyle w:val="Point1"/>
        <w:rPr>
          <w:noProof/>
        </w:rPr>
      </w:pPr>
      <w:r w:rsidRPr="008B4DA2">
        <w:rPr>
          <w:noProof/>
        </w:rPr>
        <w:t>b)</w:t>
      </w:r>
      <w:r w:rsidRPr="008B4DA2">
        <w:rPr>
          <w:noProof/>
        </w:rPr>
        <w:tab/>
        <w:t>pojazdów poddawanych testom drogowym</w:t>
      </w:r>
      <w:r w:rsidR="00B83C93" w:rsidRPr="008B4DA2">
        <w:rPr>
          <w:noProof/>
        </w:rPr>
        <w:t xml:space="preserve"> w</w:t>
      </w:r>
      <w:r w:rsidR="00B83C93">
        <w:rPr>
          <w:noProof/>
        </w:rPr>
        <w:t> </w:t>
      </w:r>
      <w:r w:rsidR="00B83C93" w:rsidRPr="008B4DA2">
        <w:rPr>
          <w:noProof/>
        </w:rPr>
        <w:t>cel</w:t>
      </w:r>
      <w:r w:rsidRPr="008B4DA2">
        <w:rPr>
          <w:noProof/>
        </w:rPr>
        <w:t xml:space="preserve">u naprawy lub konserwacji. </w:t>
      </w:r>
    </w:p>
    <w:p w:rsidR="00BD67F9" w:rsidRPr="008B4DA2" w:rsidRDefault="00DF60AC" w:rsidP="00DF60AC">
      <w:pPr>
        <w:pStyle w:val="ManualNumPar1"/>
        <w:rPr>
          <w:noProof/>
        </w:rPr>
      </w:pPr>
      <w:r w:rsidRPr="008B4DA2">
        <w:rPr>
          <w:noProof/>
        </w:rPr>
        <w:t>4.</w:t>
      </w:r>
      <w:r w:rsidRPr="008B4DA2">
        <w:rPr>
          <w:noProof/>
        </w:rPr>
        <w:tab/>
        <w:t>Prawa jazdy wydane zgodnie</w:t>
      </w:r>
      <w:r w:rsidR="00B83C93" w:rsidRPr="008B4DA2">
        <w:rPr>
          <w:noProof/>
        </w:rPr>
        <w:t xml:space="preserve"> z</w:t>
      </w:r>
      <w:r w:rsidR="00B83C93">
        <w:rPr>
          <w:noProof/>
        </w:rPr>
        <w:t> </w:t>
      </w:r>
      <w:r w:rsidR="00B83C93" w:rsidRPr="00B83C93">
        <w:rPr>
          <w:noProof/>
        </w:rPr>
        <w:t>ust</w:t>
      </w:r>
      <w:r w:rsidRPr="00B83C93">
        <w:rPr>
          <w:noProof/>
        </w:rPr>
        <w:t>.</w:t>
      </w:r>
      <w:r w:rsidR="00B83C93" w:rsidRPr="00B83C93">
        <w:rPr>
          <w:noProof/>
        </w:rPr>
        <w:t> </w:t>
      </w:r>
      <w:r w:rsidRPr="00B83C93">
        <w:rPr>
          <w:noProof/>
        </w:rPr>
        <w:t>2</w:t>
      </w:r>
      <w:r w:rsidR="00B83C93" w:rsidRPr="008B4DA2">
        <w:rPr>
          <w:noProof/>
        </w:rPr>
        <w:t xml:space="preserve"> i</w:t>
      </w:r>
      <w:r w:rsidR="00B83C93">
        <w:rPr>
          <w:noProof/>
        </w:rPr>
        <w:t> </w:t>
      </w:r>
      <w:r w:rsidR="00B83C93" w:rsidRPr="008B4DA2">
        <w:rPr>
          <w:noProof/>
        </w:rPr>
        <w:t>3</w:t>
      </w:r>
      <w:r w:rsidRPr="008B4DA2">
        <w:rPr>
          <w:noProof/>
        </w:rPr>
        <w:t xml:space="preserve"> są ważne jedynie na terytorium państwa członkowskiego, które je wydało, do czasu osiągnięcia przez posiadacza prawa jazdy dolnej granicy wieku określonej</w:t>
      </w:r>
      <w:r w:rsidR="00B83C93" w:rsidRPr="008B4DA2">
        <w:rPr>
          <w:noProof/>
        </w:rPr>
        <w:t xml:space="preserve"> w</w:t>
      </w:r>
      <w:r w:rsidR="00B83C93">
        <w:rPr>
          <w:noProof/>
        </w:rPr>
        <w:t> </w:t>
      </w:r>
      <w:r w:rsidR="00B83C93" w:rsidRPr="00B83C93">
        <w:rPr>
          <w:noProof/>
        </w:rPr>
        <w:t>ust</w:t>
      </w:r>
      <w:r w:rsidRPr="00B83C93">
        <w:rPr>
          <w:noProof/>
        </w:rPr>
        <w:t>.</w:t>
      </w:r>
      <w:r w:rsidR="00B83C93" w:rsidRPr="00B83C93">
        <w:rPr>
          <w:noProof/>
        </w:rPr>
        <w:t> </w:t>
      </w:r>
      <w:r w:rsidRPr="00B83C93">
        <w:rPr>
          <w:noProof/>
        </w:rPr>
        <w:t>1</w:t>
      </w:r>
      <w:r w:rsidRPr="008B4DA2">
        <w:rPr>
          <w:noProof/>
        </w:rPr>
        <w:t xml:space="preserve">. </w:t>
      </w:r>
    </w:p>
    <w:p w:rsidR="00BD67F9" w:rsidRPr="008B4DA2" w:rsidRDefault="00BD67F9" w:rsidP="00BD67F9">
      <w:pPr>
        <w:pStyle w:val="Text1"/>
        <w:rPr>
          <w:noProof/>
        </w:rPr>
      </w:pPr>
      <w:r w:rsidRPr="008B4DA2">
        <w:rPr>
          <w:noProof/>
        </w:rPr>
        <w:t>Państwa członkowskie mogą uznać na swoim terytorium ważność praw jazdy wydanych kierowcom poniżej dolnych granic wieku określonych</w:t>
      </w:r>
      <w:r w:rsidR="00B83C93" w:rsidRPr="008B4DA2">
        <w:rPr>
          <w:noProof/>
        </w:rPr>
        <w:t xml:space="preserve"> w</w:t>
      </w:r>
      <w:r w:rsidR="00B83C93">
        <w:rPr>
          <w:noProof/>
        </w:rPr>
        <w:t> </w:t>
      </w:r>
      <w:r w:rsidR="00B83C93" w:rsidRPr="00B83C93">
        <w:rPr>
          <w:noProof/>
        </w:rPr>
        <w:t>ust</w:t>
      </w:r>
      <w:r w:rsidRPr="00B83C93">
        <w:rPr>
          <w:noProof/>
        </w:rPr>
        <w:t>.</w:t>
      </w:r>
      <w:r w:rsidR="00B83C93" w:rsidRPr="00B83C93">
        <w:rPr>
          <w:noProof/>
        </w:rPr>
        <w:t> </w:t>
      </w:r>
      <w:r w:rsidRPr="00B83C93">
        <w:rPr>
          <w:noProof/>
        </w:rPr>
        <w:t>1</w:t>
      </w:r>
      <w:r w:rsidRPr="008B4DA2">
        <w:rPr>
          <w:noProof/>
        </w:rPr>
        <w:t xml:space="preserve">. </w:t>
      </w:r>
    </w:p>
    <w:p w:rsidR="00BD67F9" w:rsidRPr="008B4DA2" w:rsidRDefault="00DF60AC" w:rsidP="00DF60AC">
      <w:pPr>
        <w:pStyle w:val="ManualNumPar1"/>
        <w:rPr>
          <w:noProof/>
        </w:rPr>
      </w:pPr>
      <w:r w:rsidRPr="008B4DA2">
        <w:rPr>
          <w:noProof/>
        </w:rPr>
        <w:t>5.</w:t>
      </w:r>
      <w:r w:rsidRPr="008B4DA2">
        <w:rPr>
          <w:noProof/>
        </w:rPr>
        <w:tab/>
        <w:t xml:space="preserve">Na zasadzie odstępstwa od </w:t>
      </w:r>
      <w:r w:rsidRPr="00B83C93">
        <w:rPr>
          <w:noProof/>
        </w:rPr>
        <w:t>ust.</w:t>
      </w:r>
      <w:r w:rsidR="00B83C93" w:rsidRPr="00B83C93">
        <w:rPr>
          <w:noProof/>
        </w:rPr>
        <w:t> </w:t>
      </w:r>
      <w:r w:rsidRPr="00B83C93">
        <w:rPr>
          <w:noProof/>
        </w:rPr>
        <w:t>1</w:t>
      </w:r>
      <w:r w:rsidRPr="008B4DA2">
        <w:rPr>
          <w:noProof/>
        </w:rPr>
        <w:t xml:space="preserve"> </w:t>
      </w:r>
      <w:r w:rsidRPr="00B83C93">
        <w:rPr>
          <w:noProof/>
        </w:rPr>
        <w:t>lit.</w:t>
      </w:r>
      <w:r w:rsidR="00B83C93" w:rsidRPr="00B83C93">
        <w:rPr>
          <w:noProof/>
        </w:rPr>
        <w:t> </w:t>
      </w:r>
      <w:r w:rsidRPr="00B83C93">
        <w:rPr>
          <w:noProof/>
        </w:rPr>
        <w:t>d)</w:t>
      </w:r>
      <w:r w:rsidRPr="008B4DA2">
        <w:rPr>
          <w:noProof/>
        </w:rPr>
        <w:t xml:space="preserve"> i e) niniejszego artykułu, jeżeli kandydat posiada świadectwo kwalifikacji zawodowej,</w:t>
      </w:r>
      <w:r w:rsidR="00B83C93" w:rsidRPr="008B4DA2">
        <w:rPr>
          <w:noProof/>
        </w:rPr>
        <w:t xml:space="preserve"> o</w:t>
      </w:r>
      <w:r w:rsidR="00B83C93">
        <w:rPr>
          <w:noProof/>
        </w:rPr>
        <w:t> </w:t>
      </w:r>
      <w:r w:rsidR="00B83C93" w:rsidRPr="008B4DA2">
        <w:rPr>
          <w:noProof/>
        </w:rPr>
        <w:t>któ</w:t>
      </w:r>
      <w:r w:rsidRPr="008B4DA2">
        <w:rPr>
          <w:noProof/>
        </w:rPr>
        <w:t>rym mowa</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6</w:t>
      </w:r>
      <w:r w:rsidRPr="008B4DA2">
        <w:rPr>
          <w:noProof/>
        </w:rPr>
        <w:t xml:space="preserve"> dyrektywy (UE) 2022/2561, dolna granica wieku, od której wydawane jest prawo jazdy, jest następująca:</w:t>
      </w:r>
    </w:p>
    <w:p w:rsidR="00BD67F9" w:rsidRPr="008B4DA2" w:rsidRDefault="00DF60AC" w:rsidP="00DF60AC">
      <w:pPr>
        <w:pStyle w:val="Point1"/>
        <w:rPr>
          <w:noProof/>
        </w:rPr>
      </w:pPr>
      <w:r w:rsidRPr="008B4DA2">
        <w:rPr>
          <w:noProof/>
        </w:rPr>
        <w:t>a)</w:t>
      </w:r>
      <w:r w:rsidRPr="008B4DA2">
        <w:rPr>
          <w:noProof/>
        </w:rPr>
        <w:tab/>
        <w:t>w przypadku kategorii C i CE, dolne granice wieku przewidziane</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5</w:t>
      </w:r>
      <w:r w:rsidRPr="008B4DA2">
        <w:rPr>
          <w:noProof/>
        </w:rPr>
        <w:t xml:space="preserve"> </w:t>
      </w:r>
      <w:r w:rsidRPr="00B83C93">
        <w:rPr>
          <w:noProof/>
        </w:rPr>
        <w:t>ust.</w:t>
      </w:r>
      <w:r w:rsidR="00B83C93" w:rsidRPr="00B83C93">
        <w:rPr>
          <w:noProof/>
        </w:rPr>
        <w:t> </w:t>
      </w:r>
      <w:r w:rsidRPr="00B83C93">
        <w:rPr>
          <w:noProof/>
        </w:rPr>
        <w:t>2</w:t>
      </w:r>
      <w:r w:rsidRPr="008B4DA2">
        <w:rPr>
          <w:noProof/>
        </w:rPr>
        <w:t xml:space="preserve"> </w:t>
      </w:r>
      <w:r w:rsidRPr="00B83C93">
        <w:rPr>
          <w:noProof/>
        </w:rPr>
        <w:t>lit.</w:t>
      </w:r>
      <w:r w:rsidR="00B83C93" w:rsidRPr="00B83C93">
        <w:rPr>
          <w:noProof/>
        </w:rPr>
        <w:t> </w:t>
      </w:r>
      <w:r w:rsidRPr="00B83C93">
        <w:rPr>
          <w:noProof/>
        </w:rPr>
        <w:t>a)</w:t>
      </w:r>
      <w:r w:rsidRPr="008B4DA2">
        <w:rPr>
          <w:noProof/>
        </w:rPr>
        <w:t xml:space="preserve"> ppkt (i) dyrektywy (UE) 2022/2561;</w:t>
      </w:r>
    </w:p>
    <w:p w:rsidR="00BD67F9" w:rsidRPr="008B4DA2" w:rsidRDefault="00DF60AC" w:rsidP="00DF60AC">
      <w:pPr>
        <w:pStyle w:val="Point1"/>
        <w:rPr>
          <w:noProof/>
        </w:rPr>
      </w:pPr>
      <w:r w:rsidRPr="008B4DA2">
        <w:rPr>
          <w:noProof/>
        </w:rPr>
        <w:t>b)</w:t>
      </w:r>
      <w:r w:rsidRPr="008B4DA2">
        <w:rPr>
          <w:noProof/>
        </w:rPr>
        <w:tab/>
        <w:t>w przypadku kategorii D1 i D1E, dolna granica wieku przewidziana</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5</w:t>
      </w:r>
      <w:r w:rsidRPr="008B4DA2">
        <w:rPr>
          <w:noProof/>
        </w:rPr>
        <w:t xml:space="preserve"> </w:t>
      </w:r>
      <w:r w:rsidRPr="00B83C93">
        <w:rPr>
          <w:noProof/>
        </w:rPr>
        <w:t>ust.</w:t>
      </w:r>
      <w:r w:rsidR="00B83C93" w:rsidRPr="00B83C93">
        <w:rPr>
          <w:noProof/>
        </w:rPr>
        <w:t> </w:t>
      </w:r>
      <w:r w:rsidRPr="00B83C93">
        <w:rPr>
          <w:noProof/>
        </w:rPr>
        <w:t>3</w:t>
      </w:r>
      <w:r w:rsidRPr="008B4DA2">
        <w:rPr>
          <w:noProof/>
        </w:rPr>
        <w:t xml:space="preserve"> </w:t>
      </w:r>
      <w:r w:rsidRPr="00B83C93">
        <w:rPr>
          <w:noProof/>
        </w:rPr>
        <w:t>lit.</w:t>
      </w:r>
      <w:r w:rsidR="00B83C93" w:rsidRPr="00B83C93">
        <w:rPr>
          <w:noProof/>
        </w:rPr>
        <w:t> </w:t>
      </w:r>
      <w:r w:rsidRPr="00B83C93">
        <w:rPr>
          <w:noProof/>
        </w:rPr>
        <w:t>a)</w:t>
      </w:r>
      <w:r w:rsidRPr="008B4DA2">
        <w:rPr>
          <w:noProof/>
        </w:rPr>
        <w:t xml:space="preserve"> ppkt (i) akapit drugi tejże dyrektywy;</w:t>
      </w:r>
    </w:p>
    <w:p w:rsidR="00BD67F9" w:rsidRPr="008B4DA2" w:rsidRDefault="00DF60AC" w:rsidP="00DF60AC">
      <w:pPr>
        <w:pStyle w:val="Point1"/>
        <w:rPr>
          <w:noProof/>
        </w:rPr>
      </w:pPr>
      <w:r w:rsidRPr="008B4DA2">
        <w:rPr>
          <w:noProof/>
        </w:rPr>
        <w:t>c)</w:t>
      </w:r>
      <w:r w:rsidRPr="008B4DA2">
        <w:rPr>
          <w:noProof/>
        </w:rPr>
        <w:tab/>
        <w:t>w przypadku kategorii D i DE, dolne granice wieku przewidziane</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5</w:t>
      </w:r>
      <w:r w:rsidRPr="008B4DA2">
        <w:rPr>
          <w:noProof/>
        </w:rPr>
        <w:t xml:space="preserve"> </w:t>
      </w:r>
      <w:r w:rsidRPr="00B83C93">
        <w:rPr>
          <w:noProof/>
        </w:rPr>
        <w:t>ust.</w:t>
      </w:r>
      <w:r w:rsidR="00B83C93" w:rsidRPr="00B83C93">
        <w:rPr>
          <w:noProof/>
        </w:rPr>
        <w:t> </w:t>
      </w:r>
      <w:r w:rsidRPr="00B83C93">
        <w:rPr>
          <w:noProof/>
        </w:rPr>
        <w:t>3</w:t>
      </w:r>
      <w:r w:rsidRPr="008B4DA2">
        <w:rPr>
          <w:noProof/>
        </w:rPr>
        <w:t xml:space="preserve"> </w:t>
      </w:r>
      <w:r w:rsidRPr="00B83C93">
        <w:rPr>
          <w:noProof/>
        </w:rPr>
        <w:t>lit.</w:t>
      </w:r>
      <w:r w:rsidR="00B83C93" w:rsidRPr="00B83C93">
        <w:rPr>
          <w:noProof/>
        </w:rPr>
        <w:t> </w:t>
      </w:r>
      <w:r w:rsidRPr="00B83C93">
        <w:rPr>
          <w:noProof/>
        </w:rPr>
        <w:t>a)</w:t>
      </w:r>
      <w:r w:rsidRPr="008B4DA2">
        <w:rPr>
          <w:noProof/>
        </w:rPr>
        <w:t xml:space="preserve"> ppkt (i) akapit pierwszy, </w:t>
      </w:r>
      <w:r w:rsidRPr="00B83C93">
        <w:rPr>
          <w:noProof/>
        </w:rPr>
        <w:t>art.</w:t>
      </w:r>
      <w:r w:rsidR="00B83C93" w:rsidRPr="00B83C93">
        <w:rPr>
          <w:noProof/>
        </w:rPr>
        <w:t> </w:t>
      </w:r>
      <w:r w:rsidRPr="00B83C93">
        <w:rPr>
          <w:noProof/>
        </w:rPr>
        <w:t>5</w:t>
      </w:r>
      <w:r w:rsidRPr="008B4DA2">
        <w:rPr>
          <w:noProof/>
        </w:rPr>
        <w:t xml:space="preserve"> </w:t>
      </w:r>
      <w:r w:rsidRPr="00B83C93">
        <w:rPr>
          <w:noProof/>
        </w:rPr>
        <w:t>ust.</w:t>
      </w:r>
      <w:r w:rsidR="00B83C93" w:rsidRPr="00B83C93">
        <w:rPr>
          <w:noProof/>
        </w:rPr>
        <w:t> </w:t>
      </w:r>
      <w:r w:rsidRPr="00B83C93">
        <w:rPr>
          <w:noProof/>
        </w:rPr>
        <w:t>3</w:t>
      </w:r>
      <w:r w:rsidRPr="008B4DA2">
        <w:rPr>
          <w:noProof/>
        </w:rPr>
        <w:t xml:space="preserve"> </w:t>
      </w:r>
      <w:r w:rsidRPr="00B83C93">
        <w:rPr>
          <w:noProof/>
        </w:rPr>
        <w:t>lit.</w:t>
      </w:r>
      <w:r w:rsidR="00B83C93" w:rsidRPr="00B83C93">
        <w:rPr>
          <w:noProof/>
        </w:rPr>
        <w:t> </w:t>
      </w:r>
      <w:r w:rsidRPr="00B83C93">
        <w:rPr>
          <w:noProof/>
        </w:rPr>
        <w:t>a)</w:t>
      </w:r>
      <w:r w:rsidRPr="008B4DA2">
        <w:rPr>
          <w:noProof/>
        </w:rPr>
        <w:t xml:space="preserve"> ppkt (ii) akapit pierwszy</w:t>
      </w:r>
      <w:r w:rsidR="00B83C93" w:rsidRPr="008B4DA2">
        <w:rPr>
          <w:noProof/>
        </w:rPr>
        <w:t xml:space="preserve"> i</w:t>
      </w:r>
      <w:r w:rsidR="00B83C93">
        <w:rPr>
          <w:noProof/>
        </w:rPr>
        <w:t> </w:t>
      </w:r>
      <w:r w:rsidR="00B83C93" w:rsidRPr="00B83C93">
        <w:rPr>
          <w:noProof/>
        </w:rPr>
        <w:t>art</w:t>
      </w:r>
      <w:r w:rsidRPr="00B83C93">
        <w:rPr>
          <w:noProof/>
        </w:rPr>
        <w:t>.</w:t>
      </w:r>
      <w:r w:rsidR="00B83C93" w:rsidRPr="00B83C93">
        <w:rPr>
          <w:noProof/>
        </w:rPr>
        <w:t> </w:t>
      </w:r>
      <w:r w:rsidRPr="00B83C93">
        <w:rPr>
          <w:noProof/>
        </w:rPr>
        <w:t>5</w:t>
      </w:r>
      <w:r w:rsidRPr="008B4DA2">
        <w:rPr>
          <w:noProof/>
        </w:rPr>
        <w:t xml:space="preserve"> </w:t>
      </w:r>
      <w:r w:rsidRPr="00B83C93">
        <w:rPr>
          <w:noProof/>
        </w:rPr>
        <w:t>ust.</w:t>
      </w:r>
      <w:r w:rsidR="00B83C93" w:rsidRPr="00B83C93">
        <w:rPr>
          <w:noProof/>
        </w:rPr>
        <w:t> </w:t>
      </w:r>
      <w:r w:rsidRPr="00B83C93">
        <w:rPr>
          <w:noProof/>
        </w:rPr>
        <w:t>3</w:t>
      </w:r>
      <w:r w:rsidRPr="008B4DA2">
        <w:rPr>
          <w:noProof/>
        </w:rPr>
        <w:t xml:space="preserve"> </w:t>
      </w:r>
      <w:r w:rsidRPr="00B83C93">
        <w:rPr>
          <w:noProof/>
        </w:rPr>
        <w:t>lit.</w:t>
      </w:r>
      <w:r w:rsidR="00B83C93" w:rsidRPr="00B83C93">
        <w:rPr>
          <w:noProof/>
        </w:rPr>
        <w:t> </w:t>
      </w:r>
      <w:r w:rsidRPr="00B83C93">
        <w:rPr>
          <w:noProof/>
        </w:rPr>
        <w:t>b)</w:t>
      </w:r>
      <w:r w:rsidRPr="008B4DA2">
        <w:rPr>
          <w:noProof/>
        </w:rPr>
        <w:t xml:space="preserve"> tejże dyrektywy.</w:t>
      </w:r>
    </w:p>
    <w:p w:rsidR="00BD67F9" w:rsidRPr="008B4DA2" w:rsidRDefault="00BD67F9" w:rsidP="00BD67F9">
      <w:pPr>
        <w:pStyle w:val="Text1"/>
        <w:rPr>
          <w:noProof/>
        </w:rPr>
      </w:pPr>
      <w:r w:rsidRPr="008B4DA2">
        <w:rPr>
          <w:noProof/>
        </w:rPr>
        <w:t>W przypadku gdy zgodnie</w:t>
      </w:r>
      <w:r w:rsidR="00B83C93" w:rsidRPr="008B4DA2">
        <w:rPr>
          <w:noProof/>
        </w:rPr>
        <w:t xml:space="preserve"> z</w:t>
      </w:r>
      <w:r w:rsidR="00B83C93">
        <w:rPr>
          <w:noProof/>
        </w:rPr>
        <w:t> </w:t>
      </w:r>
      <w:r w:rsidR="00B83C93" w:rsidRPr="00B83C93">
        <w:rPr>
          <w:noProof/>
        </w:rPr>
        <w:t>art</w:t>
      </w:r>
      <w:r w:rsidRPr="00B83C93">
        <w:rPr>
          <w:noProof/>
        </w:rPr>
        <w:t>.</w:t>
      </w:r>
      <w:r w:rsidR="00B83C93" w:rsidRPr="00B83C93">
        <w:rPr>
          <w:noProof/>
        </w:rPr>
        <w:t> </w:t>
      </w:r>
      <w:r w:rsidRPr="00B83C93">
        <w:rPr>
          <w:noProof/>
        </w:rPr>
        <w:t>5</w:t>
      </w:r>
      <w:r w:rsidRPr="008B4DA2">
        <w:rPr>
          <w:noProof/>
        </w:rPr>
        <w:t xml:space="preserve"> </w:t>
      </w:r>
      <w:r w:rsidRPr="00B83C93">
        <w:rPr>
          <w:noProof/>
        </w:rPr>
        <w:t>ust.</w:t>
      </w:r>
      <w:r w:rsidR="00B83C93" w:rsidRPr="00B83C93">
        <w:rPr>
          <w:noProof/>
        </w:rPr>
        <w:t> </w:t>
      </w:r>
      <w:r w:rsidRPr="00B83C93">
        <w:rPr>
          <w:noProof/>
        </w:rPr>
        <w:t>3</w:t>
      </w:r>
      <w:r w:rsidRPr="008B4DA2">
        <w:rPr>
          <w:noProof/>
        </w:rPr>
        <w:t xml:space="preserve"> </w:t>
      </w:r>
      <w:r w:rsidRPr="00B83C93">
        <w:rPr>
          <w:noProof/>
        </w:rPr>
        <w:t>lit.</w:t>
      </w:r>
      <w:r w:rsidR="00B83C93" w:rsidRPr="00B83C93">
        <w:rPr>
          <w:noProof/>
        </w:rPr>
        <w:t> </w:t>
      </w:r>
      <w:r w:rsidRPr="00B83C93">
        <w:rPr>
          <w:noProof/>
        </w:rPr>
        <w:t>a)</w:t>
      </w:r>
      <w:r w:rsidRPr="008B4DA2">
        <w:rPr>
          <w:noProof/>
        </w:rPr>
        <w:t xml:space="preserve"> ppkt (i) akapit drugi lub </w:t>
      </w:r>
      <w:r w:rsidRPr="00B83C93">
        <w:rPr>
          <w:noProof/>
        </w:rPr>
        <w:t>art.</w:t>
      </w:r>
      <w:r w:rsidR="00B83C93" w:rsidRPr="00B83C93">
        <w:rPr>
          <w:noProof/>
        </w:rPr>
        <w:t> </w:t>
      </w:r>
      <w:r w:rsidRPr="00B83C93">
        <w:rPr>
          <w:noProof/>
        </w:rPr>
        <w:t>5</w:t>
      </w:r>
      <w:r w:rsidRPr="008B4DA2">
        <w:rPr>
          <w:noProof/>
        </w:rPr>
        <w:t xml:space="preserve"> </w:t>
      </w:r>
      <w:r w:rsidRPr="00B83C93">
        <w:rPr>
          <w:noProof/>
        </w:rPr>
        <w:t>ust.</w:t>
      </w:r>
      <w:r w:rsidR="00B83C93" w:rsidRPr="00B83C93">
        <w:rPr>
          <w:noProof/>
        </w:rPr>
        <w:t> </w:t>
      </w:r>
      <w:r w:rsidRPr="00B83C93">
        <w:rPr>
          <w:noProof/>
        </w:rPr>
        <w:t>3</w:t>
      </w:r>
      <w:r w:rsidRPr="008B4DA2">
        <w:rPr>
          <w:noProof/>
        </w:rPr>
        <w:t xml:space="preserve"> </w:t>
      </w:r>
      <w:r w:rsidRPr="00B83C93">
        <w:rPr>
          <w:noProof/>
        </w:rPr>
        <w:t>lit.</w:t>
      </w:r>
      <w:r w:rsidR="00B83C93" w:rsidRPr="00B83C93">
        <w:rPr>
          <w:noProof/>
        </w:rPr>
        <w:t> </w:t>
      </w:r>
      <w:r w:rsidRPr="00B83C93">
        <w:rPr>
          <w:noProof/>
        </w:rPr>
        <w:t>a)</w:t>
      </w:r>
      <w:r w:rsidRPr="008B4DA2">
        <w:rPr>
          <w:noProof/>
        </w:rPr>
        <w:t xml:space="preserve"> ppkt (ii) akapit drugi dyrektywy (UE) 2022/2561 państwo członkowskie zezwala na prowadzenie pojazdów na swoim terytorium od wcześniejszego wieku, ważność prawa jazdy jest ograniczona jedynie do terytorium wydającego państwa członkowskiego do czasu, aż jego posiadacz osiągnie odpowiednią dolną granicę wieku,</w:t>
      </w:r>
      <w:r w:rsidR="00B83C93" w:rsidRPr="008B4DA2">
        <w:rPr>
          <w:noProof/>
        </w:rPr>
        <w:t xml:space="preserve"> o</w:t>
      </w:r>
      <w:r w:rsidR="00B83C93">
        <w:rPr>
          <w:noProof/>
        </w:rPr>
        <w:t> </w:t>
      </w:r>
      <w:r w:rsidR="00B83C93" w:rsidRPr="008B4DA2">
        <w:rPr>
          <w:noProof/>
        </w:rPr>
        <w:t>któ</w:t>
      </w:r>
      <w:r w:rsidRPr="008B4DA2">
        <w:rPr>
          <w:noProof/>
        </w:rPr>
        <w:t>rej mowa</w:t>
      </w:r>
      <w:r w:rsidR="00B83C93" w:rsidRPr="008B4DA2">
        <w:rPr>
          <w:noProof/>
        </w:rPr>
        <w:t xml:space="preserve"> w</w:t>
      </w:r>
      <w:r w:rsidR="00B83C93">
        <w:rPr>
          <w:noProof/>
        </w:rPr>
        <w:t> </w:t>
      </w:r>
      <w:r w:rsidR="00B83C93" w:rsidRPr="008B4DA2">
        <w:rPr>
          <w:noProof/>
        </w:rPr>
        <w:t>aka</w:t>
      </w:r>
      <w:r w:rsidRPr="008B4DA2">
        <w:rPr>
          <w:noProof/>
        </w:rPr>
        <w:t xml:space="preserve">picie pierwszym niniejszego ustępu, oraz uzyska świadectwo kwalifikacji zawodowej. </w:t>
      </w:r>
    </w:p>
    <w:p w:rsidR="00BD67F9" w:rsidRPr="008B4DA2" w:rsidRDefault="00BD67F9" w:rsidP="00BD67F9">
      <w:pPr>
        <w:pStyle w:val="Titrearticle"/>
        <w:rPr>
          <w:noProof/>
        </w:rPr>
      </w:pPr>
      <w:r w:rsidRPr="008B4DA2">
        <w:rPr>
          <w:noProof/>
        </w:rPr>
        <w:t>Artykuł 8</w:t>
      </w:r>
    </w:p>
    <w:p w:rsidR="00BD67F9" w:rsidRPr="008B4DA2" w:rsidRDefault="00BD67F9" w:rsidP="00BD67F9">
      <w:pPr>
        <w:pStyle w:val="Objetacteprincipal"/>
        <w:rPr>
          <w:noProof/>
        </w:rPr>
      </w:pPr>
      <w:r w:rsidRPr="008B4DA2">
        <w:rPr>
          <w:noProof/>
        </w:rPr>
        <w:t>Warunki</w:t>
      </w:r>
      <w:r w:rsidR="00B83C93" w:rsidRPr="008B4DA2">
        <w:rPr>
          <w:noProof/>
        </w:rPr>
        <w:t xml:space="preserve"> i</w:t>
      </w:r>
      <w:r w:rsidR="00B83C93">
        <w:rPr>
          <w:noProof/>
        </w:rPr>
        <w:t> </w:t>
      </w:r>
      <w:r w:rsidR="00B83C93" w:rsidRPr="008B4DA2">
        <w:rPr>
          <w:noProof/>
        </w:rPr>
        <w:t>ogr</w:t>
      </w:r>
      <w:r w:rsidRPr="008B4DA2">
        <w:rPr>
          <w:noProof/>
        </w:rPr>
        <w:t xml:space="preserve">aniczenia </w:t>
      </w:r>
    </w:p>
    <w:p w:rsidR="00BD67F9" w:rsidRPr="008B4DA2" w:rsidRDefault="00DF60AC" w:rsidP="00DF60AC">
      <w:pPr>
        <w:pStyle w:val="ManualNumPar1"/>
        <w:rPr>
          <w:noProof/>
        </w:rPr>
      </w:pPr>
      <w:r w:rsidRPr="008B4DA2">
        <w:rPr>
          <w:noProof/>
        </w:rPr>
        <w:t>1.</w:t>
      </w:r>
      <w:r w:rsidRPr="008B4DA2">
        <w:rPr>
          <w:noProof/>
        </w:rPr>
        <w:tab/>
        <w:t>Państwa członkowskie oznaczają prawa jazdy wydane danej osobie</w:t>
      </w:r>
      <w:r w:rsidR="00B83C93" w:rsidRPr="008B4DA2">
        <w:rPr>
          <w:noProof/>
        </w:rPr>
        <w:t xml:space="preserve"> z</w:t>
      </w:r>
      <w:r w:rsidR="00B83C93">
        <w:rPr>
          <w:noProof/>
        </w:rPr>
        <w:t> </w:t>
      </w:r>
      <w:r w:rsidR="00B83C93" w:rsidRPr="008B4DA2">
        <w:rPr>
          <w:noProof/>
        </w:rPr>
        <w:t>zas</w:t>
      </w:r>
      <w:r w:rsidRPr="008B4DA2">
        <w:rPr>
          <w:noProof/>
        </w:rPr>
        <w:t>trzeżeniem warunku lub warunków, według których jest ona uprawniona do kierowania pojazdem</w:t>
      </w:r>
      <w:r w:rsidR="00B83C93" w:rsidRPr="008B4DA2">
        <w:rPr>
          <w:noProof/>
        </w:rPr>
        <w:t>. W</w:t>
      </w:r>
      <w:r w:rsidR="00B83C93">
        <w:rPr>
          <w:noProof/>
        </w:rPr>
        <w:t> </w:t>
      </w:r>
      <w:r w:rsidR="00B83C93" w:rsidRPr="008B4DA2">
        <w:rPr>
          <w:noProof/>
        </w:rPr>
        <w:t>tym</w:t>
      </w:r>
      <w:r w:rsidRPr="008B4DA2">
        <w:rPr>
          <w:noProof/>
        </w:rPr>
        <w:t xml:space="preserve"> celu państwa członkowskie stosują odpowiednie kody unijne przewidziane</w:t>
      </w:r>
      <w:r w:rsidR="00B83C93" w:rsidRPr="008B4DA2">
        <w:rPr>
          <w:noProof/>
        </w:rPr>
        <w:t xml:space="preserve"> w</w:t>
      </w:r>
      <w:r w:rsidR="00B83C93">
        <w:rPr>
          <w:noProof/>
        </w:rPr>
        <w:t> </w:t>
      </w:r>
      <w:r w:rsidR="00B83C93" w:rsidRPr="008B4DA2">
        <w:rPr>
          <w:noProof/>
        </w:rPr>
        <w:t>zał</w:t>
      </w:r>
      <w:r w:rsidRPr="008B4DA2">
        <w:rPr>
          <w:noProof/>
        </w:rPr>
        <w:t>ączniku I część E</w:t>
      </w:r>
      <w:r w:rsidR="00B83C93" w:rsidRPr="008B4DA2">
        <w:rPr>
          <w:noProof/>
        </w:rPr>
        <w:t>. W</w:t>
      </w:r>
      <w:r w:rsidR="00B83C93">
        <w:rPr>
          <w:noProof/>
        </w:rPr>
        <w:t> </w:t>
      </w:r>
      <w:r w:rsidR="00B83C93" w:rsidRPr="008B4DA2">
        <w:rPr>
          <w:noProof/>
        </w:rPr>
        <w:t>odn</w:t>
      </w:r>
      <w:r w:rsidRPr="008B4DA2">
        <w:rPr>
          <w:noProof/>
        </w:rPr>
        <w:t xml:space="preserve">iesieniu do warunków, które nie są objęte zakresem załącznika I część E, mogą również stosować kody krajowe. </w:t>
      </w:r>
    </w:p>
    <w:p w:rsidR="00BD67F9" w:rsidRPr="008B4DA2" w:rsidRDefault="00BD67F9" w:rsidP="005B2A2F">
      <w:pPr>
        <w:pStyle w:val="Text1"/>
        <w:rPr>
          <w:noProof/>
        </w:rPr>
      </w:pPr>
      <w:r w:rsidRPr="008B4DA2">
        <w:rPr>
          <w:noProof/>
        </w:rPr>
        <w:t>Jeżeli ze względu na niezdolność fizyczną dopuszcza się kierowanie pojazdami tylko pewnych typów lub pojazdami specjalnie przystosowanymi</w:t>
      </w:r>
      <w:r w:rsidR="00B83C93" w:rsidRPr="008B4DA2">
        <w:rPr>
          <w:noProof/>
        </w:rPr>
        <w:t xml:space="preserve"> w</w:t>
      </w:r>
      <w:r w:rsidR="00B83C93">
        <w:rPr>
          <w:noProof/>
        </w:rPr>
        <w:t> </w:t>
      </w:r>
      <w:r w:rsidR="00B83C93" w:rsidRPr="008B4DA2">
        <w:rPr>
          <w:noProof/>
        </w:rPr>
        <w:t>cel</w:t>
      </w:r>
      <w:r w:rsidRPr="008B4DA2">
        <w:rPr>
          <w:noProof/>
        </w:rPr>
        <w:t>u kompensacji takiej niezdolności, egzamin umiejętności</w:t>
      </w:r>
      <w:r w:rsidR="00B83C93" w:rsidRPr="008B4DA2">
        <w:rPr>
          <w:noProof/>
        </w:rPr>
        <w:t xml:space="preserve"> i</w:t>
      </w:r>
      <w:r w:rsidR="00B83C93">
        <w:rPr>
          <w:noProof/>
        </w:rPr>
        <w:t> </w:t>
      </w:r>
      <w:r w:rsidR="00B83C93" w:rsidRPr="008B4DA2">
        <w:rPr>
          <w:noProof/>
        </w:rPr>
        <w:t>zac</w:t>
      </w:r>
      <w:r w:rsidRPr="008B4DA2">
        <w:rPr>
          <w:noProof/>
        </w:rPr>
        <w:t>howań przewidziany</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1</w:t>
      </w:r>
      <w:r w:rsidRPr="008B4DA2">
        <w:rPr>
          <w:noProof/>
        </w:rPr>
        <w:t xml:space="preserve">0 </w:t>
      </w:r>
      <w:r w:rsidRPr="00B83C93">
        <w:rPr>
          <w:noProof/>
        </w:rPr>
        <w:t>ust.</w:t>
      </w:r>
      <w:r w:rsidR="00B83C93" w:rsidRPr="00B83C93">
        <w:rPr>
          <w:noProof/>
        </w:rPr>
        <w:t> </w:t>
      </w:r>
      <w:r w:rsidRPr="00B83C93">
        <w:rPr>
          <w:noProof/>
        </w:rPr>
        <w:t>1</w:t>
      </w:r>
      <w:r w:rsidRPr="008B4DA2">
        <w:rPr>
          <w:noProof/>
        </w:rPr>
        <w:t xml:space="preserve"> przeprowadza się takim pojazdem.</w:t>
      </w:r>
    </w:p>
    <w:p w:rsidR="00BD67F9" w:rsidRPr="008B4DA2" w:rsidRDefault="00DF60AC" w:rsidP="00DF60AC">
      <w:pPr>
        <w:pStyle w:val="ManualNumPar1"/>
        <w:rPr>
          <w:noProof/>
        </w:rPr>
      </w:pPr>
      <w:r w:rsidRPr="008B4DA2">
        <w:rPr>
          <w:noProof/>
        </w:rPr>
        <w:t>2.</w:t>
      </w:r>
      <w:r w:rsidRPr="008B4DA2">
        <w:rPr>
          <w:noProof/>
        </w:rPr>
        <w:tab/>
        <w:t>Komisja jest uprawniona do przyjmowania aktów delegowanych zgodnie</w:t>
      </w:r>
      <w:r w:rsidR="00B83C93" w:rsidRPr="008B4DA2">
        <w:rPr>
          <w:noProof/>
        </w:rPr>
        <w:t xml:space="preserve"> z</w:t>
      </w:r>
      <w:r w:rsidR="00B83C93">
        <w:rPr>
          <w:noProof/>
        </w:rPr>
        <w:t> </w:t>
      </w:r>
      <w:r w:rsidR="00B83C93" w:rsidRPr="00B83C93">
        <w:rPr>
          <w:noProof/>
        </w:rPr>
        <w:t>art</w:t>
      </w:r>
      <w:r w:rsidRPr="00B83C93">
        <w:rPr>
          <w:noProof/>
        </w:rPr>
        <w:t>.</w:t>
      </w:r>
      <w:r w:rsidR="00B83C93" w:rsidRPr="00B83C93">
        <w:rPr>
          <w:noProof/>
        </w:rPr>
        <w:t> </w:t>
      </w:r>
      <w:r w:rsidRPr="00B83C93">
        <w:rPr>
          <w:noProof/>
        </w:rPr>
        <w:t>2</w:t>
      </w:r>
      <w:r w:rsidRPr="008B4DA2">
        <w:rPr>
          <w:noProof/>
        </w:rPr>
        <w:t>1, aby dokonać zmiany części E załącznika I, jeżeli jest to konieczne</w:t>
      </w:r>
      <w:r w:rsidR="00B83C93" w:rsidRPr="008B4DA2">
        <w:rPr>
          <w:noProof/>
        </w:rPr>
        <w:t xml:space="preserve"> w</w:t>
      </w:r>
      <w:r w:rsidR="00B83C93">
        <w:rPr>
          <w:noProof/>
        </w:rPr>
        <w:t> </w:t>
      </w:r>
      <w:r w:rsidR="00B83C93" w:rsidRPr="008B4DA2">
        <w:rPr>
          <w:noProof/>
        </w:rPr>
        <w:t>cel</w:t>
      </w:r>
      <w:r w:rsidRPr="008B4DA2">
        <w:rPr>
          <w:noProof/>
        </w:rPr>
        <w:t xml:space="preserve">u uwzględnienia zmian technicznych, operacyjnych lub naukowych. </w:t>
      </w:r>
    </w:p>
    <w:p w:rsidR="00BD67F9" w:rsidRPr="008B4DA2" w:rsidRDefault="00BD67F9" w:rsidP="00BD67F9">
      <w:pPr>
        <w:pStyle w:val="Titrearticle"/>
        <w:rPr>
          <w:noProof/>
        </w:rPr>
      </w:pPr>
      <w:r w:rsidRPr="008B4DA2">
        <w:rPr>
          <w:noProof/>
        </w:rPr>
        <w:t>Artykuł 9</w:t>
      </w:r>
    </w:p>
    <w:p w:rsidR="00BD67F9" w:rsidRPr="00B83C93" w:rsidRDefault="00BD67F9" w:rsidP="00BD67F9">
      <w:pPr>
        <w:pStyle w:val="Objetacteprincipal"/>
        <w:rPr>
          <w:noProof/>
        </w:rPr>
      </w:pPr>
      <w:r w:rsidRPr="008B4DA2">
        <w:rPr>
          <w:noProof/>
        </w:rPr>
        <w:t>Kolejność przyznawania</w:t>
      </w:r>
      <w:r w:rsidR="00B83C93" w:rsidRPr="008B4DA2">
        <w:rPr>
          <w:noProof/>
        </w:rPr>
        <w:t xml:space="preserve"> i</w:t>
      </w:r>
      <w:r w:rsidR="00B83C93">
        <w:rPr>
          <w:noProof/>
        </w:rPr>
        <w:t> </w:t>
      </w:r>
      <w:r w:rsidR="00B83C93" w:rsidRPr="008B4DA2">
        <w:rPr>
          <w:noProof/>
        </w:rPr>
        <w:t>rów</w:t>
      </w:r>
      <w:r w:rsidRPr="008B4DA2">
        <w:rPr>
          <w:noProof/>
        </w:rPr>
        <w:t>noważność kategori</w:t>
      </w:r>
      <w:r w:rsidRPr="00B83C93">
        <w:rPr>
          <w:noProof/>
        </w:rPr>
        <w:t>i</w:t>
      </w:r>
      <w:r w:rsidR="00B83C93" w:rsidRPr="00B83C93">
        <w:rPr>
          <w:noProof/>
        </w:rPr>
        <w:t xml:space="preserve"> </w:t>
      </w:r>
    </w:p>
    <w:p w:rsidR="00BD67F9" w:rsidRPr="008B4DA2" w:rsidRDefault="00DF60AC" w:rsidP="00DF60AC">
      <w:pPr>
        <w:pStyle w:val="ManualNumPar1"/>
        <w:rPr>
          <w:noProof/>
        </w:rPr>
      </w:pPr>
      <w:r w:rsidRPr="008B4DA2">
        <w:rPr>
          <w:noProof/>
        </w:rPr>
        <w:t>1.</w:t>
      </w:r>
      <w:r w:rsidRPr="008B4DA2">
        <w:rPr>
          <w:noProof/>
        </w:rPr>
        <w:tab/>
        <w:t>Prawa jazdy kategorii BE, C1, C1E, C, CE, D1, D1E, D i DE wydaje się tylko kierowcom uprawnionym już do kierowania pojazdami kategorii B.</w:t>
      </w:r>
    </w:p>
    <w:p w:rsidR="00BD67F9" w:rsidRPr="008B4DA2" w:rsidRDefault="00DF60AC" w:rsidP="00DF60AC">
      <w:pPr>
        <w:pStyle w:val="ManualNumPar1"/>
        <w:rPr>
          <w:noProof/>
        </w:rPr>
      </w:pPr>
      <w:r w:rsidRPr="008B4DA2">
        <w:rPr>
          <w:noProof/>
        </w:rPr>
        <w:t>2.</w:t>
      </w:r>
      <w:r w:rsidRPr="008B4DA2">
        <w:rPr>
          <w:noProof/>
        </w:rPr>
        <w:tab/>
        <w:t>Ważność praw jazdy określa się</w:t>
      </w:r>
      <w:r w:rsidR="00B83C93" w:rsidRPr="008B4DA2">
        <w:rPr>
          <w:noProof/>
        </w:rPr>
        <w:t xml:space="preserve"> w</w:t>
      </w:r>
      <w:r w:rsidR="00B83C93">
        <w:rPr>
          <w:noProof/>
        </w:rPr>
        <w:t> </w:t>
      </w:r>
      <w:r w:rsidR="00B83C93" w:rsidRPr="008B4DA2">
        <w:rPr>
          <w:noProof/>
        </w:rPr>
        <w:t>nas</w:t>
      </w:r>
      <w:r w:rsidRPr="008B4DA2">
        <w:rPr>
          <w:noProof/>
        </w:rPr>
        <w:t xml:space="preserve">tępujący sposób: </w:t>
      </w:r>
    </w:p>
    <w:p w:rsidR="00BD67F9" w:rsidRPr="008B4DA2" w:rsidRDefault="00DF60AC" w:rsidP="00DF60AC">
      <w:pPr>
        <w:pStyle w:val="Point1"/>
        <w:rPr>
          <w:noProof/>
        </w:rPr>
      </w:pPr>
      <w:r w:rsidRPr="008B4DA2">
        <w:rPr>
          <w:noProof/>
        </w:rPr>
        <w:t>a)</w:t>
      </w:r>
      <w:r w:rsidRPr="008B4DA2">
        <w:rPr>
          <w:noProof/>
        </w:rPr>
        <w:tab/>
        <w:t xml:space="preserve">prawa jazdy kategorii C1E, CE, D1E lub DE uprawniają do kierowania zespołami pojazdów kategorii BE; </w:t>
      </w:r>
    </w:p>
    <w:p w:rsidR="00BD67F9" w:rsidRPr="008B4DA2" w:rsidRDefault="00DF60AC" w:rsidP="00DF60AC">
      <w:pPr>
        <w:pStyle w:val="Point1"/>
        <w:rPr>
          <w:noProof/>
        </w:rPr>
      </w:pPr>
      <w:r w:rsidRPr="008B4DA2">
        <w:rPr>
          <w:noProof/>
        </w:rPr>
        <w:t>b)</w:t>
      </w:r>
      <w:r w:rsidRPr="008B4DA2">
        <w:rPr>
          <w:noProof/>
        </w:rPr>
        <w:tab/>
        <w:t>prawa jazdy kategorii CE uprawniają do kierowania pojazdami kategorii DE,</w:t>
      </w:r>
      <w:r w:rsidR="00B83C93" w:rsidRPr="008B4DA2">
        <w:rPr>
          <w:noProof/>
        </w:rPr>
        <w:t xml:space="preserve"> o</w:t>
      </w:r>
      <w:r w:rsidR="00B83C93">
        <w:rPr>
          <w:noProof/>
        </w:rPr>
        <w:t> </w:t>
      </w:r>
      <w:r w:rsidR="00B83C93" w:rsidRPr="008B4DA2">
        <w:rPr>
          <w:noProof/>
        </w:rPr>
        <w:t>ile</w:t>
      </w:r>
      <w:r w:rsidRPr="008B4DA2">
        <w:rPr>
          <w:noProof/>
        </w:rPr>
        <w:t xml:space="preserve"> posiadacze takich praw jazdy mają uprawnienia do kierowania pojazdami kategorii D; </w:t>
      </w:r>
    </w:p>
    <w:p w:rsidR="00BD67F9" w:rsidRPr="008B4DA2" w:rsidRDefault="00DF60AC" w:rsidP="00DF60AC">
      <w:pPr>
        <w:pStyle w:val="Point1"/>
        <w:rPr>
          <w:noProof/>
        </w:rPr>
      </w:pPr>
      <w:r w:rsidRPr="008B4DA2">
        <w:rPr>
          <w:noProof/>
        </w:rPr>
        <w:t>c)</w:t>
      </w:r>
      <w:r w:rsidRPr="008B4DA2">
        <w:rPr>
          <w:noProof/>
        </w:rPr>
        <w:tab/>
        <w:t>prawa jazdy kategorii C1E lub CE uprawniają do kierowania pojazdami kategorii D1E,</w:t>
      </w:r>
      <w:r w:rsidR="00B83C93" w:rsidRPr="008B4DA2">
        <w:rPr>
          <w:noProof/>
        </w:rPr>
        <w:t xml:space="preserve"> o</w:t>
      </w:r>
      <w:r w:rsidR="00B83C93">
        <w:rPr>
          <w:noProof/>
        </w:rPr>
        <w:t> </w:t>
      </w:r>
      <w:bookmarkStart w:id="5" w:name="_Hlk123893329"/>
      <w:r w:rsidR="00B83C93" w:rsidRPr="008B4DA2">
        <w:rPr>
          <w:noProof/>
        </w:rPr>
        <w:t>ile</w:t>
      </w:r>
      <w:r w:rsidRPr="008B4DA2">
        <w:rPr>
          <w:noProof/>
        </w:rPr>
        <w:t xml:space="preserve"> posiadacze takich praw jazdy mają uprawnienia do kierowania pojazdami kategorii D1</w:t>
      </w:r>
      <w:bookmarkEnd w:id="5"/>
      <w:r w:rsidRPr="008B4DA2">
        <w:rPr>
          <w:noProof/>
        </w:rPr>
        <w:t xml:space="preserve">; </w:t>
      </w:r>
    </w:p>
    <w:p w:rsidR="00BD67F9" w:rsidRPr="008B4DA2" w:rsidRDefault="00DF60AC" w:rsidP="00DF60AC">
      <w:pPr>
        <w:pStyle w:val="Point1"/>
        <w:rPr>
          <w:noProof/>
        </w:rPr>
      </w:pPr>
      <w:r w:rsidRPr="008B4DA2">
        <w:rPr>
          <w:noProof/>
        </w:rPr>
        <w:t>d)</w:t>
      </w:r>
      <w:r w:rsidRPr="008B4DA2">
        <w:rPr>
          <w:noProof/>
        </w:rPr>
        <w:tab/>
        <w:t xml:space="preserve">prawa jazdy kategorii CE i DE uprawniają do kierowania zespołami pojazdów kategorii, odpowiednio, C1E i D1E; </w:t>
      </w:r>
    </w:p>
    <w:p w:rsidR="00BD67F9" w:rsidRPr="008B4DA2" w:rsidRDefault="00DF60AC" w:rsidP="00DF60AC">
      <w:pPr>
        <w:pStyle w:val="Point1"/>
        <w:rPr>
          <w:noProof/>
        </w:rPr>
      </w:pPr>
      <w:r w:rsidRPr="008B4DA2">
        <w:rPr>
          <w:noProof/>
        </w:rPr>
        <w:t>e)</w:t>
      </w:r>
      <w:r w:rsidRPr="008B4DA2">
        <w:rPr>
          <w:noProof/>
        </w:rPr>
        <w:tab/>
        <w:t>prawa jazdy wszystkich kategorii uprawniają do kierowania pojazdami kategorii AM. Jednak państwo członkowskie może</w:t>
      </w:r>
      <w:r w:rsidR="00B83C93" w:rsidRPr="008B4DA2">
        <w:rPr>
          <w:noProof/>
        </w:rPr>
        <w:t xml:space="preserve"> w</w:t>
      </w:r>
      <w:r w:rsidR="00B83C93">
        <w:rPr>
          <w:noProof/>
        </w:rPr>
        <w:t> </w:t>
      </w:r>
      <w:r w:rsidR="00B83C93" w:rsidRPr="008B4DA2">
        <w:rPr>
          <w:noProof/>
        </w:rPr>
        <w:t>odn</w:t>
      </w:r>
      <w:r w:rsidRPr="008B4DA2">
        <w:rPr>
          <w:noProof/>
        </w:rPr>
        <w:t xml:space="preserve">iesieniu do praw jazdy wydawanych na swoim terytorium ograniczyć równoważność kategorii AM do kategorii A1, A2 i A, jeśli państwo to uzna, że warunkiem nabycia uprawnień kategorii AM jest zdanie egzaminu praktycznego; </w:t>
      </w:r>
    </w:p>
    <w:p w:rsidR="00BD67F9" w:rsidRPr="008B4DA2" w:rsidRDefault="00DF60AC" w:rsidP="00DF60AC">
      <w:pPr>
        <w:pStyle w:val="Point1"/>
        <w:rPr>
          <w:noProof/>
        </w:rPr>
      </w:pPr>
      <w:r w:rsidRPr="008B4DA2">
        <w:rPr>
          <w:noProof/>
        </w:rPr>
        <w:t>f)</w:t>
      </w:r>
      <w:r w:rsidRPr="008B4DA2">
        <w:rPr>
          <w:noProof/>
        </w:rPr>
        <w:tab/>
        <w:t xml:space="preserve">prawa jazdy kategorii A2 uprawniają także do kierowania pojazdami kategorii A1; </w:t>
      </w:r>
    </w:p>
    <w:p w:rsidR="00BD67F9" w:rsidRPr="008B4DA2" w:rsidRDefault="00DF60AC" w:rsidP="00DF60AC">
      <w:pPr>
        <w:pStyle w:val="Point1"/>
        <w:rPr>
          <w:noProof/>
        </w:rPr>
      </w:pPr>
      <w:r w:rsidRPr="008B4DA2">
        <w:rPr>
          <w:noProof/>
        </w:rPr>
        <w:t>g)</w:t>
      </w:r>
      <w:r w:rsidRPr="008B4DA2">
        <w:rPr>
          <w:noProof/>
        </w:rPr>
        <w:tab/>
        <w:t>prawa jazdy kategorii A, B, C lub D uprawniają do kierowania pojazdami odpowiednio kategorii: A1, A2, B1, C1 lub D1;</w:t>
      </w:r>
    </w:p>
    <w:p w:rsidR="00BD67F9" w:rsidRPr="008B4DA2" w:rsidRDefault="00DF60AC" w:rsidP="00DF60AC">
      <w:pPr>
        <w:pStyle w:val="Point1"/>
        <w:rPr>
          <w:noProof/>
        </w:rPr>
      </w:pPr>
      <w:r w:rsidRPr="008B4DA2">
        <w:rPr>
          <w:noProof/>
        </w:rPr>
        <w:t>h)</w:t>
      </w:r>
      <w:r w:rsidRPr="008B4DA2">
        <w:rPr>
          <w:noProof/>
        </w:rPr>
        <w:tab/>
        <w:t>prawo jazdy kategorii B, dwa lata po wydaniu go po raz pierwszy, uprawnia do kierowania pojazdami napędzanymi paliwem alternatywnym,</w:t>
      </w:r>
      <w:r w:rsidR="00B83C93" w:rsidRPr="008B4DA2">
        <w:rPr>
          <w:noProof/>
        </w:rPr>
        <w:t xml:space="preserve"> o</w:t>
      </w:r>
      <w:r w:rsidR="00B83C93">
        <w:rPr>
          <w:noProof/>
        </w:rPr>
        <w:t> </w:t>
      </w:r>
      <w:r w:rsidR="00B83C93" w:rsidRPr="008B4DA2">
        <w:rPr>
          <w:noProof/>
        </w:rPr>
        <w:t>któ</w:t>
      </w:r>
      <w:r w:rsidRPr="008B4DA2">
        <w:rPr>
          <w:noProof/>
        </w:rPr>
        <w:t>rych mowa</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2</w:t>
      </w:r>
      <w:r w:rsidRPr="008B4DA2">
        <w:rPr>
          <w:noProof/>
        </w:rPr>
        <w:t xml:space="preserve"> dyrektywy Rady 96/53/WE</w:t>
      </w:r>
      <w:r w:rsidRPr="008B4DA2">
        <w:rPr>
          <w:rStyle w:val="FootnoteReference"/>
          <w:noProof/>
        </w:rPr>
        <w:footnoteReference w:id="64"/>
      </w:r>
      <w:r w:rsidRPr="008B4DA2">
        <w:rPr>
          <w:noProof/>
        </w:rPr>
        <w:t>,</w:t>
      </w:r>
      <w:r w:rsidR="00B83C93" w:rsidRPr="008B4DA2">
        <w:rPr>
          <w:noProof/>
        </w:rPr>
        <w:t xml:space="preserve"> o</w:t>
      </w:r>
      <w:r w:rsidR="00B83C93">
        <w:rPr>
          <w:noProof/>
        </w:rPr>
        <w:t> </w:t>
      </w:r>
      <w:r w:rsidR="00B83C93" w:rsidRPr="008B4DA2">
        <w:rPr>
          <w:noProof/>
        </w:rPr>
        <w:t>dop</w:t>
      </w:r>
      <w:r w:rsidRPr="008B4DA2">
        <w:rPr>
          <w:noProof/>
        </w:rPr>
        <w:t>uszczalnej masie całkowitej powyżej 3 500 kg, ale nieprzekraczającej 4 250 kg bez przyczepy.</w:t>
      </w:r>
    </w:p>
    <w:p w:rsidR="00BD67F9" w:rsidRPr="008B4DA2" w:rsidRDefault="00DF60AC" w:rsidP="00DF60AC">
      <w:pPr>
        <w:pStyle w:val="ManualNumPar1"/>
        <w:rPr>
          <w:noProof/>
        </w:rPr>
      </w:pPr>
      <w:r w:rsidRPr="008B4DA2">
        <w:rPr>
          <w:noProof/>
        </w:rPr>
        <w:t>3.</w:t>
      </w:r>
      <w:r w:rsidRPr="008B4DA2">
        <w:rPr>
          <w:noProof/>
        </w:rPr>
        <w:tab/>
        <w:t xml:space="preserve">W odniesieniu do kierowania pojazdami na ich terytorium państwa członkowskie mogą przyznawać następujące równoważności: </w:t>
      </w:r>
    </w:p>
    <w:p w:rsidR="00BD67F9" w:rsidRPr="008B4DA2" w:rsidRDefault="00DF60AC" w:rsidP="00DF60AC">
      <w:pPr>
        <w:pStyle w:val="Point1"/>
        <w:rPr>
          <w:noProof/>
        </w:rPr>
      </w:pPr>
      <w:r w:rsidRPr="008B4DA2">
        <w:rPr>
          <w:noProof/>
        </w:rPr>
        <w:t>a)</w:t>
      </w:r>
      <w:r w:rsidRPr="008B4DA2">
        <w:rPr>
          <w:noProof/>
        </w:rPr>
        <w:tab/>
        <w:t>uprawnienie do kierowania trzykołowymi pojazdami silnikowymi na podstawie prawa jazdy kategorii B, przy czym</w:t>
      </w:r>
      <w:r w:rsidR="00B83C93" w:rsidRPr="008B4DA2">
        <w:rPr>
          <w:noProof/>
        </w:rPr>
        <w:t xml:space="preserve"> w</w:t>
      </w:r>
      <w:r w:rsidR="00B83C93">
        <w:rPr>
          <w:noProof/>
        </w:rPr>
        <w:t> </w:t>
      </w:r>
      <w:r w:rsidR="00B83C93" w:rsidRPr="008B4DA2">
        <w:rPr>
          <w:noProof/>
        </w:rPr>
        <w:t>odn</w:t>
      </w:r>
      <w:r w:rsidRPr="008B4DA2">
        <w:rPr>
          <w:noProof/>
        </w:rPr>
        <w:t>iesieniu do trzykołowych pojazdów silnikowych</w:t>
      </w:r>
      <w:r w:rsidR="00B83C93" w:rsidRPr="008B4DA2">
        <w:rPr>
          <w:noProof/>
        </w:rPr>
        <w:t xml:space="preserve"> o</w:t>
      </w:r>
      <w:r w:rsidR="00B83C93">
        <w:rPr>
          <w:noProof/>
        </w:rPr>
        <w:t> </w:t>
      </w:r>
      <w:r w:rsidR="00B83C93" w:rsidRPr="008B4DA2">
        <w:rPr>
          <w:noProof/>
        </w:rPr>
        <w:t>moc</w:t>
      </w:r>
      <w:r w:rsidRPr="008B4DA2">
        <w:rPr>
          <w:noProof/>
        </w:rPr>
        <w:t xml:space="preserve">y ponad 15 kW pod warunkiem osiągnięcia przez posiadacza prawa jazdy kategorii B wieku co najmniej 21 lat; </w:t>
      </w:r>
    </w:p>
    <w:p w:rsidR="00BD67F9" w:rsidRPr="008B4DA2" w:rsidRDefault="00DF60AC" w:rsidP="00DF60AC">
      <w:pPr>
        <w:pStyle w:val="Point1"/>
        <w:rPr>
          <w:noProof/>
        </w:rPr>
      </w:pPr>
      <w:r w:rsidRPr="008B4DA2">
        <w:rPr>
          <w:noProof/>
        </w:rPr>
        <w:t>b)</w:t>
      </w:r>
      <w:r w:rsidRPr="008B4DA2">
        <w:rPr>
          <w:noProof/>
        </w:rPr>
        <w:tab/>
        <w:t xml:space="preserve">uprawnienie do kierowania motocyklami kategorii A1 na podstawie prawa jazdy kategorii B. </w:t>
      </w:r>
    </w:p>
    <w:p w:rsidR="00BD67F9" w:rsidRPr="008B4DA2" w:rsidRDefault="00BD67F9" w:rsidP="00BD67F9">
      <w:pPr>
        <w:pStyle w:val="Text1"/>
        <w:rPr>
          <w:noProof/>
        </w:rPr>
      </w:pPr>
      <w:r w:rsidRPr="008B4DA2">
        <w:rPr>
          <w:noProof/>
        </w:rPr>
        <w:t>Równoważności przewidziane</w:t>
      </w:r>
      <w:r w:rsidR="00B83C93" w:rsidRPr="008B4DA2">
        <w:rPr>
          <w:noProof/>
        </w:rPr>
        <w:t xml:space="preserve"> w</w:t>
      </w:r>
      <w:r w:rsidR="00B83C93">
        <w:rPr>
          <w:noProof/>
        </w:rPr>
        <w:t> </w:t>
      </w:r>
      <w:r w:rsidR="00B83C93" w:rsidRPr="008B4DA2">
        <w:rPr>
          <w:noProof/>
        </w:rPr>
        <w:t>aka</w:t>
      </w:r>
      <w:r w:rsidRPr="008B4DA2">
        <w:rPr>
          <w:noProof/>
        </w:rPr>
        <w:t>picie pierwszym są wzajemnie uznawane przez państwa członkowskie, które jest przyznały.</w:t>
      </w:r>
    </w:p>
    <w:p w:rsidR="00BD67F9" w:rsidRPr="008B4DA2" w:rsidRDefault="00BD67F9" w:rsidP="00BD67F9">
      <w:pPr>
        <w:pStyle w:val="Text1"/>
        <w:rPr>
          <w:noProof/>
        </w:rPr>
      </w:pPr>
      <w:r w:rsidRPr="008B4DA2">
        <w:rPr>
          <w:noProof/>
        </w:rPr>
        <w:t>Państwa członkowskie nie umieszczają na prawie jazdy adnotacji</w:t>
      </w:r>
      <w:r w:rsidR="00B83C93" w:rsidRPr="008B4DA2">
        <w:rPr>
          <w:noProof/>
        </w:rPr>
        <w:t xml:space="preserve"> o</w:t>
      </w:r>
      <w:r w:rsidR="00B83C93">
        <w:rPr>
          <w:noProof/>
        </w:rPr>
        <w:t> </w:t>
      </w:r>
      <w:r w:rsidR="00B83C93" w:rsidRPr="008B4DA2">
        <w:rPr>
          <w:noProof/>
        </w:rPr>
        <w:t>upr</w:t>
      </w:r>
      <w:r w:rsidRPr="008B4DA2">
        <w:rPr>
          <w:noProof/>
        </w:rPr>
        <w:t>awnieniach jego posiadacza do kierowania pojazdami,</w:t>
      </w:r>
      <w:r w:rsidR="00B83C93" w:rsidRPr="008B4DA2">
        <w:rPr>
          <w:noProof/>
        </w:rPr>
        <w:t xml:space="preserve"> o</w:t>
      </w:r>
      <w:r w:rsidR="00B83C93">
        <w:rPr>
          <w:noProof/>
        </w:rPr>
        <w:t> </w:t>
      </w:r>
      <w:r w:rsidR="00B83C93" w:rsidRPr="008B4DA2">
        <w:rPr>
          <w:noProof/>
        </w:rPr>
        <w:t>któ</w:t>
      </w:r>
      <w:r w:rsidRPr="008B4DA2">
        <w:rPr>
          <w:noProof/>
        </w:rPr>
        <w:t>rych mowa</w:t>
      </w:r>
      <w:r w:rsidR="00B83C93" w:rsidRPr="008B4DA2">
        <w:rPr>
          <w:noProof/>
        </w:rPr>
        <w:t xml:space="preserve"> w</w:t>
      </w:r>
      <w:r w:rsidR="00B83C93">
        <w:rPr>
          <w:noProof/>
        </w:rPr>
        <w:t> </w:t>
      </w:r>
      <w:r w:rsidR="00B83C93" w:rsidRPr="008B4DA2">
        <w:rPr>
          <w:noProof/>
        </w:rPr>
        <w:t>aka</w:t>
      </w:r>
      <w:r w:rsidRPr="008B4DA2">
        <w:rPr>
          <w:noProof/>
        </w:rPr>
        <w:t>picie pierwszym, chyba że stosują odpowiednie kody unijne określone</w:t>
      </w:r>
      <w:r w:rsidR="00B83C93" w:rsidRPr="008B4DA2">
        <w:rPr>
          <w:noProof/>
        </w:rPr>
        <w:t xml:space="preserve"> w</w:t>
      </w:r>
      <w:r w:rsidR="00B83C93">
        <w:rPr>
          <w:noProof/>
        </w:rPr>
        <w:t> </w:t>
      </w:r>
      <w:r w:rsidR="00B83C93" w:rsidRPr="008B4DA2">
        <w:rPr>
          <w:noProof/>
        </w:rPr>
        <w:t>zał</w:t>
      </w:r>
      <w:r w:rsidRPr="008B4DA2">
        <w:rPr>
          <w:noProof/>
        </w:rPr>
        <w:t>ączniku I część E.</w:t>
      </w:r>
    </w:p>
    <w:p w:rsidR="00BD67F9" w:rsidRPr="008B4DA2" w:rsidRDefault="00BD67F9" w:rsidP="00BD67F9">
      <w:pPr>
        <w:pStyle w:val="Text1"/>
        <w:rPr>
          <w:noProof/>
        </w:rPr>
      </w:pPr>
      <w:r w:rsidRPr="008B4DA2">
        <w:rPr>
          <w:noProof/>
        </w:rPr>
        <w:t>Państwa członkowskie niezwłocznie informują Komisję</w:t>
      </w:r>
      <w:r w:rsidR="00B83C93" w:rsidRPr="008B4DA2">
        <w:rPr>
          <w:noProof/>
        </w:rPr>
        <w:t xml:space="preserve"> o</w:t>
      </w:r>
      <w:r w:rsidR="00B83C93">
        <w:rPr>
          <w:noProof/>
        </w:rPr>
        <w:t> </w:t>
      </w:r>
      <w:r w:rsidR="00B83C93" w:rsidRPr="008B4DA2">
        <w:rPr>
          <w:noProof/>
        </w:rPr>
        <w:t>rów</w:t>
      </w:r>
      <w:r w:rsidRPr="008B4DA2">
        <w:rPr>
          <w:noProof/>
        </w:rPr>
        <w:t>noważnościach wymienionych</w:t>
      </w:r>
      <w:r w:rsidR="00B83C93" w:rsidRPr="008B4DA2">
        <w:rPr>
          <w:noProof/>
        </w:rPr>
        <w:t xml:space="preserve"> w</w:t>
      </w:r>
      <w:r w:rsidR="00B83C93">
        <w:rPr>
          <w:noProof/>
        </w:rPr>
        <w:t> </w:t>
      </w:r>
      <w:r w:rsidR="00B83C93" w:rsidRPr="008B4DA2">
        <w:rPr>
          <w:noProof/>
        </w:rPr>
        <w:t>aka</w:t>
      </w:r>
      <w:r w:rsidRPr="008B4DA2">
        <w:rPr>
          <w:noProof/>
        </w:rPr>
        <w:t>picie pierwszym, przyznawanych na ich terytorium,</w:t>
      </w:r>
      <w:r w:rsidR="00B83C93" w:rsidRPr="008B4DA2">
        <w:rPr>
          <w:noProof/>
        </w:rPr>
        <w:t xml:space="preserve"> w</w:t>
      </w:r>
      <w:r w:rsidR="00B83C93">
        <w:rPr>
          <w:noProof/>
        </w:rPr>
        <w:t> </w:t>
      </w:r>
      <w:r w:rsidR="00B83C93" w:rsidRPr="008B4DA2">
        <w:rPr>
          <w:noProof/>
        </w:rPr>
        <w:t>tym o</w:t>
      </w:r>
      <w:r w:rsidR="00B83C93">
        <w:rPr>
          <w:noProof/>
        </w:rPr>
        <w:t> </w:t>
      </w:r>
      <w:r w:rsidR="00B83C93" w:rsidRPr="008B4DA2">
        <w:rPr>
          <w:noProof/>
        </w:rPr>
        <w:t>kod</w:t>
      </w:r>
      <w:r w:rsidRPr="008B4DA2">
        <w:rPr>
          <w:noProof/>
        </w:rPr>
        <w:t>ach krajowych, które mogły być stosowane przed wejściem</w:t>
      </w:r>
      <w:r w:rsidR="00B83C93" w:rsidRPr="008B4DA2">
        <w:rPr>
          <w:noProof/>
        </w:rPr>
        <w:t xml:space="preserve"> w</w:t>
      </w:r>
      <w:r w:rsidR="00B83C93">
        <w:rPr>
          <w:noProof/>
        </w:rPr>
        <w:t> </w:t>
      </w:r>
      <w:r w:rsidR="00B83C93" w:rsidRPr="008B4DA2">
        <w:rPr>
          <w:noProof/>
        </w:rPr>
        <w:t>życ</w:t>
      </w:r>
      <w:r w:rsidRPr="008B4DA2">
        <w:rPr>
          <w:noProof/>
        </w:rPr>
        <w:t>ie niniejszej dyrektywy. Komisja udostępnia te informacje państwom członkowskim</w:t>
      </w:r>
      <w:r w:rsidR="00B83C93" w:rsidRPr="008B4DA2">
        <w:rPr>
          <w:noProof/>
        </w:rPr>
        <w:t xml:space="preserve"> w</w:t>
      </w:r>
      <w:r w:rsidR="00B83C93">
        <w:rPr>
          <w:noProof/>
        </w:rPr>
        <w:t> </w:t>
      </w:r>
      <w:r w:rsidR="00B83C93" w:rsidRPr="008B4DA2">
        <w:rPr>
          <w:noProof/>
        </w:rPr>
        <w:t>cel</w:t>
      </w:r>
      <w:r w:rsidRPr="008B4DA2">
        <w:rPr>
          <w:noProof/>
        </w:rPr>
        <w:t xml:space="preserve">u ułatwienia stosowania niniejszego ustępu.   </w:t>
      </w:r>
    </w:p>
    <w:p w:rsidR="00BD67F9" w:rsidRPr="008B4DA2" w:rsidRDefault="00DF60AC" w:rsidP="00DF60AC">
      <w:pPr>
        <w:pStyle w:val="ManualNumPar1"/>
        <w:rPr>
          <w:noProof/>
        </w:rPr>
      </w:pPr>
      <w:r w:rsidRPr="008B4DA2">
        <w:rPr>
          <w:noProof/>
        </w:rPr>
        <w:t>4.</w:t>
      </w:r>
      <w:r w:rsidRPr="008B4DA2">
        <w:rPr>
          <w:noProof/>
        </w:rPr>
        <w:tab/>
        <w:t xml:space="preserve">Państwa członkowskie mogą zezwolić na kierowanie na ich terytorium pojazdami następujących kategorii: </w:t>
      </w:r>
    </w:p>
    <w:p w:rsidR="00BD67F9" w:rsidRPr="008B4DA2" w:rsidRDefault="00DF60AC" w:rsidP="00DF60AC">
      <w:pPr>
        <w:pStyle w:val="Point1"/>
        <w:rPr>
          <w:noProof/>
        </w:rPr>
      </w:pPr>
      <w:r w:rsidRPr="008B4DA2">
        <w:rPr>
          <w:noProof/>
        </w:rPr>
        <w:t>a)</w:t>
      </w:r>
      <w:r w:rsidRPr="008B4DA2">
        <w:rPr>
          <w:noProof/>
        </w:rPr>
        <w:tab/>
        <w:t>pojazdami kategorii D1</w:t>
      </w:r>
      <w:r w:rsidR="00B83C93" w:rsidRPr="008B4DA2">
        <w:rPr>
          <w:noProof/>
        </w:rPr>
        <w:t xml:space="preserve"> o</w:t>
      </w:r>
      <w:r w:rsidR="00B83C93">
        <w:rPr>
          <w:noProof/>
        </w:rPr>
        <w:t> </w:t>
      </w:r>
      <w:r w:rsidR="00B83C93" w:rsidRPr="008B4DA2">
        <w:rPr>
          <w:noProof/>
        </w:rPr>
        <w:t>dop</w:t>
      </w:r>
      <w:r w:rsidRPr="008B4DA2">
        <w:rPr>
          <w:noProof/>
        </w:rPr>
        <w:t xml:space="preserve">uszczalnej masie całkowitej </w:t>
      </w:r>
      <w:r w:rsidRPr="00B83C93">
        <w:rPr>
          <w:noProof/>
        </w:rPr>
        <w:t>do</w:t>
      </w:r>
      <w:r w:rsidR="00B83C93" w:rsidRPr="00B83C93">
        <w:rPr>
          <w:noProof/>
        </w:rPr>
        <w:t> </w:t>
      </w:r>
      <w:r w:rsidRPr="00B83C93">
        <w:rPr>
          <w:noProof/>
        </w:rPr>
        <w:t>3</w:t>
      </w:r>
      <w:r w:rsidRPr="008B4DA2">
        <w:rPr>
          <w:noProof/>
        </w:rPr>
        <w:t xml:space="preserve"> 500 kg, wyłączając wszelkie specjalne wyposażenie przeznaczone do przewozu osób</w:t>
      </w:r>
      <w:r w:rsidR="00B83C93" w:rsidRPr="008B4DA2">
        <w:rPr>
          <w:noProof/>
        </w:rPr>
        <w:t xml:space="preserve"> z</w:t>
      </w:r>
      <w:r w:rsidR="00B83C93">
        <w:rPr>
          <w:noProof/>
        </w:rPr>
        <w:t> </w:t>
      </w:r>
      <w:r w:rsidR="00B83C93" w:rsidRPr="008B4DA2">
        <w:rPr>
          <w:noProof/>
        </w:rPr>
        <w:t>nie</w:t>
      </w:r>
      <w:r w:rsidRPr="008B4DA2">
        <w:rPr>
          <w:noProof/>
        </w:rPr>
        <w:t>pełnosprawnościami, przez kierowców</w:t>
      </w:r>
      <w:r w:rsidR="00B83C93" w:rsidRPr="008B4DA2">
        <w:rPr>
          <w:noProof/>
        </w:rPr>
        <w:t xml:space="preserve"> w</w:t>
      </w:r>
      <w:r w:rsidR="00B83C93">
        <w:rPr>
          <w:noProof/>
        </w:rPr>
        <w:t> </w:t>
      </w:r>
      <w:r w:rsidR="00B83C93" w:rsidRPr="008B4DA2">
        <w:rPr>
          <w:noProof/>
        </w:rPr>
        <w:t>wie</w:t>
      </w:r>
      <w:r w:rsidRPr="008B4DA2">
        <w:rPr>
          <w:noProof/>
        </w:rPr>
        <w:t>ku powyżej 21 lat posiadających prawo jazdy kategorii B, najwcześniej dwa lata po wydaniu takiego prawa jazdy po raz pierwszy, pod warunkiem że pojazdy te są używane przez podmioty niekomercyjne do celów społecznych,</w:t>
      </w:r>
      <w:r w:rsidR="00B83C93" w:rsidRPr="008B4DA2">
        <w:rPr>
          <w:noProof/>
        </w:rPr>
        <w:t xml:space="preserve"> a</w:t>
      </w:r>
      <w:r w:rsidR="00B83C93">
        <w:rPr>
          <w:noProof/>
        </w:rPr>
        <w:t> </w:t>
      </w:r>
      <w:r w:rsidR="00B83C93" w:rsidRPr="008B4DA2">
        <w:rPr>
          <w:noProof/>
        </w:rPr>
        <w:t>kie</w:t>
      </w:r>
      <w:r w:rsidRPr="008B4DA2">
        <w:rPr>
          <w:noProof/>
        </w:rPr>
        <w:t xml:space="preserve">rowca świadczy swoje usługi ochotniczo; </w:t>
      </w:r>
    </w:p>
    <w:p w:rsidR="00BD67F9" w:rsidRPr="008B4DA2" w:rsidRDefault="00DF60AC" w:rsidP="00DF60AC">
      <w:pPr>
        <w:pStyle w:val="Point1"/>
        <w:rPr>
          <w:noProof/>
        </w:rPr>
      </w:pPr>
      <w:r w:rsidRPr="008B4DA2">
        <w:rPr>
          <w:noProof/>
        </w:rPr>
        <w:t>b)</w:t>
      </w:r>
      <w:r w:rsidRPr="008B4DA2">
        <w:rPr>
          <w:noProof/>
        </w:rPr>
        <w:tab/>
        <w:t>pojazdami</w:t>
      </w:r>
      <w:r w:rsidR="00B83C93" w:rsidRPr="008B4DA2">
        <w:rPr>
          <w:noProof/>
        </w:rPr>
        <w:t xml:space="preserve"> o</w:t>
      </w:r>
      <w:r w:rsidR="00B83C93">
        <w:rPr>
          <w:noProof/>
        </w:rPr>
        <w:t> </w:t>
      </w:r>
      <w:r w:rsidR="00B83C93" w:rsidRPr="008B4DA2">
        <w:rPr>
          <w:noProof/>
        </w:rPr>
        <w:t>dop</w:t>
      </w:r>
      <w:r w:rsidRPr="008B4DA2">
        <w:rPr>
          <w:noProof/>
        </w:rPr>
        <w:t>uszczalnej masie całkowitej przekraczającej 3 500 kg, przez kierowców</w:t>
      </w:r>
      <w:r w:rsidR="00B83C93" w:rsidRPr="008B4DA2">
        <w:rPr>
          <w:noProof/>
        </w:rPr>
        <w:t xml:space="preserve"> w</w:t>
      </w:r>
      <w:r w:rsidR="00B83C93">
        <w:rPr>
          <w:noProof/>
        </w:rPr>
        <w:t> </w:t>
      </w:r>
      <w:r w:rsidR="00B83C93" w:rsidRPr="008B4DA2">
        <w:rPr>
          <w:noProof/>
        </w:rPr>
        <w:t>wie</w:t>
      </w:r>
      <w:r w:rsidRPr="008B4DA2">
        <w:rPr>
          <w:noProof/>
        </w:rPr>
        <w:t>ku powyżej 21 lat posiadających prawo jazdy kategorii B, najwcześniej dwa lata po wydaniu takiego prawa jazdy po raz pierwszy,</w:t>
      </w:r>
      <w:r w:rsidR="00B83C93" w:rsidRPr="008B4DA2">
        <w:rPr>
          <w:noProof/>
        </w:rPr>
        <w:t xml:space="preserve"> o</w:t>
      </w:r>
      <w:r w:rsidR="00B83C93">
        <w:rPr>
          <w:noProof/>
        </w:rPr>
        <w:t> </w:t>
      </w:r>
      <w:r w:rsidR="00B83C93" w:rsidRPr="008B4DA2">
        <w:rPr>
          <w:noProof/>
        </w:rPr>
        <w:t>ile</w:t>
      </w:r>
      <w:r w:rsidRPr="008B4DA2">
        <w:rPr>
          <w:noProof/>
        </w:rPr>
        <w:t xml:space="preserve"> spełnione są wszystkie poniższe warunki:</w:t>
      </w:r>
    </w:p>
    <w:p w:rsidR="00BD67F9" w:rsidRPr="008B4DA2" w:rsidRDefault="00BD67F9" w:rsidP="007F5A7D">
      <w:pPr>
        <w:pStyle w:val="Text1"/>
        <w:ind w:left="1418"/>
        <w:rPr>
          <w:noProof/>
        </w:rPr>
      </w:pPr>
      <w:r w:rsidRPr="008B4DA2">
        <w:rPr>
          <w:noProof/>
        </w:rPr>
        <w:t xml:space="preserve">(i) pojazdy te są przeznaczone do wykorzystywania podczas postoju jedynie do celów instruktażowych lub rekreacyjnych; </w:t>
      </w:r>
    </w:p>
    <w:p w:rsidR="00BD67F9" w:rsidRPr="008B4DA2" w:rsidRDefault="00BD67F9" w:rsidP="007F5A7D">
      <w:pPr>
        <w:pStyle w:val="Text1"/>
        <w:ind w:left="1418"/>
        <w:rPr>
          <w:noProof/>
        </w:rPr>
      </w:pPr>
      <w:r w:rsidRPr="008B4DA2">
        <w:rPr>
          <w:noProof/>
        </w:rPr>
        <w:t xml:space="preserve">(ii) są używane przez podmioty niekomercyjne do celów społecznych; </w:t>
      </w:r>
    </w:p>
    <w:p w:rsidR="00BD67F9" w:rsidRPr="008B4DA2" w:rsidRDefault="0027271D" w:rsidP="007F5A7D">
      <w:pPr>
        <w:pStyle w:val="Text1"/>
        <w:ind w:left="1418"/>
        <w:rPr>
          <w:noProof/>
        </w:rPr>
      </w:pPr>
      <w:r w:rsidRPr="008B4DA2">
        <w:rPr>
          <w:noProof/>
        </w:rPr>
        <w:t>(iii) przebudowano je tak, że nie mogą być wykorzystywane ani do przewozu więcej niż dziewięciu osób ani do przewozu jakichkolwiek rzeczy innych niż te, które są ściśle niezbędne do celów,</w:t>
      </w:r>
      <w:r w:rsidR="00B83C93" w:rsidRPr="008B4DA2">
        <w:rPr>
          <w:noProof/>
        </w:rPr>
        <w:t xml:space="preserve"> w</w:t>
      </w:r>
      <w:r w:rsidR="00B83C93">
        <w:rPr>
          <w:noProof/>
        </w:rPr>
        <w:t> </w:t>
      </w:r>
      <w:r w:rsidR="00B83C93" w:rsidRPr="008B4DA2">
        <w:rPr>
          <w:noProof/>
        </w:rPr>
        <w:t>jak</w:t>
      </w:r>
      <w:r w:rsidRPr="008B4DA2">
        <w:rPr>
          <w:noProof/>
        </w:rPr>
        <w:t>ich są wykorzystywane;</w:t>
      </w:r>
    </w:p>
    <w:p w:rsidR="00BD67F9" w:rsidRPr="00B83C93" w:rsidRDefault="00DF60AC" w:rsidP="00DF60AC">
      <w:pPr>
        <w:pStyle w:val="Point1"/>
        <w:rPr>
          <w:noProof/>
        </w:rPr>
      </w:pPr>
      <w:r w:rsidRPr="008B4DA2">
        <w:rPr>
          <w:noProof/>
        </w:rPr>
        <w:t>c)</w:t>
      </w:r>
      <w:r w:rsidRPr="008B4DA2">
        <w:rPr>
          <w:noProof/>
        </w:rPr>
        <w:tab/>
        <w:t>pojazdów kategorii B</w:t>
      </w:r>
      <w:r w:rsidR="00B83C93" w:rsidRPr="008B4DA2">
        <w:rPr>
          <w:noProof/>
        </w:rPr>
        <w:t xml:space="preserve"> o</w:t>
      </w:r>
      <w:r w:rsidR="00B83C93">
        <w:rPr>
          <w:noProof/>
        </w:rPr>
        <w:t> </w:t>
      </w:r>
      <w:r w:rsidR="00B83C93" w:rsidRPr="008B4DA2">
        <w:rPr>
          <w:noProof/>
        </w:rPr>
        <w:t>dop</w:t>
      </w:r>
      <w:r w:rsidRPr="008B4DA2">
        <w:rPr>
          <w:noProof/>
        </w:rPr>
        <w:t>uszczalnej masie całkowitej 2 500 kg</w:t>
      </w:r>
      <w:r w:rsidR="00B83C93" w:rsidRPr="008B4DA2">
        <w:rPr>
          <w:noProof/>
        </w:rPr>
        <w:t xml:space="preserve"> i</w:t>
      </w:r>
      <w:r w:rsidR="00B83C93">
        <w:rPr>
          <w:noProof/>
        </w:rPr>
        <w:t> </w:t>
      </w:r>
      <w:r w:rsidR="00B83C93" w:rsidRPr="008B4DA2">
        <w:rPr>
          <w:noProof/>
        </w:rPr>
        <w:t>mak</w:t>
      </w:r>
      <w:r w:rsidRPr="008B4DA2">
        <w:rPr>
          <w:noProof/>
        </w:rPr>
        <w:t xml:space="preserve">symalnej prędkości ograniczonej fizycznie </w:t>
      </w:r>
      <w:r w:rsidRPr="00B83C93">
        <w:rPr>
          <w:noProof/>
        </w:rPr>
        <w:t>do</w:t>
      </w:r>
      <w:r w:rsidR="00B83C93" w:rsidRPr="00B83C93">
        <w:rPr>
          <w:noProof/>
        </w:rPr>
        <w:t> </w:t>
      </w:r>
      <w:r w:rsidRPr="00B83C93">
        <w:rPr>
          <w:noProof/>
        </w:rPr>
        <w:t>4</w:t>
      </w:r>
      <w:r w:rsidRPr="008B4DA2">
        <w:rPr>
          <w:noProof/>
        </w:rPr>
        <w:t>5 km/h, przez kierowców</w:t>
      </w:r>
      <w:r w:rsidR="00B83C93" w:rsidRPr="008B4DA2">
        <w:rPr>
          <w:noProof/>
        </w:rPr>
        <w:t xml:space="preserve"> w</w:t>
      </w:r>
      <w:r w:rsidR="00B83C93">
        <w:rPr>
          <w:noProof/>
        </w:rPr>
        <w:t> </w:t>
      </w:r>
      <w:r w:rsidR="00B83C93" w:rsidRPr="008B4DA2">
        <w:rPr>
          <w:noProof/>
        </w:rPr>
        <w:t>wie</w:t>
      </w:r>
      <w:r w:rsidRPr="008B4DA2">
        <w:rPr>
          <w:noProof/>
        </w:rPr>
        <w:t>ku poniżej 21 lat posiadających prawo jazdy kategorii B1</w:t>
      </w:r>
      <w:r w:rsidRPr="00B83C93">
        <w:rPr>
          <w:noProof/>
        </w:rPr>
        <w:t>.</w:t>
      </w:r>
      <w:r w:rsidR="00B83C93" w:rsidRPr="00B83C93">
        <w:rPr>
          <w:noProof/>
        </w:rPr>
        <w:t xml:space="preserve"> </w:t>
      </w:r>
    </w:p>
    <w:p w:rsidR="00BD67F9" w:rsidRPr="008B4DA2" w:rsidRDefault="00BD67F9" w:rsidP="00BD67F9">
      <w:pPr>
        <w:pStyle w:val="Text1"/>
        <w:rPr>
          <w:noProof/>
        </w:rPr>
      </w:pPr>
      <w:r w:rsidRPr="008B4DA2">
        <w:rPr>
          <w:noProof/>
        </w:rPr>
        <w:t>Państwa członkowskie nie umieszczają na prawie jazdy adnotacji</w:t>
      </w:r>
      <w:r w:rsidR="00B83C93" w:rsidRPr="008B4DA2">
        <w:rPr>
          <w:noProof/>
        </w:rPr>
        <w:t xml:space="preserve"> o</w:t>
      </w:r>
      <w:r w:rsidR="00B83C93">
        <w:rPr>
          <w:noProof/>
        </w:rPr>
        <w:t> </w:t>
      </w:r>
      <w:r w:rsidR="00B83C93" w:rsidRPr="008B4DA2">
        <w:rPr>
          <w:noProof/>
        </w:rPr>
        <w:t>upr</w:t>
      </w:r>
      <w:r w:rsidRPr="008B4DA2">
        <w:rPr>
          <w:noProof/>
        </w:rPr>
        <w:t>awnieniach jego posiadacza do kierowania pojazdami,</w:t>
      </w:r>
      <w:r w:rsidR="00B83C93" w:rsidRPr="008B4DA2">
        <w:rPr>
          <w:noProof/>
        </w:rPr>
        <w:t xml:space="preserve"> o</w:t>
      </w:r>
      <w:r w:rsidR="00B83C93">
        <w:rPr>
          <w:noProof/>
        </w:rPr>
        <w:t> </w:t>
      </w:r>
      <w:r w:rsidR="00B83C93" w:rsidRPr="008B4DA2">
        <w:rPr>
          <w:noProof/>
        </w:rPr>
        <w:t>któ</w:t>
      </w:r>
      <w:r w:rsidRPr="008B4DA2">
        <w:rPr>
          <w:noProof/>
        </w:rPr>
        <w:t>rych mowa</w:t>
      </w:r>
      <w:r w:rsidR="00B83C93" w:rsidRPr="008B4DA2">
        <w:rPr>
          <w:noProof/>
        </w:rPr>
        <w:t xml:space="preserve"> w</w:t>
      </w:r>
      <w:r w:rsidR="00B83C93">
        <w:rPr>
          <w:noProof/>
        </w:rPr>
        <w:t> </w:t>
      </w:r>
      <w:r w:rsidR="00B83C93" w:rsidRPr="008B4DA2">
        <w:rPr>
          <w:noProof/>
        </w:rPr>
        <w:t>aka</w:t>
      </w:r>
      <w:r w:rsidRPr="008B4DA2">
        <w:rPr>
          <w:noProof/>
        </w:rPr>
        <w:t xml:space="preserve">picie pierwszym </w:t>
      </w:r>
      <w:r w:rsidRPr="00B83C93">
        <w:rPr>
          <w:noProof/>
        </w:rPr>
        <w:t>lit.</w:t>
      </w:r>
      <w:r w:rsidR="00B83C93" w:rsidRPr="00B83C93">
        <w:rPr>
          <w:noProof/>
        </w:rPr>
        <w:t> </w:t>
      </w:r>
      <w:r w:rsidRPr="00B83C93">
        <w:rPr>
          <w:noProof/>
        </w:rPr>
        <w:t>a)</w:t>
      </w:r>
      <w:r w:rsidRPr="008B4DA2">
        <w:rPr>
          <w:noProof/>
        </w:rPr>
        <w:t xml:space="preserve"> i b), chyba że stosują odpowiednie kody unijne.</w:t>
      </w:r>
    </w:p>
    <w:p w:rsidR="00BD67F9" w:rsidRPr="008B4DA2" w:rsidRDefault="00BD67F9" w:rsidP="00BD67F9">
      <w:pPr>
        <w:pStyle w:val="Text1"/>
        <w:rPr>
          <w:noProof/>
        </w:rPr>
      </w:pPr>
      <w:r w:rsidRPr="008B4DA2">
        <w:rPr>
          <w:noProof/>
        </w:rPr>
        <w:t>Państwa członkowskie informują Komisję</w:t>
      </w:r>
      <w:r w:rsidR="00B83C93" w:rsidRPr="008B4DA2">
        <w:rPr>
          <w:noProof/>
        </w:rPr>
        <w:t xml:space="preserve"> o</w:t>
      </w:r>
      <w:r w:rsidR="00B83C93">
        <w:rPr>
          <w:noProof/>
        </w:rPr>
        <w:t> </w:t>
      </w:r>
      <w:r w:rsidR="00B83C93" w:rsidRPr="008B4DA2">
        <w:rPr>
          <w:noProof/>
        </w:rPr>
        <w:t>wsz</w:t>
      </w:r>
      <w:r w:rsidRPr="008B4DA2">
        <w:rPr>
          <w:noProof/>
        </w:rPr>
        <w:t>elkich zezwoleniach przyznawanych zgodnie</w:t>
      </w:r>
      <w:r w:rsidR="00B83C93" w:rsidRPr="008B4DA2">
        <w:rPr>
          <w:noProof/>
        </w:rPr>
        <w:t xml:space="preserve"> z</w:t>
      </w:r>
      <w:r w:rsidR="00B83C93">
        <w:rPr>
          <w:noProof/>
        </w:rPr>
        <w:t> </w:t>
      </w:r>
      <w:r w:rsidR="00B83C93" w:rsidRPr="008B4DA2">
        <w:rPr>
          <w:noProof/>
        </w:rPr>
        <w:t>nin</w:t>
      </w:r>
      <w:r w:rsidRPr="008B4DA2">
        <w:rPr>
          <w:noProof/>
        </w:rPr>
        <w:t>iejszym ustępem.</w:t>
      </w:r>
    </w:p>
    <w:p w:rsidR="00BD67F9" w:rsidRPr="008B4DA2" w:rsidRDefault="00BD67F9" w:rsidP="00BD67F9">
      <w:pPr>
        <w:pStyle w:val="Titrearticle"/>
        <w:rPr>
          <w:noProof/>
        </w:rPr>
      </w:pPr>
      <w:r w:rsidRPr="008B4DA2">
        <w:rPr>
          <w:rStyle w:val="normaltextrun"/>
          <w:noProof/>
        </w:rPr>
        <w:t>Artykuł 10</w:t>
      </w:r>
    </w:p>
    <w:p w:rsidR="00BD67F9" w:rsidRPr="008B4DA2" w:rsidRDefault="00BD67F9" w:rsidP="00BD67F9">
      <w:pPr>
        <w:pStyle w:val="Objetacteprincipal"/>
        <w:rPr>
          <w:noProof/>
        </w:rPr>
      </w:pPr>
      <w:r w:rsidRPr="008B4DA2">
        <w:rPr>
          <w:rStyle w:val="normaltextrun"/>
          <w:noProof/>
        </w:rPr>
        <w:t>Wydawanie, ważność oraz przedłużanie terminu ważności</w:t>
      </w:r>
      <w:r w:rsidRPr="008B4DA2">
        <w:rPr>
          <w:rStyle w:val="eop"/>
          <w:noProof/>
        </w:rPr>
        <w:t xml:space="preserve"> </w:t>
      </w:r>
    </w:p>
    <w:p w:rsidR="00BD67F9" w:rsidRPr="008B4DA2" w:rsidRDefault="00DF60AC" w:rsidP="00DF60AC">
      <w:pPr>
        <w:pStyle w:val="ManualNumPar1"/>
        <w:rPr>
          <w:noProof/>
        </w:rPr>
      </w:pPr>
      <w:r w:rsidRPr="008B4DA2">
        <w:rPr>
          <w:noProof/>
        </w:rPr>
        <w:t>1.</w:t>
      </w:r>
      <w:r w:rsidRPr="008B4DA2">
        <w:rPr>
          <w:noProof/>
        </w:rPr>
        <w:tab/>
      </w:r>
      <w:r w:rsidRPr="008B4DA2">
        <w:rPr>
          <w:rStyle w:val="normaltextrun"/>
          <w:noProof/>
        </w:rPr>
        <w:t>Prawa jazdy wydaje się tylko tym wnioskodawcom</w:t>
      </w:r>
      <w:r w:rsidRPr="008B4DA2">
        <w:rPr>
          <w:noProof/>
        </w:rPr>
        <w:t xml:space="preserve">, </w:t>
      </w:r>
      <w:r w:rsidRPr="008B4DA2">
        <w:rPr>
          <w:rStyle w:val="normaltextrun"/>
          <w:noProof/>
        </w:rPr>
        <w:t>którzy spełniają następujące warunki:</w:t>
      </w:r>
      <w:r w:rsidRPr="008B4DA2">
        <w:rPr>
          <w:rStyle w:val="eop"/>
          <w:noProof/>
        </w:rPr>
        <w:t xml:space="preserve"> </w:t>
      </w:r>
    </w:p>
    <w:p w:rsidR="00BD67F9" w:rsidRPr="008B4DA2" w:rsidRDefault="00DF60AC" w:rsidP="00DF60AC">
      <w:pPr>
        <w:pStyle w:val="Point1"/>
        <w:rPr>
          <w:noProof/>
        </w:rPr>
      </w:pPr>
      <w:r w:rsidRPr="008B4DA2">
        <w:rPr>
          <w:noProof/>
        </w:rPr>
        <w:t>a)</w:t>
      </w:r>
      <w:r w:rsidRPr="008B4DA2">
        <w:rPr>
          <w:noProof/>
        </w:rPr>
        <w:tab/>
      </w:r>
      <w:r w:rsidRPr="008B4DA2">
        <w:rPr>
          <w:rStyle w:val="normaltextrun"/>
          <w:noProof/>
        </w:rPr>
        <w:t>zdali egzamin umiejętności</w:t>
      </w:r>
      <w:r w:rsidR="00B83C93" w:rsidRPr="008B4DA2">
        <w:rPr>
          <w:rStyle w:val="normaltextrun"/>
          <w:noProof/>
        </w:rPr>
        <w:t xml:space="preserve"> i</w:t>
      </w:r>
      <w:r w:rsidR="00B83C93">
        <w:rPr>
          <w:rStyle w:val="normaltextrun"/>
          <w:noProof/>
        </w:rPr>
        <w:t> </w:t>
      </w:r>
      <w:r w:rsidR="00B83C93" w:rsidRPr="008B4DA2">
        <w:rPr>
          <w:rStyle w:val="normaltextrun"/>
          <w:noProof/>
        </w:rPr>
        <w:t>zac</w:t>
      </w:r>
      <w:r w:rsidRPr="008B4DA2">
        <w:rPr>
          <w:rStyle w:val="normaltextrun"/>
          <w:noProof/>
        </w:rPr>
        <w:t>howań oraz egzamin teoretyczny</w:t>
      </w:r>
      <w:r w:rsidR="00B83C93" w:rsidRPr="008B4DA2">
        <w:rPr>
          <w:rStyle w:val="normaltextrun"/>
          <w:noProof/>
        </w:rPr>
        <w:t xml:space="preserve"> i</w:t>
      </w:r>
      <w:r w:rsidR="00B83C93">
        <w:rPr>
          <w:rStyle w:val="normaltextrun"/>
          <w:noProof/>
        </w:rPr>
        <w:t> </w:t>
      </w:r>
      <w:r w:rsidR="00B83C93" w:rsidRPr="008B4DA2">
        <w:rPr>
          <w:rStyle w:val="normaltextrun"/>
          <w:noProof/>
        </w:rPr>
        <w:t>spe</w:t>
      </w:r>
      <w:r w:rsidRPr="008B4DA2">
        <w:rPr>
          <w:rStyle w:val="normaltextrun"/>
          <w:noProof/>
        </w:rPr>
        <w:t>łniają minimalne standardy dotyczące fizycznej</w:t>
      </w:r>
      <w:r w:rsidR="00B83C93" w:rsidRPr="008B4DA2">
        <w:rPr>
          <w:rStyle w:val="normaltextrun"/>
          <w:noProof/>
        </w:rPr>
        <w:t xml:space="preserve"> i</w:t>
      </w:r>
      <w:r w:rsidR="00B83C93">
        <w:rPr>
          <w:rStyle w:val="normaltextrun"/>
          <w:noProof/>
        </w:rPr>
        <w:t> </w:t>
      </w:r>
      <w:r w:rsidR="00B83C93" w:rsidRPr="008B4DA2">
        <w:rPr>
          <w:rStyle w:val="normaltextrun"/>
          <w:noProof/>
        </w:rPr>
        <w:t>psy</w:t>
      </w:r>
      <w:r w:rsidRPr="008B4DA2">
        <w:rPr>
          <w:rStyle w:val="normaltextrun"/>
          <w:noProof/>
        </w:rPr>
        <w:t>chicznej zdolności do kierowania pojazdami</w:t>
      </w:r>
      <w:r w:rsidRPr="008B4DA2">
        <w:rPr>
          <w:noProof/>
        </w:rPr>
        <w:t xml:space="preserve"> </w:t>
      </w:r>
      <w:r w:rsidRPr="008B4DA2">
        <w:rPr>
          <w:rStyle w:val="normaltextrun"/>
          <w:noProof/>
        </w:rPr>
        <w:t>zgodnie</w:t>
      </w:r>
      <w:r w:rsidR="00B83C93" w:rsidRPr="008B4DA2">
        <w:rPr>
          <w:rStyle w:val="normaltextrun"/>
          <w:noProof/>
        </w:rPr>
        <w:t xml:space="preserve"> z</w:t>
      </w:r>
      <w:r w:rsidR="00B83C93">
        <w:rPr>
          <w:rStyle w:val="normaltextrun"/>
          <w:noProof/>
        </w:rPr>
        <w:t> </w:t>
      </w:r>
      <w:r w:rsidR="00B83C93" w:rsidRPr="008B4DA2">
        <w:rPr>
          <w:rStyle w:val="normaltextrun"/>
          <w:noProof/>
        </w:rPr>
        <w:t>prz</w:t>
      </w:r>
      <w:r w:rsidRPr="008B4DA2">
        <w:rPr>
          <w:rStyle w:val="normaltextrun"/>
          <w:noProof/>
        </w:rPr>
        <w:t>episami załączników II i III;</w:t>
      </w:r>
    </w:p>
    <w:p w:rsidR="00BD67F9" w:rsidRPr="008B4DA2" w:rsidRDefault="00DF60AC" w:rsidP="00DF60AC">
      <w:pPr>
        <w:pStyle w:val="Point1"/>
        <w:rPr>
          <w:noProof/>
        </w:rPr>
      </w:pPr>
      <w:r w:rsidRPr="008B4DA2">
        <w:rPr>
          <w:noProof/>
        </w:rPr>
        <w:t>b)</w:t>
      </w:r>
      <w:r w:rsidRPr="008B4DA2">
        <w:rPr>
          <w:noProof/>
        </w:rPr>
        <w:tab/>
      </w:r>
      <w:r w:rsidRPr="008B4DA2">
        <w:rPr>
          <w:rStyle w:val="normaltextrun"/>
          <w:noProof/>
        </w:rPr>
        <w:t>w odniesieniu do kategorii AM zdali tylko egzamin teoretyczny; państwa członkowskie mogą wymagać, aby kandydaci ubiegający się</w:t>
      </w:r>
      <w:r w:rsidR="00B83C93" w:rsidRPr="008B4DA2">
        <w:rPr>
          <w:rStyle w:val="normaltextrun"/>
          <w:noProof/>
        </w:rPr>
        <w:t xml:space="preserve"> o</w:t>
      </w:r>
      <w:r w:rsidR="00B83C93">
        <w:rPr>
          <w:rStyle w:val="normaltextrun"/>
          <w:noProof/>
        </w:rPr>
        <w:t> </w:t>
      </w:r>
      <w:r w:rsidR="00B83C93" w:rsidRPr="008B4DA2">
        <w:rPr>
          <w:rStyle w:val="normaltextrun"/>
          <w:noProof/>
        </w:rPr>
        <w:t>upr</w:t>
      </w:r>
      <w:r w:rsidRPr="008B4DA2">
        <w:rPr>
          <w:rStyle w:val="normaltextrun"/>
          <w:noProof/>
        </w:rPr>
        <w:t>awnienia tej kategorii zdali egzamin umiejętności</w:t>
      </w:r>
      <w:r w:rsidR="00B83C93" w:rsidRPr="008B4DA2">
        <w:rPr>
          <w:rStyle w:val="normaltextrun"/>
          <w:noProof/>
        </w:rPr>
        <w:t xml:space="preserve"> i</w:t>
      </w:r>
      <w:r w:rsidR="00B83C93">
        <w:rPr>
          <w:rStyle w:val="normaltextrun"/>
          <w:noProof/>
        </w:rPr>
        <w:t> </w:t>
      </w:r>
      <w:r w:rsidR="00B83C93" w:rsidRPr="008B4DA2">
        <w:rPr>
          <w:rStyle w:val="normaltextrun"/>
          <w:noProof/>
        </w:rPr>
        <w:t>zac</w:t>
      </w:r>
      <w:r w:rsidRPr="008B4DA2">
        <w:rPr>
          <w:rStyle w:val="normaltextrun"/>
          <w:noProof/>
        </w:rPr>
        <w:t>howań oraz przeszli badanie lekarskie.</w:t>
      </w:r>
      <w:r w:rsidRPr="008B4DA2">
        <w:rPr>
          <w:rStyle w:val="eop"/>
          <w:noProof/>
        </w:rPr>
        <w:t xml:space="preserve"> </w:t>
      </w:r>
    </w:p>
    <w:p w:rsidR="00BD67F9" w:rsidRPr="008B4DA2" w:rsidRDefault="00BD67F9" w:rsidP="00BD67F9">
      <w:pPr>
        <w:pStyle w:val="Text1"/>
        <w:ind w:left="1417"/>
        <w:rPr>
          <w:noProof/>
        </w:rPr>
      </w:pPr>
      <w:r w:rsidRPr="008B4DA2">
        <w:rPr>
          <w:noProof/>
        </w:rPr>
        <w:t>Państwa członkowskie mogą nałożyć obowiązek zdania odrębnego egzaminu umiejętności</w:t>
      </w:r>
      <w:r w:rsidR="00B83C93" w:rsidRPr="008B4DA2">
        <w:rPr>
          <w:noProof/>
        </w:rPr>
        <w:t xml:space="preserve"> i</w:t>
      </w:r>
      <w:r w:rsidR="00B83C93">
        <w:rPr>
          <w:noProof/>
        </w:rPr>
        <w:t> </w:t>
      </w:r>
      <w:r w:rsidR="00B83C93" w:rsidRPr="008B4DA2">
        <w:rPr>
          <w:noProof/>
        </w:rPr>
        <w:t>zac</w:t>
      </w:r>
      <w:r w:rsidRPr="008B4DA2">
        <w:rPr>
          <w:noProof/>
        </w:rPr>
        <w:t>howań</w:t>
      </w:r>
      <w:r w:rsidR="00B83C93" w:rsidRPr="008B4DA2">
        <w:rPr>
          <w:noProof/>
        </w:rPr>
        <w:t xml:space="preserve"> </w:t>
      </w:r>
      <w:r w:rsidR="00B83C93" w:rsidRPr="008B4DA2">
        <w:rPr>
          <w:rStyle w:val="normaltextrun"/>
          <w:noProof/>
        </w:rPr>
        <w:t>w</w:t>
      </w:r>
      <w:r w:rsidR="00B83C93">
        <w:rPr>
          <w:noProof/>
        </w:rPr>
        <w:t> </w:t>
      </w:r>
      <w:r w:rsidR="00B83C93" w:rsidRPr="008B4DA2">
        <w:rPr>
          <w:rStyle w:val="normaltextrun"/>
          <w:noProof/>
        </w:rPr>
        <w:t>odn</w:t>
      </w:r>
      <w:r w:rsidRPr="008B4DA2">
        <w:rPr>
          <w:rStyle w:val="normaltextrun"/>
          <w:noProof/>
        </w:rPr>
        <w:t xml:space="preserve">iesieniu do </w:t>
      </w:r>
      <w:r w:rsidRPr="008B4DA2">
        <w:rPr>
          <w:noProof/>
        </w:rPr>
        <w:t>kierowania pojazdami trzykołowymi</w:t>
      </w:r>
      <w:r w:rsidR="00B83C93" w:rsidRPr="008B4DA2">
        <w:rPr>
          <w:noProof/>
        </w:rPr>
        <w:t xml:space="preserve"> i</w:t>
      </w:r>
      <w:r w:rsidR="00B83C93">
        <w:rPr>
          <w:noProof/>
        </w:rPr>
        <w:t> </w:t>
      </w:r>
      <w:r w:rsidR="00B83C93" w:rsidRPr="008B4DA2">
        <w:rPr>
          <w:rStyle w:val="normaltextrun"/>
          <w:noProof/>
        </w:rPr>
        <w:t>czt</w:t>
      </w:r>
      <w:r w:rsidRPr="008B4DA2">
        <w:rPr>
          <w:rStyle w:val="normaltextrun"/>
          <w:noProof/>
        </w:rPr>
        <w:t>erokołowcami objętymi tą kategorią</w:t>
      </w:r>
      <w:r w:rsidRPr="008B4DA2">
        <w:rPr>
          <w:noProof/>
        </w:rPr>
        <w:t>.</w:t>
      </w:r>
      <w:r w:rsidRPr="008B4DA2">
        <w:rPr>
          <w:rStyle w:val="normaltextrun"/>
          <w:noProof/>
        </w:rPr>
        <w:t xml:space="preserve"> Do celów rozróżnienia pojazdów</w:t>
      </w:r>
      <w:r w:rsidR="00B83C93" w:rsidRPr="008B4DA2">
        <w:rPr>
          <w:rStyle w:val="normaltextrun"/>
          <w:noProof/>
        </w:rPr>
        <w:t xml:space="preserve"> w</w:t>
      </w:r>
      <w:r w:rsidR="00B83C93">
        <w:rPr>
          <w:rStyle w:val="normaltextrun"/>
          <w:noProof/>
        </w:rPr>
        <w:t> </w:t>
      </w:r>
      <w:r w:rsidR="00B83C93" w:rsidRPr="008B4DA2">
        <w:rPr>
          <w:rStyle w:val="normaltextrun"/>
          <w:noProof/>
        </w:rPr>
        <w:t>ram</w:t>
      </w:r>
      <w:r w:rsidRPr="008B4DA2">
        <w:rPr>
          <w:rStyle w:val="normaltextrun"/>
          <w:noProof/>
        </w:rPr>
        <w:t>ach kategorii AM można na prawie jazdy umieszczać kod krajowy;</w:t>
      </w:r>
      <w:r w:rsidRPr="008B4DA2">
        <w:rPr>
          <w:rStyle w:val="eop"/>
          <w:noProof/>
        </w:rPr>
        <w:t xml:space="preserve"> </w:t>
      </w:r>
    </w:p>
    <w:p w:rsidR="00BD67F9" w:rsidRPr="008B4DA2" w:rsidRDefault="00DF60AC" w:rsidP="00DF60AC">
      <w:pPr>
        <w:pStyle w:val="Point1"/>
        <w:rPr>
          <w:rStyle w:val="normaltextrun"/>
          <w:noProof/>
        </w:rPr>
      </w:pPr>
      <w:r w:rsidRPr="008B4DA2">
        <w:rPr>
          <w:rStyle w:val="normaltextrun"/>
          <w:noProof/>
        </w:rPr>
        <w:t>c)</w:t>
      </w:r>
      <w:r w:rsidRPr="008B4DA2">
        <w:rPr>
          <w:noProof/>
        </w:rPr>
        <w:tab/>
      </w:r>
      <w:r w:rsidRPr="008B4DA2">
        <w:rPr>
          <w:rStyle w:val="normaltextrun"/>
          <w:noProof/>
        </w:rPr>
        <w:t>w odniesieniu do kategorii A2 lub kategorii A</w:t>
      </w:r>
      <w:r w:rsidR="00B83C93" w:rsidRPr="008B4DA2">
        <w:rPr>
          <w:rStyle w:val="normaltextrun"/>
          <w:noProof/>
        </w:rPr>
        <w:t xml:space="preserve"> i</w:t>
      </w:r>
      <w:r w:rsidR="00B83C93">
        <w:rPr>
          <w:rStyle w:val="normaltextrun"/>
          <w:noProof/>
        </w:rPr>
        <w:t> </w:t>
      </w:r>
      <w:r w:rsidR="00B83C93" w:rsidRPr="008B4DA2">
        <w:rPr>
          <w:rStyle w:val="normaltextrun"/>
          <w:noProof/>
        </w:rPr>
        <w:t>pod</w:t>
      </w:r>
      <w:r w:rsidRPr="008B4DA2">
        <w:rPr>
          <w:rStyle w:val="normaltextrun"/>
          <w:noProof/>
        </w:rPr>
        <w:t xml:space="preserve"> warunkiem posiadania co najmniej dwuletniego doświadczenia</w:t>
      </w:r>
      <w:r w:rsidR="00B83C93" w:rsidRPr="008B4DA2">
        <w:rPr>
          <w:rStyle w:val="normaltextrun"/>
          <w:noProof/>
        </w:rPr>
        <w:t xml:space="preserve"> w</w:t>
      </w:r>
      <w:r w:rsidR="00B83C93">
        <w:rPr>
          <w:rStyle w:val="normaltextrun"/>
          <w:noProof/>
        </w:rPr>
        <w:t> </w:t>
      </w:r>
      <w:r w:rsidR="00B83C93" w:rsidRPr="008B4DA2">
        <w:rPr>
          <w:rStyle w:val="normaltextrun"/>
          <w:noProof/>
        </w:rPr>
        <w:t>kie</w:t>
      </w:r>
      <w:r w:rsidRPr="008B4DA2">
        <w:rPr>
          <w:rStyle w:val="normaltextrun"/>
          <w:noProof/>
        </w:rPr>
        <w:t>rowaniu motocyklami odpowiednio kategorii A1 lub kategorii A2:</w:t>
      </w:r>
    </w:p>
    <w:p w:rsidR="00BD67F9" w:rsidRPr="008B4DA2" w:rsidRDefault="00BD67F9" w:rsidP="007F5A7D">
      <w:pPr>
        <w:pStyle w:val="Text1"/>
        <w:ind w:left="1418"/>
        <w:rPr>
          <w:noProof/>
        </w:rPr>
      </w:pPr>
      <w:r w:rsidRPr="008B4DA2">
        <w:rPr>
          <w:noProof/>
        </w:rPr>
        <w:t>(i) zdali tylko egzamin umiejętności</w:t>
      </w:r>
      <w:r w:rsidR="00B83C93" w:rsidRPr="008B4DA2">
        <w:rPr>
          <w:noProof/>
        </w:rPr>
        <w:t xml:space="preserve"> i</w:t>
      </w:r>
      <w:r w:rsidR="00B83C93">
        <w:rPr>
          <w:noProof/>
        </w:rPr>
        <w:t> </w:t>
      </w:r>
      <w:r w:rsidR="00B83C93" w:rsidRPr="008B4DA2">
        <w:rPr>
          <w:noProof/>
        </w:rPr>
        <w:t>zac</w:t>
      </w:r>
      <w:r w:rsidRPr="008B4DA2">
        <w:rPr>
          <w:noProof/>
        </w:rPr>
        <w:t xml:space="preserve">howań albo </w:t>
      </w:r>
    </w:p>
    <w:p w:rsidR="00BD67F9" w:rsidRPr="008B4DA2" w:rsidRDefault="00BD67F9" w:rsidP="007F5A7D">
      <w:pPr>
        <w:pStyle w:val="Text1"/>
        <w:ind w:left="1418"/>
        <w:rPr>
          <w:noProof/>
        </w:rPr>
      </w:pPr>
      <w:r w:rsidRPr="008B4DA2">
        <w:rPr>
          <w:noProof/>
        </w:rPr>
        <w:t xml:space="preserve">(ii) odbyli szkolenie zgodnie załącznikiem VI; </w:t>
      </w:r>
    </w:p>
    <w:p w:rsidR="00BD67F9" w:rsidRPr="008B4DA2" w:rsidRDefault="00DF60AC" w:rsidP="00DF60AC">
      <w:pPr>
        <w:pStyle w:val="Point1"/>
        <w:rPr>
          <w:noProof/>
        </w:rPr>
      </w:pPr>
      <w:r w:rsidRPr="008B4DA2">
        <w:rPr>
          <w:noProof/>
        </w:rPr>
        <w:t>d)</w:t>
      </w:r>
      <w:r w:rsidRPr="008B4DA2">
        <w:rPr>
          <w:noProof/>
        </w:rPr>
        <w:tab/>
      </w:r>
      <w:r w:rsidRPr="008B4DA2">
        <w:rPr>
          <w:rStyle w:val="normaltextrun"/>
          <w:noProof/>
        </w:rPr>
        <w:t>odbyli szkolenie lub zdali egzamin umiejętności</w:t>
      </w:r>
      <w:r w:rsidR="00B83C93" w:rsidRPr="008B4DA2">
        <w:rPr>
          <w:rStyle w:val="normaltextrun"/>
          <w:noProof/>
        </w:rPr>
        <w:t xml:space="preserve"> i</w:t>
      </w:r>
      <w:r w:rsidR="00B83C93">
        <w:rPr>
          <w:rStyle w:val="normaltextrun"/>
          <w:noProof/>
        </w:rPr>
        <w:t> </w:t>
      </w:r>
      <w:r w:rsidR="00B83C93" w:rsidRPr="008B4DA2">
        <w:rPr>
          <w:rStyle w:val="normaltextrun"/>
          <w:noProof/>
        </w:rPr>
        <w:t>zac</w:t>
      </w:r>
      <w:r w:rsidRPr="008B4DA2">
        <w:rPr>
          <w:rStyle w:val="normaltextrun"/>
          <w:noProof/>
        </w:rPr>
        <w:t>howań bądź odbyli szkolenie</w:t>
      </w:r>
      <w:r w:rsidR="00B83C93" w:rsidRPr="008B4DA2">
        <w:rPr>
          <w:rStyle w:val="normaltextrun"/>
          <w:noProof/>
        </w:rPr>
        <w:t xml:space="preserve"> i</w:t>
      </w:r>
      <w:r w:rsidR="00B83C93">
        <w:rPr>
          <w:rStyle w:val="normaltextrun"/>
          <w:noProof/>
        </w:rPr>
        <w:t> </w:t>
      </w:r>
      <w:r w:rsidR="00B83C93" w:rsidRPr="008B4DA2">
        <w:rPr>
          <w:rStyle w:val="normaltextrun"/>
          <w:noProof/>
        </w:rPr>
        <w:t>zda</w:t>
      </w:r>
      <w:r w:rsidRPr="008B4DA2">
        <w:rPr>
          <w:rStyle w:val="normaltextrun"/>
          <w:noProof/>
        </w:rPr>
        <w:t>li egzamin umiejętności</w:t>
      </w:r>
      <w:r w:rsidR="00B83C93" w:rsidRPr="008B4DA2">
        <w:rPr>
          <w:rStyle w:val="normaltextrun"/>
          <w:noProof/>
        </w:rPr>
        <w:t xml:space="preserve"> i</w:t>
      </w:r>
      <w:r w:rsidR="00B83C93">
        <w:rPr>
          <w:rStyle w:val="normaltextrun"/>
          <w:noProof/>
        </w:rPr>
        <w:t> </w:t>
      </w:r>
      <w:r w:rsidR="00B83C93" w:rsidRPr="008B4DA2">
        <w:rPr>
          <w:rStyle w:val="normaltextrun"/>
          <w:noProof/>
        </w:rPr>
        <w:t>zac</w:t>
      </w:r>
      <w:r w:rsidRPr="008B4DA2">
        <w:rPr>
          <w:rStyle w:val="normaltextrun"/>
          <w:noProof/>
        </w:rPr>
        <w:t>howań zgodnie</w:t>
      </w:r>
      <w:r w:rsidR="00B83C93" w:rsidRPr="008B4DA2">
        <w:rPr>
          <w:rStyle w:val="normaltextrun"/>
          <w:noProof/>
        </w:rPr>
        <w:t xml:space="preserve"> z</w:t>
      </w:r>
      <w:r w:rsidR="00B83C93">
        <w:rPr>
          <w:rStyle w:val="normaltextrun"/>
          <w:noProof/>
        </w:rPr>
        <w:t> </w:t>
      </w:r>
      <w:r w:rsidR="00B83C93" w:rsidRPr="008B4DA2">
        <w:rPr>
          <w:rStyle w:val="normaltextrun"/>
          <w:noProof/>
        </w:rPr>
        <w:t>zał</w:t>
      </w:r>
      <w:r w:rsidRPr="008B4DA2">
        <w:rPr>
          <w:rStyle w:val="normaltextrun"/>
          <w:noProof/>
        </w:rPr>
        <w:t>ącznikiem V odnośnie do kategorii B uprawniającej do kierowania zespołem pojazdów,</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rym mowa</w:t>
      </w:r>
      <w:r w:rsidR="00B83C93" w:rsidRPr="008B4DA2">
        <w:rPr>
          <w:rStyle w:val="normaltextrun"/>
          <w:noProof/>
        </w:rPr>
        <w:t xml:space="preserve"> w</w:t>
      </w:r>
      <w:r w:rsidR="00B83C93">
        <w:rPr>
          <w:rStyle w:val="normaltextrun"/>
          <w:noProof/>
        </w:rPr>
        <w:t> </w:t>
      </w:r>
      <w:r w:rsidR="00B83C93" w:rsidRPr="00B83C93">
        <w:rPr>
          <w:rStyle w:val="normaltextrun"/>
          <w:noProof/>
        </w:rPr>
        <w:t>art</w:t>
      </w:r>
      <w:r w:rsidRPr="00B83C93">
        <w:rPr>
          <w:rStyle w:val="normaltextrun"/>
          <w:noProof/>
        </w:rPr>
        <w:t>.</w:t>
      </w:r>
      <w:r w:rsidR="00B83C93" w:rsidRPr="00B83C93">
        <w:rPr>
          <w:rStyle w:val="normaltextrun"/>
          <w:noProof/>
        </w:rPr>
        <w:t> </w:t>
      </w:r>
      <w:r w:rsidRPr="00B83C93">
        <w:rPr>
          <w:rStyle w:val="normaltextrun"/>
          <w:noProof/>
        </w:rPr>
        <w:t>6</w:t>
      </w:r>
      <w:r w:rsidRPr="008B4DA2">
        <w:rPr>
          <w:rStyle w:val="normaltextrun"/>
          <w:noProof/>
        </w:rPr>
        <w:t xml:space="preserve"> </w:t>
      </w:r>
      <w:r w:rsidRPr="00B83C93">
        <w:rPr>
          <w:rStyle w:val="normaltextrun"/>
          <w:noProof/>
        </w:rPr>
        <w:t>ust.</w:t>
      </w:r>
      <w:r w:rsidR="00B83C93" w:rsidRPr="00B83C93">
        <w:rPr>
          <w:rStyle w:val="normaltextrun"/>
          <w:noProof/>
        </w:rPr>
        <w:t> </w:t>
      </w:r>
      <w:r w:rsidRPr="00B83C93">
        <w:rPr>
          <w:rStyle w:val="normaltextrun"/>
          <w:noProof/>
        </w:rPr>
        <w:t>1</w:t>
      </w:r>
      <w:r w:rsidRPr="008B4DA2">
        <w:rPr>
          <w:rStyle w:val="normaltextrun"/>
          <w:noProof/>
        </w:rPr>
        <w:t xml:space="preserve"> </w:t>
      </w:r>
      <w:r w:rsidRPr="00B83C93">
        <w:rPr>
          <w:rStyle w:val="normaltextrun"/>
          <w:noProof/>
        </w:rPr>
        <w:t>lit.</w:t>
      </w:r>
      <w:r w:rsidR="00B83C93" w:rsidRPr="00B83C93">
        <w:rPr>
          <w:rStyle w:val="normaltextrun"/>
          <w:noProof/>
        </w:rPr>
        <w:t> </w:t>
      </w:r>
      <w:r w:rsidRPr="00B83C93">
        <w:rPr>
          <w:rStyle w:val="normaltextrun"/>
          <w:noProof/>
        </w:rPr>
        <w:t>c)</w:t>
      </w:r>
      <w:r w:rsidRPr="008B4DA2">
        <w:rPr>
          <w:rStyle w:val="normaltextrun"/>
          <w:noProof/>
        </w:rPr>
        <w:t xml:space="preserve"> ppkt (ii) akapit trzeci;</w:t>
      </w:r>
      <w:r w:rsidRPr="008B4DA2">
        <w:rPr>
          <w:rStyle w:val="eop"/>
          <w:noProof/>
        </w:rPr>
        <w:t xml:space="preserve"> </w:t>
      </w:r>
    </w:p>
    <w:p w:rsidR="00BD67F9" w:rsidRPr="008B4DA2" w:rsidRDefault="00DF60AC" w:rsidP="00DF60AC">
      <w:pPr>
        <w:pStyle w:val="Point1"/>
        <w:rPr>
          <w:rStyle w:val="eop"/>
          <w:noProof/>
        </w:rPr>
      </w:pPr>
      <w:r w:rsidRPr="008B4DA2">
        <w:rPr>
          <w:rStyle w:val="eop"/>
          <w:noProof/>
        </w:rPr>
        <w:t>e)</w:t>
      </w:r>
      <w:r w:rsidRPr="008B4DA2">
        <w:rPr>
          <w:noProof/>
        </w:rPr>
        <w:tab/>
      </w:r>
      <w:r w:rsidRPr="008B4DA2">
        <w:rPr>
          <w:rStyle w:val="normaltextrun"/>
          <w:noProof/>
        </w:rPr>
        <w:t>mają miejsce stałego zamieszkania na terytorium państwa członkowskiego wydającego prawo jazdy lub mogą przedstawić dowód potwierdzający, że uczą się</w:t>
      </w:r>
      <w:r w:rsidR="00B83C93" w:rsidRPr="008B4DA2">
        <w:rPr>
          <w:rStyle w:val="normaltextrun"/>
          <w:noProof/>
        </w:rPr>
        <w:t xml:space="preserve"> w</w:t>
      </w:r>
      <w:r w:rsidR="00B83C93">
        <w:rPr>
          <w:rStyle w:val="normaltextrun"/>
          <w:noProof/>
        </w:rPr>
        <w:t> </w:t>
      </w:r>
      <w:r w:rsidR="00B83C93" w:rsidRPr="008B4DA2">
        <w:rPr>
          <w:rStyle w:val="normaltextrun"/>
          <w:noProof/>
        </w:rPr>
        <w:t>tym</w:t>
      </w:r>
      <w:r w:rsidRPr="008B4DA2">
        <w:rPr>
          <w:rStyle w:val="normaltextrun"/>
          <w:noProof/>
        </w:rPr>
        <w:t xml:space="preserve"> kraju od co najmniej sześciu miesięcy.</w:t>
      </w:r>
      <w:r w:rsidRPr="008B4DA2">
        <w:rPr>
          <w:rStyle w:val="eop"/>
          <w:noProof/>
        </w:rPr>
        <w:t xml:space="preserve"> </w:t>
      </w:r>
    </w:p>
    <w:p w:rsidR="00BD67F9" w:rsidRPr="008B4DA2" w:rsidRDefault="00DF60AC" w:rsidP="00DF60AC">
      <w:pPr>
        <w:pStyle w:val="ManualNumPar1"/>
        <w:rPr>
          <w:rStyle w:val="normaltextrun"/>
          <w:noProof/>
        </w:rPr>
      </w:pPr>
      <w:r w:rsidRPr="008B4DA2">
        <w:rPr>
          <w:rStyle w:val="normaltextrun"/>
          <w:noProof/>
        </w:rPr>
        <w:t>2.</w:t>
      </w:r>
      <w:r w:rsidRPr="008B4DA2">
        <w:rPr>
          <w:noProof/>
        </w:rPr>
        <w:tab/>
      </w:r>
      <w:r w:rsidRPr="008B4DA2">
        <w:rPr>
          <w:rStyle w:val="normaltextrun"/>
          <w:noProof/>
        </w:rPr>
        <w:t>Administracyjny okres ważności praw jazdy wydanych przez państwa członkowskie wynosi:</w:t>
      </w:r>
    </w:p>
    <w:p w:rsidR="00BD67F9" w:rsidRPr="008B4DA2" w:rsidRDefault="00DF60AC" w:rsidP="00DF60AC">
      <w:pPr>
        <w:pStyle w:val="Point1"/>
        <w:rPr>
          <w:rStyle w:val="normaltextrun"/>
          <w:noProof/>
        </w:rPr>
      </w:pPr>
      <w:r w:rsidRPr="008B4DA2">
        <w:rPr>
          <w:rStyle w:val="normaltextrun"/>
          <w:noProof/>
        </w:rPr>
        <w:t>a)</w:t>
      </w:r>
      <w:r w:rsidRPr="008B4DA2">
        <w:rPr>
          <w:noProof/>
        </w:rPr>
        <w:tab/>
      </w:r>
      <w:r w:rsidRPr="008B4DA2">
        <w:rPr>
          <w:rStyle w:val="normaltextrun"/>
          <w:noProof/>
        </w:rPr>
        <w:t>15 lat</w:t>
      </w:r>
      <w:r w:rsidR="00B83C93" w:rsidRPr="008B4DA2">
        <w:rPr>
          <w:rStyle w:val="normaltextrun"/>
          <w:noProof/>
        </w:rPr>
        <w:t xml:space="preserve"> w</w:t>
      </w:r>
      <w:r w:rsidR="00B83C93">
        <w:rPr>
          <w:rStyle w:val="normaltextrun"/>
          <w:noProof/>
        </w:rPr>
        <w:t> </w:t>
      </w:r>
      <w:r w:rsidR="00B83C93" w:rsidRPr="008B4DA2">
        <w:rPr>
          <w:rStyle w:val="normaltextrun"/>
          <w:noProof/>
        </w:rPr>
        <w:t>prz</w:t>
      </w:r>
      <w:r w:rsidRPr="008B4DA2">
        <w:rPr>
          <w:rStyle w:val="normaltextrun"/>
          <w:noProof/>
        </w:rPr>
        <w:t>ypadku praw jazdy kategorii AM, A1, A2, A, B, B1 i BE;</w:t>
      </w:r>
    </w:p>
    <w:p w:rsidR="00BD67F9" w:rsidRPr="008B4DA2" w:rsidRDefault="00DF60AC" w:rsidP="00DF60AC">
      <w:pPr>
        <w:pStyle w:val="Point1"/>
        <w:rPr>
          <w:noProof/>
        </w:rPr>
      </w:pPr>
      <w:r w:rsidRPr="008B4DA2">
        <w:rPr>
          <w:noProof/>
        </w:rPr>
        <w:t>b)</w:t>
      </w:r>
      <w:r w:rsidRPr="008B4DA2">
        <w:rPr>
          <w:noProof/>
        </w:rPr>
        <w:tab/>
      </w:r>
      <w:r w:rsidRPr="008B4DA2">
        <w:rPr>
          <w:rStyle w:val="normaltextrun"/>
          <w:noProof/>
        </w:rPr>
        <w:t>pięć lat</w:t>
      </w:r>
      <w:r w:rsidR="00B83C93" w:rsidRPr="008B4DA2">
        <w:rPr>
          <w:rStyle w:val="normaltextrun"/>
          <w:noProof/>
        </w:rPr>
        <w:t xml:space="preserve"> w</w:t>
      </w:r>
      <w:r w:rsidR="00B83C93">
        <w:rPr>
          <w:rStyle w:val="normaltextrun"/>
          <w:noProof/>
        </w:rPr>
        <w:t> </w:t>
      </w:r>
      <w:r w:rsidR="00B83C93" w:rsidRPr="008B4DA2">
        <w:rPr>
          <w:rStyle w:val="normaltextrun"/>
          <w:noProof/>
        </w:rPr>
        <w:t>prz</w:t>
      </w:r>
      <w:r w:rsidRPr="008B4DA2">
        <w:rPr>
          <w:rStyle w:val="normaltextrun"/>
          <w:noProof/>
        </w:rPr>
        <w:t>ypadku praw jazdy kategorii C, CE, C1, C1E, D, DE, D1 i D1E.</w:t>
      </w:r>
    </w:p>
    <w:p w:rsidR="00BD67F9" w:rsidRPr="008B4DA2" w:rsidRDefault="00BD67F9" w:rsidP="007F5A7D">
      <w:pPr>
        <w:pStyle w:val="Text1"/>
        <w:rPr>
          <w:noProof/>
        </w:rPr>
      </w:pPr>
      <w:r w:rsidRPr="008B4DA2">
        <w:rPr>
          <w:noProof/>
        </w:rPr>
        <w:t>Przedłużenie okresu ważności prawa jazdy może powodować rozpoczęcie nowego administracyjnego okresu ważności uprawnień innej (innych) kategorii posiadanych przez kierowcę,</w:t>
      </w:r>
      <w:r w:rsidR="00B83C93" w:rsidRPr="008B4DA2">
        <w:rPr>
          <w:noProof/>
        </w:rPr>
        <w:t xml:space="preserve"> o</w:t>
      </w:r>
      <w:r w:rsidR="00B83C93">
        <w:rPr>
          <w:noProof/>
        </w:rPr>
        <w:t> </w:t>
      </w:r>
      <w:r w:rsidR="00B83C93" w:rsidRPr="008B4DA2">
        <w:rPr>
          <w:noProof/>
        </w:rPr>
        <w:t>ile</w:t>
      </w:r>
      <w:r w:rsidRPr="008B4DA2">
        <w:rPr>
          <w:noProof/>
        </w:rPr>
        <w:t xml:space="preserve"> jest to zgodne</w:t>
      </w:r>
      <w:r w:rsidR="00B83C93" w:rsidRPr="008B4DA2">
        <w:rPr>
          <w:noProof/>
        </w:rPr>
        <w:t xml:space="preserve"> z</w:t>
      </w:r>
      <w:r w:rsidR="00B83C93">
        <w:rPr>
          <w:noProof/>
        </w:rPr>
        <w:t> </w:t>
      </w:r>
      <w:r w:rsidR="00B83C93" w:rsidRPr="008B4DA2">
        <w:rPr>
          <w:noProof/>
        </w:rPr>
        <w:t>war</w:t>
      </w:r>
      <w:r w:rsidRPr="008B4DA2">
        <w:rPr>
          <w:noProof/>
        </w:rPr>
        <w:t>unkami określonymi</w:t>
      </w:r>
      <w:r w:rsidR="00B83C93" w:rsidRPr="008B4DA2">
        <w:rPr>
          <w:noProof/>
        </w:rPr>
        <w:t xml:space="preserve"> w</w:t>
      </w:r>
      <w:r w:rsidR="00B83C93">
        <w:rPr>
          <w:noProof/>
        </w:rPr>
        <w:t> </w:t>
      </w:r>
      <w:r w:rsidR="00B83C93" w:rsidRPr="008B4DA2">
        <w:rPr>
          <w:noProof/>
        </w:rPr>
        <w:t>nin</w:t>
      </w:r>
      <w:r w:rsidRPr="008B4DA2">
        <w:rPr>
          <w:noProof/>
        </w:rPr>
        <w:t>iejszej dyrektywie.</w:t>
      </w:r>
    </w:p>
    <w:p w:rsidR="00BD67F9" w:rsidRPr="008B4DA2" w:rsidRDefault="00BD67F9" w:rsidP="00BD67F9">
      <w:pPr>
        <w:pStyle w:val="Text1"/>
        <w:rPr>
          <w:rStyle w:val="normaltextrun"/>
          <w:noProof/>
        </w:rPr>
      </w:pPr>
      <w:r w:rsidRPr="008B4DA2">
        <w:rPr>
          <w:rStyle w:val="normaltextrun"/>
          <w:noProof/>
        </w:rPr>
        <w:t>Obecność mikroczipa lub kodu QR,</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rych mowa odpowiednio</w:t>
      </w:r>
      <w:r w:rsidR="00B83C93" w:rsidRPr="008B4DA2">
        <w:rPr>
          <w:rStyle w:val="normaltextrun"/>
          <w:noProof/>
        </w:rPr>
        <w:t xml:space="preserve"> w</w:t>
      </w:r>
      <w:r w:rsidR="00B83C93">
        <w:rPr>
          <w:rStyle w:val="normaltextrun"/>
          <w:noProof/>
        </w:rPr>
        <w:t> </w:t>
      </w:r>
      <w:r w:rsidR="00B83C93" w:rsidRPr="00B83C93">
        <w:rPr>
          <w:rStyle w:val="normaltextrun"/>
          <w:noProof/>
        </w:rPr>
        <w:t>art</w:t>
      </w:r>
      <w:r w:rsidRPr="00B83C93">
        <w:rPr>
          <w:rStyle w:val="normaltextrun"/>
          <w:noProof/>
        </w:rPr>
        <w:t>.</w:t>
      </w:r>
      <w:r w:rsidR="00B83C93" w:rsidRPr="00B83C93">
        <w:rPr>
          <w:rStyle w:val="normaltextrun"/>
          <w:noProof/>
        </w:rPr>
        <w:t> </w:t>
      </w:r>
      <w:r w:rsidRPr="00B83C93">
        <w:rPr>
          <w:rStyle w:val="normaltextrun"/>
          <w:noProof/>
        </w:rPr>
        <w:t>4</w:t>
      </w:r>
      <w:r w:rsidRPr="008B4DA2">
        <w:rPr>
          <w:rStyle w:val="normaltextrun"/>
          <w:noProof/>
        </w:rPr>
        <w:t xml:space="preserve"> </w:t>
      </w:r>
      <w:r w:rsidRPr="00B83C93">
        <w:rPr>
          <w:rStyle w:val="normaltextrun"/>
          <w:noProof/>
        </w:rPr>
        <w:t>ust.</w:t>
      </w:r>
      <w:r w:rsidR="00B83C93" w:rsidRPr="00B83C93">
        <w:rPr>
          <w:rStyle w:val="normaltextrun"/>
          <w:noProof/>
        </w:rPr>
        <w:t> </w:t>
      </w:r>
      <w:r w:rsidRPr="00B83C93">
        <w:rPr>
          <w:rStyle w:val="normaltextrun"/>
          <w:noProof/>
        </w:rPr>
        <w:t>5</w:t>
      </w:r>
      <w:r w:rsidR="00B83C93" w:rsidRPr="008B4DA2">
        <w:rPr>
          <w:rStyle w:val="normaltextrun"/>
          <w:noProof/>
        </w:rPr>
        <w:t xml:space="preserve"> i</w:t>
      </w:r>
      <w:r w:rsidR="00B83C93">
        <w:rPr>
          <w:rStyle w:val="normaltextrun"/>
          <w:noProof/>
        </w:rPr>
        <w:t> </w:t>
      </w:r>
      <w:r w:rsidR="00B83C93" w:rsidRPr="00B83C93">
        <w:rPr>
          <w:rStyle w:val="normaltextrun"/>
          <w:noProof/>
        </w:rPr>
        <w:t>art</w:t>
      </w:r>
      <w:r w:rsidRPr="00B83C93">
        <w:rPr>
          <w:rStyle w:val="normaltextrun"/>
          <w:noProof/>
        </w:rPr>
        <w:t>.</w:t>
      </w:r>
      <w:r w:rsidR="00B83C93" w:rsidRPr="00B83C93">
        <w:rPr>
          <w:rStyle w:val="normaltextrun"/>
          <w:noProof/>
        </w:rPr>
        <w:t> </w:t>
      </w:r>
      <w:r w:rsidRPr="00B83C93">
        <w:rPr>
          <w:rStyle w:val="normaltextrun"/>
          <w:noProof/>
        </w:rPr>
        <w:t>4</w:t>
      </w:r>
      <w:r w:rsidRPr="008B4DA2">
        <w:rPr>
          <w:rStyle w:val="normaltextrun"/>
          <w:noProof/>
        </w:rPr>
        <w:t xml:space="preserve"> </w:t>
      </w:r>
      <w:r w:rsidRPr="00B83C93">
        <w:rPr>
          <w:rStyle w:val="normaltextrun"/>
          <w:noProof/>
        </w:rPr>
        <w:t>ust.</w:t>
      </w:r>
      <w:r w:rsidR="00B83C93" w:rsidRPr="00B83C93">
        <w:rPr>
          <w:rStyle w:val="normaltextrun"/>
          <w:noProof/>
        </w:rPr>
        <w:t> </w:t>
      </w:r>
      <w:r w:rsidRPr="00B83C93">
        <w:rPr>
          <w:rStyle w:val="normaltextrun"/>
          <w:noProof/>
        </w:rPr>
        <w:t>6</w:t>
      </w:r>
      <w:r w:rsidRPr="008B4DA2">
        <w:rPr>
          <w:rStyle w:val="normaltextrun"/>
          <w:noProof/>
        </w:rPr>
        <w:t>, nie jest warunkiem ważności prawa jazdy. Utrata mikroczipa lub kodu QR, niemożność odczytania zawartych</w:t>
      </w:r>
      <w:r w:rsidR="00B83C93" w:rsidRPr="008B4DA2">
        <w:rPr>
          <w:rStyle w:val="normaltextrun"/>
          <w:noProof/>
        </w:rPr>
        <w:t xml:space="preserve"> w</w:t>
      </w:r>
      <w:r w:rsidR="00B83C93">
        <w:rPr>
          <w:rStyle w:val="normaltextrun"/>
          <w:noProof/>
        </w:rPr>
        <w:t> </w:t>
      </w:r>
      <w:r w:rsidR="00B83C93" w:rsidRPr="008B4DA2">
        <w:rPr>
          <w:rStyle w:val="normaltextrun"/>
          <w:noProof/>
        </w:rPr>
        <w:t>nic</w:t>
      </w:r>
      <w:r w:rsidRPr="008B4DA2">
        <w:rPr>
          <w:rStyle w:val="normaltextrun"/>
          <w:noProof/>
        </w:rPr>
        <w:t xml:space="preserve">h danych ani żadne inne ich uszkodzenie nie mają wpływu na ważność prawa jazdy. </w:t>
      </w:r>
    </w:p>
    <w:p w:rsidR="00BD67F9" w:rsidRPr="008B4DA2" w:rsidRDefault="00BD67F9" w:rsidP="00BD67F9">
      <w:pPr>
        <w:pStyle w:val="Text1"/>
        <w:rPr>
          <w:noProof/>
        </w:rPr>
      </w:pPr>
      <w:r w:rsidRPr="008B4DA2">
        <w:rPr>
          <w:rStyle w:val="normaltextrun"/>
          <w:noProof/>
        </w:rPr>
        <w:t>Państwa członkowskie mogą skrócić administracyjny okres ważności</w:t>
      </w:r>
      <w:r w:rsidR="00B83C93" w:rsidRPr="008B4DA2">
        <w:rPr>
          <w:rStyle w:val="normaltextrun"/>
          <w:noProof/>
        </w:rPr>
        <w:t xml:space="preserve"> w</w:t>
      </w:r>
      <w:r w:rsidR="00B83C93">
        <w:rPr>
          <w:rStyle w:val="normaltextrun"/>
          <w:noProof/>
        </w:rPr>
        <w:t> </w:t>
      </w:r>
      <w:r w:rsidR="00B83C93" w:rsidRPr="008B4DA2">
        <w:rPr>
          <w:rStyle w:val="normaltextrun"/>
          <w:noProof/>
        </w:rPr>
        <w:t>prz</w:t>
      </w:r>
      <w:r w:rsidRPr="008B4DA2">
        <w:rPr>
          <w:rStyle w:val="normaltextrun"/>
          <w:noProof/>
        </w:rPr>
        <w:t>ypadku praw jazdy dowolnej kategorii wydawanych początkującym kierowcom</w:t>
      </w:r>
      <w:r w:rsidR="00B83C93" w:rsidRPr="008B4DA2">
        <w:rPr>
          <w:rStyle w:val="normaltextrun"/>
          <w:noProof/>
        </w:rPr>
        <w:t xml:space="preserve"> w</w:t>
      </w:r>
      <w:r w:rsidR="00B83C93">
        <w:rPr>
          <w:rStyle w:val="normaltextrun"/>
          <w:noProof/>
        </w:rPr>
        <w:t> </w:t>
      </w:r>
      <w:r w:rsidR="00B83C93" w:rsidRPr="008B4DA2">
        <w:rPr>
          <w:rStyle w:val="normaltextrun"/>
          <w:noProof/>
        </w:rPr>
        <w:t>roz</w:t>
      </w:r>
      <w:r w:rsidRPr="008B4DA2">
        <w:rPr>
          <w:rStyle w:val="normaltextrun"/>
          <w:noProof/>
        </w:rPr>
        <w:t xml:space="preserve">umieniu </w:t>
      </w:r>
      <w:r w:rsidRPr="00B83C93">
        <w:rPr>
          <w:rStyle w:val="normaltextrun"/>
          <w:noProof/>
        </w:rPr>
        <w:t>art.</w:t>
      </w:r>
      <w:r w:rsidR="00B83C93" w:rsidRPr="00B83C93">
        <w:rPr>
          <w:rStyle w:val="normaltextrun"/>
          <w:noProof/>
        </w:rPr>
        <w:t> </w:t>
      </w:r>
      <w:r w:rsidRPr="00B83C93">
        <w:rPr>
          <w:rStyle w:val="normaltextrun"/>
          <w:noProof/>
        </w:rPr>
        <w:t>1</w:t>
      </w:r>
      <w:r w:rsidRPr="008B4DA2">
        <w:rPr>
          <w:rStyle w:val="normaltextrun"/>
          <w:noProof/>
        </w:rPr>
        <w:t xml:space="preserve">5 </w:t>
      </w:r>
      <w:r w:rsidRPr="00B83C93">
        <w:rPr>
          <w:rStyle w:val="normaltextrun"/>
          <w:noProof/>
        </w:rPr>
        <w:t>ust.</w:t>
      </w:r>
      <w:r w:rsidR="00B83C93" w:rsidRPr="00B83C93">
        <w:rPr>
          <w:rStyle w:val="normaltextrun"/>
          <w:noProof/>
        </w:rPr>
        <w:t> </w:t>
      </w:r>
      <w:r w:rsidRPr="00B83C93">
        <w:rPr>
          <w:rStyle w:val="normaltextrun"/>
          <w:noProof/>
        </w:rPr>
        <w:t>1</w:t>
      </w:r>
      <w:r w:rsidR="00B83C93" w:rsidRPr="008B4DA2">
        <w:rPr>
          <w:rStyle w:val="normaltextrun"/>
          <w:noProof/>
        </w:rPr>
        <w:t xml:space="preserve"> w</w:t>
      </w:r>
      <w:r w:rsidR="00B83C93">
        <w:rPr>
          <w:rStyle w:val="normaltextrun"/>
          <w:noProof/>
        </w:rPr>
        <w:t> </w:t>
      </w:r>
      <w:r w:rsidR="00B83C93" w:rsidRPr="008B4DA2">
        <w:rPr>
          <w:rStyle w:val="normaltextrun"/>
          <w:noProof/>
        </w:rPr>
        <w:t>cel</w:t>
      </w:r>
      <w:r w:rsidRPr="008B4DA2">
        <w:rPr>
          <w:rStyle w:val="normaltextrun"/>
          <w:noProof/>
        </w:rPr>
        <w:t>u zastosowania wobec takich kierowców środków specjalnych</w:t>
      </w:r>
      <w:r w:rsidR="00B83C93" w:rsidRPr="008B4DA2">
        <w:rPr>
          <w:rStyle w:val="normaltextrun"/>
          <w:noProof/>
        </w:rPr>
        <w:t xml:space="preserve"> w</w:t>
      </w:r>
      <w:r w:rsidR="00B83C93">
        <w:rPr>
          <w:rStyle w:val="normaltextrun"/>
          <w:noProof/>
        </w:rPr>
        <w:t> </w:t>
      </w:r>
      <w:r w:rsidR="00B83C93" w:rsidRPr="008B4DA2">
        <w:rPr>
          <w:rStyle w:val="normaltextrun"/>
          <w:noProof/>
        </w:rPr>
        <w:t>tro</w:t>
      </w:r>
      <w:r w:rsidRPr="008B4DA2">
        <w:rPr>
          <w:rStyle w:val="normaltextrun"/>
          <w:noProof/>
        </w:rPr>
        <w:t>sce</w:t>
      </w:r>
      <w:r w:rsidR="00B83C93" w:rsidRPr="008B4DA2">
        <w:rPr>
          <w:rStyle w:val="normaltextrun"/>
          <w:noProof/>
        </w:rPr>
        <w:t xml:space="preserve"> o</w:t>
      </w:r>
      <w:r w:rsidR="00B83C93">
        <w:rPr>
          <w:rStyle w:val="normaltextrun"/>
          <w:noProof/>
        </w:rPr>
        <w:t> </w:t>
      </w:r>
      <w:r w:rsidR="00B83C93" w:rsidRPr="008B4DA2">
        <w:rPr>
          <w:rStyle w:val="normaltextrun"/>
          <w:noProof/>
        </w:rPr>
        <w:t>pop</w:t>
      </w:r>
      <w:r w:rsidRPr="008B4DA2">
        <w:rPr>
          <w:rStyle w:val="normaltextrun"/>
          <w:noProof/>
        </w:rPr>
        <w:t>rawę ich bezpieczeństwa</w:t>
      </w:r>
      <w:r w:rsidR="00B83C93" w:rsidRPr="008B4DA2">
        <w:rPr>
          <w:rStyle w:val="normaltextrun"/>
          <w:noProof/>
        </w:rPr>
        <w:t xml:space="preserve"> w</w:t>
      </w:r>
      <w:r w:rsidR="00B83C93">
        <w:rPr>
          <w:rStyle w:val="normaltextrun"/>
          <w:noProof/>
        </w:rPr>
        <w:t> </w:t>
      </w:r>
      <w:r w:rsidR="00B83C93" w:rsidRPr="008B4DA2">
        <w:rPr>
          <w:rStyle w:val="normaltextrun"/>
          <w:noProof/>
        </w:rPr>
        <w:t>ruc</w:t>
      </w:r>
      <w:r w:rsidRPr="008B4DA2">
        <w:rPr>
          <w:rStyle w:val="normaltextrun"/>
          <w:noProof/>
        </w:rPr>
        <w:t>hu drogowym.</w:t>
      </w:r>
      <w:r w:rsidRPr="008B4DA2">
        <w:rPr>
          <w:rStyle w:val="eop"/>
          <w:noProof/>
        </w:rPr>
        <w:t xml:space="preserve"> </w:t>
      </w:r>
    </w:p>
    <w:p w:rsidR="00BD67F9" w:rsidRPr="008B4DA2" w:rsidRDefault="00BD67F9" w:rsidP="00BD67F9">
      <w:pPr>
        <w:pStyle w:val="Text1"/>
        <w:rPr>
          <w:noProof/>
        </w:rPr>
      </w:pPr>
      <w:r w:rsidRPr="008B4DA2">
        <w:rPr>
          <w:rStyle w:val="normaltextrun"/>
          <w:noProof/>
        </w:rPr>
        <w:t>Państwa członkowskie mogą skrócić administracyjny okres ważności</w:t>
      </w:r>
      <w:r w:rsidR="00B83C93" w:rsidRPr="008B4DA2">
        <w:rPr>
          <w:rStyle w:val="normaltextrun"/>
          <w:noProof/>
        </w:rPr>
        <w:t xml:space="preserve"> w</w:t>
      </w:r>
      <w:r w:rsidR="00B83C93">
        <w:rPr>
          <w:rStyle w:val="normaltextrun"/>
          <w:noProof/>
        </w:rPr>
        <w:t> </w:t>
      </w:r>
      <w:r w:rsidR="00B83C93" w:rsidRPr="008B4DA2">
        <w:rPr>
          <w:rStyle w:val="normaltextrun"/>
          <w:noProof/>
        </w:rPr>
        <w:t>ind</w:t>
      </w:r>
      <w:r w:rsidRPr="008B4DA2">
        <w:rPr>
          <w:rStyle w:val="normaltextrun"/>
          <w:noProof/>
        </w:rPr>
        <w:t>ywidualnych przypadkach odnoszących się do praw jazdy dowolnej kategorii; takie skrócenie może być podyktowane koniecznością częstszego przeprowadzania kontroli stanu zdrowia lub zastosowania innych środków specjalnych, takich jak ograniczenia wobec sprawców przestępstw lub wykroczeń</w:t>
      </w:r>
      <w:r w:rsidR="00B83C93" w:rsidRPr="008B4DA2">
        <w:rPr>
          <w:rStyle w:val="normaltextrun"/>
          <w:noProof/>
        </w:rPr>
        <w:t xml:space="preserve"> w</w:t>
      </w:r>
      <w:r w:rsidR="00B83C93">
        <w:rPr>
          <w:rStyle w:val="normaltextrun"/>
          <w:noProof/>
        </w:rPr>
        <w:t> </w:t>
      </w:r>
      <w:r w:rsidR="00B83C93" w:rsidRPr="008B4DA2">
        <w:rPr>
          <w:rStyle w:val="normaltextrun"/>
          <w:noProof/>
        </w:rPr>
        <w:t>ruc</w:t>
      </w:r>
      <w:r w:rsidRPr="008B4DA2">
        <w:rPr>
          <w:rStyle w:val="normaltextrun"/>
          <w:noProof/>
        </w:rPr>
        <w:t>hu drogowym.</w:t>
      </w:r>
      <w:r w:rsidRPr="008B4DA2">
        <w:rPr>
          <w:rStyle w:val="eop"/>
          <w:noProof/>
        </w:rPr>
        <w:t xml:space="preserve"> </w:t>
      </w:r>
    </w:p>
    <w:p w:rsidR="00BD67F9" w:rsidRPr="008B4DA2" w:rsidRDefault="00BD67F9" w:rsidP="00BD67F9">
      <w:pPr>
        <w:pStyle w:val="Text1"/>
        <w:rPr>
          <w:rStyle w:val="normaltextrun"/>
          <w:noProof/>
        </w:rPr>
      </w:pPr>
      <w:r w:rsidRPr="008B4DA2">
        <w:rPr>
          <w:rStyle w:val="normaltextrun"/>
          <w:noProof/>
        </w:rPr>
        <w:t>Państwa członkowskie skracają administracyjne okresy ważności określone</w:t>
      </w:r>
      <w:r w:rsidR="00B83C93" w:rsidRPr="008B4DA2">
        <w:rPr>
          <w:rStyle w:val="normaltextrun"/>
          <w:noProof/>
        </w:rPr>
        <w:t xml:space="preserve"> w</w:t>
      </w:r>
      <w:r w:rsidR="00B83C93">
        <w:rPr>
          <w:rStyle w:val="normaltextrun"/>
          <w:noProof/>
        </w:rPr>
        <w:t> </w:t>
      </w:r>
      <w:r w:rsidR="00B83C93" w:rsidRPr="008B4DA2">
        <w:rPr>
          <w:rStyle w:val="normaltextrun"/>
          <w:noProof/>
        </w:rPr>
        <w:t>aka</w:t>
      </w:r>
      <w:r w:rsidRPr="008B4DA2">
        <w:rPr>
          <w:rStyle w:val="normaltextrun"/>
          <w:noProof/>
        </w:rPr>
        <w:t>picie pierwszym do pięciu lat lub mniej</w:t>
      </w:r>
      <w:r w:rsidR="00B83C93" w:rsidRPr="008B4DA2">
        <w:rPr>
          <w:rStyle w:val="normaltextrun"/>
          <w:noProof/>
        </w:rPr>
        <w:t xml:space="preserve"> w</w:t>
      </w:r>
      <w:r w:rsidR="00B83C93">
        <w:rPr>
          <w:rStyle w:val="normaltextrun"/>
          <w:noProof/>
        </w:rPr>
        <w:t> </w:t>
      </w:r>
      <w:r w:rsidR="00B83C93" w:rsidRPr="008B4DA2">
        <w:rPr>
          <w:rStyle w:val="normaltextrun"/>
          <w:noProof/>
        </w:rPr>
        <w:t>prz</w:t>
      </w:r>
      <w:r w:rsidRPr="008B4DA2">
        <w:rPr>
          <w:rStyle w:val="normaltextrun"/>
          <w:noProof/>
        </w:rPr>
        <w:t>ypadku praw jazdy, których posiadacze mają miejsce zamieszkania na ich terytorium</w:t>
      </w:r>
      <w:r w:rsidR="00B83C93" w:rsidRPr="008B4DA2">
        <w:rPr>
          <w:rStyle w:val="normaltextrun"/>
          <w:noProof/>
        </w:rPr>
        <w:t xml:space="preserve"> i</w:t>
      </w:r>
      <w:r w:rsidR="00B83C93">
        <w:rPr>
          <w:rStyle w:val="normaltextrun"/>
          <w:noProof/>
        </w:rPr>
        <w:t> </w:t>
      </w:r>
      <w:r w:rsidR="00B83C93" w:rsidRPr="008B4DA2">
        <w:rPr>
          <w:rStyle w:val="normaltextrun"/>
          <w:noProof/>
        </w:rPr>
        <w:t>uko</w:t>
      </w:r>
      <w:r w:rsidRPr="008B4DA2">
        <w:rPr>
          <w:rStyle w:val="normaltextrun"/>
          <w:noProof/>
        </w:rPr>
        <w:t>ńczyli 70 lat, gdy występuje konieczność częstszego przeprowadzania kontroli stanu zdrowia lub zastosowania innych środków specjalnych, takich jak kursy odświeżające wiedzę</w:t>
      </w:r>
      <w:r w:rsidR="00B83C93" w:rsidRPr="008B4DA2">
        <w:rPr>
          <w:rStyle w:val="normaltextrun"/>
          <w:noProof/>
        </w:rPr>
        <w:t xml:space="preserve"> i</w:t>
      </w:r>
      <w:r w:rsidR="00B83C93">
        <w:rPr>
          <w:rStyle w:val="normaltextrun"/>
          <w:noProof/>
        </w:rPr>
        <w:t> </w:t>
      </w:r>
      <w:r w:rsidR="00B83C93" w:rsidRPr="008B4DA2">
        <w:rPr>
          <w:rStyle w:val="normaltextrun"/>
          <w:noProof/>
        </w:rPr>
        <w:t>umi</w:t>
      </w:r>
      <w:r w:rsidRPr="008B4DA2">
        <w:rPr>
          <w:rStyle w:val="normaltextrun"/>
          <w:noProof/>
        </w:rPr>
        <w:t xml:space="preserve">ejętności. Takie skrócenie administracyjnego okresu ważności można zastosować jedynie przy przedłużaniu okresu ważności prawa jazdy. </w:t>
      </w:r>
    </w:p>
    <w:p w:rsidR="00BD67F9" w:rsidRPr="008B4DA2" w:rsidRDefault="00BD67F9" w:rsidP="005B2A2F">
      <w:pPr>
        <w:pStyle w:val="Text1"/>
        <w:rPr>
          <w:rStyle w:val="normaltextrun"/>
          <w:noProof/>
        </w:rPr>
      </w:pPr>
      <w:r w:rsidRPr="008B4DA2">
        <w:rPr>
          <w:rStyle w:val="normaltextrun"/>
          <w:noProof/>
        </w:rPr>
        <w:t>Państwa członkowskie mogą skrócić administracyjny okres ważności określony</w:t>
      </w:r>
      <w:r w:rsidR="00B83C93" w:rsidRPr="008B4DA2">
        <w:rPr>
          <w:rStyle w:val="normaltextrun"/>
          <w:noProof/>
        </w:rPr>
        <w:t xml:space="preserve"> w</w:t>
      </w:r>
      <w:r w:rsidR="00B83C93">
        <w:rPr>
          <w:rStyle w:val="normaltextrun"/>
          <w:noProof/>
        </w:rPr>
        <w:t> </w:t>
      </w:r>
      <w:r w:rsidR="00B83C93" w:rsidRPr="008B4DA2">
        <w:rPr>
          <w:rStyle w:val="normaltextrun"/>
          <w:noProof/>
        </w:rPr>
        <w:t>nin</w:t>
      </w:r>
      <w:r w:rsidRPr="008B4DA2">
        <w:rPr>
          <w:rStyle w:val="normaltextrun"/>
          <w:noProof/>
        </w:rPr>
        <w:t>iejszym ustępie</w:t>
      </w:r>
      <w:r w:rsidR="00B83C93" w:rsidRPr="008B4DA2">
        <w:rPr>
          <w:rStyle w:val="normaltextrun"/>
          <w:noProof/>
        </w:rPr>
        <w:t xml:space="preserve"> w</w:t>
      </w:r>
      <w:r w:rsidR="00B83C93">
        <w:rPr>
          <w:rStyle w:val="normaltextrun"/>
          <w:noProof/>
        </w:rPr>
        <w:t> </w:t>
      </w:r>
      <w:r w:rsidR="00B83C93" w:rsidRPr="008B4DA2">
        <w:rPr>
          <w:rStyle w:val="normaltextrun"/>
          <w:noProof/>
        </w:rPr>
        <w:t>prz</w:t>
      </w:r>
      <w:r w:rsidRPr="008B4DA2">
        <w:rPr>
          <w:rStyle w:val="normaltextrun"/>
          <w:noProof/>
        </w:rPr>
        <w:t>ypadku praw jazdy, których posiadacze uzyskali zezwolenie na pobyt czasowy lub korzystają</w:t>
      </w:r>
      <w:r w:rsidR="00B83C93" w:rsidRPr="008B4DA2">
        <w:rPr>
          <w:rStyle w:val="normaltextrun"/>
          <w:noProof/>
        </w:rPr>
        <w:t xml:space="preserve"> z</w:t>
      </w:r>
      <w:r w:rsidR="00B83C93">
        <w:rPr>
          <w:rStyle w:val="normaltextrun"/>
          <w:noProof/>
        </w:rPr>
        <w:t> </w:t>
      </w:r>
      <w:r w:rsidR="00B83C93" w:rsidRPr="008B4DA2">
        <w:rPr>
          <w:rStyle w:val="normaltextrun"/>
          <w:noProof/>
        </w:rPr>
        <w:t>tym</w:t>
      </w:r>
      <w:r w:rsidRPr="008B4DA2">
        <w:rPr>
          <w:rStyle w:val="normaltextrun"/>
          <w:noProof/>
        </w:rPr>
        <w:t>czasowej ochrony lub odpowiedniej ochrony na mocy przepisów krajowych obowiązujących na ich terytorium</w:t>
      </w:r>
      <w:r w:rsidR="00B83C93" w:rsidRPr="008B4DA2">
        <w:rPr>
          <w:rStyle w:val="normaltextrun"/>
          <w:noProof/>
        </w:rPr>
        <w:t>. W</w:t>
      </w:r>
      <w:r w:rsidR="00B83C93">
        <w:rPr>
          <w:rStyle w:val="normaltextrun"/>
          <w:noProof/>
        </w:rPr>
        <w:t> </w:t>
      </w:r>
      <w:r w:rsidR="00B83C93" w:rsidRPr="008B4DA2">
        <w:rPr>
          <w:rStyle w:val="normaltextrun"/>
          <w:noProof/>
        </w:rPr>
        <w:t>tym</w:t>
      </w:r>
      <w:r w:rsidRPr="008B4DA2">
        <w:rPr>
          <w:rStyle w:val="normaltextrun"/>
          <w:noProof/>
        </w:rPr>
        <w:t xml:space="preserve"> celu taki skrócony administracyjny okres ważności jest taki sam jak lub krótszy niż administracyjny okres ważności zezwolenia na pobyt czasowy lub tymczasowej ochrony lub odpowiedniej ochrony.</w:t>
      </w:r>
    </w:p>
    <w:p w:rsidR="00BD67F9" w:rsidRPr="008B4DA2" w:rsidRDefault="00DF60AC" w:rsidP="00DF60AC">
      <w:pPr>
        <w:pStyle w:val="ManualNumPar1"/>
        <w:rPr>
          <w:rStyle w:val="normaltextrun"/>
          <w:noProof/>
        </w:rPr>
      </w:pPr>
      <w:r w:rsidRPr="008B4DA2">
        <w:rPr>
          <w:rStyle w:val="normaltextrun"/>
          <w:noProof/>
        </w:rPr>
        <w:t>3.</w:t>
      </w:r>
      <w:r w:rsidRPr="008B4DA2">
        <w:rPr>
          <w:noProof/>
        </w:rPr>
        <w:tab/>
      </w:r>
      <w:r w:rsidRPr="008B4DA2">
        <w:rPr>
          <w:rStyle w:val="normaltextrun"/>
          <w:noProof/>
        </w:rPr>
        <w:t>Przedłużenie okresu ważności praw jazdy po upływie administracyjnego okresu ich ważności jest uzależnione od spełnienia obu następujących warunków:</w:t>
      </w:r>
    </w:p>
    <w:p w:rsidR="00BD67F9" w:rsidRPr="008B4DA2" w:rsidRDefault="00DF60AC" w:rsidP="00DF60AC">
      <w:pPr>
        <w:pStyle w:val="Point1"/>
        <w:rPr>
          <w:noProof/>
        </w:rPr>
      </w:pPr>
      <w:r w:rsidRPr="008B4DA2">
        <w:rPr>
          <w:noProof/>
        </w:rPr>
        <w:t>a)</w:t>
      </w:r>
      <w:r w:rsidRPr="008B4DA2">
        <w:rPr>
          <w:noProof/>
        </w:rPr>
        <w:tab/>
      </w:r>
      <w:r w:rsidRPr="008B4DA2">
        <w:rPr>
          <w:rStyle w:val="normaltextrun"/>
          <w:noProof/>
        </w:rPr>
        <w:t>kontynuacji spełniania minimalnych standardów dotyczących fizycznej</w:t>
      </w:r>
      <w:r w:rsidR="00B83C93" w:rsidRPr="008B4DA2">
        <w:rPr>
          <w:rStyle w:val="normaltextrun"/>
          <w:noProof/>
        </w:rPr>
        <w:t xml:space="preserve"> i</w:t>
      </w:r>
      <w:r w:rsidR="00B83C93">
        <w:rPr>
          <w:rStyle w:val="normaltextrun"/>
          <w:noProof/>
        </w:rPr>
        <w:t> </w:t>
      </w:r>
      <w:r w:rsidR="00B83C93" w:rsidRPr="008B4DA2">
        <w:rPr>
          <w:rStyle w:val="normaltextrun"/>
          <w:noProof/>
        </w:rPr>
        <w:t>psy</w:t>
      </w:r>
      <w:r w:rsidRPr="008B4DA2">
        <w:rPr>
          <w:rStyle w:val="normaltextrun"/>
          <w:noProof/>
        </w:rPr>
        <w:t>chicznej zdolności do kierowania pojazdami określone</w:t>
      </w:r>
      <w:r w:rsidR="00B83C93" w:rsidRPr="008B4DA2">
        <w:rPr>
          <w:rStyle w:val="normaltextrun"/>
          <w:noProof/>
        </w:rPr>
        <w:t xml:space="preserve"> w</w:t>
      </w:r>
      <w:r w:rsidR="00B83C93">
        <w:rPr>
          <w:rStyle w:val="normaltextrun"/>
          <w:noProof/>
        </w:rPr>
        <w:t> </w:t>
      </w:r>
      <w:r w:rsidR="00B83C93" w:rsidRPr="008B4DA2">
        <w:rPr>
          <w:rStyle w:val="normaltextrun"/>
          <w:noProof/>
        </w:rPr>
        <w:t>zał</w:t>
      </w:r>
      <w:r w:rsidRPr="008B4DA2">
        <w:rPr>
          <w:rStyle w:val="normaltextrun"/>
          <w:noProof/>
        </w:rPr>
        <w:t>ączniku III;</w:t>
      </w:r>
    </w:p>
    <w:p w:rsidR="00BD67F9" w:rsidRPr="008B4DA2" w:rsidRDefault="00DF60AC" w:rsidP="00DF60AC">
      <w:pPr>
        <w:pStyle w:val="Point1"/>
        <w:rPr>
          <w:rStyle w:val="normaltextrun"/>
          <w:noProof/>
        </w:rPr>
      </w:pPr>
      <w:r w:rsidRPr="008B4DA2">
        <w:rPr>
          <w:rStyle w:val="normaltextrun"/>
          <w:noProof/>
        </w:rPr>
        <w:t>b)</w:t>
      </w:r>
      <w:r w:rsidRPr="008B4DA2">
        <w:rPr>
          <w:noProof/>
        </w:rPr>
        <w:tab/>
      </w:r>
      <w:r w:rsidRPr="008B4DA2">
        <w:rPr>
          <w:rStyle w:val="normaltextrun"/>
          <w:noProof/>
        </w:rPr>
        <w:t>posiadania miejsca stałego zamieszkania na terytorium państwa członkowskiego wydającego prawo jazdy lub przedłożenia dowodu potwierdzającego, że</w:t>
      </w:r>
      <w:r w:rsidR="00B83C93" w:rsidRPr="008B4DA2">
        <w:rPr>
          <w:rStyle w:val="normaltextrun"/>
          <w:noProof/>
        </w:rPr>
        <w:t xml:space="preserve"> w</w:t>
      </w:r>
      <w:r w:rsidR="00B83C93">
        <w:rPr>
          <w:rStyle w:val="normaltextrun"/>
          <w:noProof/>
        </w:rPr>
        <w:t> </w:t>
      </w:r>
      <w:r w:rsidR="00B83C93" w:rsidRPr="008B4DA2">
        <w:rPr>
          <w:rStyle w:val="normaltextrun"/>
          <w:noProof/>
        </w:rPr>
        <w:t>chw</w:t>
      </w:r>
      <w:r w:rsidRPr="008B4DA2">
        <w:rPr>
          <w:rStyle w:val="normaltextrun"/>
          <w:noProof/>
        </w:rPr>
        <w:t>ili składania wniosku wnioskodawca pobiera naukę</w:t>
      </w:r>
      <w:r w:rsidR="00B83C93" w:rsidRPr="008B4DA2">
        <w:rPr>
          <w:rStyle w:val="normaltextrun"/>
          <w:noProof/>
        </w:rPr>
        <w:t xml:space="preserve"> w</w:t>
      </w:r>
      <w:r w:rsidR="00B83C93">
        <w:rPr>
          <w:rStyle w:val="normaltextrun"/>
          <w:noProof/>
        </w:rPr>
        <w:t> </w:t>
      </w:r>
      <w:r w:rsidR="00B83C93" w:rsidRPr="008B4DA2">
        <w:rPr>
          <w:rStyle w:val="normaltextrun"/>
          <w:noProof/>
        </w:rPr>
        <w:t>tym</w:t>
      </w:r>
      <w:r w:rsidRPr="008B4DA2">
        <w:rPr>
          <w:rStyle w:val="normaltextrun"/>
          <w:noProof/>
        </w:rPr>
        <w:t xml:space="preserve"> państwie członkowskim od co najmniej sześciu miesięcy.</w:t>
      </w:r>
      <w:r w:rsidRPr="008B4DA2">
        <w:rPr>
          <w:rStyle w:val="eop"/>
          <w:noProof/>
        </w:rPr>
        <w:t xml:space="preserve"> </w:t>
      </w:r>
    </w:p>
    <w:p w:rsidR="00BD67F9" w:rsidRPr="008B4DA2" w:rsidRDefault="00DF60AC" w:rsidP="00DF60AC">
      <w:pPr>
        <w:pStyle w:val="ManualNumPar1"/>
        <w:rPr>
          <w:rStyle w:val="normaltextrun"/>
          <w:noProof/>
        </w:rPr>
      </w:pPr>
      <w:r w:rsidRPr="008B4DA2">
        <w:rPr>
          <w:rStyle w:val="normaltextrun"/>
          <w:noProof/>
        </w:rPr>
        <w:t>4.</w:t>
      </w:r>
      <w:r w:rsidRPr="008B4DA2">
        <w:rPr>
          <w:noProof/>
        </w:rPr>
        <w:tab/>
      </w:r>
      <w:r w:rsidRPr="008B4DA2">
        <w:rPr>
          <w:rStyle w:val="normaltextrun"/>
          <w:noProof/>
        </w:rPr>
        <w:t>W przypadku wystąpienia kryzysu państwa członkowskie mogą przedłużyć maksymalnie</w:t>
      </w:r>
      <w:r w:rsidR="00B83C93" w:rsidRPr="008B4DA2">
        <w:rPr>
          <w:rStyle w:val="normaltextrun"/>
          <w:noProof/>
        </w:rPr>
        <w:t xml:space="preserve"> o</w:t>
      </w:r>
      <w:r w:rsidR="00B83C93">
        <w:rPr>
          <w:rStyle w:val="normaltextrun"/>
          <w:noProof/>
        </w:rPr>
        <w:t> </w:t>
      </w:r>
      <w:r w:rsidR="00B83C93" w:rsidRPr="008B4DA2">
        <w:rPr>
          <w:rStyle w:val="normaltextrun"/>
          <w:noProof/>
        </w:rPr>
        <w:t>sze</w:t>
      </w:r>
      <w:r w:rsidRPr="008B4DA2">
        <w:rPr>
          <w:rStyle w:val="normaltextrun"/>
          <w:noProof/>
        </w:rPr>
        <w:t>ść miesięcy administracyjny okres ważności praw jazdy, które</w:t>
      </w:r>
      <w:r w:rsidR="00B83C93" w:rsidRPr="008B4DA2">
        <w:rPr>
          <w:rStyle w:val="normaltextrun"/>
          <w:noProof/>
        </w:rPr>
        <w:t xml:space="preserve"> w</w:t>
      </w:r>
      <w:r w:rsidR="00B83C93">
        <w:rPr>
          <w:rStyle w:val="normaltextrun"/>
          <w:noProof/>
        </w:rPr>
        <w:t> </w:t>
      </w:r>
      <w:r w:rsidR="00B83C93" w:rsidRPr="008B4DA2">
        <w:rPr>
          <w:rStyle w:val="normaltextrun"/>
          <w:noProof/>
        </w:rPr>
        <w:t>prz</w:t>
      </w:r>
      <w:r w:rsidRPr="008B4DA2">
        <w:rPr>
          <w:rStyle w:val="normaltextrun"/>
          <w:noProof/>
        </w:rPr>
        <w:t>eciwnym wypadku utraciłyby ważność</w:t>
      </w:r>
      <w:r w:rsidR="00B83C93" w:rsidRPr="008B4DA2">
        <w:rPr>
          <w:rStyle w:val="normaltextrun"/>
          <w:noProof/>
        </w:rPr>
        <w:t>. W</w:t>
      </w:r>
      <w:r w:rsidR="00B83C93">
        <w:rPr>
          <w:rStyle w:val="normaltextrun"/>
          <w:noProof/>
        </w:rPr>
        <w:t> </w:t>
      </w:r>
      <w:r w:rsidR="00B83C93" w:rsidRPr="008B4DA2">
        <w:rPr>
          <w:rStyle w:val="normaltextrun"/>
          <w:noProof/>
        </w:rPr>
        <w:t>raz</w:t>
      </w:r>
      <w:r w:rsidRPr="008B4DA2">
        <w:rPr>
          <w:rStyle w:val="normaltextrun"/>
          <w:noProof/>
        </w:rPr>
        <w:t xml:space="preserve">ie utrzymywania się kryzysu istnieje możliwość kolejnego przedłużenia okresu ważności. </w:t>
      </w:r>
    </w:p>
    <w:p w:rsidR="00BD67F9" w:rsidRPr="008B4DA2" w:rsidRDefault="00BD67F9" w:rsidP="005B2A2F">
      <w:pPr>
        <w:pStyle w:val="Text1"/>
        <w:rPr>
          <w:rStyle w:val="normaltextrun"/>
          <w:noProof/>
        </w:rPr>
      </w:pPr>
      <w:r w:rsidRPr="008B4DA2">
        <w:rPr>
          <w:rStyle w:val="normaltextrun"/>
          <w:noProof/>
        </w:rPr>
        <w:t>Każde takie przedłużenie musi być odpowiednio uzasadnione</w:t>
      </w:r>
      <w:r w:rsidR="00B83C93" w:rsidRPr="008B4DA2">
        <w:rPr>
          <w:rStyle w:val="normaltextrun"/>
          <w:noProof/>
        </w:rPr>
        <w:t xml:space="preserve"> i</w:t>
      </w:r>
      <w:r w:rsidR="00B83C93">
        <w:rPr>
          <w:rStyle w:val="normaltextrun"/>
          <w:noProof/>
        </w:rPr>
        <w:t> </w:t>
      </w:r>
      <w:r w:rsidR="00B83C93" w:rsidRPr="008B4DA2">
        <w:rPr>
          <w:rStyle w:val="normaltextrun"/>
          <w:noProof/>
        </w:rPr>
        <w:t>nie</w:t>
      </w:r>
      <w:r w:rsidRPr="008B4DA2">
        <w:rPr>
          <w:rStyle w:val="normaltextrun"/>
          <w:noProof/>
        </w:rPr>
        <w:t>zwłocznie zgłoszone Komisji. Komisja niezwłocznie publikuje te informacje</w:t>
      </w:r>
      <w:r w:rsidR="00B83C93" w:rsidRPr="008B4DA2">
        <w:rPr>
          <w:rStyle w:val="normaltextrun"/>
          <w:noProof/>
        </w:rPr>
        <w:t xml:space="preserve"> w</w:t>
      </w:r>
      <w:r w:rsidR="00B83C93">
        <w:rPr>
          <w:rStyle w:val="normaltextrun"/>
          <w:noProof/>
        </w:rPr>
        <w:t> </w:t>
      </w:r>
      <w:r w:rsidR="00B83C93" w:rsidRPr="008B4DA2">
        <w:rPr>
          <w:rStyle w:val="normaltextrun"/>
          <w:i/>
          <w:noProof/>
        </w:rPr>
        <w:t>Dzi</w:t>
      </w:r>
      <w:r w:rsidRPr="008B4DA2">
        <w:rPr>
          <w:rStyle w:val="normaltextrun"/>
          <w:i/>
          <w:noProof/>
        </w:rPr>
        <w:t>enniku Urzędowym Unii Europejskiej</w:t>
      </w:r>
      <w:r w:rsidRPr="008B4DA2">
        <w:rPr>
          <w:rStyle w:val="normaltextrun"/>
          <w:noProof/>
        </w:rPr>
        <w:t>. Państwa członkowskie uznają ważność praw jazdy, których administracyjny okres ważności przedłużono na podstawie niniejszego ustępu.</w:t>
      </w:r>
    </w:p>
    <w:p w:rsidR="00BD67F9" w:rsidRPr="008B4DA2" w:rsidRDefault="00BD67F9" w:rsidP="00BD67F9">
      <w:pPr>
        <w:pStyle w:val="Text1"/>
        <w:rPr>
          <w:rStyle w:val="normaltextrun"/>
          <w:noProof/>
        </w:rPr>
      </w:pPr>
      <w:r w:rsidRPr="008B4DA2">
        <w:rPr>
          <w:rStyle w:val="normaltextrun"/>
          <w:noProof/>
        </w:rPr>
        <w:t>Jeżeli kryzys dotyka kilku państw członkowskich, Komisja może przyjąć akty wykonawcze</w:t>
      </w:r>
      <w:r w:rsidR="00B83C93" w:rsidRPr="008B4DA2">
        <w:rPr>
          <w:rStyle w:val="normaltextrun"/>
          <w:noProof/>
        </w:rPr>
        <w:t xml:space="preserve"> w</w:t>
      </w:r>
      <w:r w:rsidR="00B83C93">
        <w:rPr>
          <w:rStyle w:val="normaltextrun"/>
          <w:noProof/>
        </w:rPr>
        <w:t> </w:t>
      </w:r>
      <w:r w:rsidR="00B83C93" w:rsidRPr="008B4DA2">
        <w:rPr>
          <w:rStyle w:val="normaltextrun"/>
          <w:noProof/>
        </w:rPr>
        <w:t>cel</w:t>
      </w:r>
      <w:r w:rsidRPr="008B4DA2">
        <w:rPr>
          <w:rStyle w:val="normaltextrun"/>
          <w:noProof/>
        </w:rPr>
        <w:t>u przedłużenia administracyjnego okresu ważności praw jazdy wszystkich lub niektórych kategorii, które</w:t>
      </w:r>
      <w:r w:rsidR="00B83C93" w:rsidRPr="008B4DA2">
        <w:rPr>
          <w:rStyle w:val="normaltextrun"/>
          <w:noProof/>
        </w:rPr>
        <w:t xml:space="preserve"> w</w:t>
      </w:r>
      <w:r w:rsidR="00B83C93">
        <w:rPr>
          <w:rStyle w:val="normaltextrun"/>
          <w:noProof/>
        </w:rPr>
        <w:t> </w:t>
      </w:r>
      <w:r w:rsidR="00B83C93" w:rsidRPr="008B4DA2">
        <w:rPr>
          <w:rStyle w:val="normaltextrun"/>
          <w:noProof/>
        </w:rPr>
        <w:t>prz</w:t>
      </w:r>
      <w:r w:rsidRPr="008B4DA2">
        <w:rPr>
          <w:rStyle w:val="normaltextrun"/>
          <w:noProof/>
        </w:rPr>
        <w:t>eciwnym wypadku straciłyby ważność. Okres takiego przedłużenia nie może przekraczać sześciu miesięcy,</w:t>
      </w:r>
      <w:r w:rsidR="00B83C93" w:rsidRPr="008B4DA2">
        <w:rPr>
          <w:rStyle w:val="normaltextrun"/>
          <w:noProof/>
        </w:rPr>
        <w:t xml:space="preserve"> a</w:t>
      </w:r>
      <w:r w:rsidR="00B83C93">
        <w:rPr>
          <w:rStyle w:val="normaltextrun"/>
          <w:noProof/>
        </w:rPr>
        <w:t> </w:t>
      </w:r>
      <w:r w:rsidR="00B83C93" w:rsidRPr="008B4DA2">
        <w:rPr>
          <w:rStyle w:val="normaltextrun"/>
          <w:noProof/>
        </w:rPr>
        <w:t>w</w:t>
      </w:r>
      <w:r w:rsidR="00B83C93">
        <w:rPr>
          <w:rStyle w:val="normaltextrun"/>
          <w:noProof/>
        </w:rPr>
        <w:t> </w:t>
      </w:r>
      <w:r w:rsidR="00B83C93" w:rsidRPr="008B4DA2">
        <w:rPr>
          <w:rStyle w:val="normaltextrun"/>
          <w:noProof/>
        </w:rPr>
        <w:t>raz</w:t>
      </w:r>
      <w:r w:rsidRPr="008B4DA2">
        <w:rPr>
          <w:rStyle w:val="normaltextrun"/>
          <w:noProof/>
        </w:rPr>
        <w:t>ie utrzymywania się kryzysu może zostać ponownie przedłużony. Te akty wykonawcze przyjmuje się zgodnie</w:t>
      </w:r>
      <w:r w:rsidR="00B83C93" w:rsidRPr="008B4DA2">
        <w:rPr>
          <w:rStyle w:val="normaltextrun"/>
          <w:noProof/>
        </w:rPr>
        <w:t xml:space="preserve"> z</w:t>
      </w:r>
      <w:r w:rsidR="00B83C93">
        <w:rPr>
          <w:rStyle w:val="normaltextrun"/>
          <w:noProof/>
        </w:rPr>
        <w:t> </w:t>
      </w:r>
      <w:r w:rsidR="00B83C93" w:rsidRPr="008B4DA2">
        <w:rPr>
          <w:rStyle w:val="normaltextrun"/>
          <w:noProof/>
        </w:rPr>
        <w:t>pro</w:t>
      </w:r>
      <w:r w:rsidRPr="008B4DA2">
        <w:rPr>
          <w:rStyle w:val="normaltextrun"/>
          <w:noProof/>
        </w:rPr>
        <w:t>cedurą sprawdzającą,</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rej mowa</w:t>
      </w:r>
      <w:r w:rsidR="00B83C93" w:rsidRPr="008B4DA2">
        <w:rPr>
          <w:rStyle w:val="normaltextrun"/>
          <w:noProof/>
        </w:rPr>
        <w:t xml:space="preserve"> w</w:t>
      </w:r>
      <w:r w:rsidR="00B83C93">
        <w:rPr>
          <w:rStyle w:val="normaltextrun"/>
          <w:noProof/>
        </w:rPr>
        <w:t> </w:t>
      </w:r>
      <w:r w:rsidR="00B83C93" w:rsidRPr="00B83C93">
        <w:rPr>
          <w:rStyle w:val="normaltextrun"/>
          <w:noProof/>
        </w:rPr>
        <w:t>art</w:t>
      </w:r>
      <w:r w:rsidRPr="00B83C93">
        <w:rPr>
          <w:rStyle w:val="normaltextrun"/>
          <w:noProof/>
        </w:rPr>
        <w:t>.</w:t>
      </w:r>
      <w:r w:rsidR="00B83C93" w:rsidRPr="00B83C93">
        <w:rPr>
          <w:rStyle w:val="normaltextrun"/>
          <w:noProof/>
        </w:rPr>
        <w:t> </w:t>
      </w:r>
      <w:r w:rsidRPr="00B83C93">
        <w:rPr>
          <w:rStyle w:val="normaltextrun"/>
          <w:noProof/>
        </w:rPr>
        <w:t>2</w:t>
      </w:r>
      <w:r w:rsidRPr="008B4DA2">
        <w:rPr>
          <w:rStyle w:val="normaltextrun"/>
          <w:noProof/>
        </w:rPr>
        <w:t xml:space="preserve">2 </w:t>
      </w:r>
      <w:r w:rsidRPr="00B83C93">
        <w:rPr>
          <w:rStyle w:val="normaltextrun"/>
          <w:noProof/>
        </w:rPr>
        <w:t>ust.</w:t>
      </w:r>
      <w:r w:rsidR="00B83C93" w:rsidRPr="00B83C93">
        <w:rPr>
          <w:rStyle w:val="normaltextrun"/>
          <w:noProof/>
        </w:rPr>
        <w:t> </w:t>
      </w:r>
      <w:r w:rsidRPr="00B83C93">
        <w:rPr>
          <w:rStyle w:val="normaltextrun"/>
          <w:noProof/>
        </w:rPr>
        <w:t>3</w:t>
      </w:r>
      <w:r w:rsidRPr="008B4DA2">
        <w:rPr>
          <w:rStyle w:val="normaltextrun"/>
          <w:noProof/>
        </w:rPr>
        <w:t>.</w:t>
      </w:r>
    </w:p>
    <w:p w:rsidR="00BD67F9" w:rsidRPr="008B4DA2" w:rsidRDefault="00BD67F9" w:rsidP="00BD67F9">
      <w:pPr>
        <w:pStyle w:val="Text1"/>
        <w:rPr>
          <w:rStyle w:val="normaltextrun"/>
          <w:noProof/>
        </w:rPr>
      </w:pPr>
      <w:r w:rsidRPr="008B4DA2">
        <w:rPr>
          <w:rStyle w:val="normaltextrun"/>
          <w:noProof/>
        </w:rPr>
        <w:t>Jeżeli państwo członkowskie nie napotyka</w:t>
      </w:r>
      <w:r w:rsidR="00B83C93" w:rsidRPr="008B4DA2">
        <w:rPr>
          <w:rStyle w:val="normaltextrun"/>
          <w:noProof/>
        </w:rPr>
        <w:t xml:space="preserve"> i</w:t>
      </w:r>
      <w:r w:rsidR="00B83C93">
        <w:rPr>
          <w:rStyle w:val="normaltextrun"/>
          <w:noProof/>
        </w:rPr>
        <w:t> </w:t>
      </w:r>
      <w:r w:rsidR="00B83C93" w:rsidRPr="008B4DA2">
        <w:rPr>
          <w:rStyle w:val="normaltextrun"/>
          <w:noProof/>
        </w:rPr>
        <w:t>pra</w:t>
      </w:r>
      <w:r w:rsidRPr="008B4DA2">
        <w:rPr>
          <w:rStyle w:val="normaltextrun"/>
          <w:noProof/>
        </w:rPr>
        <w:t>wdopodobnie nie napotka trudności uniemożliwiających przedłużenie okresu ważności praw jazdy</w:t>
      </w:r>
      <w:r w:rsidR="00B83C93" w:rsidRPr="008B4DA2">
        <w:rPr>
          <w:rStyle w:val="normaltextrun"/>
          <w:noProof/>
        </w:rPr>
        <w:t xml:space="preserve"> w</w:t>
      </w:r>
      <w:r w:rsidR="00B83C93">
        <w:rPr>
          <w:rStyle w:val="normaltextrun"/>
          <w:noProof/>
        </w:rPr>
        <w:t> </w:t>
      </w:r>
      <w:r w:rsidR="00B83C93" w:rsidRPr="008B4DA2">
        <w:rPr>
          <w:rStyle w:val="normaltextrun"/>
          <w:noProof/>
        </w:rPr>
        <w:t>wyn</w:t>
      </w:r>
      <w:r w:rsidRPr="008B4DA2">
        <w:rPr>
          <w:rStyle w:val="normaltextrun"/>
          <w:noProof/>
        </w:rPr>
        <w:t>iku kryzysu,</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rym mowa</w:t>
      </w:r>
      <w:r w:rsidR="00B83C93" w:rsidRPr="008B4DA2">
        <w:rPr>
          <w:rStyle w:val="normaltextrun"/>
          <w:noProof/>
        </w:rPr>
        <w:t xml:space="preserve"> w</w:t>
      </w:r>
      <w:r w:rsidR="00B83C93">
        <w:rPr>
          <w:rStyle w:val="normaltextrun"/>
          <w:noProof/>
        </w:rPr>
        <w:t> </w:t>
      </w:r>
      <w:r w:rsidR="00B83C93" w:rsidRPr="008B4DA2">
        <w:rPr>
          <w:rStyle w:val="normaltextrun"/>
          <w:noProof/>
        </w:rPr>
        <w:t>aka</w:t>
      </w:r>
      <w:r w:rsidRPr="008B4DA2">
        <w:rPr>
          <w:rStyle w:val="normaltextrun"/>
          <w:noProof/>
        </w:rPr>
        <w:t>picie trzecim, lub wprowadziło odpowiednie środki krajowe</w:t>
      </w:r>
      <w:r w:rsidR="00B83C93" w:rsidRPr="008B4DA2">
        <w:rPr>
          <w:rStyle w:val="normaltextrun"/>
          <w:noProof/>
        </w:rPr>
        <w:t xml:space="preserve"> w</w:t>
      </w:r>
      <w:r w:rsidR="00B83C93">
        <w:rPr>
          <w:rStyle w:val="normaltextrun"/>
          <w:noProof/>
        </w:rPr>
        <w:t> </w:t>
      </w:r>
      <w:r w:rsidR="00B83C93" w:rsidRPr="008B4DA2">
        <w:rPr>
          <w:rStyle w:val="normaltextrun"/>
          <w:noProof/>
        </w:rPr>
        <w:t>cel</w:t>
      </w:r>
      <w:r w:rsidRPr="008B4DA2">
        <w:rPr>
          <w:rStyle w:val="normaltextrun"/>
          <w:noProof/>
        </w:rPr>
        <w:t>u złagodzenia skutków tego kryzysu, państwo to może podjąć decyzję</w:t>
      </w:r>
      <w:r w:rsidR="00B83C93" w:rsidRPr="008B4DA2">
        <w:rPr>
          <w:rStyle w:val="normaltextrun"/>
          <w:noProof/>
        </w:rPr>
        <w:t xml:space="preserve"> o</w:t>
      </w:r>
      <w:r w:rsidR="00B83C93">
        <w:rPr>
          <w:rStyle w:val="normaltextrun"/>
          <w:noProof/>
        </w:rPr>
        <w:t> </w:t>
      </w:r>
      <w:r w:rsidR="00B83C93" w:rsidRPr="008B4DA2">
        <w:rPr>
          <w:rStyle w:val="normaltextrun"/>
          <w:noProof/>
        </w:rPr>
        <w:t>nie</w:t>
      </w:r>
      <w:r w:rsidRPr="008B4DA2">
        <w:rPr>
          <w:rStyle w:val="normaltextrun"/>
          <w:noProof/>
        </w:rPr>
        <w:t>stosowaniu przedłużenia okresu ważności wprowadzonego aktem wykonawczym,</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rym mowa</w:t>
      </w:r>
      <w:r w:rsidR="00B83C93" w:rsidRPr="008B4DA2">
        <w:rPr>
          <w:rStyle w:val="normaltextrun"/>
          <w:noProof/>
        </w:rPr>
        <w:t xml:space="preserve"> w</w:t>
      </w:r>
      <w:r w:rsidR="00B83C93">
        <w:rPr>
          <w:rStyle w:val="normaltextrun"/>
          <w:noProof/>
        </w:rPr>
        <w:t> </w:t>
      </w:r>
      <w:r w:rsidR="00B83C93" w:rsidRPr="008B4DA2">
        <w:rPr>
          <w:rStyle w:val="normaltextrun"/>
          <w:noProof/>
        </w:rPr>
        <w:t>aka</w:t>
      </w:r>
      <w:r w:rsidRPr="008B4DA2">
        <w:rPr>
          <w:rStyle w:val="normaltextrun"/>
          <w:noProof/>
        </w:rPr>
        <w:t>picie trzecim, po uprzednim poinformowaniu</w:t>
      </w:r>
      <w:r w:rsidR="00B83C93" w:rsidRPr="008B4DA2">
        <w:rPr>
          <w:rStyle w:val="normaltextrun"/>
          <w:noProof/>
        </w:rPr>
        <w:t xml:space="preserve"> o</w:t>
      </w:r>
      <w:r w:rsidR="00B83C93">
        <w:rPr>
          <w:rStyle w:val="normaltextrun"/>
          <w:noProof/>
        </w:rPr>
        <w:t> </w:t>
      </w:r>
      <w:r w:rsidR="00B83C93" w:rsidRPr="008B4DA2">
        <w:rPr>
          <w:rStyle w:val="normaltextrun"/>
          <w:noProof/>
        </w:rPr>
        <w:t>tym</w:t>
      </w:r>
      <w:r w:rsidRPr="008B4DA2">
        <w:rPr>
          <w:rStyle w:val="normaltextrun"/>
          <w:noProof/>
        </w:rPr>
        <w:t xml:space="preserve"> Komisji. Komisja informuje</w:t>
      </w:r>
      <w:r w:rsidR="00B83C93" w:rsidRPr="008B4DA2">
        <w:rPr>
          <w:rStyle w:val="normaltextrun"/>
          <w:noProof/>
        </w:rPr>
        <w:t xml:space="preserve"> o</w:t>
      </w:r>
      <w:r w:rsidR="00B83C93">
        <w:rPr>
          <w:rStyle w:val="normaltextrun"/>
          <w:noProof/>
        </w:rPr>
        <w:t> </w:t>
      </w:r>
      <w:r w:rsidR="00B83C93" w:rsidRPr="008B4DA2">
        <w:rPr>
          <w:rStyle w:val="normaltextrun"/>
          <w:noProof/>
        </w:rPr>
        <w:t>tym</w:t>
      </w:r>
      <w:r w:rsidRPr="008B4DA2">
        <w:rPr>
          <w:rStyle w:val="normaltextrun"/>
          <w:noProof/>
        </w:rPr>
        <w:t xml:space="preserve"> pozostałe państwa członkowskie</w:t>
      </w:r>
      <w:r w:rsidR="00B83C93" w:rsidRPr="008B4DA2">
        <w:rPr>
          <w:rStyle w:val="normaltextrun"/>
          <w:noProof/>
        </w:rPr>
        <w:t xml:space="preserve"> i</w:t>
      </w:r>
      <w:r w:rsidR="00B83C93">
        <w:rPr>
          <w:rStyle w:val="normaltextrun"/>
          <w:noProof/>
        </w:rPr>
        <w:t> </w:t>
      </w:r>
      <w:r w:rsidR="00B83C93" w:rsidRPr="008B4DA2">
        <w:rPr>
          <w:rStyle w:val="normaltextrun"/>
          <w:noProof/>
        </w:rPr>
        <w:t>pub</w:t>
      </w:r>
      <w:r w:rsidRPr="008B4DA2">
        <w:rPr>
          <w:rStyle w:val="normaltextrun"/>
          <w:noProof/>
        </w:rPr>
        <w:t>likuje zawiadomienie</w:t>
      </w:r>
      <w:r w:rsidR="00B83C93" w:rsidRPr="008B4DA2">
        <w:rPr>
          <w:rStyle w:val="normaltextrun"/>
          <w:noProof/>
        </w:rPr>
        <w:t xml:space="preserve"> w</w:t>
      </w:r>
      <w:r w:rsidR="00B83C93">
        <w:rPr>
          <w:rStyle w:val="normaltextrun"/>
          <w:noProof/>
        </w:rPr>
        <w:t> </w:t>
      </w:r>
      <w:r w:rsidR="00B83C93" w:rsidRPr="008B4DA2">
        <w:rPr>
          <w:rStyle w:val="normaltextrun"/>
          <w:i/>
          <w:noProof/>
        </w:rPr>
        <w:t>Dzi</w:t>
      </w:r>
      <w:r w:rsidRPr="008B4DA2">
        <w:rPr>
          <w:rStyle w:val="normaltextrun"/>
          <w:i/>
          <w:noProof/>
        </w:rPr>
        <w:t>enniku Urzędowym Unii Europejskiej</w:t>
      </w:r>
      <w:r w:rsidRPr="008B4DA2">
        <w:rPr>
          <w:rStyle w:val="normaltextrun"/>
          <w:noProof/>
        </w:rPr>
        <w:t>.</w:t>
      </w:r>
    </w:p>
    <w:p w:rsidR="00BD67F9" w:rsidRPr="00B83C93" w:rsidRDefault="00BD67F9" w:rsidP="00BD67F9">
      <w:pPr>
        <w:pStyle w:val="Text1"/>
        <w:rPr>
          <w:rStyle w:val="normaltextrun"/>
          <w:noProof/>
        </w:rPr>
      </w:pPr>
      <w:r w:rsidRPr="008B4DA2">
        <w:rPr>
          <w:rStyle w:val="normaltextrun"/>
          <w:noProof/>
        </w:rPr>
        <w:t>Do celów niniejszego ustępu „kryzys” oznacza wyjątkowe, niespodziewane</w:t>
      </w:r>
      <w:r w:rsidR="00B83C93" w:rsidRPr="008B4DA2">
        <w:rPr>
          <w:rStyle w:val="normaltextrun"/>
          <w:noProof/>
        </w:rPr>
        <w:t xml:space="preserve"> i</w:t>
      </w:r>
      <w:r w:rsidR="00B83C93">
        <w:rPr>
          <w:rStyle w:val="normaltextrun"/>
          <w:noProof/>
        </w:rPr>
        <w:t> </w:t>
      </w:r>
      <w:r w:rsidR="00B83C93" w:rsidRPr="008B4DA2">
        <w:rPr>
          <w:rStyle w:val="normaltextrun"/>
          <w:noProof/>
        </w:rPr>
        <w:t>nag</w:t>
      </w:r>
      <w:r w:rsidRPr="008B4DA2">
        <w:rPr>
          <w:rStyle w:val="normaltextrun"/>
          <w:noProof/>
        </w:rPr>
        <w:t>łe zdarzenie naturalne lub spowodowane przez człowieka,</w:t>
      </w:r>
      <w:r w:rsidR="00B83C93" w:rsidRPr="008B4DA2">
        <w:rPr>
          <w:rStyle w:val="normaltextrun"/>
          <w:noProof/>
        </w:rPr>
        <w:t xml:space="preserve"> o</w:t>
      </w:r>
      <w:r w:rsidR="00B83C93">
        <w:rPr>
          <w:rStyle w:val="normaltextrun"/>
          <w:noProof/>
        </w:rPr>
        <w:t> </w:t>
      </w:r>
      <w:r w:rsidR="00B83C93" w:rsidRPr="008B4DA2">
        <w:rPr>
          <w:rStyle w:val="normaltextrun"/>
          <w:noProof/>
        </w:rPr>
        <w:t>nad</w:t>
      </w:r>
      <w:r w:rsidRPr="008B4DA2">
        <w:rPr>
          <w:rStyle w:val="normaltextrun"/>
          <w:noProof/>
        </w:rPr>
        <w:t>zwyczajnym charakterze</w:t>
      </w:r>
      <w:r w:rsidR="00B83C93" w:rsidRPr="008B4DA2">
        <w:rPr>
          <w:rStyle w:val="normaltextrun"/>
          <w:noProof/>
        </w:rPr>
        <w:t xml:space="preserve"> i</w:t>
      </w:r>
      <w:r w:rsidR="00B83C93">
        <w:rPr>
          <w:rStyle w:val="normaltextrun"/>
          <w:noProof/>
        </w:rPr>
        <w:t> </w:t>
      </w:r>
      <w:r w:rsidR="00B83C93" w:rsidRPr="008B4DA2">
        <w:rPr>
          <w:rStyle w:val="normaltextrun"/>
          <w:noProof/>
        </w:rPr>
        <w:t>ska</w:t>
      </w:r>
      <w:r w:rsidRPr="008B4DA2">
        <w:rPr>
          <w:rStyle w:val="normaltextrun"/>
          <w:noProof/>
        </w:rPr>
        <w:t>li, które ma miejsce</w:t>
      </w:r>
      <w:r w:rsidR="00B83C93" w:rsidRPr="008B4DA2">
        <w:rPr>
          <w:rStyle w:val="normaltextrun"/>
          <w:noProof/>
        </w:rPr>
        <w:t xml:space="preserve"> w</w:t>
      </w:r>
      <w:r w:rsidR="00B83C93">
        <w:rPr>
          <w:rStyle w:val="normaltextrun"/>
          <w:noProof/>
        </w:rPr>
        <w:t> </w:t>
      </w:r>
      <w:r w:rsidR="00B83C93" w:rsidRPr="008B4DA2">
        <w:rPr>
          <w:rStyle w:val="normaltextrun"/>
          <w:noProof/>
        </w:rPr>
        <w:t>Uni</w:t>
      </w:r>
      <w:r w:rsidRPr="008B4DA2">
        <w:rPr>
          <w:rStyle w:val="normaltextrun"/>
          <w:noProof/>
        </w:rPr>
        <w:t>i lub poza nią, wywierające znaczące bezpośrednie lub pośrednie skutki</w:t>
      </w:r>
      <w:r w:rsidR="00B83C93" w:rsidRPr="008B4DA2">
        <w:rPr>
          <w:rStyle w:val="normaltextrun"/>
          <w:noProof/>
        </w:rPr>
        <w:t xml:space="preserve"> w</w:t>
      </w:r>
      <w:r w:rsidR="00B83C93">
        <w:rPr>
          <w:rStyle w:val="normaltextrun"/>
          <w:noProof/>
        </w:rPr>
        <w:t> </w:t>
      </w:r>
      <w:r w:rsidR="00B83C93" w:rsidRPr="008B4DA2">
        <w:rPr>
          <w:rStyle w:val="normaltextrun"/>
          <w:noProof/>
        </w:rPr>
        <w:t>obs</w:t>
      </w:r>
      <w:r w:rsidRPr="008B4DA2">
        <w:rPr>
          <w:rStyle w:val="normaltextrun"/>
          <w:noProof/>
        </w:rPr>
        <w:t>zarze transportu drogowego,</w:t>
      </w:r>
      <w:r w:rsidR="00B83C93" w:rsidRPr="008B4DA2">
        <w:rPr>
          <w:rStyle w:val="normaltextrun"/>
          <w:noProof/>
        </w:rPr>
        <w:t xml:space="preserve"> i</w:t>
      </w:r>
      <w:r w:rsidR="00B83C93">
        <w:rPr>
          <w:rStyle w:val="normaltextrun"/>
          <w:noProof/>
        </w:rPr>
        <w:t> </w:t>
      </w:r>
      <w:r w:rsidR="00B83C93" w:rsidRPr="008B4DA2">
        <w:rPr>
          <w:rStyle w:val="normaltextrun"/>
          <w:noProof/>
        </w:rPr>
        <w:t>któ</w:t>
      </w:r>
      <w:r w:rsidRPr="008B4DA2">
        <w:rPr>
          <w:rStyle w:val="normaltextrun"/>
          <w:noProof/>
        </w:rPr>
        <w:t>re ponadto uniemożliwia lub znacznie utrudnia posiadaczom praw jazdy lub odpowiednim organom krajowym przeprowadzenie procedur niezbędnych do przedłużenia okresu ważności praw jazdy</w:t>
      </w:r>
      <w:r w:rsidRPr="00B83C93">
        <w:rPr>
          <w:rStyle w:val="normaltextrun"/>
          <w:noProof/>
        </w:rPr>
        <w:t>.</w:t>
      </w:r>
      <w:r w:rsidR="00B83C93" w:rsidRPr="00B83C93">
        <w:rPr>
          <w:rStyle w:val="normaltextrun"/>
          <w:noProof/>
        </w:rPr>
        <w:t xml:space="preserve"> </w:t>
      </w:r>
    </w:p>
    <w:p w:rsidR="00BD67F9" w:rsidRPr="008B4DA2" w:rsidRDefault="00DF60AC" w:rsidP="00DF60AC">
      <w:pPr>
        <w:pStyle w:val="ManualNumPar1"/>
        <w:rPr>
          <w:rStyle w:val="normaltextrun"/>
          <w:noProof/>
        </w:rPr>
      </w:pPr>
      <w:r w:rsidRPr="008B4DA2">
        <w:rPr>
          <w:rStyle w:val="normaltextrun"/>
          <w:noProof/>
        </w:rPr>
        <w:t>5.</w:t>
      </w:r>
      <w:r w:rsidRPr="008B4DA2">
        <w:rPr>
          <w:noProof/>
        </w:rPr>
        <w:tab/>
      </w:r>
      <w:r w:rsidRPr="008B4DA2">
        <w:rPr>
          <w:rStyle w:val="normaltextrun"/>
          <w:noProof/>
        </w:rPr>
        <w:t>Bez uszczerbku dla krajowego prawa karnego</w:t>
      </w:r>
      <w:r w:rsidR="00B83C93" w:rsidRPr="008B4DA2">
        <w:rPr>
          <w:rStyle w:val="normaltextrun"/>
          <w:noProof/>
        </w:rPr>
        <w:t xml:space="preserve"> i</w:t>
      </w:r>
      <w:r w:rsidR="00B83C93">
        <w:rPr>
          <w:rStyle w:val="normaltextrun"/>
          <w:noProof/>
        </w:rPr>
        <w:t> </w:t>
      </w:r>
      <w:r w:rsidR="00B83C93" w:rsidRPr="008B4DA2">
        <w:rPr>
          <w:rStyle w:val="normaltextrun"/>
          <w:noProof/>
        </w:rPr>
        <w:t>prz</w:t>
      </w:r>
      <w:r w:rsidRPr="008B4DA2">
        <w:rPr>
          <w:rStyle w:val="normaltextrun"/>
          <w:noProof/>
        </w:rPr>
        <w:t>episów prawnych dotyczących policji państwa członkowskie mogą przy wydawaniu prawa jazdy stosować własne przepisy krajowe dotyczące warunków innych niż te,</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rych mowa</w:t>
      </w:r>
      <w:r w:rsidR="00B83C93" w:rsidRPr="008B4DA2">
        <w:rPr>
          <w:rStyle w:val="normaltextrun"/>
          <w:noProof/>
        </w:rPr>
        <w:t xml:space="preserve"> w</w:t>
      </w:r>
      <w:r w:rsidR="00B83C93">
        <w:rPr>
          <w:rStyle w:val="normaltextrun"/>
          <w:noProof/>
        </w:rPr>
        <w:t> </w:t>
      </w:r>
      <w:r w:rsidR="00B83C93" w:rsidRPr="008B4DA2">
        <w:rPr>
          <w:rStyle w:val="normaltextrun"/>
          <w:noProof/>
        </w:rPr>
        <w:t>nin</w:t>
      </w:r>
      <w:r w:rsidRPr="008B4DA2">
        <w:rPr>
          <w:rStyle w:val="normaltextrun"/>
          <w:noProof/>
        </w:rPr>
        <w:t>iejszej dyrektywie. Informują one</w:t>
      </w:r>
      <w:r w:rsidR="00B83C93" w:rsidRPr="008B4DA2">
        <w:rPr>
          <w:rStyle w:val="normaltextrun"/>
          <w:noProof/>
        </w:rPr>
        <w:t xml:space="preserve"> o</w:t>
      </w:r>
      <w:r w:rsidR="00B83C93">
        <w:rPr>
          <w:rStyle w:val="normaltextrun"/>
          <w:noProof/>
        </w:rPr>
        <w:t> </w:t>
      </w:r>
      <w:r w:rsidR="00B83C93" w:rsidRPr="008B4DA2">
        <w:rPr>
          <w:rStyle w:val="normaltextrun"/>
          <w:noProof/>
        </w:rPr>
        <w:t>tym</w:t>
      </w:r>
      <w:r w:rsidRPr="008B4DA2">
        <w:rPr>
          <w:rStyle w:val="normaltextrun"/>
          <w:noProof/>
        </w:rPr>
        <w:t xml:space="preserve"> Komisję.</w:t>
      </w:r>
    </w:p>
    <w:p w:rsidR="00BD67F9" w:rsidRPr="00B83C93" w:rsidRDefault="00DF60AC" w:rsidP="00DF60AC">
      <w:pPr>
        <w:pStyle w:val="ManualNumPar1"/>
        <w:rPr>
          <w:rStyle w:val="normaltextrun"/>
          <w:noProof/>
        </w:rPr>
      </w:pPr>
      <w:r w:rsidRPr="008B4DA2">
        <w:rPr>
          <w:rStyle w:val="normaltextrun"/>
          <w:noProof/>
        </w:rPr>
        <w:t>6.</w:t>
      </w:r>
      <w:r w:rsidRPr="008B4DA2">
        <w:rPr>
          <w:noProof/>
        </w:rPr>
        <w:tab/>
      </w:r>
      <w:r w:rsidRPr="008B4DA2">
        <w:rPr>
          <w:rStyle w:val="normaltextrun"/>
          <w:noProof/>
        </w:rPr>
        <w:t>Państwa członkowskie mogą uzależnić wydanie lub przedłużenie ważności prawa jazdy kategorii AM, A, A1, A2, B, B1 i BE od wyników badania stwierdzającego spełnianie minimalnych standardów dotyczących fizycznej</w:t>
      </w:r>
      <w:r w:rsidR="00B83C93" w:rsidRPr="008B4DA2">
        <w:rPr>
          <w:rStyle w:val="normaltextrun"/>
          <w:noProof/>
        </w:rPr>
        <w:t xml:space="preserve"> i</w:t>
      </w:r>
      <w:r w:rsidR="00B83C93">
        <w:rPr>
          <w:rStyle w:val="normaltextrun"/>
          <w:noProof/>
        </w:rPr>
        <w:t> </w:t>
      </w:r>
      <w:r w:rsidR="00B83C93" w:rsidRPr="008B4DA2">
        <w:rPr>
          <w:rStyle w:val="normaltextrun"/>
          <w:noProof/>
        </w:rPr>
        <w:t>psy</w:t>
      </w:r>
      <w:r w:rsidRPr="008B4DA2">
        <w:rPr>
          <w:rStyle w:val="normaltextrun"/>
          <w:noProof/>
        </w:rPr>
        <w:t>chicznej zdolności do kierowania pojazdami, określonych</w:t>
      </w:r>
      <w:r w:rsidR="00B83C93" w:rsidRPr="008B4DA2">
        <w:rPr>
          <w:rStyle w:val="normaltextrun"/>
          <w:noProof/>
        </w:rPr>
        <w:t xml:space="preserve"> w</w:t>
      </w:r>
      <w:r w:rsidR="00B83C93">
        <w:rPr>
          <w:rStyle w:val="normaltextrun"/>
          <w:noProof/>
        </w:rPr>
        <w:t> </w:t>
      </w:r>
      <w:r w:rsidR="00B83C93" w:rsidRPr="008B4DA2">
        <w:rPr>
          <w:rStyle w:val="normaltextrun"/>
          <w:noProof/>
        </w:rPr>
        <w:t>zał</w:t>
      </w:r>
      <w:r w:rsidRPr="008B4DA2">
        <w:rPr>
          <w:rStyle w:val="normaltextrun"/>
          <w:noProof/>
        </w:rPr>
        <w:t>ączniku III, zamiast od samooceny przewidzianej</w:t>
      </w:r>
      <w:r w:rsidR="00B83C93" w:rsidRPr="008B4DA2">
        <w:rPr>
          <w:rStyle w:val="normaltextrun"/>
          <w:noProof/>
        </w:rPr>
        <w:t xml:space="preserve"> w</w:t>
      </w:r>
      <w:r w:rsidR="00B83C93">
        <w:rPr>
          <w:rStyle w:val="normaltextrun"/>
          <w:noProof/>
        </w:rPr>
        <w:t> </w:t>
      </w:r>
      <w:r w:rsidR="00B83C93" w:rsidRPr="00B83C93">
        <w:rPr>
          <w:rStyle w:val="normaltextrun"/>
          <w:noProof/>
        </w:rPr>
        <w:t>pkt </w:t>
      </w:r>
      <w:r w:rsidRPr="00B83C93">
        <w:rPr>
          <w:rStyle w:val="normaltextrun"/>
          <w:noProof/>
        </w:rPr>
        <w:t>3</w:t>
      </w:r>
      <w:r w:rsidRPr="008B4DA2">
        <w:rPr>
          <w:rStyle w:val="normaltextrun"/>
          <w:noProof/>
        </w:rPr>
        <w:t xml:space="preserve"> tego załącznika</w:t>
      </w:r>
      <w:r w:rsidR="00B83C93" w:rsidRPr="008B4DA2">
        <w:rPr>
          <w:rStyle w:val="normaltextrun"/>
          <w:noProof/>
        </w:rPr>
        <w:t>. W</w:t>
      </w:r>
      <w:r w:rsidR="00B83C93">
        <w:rPr>
          <w:rStyle w:val="normaltextrun"/>
          <w:noProof/>
        </w:rPr>
        <w:t> </w:t>
      </w:r>
      <w:r w:rsidR="00B83C93" w:rsidRPr="008B4DA2">
        <w:rPr>
          <w:rStyle w:val="normaltextrun"/>
          <w:noProof/>
        </w:rPr>
        <w:t>tak</w:t>
      </w:r>
      <w:r w:rsidRPr="008B4DA2">
        <w:rPr>
          <w:rStyle w:val="normaltextrun"/>
          <w:noProof/>
        </w:rPr>
        <w:t>im przypadku badanie lekarskie obejmuje wszystkie rodzaje niezdolności</w:t>
      </w:r>
      <w:r w:rsidR="00B83C93" w:rsidRPr="008B4DA2">
        <w:rPr>
          <w:rStyle w:val="normaltextrun"/>
          <w:noProof/>
        </w:rPr>
        <w:t xml:space="preserve"> z</w:t>
      </w:r>
      <w:r w:rsidR="00B83C93">
        <w:rPr>
          <w:rStyle w:val="normaltextrun"/>
          <w:noProof/>
        </w:rPr>
        <w:t> </w:t>
      </w:r>
      <w:r w:rsidR="00B83C93" w:rsidRPr="008B4DA2">
        <w:rPr>
          <w:rStyle w:val="normaltextrun"/>
          <w:noProof/>
        </w:rPr>
        <w:t>prz</w:t>
      </w:r>
      <w:r w:rsidRPr="008B4DA2">
        <w:rPr>
          <w:rStyle w:val="normaltextrun"/>
          <w:noProof/>
        </w:rPr>
        <w:t>yczyn medycznych wymienione</w:t>
      </w:r>
      <w:r w:rsidR="00B83C93" w:rsidRPr="008B4DA2">
        <w:rPr>
          <w:rStyle w:val="normaltextrun"/>
          <w:noProof/>
        </w:rPr>
        <w:t xml:space="preserve"> w</w:t>
      </w:r>
      <w:r w:rsidR="00B83C93">
        <w:rPr>
          <w:rStyle w:val="normaltextrun"/>
          <w:noProof/>
        </w:rPr>
        <w:t> </w:t>
      </w:r>
      <w:r w:rsidR="00B83C93" w:rsidRPr="008B4DA2">
        <w:rPr>
          <w:rStyle w:val="normaltextrun"/>
          <w:noProof/>
        </w:rPr>
        <w:t>zał</w:t>
      </w:r>
      <w:r w:rsidRPr="008B4DA2">
        <w:rPr>
          <w:rStyle w:val="normaltextrun"/>
          <w:noProof/>
        </w:rPr>
        <w:t>ączniku III</w:t>
      </w:r>
      <w:r w:rsidRPr="00B83C93">
        <w:rPr>
          <w:rStyle w:val="normaltextrun"/>
          <w:noProof/>
        </w:rPr>
        <w:t>.</w:t>
      </w:r>
      <w:r w:rsidR="00B83C93" w:rsidRPr="00B83C93">
        <w:rPr>
          <w:rStyle w:val="normaltextrun"/>
          <w:noProof/>
        </w:rPr>
        <w:t xml:space="preserve"> </w:t>
      </w:r>
    </w:p>
    <w:p w:rsidR="00BD67F9" w:rsidRPr="008B4DA2" w:rsidRDefault="00BD67F9" w:rsidP="00BD67F9">
      <w:pPr>
        <w:pStyle w:val="Text1"/>
        <w:rPr>
          <w:rStyle w:val="normaltextrun"/>
          <w:noProof/>
        </w:rPr>
      </w:pPr>
      <w:r w:rsidRPr="008B4DA2">
        <w:rPr>
          <w:rStyle w:val="normaltextrun"/>
          <w:noProof/>
        </w:rPr>
        <w:t>Do dnia [</w:t>
      </w:r>
      <w:r w:rsidRPr="008B4DA2">
        <w:rPr>
          <w:noProof/>
        </w:rPr>
        <w:t>data przyjęcia + 18 miesięcy</w:t>
      </w:r>
      <w:r w:rsidRPr="008B4DA2">
        <w:rPr>
          <w:rStyle w:val="normaltextrun"/>
          <w:noProof/>
        </w:rPr>
        <w:t>] Komisja przyjmie akty wykonawcze określające zawartość samooceny,</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rej mowa</w:t>
      </w:r>
      <w:r w:rsidR="00B83C93" w:rsidRPr="008B4DA2">
        <w:rPr>
          <w:rStyle w:val="normaltextrun"/>
          <w:noProof/>
        </w:rPr>
        <w:t xml:space="preserve"> w</w:t>
      </w:r>
      <w:r w:rsidR="00B83C93">
        <w:rPr>
          <w:rStyle w:val="normaltextrun"/>
          <w:noProof/>
        </w:rPr>
        <w:t> </w:t>
      </w:r>
      <w:r w:rsidR="00B83C93" w:rsidRPr="008B4DA2">
        <w:rPr>
          <w:rStyle w:val="normaltextrun"/>
          <w:noProof/>
        </w:rPr>
        <w:t>zał</w:t>
      </w:r>
      <w:r w:rsidRPr="008B4DA2">
        <w:rPr>
          <w:rStyle w:val="normaltextrun"/>
          <w:noProof/>
        </w:rPr>
        <w:t xml:space="preserve">ączniku III </w:t>
      </w:r>
      <w:r w:rsidRPr="00B83C93">
        <w:rPr>
          <w:rStyle w:val="normaltextrun"/>
          <w:noProof/>
        </w:rPr>
        <w:t>pkt</w:t>
      </w:r>
      <w:r w:rsidR="00B83C93" w:rsidRPr="00B83C93">
        <w:rPr>
          <w:rStyle w:val="normaltextrun"/>
          <w:noProof/>
        </w:rPr>
        <w:t> </w:t>
      </w:r>
      <w:r w:rsidRPr="00B83C93">
        <w:rPr>
          <w:rStyle w:val="normaltextrun"/>
          <w:noProof/>
        </w:rPr>
        <w:t>3</w:t>
      </w:r>
      <w:r w:rsidRPr="008B4DA2">
        <w:rPr>
          <w:rStyle w:val="normaltextrun"/>
          <w:noProof/>
        </w:rPr>
        <w:t>,</w:t>
      </w:r>
      <w:r w:rsidR="00B83C93" w:rsidRPr="008B4DA2">
        <w:rPr>
          <w:rStyle w:val="normaltextrun"/>
          <w:noProof/>
        </w:rPr>
        <w:t xml:space="preserve"> i</w:t>
      </w:r>
      <w:r w:rsidR="00B83C93">
        <w:rPr>
          <w:rStyle w:val="normaltextrun"/>
          <w:noProof/>
        </w:rPr>
        <w:t> </w:t>
      </w:r>
      <w:r w:rsidR="00B83C93" w:rsidRPr="008B4DA2">
        <w:rPr>
          <w:rStyle w:val="normaltextrun"/>
          <w:noProof/>
        </w:rPr>
        <w:t>obe</w:t>
      </w:r>
      <w:r w:rsidRPr="008B4DA2">
        <w:rPr>
          <w:rStyle w:val="normaltextrun"/>
          <w:noProof/>
        </w:rPr>
        <w:t>jmujące wszystkie rodzaje niezdolności</w:t>
      </w:r>
      <w:r w:rsidR="00B83C93" w:rsidRPr="008B4DA2">
        <w:rPr>
          <w:rStyle w:val="normaltextrun"/>
          <w:noProof/>
        </w:rPr>
        <w:t xml:space="preserve"> z</w:t>
      </w:r>
      <w:r w:rsidR="00B83C93">
        <w:rPr>
          <w:rStyle w:val="normaltextrun"/>
          <w:noProof/>
        </w:rPr>
        <w:t> </w:t>
      </w:r>
      <w:r w:rsidR="00B83C93" w:rsidRPr="008B4DA2">
        <w:rPr>
          <w:rStyle w:val="normaltextrun"/>
          <w:noProof/>
        </w:rPr>
        <w:t>prz</w:t>
      </w:r>
      <w:r w:rsidRPr="008B4DA2">
        <w:rPr>
          <w:rStyle w:val="normaltextrun"/>
          <w:noProof/>
        </w:rPr>
        <w:t>yczyn medycznych wymienione</w:t>
      </w:r>
      <w:r w:rsidR="00B83C93" w:rsidRPr="008B4DA2">
        <w:rPr>
          <w:rStyle w:val="normaltextrun"/>
          <w:noProof/>
        </w:rPr>
        <w:t xml:space="preserve"> w</w:t>
      </w:r>
      <w:r w:rsidR="00B83C93">
        <w:rPr>
          <w:rStyle w:val="normaltextrun"/>
          <w:noProof/>
        </w:rPr>
        <w:t> </w:t>
      </w:r>
      <w:r w:rsidR="00B83C93" w:rsidRPr="008B4DA2">
        <w:rPr>
          <w:rStyle w:val="normaltextrun"/>
          <w:noProof/>
        </w:rPr>
        <w:t>tym</w:t>
      </w:r>
      <w:r w:rsidRPr="008B4DA2">
        <w:rPr>
          <w:rStyle w:val="normaltextrun"/>
          <w:noProof/>
        </w:rPr>
        <w:t xml:space="preserve"> załączniku. Te akty wykonawcze przyjmuje się zgodnie</w:t>
      </w:r>
      <w:r w:rsidR="00B83C93" w:rsidRPr="008B4DA2">
        <w:rPr>
          <w:rStyle w:val="normaltextrun"/>
          <w:noProof/>
        </w:rPr>
        <w:t xml:space="preserve"> z</w:t>
      </w:r>
      <w:r w:rsidR="00B83C93">
        <w:rPr>
          <w:rStyle w:val="normaltextrun"/>
          <w:noProof/>
        </w:rPr>
        <w:t> </w:t>
      </w:r>
      <w:r w:rsidR="00B83C93" w:rsidRPr="008B4DA2">
        <w:rPr>
          <w:rStyle w:val="normaltextrun"/>
          <w:noProof/>
        </w:rPr>
        <w:t>pro</w:t>
      </w:r>
      <w:r w:rsidRPr="008B4DA2">
        <w:rPr>
          <w:rStyle w:val="normaltextrun"/>
          <w:noProof/>
        </w:rPr>
        <w:t>cedurą sprawdzającą,</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rej mowa</w:t>
      </w:r>
      <w:r w:rsidR="00B83C93" w:rsidRPr="008B4DA2">
        <w:rPr>
          <w:rStyle w:val="normaltextrun"/>
          <w:noProof/>
        </w:rPr>
        <w:t xml:space="preserve"> w</w:t>
      </w:r>
      <w:r w:rsidR="00B83C93">
        <w:rPr>
          <w:rStyle w:val="normaltextrun"/>
          <w:noProof/>
        </w:rPr>
        <w:t> </w:t>
      </w:r>
      <w:r w:rsidR="00B83C93" w:rsidRPr="00B83C93">
        <w:rPr>
          <w:rStyle w:val="normaltextrun"/>
          <w:noProof/>
        </w:rPr>
        <w:t>art</w:t>
      </w:r>
      <w:r w:rsidRPr="00B83C93">
        <w:rPr>
          <w:rStyle w:val="normaltextrun"/>
          <w:noProof/>
        </w:rPr>
        <w:t>.</w:t>
      </w:r>
      <w:r w:rsidR="00B83C93" w:rsidRPr="00B83C93">
        <w:rPr>
          <w:rStyle w:val="normaltextrun"/>
          <w:noProof/>
        </w:rPr>
        <w:t> </w:t>
      </w:r>
      <w:r w:rsidRPr="00B83C93">
        <w:rPr>
          <w:rStyle w:val="normaltextrun"/>
          <w:noProof/>
        </w:rPr>
        <w:t>2</w:t>
      </w:r>
      <w:r w:rsidRPr="008B4DA2">
        <w:rPr>
          <w:rStyle w:val="normaltextrun"/>
          <w:noProof/>
        </w:rPr>
        <w:t xml:space="preserve">2 </w:t>
      </w:r>
      <w:r w:rsidRPr="00B83C93">
        <w:rPr>
          <w:rStyle w:val="normaltextrun"/>
          <w:noProof/>
        </w:rPr>
        <w:t>ust.</w:t>
      </w:r>
      <w:r w:rsidR="00B83C93" w:rsidRPr="00B83C93">
        <w:rPr>
          <w:rStyle w:val="normaltextrun"/>
          <w:noProof/>
        </w:rPr>
        <w:t> </w:t>
      </w:r>
      <w:r w:rsidRPr="00B83C93">
        <w:rPr>
          <w:rStyle w:val="normaltextrun"/>
          <w:noProof/>
        </w:rPr>
        <w:t>2</w:t>
      </w:r>
      <w:r w:rsidRPr="008B4DA2">
        <w:rPr>
          <w:rStyle w:val="normaltextrun"/>
          <w:noProof/>
        </w:rPr>
        <w:t>.</w:t>
      </w:r>
    </w:p>
    <w:p w:rsidR="00BD67F9" w:rsidRPr="008B4DA2" w:rsidRDefault="00DF60AC" w:rsidP="00DF60AC">
      <w:pPr>
        <w:pStyle w:val="ManualNumPar1"/>
        <w:rPr>
          <w:rStyle w:val="normaltextrun"/>
          <w:noProof/>
        </w:rPr>
      </w:pPr>
      <w:r w:rsidRPr="008B4DA2">
        <w:rPr>
          <w:rStyle w:val="normaltextrun"/>
          <w:noProof/>
        </w:rPr>
        <w:t>7.</w:t>
      </w:r>
      <w:r w:rsidRPr="008B4DA2">
        <w:rPr>
          <w:noProof/>
        </w:rPr>
        <w:tab/>
      </w:r>
      <w:r w:rsidRPr="008B4DA2">
        <w:rPr>
          <w:rStyle w:val="normaltextrun"/>
          <w:noProof/>
        </w:rPr>
        <w:t>Jedna osoba nie może posiadać więcej niż jednego fizycznego prawa jazdy. Jedna osoba może jednak posiadać kilka mobilnych praw jazdy, pod warunkiem że są one wydane przez to samo państwo członkowskie.</w:t>
      </w:r>
    </w:p>
    <w:p w:rsidR="00BD67F9" w:rsidRPr="008B4DA2" w:rsidRDefault="00BD67F9" w:rsidP="00BD67F9">
      <w:pPr>
        <w:pStyle w:val="Text1"/>
        <w:rPr>
          <w:rStyle w:val="normaltextrun"/>
          <w:noProof/>
        </w:rPr>
      </w:pPr>
      <w:r w:rsidRPr="008B4DA2">
        <w:rPr>
          <w:rStyle w:val="normaltextrun"/>
          <w:noProof/>
        </w:rPr>
        <w:t>Jedna osoba nie może posiadać praw jazdy wydanych przez więcej niż jedno państwo członkowskie.</w:t>
      </w:r>
    </w:p>
    <w:p w:rsidR="00BD67F9" w:rsidRPr="008B4DA2" w:rsidRDefault="00BD67F9" w:rsidP="00BD67F9">
      <w:pPr>
        <w:pStyle w:val="Text1"/>
        <w:rPr>
          <w:rStyle w:val="normaltextrun"/>
          <w:noProof/>
        </w:rPr>
      </w:pPr>
      <w:r w:rsidRPr="008B4DA2">
        <w:rPr>
          <w:rStyle w:val="normaltextrun"/>
          <w:noProof/>
        </w:rPr>
        <w:t>Państwo członkowskie odmawia wydania prawa jazdy, jeśli stwierdzi, że wnioskodawca posiada już prawo jazdy wydane przez inne państwo członkowskie.</w:t>
      </w:r>
    </w:p>
    <w:p w:rsidR="00BD67F9" w:rsidRPr="008B4DA2" w:rsidRDefault="00BD67F9" w:rsidP="00BD67F9">
      <w:pPr>
        <w:pStyle w:val="Text1"/>
        <w:rPr>
          <w:rStyle w:val="normaltextrun"/>
          <w:noProof/>
        </w:rPr>
      </w:pPr>
      <w:r w:rsidRPr="008B4DA2">
        <w:rPr>
          <w:rStyle w:val="normaltextrun"/>
          <w:noProof/>
        </w:rPr>
        <w:t>Państwa członkowskie wprowadzają środki niezbędne do stosowania akapitu trzeciego. Jeśli przy wydawaniu, przedłużaniu okresu ważności, wydawaniu wtórnika lub wymianie prawa jazdy zachodzi uzasadnione podejrzenie, że wnioskodawca jest już posiadaczem innego prawa jazdy, niezbędne środki polegają na przeprowadzeniu weryfikacji takiego podejrzenia</w:t>
      </w:r>
      <w:r w:rsidR="00B83C93" w:rsidRPr="008B4DA2">
        <w:rPr>
          <w:rStyle w:val="normaltextrun"/>
          <w:noProof/>
        </w:rPr>
        <w:t xml:space="preserve"> z</w:t>
      </w:r>
      <w:r w:rsidR="00B83C93">
        <w:rPr>
          <w:rStyle w:val="normaltextrun"/>
          <w:noProof/>
        </w:rPr>
        <w:t> </w:t>
      </w:r>
      <w:r w:rsidR="00B83C93" w:rsidRPr="008B4DA2">
        <w:rPr>
          <w:rStyle w:val="normaltextrun"/>
          <w:noProof/>
        </w:rPr>
        <w:t>inn</w:t>
      </w:r>
      <w:r w:rsidRPr="008B4DA2">
        <w:rPr>
          <w:rStyle w:val="normaltextrun"/>
          <w:noProof/>
        </w:rPr>
        <w:t>ymi państwami członkowskimi</w:t>
      </w:r>
      <w:r w:rsidR="00B83C93" w:rsidRPr="008B4DA2">
        <w:rPr>
          <w:rStyle w:val="normaltextrun"/>
          <w:noProof/>
        </w:rPr>
        <w:t>. W</w:t>
      </w:r>
      <w:r w:rsidR="00B83C93">
        <w:rPr>
          <w:rStyle w:val="normaltextrun"/>
          <w:noProof/>
        </w:rPr>
        <w:t> </w:t>
      </w:r>
      <w:r w:rsidR="00B83C93" w:rsidRPr="008B4DA2">
        <w:rPr>
          <w:rStyle w:val="normaltextrun"/>
          <w:noProof/>
        </w:rPr>
        <w:t>tym</w:t>
      </w:r>
      <w:r w:rsidRPr="008B4DA2">
        <w:rPr>
          <w:rStyle w:val="normaltextrun"/>
          <w:noProof/>
        </w:rPr>
        <w:t xml:space="preserve"> celu państwa członkowskie korzystają</w:t>
      </w:r>
      <w:r w:rsidR="00B83C93" w:rsidRPr="008B4DA2">
        <w:rPr>
          <w:rStyle w:val="normaltextrun"/>
          <w:noProof/>
        </w:rPr>
        <w:t xml:space="preserve"> z</w:t>
      </w:r>
      <w:r w:rsidR="00B83C93">
        <w:rPr>
          <w:rStyle w:val="normaltextrun"/>
          <w:noProof/>
        </w:rPr>
        <w:t> </w:t>
      </w:r>
      <w:r w:rsidR="00B83C93" w:rsidRPr="008B4DA2">
        <w:rPr>
          <w:rStyle w:val="normaltextrun"/>
          <w:noProof/>
        </w:rPr>
        <w:t>Eur</w:t>
      </w:r>
      <w:r w:rsidRPr="008B4DA2">
        <w:rPr>
          <w:rStyle w:val="normaltextrun"/>
          <w:noProof/>
        </w:rPr>
        <w:t>opejskiej Sieci Praw Jazdy,</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rej mowa</w:t>
      </w:r>
      <w:r w:rsidR="00B83C93" w:rsidRPr="008B4DA2">
        <w:rPr>
          <w:rStyle w:val="normaltextrun"/>
          <w:noProof/>
        </w:rPr>
        <w:t xml:space="preserve"> w</w:t>
      </w:r>
      <w:r w:rsidR="00B83C93">
        <w:rPr>
          <w:rStyle w:val="normaltextrun"/>
          <w:noProof/>
        </w:rPr>
        <w:t> </w:t>
      </w:r>
      <w:r w:rsidR="00B83C93" w:rsidRPr="00B83C93">
        <w:rPr>
          <w:rStyle w:val="normaltextrun"/>
          <w:noProof/>
        </w:rPr>
        <w:t>art</w:t>
      </w:r>
      <w:r w:rsidRPr="00B83C93">
        <w:rPr>
          <w:rStyle w:val="normaltextrun"/>
          <w:noProof/>
        </w:rPr>
        <w:t>.</w:t>
      </w:r>
      <w:r w:rsidR="00B83C93" w:rsidRPr="00B83C93">
        <w:rPr>
          <w:rStyle w:val="normaltextrun"/>
          <w:noProof/>
        </w:rPr>
        <w:t> </w:t>
      </w:r>
      <w:r w:rsidRPr="00B83C93">
        <w:rPr>
          <w:rStyle w:val="normaltextrun"/>
          <w:noProof/>
        </w:rPr>
        <w:t>1</w:t>
      </w:r>
      <w:r w:rsidRPr="008B4DA2">
        <w:rPr>
          <w:rStyle w:val="normaltextrun"/>
          <w:noProof/>
        </w:rPr>
        <w:t>9.</w:t>
      </w:r>
    </w:p>
    <w:p w:rsidR="00BD67F9" w:rsidRPr="008B4DA2" w:rsidRDefault="00BD67F9" w:rsidP="00BD67F9">
      <w:pPr>
        <w:pStyle w:val="Text1"/>
        <w:rPr>
          <w:rStyle w:val="eop"/>
          <w:noProof/>
        </w:rPr>
      </w:pPr>
      <w:r w:rsidRPr="008B4DA2">
        <w:rPr>
          <w:rStyle w:val="normaltextrun"/>
          <w:noProof/>
        </w:rPr>
        <w:t xml:space="preserve">Bez uszczerbku dla </w:t>
      </w:r>
      <w:r w:rsidRPr="00B83C93">
        <w:rPr>
          <w:rStyle w:val="normaltextrun"/>
          <w:noProof/>
        </w:rPr>
        <w:t>art.</w:t>
      </w:r>
      <w:r w:rsidR="00B83C93" w:rsidRPr="00B83C93">
        <w:rPr>
          <w:rStyle w:val="normaltextrun"/>
          <w:noProof/>
        </w:rPr>
        <w:t> </w:t>
      </w:r>
      <w:r w:rsidRPr="00B83C93">
        <w:rPr>
          <w:rStyle w:val="normaltextrun"/>
          <w:noProof/>
        </w:rPr>
        <w:t>3</w:t>
      </w:r>
      <w:r w:rsidRPr="008B4DA2">
        <w:rPr>
          <w:rStyle w:val="normaltextrun"/>
          <w:noProof/>
        </w:rPr>
        <w:t xml:space="preserve"> </w:t>
      </w:r>
      <w:r w:rsidRPr="00B83C93">
        <w:rPr>
          <w:rStyle w:val="normaltextrun"/>
          <w:noProof/>
        </w:rPr>
        <w:t>ust.</w:t>
      </w:r>
      <w:r w:rsidR="00B83C93" w:rsidRPr="00B83C93">
        <w:rPr>
          <w:rStyle w:val="normaltextrun"/>
          <w:noProof/>
        </w:rPr>
        <w:t> </w:t>
      </w:r>
      <w:r w:rsidRPr="00B83C93">
        <w:rPr>
          <w:rStyle w:val="normaltextrun"/>
          <w:noProof/>
        </w:rPr>
        <w:t>6</w:t>
      </w:r>
      <w:r w:rsidRPr="008B4DA2">
        <w:rPr>
          <w:rStyle w:val="normaltextrun"/>
          <w:noProof/>
        </w:rPr>
        <w:t xml:space="preserve"> państwo członkowskie wydające prawo jazdy zachowuje należytą staranność</w:t>
      </w:r>
      <w:r w:rsidR="00B83C93" w:rsidRPr="008B4DA2">
        <w:rPr>
          <w:rStyle w:val="normaltextrun"/>
          <w:noProof/>
        </w:rPr>
        <w:t xml:space="preserve"> w</w:t>
      </w:r>
      <w:r w:rsidR="00B83C93">
        <w:rPr>
          <w:rStyle w:val="normaltextrun"/>
          <w:noProof/>
        </w:rPr>
        <w:t> </w:t>
      </w:r>
      <w:r w:rsidR="00B83C93" w:rsidRPr="008B4DA2">
        <w:rPr>
          <w:rStyle w:val="normaltextrun"/>
          <w:noProof/>
        </w:rPr>
        <w:t>cel</w:t>
      </w:r>
      <w:r w:rsidRPr="008B4DA2">
        <w:rPr>
          <w:rStyle w:val="normaltextrun"/>
          <w:noProof/>
        </w:rPr>
        <w:t>u upewnienia się, że dana osoba spełnia wymogi określone</w:t>
      </w:r>
      <w:r w:rsidR="00B83C93" w:rsidRPr="008B4DA2">
        <w:rPr>
          <w:rStyle w:val="normaltextrun"/>
          <w:noProof/>
        </w:rPr>
        <w:t xml:space="preserve"> w</w:t>
      </w:r>
      <w:r w:rsidR="00B83C93">
        <w:rPr>
          <w:rStyle w:val="normaltextrun"/>
          <w:noProof/>
        </w:rPr>
        <w:t> </w:t>
      </w:r>
      <w:r w:rsidR="00B83C93" w:rsidRPr="00B83C93">
        <w:rPr>
          <w:rStyle w:val="normaltextrun"/>
          <w:noProof/>
        </w:rPr>
        <w:t>ust</w:t>
      </w:r>
      <w:r w:rsidRPr="00B83C93">
        <w:rPr>
          <w:rStyle w:val="normaltextrun"/>
          <w:noProof/>
        </w:rPr>
        <w:t>.</w:t>
      </w:r>
      <w:r w:rsidR="00B83C93" w:rsidRPr="00B83C93">
        <w:rPr>
          <w:rStyle w:val="normaltextrun"/>
          <w:noProof/>
        </w:rPr>
        <w:t> </w:t>
      </w:r>
      <w:r w:rsidRPr="00B83C93">
        <w:rPr>
          <w:rStyle w:val="normaltextrun"/>
          <w:noProof/>
        </w:rPr>
        <w:t>1</w:t>
      </w:r>
      <w:r w:rsidRPr="008B4DA2">
        <w:rPr>
          <w:rStyle w:val="normaltextrun"/>
          <w:noProof/>
        </w:rPr>
        <w:t xml:space="preserve"> niniejszego artykułu, oraz stosuje własne przepisy krajowe</w:t>
      </w:r>
      <w:r w:rsidR="00B83C93" w:rsidRPr="008B4DA2">
        <w:rPr>
          <w:rStyle w:val="normaltextrun"/>
          <w:noProof/>
        </w:rPr>
        <w:t xml:space="preserve"> w</w:t>
      </w:r>
      <w:r w:rsidR="00B83C93">
        <w:rPr>
          <w:rStyle w:val="normaltextrun"/>
          <w:noProof/>
        </w:rPr>
        <w:t> </w:t>
      </w:r>
      <w:r w:rsidR="00B83C93" w:rsidRPr="008B4DA2">
        <w:rPr>
          <w:rStyle w:val="normaltextrun"/>
          <w:noProof/>
        </w:rPr>
        <w:t>zak</w:t>
      </w:r>
      <w:r w:rsidRPr="008B4DA2">
        <w:rPr>
          <w:rStyle w:val="normaltextrun"/>
          <w:noProof/>
        </w:rPr>
        <w:t>resie unieważnienia lub cofnięcia prawa jazdy lub uprawnień do kierowania pojazdami</w:t>
      </w:r>
      <w:r w:rsidR="00B83C93" w:rsidRPr="008B4DA2">
        <w:rPr>
          <w:rStyle w:val="normaltextrun"/>
          <w:noProof/>
        </w:rPr>
        <w:t xml:space="preserve"> w</w:t>
      </w:r>
      <w:r w:rsidR="00B83C93">
        <w:rPr>
          <w:rStyle w:val="normaltextrun"/>
          <w:noProof/>
        </w:rPr>
        <w:t> </w:t>
      </w:r>
      <w:r w:rsidR="00B83C93" w:rsidRPr="008B4DA2">
        <w:rPr>
          <w:rStyle w:val="normaltextrun"/>
          <w:noProof/>
        </w:rPr>
        <w:t>raz</w:t>
      </w:r>
      <w:r w:rsidRPr="008B4DA2">
        <w:rPr>
          <w:rStyle w:val="normaltextrun"/>
          <w:noProof/>
        </w:rPr>
        <w:t>ie stwierdzenia, że prawo jazdy zostało wydane pomimo niespełnienia przedmiotowych wymogów.</w:t>
      </w:r>
      <w:r w:rsidRPr="008B4DA2">
        <w:rPr>
          <w:rStyle w:val="eop"/>
          <w:noProof/>
        </w:rPr>
        <w:t xml:space="preserve"> </w:t>
      </w:r>
    </w:p>
    <w:p w:rsidR="00BD67F9" w:rsidRPr="008B4DA2" w:rsidRDefault="00DF60AC" w:rsidP="00DF60AC">
      <w:pPr>
        <w:pStyle w:val="ManualNumPar1"/>
        <w:rPr>
          <w:rStyle w:val="normaltextrun"/>
          <w:noProof/>
        </w:rPr>
      </w:pPr>
      <w:r w:rsidRPr="008B4DA2">
        <w:rPr>
          <w:rStyle w:val="normaltextrun"/>
          <w:noProof/>
        </w:rPr>
        <w:t>8.</w:t>
      </w:r>
      <w:r w:rsidRPr="008B4DA2">
        <w:rPr>
          <w:noProof/>
        </w:rPr>
        <w:tab/>
      </w:r>
      <w:r w:rsidRPr="008B4DA2">
        <w:rPr>
          <w:rStyle w:val="normaltextrun"/>
          <w:noProof/>
        </w:rPr>
        <w:t>Komisja jest uprawniona do przyjmowania aktów delegowanych zgodnie</w:t>
      </w:r>
      <w:r w:rsidR="00B83C93" w:rsidRPr="008B4DA2">
        <w:rPr>
          <w:rStyle w:val="normaltextrun"/>
          <w:noProof/>
        </w:rPr>
        <w:t xml:space="preserve"> z</w:t>
      </w:r>
      <w:r w:rsidR="00B83C93">
        <w:rPr>
          <w:rStyle w:val="normaltextrun"/>
          <w:noProof/>
        </w:rPr>
        <w:t> </w:t>
      </w:r>
      <w:r w:rsidR="00B83C93" w:rsidRPr="00B83C93">
        <w:rPr>
          <w:rStyle w:val="normaltextrun"/>
          <w:noProof/>
        </w:rPr>
        <w:t>art</w:t>
      </w:r>
      <w:r w:rsidRPr="00B83C93">
        <w:rPr>
          <w:rStyle w:val="normaltextrun"/>
          <w:noProof/>
        </w:rPr>
        <w:t>.</w:t>
      </w:r>
      <w:r w:rsidR="00B83C93" w:rsidRPr="00B83C93">
        <w:rPr>
          <w:rStyle w:val="normaltextrun"/>
          <w:noProof/>
        </w:rPr>
        <w:t> </w:t>
      </w:r>
      <w:r w:rsidRPr="00B83C93">
        <w:rPr>
          <w:rStyle w:val="normaltextrun"/>
          <w:noProof/>
        </w:rPr>
        <w:t>2</w:t>
      </w:r>
      <w:r w:rsidRPr="008B4DA2">
        <w:rPr>
          <w:rStyle w:val="normaltextrun"/>
          <w:noProof/>
        </w:rPr>
        <w:t>1, aby dokonać zmiany załączników II, III, V i VI, jeżeli jest to konieczne</w:t>
      </w:r>
      <w:r w:rsidR="00B83C93" w:rsidRPr="008B4DA2">
        <w:rPr>
          <w:rStyle w:val="normaltextrun"/>
          <w:noProof/>
        </w:rPr>
        <w:t xml:space="preserve"> w</w:t>
      </w:r>
      <w:r w:rsidR="00B83C93">
        <w:rPr>
          <w:rStyle w:val="normaltextrun"/>
          <w:noProof/>
        </w:rPr>
        <w:t> </w:t>
      </w:r>
      <w:r w:rsidR="00B83C93" w:rsidRPr="008B4DA2">
        <w:rPr>
          <w:rStyle w:val="normaltextrun"/>
          <w:noProof/>
        </w:rPr>
        <w:t>cel</w:t>
      </w:r>
      <w:r w:rsidRPr="008B4DA2">
        <w:rPr>
          <w:rStyle w:val="normaltextrun"/>
          <w:noProof/>
        </w:rPr>
        <w:t>u uwzględnienia zmian technicznych, operacyjnych lub naukowych.</w:t>
      </w:r>
    </w:p>
    <w:p w:rsidR="00BD67F9" w:rsidRPr="008B4DA2" w:rsidRDefault="00BD67F9" w:rsidP="00BD67F9">
      <w:pPr>
        <w:pStyle w:val="Titrearticle"/>
        <w:rPr>
          <w:noProof/>
          <w:sz w:val="20"/>
          <w:szCs w:val="20"/>
        </w:rPr>
      </w:pPr>
      <w:r w:rsidRPr="008B4DA2">
        <w:rPr>
          <w:rStyle w:val="normaltextrun"/>
          <w:noProof/>
        </w:rPr>
        <w:t>Artykuł 11</w:t>
      </w:r>
      <w:r w:rsidRPr="008B4DA2">
        <w:rPr>
          <w:rStyle w:val="eop"/>
          <w:noProof/>
        </w:rPr>
        <w:t xml:space="preserve"> </w:t>
      </w:r>
    </w:p>
    <w:p w:rsidR="00BD67F9" w:rsidRPr="008B4DA2" w:rsidRDefault="00BD67F9" w:rsidP="00BD67F9">
      <w:pPr>
        <w:pStyle w:val="Objetacteprincipal"/>
        <w:rPr>
          <w:noProof/>
          <w:sz w:val="20"/>
          <w:szCs w:val="20"/>
        </w:rPr>
      </w:pPr>
      <w:r w:rsidRPr="008B4DA2">
        <w:rPr>
          <w:rStyle w:val="normaltextrun"/>
          <w:noProof/>
        </w:rPr>
        <w:t>Wymiana</w:t>
      </w:r>
      <w:r w:rsidR="00B83C93" w:rsidRPr="008B4DA2">
        <w:rPr>
          <w:rStyle w:val="normaltextrun"/>
          <w:noProof/>
        </w:rPr>
        <w:t xml:space="preserve"> i</w:t>
      </w:r>
      <w:r w:rsidR="00B83C93">
        <w:rPr>
          <w:rStyle w:val="normaltextrun"/>
          <w:noProof/>
        </w:rPr>
        <w:t> </w:t>
      </w:r>
      <w:r w:rsidR="00B83C93" w:rsidRPr="008B4DA2">
        <w:rPr>
          <w:rStyle w:val="normaltextrun"/>
          <w:noProof/>
        </w:rPr>
        <w:t>wyd</w:t>
      </w:r>
      <w:r w:rsidRPr="008B4DA2">
        <w:rPr>
          <w:rStyle w:val="normaltextrun"/>
          <w:noProof/>
        </w:rPr>
        <w:t>awanie wtórników praw jazdy</w:t>
      </w:r>
      <w:r w:rsidRPr="008B4DA2">
        <w:rPr>
          <w:rStyle w:val="eop"/>
          <w:noProof/>
        </w:rPr>
        <w:t xml:space="preserve"> wydanych przez państwa członkowskie</w:t>
      </w:r>
    </w:p>
    <w:p w:rsidR="00BD67F9" w:rsidRPr="008B4DA2" w:rsidRDefault="00DF60AC" w:rsidP="00DF60AC">
      <w:pPr>
        <w:pStyle w:val="ManualNumPar1"/>
        <w:rPr>
          <w:noProof/>
        </w:rPr>
      </w:pPr>
      <w:r w:rsidRPr="008B4DA2">
        <w:rPr>
          <w:noProof/>
        </w:rPr>
        <w:t>1.</w:t>
      </w:r>
      <w:r w:rsidRPr="008B4DA2">
        <w:rPr>
          <w:noProof/>
        </w:rPr>
        <w:tab/>
      </w:r>
      <w:r w:rsidRPr="008B4DA2">
        <w:rPr>
          <w:rStyle w:val="normaltextrun"/>
          <w:noProof/>
        </w:rPr>
        <w:t>Posiadacz ważnego prawa jazdy wydanego przez jedno państwo członkowskie, który ustanowił miejsce stałego zamieszkania</w:t>
      </w:r>
      <w:r w:rsidR="00B83C93" w:rsidRPr="008B4DA2">
        <w:rPr>
          <w:rStyle w:val="normaltextrun"/>
          <w:noProof/>
        </w:rPr>
        <w:t xml:space="preserve"> w</w:t>
      </w:r>
      <w:r w:rsidR="00B83C93">
        <w:rPr>
          <w:rStyle w:val="normaltextrun"/>
          <w:noProof/>
        </w:rPr>
        <w:t> </w:t>
      </w:r>
      <w:r w:rsidR="00B83C93" w:rsidRPr="008B4DA2">
        <w:rPr>
          <w:rStyle w:val="normaltextrun"/>
          <w:noProof/>
        </w:rPr>
        <w:t>inn</w:t>
      </w:r>
      <w:r w:rsidRPr="008B4DA2">
        <w:rPr>
          <w:rStyle w:val="normaltextrun"/>
          <w:noProof/>
        </w:rPr>
        <w:t>ym państwie członkowskim, może złożyć wniosek</w:t>
      </w:r>
      <w:r w:rsidR="00B83C93" w:rsidRPr="008B4DA2">
        <w:rPr>
          <w:rStyle w:val="normaltextrun"/>
          <w:noProof/>
        </w:rPr>
        <w:t xml:space="preserve"> o</w:t>
      </w:r>
      <w:r w:rsidR="00B83C93">
        <w:rPr>
          <w:rStyle w:val="normaltextrun"/>
          <w:noProof/>
        </w:rPr>
        <w:t> </w:t>
      </w:r>
      <w:r w:rsidR="00B83C93" w:rsidRPr="008B4DA2">
        <w:rPr>
          <w:rStyle w:val="normaltextrun"/>
          <w:noProof/>
        </w:rPr>
        <w:t>wym</w:t>
      </w:r>
      <w:r w:rsidRPr="008B4DA2">
        <w:rPr>
          <w:rStyle w:val="normaltextrun"/>
          <w:noProof/>
        </w:rPr>
        <w:t>ianę swojego prawa jazdy na równoważne prawo jazdy. Państwo członkowskie dokonujące wymiany sprawdza, jakiej kategorii uprawnienia faktycznie zachowują ważność na mocy przedstawionego prawa jazdy.</w:t>
      </w:r>
      <w:r w:rsidRPr="008B4DA2">
        <w:rPr>
          <w:rStyle w:val="eop"/>
          <w:noProof/>
        </w:rPr>
        <w:t xml:space="preserve"> </w:t>
      </w:r>
    </w:p>
    <w:p w:rsidR="00BD67F9" w:rsidRPr="008B4DA2" w:rsidRDefault="00DF60AC" w:rsidP="00DF60AC">
      <w:pPr>
        <w:pStyle w:val="ManualNumPar1"/>
        <w:rPr>
          <w:rStyle w:val="normaltextrun"/>
          <w:noProof/>
        </w:rPr>
      </w:pPr>
      <w:r w:rsidRPr="008B4DA2">
        <w:rPr>
          <w:rStyle w:val="normaltextrun"/>
          <w:noProof/>
        </w:rPr>
        <w:t>2.</w:t>
      </w:r>
      <w:r w:rsidRPr="008B4DA2">
        <w:rPr>
          <w:noProof/>
        </w:rPr>
        <w:tab/>
      </w:r>
      <w:r w:rsidRPr="008B4DA2">
        <w:rPr>
          <w:rStyle w:val="normaltextrun"/>
          <w:noProof/>
        </w:rPr>
        <w:t>Przy zachowaniu zasady terytorialności prawa karnego</w:t>
      </w:r>
      <w:r w:rsidR="00B83C93" w:rsidRPr="008B4DA2">
        <w:rPr>
          <w:rStyle w:val="normaltextrun"/>
          <w:noProof/>
        </w:rPr>
        <w:t xml:space="preserve"> i</w:t>
      </w:r>
      <w:r w:rsidR="00B83C93">
        <w:rPr>
          <w:rStyle w:val="normaltextrun"/>
          <w:noProof/>
        </w:rPr>
        <w:t> </w:t>
      </w:r>
      <w:r w:rsidR="00B83C93" w:rsidRPr="008B4DA2">
        <w:rPr>
          <w:rStyle w:val="normaltextrun"/>
          <w:noProof/>
        </w:rPr>
        <w:t>prz</w:t>
      </w:r>
      <w:r w:rsidRPr="008B4DA2">
        <w:rPr>
          <w:rStyle w:val="normaltextrun"/>
          <w:noProof/>
        </w:rPr>
        <w:t>episów prawnych dotyczących policji państwo członkowskie miejsca stałego zamieszkania posiadacza prawa jazdy wydanego przez inne państwo członkowskie może stosować wobec niego własne przepisy krajowe</w:t>
      </w:r>
      <w:r w:rsidR="00B83C93" w:rsidRPr="008B4DA2">
        <w:rPr>
          <w:rStyle w:val="normaltextrun"/>
          <w:noProof/>
        </w:rPr>
        <w:t xml:space="preserve"> w</w:t>
      </w:r>
      <w:r w:rsidR="00B83C93">
        <w:rPr>
          <w:rStyle w:val="normaltextrun"/>
          <w:noProof/>
        </w:rPr>
        <w:t> </w:t>
      </w:r>
      <w:r w:rsidR="00B83C93" w:rsidRPr="008B4DA2">
        <w:rPr>
          <w:rStyle w:val="normaltextrun"/>
          <w:noProof/>
        </w:rPr>
        <w:t>zak</w:t>
      </w:r>
      <w:r w:rsidRPr="008B4DA2">
        <w:rPr>
          <w:rStyle w:val="normaltextrun"/>
          <w:noProof/>
        </w:rPr>
        <w:t>resie ograniczania, zawieszania, cofania lub unieważniania uprawnień do kierowania pojazdami</w:t>
      </w:r>
      <w:r w:rsidR="00B83C93" w:rsidRPr="008B4DA2">
        <w:rPr>
          <w:rStyle w:val="normaltextrun"/>
          <w:noProof/>
        </w:rPr>
        <w:t xml:space="preserve"> i</w:t>
      </w:r>
      <w:r w:rsidR="00B83C93">
        <w:rPr>
          <w:rStyle w:val="normaltextrun"/>
          <w:noProof/>
        </w:rPr>
        <w:t> </w:t>
      </w:r>
      <w:r w:rsidR="00B83C93" w:rsidRPr="008B4DA2">
        <w:rPr>
          <w:rStyle w:val="normaltextrun"/>
          <w:noProof/>
        </w:rPr>
        <w:t>w</w:t>
      </w:r>
      <w:r w:rsidR="00B83C93">
        <w:rPr>
          <w:rStyle w:val="normaltextrun"/>
          <w:noProof/>
        </w:rPr>
        <w:t> </w:t>
      </w:r>
      <w:r w:rsidR="00B83C93" w:rsidRPr="008B4DA2">
        <w:rPr>
          <w:rStyle w:val="normaltextrun"/>
          <w:noProof/>
        </w:rPr>
        <w:t>raz</w:t>
      </w:r>
      <w:r w:rsidRPr="008B4DA2">
        <w:rPr>
          <w:rStyle w:val="normaltextrun"/>
          <w:noProof/>
        </w:rPr>
        <w:t>ie konieczności dokonać</w:t>
      </w:r>
      <w:r w:rsidR="00B83C93" w:rsidRPr="008B4DA2">
        <w:rPr>
          <w:rStyle w:val="normaltextrun"/>
          <w:noProof/>
        </w:rPr>
        <w:t xml:space="preserve"> w</w:t>
      </w:r>
      <w:r w:rsidR="00B83C93">
        <w:rPr>
          <w:rStyle w:val="normaltextrun"/>
          <w:noProof/>
        </w:rPr>
        <w:t> </w:t>
      </w:r>
      <w:r w:rsidR="00B83C93" w:rsidRPr="008B4DA2">
        <w:rPr>
          <w:rStyle w:val="normaltextrun"/>
          <w:noProof/>
        </w:rPr>
        <w:t>tym</w:t>
      </w:r>
      <w:r w:rsidRPr="008B4DA2">
        <w:rPr>
          <w:rStyle w:val="normaltextrun"/>
          <w:noProof/>
        </w:rPr>
        <w:t xml:space="preserve"> celu wymiany jego prawa jazdy. </w:t>
      </w:r>
    </w:p>
    <w:p w:rsidR="00BD67F9" w:rsidRPr="008B4DA2" w:rsidRDefault="00DF60AC" w:rsidP="00DF60AC">
      <w:pPr>
        <w:pStyle w:val="ManualNumPar1"/>
        <w:rPr>
          <w:rStyle w:val="normaltextrun"/>
          <w:noProof/>
        </w:rPr>
      </w:pPr>
      <w:r w:rsidRPr="008B4DA2">
        <w:rPr>
          <w:rStyle w:val="normaltextrun"/>
          <w:noProof/>
        </w:rPr>
        <w:t>3.</w:t>
      </w:r>
      <w:r w:rsidRPr="008B4DA2">
        <w:rPr>
          <w:noProof/>
        </w:rPr>
        <w:tab/>
      </w:r>
      <w:r w:rsidRPr="008B4DA2">
        <w:rPr>
          <w:rStyle w:val="normaltextrun"/>
          <w:noProof/>
        </w:rPr>
        <w:t>Państwo członkowskie dokonujące wymiany zwraca stare prawo jazdy władzom państwa członkowskiego, które je wydało, wraz</w:t>
      </w:r>
      <w:r w:rsidR="00B83C93" w:rsidRPr="008B4DA2">
        <w:rPr>
          <w:rStyle w:val="normaltextrun"/>
          <w:noProof/>
        </w:rPr>
        <w:t xml:space="preserve"> z</w:t>
      </w:r>
      <w:r w:rsidR="00B83C93">
        <w:rPr>
          <w:rStyle w:val="normaltextrun"/>
          <w:noProof/>
        </w:rPr>
        <w:t> </w:t>
      </w:r>
      <w:r w:rsidR="00B83C93" w:rsidRPr="008B4DA2">
        <w:rPr>
          <w:rStyle w:val="normaltextrun"/>
          <w:noProof/>
        </w:rPr>
        <w:t>pod</w:t>
      </w:r>
      <w:r w:rsidRPr="008B4DA2">
        <w:rPr>
          <w:rStyle w:val="normaltextrun"/>
          <w:noProof/>
        </w:rPr>
        <w:t xml:space="preserve">aniem uzasadnienia. </w:t>
      </w:r>
    </w:p>
    <w:p w:rsidR="00BD67F9" w:rsidRPr="008B4DA2" w:rsidRDefault="00DF60AC" w:rsidP="00DF60AC">
      <w:pPr>
        <w:pStyle w:val="ManualNumPar1"/>
        <w:rPr>
          <w:rStyle w:val="normaltextrun"/>
          <w:noProof/>
        </w:rPr>
      </w:pPr>
      <w:r w:rsidRPr="008B4DA2">
        <w:rPr>
          <w:rStyle w:val="normaltextrun"/>
          <w:noProof/>
        </w:rPr>
        <w:t>4.</w:t>
      </w:r>
      <w:r w:rsidRPr="008B4DA2">
        <w:rPr>
          <w:noProof/>
        </w:rPr>
        <w:tab/>
      </w:r>
      <w:r w:rsidRPr="008B4DA2">
        <w:rPr>
          <w:rStyle w:val="normaltextrun"/>
          <w:noProof/>
        </w:rPr>
        <w:t>Wtórnik prawa jazdy, które zostało zagubione lub skradzione, może zostać wydany jedynie przez właściwe organy państwa członkowskiego,</w:t>
      </w:r>
      <w:r w:rsidR="00B83C93" w:rsidRPr="008B4DA2">
        <w:rPr>
          <w:rStyle w:val="normaltextrun"/>
          <w:noProof/>
        </w:rPr>
        <w:t xml:space="preserve"> w</w:t>
      </w:r>
      <w:r w:rsidR="00B83C93">
        <w:rPr>
          <w:rStyle w:val="normaltextrun"/>
          <w:noProof/>
        </w:rPr>
        <w:t> </w:t>
      </w:r>
      <w:r w:rsidR="00B83C93" w:rsidRPr="008B4DA2">
        <w:rPr>
          <w:rStyle w:val="normaltextrun"/>
          <w:noProof/>
        </w:rPr>
        <w:t>któ</w:t>
      </w:r>
      <w:r w:rsidRPr="008B4DA2">
        <w:rPr>
          <w:rStyle w:val="normaltextrun"/>
          <w:noProof/>
        </w:rPr>
        <w:t>rym posiadacz prawa jazdy ma miejsce stałego zamieszkania. Organy te wydają wtórnik na podstawie informacji, jakimi dysponują, lub,</w:t>
      </w:r>
      <w:r w:rsidR="00B83C93" w:rsidRPr="008B4DA2">
        <w:rPr>
          <w:rStyle w:val="normaltextrun"/>
          <w:noProof/>
        </w:rPr>
        <w:t xml:space="preserve"> w</w:t>
      </w:r>
      <w:r w:rsidR="00B83C93">
        <w:rPr>
          <w:rStyle w:val="normaltextrun"/>
          <w:noProof/>
        </w:rPr>
        <w:t> </w:t>
      </w:r>
      <w:r w:rsidR="00B83C93" w:rsidRPr="008B4DA2">
        <w:rPr>
          <w:rStyle w:val="normaltextrun"/>
          <w:noProof/>
        </w:rPr>
        <w:t>sto</w:t>
      </w:r>
      <w:r w:rsidRPr="008B4DA2">
        <w:rPr>
          <w:rStyle w:val="normaltextrun"/>
          <w:noProof/>
        </w:rPr>
        <w:t xml:space="preserve">sownych okolicznościach, na podstawie poświadczenia ze strony właściwych organów państwa członkowskiego, które wydało oryginał prawa jazdy. </w:t>
      </w:r>
    </w:p>
    <w:p w:rsidR="00BD67F9" w:rsidRPr="008B4DA2" w:rsidRDefault="00BD67F9" w:rsidP="00BD67F9">
      <w:pPr>
        <w:pStyle w:val="Titrearticle"/>
        <w:rPr>
          <w:noProof/>
          <w:sz w:val="20"/>
          <w:szCs w:val="20"/>
        </w:rPr>
      </w:pPr>
      <w:r w:rsidRPr="008B4DA2">
        <w:rPr>
          <w:rStyle w:val="normaltextrun"/>
          <w:noProof/>
        </w:rPr>
        <w:t>Artykuł 12</w:t>
      </w:r>
      <w:r w:rsidRPr="008B4DA2">
        <w:rPr>
          <w:rStyle w:val="eop"/>
          <w:noProof/>
        </w:rPr>
        <w:t xml:space="preserve"> </w:t>
      </w:r>
    </w:p>
    <w:p w:rsidR="00BD67F9" w:rsidRPr="008B4DA2" w:rsidRDefault="00BD67F9" w:rsidP="00BD67F9">
      <w:pPr>
        <w:pStyle w:val="Objetacteprincipal"/>
        <w:rPr>
          <w:noProof/>
          <w:sz w:val="20"/>
          <w:szCs w:val="20"/>
        </w:rPr>
      </w:pPr>
      <w:r w:rsidRPr="008B4DA2">
        <w:rPr>
          <w:rStyle w:val="normaltextrun"/>
          <w:noProof/>
        </w:rPr>
        <w:t>Wymiana praw jazdy wydanych przez państwa trzecie</w:t>
      </w:r>
    </w:p>
    <w:p w:rsidR="00BD67F9" w:rsidRPr="008B4DA2" w:rsidRDefault="00DF60AC" w:rsidP="00DF60AC">
      <w:pPr>
        <w:pStyle w:val="ManualNumPar1"/>
        <w:rPr>
          <w:noProof/>
        </w:rPr>
      </w:pPr>
      <w:r w:rsidRPr="008B4DA2">
        <w:rPr>
          <w:noProof/>
        </w:rPr>
        <w:t>1.</w:t>
      </w:r>
      <w:r w:rsidRPr="008B4DA2">
        <w:rPr>
          <w:noProof/>
        </w:rPr>
        <w:tab/>
      </w:r>
      <w:r w:rsidRPr="008B4DA2">
        <w:rPr>
          <w:rStyle w:val="normaltextrun"/>
          <w:noProof/>
        </w:rPr>
        <w:t>Jeżeli państwo członkowskie przewiduje wymianę prawa jazdy wydanego przez państwo trzecie posiadaczowi, który ustanowił miejsce stałego zamieszkania na jego terytorium, wówczas to państwo członkowskie dokonuje wymiany tego prawa jazdy zgodnie</w:t>
      </w:r>
      <w:r w:rsidR="00B83C93" w:rsidRPr="008B4DA2">
        <w:rPr>
          <w:rStyle w:val="normaltextrun"/>
          <w:noProof/>
        </w:rPr>
        <w:t xml:space="preserve"> z</w:t>
      </w:r>
      <w:r w:rsidR="00B83C93">
        <w:rPr>
          <w:rStyle w:val="normaltextrun"/>
          <w:noProof/>
        </w:rPr>
        <w:t> </w:t>
      </w:r>
      <w:r w:rsidR="00B83C93" w:rsidRPr="008B4DA2">
        <w:rPr>
          <w:rStyle w:val="normaltextrun"/>
          <w:noProof/>
        </w:rPr>
        <w:t>prz</w:t>
      </w:r>
      <w:r w:rsidRPr="008B4DA2">
        <w:rPr>
          <w:rStyle w:val="normaltextrun"/>
          <w:noProof/>
        </w:rPr>
        <w:t>episami niniejszego artykułu.</w:t>
      </w:r>
      <w:r w:rsidRPr="008B4DA2">
        <w:rPr>
          <w:rStyle w:val="eop"/>
          <w:noProof/>
        </w:rPr>
        <w:t xml:space="preserve"> </w:t>
      </w:r>
    </w:p>
    <w:p w:rsidR="00BD67F9" w:rsidRPr="008B4DA2" w:rsidRDefault="00DF60AC" w:rsidP="00DF60AC">
      <w:pPr>
        <w:pStyle w:val="ManualNumPar1"/>
        <w:rPr>
          <w:rStyle w:val="normaltextrun"/>
          <w:noProof/>
        </w:rPr>
      </w:pPr>
      <w:r w:rsidRPr="008B4DA2">
        <w:rPr>
          <w:rStyle w:val="normaltextrun"/>
          <w:noProof/>
        </w:rPr>
        <w:t>2.</w:t>
      </w:r>
      <w:r w:rsidRPr="008B4DA2">
        <w:rPr>
          <w:noProof/>
        </w:rPr>
        <w:tab/>
      </w:r>
      <w:r w:rsidRPr="008B4DA2">
        <w:rPr>
          <w:rStyle w:val="normaltextrun"/>
          <w:noProof/>
        </w:rPr>
        <w:t>W przypadku gdy państwo członkowskie dokonuje wymiany prawa jazdy wydanego przez państwo trzecie nieobjęte decyzją wykonawczą,</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rej mowa</w:t>
      </w:r>
      <w:r w:rsidR="00B83C93" w:rsidRPr="008B4DA2">
        <w:rPr>
          <w:rStyle w:val="normaltextrun"/>
          <w:noProof/>
        </w:rPr>
        <w:t xml:space="preserve"> w</w:t>
      </w:r>
      <w:r w:rsidR="00B83C93">
        <w:rPr>
          <w:rStyle w:val="normaltextrun"/>
          <w:noProof/>
        </w:rPr>
        <w:t> </w:t>
      </w:r>
      <w:r w:rsidR="00B83C93" w:rsidRPr="00B83C93">
        <w:rPr>
          <w:rStyle w:val="normaltextrun"/>
          <w:noProof/>
        </w:rPr>
        <w:t>ust</w:t>
      </w:r>
      <w:r w:rsidRPr="00B83C93">
        <w:rPr>
          <w:rStyle w:val="normaltextrun"/>
          <w:noProof/>
        </w:rPr>
        <w:t>.</w:t>
      </w:r>
      <w:r w:rsidR="00B83C93" w:rsidRPr="00B83C93">
        <w:rPr>
          <w:rStyle w:val="normaltextrun"/>
          <w:noProof/>
        </w:rPr>
        <w:t> </w:t>
      </w:r>
      <w:r w:rsidRPr="00B83C93">
        <w:rPr>
          <w:rStyle w:val="normaltextrun"/>
          <w:noProof/>
        </w:rPr>
        <w:t>7</w:t>
      </w:r>
      <w:r w:rsidRPr="008B4DA2">
        <w:rPr>
          <w:rStyle w:val="normaltextrun"/>
          <w:noProof/>
        </w:rPr>
        <w:t>, odnotowuje</w:t>
      </w:r>
      <w:r w:rsidR="00B83C93" w:rsidRPr="008B4DA2">
        <w:rPr>
          <w:rStyle w:val="normaltextrun"/>
          <w:noProof/>
        </w:rPr>
        <w:t xml:space="preserve"> w</w:t>
      </w:r>
      <w:r w:rsidR="00B83C93">
        <w:rPr>
          <w:rStyle w:val="normaltextrun"/>
          <w:noProof/>
        </w:rPr>
        <w:t> </w:t>
      </w:r>
      <w:r w:rsidR="00B83C93" w:rsidRPr="008B4DA2">
        <w:rPr>
          <w:rStyle w:val="normaltextrun"/>
          <w:noProof/>
        </w:rPr>
        <w:t>pra</w:t>
      </w:r>
      <w:r w:rsidRPr="008B4DA2">
        <w:rPr>
          <w:rStyle w:val="normaltextrun"/>
          <w:noProof/>
        </w:rPr>
        <w:t>wie jazdy, które wydaje, taką wymianę, jak również każde kolejne przedłużenie okresu jego ważności lub wydanie wtórnika, o</w:t>
      </w:r>
      <w:r w:rsidR="009C7766">
        <w:rPr>
          <w:rStyle w:val="normaltextrun"/>
          <w:noProof/>
        </w:rPr>
        <w:t xml:space="preserve">znaczając </w:t>
      </w:r>
      <w:r w:rsidRPr="008B4DA2">
        <w:rPr>
          <w:rStyle w:val="normaltextrun"/>
          <w:noProof/>
        </w:rPr>
        <w:t>je odpowiednim kodem określonym</w:t>
      </w:r>
      <w:r w:rsidR="00B83C93" w:rsidRPr="008B4DA2">
        <w:rPr>
          <w:rStyle w:val="normaltextrun"/>
          <w:noProof/>
        </w:rPr>
        <w:t xml:space="preserve"> w</w:t>
      </w:r>
      <w:r w:rsidR="00B83C93">
        <w:rPr>
          <w:rStyle w:val="normaltextrun"/>
          <w:noProof/>
        </w:rPr>
        <w:t> </w:t>
      </w:r>
      <w:r w:rsidR="00B83C93" w:rsidRPr="008B4DA2">
        <w:rPr>
          <w:rStyle w:val="normaltextrun"/>
          <w:noProof/>
        </w:rPr>
        <w:t>zał</w:t>
      </w:r>
      <w:r w:rsidRPr="008B4DA2">
        <w:rPr>
          <w:rStyle w:val="normaltextrun"/>
          <w:noProof/>
        </w:rPr>
        <w:t>ączniku I część E. Jeżeli posiadacz takiego prawa jazdy przenosi swoje miejsce stałego zamieszkania do innego państwa członkowskiego, państwo to nie musi stosować zasady wzajemnego uznawania określonej</w:t>
      </w:r>
      <w:r w:rsidR="00B83C93" w:rsidRPr="008B4DA2">
        <w:rPr>
          <w:rStyle w:val="normaltextrun"/>
          <w:noProof/>
        </w:rPr>
        <w:t xml:space="preserve"> w</w:t>
      </w:r>
      <w:r w:rsidR="00B83C93">
        <w:rPr>
          <w:rStyle w:val="normaltextrun"/>
          <w:noProof/>
        </w:rPr>
        <w:t> </w:t>
      </w:r>
      <w:r w:rsidR="00B83C93" w:rsidRPr="00B83C93">
        <w:rPr>
          <w:rStyle w:val="normaltextrun"/>
          <w:noProof/>
        </w:rPr>
        <w:t>art</w:t>
      </w:r>
      <w:r w:rsidRPr="00B83C93">
        <w:rPr>
          <w:rStyle w:val="normaltextrun"/>
          <w:noProof/>
        </w:rPr>
        <w:t>.</w:t>
      </w:r>
      <w:r w:rsidR="00B83C93" w:rsidRPr="00B83C93">
        <w:rPr>
          <w:rStyle w:val="normaltextrun"/>
          <w:noProof/>
        </w:rPr>
        <w:t> </w:t>
      </w:r>
      <w:r w:rsidRPr="00B83C93">
        <w:rPr>
          <w:rStyle w:val="normaltextrun"/>
          <w:noProof/>
        </w:rPr>
        <w:t>3</w:t>
      </w:r>
      <w:r w:rsidRPr="008B4DA2">
        <w:rPr>
          <w:rStyle w:val="normaltextrun"/>
          <w:noProof/>
        </w:rPr>
        <w:t xml:space="preserve"> </w:t>
      </w:r>
      <w:r w:rsidRPr="00B83C93">
        <w:rPr>
          <w:rStyle w:val="normaltextrun"/>
          <w:noProof/>
        </w:rPr>
        <w:t>ust.</w:t>
      </w:r>
      <w:r w:rsidR="00B83C93" w:rsidRPr="00B83C93">
        <w:rPr>
          <w:rStyle w:val="normaltextrun"/>
          <w:noProof/>
        </w:rPr>
        <w:t> </w:t>
      </w:r>
      <w:r w:rsidRPr="00B83C93">
        <w:rPr>
          <w:rStyle w:val="normaltextrun"/>
          <w:noProof/>
        </w:rPr>
        <w:t>6</w:t>
      </w:r>
      <w:r w:rsidRPr="008B4DA2">
        <w:rPr>
          <w:rStyle w:val="normaltextrun"/>
          <w:noProof/>
        </w:rPr>
        <w:t xml:space="preserve">. </w:t>
      </w:r>
    </w:p>
    <w:p w:rsidR="00BD67F9" w:rsidRPr="00B83C93" w:rsidRDefault="00BD67F9" w:rsidP="00BD67F9">
      <w:pPr>
        <w:pStyle w:val="Text1"/>
        <w:rPr>
          <w:noProof/>
        </w:rPr>
      </w:pPr>
      <w:r w:rsidRPr="008B4DA2">
        <w:rPr>
          <w:rStyle w:val="normaltextrun"/>
          <w:noProof/>
        </w:rPr>
        <w:t>W odniesieniu do takiej wymiany państwa członkowskie stosują przepisy ustawodawstwa krajowego zgodnie</w:t>
      </w:r>
      <w:r w:rsidR="00B83C93" w:rsidRPr="008B4DA2">
        <w:rPr>
          <w:rStyle w:val="normaltextrun"/>
          <w:noProof/>
        </w:rPr>
        <w:t xml:space="preserve"> z</w:t>
      </w:r>
      <w:r w:rsidR="00B83C93">
        <w:rPr>
          <w:rStyle w:val="normaltextrun"/>
          <w:noProof/>
        </w:rPr>
        <w:t> </w:t>
      </w:r>
      <w:r w:rsidR="00B83C93" w:rsidRPr="008B4DA2">
        <w:rPr>
          <w:rStyle w:val="normaltextrun"/>
          <w:noProof/>
        </w:rPr>
        <w:t>war</w:t>
      </w:r>
      <w:r w:rsidRPr="008B4DA2">
        <w:rPr>
          <w:rStyle w:val="normaltextrun"/>
          <w:noProof/>
        </w:rPr>
        <w:t>unkami przewidzianymi</w:t>
      </w:r>
      <w:r w:rsidR="00B83C93" w:rsidRPr="008B4DA2">
        <w:rPr>
          <w:rStyle w:val="normaltextrun"/>
          <w:noProof/>
        </w:rPr>
        <w:t xml:space="preserve"> w</w:t>
      </w:r>
      <w:r w:rsidR="00B83C93">
        <w:rPr>
          <w:rStyle w:val="normaltextrun"/>
          <w:noProof/>
        </w:rPr>
        <w:t> </w:t>
      </w:r>
      <w:r w:rsidR="00B83C93" w:rsidRPr="008B4DA2">
        <w:rPr>
          <w:rStyle w:val="normaltextrun"/>
          <w:noProof/>
        </w:rPr>
        <w:t>nin</w:t>
      </w:r>
      <w:r w:rsidRPr="008B4DA2">
        <w:rPr>
          <w:rStyle w:val="normaltextrun"/>
          <w:noProof/>
        </w:rPr>
        <w:t>iejszym ustępie</w:t>
      </w:r>
      <w:r w:rsidRPr="00B83C93">
        <w:rPr>
          <w:rStyle w:val="normaltextrun"/>
          <w:noProof/>
        </w:rPr>
        <w:t>.</w:t>
      </w:r>
      <w:r w:rsidR="00B83C93" w:rsidRPr="00B83C93">
        <w:rPr>
          <w:rStyle w:val="normaltextrun"/>
          <w:noProof/>
        </w:rPr>
        <w:t xml:space="preserve"> </w:t>
      </w:r>
    </w:p>
    <w:p w:rsidR="00BD67F9" w:rsidRPr="008B4DA2" w:rsidRDefault="00DF60AC" w:rsidP="00DF60AC">
      <w:pPr>
        <w:pStyle w:val="ManualNumPar1"/>
        <w:rPr>
          <w:rStyle w:val="normaltextrun"/>
          <w:noProof/>
        </w:rPr>
      </w:pPr>
      <w:r w:rsidRPr="008B4DA2">
        <w:rPr>
          <w:rStyle w:val="normaltextrun"/>
          <w:noProof/>
        </w:rPr>
        <w:t>3.</w:t>
      </w:r>
      <w:r w:rsidRPr="008B4DA2">
        <w:rPr>
          <w:noProof/>
        </w:rPr>
        <w:tab/>
      </w:r>
      <w:r w:rsidRPr="008B4DA2">
        <w:rPr>
          <w:rStyle w:val="normaltextrun"/>
          <w:noProof/>
        </w:rPr>
        <w:t>W przypadku gdy prawo jazdy jest wydane</w:t>
      </w:r>
      <w:r w:rsidR="00B83C93" w:rsidRPr="008B4DA2">
        <w:rPr>
          <w:rStyle w:val="normaltextrun"/>
          <w:noProof/>
        </w:rPr>
        <w:t xml:space="preserve"> w</w:t>
      </w:r>
      <w:r w:rsidR="00B83C93">
        <w:rPr>
          <w:rStyle w:val="normaltextrun"/>
          <w:noProof/>
        </w:rPr>
        <w:t> </w:t>
      </w:r>
      <w:r w:rsidR="00B83C93" w:rsidRPr="008B4DA2">
        <w:rPr>
          <w:rStyle w:val="normaltextrun"/>
          <w:noProof/>
        </w:rPr>
        <w:t>kat</w:t>
      </w:r>
      <w:r w:rsidRPr="008B4DA2">
        <w:rPr>
          <w:rStyle w:val="normaltextrun"/>
          <w:noProof/>
        </w:rPr>
        <w:t>egorii</w:t>
      </w:r>
      <w:r w:rsidR="00B83C93" w:rsidRPr="008B4DA2">
        <w:rPr>
          <w:rStyle w:val="normaltextrun"/>
          <w:noProof/>
        </w:rPr>
        <w:t xml:space="preserve"> i</w:t>
      </w:r>
      <w:r w:rsidR="00B83C93">
        <w:rPr>
          <w:rStyle w:val="normaltextrun"/>
          <w:noProof/>
        </w:rPr>
        <w:t> </w:t>
      </w:r>
      <w:r w:rsidR="00B83C93" w:rsidRPr="008B4DA2">
        <w:rPr>
          <w:rStyle w:val="normaltextrun"/>
          <w:noProof/>
        </w:rPr>
        <w:t>prz</w:t>
      </w:r>
      <w:r w:rsidRPr="008B4DA2">
        <w:rPr>
          <w:rStyle w:val="normaltextrun"/>
          <w:noProof/>
        </w:rPr>
        <w:t>ez państwo trzecie objęte decyzją wykonawczą,</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rej mowa</w:t>
      </w:r>
      <w:r w:rsidR="00B83C93" w:rsidRPr="008B4DA2">
        <w:rPr>
          <w:rStyle w:val="normaltextrun"/>
          <w:noProof/>
        </w:rPr>
        <w:t xml:space="preserve"> w</w:t>
      </w:r>
      <w:r w:rsidR="00B83C93">
        <w:rPr>
          <w:rStyle w:val="normaltextrun"/>
          <w:noProof/>
        </w:rPr>
        <w:t> </w:t>
      </w:r>
      <w:r w:rsidR="00B83C93" w:rsidRPr="00B83C93">
        <w:rPr>
          <w:rStyle w:val="normaltextrun"/>
          <w:noProof/>
        </w:rPr>
        <w:t>ust</w:t>
      </w:r>
      <w:r w:rsidRPr="00B83C93">
        <w:rPr>
          <w:rStyle w:val="normaltextrun"/>
          <w:noProof/>
        </w:rPr>
        <w:t>.</w:t>
      </w:r>
      <w:r w:rsidR="00B83C93" w:rsidRPr="00B83C93">
        <w:rPr>
          <w:rStyle w:val="normaltextrun"/>
          <w:noProof/>
        </w:rPr>
        <w:t> </w:t>
      </w:r>
      <w:r w:rsidRPr="00B83C93">
        <w:rPr>
          <w:rStyle w:val="normaltextrun"/>
          <w:noProof/>
        </w:rPr>
        <w:t>7</w:t>
      </w:r>
      <w:r w:rsidRPr="008B4DA2">
        <w:rPr>
          <w:rStyle w:val="normaltextrun"/>
          <w:noProof/>
        </w:rPr>
        <w:t>, tego rodzaju wymiany nie odnotowuje się</w:t>
      </w:r>
      <w:r w:rsidR="00B83C93" w:rsidRPr="008B4DA2">
        <w:rPr>
          <w:rStyle w:val="normaltextrun"/>
          <w:noProof/>
        </w:rPr>
        <w:t xml:space="preserve"> w</w:t>
      </w:r>
      <w:r w:rsidR="00B83C93">
        <w:rPr>
          <w:rStyle w:val="normaltextrun"/>
          <w:noProof/>
        </w:rPr>
        <w:t> </w:t>
      </w:r>
      <w:r w:rsidR="00B83C93" w:rsidRPr="008B4DA2">
        <w:rPr>
          <w:rStyle w:val="normaltextrun"/>
          <w:noProof/>
        </w:rPr>
        <w:t>pra</w:t>
      </w:r>
      <w:r w:rsidRPr="008B4DA2">
        <w:rPr>
          <w:rStyle w:val="normaltextrun"/>
          <w:noProof/>
        </w:rPr>
        <w:t>wie jazdy wydawanym przez dane państwo członkowskie</w:t>
      </w:r>
      <w:r w:rsidR="00B83C93" w:rsidRPr="008B4DA2">
        <w:rPr>
          <w:rStyle w:val="normaltextrun"/>
          <w:noProof/>
        </w:rPr>
        <w:t>. W</w:t>
      </w:r>
      <w:r w:rsidR="00B83C93">
        <w:rPr>
          <w:rStyle w:val="normaltextrun"/>
          <w:noProof/>
        </w:rPr>
        <w:t> </w:t>
      </w:r>
      <w:r w:rsidR="00B83C93" w:rsidRPr="008B4DA2">
        <w:rPr>
          <w:rStyle w:val="normaltextrun"/>
          <w:noProof/>
        </w:rPr>
        <w:t>tak</w:t>
      </w:r>
      <w:r w:rsidRPr="008B4DA2">
        <w:rPr>
          <w:rStyle w:val="normaltextrun"/>
          <w:noProof/>
        </w:rPr>
        <w:t>ich przypadkach państwa członkowskie dokonują wymiany prawa jazdy zgodnie</w:t>
      </w:r>
      <w:r w:rsidR="00B83C93" w:rsidRPr="008B4DA2">
        <w:rPr>
          <w:rStyle w:val="normaltextrun"/>
          <w:noProof/>
        </w:rPr>
        <w:t xml:space="preserve"> z</w:t>
      </w:r>
      <w:r w:rsidR="00B83C93">
        <w:rPr>
          <w:rStyle w:val="normaltextrun"/>
          <w:noProof/>
        </w:rPr>
        <w:t> </w:t>
      </w:r>
      <w:r w:rsidR="00B83C93" w:rsidRPr="008B4DA2">
        <w:rPr>
          <w:rStyle w:val="normaltextrun"/>
          <w:noProof/>
        </w:rPr>
        <w:t>war</w:t>
      </w:r>
      <w:r w:rsidRPr="008B4DA2">
        <w:rPr>
          <w:rStyle w:val="normaltextrun"/>
          <w:noProof/>
        </w:rPr>
        <w:t>unkami określonymi</w:t>
      </w:r>
      <w:r w:rsidR="00B83C93" w:rsidRPr="008B4DA2">
        <w:rPr>
          <w:rStyle w:val="normaltextrun"/>
          <w:noProof/>
        </w:rPr>
        <w:t xml:space="preserve"> w</w:t>
      </w:r>
      <w:r w:rsidR="00B83C93">
        <w:rPr>
          <w:rStyle w:val="normaltextrun"/>
          <w:noProof/>
        </w:rPr>
        <w:t> </w:t>
      </w:r>
      <w:r w:rsidR="00B83C93" w:rsidRPr="008B4DA2">
        <w:rPr>
          <w:rStyle w:val="normaltextrun"/>
          <w:noProof/>
        </w:rPr>
        <w:t>odp</w:t>
      </w:r>
      <w:r w:rsidRPr="008B4DA2">
        <w:rPr>
          <w:rStyle w:val="normaltextrun"/>
          <w:noProof/>
        </w:rPr>
        <w:t>owiedniej decyzji wykonawczej.</w:t>
      </w:r>
    </w:p>
    <w:p w:rsidR="00BD67F9" w:rsidRPr="008B4DA2" w:rsidRDefault="00DF60AC" w:rsidP="00DF60AC">
      <w:pPr>
        <w:pStyle w:val="ManualNumPar1"/>
        <w:rPr>
          <w:rStyle w:val="normaltextrun"/>
          <w:noProof/>
        </w:rPr>
      </w:pPr>
      <w:r w:rsidRPr="008B4DA2">
        <w:rPr>
          <w:rStyle w:val="normaltextrun"/>
          <w:noProof/>
        </w:rPr>
        <w:t>4.</w:t>
      </w:r>
      <w:r w:rsidRPr="008B4DA2">
        <w:rPr>
          <w:noProof/>
        </w:rPr>
        <w:tab/>
      </w:r>
      <w:r w:rsidRPr="008B4DA2">
        <w:rPr>
          <w:rStyle w:val="normaltextrun"/>
          <w:noProof/>
        </w:rPr>
        <w:t>Jeżeli prawo jazdy wydane przez państwo członkowskie zostało wymienione na prawo jazdy wydane przez państwo trzecie, państwa członkowskie nie wymagają spełnienia żadnych dodatkowych warunków innych niż warunki określone</w:t>
      </w:r>
      <w:r w:rsidR="00B83C93" w:rsidRPr="008B4DA2">
        <w:rPr>
          <w:rStyle w:val="normaltextrun"/>
          <w:noProof/>
        </w:rPr>
        <w:t xml:space="preserve"> w</w:t>
      </w:r>
      <w:r w:rsidR="00B83C93">
        <w:rPr>
          <w:rStyle w:val="normaltextrun"/>
          <w:noProof/>
        </w:rPr>
        <w:t> </w:t>
      </w:r>
      <w:r w:rsidR="00B83C93" w:rsidRPr="00B83C93">
        <w:rPr>
          <w:rStyle w:val="normaltextrun"/>
          <w:noProof/>
        </w:rPr>
        <w:t>art</w:t>
      </w:r>
      <w:r w:rsidRPr="00B83C93">
        <w:rPr>
          <w:rStyle w:val="normaltextrun"/>
          <w:noProof/>
        </w:rPr>
        <w:t>.</w:t>
      </w:r>
      <w:r w:rsidR="00B83C93" w:rsidRPr="00B83C93">
        <w:rPr>
          <w:rStyle w:val="normaltextrun"/>
          <w:noProof/>
        </w:rPr>
        <w:t> </w:t>
      </w:r>
      <w:r w:rsidRPr="00B83C93">
        <w:rPr>
          <w:rStyle w:val="normaltextrun"/>
          <w:noProof/>
        </w:rPr>
        <w:t>1</w:t>
      </w:r>
      <w:r w:rsidRPr="008B4DA2">
        <w:rPr>
          <w:rStyle w:val="normaltextrun"/>
          <w:noProof/>
        </w:rPr>
        <w:t xml:space="preserve">0 </w:t>
      </w:r>
      <w:r w:rsidRPr="00B83C93">
        <w:rPr>
          <w:rStyle w:val="normaltextrun"/>
          <w:noProof/>
        </w:rPr>
        <w:t>ust.</w:t>
      </w:r>
      <w:r w:rsidR="00B83C93" w:rsidRPr="00B83C93">
        <w:rPr>
          <w:rStyle w:val="normaltextrun"/>
          <w:noProof/>
        </w:rPr>
        <w:t> </w:t>
      </w:r>
      <w:r w:rsidRPr="00B83C93">
        <w:rPr>
          <w:rStyle w:val="normaltextrun"/>
          <w:noProof/>
        </w:rPr>
        <w:t>3</w:t>
      </w:r>
      <w:r w:rsidRPr="008B4DA2">
        <w:rPr>
          <w:rStyle w:val="normaltextrun"/>
          <w:noProof/>
        </w:rPr>
        <w:t xml:space="preserve"> </w:t>
      </w:r>
      <w:r w:rsidRPr="00B83C93">
        <w:rPr>
          <w:rStyle w:val="normaltextrun"/>
          <w:noProof/>
        </w:rPr>
        <w:t>lit.</w:t>
      </w:r>
      <w:r w:rsidR="00B83C93" w:rsidRPr="00B83C93">
        <w:rPr>
          <w:rStyle w:val="normaltextrun"/>
          <w:noProof/>
        </w:rPr>
        <w:t> </w:t>
      </w:r>
      <w:r w:rsidRPr="00B83C93">
        <w:rPr>
          <w:rStyle w:val="normaltextrun"/>
          <w:noProof/>
        </w:rPr>
        <w:t>a)</w:t>
      </w:r>
      <w:r w:rsidRPr="008B4DA2">
        <w:rPr>
          <w:rStyle w:val="normaltextrun"/>
          <w:noProof/>
        </w:rPr>
        <w:t xml:space="preserve"> ani nie odnotowują dodatkowych informacji dotyczących wymiany tego prawa jazdy na prawo jazdy wydawane przez nie</w:t>
      </w:r>
      <w:r w:rsidR="00B83C93" w:rsidRPr="008B4DA2">
        <w:rPr>
          <w:rStyle w:val="normaltextrun"/>
          <w:noProof/>
        </w:rPr>
        <w:t xml:space="preserve"> w</w:t>
      </w:r>
      <w:r w:rsidR="00B83C93">
        <w:rPr>
          <w:rStyle w:val="normaltextrun"/>
          <w:noProof/>
        </w:rPr>
        <w:t> </w:t>
      </w:r>
      <w:r w:rsidR="00B83C93" w:rsidRPr="008B4DA2">
        <w:rPr>
          <w:rStyle w:val="normaltextrun"/>
          <w:noProof/>
        </w:rPr>
        <w:t>odn</w:t>
      </w:r>
      <w:r w:rsidRPr="008B4DA2">
        <w:rPr>
          <w:rStyle w:val="normaltextrun"/>
          <w:noProof/>
        </w:rPr>
        <w:t xml:space="preserve">iesieniu do kategorii pierwotnego prawa jazdy. </w:t>
      </w:r>
    </w:p>
    <w:p w:rsidR="00BD67F9" w:rsidRPr="00B83C93" w:rsidRDefault="00BD67F9" w:rsidP="00BD67F9">
      <w:pPr>
        <w:pStyle w:val="Text1"/>
        <w:rPr>
          <w:noProof/>
          <w:sz w:val="20"/>
          <w:szCs w:val="20"/>
        </w:rPr>
      </w:pPr>
      <w:r w:rsidRPr="008B4DA2">
        <w:rPr>
          <w:rStyle w:val="normaltextrun"/>
          <w:noProof/>
        </w:rPr>
        <w:t>W sytuacji,</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rej mowa</w:t>
      </w:r>
      <w:r w:rsidR="00B83C93" w:rsidRPr="008B4DA2">
        <w:rPr>
          <w:rStyle w:val="normaltextrun"/>
          <w:noProof/>
        </w:rPr>
        <w:t xml:space="preserve"> w</w:t>
      </w:r>
      <w:r w:rsidR="00B83C93">
        <w:rPr>
          <w:rStyle w:val="normaltextrun"/>
          <w:noProof/>
        </w:rPr>
        <w:t> </w:t>
      </w:r>
      <w:r w:rsidR="00B83C93" w:rsidRPr="008B4DA2">
        <w:rPr>
          <w:rStyle w:val="normaltextrun"/>
          <w:noProof/>
        </w:rPr>
        <w:t>aka</w:t>
      </w:r>
      <w:r w:rsidRPr="008B4DA2">
        <w:rPr>
          <w:rStyle w:val="normaltextrun"/>
          <w:noProof/>
        </w:rPr>
        <w:t>picie pierwszym, gdy wnioskodawca składa wniosek</w:t>
      </w:r>
      <w:r w:rsidR="00B83C93" w:rsidRPr="008B4DA2">
        <w:rPr>
          <w:rStyle w:val="normaltextrun"/>
          <w:noProof/>
        </w:rPr>
        <w:t xml:space="preserve"> o</w:t>
      </w:r>
      <w:r w:rsidR="00B83C93">
        <w:rPr>
          <w:rStyle w:val="normaltextrun"/>
          <w:noProof/>
        </w:rPr>
        <w:t> </w:t>
      </w:r>
      <w:r w:rsidR="00B83C93" w:rsidRPr="008B4DA2">
        <w:rPr>
          <w:rStyle w:val="normaltextrun"/>
          <w:noProof/>
        </w:rPr>
        <w:t>wym</w:t>
      </w:r>
      <w:r w:rsidRPr="008B4DA2">
        <w:rPr>
          <w:rStyle w:val="normaltextrun"/>
          <w:noProof/>
        </w:rPr>
        <w:t>ianę prawa jazdy ważnego również dla kategorii,</w:t>
      </w:r>
      <w:r w:rsidR="00B83C93" w:rsidRPr="008B4DA2">
        <w:rPr>
          <w:rStyle w:val="normaltextrun"/>
          <w:noProof/>
        </w:rPr>
        <w:t xml:space="preserve"> w</w:t>
      </w:r>
      <w:r w:rsidR="00B83C93">
        <w:rPr>
          <w:rStyle w:val="normaltextrun"/>
          <w:noProof/>
        </w:rPr>
        <w:t> </w:t>
      </w:r>
      <w:r w:rsidR="00B83C93" w:rsidRPr="008B4DA2">
        <w:rPr>
          <w:rStyle w:val="normaltextrun"/>
          <w:noProof/>
        </w:rPr>
        <w:t>odn</w:t>
      </w:r>
      <w:r w:rsidRPr="008B4DA2">
        <w:rPr>
          <w:rStyle w:val="normaltextrun"/>
          <w:noProof/>
        </w:rPr>
        <w:t>iesieniu do których nabył uprawnienia do kierowania pojazdami</w:t>
      </w:r>
      <w:r w:rsidR="00B83C93" w:rsidRPr="008B4DA2">
        <w:rPr>
          <w:rStyle w:val="normaltextrun"/>
          <w:noProof/>
        </w:rPr>
        <w:t xml:space="preserve"> w</w:t>
      </w:r>
      <w:r w:rsidR="00B83C93">
        <w:rPr>
          <w:rStyle w:val="normaltextrun"/>
          <w:noProof/>
        </w:rPr>
        <w:t> </w:t>
      </w:r>
      <w:r w:rsidR="00B83C93" w:rsidRPr="008B4DA2">
        <w:rPr>
          <w:rStyle w:val="normaltextrun"/>
          <w:noProof/>
        </w:rPr>
        <w:t>pań</w:t>
      </w:r>
      <w:r w:rsidRPr="008B4DA2">
        <w:rPr>
          <w:rStyle w:val="normaltextrun"/>
          <w:noProof/>
        </w:rPr>
        <w:t>stwie trzecim, stosuje się następujące przepisy</w:t>
      </w:r>
      <w:r w:rsidRPr="00B83C93">
        <w:rPr>
          <w:rStyle w:val="normaltextrun"/>
          <w:noProof/>
        </w:rPr>
        <w:t>:</w:t>
      </w:r>
      <w:r w:rsidR="00B83C93" w:rsidRPr="00B83C93">
        <w:rPr>
          <w:rStyle w:val="normaltextrun"/>
          <w:noProof/>
        </w:rPr>
        <w:t xml:space="preserve"> </w:t>
      </w:r>
    </w:p>
    <w:p w:rsidR="00BD67F9" w:rsidRPr="008B4DA2" w:rsidRDefault="00DF60AC" w:rsidP="00DF60AC">
      <w:pPr>
        <w:pStyle w:val="Point1"/>
        <w:rPr>
          <w:noProof/>
        </w:rPr>
      </w:pPr>
      <w:r w:rsidRPr="008B4DA2">
        <w:rPr>
          <w:noProof/>
        </w:rPr>
        <w:t>a)</w:t>
      </w:r>
      <w:r w:rsidRPr="008B4DA2">
        <w:rPr>
          <w:noProof/>
        </w:rPr>
        <w:tab/>
      </w:r>
      <w:r w:rsidRPr="008B4DA2">
        <w:rPr>
          <w:rStyle w:val="normaltextrun"/>
          <w:noProof/>
        </w:rPr>
        <w:t>jeżeli prawo jazdy zostało wydane</w:t>
      </w:r>
      <w:r w:rsidR="00B83C93" w:rsidRPr="008B4DA2">
        <w:rPr>
          <w:rStyle w:val="normaltextrun"/>
          <w:noProof/>
        </w:rPr>
        <w:t xml:space="preserve"> w</w:t>
      </w:r>
      <w:r w:rsidR="00B83C93">
        <w:rPr>
          <w:rStyle w:val="normaltextrun"/>
          <w:noProof/>
        </w:rPr>
        <w:t> </w:t>
      </w:r>
      <w:r w:rsidR="00B83C93" w:rsidRPr="008B4DA2">
        <w:rPr>
          <w:rStyle w:val="normaltextrun"/>
          <w:noProof/>
        </w:rPr>
        <w:t>kat</w:t>
      </w:r>
      <w:r w:rsidRPr="008B4DA2">
        <w:rPr>
          <w:rStyle w:val="normaltextrun"/>
          <w:noProof/>
        </w:rPr>
        <w:t>egorii</w:t>
      </w:r>
      <w:r w:rsidR="00B83C93" w:rsidRPr="008B4DA2">
        <w:rPr>
          <w:rStyle w:val="normaltextrun"/>
          <w:noProof/>
        </w:rPr>
        <w:t xml:space="preserve"> i</w:t>
      </w:r>
      <w:r w:rsidR="00B83C93">
        <w:rPr>
          <w:rStyle w:val="normaltextrun"/>
          <w:noProof/>
        </w:rPr>
        <w:t> </w:t>
      </w:r>
      <w:r w:rsidR="00B83C93" w:rsidRPr="008B4DA2">
        <w:rPr>
          <w:rStyle w:val="normaltextrun"/>
          <w:noProof/>
        </w:rPr>
        <w:t>prz</w:t>
      </w:r>
      <w:r w:rsidRPr="008B4DA2">
        <w:rPr>
          <w:rStyle w:val="normaltextrun"/>
          <w:noProof/>
        </w:rPr>
        <w:t>ez państwo trzecie objęte decyzją wykonawczą,</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rej mowa</w:t>
      </w:r>
      <w:r w:rsidR="00B83C93" w:rsidRPr="008B4DA2">
        <w:rPr>
          <w:rStyle w:val="normaltextrun"/>
          <w:noProof/>
        </w:rPr>
        <w:t xml:space="preserve"> w</w:t>
      </w:r>
      <w:r w:rsidR="00B83C93">
        <w:rPr>
          <w:rStyle w:val="normaltextrun"/>
          <w:noProof/>
        </w:rPr>
        <w:t> </w:t>
      </w:r>
      <w:r w:rsidR="00B83C93" w:rsidRPr="00B83C93">
        <w:rPr>
          <w:rStyle w:val="normaltextrun"/>
          <w:noProof/>
        </w:rPr>
        <w:t>ust</w:t>
      </w:r>
      <w:r w:rsidRPr="00B83C93">
        <w:rPr>
          <w:rStyle w:val="normaltextrun"/>
          <w:noProof/>
        </w:rPr>
        <w:t>.</w:t>
      </w:r>
      <w:r w:rsidR="00B83C93" w:rsidRPr="00B83C93">
        <w:rPr>
          <w:rStyle w:val="normaltextrun"/>
          <w:noProof/>
        </w:rPr>
        <w:t> </w:t>
      </w:r>
      <w:r w:rsidRPr="00B83C93">
        <w:rPr>
          <w:rStyle w:val="normaltextrun"/>
          <w:noProof/>
        </w:rPr>
        <w:t>7</w:t>
      </w:r>
      <w:r w:rsidRPr="008B4DA2">
        <w:rPr>
          <w:rStyle w:val="normaltextrun"/>
          <w:noProof/>
        </w:rPr>
        <w:t xml:space="preserve">, zastosowanie ma </w:t>
      </w:r>
      <w:r w:rsidRPr="00B83C93">
        <w:rPr>
          <w:rStyle w:val="normaltextrun"/>
          <w:noProof/>
        </w:rPr>
        <w:t>ust.</w:t>
      </w:r>
      <w:r w:rsidR="00B83C93" w:rsidRPr="00B83C93">
        <w:rPr>
          <w:rStyle w:val="normaltextrun"/>
          <w:noProof/>
        </w:rPr>
        <w:t> </w:t>
      </w:r>
      <w:r w:rsidRPr="00B83C93">
        <w:rPr>
          <w:rStyle w:val="normaltextrun"/>
          <w:noProof/>
        </w:rPr>
        <w:t>3</w:t>
      </w:r>
      <w:r w:rsidRPr="008B4DA2">
        <w:rPr>
          <w:rStyle w:val="normaltextrun"/>
          <w:noProof/>
        </w:rPr>
        <w:t>;</w:t>
      </w:r>
      <w:r w:rsidRPr="008B4DA2">
        <w:rPr>
          <w:rStyle w:val="eop"/>
          <w:noProof/>
        </w:rPr>
        <w:t xml:space="preserve"> </w:t>
      </w:r>
    </w:p>
    <w:p w:rsidR="00BD67F9" w:rsidRPr="008B4DA2" w:rsidRDefault="00DF60AC" w:rsidP="00DF60AC">
      <w:pPr>
        <w:pStyle w:val="Point1"/>
        <w:rPr>
          <w:rStyle w:val="normaltextrun"/>
          <w:noProof/>
        </w:rPr>
      </w:pPr>
      <w:r w:rsidRPr="008B4DA2">
        <w:rPr>
          <w:rStyle w:val="normaltextrun"/>
          <w:noProof/>
        </w:rPr>
        <w:t>b)</w:t>
      </w:r>
      <w:r w:rsidRPr="008B4DA2">
        <w:rPr>
          <w:noProof/>
        </w:rPr>
        <w:tab/>
      </w:r>
      <w:r w:rsidRPr="008B4DA2">
        <w:rPr>
          <w:rStyle w:val="normaltextrun"/>
          <w:noProof/>
        </w:rPr>
        <w:t xml:space="preserve">w przypadku braku takiej decyzji wykonawczej zastosowanie ma </w:t>
      </w:r>
      <w:r w:rsidRPr="00B83C93">
        <w:rPr>
          <w:rStyle w:val="normaltextrun"/>
          <w:noProof/>
        </w:rPr>
        <w:t>ust.</w:t>
      </w:r>
      <w:r w:rsidR="00B83C93" w:rsidRPr="00B83C93">
        <w:rPr>
          <w:rStyle w:val="normaltextrun"/>
          <w:noProof/>
        </w:rPr>
        <w:t> </w:t>
      </w:r>
      <w:r w:rsidRPr="00B83C93">
        <w:rPr>
          <w:rStyle w:val="normaltextrun"/>
          <w:noProof/>
        </w:rPr>
        <w:t>2</w:t>
      </w:r>
      <w:r w:rsidRPr="008B4DA2">
        <w:rPr>
          <w:rStyle w:val="normaltextrun"/>
          <w:noProof/>
        </w:rPr>
        <w:t>.</w:t>
      </w:r>
      <w:r w:rsidRPr="008B4DA2">
        <w:rPr>
          <w:rStyle w:val="eop"/>
          <w:noProof/>
        </w:rPr>
        <w:t xml:space="preserve"> </w:t>
      </w:r>
    </w:p>
    <w:p w:rsidR="00BD67F9" w:rsidRPr="008B4DA2" w:rsidRDefault="00DF60AC" w:rsidP="00DF60AC">
      <w:pPr>
        <w:pStyle w:val="ManualNumPar1"/>
        <w:rPr>
          <w:rStyle w:val="normaltextrun"/>
          <w:noProof/>
        </w:rPr>
      </w:pPr>
      <w:r w:rsidRPr="008B4DA2">
        <w:rPr>
          <w:rStyle w:val="normaltextrun"/>
          <w:noProof/>
        </w:rPr>
        <w:t>5.</w:t>
      </w:r>
      <w:r w:rsidRPr="008B4DA2">
        <w:rPr>
          <w:noProof/>
        </w:rPr>
        <w:tab/>
      </w:r>
      <w:r w:rsidRPr="008B4DA2">
        <w:rPr>
          <w:rStyle w:val="normaltextrun"/>
          <w:noProof/>
        </w:rPr>
        <w:t>Wymiany,</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rych mowa</w:t>
      </w:r>
      <w:r w:rsidR="00B83C93" w:rsidRPr="008B4DA2">
        <w:rPr>
          <w:rStyle w:val="normaltextrun"/>
          <w:noProof/>
        </w:rPr>
        <w:t xml:space="preserve"> w</w:t>
      </w:r>
      <w:r w:rsidR="00B83C93">
        <w:rPr>
          <w:rStyle w:val="normaltextrun"/>
          <w:noProof/>
        </w:rPr>
        <w:t> </w:t>
      </w:r>
      <w:r w:rsidR="00B83C93" w:rsidRPr="00B83C93">
        <w:rPr>
          <w:rStyle w:val="normaltextrun"/>
          <w:noProof/>
        </w:rPr>
        <w:t>ust</w:t>
      </w:r>
      <w:r w:rsidRPr="00B83C93">
        <w:rPr>
          <w:rStyle w:val="normaltextrun"/>
          <w:noProof/>
        </w:rPr>
        <w:t>.</w:t>
      </w:r>
      <w:r w:rsidR="00B83C93" w:rsidRPr="00B83C93">
        <w:rPr>
          <w:rStyle w:val="normaltextrun"/>
          <w:noProof/>
        </w:rPr>
        <w:t> </w:t>
      </w:r>
      <w:r w:rsidRPr="00B83C93">
        <w:rPr>
          <w:rStyle w:val="normaltextrun"/>
          <w:noProof/>
        </w:rPr>
        <w:t>2</w:t>
      </w:r>
      <w:r w:rsidRPr="008B4DA2">
        <w:rPr>
          <w:rStyle w:val="normaltextrun"/>
          <w:noProof/>
        </w:rPr>
        <w:t>, 3</w:t>
      </w:r>
      <w:r w:rsidR="00B83C93" w:rsidRPr="008B4DA2">
        <w:rPr>
          <w:rStyle w:val="normaltextrun"/>
          <w:noProof/>
        </w:rPr>
        <w:t xml:space="preserve"> i</w:t>
      </w:r>
      <w:r w:rsidR="00B83C93">
        <w:rPr>
          <w:rStyle w:val="normaltextrun"/>
          <w:noProof/>
        </w:rPr>
        <w:t> </w:t>
      </w:r>
      <w:r w:rsidR="00B83C93" w:rsidRPr="008B4DA2">
        <w:rPr>
          <w:rStyle w:val="normaltextrun"/>
          <w:noProof/>
        </w:rPr>
        <w:t>4</w:t>
      </w:r>
      <w:r w:rsidRPr="008B4DA2">
        <w:rPr>
          <w:rStyle w:val="normaltextrun"/>
          <w:noProof/>
        </w:rPr>
        <w:t xml:space="preserve">, mogą nastąpić tylko wówczas, gdy prawo jazdy wydane przez państwo trzecie zostało zwrócone właściwym organom państwa członkowskiego dokonującego wymiany. </w:t>
      </w:r>
    </w:p>
    <w:p w:rsidR="00BD67F9" w:rsidRPr="008B4DA2" w:rsidRDefault="00DF60AC" w:rsidP="00DF60AC">
      <w:pPr>
        <w:pStyle w:val="ManualNumPar1"/>
        <w:rPr>
          <w:rStyle w:val="normaltextrun"/>
          <w:noProof/>
        </w:rPr>
      </w:pPr>
      <w:r w:rsidRPr="008B4DA2">
        <w:rPr>
          <w:rStyle w:val="normaltextrun"/>
          <w:noProof/>
        </w:rPr>
        <w:t>6.</w:t>
      </w:r>
      <w:r w:rsidRPr="008B4DA2">
        <w:rPr>
          <w:noProof/>
        </w:rPr>
        <w:tab/>
      </w:r>
      <w:r w:rsidRPr="008B4DA2">
        <w:rPr>
          <w:rStyle w:val="normaltextrun"/>
          <w:noProof/>
        </w:rPr>
        <w:t>Komisja może stwierdzić, że obowiązujące</w:t>
      </w:r>
      <w:r w:rsidR="00B83C93" w:rsidRPr="008B4DA2">
        <w:rPr>
          <w:rStyle w:val="normaltextrun"/>
          <w:noProof/>
        </w:rPr>
        <w:t xml:space="preserve"> w</w:t>
      </w:r>
      <w:r w:rsidR="00B83C93">
        <w:rPr>
          <w:rStyle w:val="normaltextrun"/>
          <w:noProof/>
        </w:rPr>
        <w:t> </w:t>
      </w:r>
      <w:r w:rsidR="00B83C93" w:rsidRPr="008B4DA2">
        <w:rPr>
          <w:rStyle w:val="normaltextrun"/>
          <w:noProof/>
        </w:rPr>
        <w:t>pań</w:t>
      </w:r>
      <w:r w:rsidRPr="008B4DA2">
        <w:rPr>
          <w:rStyle w:val="normaltextrun"/>
          <w:noProof/>
        </w:rPr>
        <w:t>stwie trzecim ramy transportu drogowego gwarantują</w:t>
      </w:r>
      <w:r w:rsidR="00B83C93" w:rsidRPr="008B4DA2">
        <w:rPr>
          <w:rStyle w:val="normaltextrun"/>
          <w:noProof/>
        </w:rPr>
        <w:t xml:space="preserve"> w</w:t>
      </w:r>
      <w:r w:rsidR="00B83C93">
        <w:rPr>
          <w:rStyle w:val="normaltextrun"/>
          <w:noProof/>
        </w:rPr>
        <w:t> </w:t>
      </w:r>
      <w:r w:rsidR="00B83C93" w:rsidRPr="008B4DA2">
        <w:rPr>
          <w:rStyle w:val="normaltextrun"/>
          <w:noProof/>
        </w:rPr>
        <w:t>cał</w:t>
      </w:r>
      <w:r w:rsidRPr="008B4DA2">
        <w:rPr>
          <w:rStyle w:val="normaltextrun"/>
          <w:noProof/>
        </w:rPr>
        <w:t>ości lub</w:t>
      </w:r>
      <w:r w:rsidR="00B83C93" w:rsidRPr="008B4DA2">
        <w:rPr>
          <w:rStyle w:val="normaltextrun"/>
          <w:noProof/>
        </w:rPr>
        <w:t xml:space="preserve"> w</w:t>
      </w:r>
      <w:r w:rsidR="00B83C93">
        <w:rPr>
          <w:rStyle w:val="normaltextrun"/>
          <w:noProof/>
        </w:rPr>
        <w:t> </w:t>
      </w:r>
      <w:r w:rsidR="00B83C93" w:rsidRPr="008B4DA2">
        <w:rPr>
          <w:rStyle w:val="normaltextrun"/>
          <w:noProof/>
        </w:rPr>
        <w:t>czę</w:t>
      </w:r>
      <w:r w:rsidRPr="008B4DA2">
        <w:rPr>
          <w:rStyle w:val="normaltextrun"/>
          <w:noProof/>
        </w:rPr>
        <w:t>ści poziom bezpieczeństwa ruchu drogowego porównywalny</w:t>
      </w:r>
      <w:r w:rsidR="00B83C93" w:rsidRPr="008B4DA2">
        <w:rPr>
          <w:rStyle w:val="normaltextrun"/>
          <w:noProof/>
        </w:rPr>
        <w:t xml:space="preserve"> z</w:t>
      </w:r>
      <w:r w:rsidR="00B83C93">
        <w:rPr>
          <w:rStyle w:val="normaltextrun"/>
          <w:noProof/>
        </w:rPr>
        <w:t> </w:t>
      </w:r>
      <w:r w:rsidR="00B83C93" w:rsidRPr="008B4DA2">
        <w:rPr>
          <w:rStyle w:val="normaltextrun"/>
          <w:noProof/>
        </w:rPr>
        <w:t>poz</w:t>
      </w:r>
      <w:r w:rsidRPr="008B4DA2">
        <w:rPr>
          <w:rStyle w:val="normaltextrun"/>
          <w:noProof/>
        </w:rPr>
        <w:t>iomem</w:t>
      </w:r>
      <w:r w:rsidR="00B83C93" w:rsidRPr="008B4DA2">
        <w:rPr>
          <w:rStyle w:val="normaltextrun"/>
          <w:noProof/>
        </w:rPr>
        <w:t xml:space="preserve"> w</w:t>
      </w:r>
      <w:r w:rsidR="00B83C93">
        <w:rPr>
          <w:rStyle w:val="normaltextrun"/>
          <w:noProof/>
        </w:rPr>
        <w:t> </w:t>
      </w:r>
      <w:r w:rsidR="00B83C93" w:rsidRPr="008B4DA2">
        <w:rPr>
          <w:rStyle w:val="normaltextrun"/>
          <w:noProof/>
        </w:rPr>
        <w:t>Uni</w:t>
      </w:r>
      <w:r w:rsidRPr="008B4DA2">
        <w:rPr>
          <w:rStyle w:val="normaltextrun"/>
          <w:noProof/>
        </w:rPr>
        <w:t>i, co umożliwia wymianę praw jazdy wydanych przez to państwo trzecie bez odnotowywania takiej wymiany</w:t>
      </w:r>
      <w:r w:rsidR="00B83C93" w:rsidRPr="008B4DA2">
        <w:rPr>
          <w:rStyle w:val="normaltextrun"/>
          <w:noProof/>
        </w:rPr>
        <w:t xml:space="preserve"> w</w:t>
      </w:r>
      <w:r w:rsidR="00B83C93">
        <w:rPr>
          <w:rStyle w:val="normaltextrun"/>
          <w:noProof/>
        </w:rPr>
        <w:t> </w:t>
      </w:r>
      <w:r w:rsidR="00B83C93" w:rsidRPr="008B4DA2">
        <w:rPr>
          <w:rStyle w:val="normaltextrun"/>
          <w:noProof/>
        </w:rPr>
        <w:t>pra</w:t>
      </w:r>
      <w:r w:rsidRPr="008B4DA2">
        <w:rPr>
          <w:rStyle w:val="normaltextrun"/>
          <w:noProof/>
        </w:rPr>
        <w:t>wach jazdy wydawanych przez państwa członkowskie,</w:t>
      </w:r>
      <w:r w:rsidR="00B83C93" w:rsidRPr="008B4DA2">
        <w:rPr>
          <w:rStyle w:val="normaltextrun"/>
          <w:noProof/>
        </w:rPr>
        <w:t xml:space="preserve"> w</w:t>
      </w:r>
      <w:r w:rsidR="00B83C93">
        <w:rPr>
          <w:rStyle w:val="normaltextrun"/>
          <w:noProof/>
        </w:rPr>
        <w:t> </w:t>
      </w:r>
      <w:r w:rsidR="00B83C93" w:rsidRPr="008B4DA2">
        <w:rPr>
          <w:rStyle w:val="normaltextrun"/>
          <w:noProof/>
        </w:rPr>
        <w:t>sto</w:t>
      </w:r>
      <w:r w:rsidRPr="008B4DA2">
        <w:rPr>
          <w:rStyle w:val="normaltextrun"/>
          <w:noProof/>
        </w:rPr>
        <w:t>sownych przypadkach po spełnieniu konkretnych, wcześniej określonych warunków.</w:t>
      </w:r>
    </w:p>
    <w:p w:rsidR="00BD67F9" w:rsidRPr="008B4DA2" w:rsidRDefault="00BD67F9" w:rsidP="005B2A2F">
      <w:pPr>
        <w:pStyle w:val="Text1"/>
        <w:rPr>
          <w:rStyle w:val="normaltextrun"/>
          <w:noProof/>
        </w:rPr>
      </w:pPr>
      <w:r w:rsidRPr="008B4DA2">
        <w:rPr>
          <w:rStyle w:val="normaltextrun"/>
          <w:noProof/>
        </w:rPr>
        <w:t>Jeżeli Komisja zidentyfikuje takie państwo trzecie, może ocenić ramy transportu drogowego tego państwa trzeciego we współpracy</w:t>
      </w:r>
      <w:r w:rsidR="00B83C93" w:rsidRPr="008B4DA2">
        <w:rPr>
          <w:rStyle w:val="normaltextrun"/>
          <w:noProof/>
        </w:rPr>
        <w:t xml:space="preserve"> z</w:t>
      </w:r>
      <w:r w:rsidR="00B83C93">
        <w:rPr>
          <w:rStyle w:val="normaltextrun"/>
          <w:noProof/>
        </w:rPr>
        <w:t> </w:t>
      </w:r>
      <w:r w:rsidR="00B83C93" w:rsidRPr="008B4DA2">
        <w:rPr>
          <w:rStyle w:val="normaltextrun"/>
          <w:noProof/>
        </w:rPr>
        <w:t>pań</w:t>
      </w:r>
      <w:r w:rsidRPr="008B4DA2">
        <w:rPr>
          <w:rStyle w:val="normaltextrun"/>
          <w:noProof/>
        </w:rPr>
        <w:t>stwami członkowskimi. Państwa członkowskie mają sześć miesięcy na przedstawienie swojej opinii na temat ram transportu drogowego obowiązujących</w:t>
      </w:r>
      <w:r w:rsidR="00B83C93" w:rsidRPr="008B4DA2">
        <w:rPr>
          <w:rStyle w:val="normaltextrun"/>
          <w:noProof/>
        </w:rPr>
        <w:t xml:space="preserve"> w</w:t>
      </w:r>
      <w:r w:rsidR="00B83C93">
        <w:rPr>
          <w:rStyle w:val="normaltextrun"/>
          <w:noProof/>
        </w:rPr>
        <w:t> </w:t>
      </w:r>
      <w:r w:rsidR="00B83C93" w:rsidRPr="008B4DA2">
        <w:rPr>
          <w:rStyle w:val="normaltextrun"/>
          <w:noProof/>
        </w:rPr>
        <w:t>zid</w:t>
      </w:r>
      <w:r w:rsidRPr="008B4DA2">
        <w:rPr>
          <w:rStyle w:val="normaltextrun"/>
          <w:noProof/>
        </w:rPr>
        <w:t>entyfikowanym państwie trzecim. Komisja przystępuje do przeprowadzenia oceny po otrzymaniu opinii od wszystkich państw członkowskich lub po upływie terminu na przesłanie opinii,</w:t>
      </w:r>
      <w:r w:rsidR="00B83C93" w:rsidRPr="008B4DA2">
        <w:rPr>
          <w:rStyle w:val="normaltextrun"/>
          <w:noProof/>
        </w:rPr>
        <w:t xml:space="preserve"> w</w:t>
      </w:r>
      <w:r w:rsidR="00B83C93">
        <w:rPr>
          <w:rStyle w:val="normaltextrun"/>
          <w:noProof/>
        </w:rPr>
        <w:t> </w:t>
      </w:r>
      <w:r w:rsidR="00B83C93" w:rsidRPr="008B4DA2">
        <w:rPr>
          <w:rStyle w:val="normaltextrun"/>
          <w:noProof/>
        </w:rPr>
        <w:t>zal</w:t>
      </w:r>
      <w:r w:rsidRPr="008B4DA2">
        <w:rPr>
          <w:rStyle w:val="normaltextrun"/>
          <w:noProof/>
        </w:rPr>
        <w:t>eżności od tego, które</w:t>
      </w:r>
      <w:r w:rsidR="00B83C93" w:rsidRPr="008B4DA2">
        <w:rPr>
          <w:rStyle w:val="normaltextrun"/>
          <w:noProof/>
        </w:rPr>
        <w:t xml:space="preserve"> z</w:t>
      </w:r>
      <w:r w:rsidR="00B83C93">
        <w:rPr>
          <w:rStyle w:val="normaltextrun"/>
          <w:noProof/>
        </w:rPr>
        <w:t> </w:t>
      </w:r>
      <w:r w:rsidR="00B83C93" w:rsidRPr="008B4DA2">
        <w:rPr>
          <w:rStyle w:val="normaltextrun"/>
          <w:noProof/>
        </w:rPr>
        <w:t>tyc</w:t>
      </w:r>
      <w:r w:rsidRPr="008B4DA2">
        <w:rPr>
          <w:rStyle w:val="normaltextrun"/>
          <w:noProof/>
        </w:rPr>
        <w:t>h zdarzeń nastąpi później.</w:t>
      </w:r>
    </w:p>
    <w:p w:rsidR="00BD67F9" w:rsidRPr="008B4DA2" w:rsidRDefault="00BD67F9" w:rsidP="005B2A2F">
      <w:pPr>
        <w:pStyle w:val="Text1"/>
        <w:rPr>
          <w:noProof/>
        </w:rPr>
      </w:pPr>
      <w:r w:rsidRPr="008B4DA2">
        <w:rPr>
          <w:rStyle w:val="normaltextrun"/>
          <w:noProof/>
        </w:rPr>
        <w:t>Przeprowadzając ocenę ram transportu drogowego obowiązujących</w:t>
      </w:r>
      <w:r w:rsidR="00B83C93" w:rsidRPr="008B4DA2">
        <w:rPr>
          <w:rStyle w:val="normaltextrun"/>
          <w:noProof/>
        </w:rPr>
        <w:t xml:space="preserve"> w</w:t>
      </w:r>
      <w:r w:rsidR="00B83C93">
        <w:rPr>
          <w:rStyle w:val="normaltextrun"/>
          <w:noProof/>
        </w:rPr>
        <w:t> </w:t>
      </w:r>
      <w:r w:rsidR="00B83C93" w:rsidRPr="008B4DA2">
        <w:rPr>
          <w:rStyle w:val="normaltextrun"/>
          <w:noProof/>
        </w:rPr>
        <w:t>pań</w:t>
      </w:r>
      <w:r w:rsidRPr="008B4DA2">
        <w:rPr>
          <w:rStyle w:val="normaltextrun"/>
          <w:noProof/>
        </w:rPr>
        <w:t>stwie trzecim, Komisja bierze pod uwagę co najmniej następujące elementy:</w:t>
      </w:r>
      <w:r w:rsidRPr="008B4DA2">
        <w:rPr>
          <w:rStyle w:val="eop"/>
          <w:noProof/>
        </w:rPr>
        <w:t xml:space="preserve"> </w:t>
      </w:r>
    </w:p>
    <w:p w:rsidR="00BD67F9" w:rsidRPr="008B4DA2" w:rsidRDefault="00DF60AC" w:rsidP="00DF60AC">
      <w:pPr>
        <w:pStyle w:val="Point1"/>
        <w:rPr>
          <w:noProof/>
        </w:rPr>
      </w:pPr>
      <w:r w:rsidRPr="008B4DA2">
        <w:rPr>
          <w:noProof/>
        </w:rPr>
        <w:t>a)</w:t>
      </w:r>
      <w:r w:rsidRPr="008B4DA2">
        <w:rPr>
          <w:noProof/>
        </w:rPr>
        <w:tab/>
      </w:r>
      <w:r w:rsidRPr="008B4DA2">
        <w:rPr>
          <w:rStyle w:val="normaltextrun"/>
          <w:noProof/>
        </w:rPr>
        <w:t>obowiązujące wymogi</w:t>
      </w:r>
      <w:r w:rsidR="00B83C93" w:rsidRPr="008B4DA2">
        <w:rPr>
          <w:rStyle w:val="normaltextrun"/>
          <w:noProof/>
        </w:rPr>
        <w:t xml:space="preserve"> w</w:t>
      </w:r>
      <w:r w:rsidR="00B83C93">
        <w:rPr>
          <w:rStyle w:val="normaltextrun"/>
          <w:noProof/>
        </w:rPr>
        <w:t> </w:t>
      </w:r>
      <w:r w:rsidR="00B83C93" w:rsidRPr="008B4DA2">
        <w:rPr>
          <w:rStyle w:val="normaltextrun"/>
          <w:noProof/>
        </w:rPr>
        <w:t>zak</w:t>
      </w:r>
      <w:r w:rsidRPr="008B4DA2">
        <w:rPr>
          <w:rStyle w:val="normaltextrun"/>
          <w:noProof/>
        </w:rPr>
        <w:t>resie wydawania praw jazdy, takie jak klasyfikacja kategorii prawa jazdy, wymogi co do dolnej granicy wieku, wymogi</w:t>
      </w:r>
      <w:r w:rsidR="00B83C93" w:rsidRPr="008B4DA2">
        <w:rPr>
          <w:rStyle w:val="normaltextrun"/>
          <w:noProof/>
        </w:rPr>
        <w:t xml:space="preserve"> i</w:t>
      </w:r>
      <w:r w:rsidR="00B83C93">
        <w:rPr>
          <w:rStyle w:val="normaltextrun"/>
          <w:noProof/>
        </w:rPr>
        <w:t> </w:t>
      </w:r>
      <w:r w:rsidR="00B83C93" w:rsidRPr="008B4DA2">
        <w:rPr>
          <w:rStyle w:val="normaltextrun"/>
          <w:noProof/>
        </w:rPr>
        <w:t>war</w:t>
      </w:r>
      <w:r w:rsidRPr="008B4DA2">
        <w:rPr>
          <w:rStyle w:val="normaltextrun"/>
          <w:noProof/>
        </w:rPr>
        <w:t>unki szkolenia oraz egzaminów na prawo jazdy,</w:t>
      </w:r>
      <w:r w:rsidR="00B83C93" w:rsidRPr="008B4DA2">
        <w:rPr>
          <w:rStyle w:val="normaltextrun"/>
          <w:noProof/>
        </w:rPr>
        <w:t xml:space="preserve"> a</w:t>
      </w:r>
      <w:r w:rsidR="00B83C93">
        <w:rPr>
          <w:rStyle w:val="normaltextrun"/>
          <w:noProof/>
        </w:rPr>
        <w:t> </w:t>
      </w:r>
      <w:r w:rsidR="00B83C93" w:rsidRPr="008B4DA2">
        <w:rPr>
          <w:rStyle w:val="normaltextrun"/>
          <w:noProof/>
        </w:rPr>
        <w:t>tak</w:t>
      </w:r>
      <w:r w:rsidRPr="008B4DA2">
        <w:rPr>
          <w:rStyle w:val="normaltextrun"/>
          <w:noProof/>
        </w:rPr>
        <w:t>że standardy dotyczące stanu zdrowia na potrzeby wydania prawa jazdy;</w:t>
      </w:r>
    </w:p>
    <w:p w:rsidR="00BD67F9" w:rsidRPr="008B4DA2" w:rsidRDefault="00DF60AC" w:rsidP="00DF60AC">
      <w:pPr>
        <w:pStyle w:val="Point1"/>
        <w:rPr>
          <w:noProof/>
        </w:rPr>
      </w:pPr>
      <w:r w:rsidRPr="008B4DA2">
        <w:rPr>
          <w:noProof/>
        </w:rPr>
        <w:t>b)</w:t>
      </w:r>
      <w:r w:rsidRPr="008B4DA2">
        <w:rPr>
          <w:noProof/>
        </w:rPr>
        <w:tab/>
      </w:r>
      <w:r w:rsidRPr="008B4DA2">
        <w:rPr>
          <w:rStyle w:val="normaltextrun"/>
          <w:noProof/>
        </w:rPr>
        <w:t>kwestię, czy państwo trzecie wydaje mobilne prawa jazdy,</w:t>
      </w:r>
      <w:r w:rsidR="00B83C93" w:rsidRPr="008B4DA2">
        <w:rPr>
          <w:rStyle w:val="normaltextrun"/>
          <w:noProof/>
        </w:rPr>
        <w:t xml:space="preserve"> a</w:t>
      </w:r>
      <w:r w:rsidR="00B83C93">
        <w:rPr>
          <w:rStyle w:val="normaltextrun"/>
          <w:noProof/>
        </w:rPr>
        <w:t> </w:t>
      </w:r>
      <w:r w:rsidR="00B83C93" w:rsidRPr="008B4DA2">
        <w:rPr>
          <w:rStyle w:val="normaltextrun"/>
          <w:noProof/>
        </w:rPr>
        <w:t>jeś</w:t>
      </w:r>
      <w:r w:rsidRPr="008B4DA2">
        <w:rPr>
          <w:rStyle w:val="normaltextrun"/>
          <w:noProof/>
        </w:rPr>
        <w:t>li tak, to mające zastosowanie techniczne</w:t>
      </w:r>
      <w:r w:rsidR="00B83C93" w:rsidRPr="008B4DA2">
        <w:rPr>
          <w:rStyle w:val="normaltextrun"/>
          <w:noProof/>
        </w:rPr>
        <w:t xml:space="preserve"> i</w:t>
      </w:r>
      <w:r w:rsidR="00B83C93">
        <w:rPr>
          <w:rStyle w:val="normaltextrun"/>
          <w:noProof/>
        </w:rPr>
        <w:t> </w:t>
      </w:r>
      <w:r w:rsidR="00B83C93" w:rsidRPr="008B4DA2">
        <w:rPr>
          <w:rStyle w:val="normaltextrun"/>
          <w:noProof/>
        </w:rPr>
        <w:t>str</w:t>
      </w:r>
      <w:r w:rsidRPr="008B4DA2">
        <w:rPr>
          <w:rStyle w:val="normaltextrun"/>
          <w:noProof/>
        </w:rPr>
        <w:t>ukturalne szczegóły funkcjonowania systemu;</w:t>
      </w:r>
      <w:r w:rsidRPr="008B4DA2">
        <w:rPr>
          <w:rStyle w:val="eop"/>
          <w:noProof/>
        </w:rPr>
        <w:t xml:space="preserve"> </w:t>
      </w:r>
    </w:p>
    <w:p w:rsidR="00BD67F9" w:rsidRPr="008B4DA2" w:rsidRDefault="00DF60AC" w:rsidP="00DF60AC">
      <w:pPr>
        <w:pStyle w:val="Point1"/>
        <w:rPr>
          <w:noProof/>
        </w:rPr>
      </w:pPr>
      <w:r w:rsidRPr="008B4DA2">
        <w:rPr>
          <w:noProof/>
        </w:rPr>
        <w:t>c)</w:t>
      </w:r>
      <w:r w:rsidRPr="008B4DA2">
        <w:rPr>
          <w:noProof/>
        </w:rPr>
        <w:tab/>
      </w:r>
      <w:r w:rsidRPr="008B4DA2">
        <w:rPr>
          <w:rStyle w:val="normaltextrun"/>
          <w:noProof/>
        </w:rPr>
        <w:t>poziom występowania</w:t>
      </w:r>
      <w:r w:rsidR="00B83C93" w:rsidRPr="008B4DA2">
        <w:rPr>
          <w:rStyle w:val="normaltextrun"/>
          <w:noProof/>
        </w:rPr>
        <w:t xml:space="preserve"> w</w:t>
      </w:r>
      <w:r w:rsidR="00B83C93">
        <w:rPr>
          <w:rStyle w:val="normaltextrun"/>
          <w:noProof/>
        </w:rPr>
        <w:t> </w:t>
      </w:r>
      <w:r w:rsidR="00B83C93" w:rsidRPr="008B4DA2">
        <w:rPr>
          <w:rStyle w:val="normaltextrun"/>
          <w:noProof/>
        </w:rPr>
        <w:t>obi</w:t>
      </w:r>
      <w:r w:rsidRPr="008B4DA2">
        <w:rPr>
          <w:rStyle w:val="normaltextrun"/>
          <w:noProof/>
        </w:rPr>
        <w:t>egu sfałszowanych praw jazdy oraz środki stosowane</w:t>
      </w:r>
      <w:r w:rsidR="00B83C93" w:rsidRPr="008B4DA2">
        <w:rPr>
          <w:rStyle w:val="normaltextrun"/>
          <w:noProof/>
        </w:rPr>
        <w:t xml:space="preserve"> w</w:t>
      </w:r>
      <w:r w:rsidR="00B83C93">
        <w:rPr>
          <w:rStyle w:val="normaltextrun"/>
          <w:noProof/>
        </w:rPr>
        <w:t> </w:t>
      </w:r>
      <w:r w:rsidR="00B83C93" w:rsidRPr="008B4DA2">
        <w:rPr>
          <w:rStyle w:val="normaltextrun"/>
          <w:noProof/>
        </w:rPr>
        <w:t>cel</w:t>
      </w:r>
      <w:r w:rsidRPr="008B4DA2">
        <w:rPr>
          <w:rStyle w:val="normaltextrun"/>
          <w:noProof/>
        </w:rPr>
        <w:t>u zapobiegania fałszerstwom praw jazdy;</w:t>
      </w:r>
      <w:r w:rsidRPr="008B4DA2">
        <w:rPr>
          <w:rStyle w:val="eop"/>
          <w:noProof/>
        </w:rPr>
        <w:t xml:space="preserve"> </w:t>
      </w:r>
    </w:p>
    <w:p w:rsidR="00BD67F9" w:rsidRPr="008B4DA2" w:rsidRDefault="00DF60AC" w:rsidP="00DF60AC">
      <w:pPr>
        <w:pStyle w:val="Point1"/>
        <w:rPr>
          <w:rStyle w:val="eop"/>
          <w:noProof/>
        </w:rPr>
      </w:pPr>
      <w:r w:rsidRPr="008B4DA2">
        <w:rPr>
          <w:rStyle w:val="eop"/>
          <w:noProof/>
        </w:rPr>
        <w:t>d)</w:t>
      </w:r>
      <w:r w:rsidRPr="008B4DA2">
        <w:rPr>
          <w:noProof/>
        </w:rPr>
        <w:tab/>
      </w:r>
      <w:r w:rsidRPr="008B4DA2">
        <w:rPr>
          <w:rStyle w:val="normaltextrun"/>
          <w:noProof/>
        </w:rPr>
        <w:t>administracyjny okres ważności praw jazdy wydanych przez państwo trzecie;</w:t>
      </w:r>
      <w:r w:rsidRPr="008B4DA2">
        <w:rPr>
          <w:rStyle w:val="eop"/>
          <w:noProof/>
        </w:rPr>
        <w:t xml:space="preserve"> </w:t>
      </w:r>
    </w:p>
    <w:p w:rsidR="00605147" w:rsidRPr="008B4DA2" w:rsidRDefault="00DF60AC" w:rsidP="00DF60AC">
      <w:pPr>
        <w:pStyle w:val="Point1"/>
        <w:rPr>
          <w:rStyle w:val="normaltextrun"/>
          <w:noProof/>
        </w:rPr>
      </w:pPr>
      <w:r w:rsidRPr="008B4DA2">
        <w:rPr>
          <w:rStyle w:val="normaltextrun"/>
          <w:noProof/>
        </w:rPr>
        <w:t>e)</w:t>
      </w:r>
      <w:r w:rsidRPr="008B4DA2">
        <w:rPr>
          <w:noProof/>
        </w:rPr>
        <w:tab/>
      </w:r>
      <w:r w:rsidRPr="008B4DA2">
        <w:rPr>
          <w:rStyle w:val="normaltextrun"/>
          <w:noProof/>
        </w:rPr>
        <w:t>warunki ruchu drogowego</w:t>
      </w:r>
      <w:r w:rsidR="00B83C93" w:rsidRPr="008B4DA2">
        <w:rPr>
          <w:rStyle w:val="normaltextrun"/>
          <w:noProof/>
        </w:rPr>
        <w:t xml:space="preserve"> w</w:t>
      </w:r>
      <w:r w:rsidR="00B83C93">
        <w:rPr>
          <w:rStyle w:val="normaltextrun"/>
          <w:noProof/>
        </w:rPr>
        <w:t> </w:t>
      </w:r>
      <w:r w:rsidR="00B83C93" w:rsidRPr="008B4DA2">
        <w:rPr>
          <w:rStyle w:val="normaltextrun"/>
          <w:noProof/>
        </w:rPr>
        <w:t>pań</w:t>
      </w:r>
      <w:r w:rsidRPr="008B4DA2">
        <w:rPr>
          <w:rStyle w:val="normaltextrun"/>
          <w:noProof/>
        </w:rPr>
        <w:t>stwie trzecim oraz kwestię, czy są one porównywalne</w:t>
      </w:r>
      <w:r w:rsidR="00B83C93" w:rsidRPr="008B4DA2">
        <w:rPr>
          <w:rStyle w:val="normaltextrun"/>
          <w:noProof/>
        </w:rPr>
        <w:t xml:space="preserve"> z</w:t>
      </w:r>
      <w:r w:rsidR="00B83C93">
        <w:rPr>
          <w:rStyle w:val="normaltextrun"/>
          <w:noProof/>
        </w:rPr>
        <w:t> </w:t>
      </w:r>
      <w:r w:rsidR="00B83C93" w:rsidRPr="008B4DA2">
        <w:rPr>
          <w:rStyle w:val="normaltextrun"/>
          <w:noProof/>
        </w:rPr>
        <w:t>war</w:t>
      </w:r>
      <w:r w:rsidRPr="008B4DA2">
        <w:rPr>
          <w:rStyle w:val="normaltextrun"/>
          <w:noProof/>
        </w:rPr>
        <w:t>unkami ruchu drogowego</w:t>
      </w:r>
      <w:r w:rsidR="00B83C93" w:rsidRPr="008B4DA2">
        <w:rPr>
          <w:rStyle w:val="normaltextrun"/>
          <w:noProof/>
        </w:rPr>
        <w:t xml:space="preserve"> w</w:t>
      </w:r>
      <w:r w:rsidR="00B83C93">
        <w:rPr>
          <w:rStyle w:val="normaltextrun"/>
          <w:noProof/>
        </w:rPr>
        <w:t> </w:t>
      </w:r>
      <w:r w:rsidR="00B83C93" w:rsidRPr="008B4DA2">
        <w:rPr>
          <w:rStyle w:val="normaltextrun"/>
          <w:noProof/>
        </w:rPr>
        <w:t>sie</w:t>
      </w:r>
      <w:r w:rsidRPr="008B4DA2">
        <w:rPr>
          <w:rStyle w:val="normaltextrun"/>
          <w:noProof/>
        </w:rPr>
        <w:t>ciach drogowych</w:t>
      </w:r>
      <w:r w:rsidR="00B83C93" w:rsidRPr="008B4DA2">
        <w:rPr>
          <w:rStyle w:val="normaltextrun"/>
          <w:noProof/>
        </w:rPr>
        <w:t xml:space="preserve"> w</w:t>
      </w:r>
      <w:r w:rsidR="00B83C93">
        <w:rPr>
          <w:rStyle w:val="normaltextrun"/>
          <w:noProof/>
        </w:rPr>
        <w:t> </w:t>
      </w:r>
      <w:r w:rsidR="00B83C93" w:rsidRPr="008B4DA2">
        <w:rPr>
          <w:rStyle w:val="normaltextrun"/>
          <w:noProof/>
        </w:rPr>
        <w:t>Uni</w:t>
      </w:r>
      <w:r w:rsidRPr="008B4DA2">
        <w:rPr>
          <w:rStyle w:val="normaltextrun"/>
          <w:noProof/>
        </w:rPr>
        <w:t xml:space="preserve">i; </w:t>
      </w:r>
    </w:p>
    <w:p w:rsidR="00BD67F9" w:rsidRPr="008B4DA2" w:rsidRDefault="00DF60AC" w:rsidP="00DF60AC">
      <w:pPr>
        <w:pStyle w:val="Point1"/>
        <w:rPr>
          <w:rStyle w:val="normaltextrun"/>
          <w:noProof/>
        </w:rPr>
      </w:pPr>
      <w:r w:rsidRPr="008B4DA2">
        <w:rPr>
          <w:rStyle w:val="normaltextrun"/>
          <w:noProof/>
        </w:rPr>
        <w:t>f)</w:t>
      </w:r>
      <w:r w:rsidRPr="008B4DA2">
        <w:rPr>
          <w:noProof/>
        </w:rPr>
        <w:tab/>
      </w:r>
      <w:r w:rsidRPr="008B4DA2">
        <w:rPr>
          <w:rStyle w:val="normaltextrun"/>
          <w:noProof/>
        </w:rPr>
        <w:t>poziom bezpieczeństwa ruchu drogowego</w:t>
      </w:r>
      <w:r w:rsidR="00B83C93" w:rsidRPr="008B4DA2">
        <w:rPr>
          <w:rStyle w:val="normaltextrun"/>
          <w:noProof/>
        </w:rPr>
        <w:t xml:space="preserve"> w</w:t>
      </w:r>
      <w:r w:rsidR="00B83C93">
        <w:rPr>
          <w:rStyle w:val="normaltextrun"/>
          <w:noProof/>
        </w:rPr>
        <w:t> </w:t>
      </w:r>
      <w:r w:rsidR="00B83C93" w:rsidRPr="008B4DA2">
        <w:rPr>
          <w:rStyle w:val="normaltextrun"/>
          <w:noProof/>
        </w:rPr>
        <w:t>pań</w:t>
      </w:r>
      <w:r w:rsidRPr="008B4DA2">
        <w:rPr>
          <w:rStyle w:val="normaltextrun"/>
          <w:noProof/>
        </w:rPr>
        <w:t>stwie trzecim.</w:t>
      </w:r>
    </w:p>
    <w:p w:rsidR="00BD67F9" w:rsidRPr="008B4DA2" w:rsidRDefault="00DF60AC" w:rsidP="00DF60AC">
      <w:pPr>
        <w:pStyle w:val="ManualNumPar1"/>
        <w:rPr>
          <w:rStyle w:val="normaltextrun"/>
          <w:noProof/>
        </w:rPr>
      </w:pPr>
      <w:r w:rsidRPr="008B4DA2">
        <w:rPr>
          <w:rStyle w:val="normaltextrun"/>
          <w:noProof/>
        </w:rPr>
        <w:t>7.</w:t>
      </w:r>
      <w:r w:rsidRPr="008B4DA2">
        <w:rPr>
          <w:noProof/>
        </w:rPr>
        <w:tab/>
      </w:r>
      <w:r w:rsidRPr="008B4DA2">
        <w:rPr>
          <w:rStyle w:val="normaltextrun"/>
          <w:noProof/>
        </w:rPr>
        <w:t>Po przeprowadzeniu oceny,</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rej mowa</w:t>
      </w:r>
      <w:r w:rsidR="00B83C93" w:rsidRPr="008B4DA2">
        <w:rPr>
          <w:rStyle w:val="normaltextrun"/>
          <w:noProof/>
        </w:rPr>
        <w:t xml:space="preserve"> w</w:t>
      </w:r>
      <w:r w:rsidR="00B83C93">
        <w:rPr>
          <w:rStyle w:val="normaltextrun"/>
          <w:noProof/>
        </w:rPr>
        <w:t> </w:t>
      </w:r>
      <w:r w:rsidR="00B83C93" w:rsidRPr="00B83C93">
        <w:rPr>
          <w:rStyle w:val="normaltextrun"/>
          <w:noProof/>
        </w:rPr>
        <w:t>ust</w:t>
      </w:r>
      <w:r w:rsidRPr="00B83C93">
        <w:rPr>
          <w:rStyle w:val="normaltextrun"/>
          <w:noProof/>
        </w:rPr>
        <w:t>.</w:t>
      </w:r>
      <w:r w:rsidR="00B83C93" w:rsidRPr="00B83C93">
        <w:rPr>
          <w:rStyle w:val="normaltextrun"/>
          <w:noProof/>
        </w:rPr>
        <w:t> </w:t>
      </w:r>
      <w:r w:rsidRPr="00B83C93">
        <w:rPr>
          <w:rStyle w:val="normaltextrun"/>
          <w:noProof/>
        </w:rPr>
        <w:t>6</w:t>
      </w:r>
      <w:r w:rsidRPr="008B4DA2">
        <w:rPr>
          <w:rStyle w:val="normaltextrun"/>
          <w:noProof/>
        </w:rPr>
        <w:t>,</w:t>
      </w:r>
      <w:r w:rsidR="00B83C93" w:rsidRPr="008B4DA2">
        <w:rPr>
          <w:rStyle w:val="normaltextrun"/>
          <w:noProof/>
        </w:rPr>
        <w:t xml:space="preserve"> i</w:t>
      </w:r>
      <w:r w:rsidR="00B83C93">
        <w:rPr>
          <w:rStyle w:val="normaltextrun"/>
          <w:noProof/>
        </w:rPr>
        <w:t> </w:t>
      </w:r>
      <w:r w:rsidR="00B83C93" w:rsidRPr="008B4DA2">
        <w:rPr>
          <w:rStyle w:val="normaltextrun"/>
          <w:noProof/>
        </w:rPr>
        <w:t>w</w:t>
      </w:r>
      <w:r w:rsidR="00B83C93">
        <w:rPr>
          <w:rStyle w:val="normaltextrun"/>
          <w:noProof/>
        </w:rPr>
        <w:t> </w:t>
      </w:r>
      <w:r w:rsidR="00B83C93" w:rsidRPr="008B4DA2">
        <w:rPr>
          <w:rStyle w:val="normaltextrun"/>
          <w:noProof/>
        </w:rPr>
        <w:t>dro</w:t>
      </w:r>
      <w:r w:rsidRPr="008B4DA2">
        <w:rPr>
          <w:rStyle w:val="normaltextrun"/>
          <w:noProof/>
        </w:rPr>
        <w:t>dze decyzji wykonawczej Komisja może uznać, że</w:t>
      </w:r>
      <w:r w:rsidR="00B83C93" w:rsidRPr="008B4DA2">
        <w:rPr>
          <w:rStyle w:val="normaltextrun"/>
          <w:noProof/>
        </w:rPr>
        <w:t xml:space="preserve"> w</w:t>
      </w:r>
      <w:r w:rsidR="00B83C93">
        <w:rPr>
          <w:rStyle w:val="normaltextrun"/>
          <w:noProof/>
        </w:rPr>
        <w:t> </w:t>
      </w:r>
      <w:r w:rsidR="00B83C93" w:rsidRPr="008B4DA2">
        <w:rPr>
          <w:rStyle w:val="normaltextrun"/>
          <w:noProof/>
        </w:rPr>
        <w:t>dan</w:t>
      </w:r>
      <w:r w:rsidRPr="008B4DA2">
        <w:rPr>
          <w:rStyle w:val="normaltextrun"/>
          <w:noProof/>
        </w:rPr>
        <w:t>ym państwie trzecim obowiązują ramy transportu drogowego, które</w:t>
      </w:r>
      <w:r w:rsidR="00B83C93" w:rsidRPr="008B4DA2">
        <w:rPr>
          <w:rStyle w:val="normaltextrun"/>
          <w:noProof/>
        </w:rPr>
        <w:t xml:space="preserve"> w</w:t>
      </w:r>
      <w:r w:rsidR="00B83C93">
        <w:rPr>
          <w:rStyle w:val="normaltextrun"/>
          <w:noProof/>
        </w:rPr>
        <w:t> </w:t>
      </w:r>
      <w:r w:rsidR="00B83C93" w:rsidRPr="008B4DA2">
        <w:rPr>
          <w:rStyle w:val="normaltextrun"/>
          <w:noProof/>
        </w:rPr>
        <w:t>cał</w:t>
      </w:r>
      <w:r w:rsidRPr="008B4DA2">
        <w:rPr>
          <w:rStyle w:val="normaltextrun"/>
          <w:noProof/>
        </w:rPr>
        <w:t>ości lub</w:t>
      </w:r>
      <w:r w:rsidR="00B83C93" w:rsidRPr="008B4DA2">
        <w:rPr>
          <w:rStyle w:val="normaltextrun"/>
          <w:noProof/>
        </w:rPr>
        <w:t xml:space="preserve"> w</w:t>
      </w:r>
      <w:r w:rsidR="00B83C93">
        <w:rPr>
          <w:rStyle w:val="normaltextrun"/>
          <w:noProof/>
        </w:rPr>
        <w:t> </w:t>
      </w:r>
      <w:r w:rsidR="00B83C93" w:rsidRPr="008B4DA2">
        <w:rPr>
          <w:rStyle w:val="normaltextrun"/>
          <w:noProof/>
        </w:rPr>
        <w:t>czę</w:t>
      </w:r>
      <w:r w:rsidRPr="008B4DA2">
        <w:rPr>
          <w:rStyle w:val="normaltextrun"/>
          <w:noProof/>
        </w:rPr>
        <w:t>ści gwarantują poziom bezpieczeństwa ruchu drogowego na tyle porównywalny</w:t>
      </w:r>
      <w:r w:rsidR="00B83C93" w:rsidRPr="008B4DA2">
        <w:rPr>
          <w:rStyle w:val="normaltextrun"/>
          <w:noProof/>
        </w:rPr>
        <w:t xml:space="preserve"> z</w:t>
      </w:r>
      <w:r w:rsidR="00B83C93">
        <w:rPr>
          <w:rStyle w:val="normaltextrun"/>
          <w:noProof/>
        </w:rPr>
        <w:t> </w:t>
      </w:r>
      <w:r w:rsidR="00B83C93" w:rsidRPr="008B4DA2">
        <w:rPr>
          <w:rStyle w:val="normaltextrun"/>
          <w:noProof/>
        </w:rPr>
        <w:t>poz</w:t>
      </w:r>
      <w:r w:rsidRPr="008B4DA2">
        <w:rPr>
          <w:rStyle w:val="normaltextrun"/>
          <w:noProof/>
        </w:rPr>
        <w:t>iomem</w:t>
      </w:r>
      <w:r w:rsidR="00B83C93" w:rsidRPr="008B4DA2">
        <w:rPr>
          <w:rStyle w:val="normaltextrun"/>
          <w:noProof/>
        </w:rPr>
        <w:t xml:space="preserve"> w</w:t>
      </w:r>
      <w:r w:rsidR="00B83C93">
        <w:rPr>
          <w:rStyle w:val="normaltextrun"/>
          <w:noProof/>
        </w:rPr>
        <w:t> </w:t>
      </w:r>
      <w:r w:rsidR="00B83C93" w:rsidRPr="008B4DA2">
        <w:rPr>
          <w:rStyle w:val="normaltextrun"/>
          <w:noProof/>
        </w:rPr>
        <w:t>Uni</w:t>
      </w:r>
      <w:r w:rsidRPr="008B4DA2">
        <w:rPr>
          <w:rStyle w:val="normaltextrun"/>
          <w:noProof/>
        </w:rPr>
        <w:t>i, aby umożliwić wymianę praw jazdy wydanych przez to państwo trzecie bez odnotowywania takiej wymiany</w:t>
      </w:r>
      <w:r w:rsidR="00B83C93" w:rsidRPr="008B4DA2">
        <w:rPr>
          <w:rStyle w:val="normaltextrun"/>
          <w:noProof/>
        </w:rPr>
        <w:t xml:space="preserve"> w</w:t>
      </w:r>
      <w:r w:rsidR="00B83C93">
        <w:rPr>
          <w:rStyle w:val="normaltextrun"/>
          <w:noProof/>
        </w:rPr>
        <w:t> </w:t>
      </w:r>
      <w:r w:rsidR="00B83C93" w:rsidRPr="008B4DA2">
        <w:rPr>
          <w:rStyle w:val="normaltextrun"/>
          <w:noProof/>
        </w:rPr>
        <w:t>pra</w:t>
      </w:r>
      <w:r w:rsidRPr="008B4DA2">
        <w:rPr>
          <w:rStyle w:val="normaltextrun"/>
          <w:noProof/>
        </w:rPr>
        <w:t xml:space="preserve">wie jazdy wydawanym przez państwo członkowskie. </w:t>
      </w:r>
    </w:p>
    <w:p w:rsidR="00BD67F9" w:rsidRPr="008B4DA2" w:rsidRDefault="00BD67F9" w:rsidP="007F5A7D">
      <w:pPr>
        <w:pStyle w:val="Text1"/>
        <w:rPr>
          <w:rStyle w:val="normaltextrun"/>
          <w:noProof/>
        </w:rPr>
      </w:pPr>
      <w:r w:rsidRPr="008B4DA2">
        <w:rPr>
          <w:rStyle w:val="normaltextrun"/>
          <w:noProof/>
        </w:rPr>
        <w:t xml:space="preserve">Decyzja wykonawcza zawiera co najmniej: </w:t>
      </w:r>
    </w:p>
    <w:p w:rsidR="00BD67F9" w:rsidRPr="008B4DA2" w:rsidRDefault="00DF60AC" w:rsidP="00DF60AC">
      <w:pPr>
        <w:pStyle w:val="Point1"/>
        <w:rPr>
          <w:noProof/>
        </w:rPr>
      </w:pPr>
      <w:r w:rsidRPr="008B4DA2">
        <w:rPr>
          <w:noProof/>
        </w:rPr>
        <w:t>a)</w:t>
      </w:r>
      <w:r w:rsidRPr="008B4DA2">
        <w:rPr>
          <w:noProof/>
        </w:rPr>
        <w:tab/>
      </w:r>
      <w:r w:rsidRPr="008B4DA2">
        <w:rPr>
          <w:rStyle w:val="normaltextrun"/>
          <w:noProof/>
        </w:rPr>
        <w:t>kategorie prawa jazdy,</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rych mowa</w:t>
      </w:r>
      <w:r w:rsidR="00B83C93" w:rsidRPr="008B4DA2">
        <w:rPr>
          <w:rStyle w:val="normaltextrun"/>
          <w:noProof/>
        </w:rPr>
        <w:t xml:space="preserve"> w</w:t>
      </w:r>
      <w:r w:rsidR="00B83C93">
        <w:rPr>
          <w:rStyle w:val="normaltextrun"/>
          <w:noProof/>
        </w:rPr>
        <w:t> </w:t>
      </w:r>
      <w:r w:rsidR="00B83C93" w:rsidRPr="00B83C93">
        <w:rPr>
          <w:rStyle w:val="normaltextrun"/>
          <w:noProof/>
        </w:rPr>
        <w:t>art</w:t>
      </w:r>
      <w:r w:rsidRPr="00B83C93">
        <w:rPr>
          <w:rStyle w:val="normaltextrun"/>
          <w:noProof/>
        </w:rPr>
        <w:t>.</w:t>
      </w:r>
      <w:r w:rsidR="00B83C93" w:rsidRPr="00B83C93">
        <w:rPr>
          <w:rStyle w:val="normaltextrun"/>
          <w:noProof/>
        </w:rPr>
        <w:t> </w:t>
      </w:r>
      <w:r w:rsidRPr="00B83C93">
        <w:rPr>
          <w:rStyle w:val="normaltextrun"/>
          <w:noProof/>
        </w:rPr>
        <w:t>6</w:t>
      </w:r>
      <w:r w:rsidRPr="008B4DA2">
        <w:rPr>
          <w:rStyle w:val="normaltextrun"/>
          <w:noProof/>
        </w:rPr>
        <w:t>,</w:t>
      </w:r>
      <w:r w:rsidR="00B83C93" w:rsidRPr="008B4DA2">
        <w:rPr>
          <w:rStyle w:val="normaltextrun"/>
          <w:noProof/>
        </w:rPr>
        <w:t xml:space="preserve"> w</w:t>
      </w:r>
      <w:r w:rsidR="00B83C93">
        <w:rPr>
          <w:rStyle w:val="normaltextrun"/>
          <w:noProof/>
        </w:rPr>
        <w:t> </w:t>
      </w:r>
      <w:r w:rsidR="00B83C93" w:rsidRPr="008B4DA2">
        <w:rPr>
          <w:rStyle w:val="normaltextrun"/>
          <w:noProof/>
        </w:rPr>
        <w:t>prz</w:t>
      </w:r>
      <w:r w:rsidRPr="008B4DA2">
        <w:rPr>
          <w:rStyle w:val="normaltextrun"/>
          <w:noProof/>
        </w:rPr>
        <w:t>ypadku których można dokonać wymiany bez odnotowywania jej</w:t>
      </w:r>
      <w:r w:rsidR="00B83C93" w:rsidRPr="008B4DA2">
        <w:rPr>
          <w:rStyle w:val="normaltextrun"/>
          <w:noProof/>
        </w:rPr>
        <w:t xml:space="preserve"> w</w:t>
      </w:r>
      <w:r w:rsidR="00B83C93">
        <w:rPr>
          <w:rStyle w:val="normaltextrun"/>
          <w:noProof/>
        </w:rPr>
        <w:t> </w:t>
      </w:r>
      <w:r w:rsidR="00B83C93" w:rsidRPr="008B4DA2">
        <w:rPr>
          <w:rStyle w:val="normaltextrun"/>
          <w:noProof/>
        </w:rPr>
        <w:t>pra</w:t>
      </w:r>
      <w:r w:rsidRPr="008B4DA2">
        <w:rPr>
          <w:rStyle w:val="normaltextrun"/>
          <w:noProof/>
        </w:rPr>
        <w:t>wie jazdy wydawanym przez państwo członkowskie;</w:t>
      </w:r>
      <w:r w:rsidRPr="008B4DA2">
        <w:rPr>
          <w:rStyle w:val="eop"/>
          <w:noProof/>
        </w:rPr>
        <w:t xml:space="preserve"> </w:t>
      </w:r>
    </w:p>
    <w:p w:rsidR="00BD67F9" w:rsidRPr="00B83C93" w:rsidRDefault="00DF60AC" w:rsidP="00DF60AC">
      <w:pPr>
        <w:pStyle w:val="Point1"/>
        <w:rPr>
          <w:rStyle w:val="normaltextrun"/>
          <w:noProof/>
        </w:rPr>
      </w:pPr>
      <w:r w:rsidRPr="008B4DA2">
        <w:rPr>
          <w:rStyle w:val="normaltextrun"/>
          <w:noProof/>
        </w:rPr>
        <w:t>b)</w:t>
      </w:r>
      <w:r w:rsidRPr="008B4DA2">
        <w:rPr>
          <w:noProof/>
        </w:rPr>
        <w:tab/>
      </w:r>
      <w:r w:rsidRPr="008B4DA2">
        <w:rPr>
          <w:rStyle w:val="normaltextrun"/>
          <w:noProof/>
        </w:rPr>
        <w:t xml:space="preserve">daty wydania praw jazdy państwa trzeciego, od których można dokonywać </w:t>
      </w:r>
      <w:r w:rsidR="00A670E1">
        <w:rPr>
          <w:rStyle w:val="normaltextrun"/>
          <w:noProof/>
        </w:rPr>
        <w:t xml:space="preserve">ich </w:t>
      </w:r>
      <w:r w:rsidRPr="008B4DA2">
        <w:rPr>
          <w:rStyle w:val="normaltextrun"/>
          <w:noProof/>
        </w:rPr>
        <w:t xml:space="preserve">wymiany bez </w:t>
      </w:r>
      <w:r w:rsidR="00A670E1">
        <w:rPr>
          <w:rStyle w:val="normaltextrun"/>
          <w:noProof/>
        </w:rPr>
        <w:t>adnotacji</w:t>
      </w:r>
      <w:r w:rsidR="00B83C93" w:rsidRPr="008B4DA2">
        <w:rPr>
          <w:rStyle w:val="normaltextrun"/>
          <w:noProof/>
        </w:rPr>
        <w:t xml:space="preserve"> w</w:t>
      </w:r>
      <w:r w:rsidR="00B83C93">
        <w:rPr>
          <w:rStyle w:val="normaltextrun"/>
          <w:noProof/>
        </w:rPr>
        <w:t> </w:t>
      </w:r>
      <w:r w:rsidR="00B83C93" w:rsidRPr="008B4DA2">
        <w:rPr>
          <w:rStyle w:val="normaltextrun"/>
          <w:noProof/>
        </w:rPr>
        <w:t>pra</w:t>
      </w:r>
      <w:r w:rsidRPr="008B4DA2">
        <w:rPr>
          <w:rStyle w:val="normaltextrun"/>
          <w:noProof/>
        </w:rPr>
        <w:t>wie jazdy wydawanym przez państwo członkowskie</w:t>
      </w:r>
      <w:r w:rsidRPr="00B83C93">
        <w:rPr>
          <w:rStyle w:val="normaltextrun"/>
          <w:noProof/>
        </w:rPr>
        <w:t>;</w:t>
      </w:r>
      <w:r w:rsidR="00B83C93" w:rsidRPr="00B83C93">
        <w:rPr>
          <w:rStyle w:val="normaltextrun"/>
          <w:noProof/>
        </w:rPr>
        <w:t xml:space="preserve"> </w:t>
      </w:r>
    </w:p>
    <w:p w:rsidR="00BD67F9" w:rsidRPr="008B4DA2" w:rsidRDefault="00DF60AC" w:rsidP="00DF60AC">
      <w:pPr>
        <w:pStyle w:val="Point1"/>
        <w:rPr>
          <w:noProof/>
        </w:rPr>
      </w:pPr>
      <w:r w:rsidRPr="008B4DA2">
        <w:rPr>
          <w:noProof/>
        </w:rPr>
        <w:t>c)</w:t>
      </w:r>
      <w:r w:rsidRPr="008B4DA2">
        <w:rPr>
          <w:noProof/>
        </w:rPr>
        <w:tab/>
      </w:r>
      <w:r w:rsidRPr="008B4DA2">
        <w:rPr>
          <w:rStyle w:val="normaltextrun"/>
          <w:noProof/>
        </w:rPr>
        <w:t>wszelkie ogólne warunki, których należy przestrzegać</w:t>
      </w:r>
      <w:r w:rsidR="00B83C93" w:rsidRPr="008B4DA2">
        <w:rPr>
          <w:rStyle w:val="normaltextrun"/>
          <w:noProof/>
        </w:rPr>
        <w:t xml:space="preserve"> w</w:t>
      </w:r>
      <w:r w:rsidR="00B83C93">
        <w:rPr>
          <w:rStyle w:val="normaltextrun"/>
          <w:noProof/>
        </w:rPr>
        <w:t> </w:t>
      </w:r>
      <w:r w:rsidR="00B83C93" w:rsidRPr="008B4DA2">
        <w:rPr>
          <w:rStyle w:val="normaltextrun"/>
          <w:noProof/>
        </w:rPr>
        <w:t>cel</w:t>
      </w:r>
      <w:r w:rsidRPr="008B4DA2">
        <w:rPr>
          <w:rStyle w:val="normaltextrun"/>
          <w:noProof/>
        </w:rPr>
        <w:t>u weryfikacji autentyczności dokumentu urzędowego podlegającego wymianie;</w:t>
      </w:r>
      <w:r w:rsidRPr="008B4DA2">
        <w:rPr>
          <w:rStyle w:val="eop"/>
          <w:noProof/>
        </w:rPr>
        <w:t xml:space="preserve"> </w:t>
      </w:r>
    </w:p>
    <w:p w:rsidR="00BD67F9" w:rsidRPr="008B4DA2" w:rsidRDefault="00DF60AC" w:rsidP="00DF60AC">
      <w:pPr>
        <w:pStyle w:val="Point1"/>
        <w:rPr>
          <w:rStyle w:val="normaltextrun"/>
          <w:noProof/>
        </w:rPr>
      </w:pPr>
      <w:r w:rsidRPr="008B4DA2">
        <w:rPr>
          <w:rStyle w:val="normaltextrun"/>
          <w:noProof/>
        </w:rPr>
        <w:t>d)</w:t>
      </w:r>
      <w:r w:rsidRPr="008B4DA2">
        <w:rPr>
          <w:noProof/>
        </w:rPr>
        <w:tab/>
      </w:r>
      <w:r w:rsidRPr="008B4DA2">
        <w:rPr>
          <w:rStyle w:val="normaltextrun"/>
          <w:noProof/>
        </w:rPr>
        <w:t>wszelkie ogólne warunki, jakie wnioskodawca musi spełnić – przed dokonaniem wymiany –</w:t>
      </w:r>
      <w:r w:rsidR="00B83C93" w:rsidRPr="008B4DA2">
        <w:rPr>
          <w:rStyle w:val="normaltextrun"/>
          <w:noProof/>
        </w:rPr>
        <w:t xml:space="preserve"> w</w:t>
      </w:r>
      <w:r w:rsidR="00B83C93">
        <w:rPr>
          <w:rStyle w:val="normaltextrun"/>
          <w:noProof/>
        </w:rPr>
        <w:t> </w:t>
      </w:r>
      <w:r w:rsidR="00B83C93" w:rsidRPr="008B4DA2">
        <w:rPr>
          <w:rStyle w:val="normaltextrun"/>
          <w:noProof/>
        </w:rPr>
        <w:t>cel</w:t>
      </w:r>
      <w:r w:rsidRPr="008B4DA2">
        <w:rPr>
          <w:rStyle w:val="normaltextrun"/>
          <w:noProof/>
        </w:rPr>
        <w:t>u wykazania zgodności ze standardami dotyczącymi stanu zdrowia określonymi</w:t>
      </w:r>
      <w:r w:rsidR="00B83C93" w:rsidRPr="008B4DA2">
        <w:rPr>
          <w:rStyle w:val="normaltextrun"/>
          <w:noProof/>
        </w:rPr>
        <w:t xml:space="preserve"> w</w:t>
      </w:r>
      <w:r w:rsidR="00B83C93">
        <w:rPr>
          <w:rStyle w:val="normaltextrun"/>
          <w:noProof/>
        </w:rPr>
        <w:t> </w:t>
      </w:r>
      <w:r w:rsidR="00B83C93" w:rsidRPr="008B4DA2">
        <w:rPr>
          <w:rStyle w:val="normaltextrun"/>
          <w:noProof/>
        </w:rPr>
        <w:t>zał</w:t>
      </w:r>
      <w:r w:rsidRPr="008B4DA2">
        <w:rPr>
          <w:rStyle w:val="normaltextrun"/>
          <w:noProof/>
        </w:rPr>
        <w:t>ączniku III.</w:t>
      </w:r>
      <w:r w:rsidRPr="008B4DA2">
        <w:rPr>
          <w:rStyle w:val="eop"/>
          <w:noProof/>
        </w:rPr>
        <w:t xml:space="preserve"> </w:t>
      </w:r>
    </w:p>
    <w:p w:rsidR="00BD67F9" w:rsidRPr="008B4DA2" w:rsidRDefault="00BD67F9" w:rsidP="00BD67F9">
      <w:pPr>
        <w:pStyle w:val="Text1"/>
        <w:rPr>
          <w:rStyle w:val="normaltextrun"/>
          <w:noProof/>
          <w:sz w:val="20"/>
          <w:szCs w:val="20"/>
        </w:rPr>
      </w:pPr>
      <w:r w:rsidRPr="008B4DA2">
        <w:rPr>
          <w:rStyle w:val="normaltextrun"/>
          <w:noProof/>
        </w:rPr>
        <w:t>W przypadku gdy prawo jazdy wnioskodawcy nie umożliwia zachowania zgodności</w:t>
      </w:r>
      <w:r w:rsidR="00B83C93" w:rsidRPr="008B4DA2">
        <w:rPr>
          <w:rStyle w:val="normaltextrun"/>
          <w:noProof/>
        </w:rPr>
        <w:t xml:space="preserve"> z</w:t>
      </w:r>
      <w:r w:rsidR="00B83C93">
        <w:rPr>
          <w:rStyle w:val="normaltextrun"/>
          <w:noProof/>
        </w:rPr>
        <w:t> </w:t>
      </w:r>
      <w:r w:rsidR="00B83C93" w:rsidRPr="008B4DA2">
        <w:rPr>
          <w:rStyle w:val="normaltextrun"/>
          <w:noProof/>
        </w:rPr>
        <w:t>aka</w:t>
      </w:r>
      <w:r w:rsidRPr="008B4DA2">
        <w:rPr>
          <w:rStyle w:val="normaltextrun"/>
          <w:noProof/>
        </w:rPr>
        <w:t xml:space="preserve">pitem drugim </w:t>
      </w:r>
      <w:r w:rsidRPr="00B83C93">
        <w:rPr>
          <w:rStyle w:val="normaltextrun"/>
          <w:noProof/>
        </w:rPr>
        <w:t>lit.</w:t>
      </w:r>
      <w:r w:rsidR="00B83C93" w:rsidRPr="00B83C93">
        <w:rPr>
          <w:rStyle w:val="normaltextrun"/>
          <w:noProof/>
        </w:rPr>
        <w:t> </w:t>
      </w:r>
      <w:r w:rsidRPr="00B83C93">
        <w:rPr>
          <w:rStyle w:val="normaltextrun"/>
          <w:noProof/>
        </w:rPr>
        <w:t>a)</w:t>
      </w:r>
      <w:r w:rsidRPr="008B4DA2">
        <w:rPr>
          <w:rStyle w:val="normaltextrun"/>
          <w:noProof/>
        </w:rPr>
        <w:t xml:space="preserve"> lub b) niniejszego ustępu, państwa członkowskie mogą podjąć decyzję</w:t>
      </w:r>
      <w:r w:rsidR="00B83C93" w:rsidRPr="008B4DA2">
        <w:rPr>
          <w:rStyle w:val="normaltextrun"/>
          <w:noProof/>
        </w:rPr>
        <w:t xml:space="preserve"> o</w:t>
      </w:r>
      <w:r w:rsidR="00B83C93">
        <w:rPr>
          <w:rStyle w:val="normaltextrun"/>
          <w:noProof/>
        </w:rPr>
        <w:t> </w:t>
      </w:r>
      <w:r w:rsidR="00B83C93" w:rsidRPr="008B4DA2">
        <w:rPr>
          <w:rStyle w:val="normaltextrun"/>
          <w:noProof/>
        </w:rPr>
        <w:t>wym</w:t>
      </w:r>
      <w:r w:rsidRPr="008B4DA2">
        <w:rPr>
          <w:rStyle w:val="normaltextrun"/>
          <w:noProof/>
        </w:rPr>
        <w:t>ianie prawa jazdy zgodnie</w:t>
      </w:r>
      <w:r w:rsidR="00B83C93" w:rsidRPr="008B4DA2">
        <w:rPr>
          <w:rStyle w:val="normaltextrun"/>
          <w:noProof/>
        </w:rPr>
        <w:t xml:space="preserve"> z</w:t>
      </w:r>
      <w:r w:rsidR="00B83C93">
        <w:rPr>
          <w:rStyle w:val="normaltextrun"/>
          <w:noProof/>
        </w:rPr>
        <w:t> </w:t>
      </w:r>
      <w:r w:rsidR="00B83C93" w:rsidRPr="00B83C93">
        <w:rPr>
          <w:rStyle w:val="normaltextrun"/>
          <w:noProof/>
        </w:rPr>
        <w:t>ust</w:t>
      </w:r>
      <w:r w:rsidRPr="00B83C93">
        <w:rPr>
          <w:rStyle w:val="normaltextrun"/>
          <w:noProof/>
        </w:rPr>
        <w:t>.</w:t>
      </w:r>
      <w:r w:rsidR="00B83C93" w:rsidRPr="00B83C93">
        <w:rPr>
          <w:rStyle w:val="normaltextrun"/>
          <w:noProof/>
        </w:rPr>
        <w:t> </w:t>
      </w:r>
      <w:r w:rsidRPr="00B83C93">
        <w:rPr>
          <w:rStyle w:val="normaltextrun"/>
          <w:noProof/>
        </w:rPr>
        <w:t>2</w:t>
      </w:r>
      <w:r w:rsidRPr="008B4DA2">
        <w:rPr>
          <w:rStyle w:val="normaltextrun"/>
          <w:noProof/>
        </w:rPr>
        <w:t>. Jeżeli wnioskodawca nie jest</w:t>
      </w:r>
      <w:r w:rsidR="00B83C93" w:rsidRPr="008B4DA2">
        <w:rPr>
          <w:rStyle w:val="normaltextrun"/>
          <w:noProof/>
        </w:rPr>
        <w:t xml:space="preserve"> w</w:t>
      </w:r>
      <w:r w:rsidR="00B83C93">
        <w:rPr>
          <w:rStyle w:val="normaltextrun"/>
          <w:noProof/>
        </w:rPr>
        <w:t> </w:t>
      </w:r>
      <w:r w:rsidR="00B83C93" w:rsidRPr="008B4DA2">
        <w:rPr>
          <w:rStyle w:val="normaltextrun"/>
          <w:noProof/>
        </w:rPr>
        <w:t>sta</w:t>
      </w:r>
      <w:r w:rsidRPr="008B4DA2">
        <w:rPr>
          <w:rStyle w:val="normaltextrun"/>
          <w:noProof/>
        </w:rPr>
        <w:t>nie spełnić warunków wynikających</w:t>
      </w:r>
      <w:r w:rsidR="00B83C93" w:rsidRPr="008B4DA2">
        <w:rPr>
          <w:rStyle w:val="normaltextrun"/>
          <w:noProof/>
        </w:rPr>
        <w:t xml:space="preserve"> z</w:t>
      </w:r>
      <w:r w:rsidR="00B83C93">
        <w:rPr>
          <w:rStyle w:val="normaltextrun"/>
          <w:noProof/>
        </w:rPr>
        <w:t> </w:t>
      </w:r>
      <w:r w:rsidR="00B83C93" w:rsidRPr="008B4DA2">
        <w:rPr>
          <w:rStyle w:val="normaltextrun"/>
          <w:noProof/>
        </w:rPr>
        <w:t>aka</w:t>
      </w:r>
      <w:r w:rsidRPr="008B4DA2">
        <w:rPr>
          <w:rStyle w:val="normaltextrun"/>
          <w:noProof/>
        </w:rPr>
        <w:t xml:space="preserve">pitu drugiego </w:t>
      </w:r>
      <w:r w:rsidRPr="00B83C93">
        <w:rPr>
          <w:rStyle w:val="normaltextrun"/>
          <w:noProof/>
        </w:rPr>
        <w:t>lit.</w:t>
      </w:r>
      <w:r w:rsidR="00B83C93" w:rsidRPr="00B83C93">
        <w:rPr>
          <w:rStyle w:val="normaltextrun"/>
          <w:noProof/>
        </w:rPr>
        <w:t> </w:t>
      </w:r>
      <w:r w:rsidRPr="00B83C93">
        <w:rPr>
          <w:rStyle w:val="normaltextrun"/>
          <w:noProof/>
        </w:rPr>
        <w:t>c)</w:t>
      </w:r>
      <w:r w:rsidRPr="008B4DA2">
        <w:rPr>
          <w:rStyle w:val="normaltextrun"/>
          <w:noProof/>
        </w:rPr>
        <w:t xml:space="preserve"> lub d) niniejszego ustępu, państwa członkowskie odmawiają dokonania wymiany prawa jazdy.</w:t>
      </w:r>
      <w:r w:rsidRPr="008B4DA2">
        <w:rPr>
          <w:rStyle w:val="eop"/>
          <w:noProof/>
        </w:rPr>
        <w:t xml:space="preserve"> Wszelkie dodatkowe warunki, jakie może zawierać decyzja wykonawcza, przewidują albo możliwość zastosowania przepisów krajowych państwa członkowskiego zgodnie</w:t>
      </w:r>
      <w:r w:rsidR="00B83C93" w:rsidRPr="008B4DA2">
        <w:rPr>
          <w:rStyle w:val="eop"/>
          <w:noProof/>
        </w:rPr>
        <w:t xml:space="preserve"> z</w:t>
      </w:r>
      <w:r w:rsidR="00B83C93">
        <w:rPr>
          <w:rStyle w:val="eop"/>
          <w:noProof/>
        </w:rPr>
        <w:t> </w:t>
      </w:r>
      <w:r w:rsidR="00B83C93" w:rsidRPr="00B83C93">
        <w:rPr>
          <w:rStyle w:val="eop"/>
          <w:noProof/>
        </w:rPr>
        <w:t>ust</w:t>
      </w:r>
      <w:r w:rsidRPr="00B83C93">
        <w:rPr>
          <w:rStyle w:val="eop"/>
          <w:noProof/>
        </w:rPr>
        <w:t>.</w:t>
      </w:r>
      <w:r w:rsidR="00B83C93" w:rsidRPr="00B83C93">
        <w:rPr>
          <w:rStyle w:val="eop"/>
          <w:noProof/>
        </w:rPr>
        <w:t> </w:t>
      </w:r>
      <w:r w:rsidRPr="00B83C93">
        <w:rPr>
          <w:rStyle w:val="eop"/>
          <w:noProof/>
        </w:rPr>
        <w:t>2</w:t>
      </w:r>
      <w:r w:rsidRPr="008B4DA2">
        <w:rPr>
          <w:rStyle w:val="eop"/>
          <w:noProof/>
        </w:rPr>
        <w:t>, albo odmowę dokonania wymiany prawa jazdy, jeżeli wnioskodawca nie spełnia takich warunków.</w:t>
      </w:r>
    </w:p>
    <w:p w:rsidR="00BD67F9" w:rsidRPr="008B4DA2" w:rsidRDefault="00BD67F9" w:rsidP="00BD67F9">
      <w:pPr>
        <w:pStyle w:val="Text1"/>
        <w:rPr>
          <w:rStyle w:val="normaltextrun"/>
          <w:noProof/>
        </w:rPr>
      </w:pPr>
      <w:r w:rsidRPr="008B4DA2">
        <w:rPr>
          <w:rStyle w:val="normaltextrun"/>
          <w:noProof/>
        </w:rPr>
        <w:t>Decyzje wykonawcze przyjmuje się zgodnie</w:t>
      </w:r>
      <w:r w:rsidR="00B83C93" w:rsidRPr="008B4DA2">
        <w:rPr>
          <w:rStyle w:val="normaltextrun"/>
          <w:noProof/>
        </w:rPr>
        <w:t xml:space="preserve"> z</w:t>
      </w:r>
      <w:r w:rsidR="00B83C93">
        <w:rPr>
          <w:rStyle w:val="normaltextrun"/>
          <w:noProof/>
        </w:rPr>
        <w:t> </w:t>
      </w:r>
      <w:r w:rsidR="00B83C93" w:rsidRPr="008B4DA2">
        <w:rPr>
          <w:rStyle w:val="normaltextrun"/>
          <w:noProof/>
        </w:rPr>
        <w:t>pro</w:t>
      </w:r>
      <w:r w:rsidRPr="008B4DA2">
        <w:rPr>
          <w:rStyle w:val="normaltextrun"/>
          <w:noProof/>
        </w:rPr>
        <w:t>cedurą sprawdzającą,</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rej mowa</w:t>
      </w:r>
      <w:r w:rsidR="00B83C93" w:rsidRPr="008B4DA2">
        <w:rPr>
          <w:rStyle w:val="normaltextrun"/>
          <w:noProof/>
        </w:rPr>
        <w:t xml:space="preserve"> w</w:t>
      </w:r>
      <w:r w:rsidR="00B83C93">
        <w:rPr>
          <w:rStyle w:val="normaltextrun"/>
          <w:noProof/>
        </w:rPr>
        <w:t> </w:t>
      </w:r>
      <w:r w:rsidR="00B83C93" w:rsidRPr="008B4DA2">
        <w:rPr>
          <w:rStyle w:val="normaltextrun"/>
          <w:noProof/>
        </w:rPr>
        <w:t>art</w:t>
      </w:r>
      <w:r w:rsidRPr="008B4DA2">
        <w:rPr>
          <w:rStyle w:val="normaltextrun"/>
          <w:noProof/>
        </w:rPr>
        <w:t xml:space="preserve">. 22 ust. 2. </w:t>
      </w:r>
    </w:p>
    <w:p w:rsidR="00BD67F9" w:rsidRPr="008B4DA2" w:rsidRDefault="00DF60AC" w:rsidP="00DF60AC">
      <w:pPr>
        <w:pStyle w:val="ManualNumPar1"/>
        <w:rPr>
          <w:rStyle w:val="normaltextrun"/>
          <w:noProof/>
        </w:rPr>
      </w:pPr>
      <w:r w:rsidRPr="008B4DA2">
        <w:rPr>
          <w:rStyle w:val="normaltextrun"/>
          <w:noProof/>
        </w:rPr>
        <w:t>8.</w:t>
      </w:r>
      <w:r w:rsidRPr="008B4DA2">
        <w:rPr>
          <w:noProof/>
        </w:rPr>
        <w:tab/>
      </w:r>
      <w:r w:rsidRPr="008B4DA2">
        <w:rPr>
          <w:rStyle w:val="normaltextrun"/>
          <w:noProof/>
        </w:rPr>
        <w:t>Decyzja wykonawcza,</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rej mowa</w:t>
      </w:r>
      <w:r w:rsidR="00B83C93" w:rsidRPr="008B4DA2">
        <w:rPr>
          <w:rStyle w:val="normaltextrun"/>
          <w:noProof/>
        </w:rPr>
        <w:t xml:space="preserve"> w</w:t>
      </w:r>
      <w:r w:rsidR="00B83C93">
        <w:rPr>
          <w:rStyle w:val="normaltextrun"/>
          <w:noProof/>
        </w:rPr>
        <w:t> </w:t>
      </w:r>
      <w:r w:rsidR="00B83C93" w:rsidRPr="00B83C93">
        <w:rPr>
          <w:rStyle w:val="normaltextrun"/>
          <w:noProof/>
        </w:rPr>
        <w:t>ust</w:t>
      </w:r>
      <w:r w:rsidRPr="00B83C93">
        <w:rPr>
          <w:rStyle w:val="normaltextrun"/>
          <w:noProof/>
        </w:rPr>
        <w:t>.</w:t>
      </w:r>
      <w:r w:rsidR="00B83C93" w:rsidRPr="00B83C93">
        <w:rPr>
          <w:rStyle w:val="normaltextrun"/>
          <w:noProof/>
        </w:rPr>
        <w:t> </w:t>
      </w:r>
      <w:r w:rsidRPr="00B83C93">
        <w:rPr>
          <w:rStyle w:val="normaltextrun"/>
          <w:noProof/>
        </w:rPr>
        <w:t>7</w:t>
      </w:r>
      <w:r w:rsidRPr="008B4DA2">
        <w:rPr>
          <w:rStyle w:val="normaltextrun"/>
          <w:noProof/>
        </w:rPr>
        <w:t>, przewiduje okresowy przegląd sytuacji bezpieczeństwa ruchu drogowego</w:t>
      </w:r>
      <w:r w:rsidR="00B83C93" w:rsidRPr="008B4DA2">
        <w:rPr>
          <w:rStyle w:val="normaltextrun"/>
          <w:noProof/>
        </w:rPr>
        <w:t xml:space="preserve"> w</w:t>
      </w:r>
      <w:r w:rsidR="00B83C93">
        <w:rPr>
          <w:rStyle w:val="normaltextrun"/>
          <w:noProof/>
        </w:rPr>
        <w:t> </w:t>
      </w:r>
      <w:r w:rsidR="00B83C93" w:rsidRPr="008B4DA2">
        <w:rPr>
          <w:rStyle w:val="normaltextrun"/>
          <w:noProof/>
        </w:rPr>
        <w:t>dan</w:t>
      </w:r>
      <w:r w:rsidRPr="008B4DA2">
        <w:rPr>
          <w:rStyle w:val="normaltextrun"/>
          <w:noProof/>
        </w:rPr>
        <w:t>ym państwie trzecim przeprowadzany co najmniej raz na cztery lata</w:t>
      </w:r>
      <w:r w:rsidR="00B83C93" w:rsidRPr="008B4DA2">
        <w:rPr>
          <w:rStyle w:val="normaltextrun"/>
          <w:noProof/>
        </w:rPr>
        <w:t>. W</w:t>
      </w:r>
      <w:r w:rsidR="00B83C93">
        <w:rPr>
          <w:rStyle w:val="normaltextrun"/>
          <w:noProof/>
        </w:rPr>
        <w:t> </w:t>
      </w:r>
      <w:r w:rsidR="00B83C93" w:rsidRPr="008B4DA2">
        <w:rPr>
          <w:rStyle w:val="normaltextrun"/>
          <w:noProof/>
        </w:rPr>
        <w:t>zal</w:t>
      </w:r>
      <w:r w:rsidRPr="008B4DA2">
        <w:rPr>
          <w:rStyle w:val="normaltextrun"/>
          <w:noProof/>
        </w:rPr>
        <w:t>eżności od wyników przeglądu Komisja utrzymuje</w:t>
      </w:r>
      <w:r w:rsidR="00B83C93" w:rsidRPr="008B4DA2">
        <w:rPr>
          <w:rStyle w:val="normaltextrun"/>
          <w:noProof/>
        </w:rPr>
        <w:t xml:space="preserve"> w</w:t>
      </w:r>
      <w:r w:rsidR="00B83C93">
        <w:rPr>
          <w:rStyle w:val="normaltextrun"/>
          <w:noProof/>
        </w:rPr>
        <w:t> </w:t>
      </w:r>
      <w:r w:rsidR="00B83C93" w:rsidRPr="008B4DA2">
        <w:rPr>
          <w:rStyle w:val="normaltextrun"/>
          <w:noProof/>
        </w:rPr>
        <w:t>moc</w:t>
      </w:r>
      <w:r w:rsidRPr="008B4DA2">
        <w:rPr>
          <w:rStyle w:val="normaltextrun"/>
          <w:noProof/>
        </w:rPr>
        <w:t>y, zmienia lub zawiesza –</w:t>
      </w:r>
      <w:r w:rsidR="00B83C93" w:rsidRPr="008B4DA2">
        <w:rPr>
          <w:rStyle w:val="normaltextrun"/>
          <w:noProof/>
        </w:rPr>
        <w:t xml:space="preserve"> w</w:t>
      </w:r>
      <w:r w:rsidR="00B83C93">
        <w:rPr>
          <w:rStyle w:val="normaltextrun"/>
          <w:noProof/>
        </w:rPr>
        <w:t> </w:t>
      </w:r>
      <w:r w:rsidR="00B83C93" w:rsidRPr="008B4DA2">
        <w:rPr>
          <w:rStyle w:val="normaltextrun"/>
          <w:noProof/>
        </w:rPr>
        <w:t>nie</w:t>
      </w:r>
      <w:r w:rsidRPr="008B4DA2">
        <w:rPr>
          <w:rStyle w:val="normaltextrun"/>
          <w:noProof/>
        </w:rPr>
        <w:t>zbędnym zakresie – bądź uchyla decyzję wykonawczą,</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rej mowa</w:t>
      </w:r>
      <w:r w:rsidR="00B83C93" w:rsidRPr="008B4DA2">
        <w:rPr>
          <w:rStyle w:val="normaltextrun"/>
          <w:noProof/>
        </w:rPr>
        <w:t xml:space="preserve"> w</w:t>
      </w:r>
      <w:r w:rsidR="00B83C93">
        <w:rPr>
          <w:rStyle w:val="normaltextrun"/>
          <w:noProof/>
        </w:rPr>
        <w:t> </w:t>
      </w:r>
      <w:r w:rsidR="00B83C93" w:rsidRPr="008B4DA2">
        <w:rPr>
          <w:rStyle w:val="normaltextrun"/>
          <w:noProof/>
        </w:rPr>
        <w:t>ust</w:t>
      </w:r>
      <w:r w:rsidRPr="008B4DA2">
        <w:rPr>
          <w:rStyle w:val="normaltextrun"/>
          <w:noProof/>
        </w:rPr>
        <w:t>. 7.</w:t>
      </w:r>
    </w:p>
    <w:p w:rsidR="00BD67F9" w:rsidRPr="008B4DA2" w:rsidRDefault="00DF60AC" w:rsidP="00DF60AC">
      <w:pPr>
        <w:pStyle w:val="ManualNumPar1"/>
        <w:rPr>
          <w:rStyle w:val="normaltextrun"/>
          <w:noProof/>
        </w:rPr>
      </w:pPr>
      <w:r w:rsidRPr="008B4DA2">
        <w:rPr>
          <w:rStyle w:val="normaltextrun"/>
          <w:noProof/>
        </w:rPr>
        <w:t>9.</w:t>
      </w:r>
      <w:r w:rsidRPr="008B4DA2">
        <w:rPr>
          <w:noProof/>
        </w:rPr>
        <w:tab/>
      </w:r>
      <w:r w:rsidRPr="008B4DA2">
        <w:rPr>
          <w:rStyle w:val="normaltextrun"/>
          <w:noProof/>
        </w:rPr>
        <w:t>Komisja publikuje</w:t>
      </w:r>
      <w:r w:rsidR="00B83C93" w:rsidRPr="008B4DA2">
        <w:rPr>
          <w:rStyle w:val="normaltextrun"/>
          <w:noProof/>
        </w:rPr>
        <w:t xml:space="preserve"> w</w:t>
      </w:r>
      <w:r w:rsidR="00B83C93">
        <w:rPr>
          <w:rStyle w:val="normaltextrun"/>
          <w:noProof/>
        </w:rPr>
        <w:t> </w:t>
      </w:r>
      <w:r w:rsidR="00B83C93" w:rsidRPr="008B4DA2">
        <w:rPr>
          <w:rStyle w:val="normaltextrun"/>
          <w:i/>
          <w:noProof/>
        </w:rPr>
        <w:t>Dzi</w:t>
      </w:r>
      <w:r w:rsidRPr="008B4DA2">
        <w:rPr>
          <w:rStyle w:val="normaltextrun"/>
          <w:i/>
          <w:noProof/>
        </w:rPr>
        <w:t>enniku Urzędowym Unii Europejskiej</w:t>
      </w:r>
      <w:r w:rsidRPr="008B4DA2">
        <w:rPr>
          <w:rStyle w:val="normaltextrun"/>
          <w:noProof/>
        </w:rPr>
        <w:t xml:space="preserve"> i na swojej stronie internetowej wykaz państw trzecich, które są objęte decyzją wykonawczą zgodnie</w:t>
      </w:r>
      <w:r w:rsidR="00B83C93" w:rsidRPr="008B4DA2">
        <w:rPr>
          <w:rStyle w:val="normaltextrun"/>
          <w:noProof/>
        </w:rPr>
        <w:t xml:space="preserve"> z</w:t>
      </w:r>
      <w:r w:rsidR="00B83C93">
        <w:rPr>
          <w:rStyle w:val="normaltextrun"/>
          <w:noProof/>
        </w:rPr>
        <w:t> </w:t>
      </w:r>
      <w:r w:rsidR="00B83C93" w:rsidRPr="00B83C93">
        <w:rPr>
          <w:rStyle w:val="normaltextrun"/>
          <w:noProof/>
        </w:rPr>
        <w:t>ust</w:t>
      </w:r>
      <w:r w:rsidRPr="00B83C93">
        <w:rPr>
          <w:rStyle w:val="normaltextrun"/>
          <w:noProof/>
        </w:rPr>
        <w:t>.</w:t>
      </w:r>
      <w:r w:rsidR="00B83C93" w:rsidRPr="00B83C93">
        <w:rPr>
          <w:rStyle w:val="normaltextrun"/>
          <w:noProof/>
        </w:rPr>
        <w:t> </w:t>
      </w:r>
      <w:r w:rsidRPr="00B83C93">
        <w:rPr>
          <w:rStyle w:val="normaltextrun"/>
          <w:noProof/>
        </w:rPr>
        <w:t>7</w:t>
      </w:r>
      <w:r w:rsidRPr="008B4DA2">
        <w:rPr>
          <w:rStyle w:val="normaltextrun"/>
          <w:noProof/>
        </w:rPr>
        <w:t>,</w:t>
      </w:r>
      <w:r w:rsidR="00B83C93" w:rsidRPr="008B4DA2">
        <w:rPr>
          <w:rStyle w:val="normaltextrun"/>
          <w:noProof/>
        </w:rPr>
        <w:t xml:space="preserve"> a</w:t>
      </w:r>
      <w:r w:rsidR="00B83C93">
        <w:rPr>
          <w:rStyle w:val="normaltextrun"/>
          <w:noProof/>
        </w:rPr>
        <w:t> </w:t>
      </w:r>
      <w:r w:rsidR="00B83C93" w:rsidRPr="008B4DA2">
        <w:rPr>
          <w:rStyle w:val="normaltextrun"/>
          <w:noProof/>
        </w:rPr>
        <w:t>tak</w:t>
      </w:r>
      <w:r w:rsidRPr="008B4DA2">
        <w:rPr>
          <w:rStyle w:val="normaltextrun"/>
          <w:noProof/>
        </w:rPr>
        <w:t>że publikuje odpowiednio wszelkie istotne zmiany dokonane zgodnie</w:t>
      </w:r>
      <w:r w:rsidR="00B83C93" w:rsidRPr="008B4DA2">
        <w:rPr>
          <w:rStyle w:val="normaltextrun"/>
          <w:noProof/>
        </w:rPr>
        <w:t xml:space="preserve"> z</w:t>
      </w:r>
      <w:r w:rsidR="00B83C93">
        <w:rPr>
          <w:rStyle w:val="normaltextrun"/>
          <w:noProof/>
        </w:rPr>
        <w:t> </w:t>
      </w:r>
      <w:r w:rsidR="00B83C93" w:rsidRPr="00B83C93">
        <w:rPr>
          <w:rStyle w:val="normaltextrun"/>
          <w:noProof/>
        </w:rPr>
        <w:t>ust</w:t>
      </w:r>
      <w:r w:rsidRPr="00B83C93">
        <w:rPr>
          <w:rStyle w:val="normaltextrun"/>
          <w:noProof/>
        </w:rPr>
        <w:t>.</w:t>
      </w:r>
      <w:r w:rsidR="00B83C93" w:rsidRPr="00B83C93">
        <w:rPr>
          <w:rStyle w:val="normaltextrun"/>
          <w:noProof/>
        </w:rPr>
        <w:t> </w:t>
      </w:r>
      <w:r w:rsidRPr="00B83C93">
        <w:rPr>
          <w:rStyle w:val="normaltextrun"/>
          <w:noProof/>
        </w:rPr>
        <w:t>9</w:t>
      </w:r>
      <w:r w:rsidRPr="008B4DA2">
        <w:rPr>
          <w:rStyle w:val="normaltextrun"/>
          <w:noProof/>
        </w:rPr>
        <w:t>.</w:t>
      </w:r>
    </w:p>
    <w:p w:rsidR="00BD67F9" w:rsidRPr="008B4DA2" w:rsidRDefault="00DF60AC" w:rsidP="00DF60AC">
      <w:pPr>
        <w:pStyle w:val="ManualNumPar1"/>
        <w:rPr>
          <w:rStyle w:val="normaltextrun"/>
          <w:noProof/>
        </w:rPr>
      </w:pPr>
      <w:r w:rsidRPr="008B4DA2">
        <w:rPr>
          <w:rStyle w:val="normaltextrun"/>
          <w:noProof/>
        </w:rPr>
        <w:t>10.</w:t>
      </w:r>
      <w:r w:rsidRPr="008B4DA2">
        <w:rPr>
          <w:noProof/>
        </w:rPr>
        <w:tab/>
      </w:r>
      <w:r w:rsidRPr="008B4DA2">
        <w:rPr>
          <w:rStyle w:val="normaltextrun"/>
          <w:noProof/>
        </w:rPr>
        <w:t>Komisja ustanawia sieć wiedzy</w:t>
      </w:r>
      <w:r w:rsidR="00B83C93" w:rsidRPr="008B4DA2">
        <w:rPr>
          <w:rStyle w:val="normaltextrun"/>
          <w:noProof/>
        </w:rPr>
        <w:t xml:space="preserve"> w</w:t>
      </w:r>
      <w:r w:rsidR="00B83C93">
        <w:rPr>
          <w:rStyle w:val="normaltextrun"/>
          <w:noProof/>
        </w:rPr>
        <w:t> </w:t>
      </w:r>
      <w:r w:rsidR="00B83C93" w:rsidRPr="008B4DA2">
        <w:rPr>
          <w:rStyle w:val="normaltextrun"/>
          <w:noProof/>
        </w:rPr>
        <w:t>cel</w:t>
      </w:r>
      <w:r w:rsidRPr="008B4DA2">
        <w:rPr>
          <w:rStyle w:val="normaltextrun"/>
          <w:noProof/>
        </w:rPr>
        <w:t>u gromadzenia, przetwarzania</w:t>
      </w:r>
      <w:r w:rsidR="00B83C93" w:rsidRPr="008B4DA2">
        <w:rPr>
          <w:rStyle w:val="normaltextrun"/>
          <w:noProof/>
        </w:rPr>
        <w:t xml:space="preserve"> i</w:t>
      </w:r>
      <w:r w:rsidR="00B83C93">
        <w:rPr>
          <w:rStyle w:val="normaltextrun"/>
          <w:noProof/>
        </w:rPr>
        <w:t> </w:t>
      </w:r>
      <w:r w:rsidR="00B83C93" w:rsidRPr="008B4DA2">
        <w:rPr>
          <w:rStyle w:val="normaltextrun"/>
          <w:noProof/>
        </w:rPr>
        <w:t>roz</w:t>
      </w:r>
      <w:r w:rsidRPr="008B4DA2">
        <w:rPr>
          <w:rStyle w:val="normaltextrun"/>
          <w:noProof/>
        </w:rPr>
        <w:t>powszechniania wiedzy</w:t>
      </w:r>
      <w:r w:rsidR="00B83C93" w:rsidRPr="008B4DA2">
        <w:rPr>
          <w:rStyle w:val="normaltextrun"/>
          <w:noProof/>
        </w:rPr>
        <w:t xml:space="preserve"> i</w:t>
      </w:r>
      <w:r w:rsidR="00B83C93">
        <w:rPr>
          <w:rStyle w:val="normaltextrun"/>
          <w:noProof/>
        </w:rPr>
        <w:t> </w:t>
      </w:r>
      <w:r w:rsidR="00B83C93" w:rsidRPr="008B4DA2">
        <w:rPr>
          <w:rStyle w:val="normaltextrun"/>
          <w:noProof/>
        </w:rPr>
        <w:t>inf</w:t>
      </w:r>
      <w:r w:rsidRPr="008B4DA2">
        <w:rPr>
          <w:rStyle w:val="normaltextrun"/>
          <w:noProof/>
        </w:rPr>
        <w:t>ormacji na temat najlepszych praktyk dotyczących integracji zagranicznych kierowców zawodowych na rynku wewnętrznym. Do sieci tej należą odpowiednie organy państw członkowskich, centra doskonałości, uniwersytety</w:t>
      </w:r>
      <w:r w:rsidR="00B83C93" w:rsidRPr="008B4DA2">
        <w:rPr>
          <w:rStyle w:val="normaltextrun"/>
          <w:noProof/>
        </w:rPr>
        <w:t xml:space="preserve"> i</w:t>
      </w:r>
      <w:r w:rsidR="00B83C93">
        <w:rPr>
          <w:rStyle w:val="normaltextrun"/>
          <w:noProof/>
        </w:rPr>
        <w:t> </w:t>
      </w:r>
      <w:r w:rsidR="00B83C93" w:rsidRPr="008B4DA2">
        <w:rPr>
          <w:rStyle w:val="normaltextrun"/>
          <w:noProof/>
        </w:rPr>
        <w:t>nau</w:t>
      </w:r>
      <w:r w:rsidRPr="008B4DA2">
        <w:rPr>
          <w:rStyle w:val="normaltextrun"/>
          <w:noProof/>
        </w:rPr>
        <w:t>kowcy, odpowiedni partnerzy społeczni</w:t>
      </w:r>
      <w:r w:rsidR="00B83C93" w:rsidRPr="008B4DA2">
        <w:rPr>
          <w:rStyle w:val="normaltextrun"/>
          <w:noProof/>
        </w:rPr>
        <w:t xml:space="preserve"> i</w:t>
      </w:r>
      <w:r w:rsidR="00B83C93">
        <w:rPr>
          <w:rStyle w:val="normaltextrun"/>
          <w:noProof/>
        </w:rPr>
        <w:t> </w:t>
      </w:r>
      <w:r w:rsidR="00B83C93" w:rsidRPr="008B4DA2">
        <w:rPr>
          <w:rStyle w:val="normaltextrun"/>
          <w:noProof/>
        </w:rPr>
        <w:t>inn</w:t>
      </w:r>
      <w:r w:rsidRPr="008B4DA2">
        <w:rPr>
          <w:rStyle w:val="normaltextrun"/>
          <w:noProof/>
        </w:rPr>
        <w:t>e odpowiednie podmioty</w:t>
      </w:r>
      <w:r w:rsidR="00B83C93" w:rsidRPr="008B4DA2">
        <w:rPr>
          <w:rStyle w:val="normaltextrun"/>
          <w:noProof/>
        </w:rPr>
        <w:t xml:space="preserve"> z</w:t>
      </w:r>
      <w:r w:rsidR="00B83C93">
        <w:rPr>
          <w:rStyle w:val="normaltextrun"/>
          <w:noProof/>
        </w:rPr>
        <w:t> </w:t>
      </w:r>
      <w:r w:rsidR="00B83C93" w:rsidRPr="008B4DA2">
        <w:rPr>
          <w:rStyle w:val="normaltextrun"/>
          <w:noProof/>
        </w:rPr>
        <w:t>sek</w:t>
      </w:r>
      <w:r w:rsidRPr="008B4DA2">
        <w:rPr>
          <w:rStyle w:val="normaltextrun"/>
          <w:noProof/>
        </w:rPr>
        <w:t xml:space="preserve">tora transportu drogowego. </w:t>
      </w:r>
    </w:p>
    <w:p w:rsidR="00BD67F9" w:rsidRPr="008B4DA2" w:rsidRDefault="00BD67F9" w:rsidP="00BD67F9">
      <w:pPr>
        <w:pStyle w:val="Titrearticle"/>
        <w:rPr>
          <w:noProof/>
        </w:rPr>
      </w:pPr>
      <w:r w:rsidRPr="008B4DA2">
        <w:rPr>
          <w:noProof/>
        </w:rPr>
        <w:t>Artykuł 13</w:t>
      </w:r>
    </w:p>
    <w:p w:rsidR="00BD67F9" w:rsidRPr="008B4DA2" w:rsidRDefault="00BD67F9" w:rsidP="00BD67F9">
      <w:pPr>
        <w:spacing w:line="257" w:lineRule="auto"/>
        <w:jc w:val="center"/>
        <w:rPr>
          <w:noProof/>
        </w:rPr>
      </w:pPr>
      <w:r w:rsidRPr="008B4DA2">
        <w:rPr>
          <w:b/>
          <w:noProof/>
        </w:rPr>
        <w:t>Skutki ograniczenia, zawieszenia, cofnięcia lub unieważnienia uprawnień do kierowania pojazdami lub prawa jazdy</w:t>
      </w:r>
    </w:p>
    <w:p w:rsidR="00BD67F9" w:rsidRPr="008B4DA2" w:rsidRDefault="00DF60AC" w:rsidP="00DF60AC">
      <w:pPr>
        <w:pStyle w:val="ManualNumPar1"/>
        <w:rPr>
          <w:rStyle w:val="normaltextrun"/>
          <w:noProof/>
        </w:rPr>
      </w:pPr>
      <w:r w:rsidRPr="008B4DA2">
        <w:rPr>
          <w:rStyle w:val="normaltextrun"/>
          <w:noProof/>
        </w:rPr>
        <w:t>1.</w:t>
      </w:r>
      <w:r w:rsidRPr="008B4DA2">
        <w:rPr>
          <w:noProof/>
        </w:rPr>
        <w:tab/>
        <w:t>Państwo członkowskie odmawia wydania prawa jazdy wnioskodawcy, którego prawo jazdy podlega ograniczeniu, zawieszeniu, cofnięciu lub unieważnieniu</w:t>
      </w:r>
      <w:r w:rsidR="00B83C93" w:rsidRPr="008B4DA2">
        <w:rPr>
          <w:noProof/>
        </w:rPr>
        <w:t xml:space="preserve"> w</w:t>
      </w:r>
      <w:r w:rsidR="00B83C93">
        <w:rPr>
          <w:noProof/>
        </w:rPr>
        <w:t> </w:t>
      </w:r>
      <w:r w:rsidR="00B83C93" w:rsidRPr="008B4DA2">
        <w:rPr>
          <w:noProof/>
        </w:rPr>
        <w:t>inn</w:t>
      </w:r>
      <w:r w:rsidRPr="008B4DA2">
        <w:rPr>
          <w:noProof/>
        </w:rPr>
        <w:t xml:space="preserve">ym państwie członkowskim. </w:t>
      </w:r>
    </w:p>
    <w:p w:rsidR="00BD67F9" w:rsidRPr="008B4DA2" w:rsidRDefault="00DF60AC" w:rsidP="00DF60AC">
      <w:pPr>
        <w:pStyle w:val="ManualNumPar1"/>
        <w:rPr>
          <w:noProof/>
        </w:rPr>
      </w:pPr>
      <w:r w:rsidRPr="008B4DA2">
        <w:rPr>
          <w:noProof/>
        </w:rPr>
        <w:t>2.</w:t>
      </w:r>
      <w:r w:rsidRPr="008B4DA2">
        <w:rPr>
          <w:noProof/>
        </w:rPr>
        <w:tab/>
        <w:t xml:space="preserve">Państwo członkowskie odmawia osobie, której prawo jazdy lub uprawnienia do kierowania pojazdami podlegają ograniczeniu, zawieszeniu, cofnięciu lub unieważnieniu na jego terytorium, uznania ważności jakiegokolwiek prawa jazdy wydanego przez inne państwo członkowskie. </w:t>
      </w:r>
    </w:p>
    <w:p w:rsidR="00BD67F9" w:rsidRPr="008B4DA2" w:rsidRDefault="00DF60AC" w:rsidP="00DF60AC">
      <w:pPr>
        <w:pStyle w:val="ManualNumPar1"/>
        <w:rPr>
          <w:noProof/>
        </w:rPr>
      </w:pPr>
      <w:r w:rsidRPr="008B4DA2">
        <w:rPr>
          <w:noProof/>
        </w:rPr>
        <w:t>3.</w:t>
      </w:r>
      <w:r w:rsidRPr="008B4DA2">
        <w:rPr>
          <w:noProof/>
        </w:rPr>
        <w:tab/>
        <w:t>Prawo jazdy lub uprawnienia do kierowania pojazdami uznaje się za podlegające ograniczeniu, zawieszeniu, cofnięciu lub unieważnieniu do celów niniejszego artykułu, jeżeli dana osoba nie spełniła jeszcze jakichkolwiek warunków nałożonych przez państwo członkowskie, które musi spełnić, aby móc odzyskać swoje uprawnienia do kierowania pojazdami lub prawo jazdy bądź aby móc ubiegać się</w:t>
      </w:r>
      <w:r w:rsidR="00B83C93" w:rsidRPr="008B4DA2">
        <w:rPr>
          <w:noProof/>
        </w:rPr>
        <w:t xml:space="preserve"> o</w:t>
      </w:r>
      <w:r w:rsidR="00B83C93">
        <w:rPr>
          <w:noProof/>
        </w:rPr>
        <w:t> </w:t>
      </w:r>
      <w:r w:rsidR="00B83C93" w:rsidRPr="008B4DA2">
        <w:rPr>
          <w:noProof/>
        </w:rPr>
        <w:t>wyd</w:t>
      </w:r>
      <w:r w:rsidRPr="008B4DA2">
        <w:rPr>
          <w:noProof/>
        </w:rPr>
        <w:t>anie nowych uprawnień lub nowego prawa jazdy.</w:t>
      </w:r>
    </w:p>
    <w:p w:rsidR="00BD67F9" w:rsidRPr="008B4DA2" w:rsidRDefault="00BD67F9" w:rsidP="007F5A7D">
      <w:pPr>
        <w:pStyle w:val="Text1"/>
        <w:rPr>
          <w:rStyle w:val="normaltextrun"/>
          <w:noProof/>
        </w:rPr>
      </w:pPr>
      <w:r w:rsidRPr="008B4DA2">
        <w:rPr>
          <w:rStyle w:val="normaltextrun"/>
          <w:noProof/>
        </w:rPr>
        <w:t>Państwa członkowskie zapewniają, aby wszelkie warunki, jakie nakładają</w:t>
      </w:r>
      <w:r w:rsidR="00B83C93" w:rsidRPr="008B4DA2">
        <w:rPr>
          <w:rStyle w:val="normaltextrun"/>
          <w:noProof/>
        </w:rPr>
        <w:t xml:space="preserve"> w</w:t>
      </w:r>
      <w:r w:rsidR="00B83C93">
        <w:rPr>
          <w:rStyle w:val="normaltextrun"/>
          <w:noProof/>
        </w:rPr>
        <w:t> </w:t>
      </w:r>
      <w:r w:rsidR="00B83C93" w:rsidRPr="008B4DA2">
        <w:rPr>
          <w:rStyle w:val="normaltextrun"/>
          <w:noProof/>
        </w:rPr>
        <w:t>cel</w:t>
      </w:r>
      <w:r w:rsidRPr="008B4DA2">
        <w:rPr>
          <w:rStyle w:val="normaltextrun"/>
          <w:noProof/>
        </w:rPr>
        <w:t>u umożliwienia posiadaczowi odzyskania uprawnień do kierowania pojazdami lub prawa jazdy lub ubiegania się</w:t>
      </w:r>
      <w:r w:rsidR="00B83C93" w:rsidRPr="008B4DA2">
        <w:rPr>
          <w:rStyle w:val="normaltextrun"/>
          <w:noProof/>
        </w:rPr>
        <w:t xml:space="preserve"> o</w:t>
      </w:r>
      <w:r w:rsidR="00B83C93">
        <w:rPr>
          <w:rStyle w:val="normaltextrun"/>
          <w:noProof/>
        </w:rPr>
        <w:t> </w:t>
      </w:r>
      <w:r w:rsidR="00B83C93" w:rsidRPr="008B4DA2">
        <w:rPr>
          <w:rStyle w:val="normaltextrun"/>
          <w:noProof/>
        </w:rPr>
        <w:t>wyd</w:t>
      </w:r>
      <w:r w:rsidRPr="008B4DA2">
        <w:rPr>
          <w:rStyle w:val="normaltextrun"/>
          <w:noProof/>
        </w:rPr>
        <w:t>anie nowych uprawnień lub nowego prawa jazdy, były proporcjonalne, niedyskryminacyjne wobec posiadaczy praw jazdy wydanych przez wszelkie inne państwa członkowskie oraz aby same</w:t>
      </w:r>
      <w:r w:rsidR="00B83C93" w:rsidRPr="008B4DA2">
        <w:rPr>
          <w:rStyle w:val="normaltextrun"/>
          <w:noProof/>
        </w:rPr>
        <w:t xml:space="preserve"> w</w:t>
      </w:r>
      <w:r w:rsidR="00B83C93">
        <w:rPr>
          <w:rStyle w:val="normaltextrun"/>
          <w:noProof/>
        </w:rPr>
        <w:t> </w:t>
      </w:r>
      <w:r w:rsidR="00B83C93" w:rsidRPr="008B4DA2">
        <w:rPr>
          <w:rStyle w:val="normaltextrun"/>
          <w:noProof/>
        </w:rPr>
        <w:t>sob</w:t>
      </w:r>
      <w:r w:rsidRPr="008B4DA2">
        <w:rPr>
          <w:rStyle w:val="normaltextrun"/>
          <w:noProof/>
        </w:rPr>
        <w:t>ie nie prowadziły do bezterminowej odmowy dotyczącej wydania prawa jazdy lub uznania prawa jazdy wydanego przez inne państwo członkowskie.</w:t>
      </w:r>
    </w:p>
    <w:p w:rsidR="00BD67F9" w:rsidRPr="008B4DA2" w:rsidRDefault="00DF60AC" w:rsidP="00DF60AC">
      <w:pPr>
        <w:pStyle w:val="ManualNumPar1"/>
        <w:rPr>
          <w:noProof/>
        </w:rPr>
      </w:pPr>
      <w:r w:rsidRPr="008B4DA2">
        <w:rPr>
          <w:noProof/>
        </w:rPr>
        <w:t>4.</w:t>
      </w:r>
      <w:r w:rsidRPr="008B4DA2">
        <w:rPr>
          <w:noProof/>
        </w:rPr>
        <w:tab/>
        <w:t>Żaden</w:t>
      </w:r>
      <w:r w:rsidR="00B83C93" w:rsidRPr="008B4DA2">
        <w:rPr>
          <w:noProof/>
        </w:rPr>
        <w:t xml:space="preserve"> z</w:t>
      </w:r>
      <w:r w:rsidR="00B83C93">
        <w:rPr>
          <w:noProof/>
        </w:rPr>
        <w:t> </w:t>
      </w:r>
      <w:r w:rsidR="00B83C93" w:rsidRPr="008B4DA2">
        <w:rPr>
          <w:noProof/>
        </w:rPr>
        <w:t>prz</w:t>
      </w:r>
      <w:r w:rsidRPr="008B4DA2">
        <w:rPr>
          <w:noProof/>
        </w:rPr>
        <w:t xml:space="preserve">episów niniejszego artykułu nie może być rozumiany jako uniemożliwiający państwom członkowskim bezterminowe zakazanie danej osobie kierowania pojazdami na ich terytorium </w:t>
      </w:r>
      <w:r w:rsidRPr="008B4DA2">
        <w:rPr>
          <w:rStyle w:val="eop"/>
          <w:noProof/>
        </w:rPr>
        <w:t>bez zapewnienia jej możliwości odzyskania uprawnień do kierowania pojazdami lub prawa jazdy bądź ubiegania się</w:t>
      </w:r>
      <w:r w:rsidR="00B83C93" w:rsidRPr="008B4DA2">
        <w:rPr>
          <w:rStyle w:val="eop"/>
          <w:noProof/>
        </w:rPr>
        <w:t xml:space="preserve"> o</w:t>
      </w:r>
      <w:r w:rsidR="00B83C93">
        <w:rPr>
          <w:rStyle w:val="eop"/>
          <w:noProof/>
        </w:rPr>
        <w:t> </w:t>
      </w:r>
      <w:r w:rsidR="00B83C93" w:rsidRPr="008B4DA2">
        <w:rPr>
          <w:rStyle w:val="eop"/>
          <w:noProof/>
        </w:rPr>
        <w:t>wyd</w:t>
      </w:r>
      <w:r w:rsidRPr="008B4DA2">
        <w:rPr>
          <w:rStyle w:val="eop"/>
          <w:noProof/>
        </w:rPr>
        <w:t>anie nowych uprawnień lub nowego prawa jazdy</w:t>
      </w:r>
      <w:r w:rsidRPr="008B4DA2">
        <w:rPr>
          <w:noProof/>
        </w:rPr>
        <w:t>,</w:t>
      </w:r>
      <w:r w:rsidR="00B83C93" w:rsidRPr="008B4DA2">
        <w:rPr>
          <w:noProof/>
        </w:rPr>
        <w:t xml:space="preserve"> w</w:t>
      </w:r>
      <w:r w:rsidR="00B83C93">
        <w:rPr>
          <w:noProof/>
        </w:rPr>
        <w:t> </w:t>
      </w:r>
      <w:r w:rsidR="00B83C93" w:rsidRPr="008B4DA2">
        <w:rPr>
          <w:noProof/>
        </w:rPr>
        <w:t>prz</w:t>
      </w:r>
      <w:r w:rsidRPr="008B4DA2">
        <w:rPr>
          <w:noProof/>
        </w:rPr>
        <w:t>ypadku gdy jest to uzasadnione postępowaniem tej osoby.</w:t>
      </w:r>
    </w:p>
    <w:p w:rsidR="00BD67F9" w:rsidRPr="008B4DA2" w:rsidRDefault="00BD67F9" w:rsidP="007F5A7D">
      <w:pPr>
        <w:pStyle w:val="Text1"/>
        <w:rPr>
          <w:rStyle w:val="normaltextrun"/>
          <w:noProof/>
        </w:rPr>
      </w:pPr>
      <w:r w:rsidRPr="008B4DA2">
        <w:rPr>
          <w:rStyle w:val="normaltextrun"/>
          <w:noProof/>
        </w:rPr>
        <w:t>Jeżeli państwo członkowskie, zgodnie</w:t>
      </w:r>
      <w:r w:rsidR="00B83C93" w:rsidRPr="008B4DA2">
        <w:rPr>
          <w:rStyle w:val="normaltextrun"/>
          <w:noProof/>
        </w:rPr>
        <w:t xml:space="preserve"> z</w:t>
      </w:r>
      <w:r w:rsidR="00B83C93">
        <w:rPr>
          <w:rStyle w:val="normaltextrun"/>
          <w:noProof/>
        </w:rPr>
        <w:t> </w:t>
      </w:r>
      <w:r w:rsidR="00B83C93" w:rsidRPr="008B4DA2">
        <w:rPr>
          <w:rStyle w:val="normaltextrun"/>
          <w:noProof/>
        </w:rPr>
        <w:t>nin</w:t>
      </w:r>
      <w:r w:rsidRPr="008B4DA2">
        <w:rPr>
          <w:rStyle w:val="normaltextrun"/>
          <w:noProof/>
        </w:rPr>
        <w:t xml:space="preserve">iejszym ustępem, nałożyło bezterminowy zakaz dotyczący kierowania pojazdami, takie państwo członkowskie może bezterminowo odmawiać uznania na swoim odnośnym terytorium ważności prawa jazdy wydanego przez inne państwo członkowskie. Na zasadzie odstępstwa od </w:t>
      </w:r>
      <w:r w:rsidRPr="00B83C93">
        <w:rPr>
          <w:rStyle w:val="normaltextrun"/>
          <w:noProof/>
        </w:rPr>
        <w:t>ust.</w:t>
      </w:r>
      <w:r w:rsidR="00B83C93" w:rsidRPr="00B83C93">
        <w:rPr>
          <w:rStyle w:val="normaltextrun"/>
          <w:noProof/>
        </w:rPr>
        <w:t> </w:t>
      </w:r>
      <w:r w:rsidRPr="00B83C93">
        <w:rPr>
          <w:rStyle w:val="normaltextrun"/>
          <w:noProof/>
        </w:rPr>
        <w:t>1</w:t>
      </w:r>
      <w:r w:rsidRPr="008B4DA2">
        <w:rPr>
          <w:rStyle w:val="normaltextrun"/>
          <w:noProof/>
        </w:rPr>
        <w:t xml:space="preserve"> inne państwa członkowskie mogą, po konsultacji</w:t>
      </w:r>
      <w:r w:rsidR="00B83C93" w:rsidRPr="008B4DA2">
        <w:rPr>
          <w:rStyle w:val="normaltextrun"/>
          <w:noProof/>
        </w:rPr>
        <w:t xml:space="preserve"> z</w:t>
      </w:r>
      <w:r w:rsidR="00B83C93">
        <w:rPr>
          <w:rStyle w:val="normaltextrun"/>
          <w:noProof/>
        </w:rPr>
        <w:t> </w:t>
      </w:r>
      <w:r w:rsidR="00B83C93" w:rsidRPr="008B4DA2">
        <w:rPr>
          <w:rStyle w:val="normaltextrun"/>
          <w:noProof/>
        </w:rPr>
        <w:t>pań</w:t>
      </w:r>
      <w:r w:rsidRPr="008B4DA2">
        <w:rPr>
          <w:rStyle w:val="normaltextrun"/>
          <w:noProof/>
        </w:rPr>
        <w:t>stwem członkowskim, które nałożyło bezterminowy zakaz dotyczący kierowania pojazdami, wydać takiej osobie prawo jazdy.</w:t>
      </w:r>
    </w:p>
    <w:p w:rsidR="00BD67F9" w:rsidRPr="008B4DA2" w:rsidRDefault="00BD67F9" w:rsidP="00BD67F9">
      <w:pPr>
        <w:pStyle w:val="Titrearticle"/>
        <w:rPr>
          <w:rStyle w:val="normaltextrun"/>
          <w:noProof/>
        </w:rPr>
      </w:pPr>
      <w:r w:rsidRPr="008B4DA2">
        <w:rPr>
          <w:rStyle w:val="normaltextrun"/>
          <w:noProof/>
        </w:rPr>
        <w:t>Artykuł 14</w:t>
      </w:r>
    </w:p>
    <w:p w:rsidR="00BD67F9" w:rsidRPr="008B4DA2" w:rsidRDefault="00BD67F9" w:rsidP="00BD67F9">
      <w:pPr>
        <w:pStyle w:val="Objetacteprincipal"/>
        <w:rPr>
          <w:rStyle w:val="normaltextrun"/>
          <w:noProof/>
        </w:rPr>
      </w:pPr>
      <w:r w:rsidRPr="008B4DA2">
        <w:rPr>
          <w:rStyle w:val="normaltextrun"/>
          <w:noProof/>
        </w:rPr>
        <w:t>Model jazdy</w:t>
      </w:r>
      <w:r w:rsidR="00B83C93" w:rsidRPr="008B4DA2">
        <w:rPr>
          <w:rStyle w:val="normaltextrun"/>
          <w:noProof/>
        </w:rPr>
        <w:t xml:space="preserve"> w</w:t>
      </w:r>
      <w:r w:rsidR="00B83C93">
        <w:rPr>
          <w:rStyle w:val="normaltextrun"/>
          <w:noProof/>
        </w:rPr>
        <w:t> </w:t>
      </w:r>
      <w:r w:rsidR="00B83C93" w:rsidRPr="008B4DA2">
        <w:rPr>
          <w:rStyle w:val="normaltextrun"/>
          <w:noProof/>
        </w:rPr>
        <w:t>tow</w:t>
      </w:r>
      <w:r w:rsidRPr="008B4DA2">
        <w:rPr>
          <w:rStyle w:val="normaltextrun"/>
          <w:noProof/>
        </w:rPr>
        <w:t xml:space="preserve">arzystwie innego kierowcy </w:t>
      </w:r>
    </w:p>
    <w:p w:rsidR="00BD67F9" w:rsidRPr="008B4DA2" w:rsidRDefault="00DF60AC" w:rsidP="00DF60AC">
      <w:pPr>
        <w:pStyle w:val="ManualNumPar1"/>
        <w:rPr>
          <w:rStyle w:val="normaltextrun"/>
          <w:b/>
          <w:noProof/>
        </w:rPr>
      </w:pPr>
      <w:r w:rsidRPr="008B4DA2">
        <w:rPr>
          <w:rStyle w:val="normaltextrun"/>
          <w:noProof/>
        </w:rPr>
        <w:t>1.</w:t>
      </w:r>
      <w:r w:rsidRPr="008B4DA2">
        <w:rPr>
          <w:noProof/>
        </w:rPr>
        <w:tab/>
      </w:r>
      <w:r w:rsidRPr="008B4DA2">
        <w:rPr>
          <w:rStyle w:val="normaltextrun"/>
          <w:noProof/>
        </w:rPr>
        <w:t xml:space="preserve">Na zasadzie odstępstwa od </w:t>
      </w:r>
      <w:r w:rsidRPr="00B83C93">
        <w:rPr>
          <w:rStyle w:val="normaltextrun"/>
          <w:noProof/>
        </w:rPr>
        <w:t>art.</w:t>
      </w:r>
      <w:r w:rsidR="00B83C93" w:rsidRPr="00B83C93">
        <w:rPr>
          <w:rStyle w:val="normaltextrun"/>
          <w:noProof/>
        </w:rPr>
        <w:t> </w:t>
      </w:r>
      <w:r w:rsidRPr="00B83C93">
        <w:rPr>
          <w:rStyle w:val="normaltextrun"/>
          <w:noProof/>
        </w:rPr>
        <w:t>7</w:t>
      </w:r>
      <w:r w:rsidRPr="008B4DA2">
        <w:rPr>
          <w:rStyle w:val="normaltextrun"/>
          <w:noProof/>
        </w:rPr>
        <w:t xml:space="preserve"> </w:t>
      </w:r>
      <w:r w:rsidRPr="00B83C93">
        <w:rPr>
          <w:rStyle w:val="normaltextrun"/>
          <w:noProof/>
        </w:rPr>
        <w:t>ust.</w:t>
      </w:r>
      <w:r w:rsidR="00B83C93" w:rsidRPr="00B83C93">
        <w:rPr>
          <w:rStyle w:val="normaltextrun"/>
          <w:noProof/>
        </w:rPr>
        <w:t> </w:t>
      </w:r>
      <w:r w:rsidRPr="00B83C93">
        <w:rPr>
          <w:rStyle w:val="normaltextrun"/>
          <w:noProof/>
        </w:rPr>
        <w:t>1</w:t>
      </w:r>
      <w:r w:rsidRPr="008B4DA2">
        <w:rPr>
          <w:rStyle w:val="normaltextrun"/>
          <w:noProof/>
        </w:rPr>
        <w:t xml:space="preserve"> odpowiednio </w:t>
      </w:r>
      <w:r w:rsidRPr="00B83C93">
        <w:rPr>
          <w:rStyle w:val="normaltextrun"/>
          <w:noProof/>
        </w:rPr>
        <w:t>lit.</w:t>
      </w:r>
      <w:r w:rsidR="00B83C93" w:rsidRPr="00B83C93">
        <w:rPr>
          <w:rStyle w:val="normaltextrun"/>
          <w:noProof/>
        </w:rPr>
        <w:t> </w:t>
      </w:r>
      <w:r w:rsidRPr="00B83C93">
        <w:rPr>
          <w:rStyle w:val="normaltextrun"/>
          <w:noProof/>
        </w:rPr>
        <w:t>b)</w:t>
      </w:r>
      <w:r w:rsidRPr="008B4DA2">
        <w:rPr>
          <w:rStyle w:val="normaltextrun"/>
          <w:noProof/>
        </w:rPr>
        <w:t xml:space="preserve"> i d) państwa członkowskie wydają, zgodnie</w:t>
      </w:r>
      <w:r w:rsidR="00B83C93" w:rsidRPr="008B4DA2">
        <w:rPr>
          <w:rStyle w:val="normaltextrun"/>
          <w:noProof/>
        </w:rPr>
        <w:t xml:space="preserve"> z</w:t>
      </w:r>
      <w:r w:rsidR="00B83C93">
        <w:rPr>
          <w:rStyle w:val="normaltextrun"/>
          <w:noProof/>
        </w:rPr>
        <w:t> </w:t>
      </w:r>
      <w:r w:rsidR="00B83C93" w:rsidRPr="00B83C93">
        <w:rPr>
          <w:rStyle w:val="normaltextrun"/>
          <w:noProof/>
        </w:rPr>
        <w:t>art</w:t>
      </w:r>
      <w:r w:rsidRPr="00B83C93">
        <w:rPr>
          <w:rStyle w:val="normaltextrun"/>
          <w:noProof/>
        </w:rPr>
        <w:t>.</w:t>
      </w:r>
      <w:r w:rsidR="00B83C93" w:rsidRPr="00B83C93">
        <w:rPr>
          <w:rStyle w:val="normaltextrun"/>
          <w:noProof/>
        </w:rPr>
        <w:t> </w:t>
      </w:r>
      <w:r w:rsidRPr="00B83C93">
        <w:rPr>
          <w:rStyle w:val="normaltextrun"/>
          <w:noProof/>
        </w:rPr>
        <w:t>1</w:t>
      </w:r>
      <w:r w:rsidRPr="008B4DA2">
        <w:rPr>
          <w:rStyle w:val="normaltextrun"/>
          <w:noProof/>
        </w:rPr>
        <w:t xml:space="preserve">0 </w:t>
      </w:r>
      <w:r w:rsidRPr="00B83C93">
        <w:rPr>
          <w:rStyle w:val="normaltextrun"/>
          <w:noProof/>
        </w:rPr>
        <w:t>ust.</w:t>
      </w:r>
      <w:r w:rsidR="00B83C93" w:rsidRPr="00B83C93">
        <w:rPr>
          <w:rStyle w:val="normaltextrun"/>
          <w:noProof/>
        </w:rPr>
        <w:t> </w:t>
      </w:r>
      <w:r w:rsidRPr="00B83C93">
        <w:rPr>
          <w:rStyle w:val="normaltextrun"/>
          <w:noProof/>
        </w:rPr>
        <w:t>1</w:t>
      </w:r>
      <w:r w:rsidRPr="008B4DA2">
        <w:rPr>
          <w:rStyle w:val="normaltextrun"/>
          <w:noProof/>
        </w:rPr>
        <w:t>, prawa jazdy kategorii B i C oznaczone kodem unijnym 98.02 określonym</w:t>
      </w:r>
      <w:r w:rsidR="00B83C93" w:rsidRPr="008B4DA2">
        <w:rPr>
          <w:rStyle w:val="normaltextrun"/>
          <w:noProof/>
        </w:rPr>
        <w:t xml:space="preserve"> w</w:t>
      </w:r>
      <w:r w:rsidR="00B83C93">
        <w:rPr>
          <w:rStyle w:val="normaltextrun"/>
          <w:noProof/>
        </w:rPr>
        <w:t> </w:t>
      </w:r>
      <w:r w:rsidR="00B83C93" w:rsidRPr="008B4DA2">
        <w:rPr>
          <w:rStyle w:val="normaltextrun"/>
          <w:noProof/>
        </w:rPr>
        <w:t>zał</w:t>
      </w:r>
      <w:r w:rsidRPr="008B4DA2">
        <w:rPr>
          <w:rStyle w:val="normaltextrun"/>
          <w:noProof/>
        </w:rPr>
        <w:t>ączniku I część E kandydatom, którzy ukończyli 17 lat.</w:t>
      </w:r>
    </w:p>
    <w:p w:rsidR="00BD67F9" w:rsidRPr="008B4DA2" w:rsidRDefault="00DF60AC" w:rsidP="00DF60AC">
      <w:pPr>
        <w:pStyle w:val="ManualNumPar1"/>
        <w:rPr>
          <w:rStyle w:val="normaltextrun"/>
          <w:noProof/>
        </w:rPr>
      </w:pPr>
      <w:r w:rsidRPr="008B4DA2">
        <w:rPr>
          <w:rStyle w:val="normaltextrun"/>
          <w:noProof/>
        </w:rPr>
        <w:t>2.</w:t>
      </w:r>
      <w:r w:rsidRPr="008B4DA2">
        <w:rPr>
          <w:noProof/>
        </w:rPr>
        <w:tab/>
      </w:r>
      <w:r w:rsidRPr="008B4DA2">
        <w:rPr>
          <w:rStyle w:val="normaltextrun"/>
          <w:noProof/>
        </w:rPr>
        <w:t>Posiadacze prawa jazdy oznaczonego kodem unijnym 98.02, którzy nie ukończyli 18 lat, mogą kierować pojazdami wyłącznie</w:t>
      </w:r>
      <w:r w:rsidR="00B83C93" w:rsidRPr="008B4DA2">
        <w:rPr>
          <w:rStyle w:val="normaltextrun"/>
          <w:noProof/>
        </w:rPr>
        <w:t xml:space="preserve"> w</w:t>
      </w:r>
      <w:r w:rsidR="00B83C93">
        <w:rPr>
          <w:rStyle w:val="normaltextrun"/>
          <w:noProof/>
        </w:rPr>
        <w:t> </w:t>
      </w:r>
      <w:r w:rsidR="00B83C93" w:rsidRPr="008B4DA2">
        <w:rPr>
          <w:rStyle w:val="normaltextrun"/>
          <w:noProof/>
        </w:rPr>
        <w:t>tow</w:t>
      </w:r>
      <w:r w:rsidRPr="008B4DA2">
        <w:rPr>
          <w:rStyle w:val="normaltextrun"/>
          <w:noProof/>
        </w:rPr>
        <w:t>arzystwie osoby, która spełnia następujące warunki:</w:t>
      </w:r>
    </w:p>
    <w:p w:rsidR="00BD67F9" w:rsidRPr="008B4DA2" w:rsidRDefault="00DF60AC" w:rsidP="00DF60AC">
      <w:pPr>
        <w:pStyle w:val="Point1"/>
        <w:rPr>
          <w:rStyle w:val="normaltextrun"/>
          <w:noProof/>
        </w:rPr>
      </w:pPr>
      <w:r w:rsidRPr="008B4DA2">
        <w:rPr>
          <w:rStyle w:val="normaltextrun"/>
          <w:noProof/>
        </w:rPr>
        <w:t>a)</w:t>
      </w:r>
      <w:r w:rsidRPr="008B4DA2">
        <w:rPr>
          <w:noProof/>
        </w:rPr>
        <w:tab/>
      </w:r>
      <w:r w:rsidRPr="008B4DA2">
        <w:rPr>
          <w:rStyle w:val="normaltextrun"/>
          <w:noProof/>
        </w:rPr>
        <w:t xml:space="preserve">osiągnęła dolną granicę wieku wynoszącą 25 lat; </w:t>
      </w:r>
    </w:p>
    <w:p w:rsidR="00BD67F9" w:rsidRPr="008B4DA2" w:rsidRDefault="00DF60AC" w:rsidP="00DF60AC">
      <w:pPr>
        <w:pStyle w:val="Point1"/>
        <w:rPr>
          <w:rStyle w:val="normaltextrun"/>
          <w:noProof/>
        </w:rPr>
      </w:pPr>
      <w:r w:rsidRPr="008B4DA2">
        <w:rPr>
          <w:rStyle w:val="normaltextrun"/>
          <w:noProof/>
        </w:rPr>
        <w:t>b)</w:t>
      </w:r>
      <w:r w:rsidRPr="008B4DA2">
        <w:rPr>
          <w:noProof/>
        </w:rPr>
        <w:tab/>
      </w:r>
      <w:r w:rsidRPr="008B4DA2">
        <w:rPr>
          <w:rStyle w:val="normaltextrun"/>
          <w:noProof/>
        </w:rPr>
        <w:t xml:space="preserve">posiada prawo jazdy odpowiedniej kategorii wydane ponad pięć lat wcześniej; </w:t>
      </w:r>
    </w:p>
    <w:p w:rsidR="00BD67F9" w:rsidRPr="008B4DA2" w:rsidRDefault="00DF60AC" w:rsidP="00DF60AC">
      <w:pPr>
        <w:pStyle w:val="Point1"/>
        <w:rPr>
          <w:rStyle w:val="normaltextrun"/>
          <w:noProof/>
        </w:rPr>
      </w:pPr>
      <w:r w:rsidRPr="008B4DA2">
        <w:rPr>
          <w:rStyle w:val="normaltextrun"/>
          <w:noProof/>
        </w:rPr>
        <w:t>c)</w:t>
      </w:r>
      <w:r w:rsidRPr="008B4DA2">
        <w:rPr>
          <w:noProof/>
        </w:rPr>
        <w:tab/>
      </w:r>
      <w:r w:rsidRPr="008B4DA2">
        <w:rPr>
          <w:rStyle w:val="normaltextrun"/>
          <w:noProof/>
        </w:rPr>
        <w:t>nie podlegała zakazowi prowadzenia pojazdów</w:t>
      </w:r>
      <w:r w:rsidR="00B83C93" w:rsidRPr="008B4DA2">
        <w:rPr>
          <w:rStyle w:val="normaltextrun"/>
          <w:noProof/>
        </w:rPr>
        <w:t xml:space="preserve"> w</w:t>
      </w:r>
      <w:r w:rsidR="00B83C93">
        <w:rPr>
          <w:rStyle w:val="normaltextrun"/>
          <w:noProof/>
        </w:rPr>
        <w:t> </w:t>
      </w:r>
      <w:r w:rsidR="00B83C93" w:rsidRPr="008B4DA2">
        <w:rPr>
          <w:rStyle w:val="normaltextrun"/>
          <w:noProof/>
        </w:rPr>
        <w:t>cią</w:t>
      </w:r>
      <w:r w:rsidRPr="008B4DA2">
        <w:rPr>
          <w:rStyle w:val="normaltextrun"/>
          <w:noProof/>
        </w:rPr>
        <w:t xml:space="preserve">gu ostatnich pięciu lat; </w:t>
      </w:r>
    </w:p>
    <w:p w:rsidR="00BD67F9" w:rsidRPr="00B83C93" w:rsidRDefault="00DF60AC" w:rsidP="00DF60AC">
      <w:pPr>
        <w:pStyle w:val="Point1"/>
        <w:rPr>
          <w:rStyle w:val="normaltextrun"/>
          <w:noProof/>
        </w:rPr>
      </w:pPr>
      <w:r w:rsidRPr="008B4DA2">
        <w:rPr>
          <w:rStyle w:val="normaltextrun"/>
          <w:noProof/>
        </w:rPr>
        <w:t>d)</w:t>
      </w:r>
      <w:r w:rsidRPr="008B4DA2">
        <w:rPr>
          <w:noProof/>
        </w:rPr>
        <w:tab/>
      </w:r>
      <w:r w:rsidRPr="008B4DA2">
        <w:rPr>
          <w:rStyle w:val="normaltextrun"/>
          <w:noProof/>
        </w:rPr>
        <w:t>nie podlegała orzeczeniu</w:t>
      </w:r>
      <w:r w:rsidR="00B83C93" w:rsidRPr="008B4DA2">
        <w:rPr>
          <w:rStyle w:val="normaltextrun"/>
          <w:noProof/>
        </w:rPr>
        <w:t xml:space="preserve"> w</w:t>
      </w:r>
      <w:r w:rsidR="00B83C93">
        <w:rPr>
          <w:rStyle w:val="normaltextrun"/>
          <w:noProof/>
        </w:rPr>
        <w:t> </w:t>
      </w:r>
      <w:r w:rsidR="00B83C93" w:rsidRPr="008B4DA2">
        <w:rPr>
          <w:rStyle w:val="normaltextrun"/>
          <w:noProof/>
        </w:rPr>
        <w:t>dzi</w:t>
      </w:r>
      <w:r w:rsidRPr="008B4DA2">
        <w:rPr>
          <w:rStyle w:val="normaltextrun"/>
          <w:noProof/>
        </w:rPr>
        <w:t>edzinie prawa karnego wydanemu</w:t>
      </w:r>
      <w:r w:rsidR="00B83C93" w:rsidRPr="008B4DA2">
        <w:rPr>
          <w:rStyle w:val="normaltextrun"/>
          <w:noProof/>
        </w:rPr>
        <w:t xml:space="preserve"> w</w:t>
      </w:r>
      <w:r w:rsidR="00B83C93">
        <w:rPr>
          <w:rStyle w:val="normaltextrun"/>
          <w:noProof/>
        </w:rPr>
        <w:t> </w:t>
      </w:r>
      <w:r w:rsidR="00B83C93" w:rsidRPr="008B4DA2">
        <w:rPr>
          <w:rStyle w:val="normaltextrun"/>
          <w:noProof/>
        </w:rPr>
        <w:t>nas</w:t>
      </w:r>
      <w:r w:rsidRPr="008B4DA2">
        <w:rPr>
          <w:rStyle w:val="normaltextrun"/>
          <w:noProof/>
        </w:rPr>
        <w:t>tępstwie popełnienia przestępstwa lub wykroczenia przeciwko bezpieczeństwu ruchu drogowego</w:t>
      </w:r>
      <w:r w:rsidRPr="00B83C93">
        <w:rPr>
          <w:rStyle w:val="normaltextrun"/>
          <w:noProof/>
        </w:rPr>
        <w:t>;</w:t>
      </w:r>
      <w:r w:rsidR="00B83C93" w:rsidRPr="00B83C93">
        <w:rPr>
          <w:rStyle w:val="normaltextrun"/>
          <w:noProof/>
        </w:rPr>
        <w:t xml:space="preserve"> </w:t>
      </w:r>
    </w:p>
    <w:p w:rsidR="00BD67F9" w:rsidRPr="008B4DA2" w:rsidRDefault="00DF60AC" w:rsidP="00DF60AC">
      <w:pPr>
        <w:pStyle w:val="Point1"/>
        <w:rPr>
          <w:rStyle w:val="normaltextrun"/>
          <w:noProof/>
        </w:rPr>
      </w:pPr>
      <w:r w:rsidRPr="008B4DA2">
        <w:rPr>
          <w:rStyle w:val="normaltextrun"/>
          <w:noProof/>
        </w:rPr>
        <w:t>e)</w:t>
      </w:r>
      <w:r w:rsidRPr="008B4DA2">
        <w:rPr>
          <w:noProof/>
        </w:rPr>
        <w:tab/>
      </w:r>
      <w:r w:rsidRPr="008B4DA2">
        <w:rPr>
          <w:rStyle w:val="normaltextrun"/>
          <w:noProof/>
        </w:rPr>
        <w:t>w przypadku pojazdu kategorii C posiada kwalifikacje</w:t>
      </w:r>
      <w:r w:rsidR="00B83C93" w:rsidRPr="008B4DA2">
        <w:rPr>
          <w:rStyle w:val="normaltextrun"/>
          <w:noProof/>
        </w:rPr>
        <w:t xml:space="preserve"> i</w:t>
      </w:r>
      <w:r w:rsidR="00B83C93">
        <w:rPr>
          <w:rStyle w:val="normaltextrun"/>
          <w:noProof/>
        </w:rPr>
        <w:t> </w:t>
      </w:r>
      <w:r w:rsidR="00B83C93" w:rsidRPr="008B4DA2">
        <w:rPr>
          <w:rStyle w:val="normaltextrun"/>
          <w:noProof/>
        </w:rPr>
        <w:t>odb</w:t>
      </w:r>
      <w:r w:rsidRPr="008B4DA2">
        <w:rPr>
          <w:rStyle w:val="normaltextrun"/>
          <w:noProof/>
        </w:rPr>
        <w:t>yła szkolenie przewidziane</w:t>
      </w:r>
      <w:r w:rsidR="00B83C93" w:rsidRPr="008B4DA2">
        <w:rPr>
          <w:rStyle w:val="normaltextrun"/>
          <w:noProof/>
        </w:rPr>
        <w:t xml:space="preserve"> w</w:t>
      </w:r>
      <w:r w:rsidR="00B83C93">
        <w:rPr>
          <w:rStyle w:val="normaltextrun"/>
          <w:noProof/>
        </w:rPr>
        <w:t> </w:t>
      </w:r>
      <w:r w:rsidR="00B83C93" w:rsidRPr="008B4DA2">
        <w:rPr>
          <w:rStyle w:val="normaltextrun"/>
          <w:noProof/>
        </w:rPr>
        <w:t>dyr</w:t>
      </w:r>
      <w:r w:rsidRPr="008B4DA2">
        <w:rPr>
          <w:rStyle w:val="normaltextrun"/>
          <w:noProof/>
        </w:rPr>
        <w:t xml:space="preserve">ektywie (UE) 2022/2561. </w:t>
      </w:r>
    </w:p>
    <w:p w:rsidR="00BD67F9" w:rsidRPr="008B4DA2" w:rsidRDefault="00DF60AC" w:rsidP="00DF60AC">
      <w:pPr>
        <w:pStyle w:val="ManualNumPar1"/>
        <w:rPr>
          <w:rStyle w:val="normaltextrun"/>
          <w:noProof/>
        </w:rPr>
      </w:pPr>
      <w:r w:rsidRPr="008B4DA2">
        <w:rPr>
          <w:rStyle w:val="normaltextrun"/>
          <w:noProof/>
        </w:rPr>
        <w:t>3.</w:t>
      </w:r>
      <w:r w:rsidRPr="008B4DA2">
        <w:rPr>
          <w:noProof/>
        </w:rPr>
        <w:tab/>
      </w:r>
      <w:r w:rsidRPr="008B4DA2">
        <w:rPr>
          <w:rStyle w:val="normaltextrun"/>
          <w:noProof/>
        </w:rPr>
        <w:t>Państwa członkowskie mogą wymagać identyfikacji osób towarzyszących,</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rych mowa</w:t>
      </w:r>
      <w:r w:rsidR="00B83C93" w:rsidRPr="008B4DA2">
        <w:rPr>
          <w:rStyle w:val="normaltextrun"/>
          <w:noProof/>
        </w:rPr>
        <w:t xml:space="preserve"> w</w:t>
      </w:r>
      <w:r w:rsidR="00B83C93">
        <w:rPr>
          <w:rStyle w:val="normaltextrun"/>
          <w:noProof/>
        </w:rPr>
        <w:t> </w:t>
      </w:r>
      <w:r w:rsidR="00B83C93" w:rsidRPr="00B83C93">
        <w:rPr>
          <w:rStyle w:val="normaltextrun"/>
          <w:noProof/>
        </w:rPr>
        <w:t>ust</w:t>
      </w:r>
      <w:r w:rsidRPr="00B83C93">
        <w:rPr>
          <w:rStyle w:val="normaltextrun"/>
          <w:noProof/>
        </w:rPr>
        <w:t>.</w:t>
      </w:r>
      <w:r w:rsidR="00B83C93" w:rsidRPr="00B83C93">
        <w:rPr>
          <w:rStyle w:val="normaltextrun"/>
          <w:noProof/>
        </w:rPr>
        <w:t> </w:t>
      </w:r>
      <w:r w:rsidRPr="00B83C93">
        <w:rPr>
          <w:rStyle w:val="normaltextrun"/>
          <w:noProof/>
        </w:rPr>
        <w:t>2</w:t>
      </w:r>
      <w:r w:rsidRPr="008B4DA2">
        <w:rPr>
          <w:rStyle w:val="normaltextrun"/>
          <w:noProof/>
        </w:rPr>
        <w:t>,</w:t>
      </w:r>
      <w:r w:rsidR="00B83C93" w:rsidRPr="008B4DA2">
        <w:rPr>
          <w:rStyle w:val="normaltextrun"/>
          <w:noProof/>
        </w:rPr>
        <w:t xml:space="preserve"> w</w:t>
      </w:r>
      <w:r w:rsidR="00B83C93">
        <w:rPr>
          <w:rStyle w:val="normaltextrun"/>
          <w:noProof/>
        </w:rPr>
        <w:t> </w:t>
      </w:r>
      <w:r w:rsidR="00B83C93" w:rsidRPr="008B4DA2">
        <w:rPr>
          <w:rStyle w:val="normaltextrun"/>
          <w:noProof/>
        </w:rPr>
        <w:t>cel</w:t>
      </w:r>
      <w:r w:rsidRPr="008B4DA2">
        <w:rPr>
          <w:rStyle w:val="normaltextrun"/>
          <w:noProof/>
        </w:rPr>
        <w:t>u zapewnienia zgodności</w:t>
      </w:r>
      <w:r w:rsidR="00B83C93" w:rsidRPr="008B4DA2">
        <w:rPr>
          <w:rStyle w:val="normaltextrun"/>
          <w:noProof/>
        </w:rPr>
        <w:t xml:space="preserve"> z</w:t>
      </w:r>
      <w:r w:rsidR="00B83C93">
        <w:rPr>
          <w:rStyle w:val="normaltextrun"/>
          <w:noProof/>
        </w:rPr>
        <w:t> </w:t>
      </w:r>
      <w:r w:rsidR="00B83C93" w:rsidRPr="008B4DA2">
        <w:rPr>
          <w:rStyle w:val="normaltextrun"/>
          <w:noProof/>
        </w:rPr>
        <w:t>nin</w:t>
      </w:r>
      <w:r w:rsidRPr="008B4DA2">
        <w:rPr>
          <w:rStyle w:val="normaltextrun"/>
          <w:noProof/>
        </w:rPr>
        <w:t xml:space="preserve">iejszym artykułem. Państwa członkowskie mogą ograniczyć liczbę potencjalnych osób towarzyszących. </w:t>
      </w:r>
    </w:p>
    <w:p w:rsidR="00BD67F9" w:rsidRPr="008B4DA2" w:rsidRDefault="00DF60AC" w:rsidP="00DF60AC">
      <w:pPr>
        <w:pStyle w:val="ManualNumPar1"/>
        <w:rPr>
          <w:rStyle w:val="normaltextrun"/>
          <w:noProof/>
        </w:rPr>
      </w:pPr>
      <w:r w:rsidRPr="008B4DA2">
        <w:rPr>
          <w:rStyle w:val="normaltextrun"/>
          <w:noProof/>
        </w:rPr>
        <w:t>4.</w:t>
      </w:r>
      <w:r w:rsidRPr="008B4DA2">
        <w:rPr>
          <w:noProof/>
        </w:rPr>
        <w:tab/>
      </w:r>
      <w:r w:rsidRPr="008B4DA2">
        <w:rPr>
          <w:rStyle w:val="normaltextrun"/>
          <w:noProof/>
        </w:rPr>
        <w:t>Państwa członkowskie mogą stosować dodatkowe warunki wydawania prawa jazdy oznaczonego kodem unijnym 98.02 kandydatom, którzy nie ukończyli 18 lat. Informują one</w:t>
      </w:r>
      <w:r w:rsidR="00B83C93" w:rsidRPr="008B4DA2">
        <w:rPr>
          <w:rStyle w:val="normaltextrun"/>
          <w:noProof/>
        </w:rPr>
        <w:t xml:space="preserve"> o</w:t>
      </w:r>
      <w:r w:rsidR="00B83C93">
        <w:rPr>
          <w:rStyle w:val="normaltextrun"/>
          <w:noProof/>
        </w:rPr>
        <w:t> </w:t>
      </w:r>
      <w:r w:rsidR="00B83C93" w:rsidRPr="008B4DA2">
        <w:rPr>
          <w:rStyle w:val="normaltextrun"/>
          <w:noProof/>
        </w:rPr>
        <w:t>tym</w:t>
      </w:r>
      <w:r w:rsidRPr="008B4DA2">
        <w:rPr>
          <w:rStyle w:val="normaltextrun"/>
          <w:noProof/>
        </w:rPr>
        <w:t xml:space="preserve"> Komisję. Komisja podaje te informacje do wiadomości publicznej. </w:t>
      </w:r>
    </w:p>
    <w:p w:rsidR="00BD67F9" w:rsidRPr="008B4DA2" w:rsidRDefault="00BD67F9" w:rsidP="00BD67F9">
      <w:pPr>
        <w:pStyle w:val="Titrearticle"/>
        <w:rPr>
          <w:rStyle w:val="normaltextrun"/>
          <w:noProof/>
        </w:rPr>
      </w:pPr>
      <w:r w:rsidRPr="008B4DA2">
        <w:rPr>
          <w:rStyle w:val="normaltextrun"/>
          <w:noProof/>
        </w:rPr>
        <w:t>Artykuł 15</w:t>
      </w:r>
    </w:p>
    <w:p w:rsidR="00BD67F9" w:rsidRPr="008B4DA2" w:rsidRDefault="00BD67F9" w:rsidP="00BD67F9">
      <w:pPr>
        <w:pStyle w:val="Objetacteprincipal"/>
        <w:rPr>
          <w:rStyle w:val="normaltextrun"/>
          <w:noProof/>
        </w:rPr>
      </w:pPr>
      <w:r w:rsidRPr="008B4DA2">
        <w:rPr>
          <w:rStyle w:val="normaltextrun"/>
          <w:noProof/>
        </w:rPr>
        <w:t xml:space="preserve">Okres próbny </w:t>
      </w:r>
    </w:p>
    <w:p w:rsidR="00BD67F9" w:rsidRPr="00B83C93" w:rsidRDefault="00DF60AC" w:rsidP="00DF60AC">
      <w:pPr>
        <w:pStyle w:val="ManualNumPar1"/>
        <w:rPr>
          <w:rStyle w:val="normaltextrun"/>
          <w:b/>
          <w:noProof/>
        </w:rPr>
      </w:pPr>
      <w:r w:rsidRPr="008B4DA2">
        <w:rPr>
          <w:rStyle w:val="normaltextrun"/>
          <w:noProof/>
        </w:rPr>
        <w:t>1.</w:t>
      </w:r>
      <w:r w:rsidRPr="008B4DA2">
        <w:rPr>
          <w:noProof/>
        </w:rPr>
        <w:tab/>
      </w:r>
      <w:r w:rsidRPr="008B4DA2">
        <w:rPr>
          <w:rStyle w:val="normaltextrun"/>
          <w:noProof/>
        </w:rPr>
        <w:t>Posiadacz prawa jazdy danej kategorii wydanego po raz pierwszy jest uznawany za początkującego kierowcę</w:t>
      </w:r>
      <w:r w:rsidR="00B83C93" w:rsidRPr="008B4DA2">
        <w:rPr>
          <w:rStyle w:val="normaltextrun"/>
          <w:noProof/>
        </w:rPr>
        <w:t xml:space="preserve"> i</w:t>
      </w:r>
      <w:r w:rsidR="00B83C93">
        <w:rPr>
          <w:rStyle w:val="normaltextrun"/>
          <w:noProof/>
        </w:rPr>
        <w:t> </w:t>
      </w:r>
      <w:r w:rsidR="00B83C93" w:rsidRPr="008B4DA2">
        <w:rPr>
          <w:rStyle w:val="normaltextrun"/>
          <w:noProof/>
        </w:rPr>
        <w:t>pod</w:t>
      </w:r>
      <w:r w:rsidRPr="008B4DA2">
        <w:rPr>
          <w:rStyle w:val="normaltextrun"/>
          <w:noProof/>
        </w:rPr>
        <w:t>lega okresowi próbnemu wynoszącemu co najmniej dwa lata</w:t>
      </w:r>
      <w:r w:rsidRPr="00B83C93">
        <w:rPr>
          <w:rStyle w:val="normaltextrun"/>
          <w:noProof/>
        </w:rPr>
        <w:t>.</w:t>
      </w:r>
      <w:r w:rsidR="00B83C93" w:rsidRPr="00B83C93">
        <w:rPr>
          <w:rStyle w:val="normaltextrun"/>
          <w:noProof/>
        </w:rPr>
        <w:t xml:space="preserve"> </w:t>
      </w:r>
    </w:p>
    <w:p w:rsidR="00BD67F9" w:rsidRPr="008B4DA2" w:rsidRDefault="00DF60AC" w:rsidP="00DF60AC">
      <w:pPr>
        <w:pStyle w:val="ManualNumPar1"/>
        <w:rPr>
          <w:rStyle w:val="normaltextrun"/>
          <w:noProof/>
        </w:rPr>
      </w:pPr>
      <w:r w:rsidRPr="008B4DA2">
        <w:rPr>
          <w:rStyle w:val="normaltextrun"/>
          <w:noProof/>
        </w:rPr>
        <w:t>2.</w:t>
      </w:r>
      <w:r w:rsidRPr="008B4DA2">
        <w:rPr>
          <w:noProof/>
        </w:rPr>
        <w:tab/>
      </w:r>
      <w:r w:rsidRPr="008B4DA2">
        <w:rPr>
          <w:rStyle w:val="normaltextrun"/>
          <w:noProof/>
        </w:rPr>
        <w:t>Państwa członkowskie określają przepisy dotyczące kar dla początkujących kierowców, którzy kierują pojazdem</w:t>
      </w:r>
      <w:r w:rsidR="00B83C93" w:rsidRPr="008B4DA2">
        <w:rPr>
          <w:rStyle w:val="normaltextrun"/>
          <w:noProof/>
        </w:rPr>
        <w:t xml:space="preserve"> z</w:t>
      </w:r>
      <w:r w:rsidR="00B83C93">
        <w:rPr>
          <w:rStyle w:val="normaltextrun"/>
          <w:noProof/>
        </w:rPr>
        <w:t> </w:t>
      </w:r>
      <w:r w:rsidR="00B83C93" w:rsidRPr="008B4DA2">
        <w:rPr>
          <w:rStyle w:val="normaltextrun"/>
          <w:noProof/>
        </w:rPr>
        <w:t>poz</w:t>
      </w:r>
      <w:r w:rsidRPr="008B4DA2">
        <w:rPr>
          <w:rStyle w:val="normaltextrun"/>
          <w:noProof/>
        </w:rPr>
        <w:t>iomem alkoholu we krwi przekraczającym 0,0 g/ml,</w:t>
      </w:r>
      <w:r w:rsidR="00B83C93" w:rsidRPr="008B4DA2">
        <w:rPr>
          <w:rStyle w:val="normaltextrun"/>
          <w:noProof/>
        </w:rPr>
        <w:t xml:space="preserve"> i</w:t>
      </w:r>
      <w:r w:rsidR="00B83C93">
        <w:rPr>
          <w:rStyle w:val="normaltextrun"/>
          <w:noProof/>
        </w:rPr>
        <w:t> </w:t>
      </w:r>
      <w:r w:rsidR="00B83C93" w:rsidRPr="008B4DA2">
        <w:rPr>
          <w:rStyle w:val="normaltextrun"/>
          <w:noProof/>
        </w:rPr>
        <w:t>sto</w:t>
      </w:r>
      <w:r w:rsidRPr="008B4DA2">
        <w:rPr>
          <w:rStyle w:val="normaltextrun"/>
          <w:noProof/>
        </w:rPr>
        <w:t>sują wszelkie niezbędne środki</w:t>
      </w:r>
      <w:r w:rsidR="00B83C93" w:rsidRPr="008B4DA2">
        <w:rPr>
          <w:rStyle w:val="normaltextrun"/>
          <w:noProof/>
        </w:rPr>
        <w:t xml:space="preserve"> w</w:t>
      </w:r>
      <w:r w:rsidR="00B83C93">
        <w:rPr>
          <w:rStyle w:val="normaltextrun"/>
          <w:noProof/>
        </w:rPr>
        <w:t> </w:t>
      </w:r>
      <w:r w:rsidR="00B83C93" w:rsidRPr="008B4DA2">
        <w:rPr>
          <w:rStyle w:val="normaltextrun"/>
          <w:noProof/>
        </w:rPr>
        <w:t>cel</w:t>
      </w:r>
      <w:r w:rsidRPr="008B4DA2">
        <w:rPr>
          <w:rStyle w:val="normaltextrun"/>
          <w:noProof/>
        </w:rPr>
        <w:t>u zapewnienia ich wykonania. Kary te muszą być skuteczne, proporcjonalne, odstraszające oraz niedyskryminujące.</w:t>
      </w:r>
    </w:p>
    <w:p w:rsidR="00BD67F9" w:rsidRPr="008B4DA2" w:rsidRDefault="00DF60AC" w:rsidP="00DF60AC">
      <w:pPr>
        <w:pStyle w:val="ManualNumPar1"/>
        <w:rPr>
          <w:rStyle w:val="normaltextrun"/>
          <w:noProof/>
        </w:rPr>
      </w:pPr>
      <w:r w:rsidRPr="008B4DA2">
        <w:rPr>
          <w:rStyle w:val="normaltextrun"/>
          <w:noProof/>
        </w:rPr>
        <w:t>3.</w:t>
      </w:r>
      <w:r w:rsidRPr="008B4DA2">
        <w:rPr>
          <w:noProof/>
        </w:rPr>
        <w:tab/>
      </w:r>
      <w:r w:rsidRPr="008B4DA2">
        <w:rPr>
          <w:rStyle w:val="normaltextrun"/>
          <w:noProof/>
        </w:rPr>
        <w:t>Państwa członkowskie mogą ustanowić dodatkowe przepisy obowiązujące na ich terytorium początkujących kierowców</w:t>
      </w:r>
      <w:r w:rsidR="00B83C93" w:rsidRPr="008B4DA2">
        <w:rPr>
          <w:rStyle w:val="normaltextrun"/>
          <w:noProof/>
        </w:rPr>
        <w:t xml:space="preserve"> w</w:t>
      </w:r>
      <w:r w:rsidR="00B83C93">
        <w:rPr>
          <w:rStyle w:val="normaltextrun"/>
          <w:noProof/>
        </w:rPr>
        <w:t> </w:t>
      </w:r>
      <w:r w:rsidR="00B83C93" w:rsidRPr="008B4DA2">
        <w:rPr>
          <w:rStyle w:val="normaltextrun"/>
          <w:noProof/>
        </w:rPr>
        <w:t>okr</w:t>
      </w:r>
      <w:r w:rsidRPr="008B4DA2">
        <w:rPr>
          <w:rStyle w:val="normaltextrun"/>
          <w:noProof/>
        </w:rPr>
        <w:t>esie próbnym, aby zwiększyć bezpieczeństwo ruchu drogowego. Informują one</w:t>
      </w:r>
      <w:r w:rsidR="00B83C93" w:rsidRPr="008B4DA2">
        <w:rPr>
          <w:rStyle w:val="normaltextrun"/>
          <w:noProof/>
        </w:rPr>
        <w:t xml:space="preserve"> o</w:t>
      </w:r>
      <w:r w:rsidR="00B83C93">
        <w:rPr>
          <w:rStyle w:val="normaltextrun"/>
          <w:noProof/>
        </w:rPr>
        <w:t> </w:t>
      </w:r>
      <w:r w:rsidR="00B83C93" w:rsidRPr="008B4DA2">
        <w:rPr>
          <w:rStyle w:val="normaltextrun"/>
          <w:noProof/>
        </w:rPr>
        <w:t>tym</w:t>
      </w:r>
      <w:r w:rsidRPr="008B4DA2">
        <w:rPr>
          <w:rStyle w:val="normaltextrun"/>
          <w:noProof/>
        </w:rPr>
        <w:t xml:space="preserve"> Komisję. </w:t>
      </w:r>
    </w:p>
    <w:p w:rsidR="00BD67F9" w:rsidRPr="008B4DA2" w:rsidRDefault="00DF60AC" w:rsidP="00DF60AC">
      <w:pPr>
        <w:pStyle w:val="ManualNumPar1"/>
        <w:rPr>
          <w:rStyle w:val="normaltextrun"/>
          <w:noProof/>
        </w:rPr>
      </w:pPr>
      <w:r w:rsidRPr="008B4DA2">
        <w:rPr>
          <w:rStyle w:val="normaltextrun"/>
          <w:noProof/>
        </w:rPr>
        <w:t>4.</w:t>
      </w:r>
      <w:r w:rsidRPr="008B4DA2">
        <w:rPr>
          <w:noProof/>
        </w:rPr>
        <w:tab/>
      </w:r>
      <w:r w:rsidRPr="008B4DA2">
        <w:rPr>
          <w:rStyle w:val="normaltextrun"/>
          <w:noProof/>
        </w:rPr>
        <w:t>Państwa członkowskie oznaczają prawa jazdy wydane</w:t>
      </w:r>
      <w:r w:rsidR="00B83C93" w:rsidRPr="008B4DA2">
        <w:rPr>
          <w:rStyle w:val="normaltextrun"/>
          <w:noProof/>
        </w:rPr>
        <w:t xml:space="preserve"> w</w:t>
      </w:r>
      <w:r w:rsidR="00B83C93">
        <w:rPr>
          <w:rStyle w:val="normaltextrun"/>
          <w:noProof/>
        </w:rPr>
        <w:t> </w:t>
      </w:r>
      <w:r w:rsidR="00B83C93" w:rsidRPr="008B4DA2">
        <w:rPr>
          <w:rStyle w:val="normaltextrun"/>
          <w:noProof/>
        </w:rPr>
        <w:t>okr</w:t>
      </w:r>
      <w:r w:rsidRPr="008B4DA2">
        <w:rPr>
          <w:rStyle w:val="normaltextrun"/>
          <w:noProof/>
        </w:rPr>
        <w:t>esie próbnym kodem unijnym 98.01 określonym</w:t>
      </w:r>
      <w:r w:rsidR="00B83C93" w:rsidRPr="008B4DA2">
        <w:rPr>
          <w:rStyle w:val="normaltextrun"/>
          <w:noProof/>
        </w:rPr>
        <w:t xml:space="preserve"> w</w:t>
      </w:r>
      <w:r w:rsidR="00B83C93">
        <w:rPr>
          <w:rStyle w:val="normaltextrun"/>
          <w:noProof/>
        </w:rPr>
        <w:t> </w:t>
      </w:r>
      <w:r w:rsidR="00B83C93" w:rsidRPr="008B4DA2">
        <w:rPr>
          <w:rStyle w:val="normaltextrun"/>
          <w:noProof/>
        </w:rPr>
        <w:t>zał</w:t>
      </w:r>
      <w:r w:rsidRPr="008B4DA2">
        <w:rPr>
          <w:rStyle w:val="normaltextrun"/>
          <w:noProof/>
        </w:rPr>
        <w:t xml:space="preserve">ączniku I część E. </w:t>
      </w:r>
    </w:p>
    <w:p w:rsidR="00BD67F9" w:rsidRPr="00B83C93" w:rsidRDefault="00DF60AC" w:rsidP="00DF60AC">
      <w:pPr>
        <w:pStyle w:val="ManualNumPar1"/>
        <w:rPr>
          <w:rStyle w:val="normaltextrun"/>
          <w:noProof/>
        </w:rPr>
      </w:pPr>
      <w:r w:rsidRPr="008B4DA2">
        <w:rPr>
          <w:rStyle w:val="normaltextrun"/>
          <w:noProof/>
        </w:rPr>
        <w:t>5.</w:t>
      </w:r>
      <w:r w:rsidRPr="008B4DA2">
        <w:rPr>
          <w:noProof/>
        </w:rPr>
        <w:tab/>
      </w:r>
      <w:r w:rsidRPr="008B4DA2">
        <w:rPr>
          <w:rStyle w:val="normaltextrun"/>
          <w:noProof/>
        </w:rPr>
        <w:t>Okres próbny nie ma zastosowania do kierowców uzyskujących prawo jazdy kategorii A2 lub A zgodnie</w:t>
      </w:r>
      <w:r w:rsidR="00B83C93" w:rsidRPr="008B4DA2">
        <w:rPr>
          <w:rStyle w:val="normaltextrun"/>
          <w:noProof/>
        </w:rPr>
        <w:t xml:space="preserve"> z</w:t>
      </w:r>
      <w:r w:rsidR="00B83C93">
        <w:rPr>
          <w:rStyle w:val="normaltextrun"/>
          <w:noProof/>
        </w:rPr>
        <w:t> </w:t>
      </w:r>
      <w:r w:rsidR="00B83C93" w:rsidRPr="00B83C93">
        <w:rPr>
          <w:rStyle w:val="normaltextrun"/>
          <w:noProof/>
        </w:rPr>
        <w:t>art</w:t>
      </w:r>
      <w:r w:rsidRPr="00B83C93">
        <w:rPr>
          <w:rStyle w:val="normaltextrun"/>
          <w:noProof/>
        </w:rPr>
        <w:t>.</w:t>
      </w:r>
      <w:r w:rsidR="00B83C93" w:rsidRPr="00B83C93">
        <w:rPr>
          <w:rStyle w:val="normaltextrun"/>
          <w:noProof/>
        </w:rPr>
        <w:t> </w:t>
      </w:r>
      <w:r w:rsidRPr="00B83C93">
        <w:rPr>
          <w:rStyle w:val="normaltextrun"/>
          <w:noProof/>
        </w:rPr>
        <w:t>1</w:t>
      </w:r>
      <w:r w:rsidRPr="008B4DA2">
        <w:rPr>
          <w:rStyle w:val="normaltextrun"/>
          <w:noProof/>
        </w:rPr>
        <w:t xml:space="preserve">0 </w:t>
      </w:r>
      <w:r w:rsidRPr="00B83C93">
        <w:rPr>
          <w:rStyle w:val="normaltextrun"/>
          <w:noProof/>
        </w:rPr>
        <w:t>ust.</w:t>
      </w:r>
      <w:r w:rsidR="00B83C93" w:rsidRPr="00B83C93">
        <w:rPr>
          <w:rStyle w:val="normaltextrun"/>
          <w:noProof/>
        </w:rPr>
        <w:t> </w:t>
      </w:r>
      <w:r w:rsidRPr="00B83C93">
        <w:rPr>
          <w:rStyle w:val="normaltextrun"/>
          <w:noProof/>
        </w:rPr>
        <w:t>1</w:t>
      </w:r>
      <w:r w:rsidRPr="008B4DA2">
        <w:rPr>
          <w:rStyle w:val="normaltextrun"/>
          <w:noProof/>
        </w:rPr>
        <w:t xml:space="preserve"> </w:t>
      </w:r>
      <w:r w:rsidRPr="00B83C93">
        <w:rPr>
          <w:rStyle w:val="normaltextrun"/>
          <w:noProof/>
        </w:rPr>
        <w:t>lit.</w:t>
      </w:r>
      <w:r w:rsidR="00B83C93" w:rsidRPr="00B83C93">
        <w:rPr>
          <w:rStyle w:val="normaltextrun"/>
          <w:noProof/>
        </w:rPr>
        <w:t> </w:t>
      </w:r>
      <w:r w:rsidRPr="00B83C93">
        <w:rPr>
          <w:rStyle w:val="normaltextrun"/>
          <w:noProof/>
        </w:rPr>
        <w:t>c).</w:t>
      </w:r>
      <w:r w:rsidR="00B83C93" w:rsidRPr="00B83C93">
        <w:rPr>
          <w:rStyle w:val="normaltextrun"/>
          <w:noProof/>
        </w:rPr>
        <w:t xml:space="preserve"> </w:t>
      </w:r>
    </w:p>
    <w:p w:rsidR="00BD67F9" w:rsidRPr="008B4DA2" w:rsidRDefault="00BD67F9" w:rsidP="00BD67F9">
      <w:pPr>
        <w:pStyle w:val="Titrearticle"/>
        <w:rPr>
          <w:rStyle w:val="normaltextrun"/>
          <w:noProof/>
        </w:rPr>
      </w:pPr>
      <w:r w:rsidRPr="008B4DA2">
        <w:rPr>
          <w:rStyle w:val="normaltextrun"/>
          <w:noProof/>
        </w:rPr>
        <w:t>Artykuł 16</w:t>
      </w:r>
    </w:p>
    <w:p w:rsidR="00BD67F9" w:rsidRPr="008B4DA2" w:rsidRDefault="00BD67F9" w:rsidP="00BD67F9">
      <w:pPr>
        <w:pStyle w:val="Objetacteprincipal"/>
        <w:rPr>
          <w:rStyle w:val="normaltextrun"/>
          <w:noProof/>
        </w:rPr>
      </w:pPr>
      <w:r w:rsidRPr="008B4DA2">
        <w:rPr>
          <w:rStyle w:val="normaltextrun"/>
          <w:noProof/>
        </w:rPr>
        <w:t xml:space="preserve">Egzaminatorzy </w:t>
      </w:r>
    </w:p>
    <w:p w:rsidR="00BD67F9" w:rsidRPr="008B4DA2" w:rsidRDefault="00DF60AC" w:rsidP="00DF60AC">
      <w:pPr>
        <w:pStyle w:val="ManualNumPar1"/>
        <w:rPr>
          <w:rStyle w:val="normaltextrun"/>
          <w:b/>
          <w:noProof/>
        </w:rPr>
      </w:pPr>
      <w:r w:rsidRPr="008B4DA2">
        <w:rPr>
          <w:rStyle w:val="normaltextrun"/>
          <w:noProof/>
        </w:rPr>
        <w:t>1.</w:t>
      </w:r>
      <w:r w:rsidRPr="008B4DA2">
        <w:rPr>
          <w:noProof/>
        </w:rPr>
        <w:tab/>
      </w:r>
      <w:r w:rsidRPr="008B4DA2">
        <w:rPr>
          <w:rStyle w:val="normaltextrun"/>
          <w:noProof/>
        </w:rPr>
        <w:t>Egzaminatorzy prawa jazdy muszą spełniać minimalne standardy określone</w:t>
      </w:r>
      <w:r w:rsidR="00B83C93" w:rsidRPr="008B4DA2">
        <w:rPr>
          <w:rStyle w:val="normaltextrun"/>
          <w:noProof/>
        </w:rPr>
        <w:t xml:space="preserve"> w</w:t>
      </w:r>
      <w:r w:rsidR="00B83C93">
        <w:rPr>
          <w:rStyle w:val="normaltextrun"/>
          <w:noProof/>
        </w:rPr>
        <w:t> </w:t>
      </w:r>
      <w:r w:rsidR="00B83C93" w:rsidRPr="008B4DA2">
        <w:rPr>
          <w:rStyle w:val="normaltextrun"/>
          <w:noProof/>
        </w:rPr>
        <w:t>zał</w:t>
      </w:r>
      <w:r w:rsidRPr="008B4DA2">
        <w:rPr>
          <w:rStyle w:val="normaltextrun"/>
          <w:noProof/>
        </w:rPr>
        <w:t xml:space="preserve">ączniku IV. </w:t>
      </w:r>
    </w:p>
    <w:p w:rsidR="00BD67F9" w:rsidRPr="008B4DA2" w:rsidRDefault="00BD67F9" w:rsidP="00BD67F9">
      <w:pPr>
        <w:pStyle w:val="Text1"/>
        <w:rPr>
          <w:rStyle w:val="normaltextrun"/>
          <w:noProof/>
        </w:rPr>
      </w:pPr>
      <w:r w:rsidRPr="008B4DA2">
        <w:rPr>
          <w:rStyle w:val="normaltextrun"/>
          <w:noProof/>
        </w:rPr>
        <w:t>Egzaminatorzy prawa jazdy pracujący już</w:t>
      </w:r>
      <w:r w:rsidR="00B83C93" w:rsidRPr="008B4DA2">
        <w:rPr>
          <w:rStyle w:val="normaltextrun"/>
          <w:noProof/>
        </w:rPr>
        <w:t xml:space="preserve"> w</w:t>
      </w:r>
      <w:r w:rsidR="00B83C93">
        <w:rPr>
          <w:rStyle w:val="normaltextrun"/>
          <w:noProof/>
        </w:rPr>
        <w:t> </w:t>
      </w:r>
      <w:r w:rsidR="00B83C93" w:rsidRPr="008B4DA2">
        <w:rPr>
          <w:rStyle w:val="normaltextrun"/>
          <w:noProof/>
        </w:rPr>
        <w:t>tej</w:t>
      </w:r>
      <w:r w:rsidRPr="008B4DA2">
        <w:rPr>
          <w:rStyle w:val="normaltextrun"/>
          <w:noProof/>
        </w:rPr>
        <w:t xml:space="preserve"> roli przed 19 stycznia 20</w:t>
      </w:r>
      <w:r w:rsidRPr="00B83C93">
        <w:rPr>
          <w:rStyle w:val="normaltextrun"/>
          <w:noProof/>
        </w:rPr>
        <w:t>13</w:t>
      </w:r>
      <w:r w:rsidR="00B83C93" w:rsidRPr="00B83C93">
        <w:rPr>
          <w:rStyle w:val="normaltextrun"/>
          <w:noProof/>
        </w:rPr>
        <w:t> </w:t>
      </w:r>
      <w:r w:rsidRPr="00B83C93">
        <w:rPr>
          <w:rStyle w:val="normaltextrun"/>
          <w:noProof/>
        </w:rPr>
        <w:t>r.</w:t>
      </w:r>
      <w:r w:rsidRPr="008B4DA2">
        <w:rPr>
          <w:rStyle w:val="normaltextrun"/>
          <w:noProof/>
        </w:rPr>
        <w:t xml:space="preserve"> podlegają jedynie wymogom dotyczącym zapewnienia jakości oraz regularnym szkoleniom okresowym. </w:t>
      </w:r>
    </w:p>
    <w:p w:rsidR="00BD67F9" w:rsidRPr="008B4DA2" w:rsidRDefault="00DF60AC" w:rsidP="00DF60AC">
      <w:pPr>
        <w:pStyle w:val="ManualNumPar1"/>
        <w:rPr>
          <w:rStyle w:val="normaltextrun"/>
          <w:noProof/>
        </w:rPr>
      </w:pPr>
      <w:r w:rsidRPr="008B4DA2">
        <w:rPr>
          <w:rStyle w:val="normaltextrun"/>
          <w:noProof/>
        </w:rPr>
        <w:t>2.</w:t>
      </w:r>
      <w:r w:rsidRPr="008B4DA2">
        <w:rPr>
          <w:noProof/>
        </w:rPr>
        <w:tab/>
      </w:r>
      <w:r w:rsidRPr="008B4DA2">
        <w:rPr>
          <w:rStyle w:val="normaltextrun"/>
          <w:noProof/>
        </w:rPr>
        <w:t>Komisja jest uprawniona do przyjmowania aktów delegowanych zgodnie</w:t>
      </w:r>
      <w:r w:rsidR="00B83C93" w:rsidRPr="008B4DA2">
        <w:rPr>
          <w:rStyle w:val="normaltextrun"/>
          <w:noProof/>
        </w:rPr>
        <w:t xml:space="preserve"> z</w:t>
      </w:r>
      <w:r w:rsidR="00B83C93">
        <w:rPr>
          <w:rStyle w:val="normaltextrun"/>
          <w:noProof/>
        </w:rPr>
        <w:t> </w:t>
      </w:r>
      <w:r w:rsidR="00B83C93" w:rsidRPr="00B83C93">
        <w:rPr>
          <w:rStyle w:val="normaltextrun"/>
          <w:noProof/>
        </w:rPr>
        <w:t>art</w:t>
      </w:r>
      <w:r w:rsidRPr="00B83C93">
        <w:rPr>
          <w:rStyle w:val="normaltextrun"/>
          <w:noProof/>
        </w:rPr>
        <w:t>.</w:t>
      </w:r>
      <w:r w:rsidR="00B83C93" w:rsidRPr="00B83C93">
        <w:rPr>
          <w:rStyle w:val="normaltextrun"/>
          <w:noProof/>
        </w:rPr>
        <w:t> </w:t>
      </w:r>
      <w:r w:rsidRPr="00B83C93">
        <w:rPr>
          <w:rStyle w:val="normaltextrun"/>
          <w:noProof/>
        </w:rPr>
        <w:t>2</w:t>
      </w:r>
      <w:r w:rsidRPr="008B4DA2">
        <w:rPr>
          <w:rStyle w:val="normaltextrun"/>
          <w:noProof/>
        </w:rPr>
        <w:t>1, aby dokonać zmiany załącznika IV, jeżeli jest to konieczne</w:t>
      </w:r>
      <w:r w:rsidR="00B83C93" w:rsidRPr="008B4DA2">
        <w:rPr>
          <w:rStyle w:val="normaltextrun"/>
          <w:noProof/>
        </w:rPr>
        <w:t xml:space="preserve"> w</w:t>
      </w:r>
      <w:r w:rsidR="00B83C93">
        <w:rPr>
          <w:rStyle w:val="normaltextrun"/>
          <w:noProof/>
        </w:rPr>
        <w:t> </w:t>
      </w:r>
      <w:r w:rsidR="00B83C93" w:rsidRPr="008B4DA2">
        <w:rPr>
          <w:rStyle w:val="normaltextrun"/>
          <w:noProof/>
        </w:rPr>
        <w:t>cel</w:t>
      </w:r>
      <w:r w:rsidRPr="008B4DA2">
        <w:rPr>
          <w:rStyle w:val="normaltextrun"/>
          <w:noProof/>
        </w:rPr>
        <w:t>u uwzględnienia zmian technicznych, operacyjnych lub naukowych.</w:t>
      </w:r>
    </w:p>
    <w:p w:rsidR="00BD67F9" w:rsidRPr="008B4DA2" w:rsidRDefault="00BD67F9" w:rsidP="00BD67F9">
      <w:pPr>
        <w:pStyle w:val="Titrearticle"/>
        <w:rPr>
          <w:rStyle w:val="normaltextrun"/>
          <w:noProof/>
        </w:rPr>
      </w:pPr>
      <w:r w:rsidRPr="008B4DA2">
        <w:rPr>
          <w:rStyle w:val="normaltextrun"/>
          <w:noProof/>
        </w:rPr>
        <w:t>Artykuł 17</w:t>
      </w:r>
    </w:p>
    <w:p w:rsidR="00BD67F9" w:rsidRPr="008B4DA2" w:rsidRDefault="00BD67F9" w:rsidP="00BD67F9">
      <w:pPr>
        <w:pStyle w:val="Objetacteprincipal"/>
        <w:rPr>
          <w:rStyle w:val="normaltextrun"/>
          <w:noProof/>
        </w:rPr>
      </w:pPr>
      <w:r w:rsidRPr="008B4DA2">
        <w:rPr>
          <w:rStyle w:val="normaltextrun"/>
          <w:noProof/>
        </w:rPr>
        <w:t xml:space="preserve">Miejsce stałego zamieszkania </w:t>
      </w:r>
    </w:p>
    <w:p w:rsidR="00BD67F9" w:rsidRPr="008B4DA2" w:rsidRDefault="00DF60AC" w:rsidP="00DF60AC">
      <w:pPr>
        <w:pStyle w:val="ManualNumPar1"/>
        <w:rPr>
          <w:rStyle w:val="normaltextrun"/>
          <w:b/>
          <w:noProof/>
        </w:rPr>
      </w:pPr>
      <w:r w:rsidRPr="008B4DA2">
        <w:rPr>
          <w:rStyle w:val="normaltextrun"/>
          <w:noProof/>
        </w:rPr>
        <w:t>1.</w:t>
      </w:r>
      <w:r w:rsidRPr="008B4DA2">
        <w:rPr>
          <w:noProof/>
        </w:rPr>
        <w:tab/>
      </w:r>
      <w:r w:rsidRPr="008B4DA2">
        <w:rPr>
          <w:rStyle w:val="normaltextrun"/>
          <w:noProof/>
        </w:rPr>
        <w:t>Do celów niniejszej dyrektywy „miejsce stałego zamieszkania” oznacza miejsce,</w:t>
      </w:r>
      <w:r w:rsidR="00B83C93" w:rsidRPr="008B4DA2">
        <w:rPr>
          <w:rStyle w:val="normaltextrun"/>
          <w:noProof/>
        </w:rPr>
        <w:t xml:space="preserve"> w</w:t>
      </w:r>
      <w:r w:rsidR="00B83C93">
        <w:rPr>
          <w:rStyle w:val="normaltextrun"/>
          <w:noProof/>
        </w:rPr>
        <w:t> </w:t>
      </w:r>
      <w:r w:rsidR="00B83C93" w:rsidRPr="008B4DA2">
        <w:rPr>
          <w:rStyle w:val="normaltextrun"/>
          <w:noProof/>
        </w:rPr>
        <w:t>któ</w:t>
      </w:r>
      <w:r w:rsidRPr="008B4DA2">
        <w:rPr>
          <w:rStyle w:val="normaltextrun"/>
          <w:noProof/>
        </w:rPr>
        <w:t>rym osoba fizyczna przebywa zwykle, to znaczy przez co najmniej 185 dni</w:t>
      </w:r>
      <w:r w:rsidR="00B83C93" w:rsidRPr="008B4DA2">
        <w:rPr>
          <w:rStyle w:val="normaltextrun"/>
          <w:noProof/>
        </w:rPr>
        <w:t xml:space="preserve"> w</w:t>
      </w:r>
      <w:r w:rsidR="00B83C93">
        <w:rPr>
          <w:rStyle w:val="normaltextrun"/>
          <w:noProof/>
        </w:rPr>
        <w:t> </w:t>
      </w:r>
      <w:r w:rsidR="00B83C93" w:rsidRPr="008B4DA2">
        <w:rPr>
          <w:rStyle w:val="normaltextrun"/>
          <w:noProof/>
        </w:rPr>
        <w:t>każ</w:t>
      </w:r>
      <w:r w:rsidRPr="008B4DA2">
        <w:rPr>
          <w:rStyle w:val="normaltextrun"/>
          <w:noProof/>
        </w:rPr>
        <w:t>dym roku kalendarzowym, ze względu na swoje więzi osobiste</w:t>
      </w:r>
      <w:r w:rsidR="00B83C93" w:rsidRPr="008B4DA2">
        <w:rPr>
          <w:rStyle w:val="normaltextrun"/>
          <w:noProof/>
        </w:rPr>
        <w:t xml:space="preserve"> i</w:t>
      </w:r>
      <w:r w:rsidR="00B83C93">
        <w:rPr>
          <w:rStyle w:val="normaltextrun"/>
          <w:noProof/>
        </w:rPr>
        <w:t> </w:t>
      </w:r>
      <w:r w:rsidR="00B83C93" w:rsidRPr="008B4DA2">
        <w:rPr>
          <w:rStyle w:val="normaltextrun"/>
          <w:noProof/>
        </w:rPr>
        <w:t>zaw</w:t>
      </w:r>
      <w:r w:rsidRPr="008B4DA2">
        <w:rPr>
          <w:rStyle w:val="normaltextrun"/>
          <w:noProof/>
        </w:rPr>
        <w:t>odowe lub –</w:t>
      </w:r>
      <w:r w:rsidR="00B83C93" w:rsidRPr="008B4DA2">
        <w:rPr>
          <w:rStyle w:val="normaltextrun"/>
          <w:noProof/>
        </w:rPr>
        <w:t xml:space="preserve"> w</w:t>
      </w:r>
      <w:r w:rsidR="00B83C93">
        <w:rPr>
          <w:rStyle w:val="normaltextrun"/>
          <w:noProof/>
        </w:rPr>
        <w:t> </w:t>
      </w:r>
      <w:r w:rsidR="00B83C93" w:rsidRPr="008B4DA2">
        <w:rPr>
          <w:rStyle w:val="normaltextrun"/>
          <w:noProof/>
        </w:rPr>
        <w:t>prz</w:t>
      </w:r>
      <w:r w:rsidRPr="008B4DA2">
        <w:rPr>
          <w:rStyle w:val="normaltextrun"/>
          <w:noProof/>
        </w:rPr>
        <w:t>ypadku osoby niezwiązanej</w:t>
      </w:r>
      <w:r w:rsidR="00B83C93" w:rsidRPr="008B4DA2">
        <w:rPr>
          <w:rStyle w:val="normaltextrun"/>
          <w:noProof/>
        </w:rPr>
        <w:t xml:space="preserve"> z</w:t>
      </w:r>
      <w:r w:rsidR="00B83C93">
        <w:rPr>
          <w:rStyle w:val="normaltextrun"/>
          <w:noProof/>
        </w:rPr>
        <w:t> </w:t>
      </w:r>
      <w:r w:rsidR="00B83C93" w:rsidRPr="008B4DA2">
        <w:rPr>
          <w:rStyle w:val="normaltextrun"/>
          <w:noProof/>
        </w:rPr>
        <w:t>dan</w:t>
      </w:r>
      <w:r w:rsidRPr="008B4DA2">
        <w:rPr>
          <w:rStyle w:val="normaltextrun"/>
          <w:noProof/>
        </w:rPr>
        <w:t>ym miejscem zawodowo – ze względu na więzi osobiste, które wskazują na istnienie ścisłych powiązań między tą osobą</w:t>
      </w:r>
      <w:r w:rsidR="00B83C93" w:rsidRPr="008B4DA2">
        <w:rPr>
          <w:rStyle w:val="normaltextrun"/>
          <w:noProof/>
        </w:rPr>
        <w:t xml:space="preserve"> a</w:t>
      </w:r>
      <w:r w:rsidR="00B83C93">
        <w:rPr>
          <w:rStyle w:val="normaltextrun"/>
          <w:noProof/>
        </w:rPr>
        <w:t> </w:t>
      </w:r>
      <w:r w:rsidR="00B83C93" w:rsidRPr="008B4DA2">
        <w:rPr>
          <w:rStyle w:val="normaltextrun"/>
          <w:noProof/>
        </w:rPr>
        <w:t>mie</w:t>
      </w:r>
      <w:r w:rsidRPr="008B4DA2">
        <w:rPr>
          <w:rStyle w:val="normaltextrun"/>
          <w:noProof/>
        </w:rPr>
        <w:t>jscem,</w:t>
      </w:r>
      <w:r w:rsidR="00B83C93" w:rsidRPr="008B4DA2">
        <w:rPr>
          <w:rStyle w:val="normaltextrun"/>
          <w:noProof/>
        </w:rPr>
        <w:t xml:space="preserve"> w</w:t>
      </w:r>
      <w:r w:rsidR="00B83C93">
        <w:rPr>
          <w:rStyle w:val="normaltextrun"/>
          <w:noProof/>
        </w:rPr>
        <w:t> </w:t>
      </w:r>
      <w:r w:rsidR="00B83C93" w:rsidRPr="008B4DA2">
        <w:rPr>
          <w:rStyle w:val="normaltextrun"/>
          <w:noProof/>
        </w:rPr>
        <w:t>któ</w:t>
      </w:r>
      <w:r w:rsidRPr="008B4DA2">
        <w:rPr>
          <w:rStyle w:val="normaltextrun"/>
          <w:noProof/>
        </w:rPr>
        <w:t>rym mieszka.</w:t>
      </w:r>
    </w:p>
    <w:p w:rsidR="00BD67F9" w:rsidRPr="008B4DA2" w:rsidRDefault="00BD67F9" w:rsidP="00BD67F9">
      <w:pPr>
        <w:pStyle w:val="Text1"/>
        <w:rPr>
          <w:rStyle w:val="normaltextrun"/>
          <w:noProof/>
        </w:rPr>
      </w:pPr>
      <w:r w:rsidRPr="008B4DA2">
        <w:rPr>
          <w:rStyle w:val="normaltextrun"/>
          <w:noProof/>
        </w:rPr>
        <w:t>Jednak</w:t>
      </w:r>
      <w:r w:rsidR="00B83C93" w:rsidRPr="008B4DA2">
        <w:rPr>
          <w:rStyle w:val="normaltextrun"/>
          <w:noProof/>
        </w:rPr>
        <w:t xml:space="preserve"> w</w:t>
      </w:r>
      <w:r w:rsidR="00B83C93">
        <w:rPr>
          <w:rStyle w:val="normaltextrun"/>
          <w:noProof/>
        </w:rPr>
        <w:t> </w:t>
      </w:r>
      <w:r w:rsidR="00B83C93" w:rsidRPr="008B4DA2">
        <w:rPr>
          <w:rStyle w:val="normaltextrun"/>
          <w:noProof/>
        </w:rPr>
        <w:t>prz</w:t>
      </w:r>
      <w:r w:rsidRPr="008B4DA2">
        <w:rPr>
          <w:rStyle w:val="normaltextrun"/>
          <w:noProof/>
        </w:rPr>
        <w:t>ypadku osoby związanej zawodowo</w:t>
      </w:r>
      <w:r w:rsidR="00B83C93" w:rsidRPr="008B4DA2">
        <w:rPr>
          <w:rStyle w:val="normaltextrun"/>
          <w:noProof/>
        </w:rPr>
        <w:t xml:space="preserve"> z</w:t>
      </w:r>
      <w:r w:rsidR="00B83C93">
        <w:rPr>
          <w:rStyle w:val="normaltextrun"/>
          <w:noProof/>
        </w:rPr>
        <w:t> </w:t>
      </w:r>
      <w:r w:rsidR="00B83C93" w:rsidRPr="008B4DA2">
        <w:rPr>
          <w:rStyle w:val="normaltextrun"/>
          <w:noProof/>
        </w:rPr>
        <w:t>mie</w:t>
      </w:r>
      <w:r w:rsidRPr="008B4DA2">
        <w:rPr>
          <w:rStyle w:val="normaltextrun"/>
          <w:noProof/>
        </w:rPr>
        <w:t>jscem innym niż miejsce,</w:t>
      </w:r>
      <w:r w:rsidR="00B83C93" w:rsidRPr="008B4DA2">
        <w:rPr>
          <w:rStyle w:val="normaltextrun"/>
          <w:noProof/>
        </w:rPr>
        <w:t xml:space="preserve"> z</w:t>
      </w:r>
      <w:r w:rsidR="00B83C93">
        <w:rPr>
          <w:rStyle w:val="normaltextrun"/>
          <w:noProof/>
        </w:rPr>
        <w:t> </w:t>
      </w:r>
      <w:r w:rsidR="00B83C93" w:rsidRPr="008B4DA2">
        <w:rPr>
          <w:rStyle w:val="normaltextrun"/>
          <w:noProof/>
        </w:rPr>
        <w:t>któ</w:t>
      </w:r>
      <w:r w:rsidRPr="008B4DA2">
        <w:rPr>
          <w:rStyle w:val="normaltextrun"/>
          <w:noProof/>
        </w:rPr>
        <w:t>rym łączą ją więzi osobiste,</w:t>
      </w:r>
      <w:r w:rsidR="00B83C93" w:rsidRPr="008B4DA2">
        <w:rPr>
          <w:rStyle w:val="normaltextrun"/>
          <w:noProof/>
        </w:rPr>
        <w:t xml:space="preserve"> i</w:t>
      </w:r>
      <w:r w:rsidR="00B83C93">
        <w:rPr>
          <w:rStyle w:val="normaltextrun"/>
          <w:noProof/>
        </w:rPr>
        <w:t> </w:t>
      </w:r>
      <w:r w:rsidR="00B83C93" w:rsidRPr="008B4DA2">
        <w:rPr>
          <w:rStyle w:val="normaltextrun"/>
          <w:noProof/>
        </w:rPr>
        <w:t>z</w:t>
      </w:r>
      <w:r w:rsidR="00B83C93">
        <w:rPr>
          <w:rStyle w:val="normaltextrun"/>
          <w:noProof/>
        </w:rPr>
        <w:t> </w:t>
      </w:r>
      <w:r w:rsidR="00B83C93" w:rsidRPr="008B4DA2">
        <w:rPr>
          <w:rStyle w:val="normaltextrun"/>
          <w:noProof/>
        </w:rPr>
        <w:t>teg</w:t>
      </w:r>
      <w:r w:rsidRPr="008B4DA2">
        <w:rPr>
          <w:rStyle w:val="normaltextrun"/>
          <w:noProof/>
        </w:rPr>
        <w:t>o względu mieszkającej kolejno</w:t>
      </w:r>
      <w:r w:rsidR="00B83C93" w:rsidRPr="008B4DA2">
        <w:rPr>
          <w:rStyle w:val="normaltextrun"/>
          <w:noProof/>
        </w:rPr>
        <w:t xml:space="preserve"> w</w:t>
      </w:r>
      <w:r w:rsidR="00B83C93">
        <w:rPr>
          <w:rStyle w:val="normaltextrun"/>
          <w:noProof/>
        </w:rPr>
        <w:t> </w:t>
      </w:r>
      <w:r w:rsidR="00B83C93" w:rsidRPr="008B4DA2">
        <w:rPr>
          <w:rStyle w:val="normaltextrun"/>
          <w:noProof/>
        </w:rPr>
        <w:t>róż</w:t>
      </w:r>
      <w:r w:rsidRPr="008B4DA2">
        <w:rPr>
          <w:rStyle w:val="normaltextrun"/>
          <w:noProof/>
        </w:rPr>
        <w:t>nych miejscach w co najmniej dwu państwach członkowskich, za miejsce stałego zamieszkania uważa się miejsce,</w:t>
      </w:r>
      <w:r w:rsidR="00B83C93" w:rsidRPr="008B4DA2">
        <w:rPr>
          <w:rStyle w:val="normaltextrun"/>
          <w:noProof/>
        </w:rPr>
        <w:t xml:space="preserve"> z</w:t>
      </w:r>
      <w:r w:rsidR="00B83C93">
        <w:rPr>
          <w:rStyle w:val="normaltextrun"/>
          <w:noProof/>
        </w:rPr>
        <w:t> </w:t>
      </w:r>
      <w:r w:rsidR="00B83C93" w:rsidRPr="008B4DA2">
        <w:rPr>
          <w:rStyle w:val="normaltextrun"/>
          <w:noProof/>
        </w:rPr>
        <w:t>któ</w:t>
      </w:r>
      <w:r w:rsidRPr="008B4DA2">
        <w:rPr>
          <w:rStyle w:val="normaltextrun"/>
          <w:noProof/>
        </w:rPr>
        <w:t>rym łączą ją więzi osobiste, pod warunkiem że regularnie do niego powraca. Ten ostatni warunek nie musi być spełniony, jeśli osoba ta mieszka</w:t>
      </w:r>
      <w:r w:rsidR="00B83C93" w:rsidRPr="008B4DA2">
        <w:rPr>
          <w:rStyle w:val="normaltextrun"/>
          <w:noProof/>
        </w:rPr>
        <w:t xml:space="preserve"> w</w:t>
      </w:r>
      <w:r w:rsidR="00B83C93">
        <w:rPr>
          <w:rStyle w:val="normaltextrun"/>
          <w:noProof/>
        </w:rPr>
        <w:t> </w:t>
      </w:r>
      <w:r w:rsidR="00B83C93" w:rsidRPr="008B4DA2">
        <w:rPr>
          <w:rStyle w:val="normaltextrun"/>
          <w:noProof/>
        </w:rPr>
        <w:t>pań</w:t>
      </w:r>
      <w:r w:rsidRPr="008B4DA2">
        <w:rPr>
          <w:rStyle w:val="normaltextrun"/>
          <w:noProof/>
        </w:rPr>
        <w:t>stwie członkowskim</w:t>
      </w:r>
      <w:r w:rsidR="00B83C93" w:rsidRPr="008B4DA2">
        <w:rPr>
          <w:rStyle w:val="normaltextrun"/>
          <w:noProof/>
        </w:rPr>
        <w:t xml:space="preserve"> w</w:t>
      </w:r>
      <w:r w:rsidR="00B83C93">
        <w:rPr>
          <w:rStyle w:val="normaltextrun"/>
          <w:noProof/>
        </w:rPr>
        <w:t> </w:t>
      </w:r>
      <w:r w:rsidR="00B83C93" w:rsidRPr="008B4DA2">
        <w:rPr>
          <w:rStyle w:val="normaltextrun"/>
          <w:noProof/>
        </w:rPr>
        <w:t>cel</w:t>
      </w:r>
      <w:r w:rsidRPr="008B4DA2">
        <w:rPr>
          <w:rStyle w:val="normaltextrun"/>
          <w:noProof/>
        </w:rPr>
        <w:t>u wypełnienia zadania</w:t>
      </w:r>
      <w:r w:rsidR="00B83C93" w:rsidRPr="008B4DA2">
        <w:rPr>
          <w:rStyle w:val="normaltextrun"/>
          <w:noProof/>
        </w:rPr>
        <w:t xml:space="preserve"> o</w:t>
      </w:r>
      <w:r w:rsidR="00B83C93">
        <w:rPr>
          <w:rStyle w:val="normaltextrun"/>
          <w:noProof/>
        </w:rPr>
        <w:t> </w:t>
      </w:r>
      <w:r w:rsidR="00B83C93" w:rsidRPr="008B4DA2">
        <w:rPr>
          <w:rStyle w:val="normaltextrun"/>
          <w:noProof/>
        </w:rPr>
        <w:t>okr</w:t>
      </w:r>
      <w:r w:rsidRPr="008B4DA2">
        <w:rPr>
          <w:rStyle w:val="normaltextrun"/>
          <w:noProof/>
        </w:rPr>
        <w:t>eślonym czasie trwania. Wyjazd na studia uniwersyteckie bądź na naukę</w:t>
      </w:r>
      <w:r w:rsidR="00B83C93" w:rsidRPr="008B4DA2">
        <w:rPr>
          <w:rStyle w:val="normaltextrun"/>
          <w:noProof/>
        </w:rPr>
        <w:t xml:space="preserve"> w</w:t>
      </w:r>
      <w:r w:rsidR="00B83C93">
        <w:rPr>
          <w:rStyle w:val="normaltextrun"/>
          <w:noProof/>
        </w:rPr>
        <w:t> </w:t>
      </w:r>
      <w:r w:rsidR="00B83C93" w:rsidRPr="008B4DA2">
        <w:rPr>
          <w:rStyle w:val="normaltextrun"/>
          <w:noProof/>
        </w:rPr>
        <w:t>szk</w:t>
      </w:r>
      <w:r w:rsidRPr="008B4DA2">
        <w:rPr>
          <w:rStyle w:val="normaltextrun"/>
          <w:noProof/>
        </w:rPr>
        <w:t>ole nie musi oznaczać zmiany miejsca stałego zamieszkania.</w:t>
      </w:r>
    </w:p>
    <w:p w:rsidR="00BD67F9" w:rsidRPr="008B4DA2" w:rsidRDefault="00DF60AC" w:rsidP="00DF60AC">
      <w:pPr>
        <w:pStyle w:val="ManualNumPar1"/>
        <w:rPr>
          <w:rStyle w:val="normaltextrun"/>
          <w:noProof/>
        </w:rPr>
      </w:pPr>
      <w:r w:rsidRPr="008B4DA2">
        <w:rPr>
          <w:rStyle w:val="normaltextrun"/>
          <w:noProof/>
        </w:rPr>
        <w:t>2.</w:t>
      </w:r>
      <w:r w:rsidRPr="008B4DA2">
        <w:rPr>
          <w:noProof/>
        </w:rPr>
        <w:tab/>
      </w:r>
      <w:r w:rsidRPr="008B4DA2">
        <w:rPr>
          <w:rStyle w:val="normaltextrun"/>
          <w:noProof/>
        </w:rPr>
        <w:t xml:space="preserve">Do celów </w:t>
      </w:r>
      <w:r w:rsidRPr="00B83C93">
        <w:rPr>
          <w:rStyle w:val="normaltextrun"/>
          <w:noProof/>
        </w:rPr>
        <w:t>art.</w:t>
      </w:r>
      <w:r w:rsidR="00B83C93" w:rsidRPr="00B83C93">
        <w:rPr>
          <w:rStyle w:val="normaltextrun"/>
          <w:noProof/>
        </w:rPr>
        <w:t> </w:t>
      </w:r>
      <w:r w:rsidRPr="00B83C93">
        <w:rPr>
          <w:rStyle w:val="normaltextrun"/>
          <w:noProof/>
        </w:rPr>
        <w:t>1</w:t>
      </w:r>
      <w:r w:rsidRPr="008B4DA2">
        <w:rPr>
          <w:rStyle w:val="normaltextrun"/>
          <w:noProof/>
        </w:rPr>
        <w:t xml:space="preserve">0 </w:t>
      </w:r>
      <w:r w:rsidRPr="00B83C93">
        <w:rPr>
          <w:rStyle w:val="normaltextrun"/>
          <w:noProof/>
        </w:rPr>
        <w:t>ust.</w:t>
      </w:r>
      <w:r w:rsidR="00B83C93" w:rsidRPr="00B83C93">
        <w:rPr>
          <w:rStyle w:val="normaltextrun"/>
          <w:noProof/>
        </w:rPr>
        <w:t> </w:t>
      </w:r>
      <w:r w:rsidRPr="00B83C93">
        <w:rPr>
          <w:rStyle w:val="normaltextrun"/>
          <w:noProof/>
        </w:rPr>
        <w:t>3</w:t>
      </w:r>
      <w:r w:rsidRPr="008B4DA2">
        <w:rPr>
          <w:rStyle w:val="normaltextrun"/>
          <w:noProof/>
        </w:rPr>
        <w:t xml:space="preserve"> </w:t>
      </w:r>
      <w:r w:rsidRPr="00B83C93">
        <w:rPr>
          <w:rStyle w:val="normaltextrun"/>
          <w:noProof/>
        </w:rPr>
        <w:t>lit.</w:t>
      </w:r>
      <w:r w:rsidR="00B83C93" w:rsidRPr="00B83C93">
        <w:rPr>
          <w:rStyle w:val="normaltextrun"/>
          <w:noProof/>
        </w:rPr>
        <w:t> </w:t>
      </w:r>
      <w:r w:rsidRPr="00B83C93">
        <w:rPr>
          <w:rStyle w:val="normaltextrun"/>
          <w:noProof/>
        </w:rPr>
        <w:t>b)</w:t>
      </w:r>
      <w:r w:rsidR="00B83C93" w:rsidRPr="008B4DA2">
        <w:rPr>
          <w:rStyle w:val="normaltextrun"/>
          <w:noProof/>
        </w:rPr>
        <w:t xml:space="preserve"> i</w:t>
      </w:r>
      <w:r w:rsidR="00B83C93">
        <w:rPr>
          <w:rStyle w:val="normaltextrun"/>
          <w:noProof/>
        </w:rPr>
        <w:t> </w:t>
      </w:r>
      <w:r w:rsidR="00B83C93" w:rsidRPr="00B83C93">
        <w:rPr>
          <w:rStyle w:val="normaltextrun"/>
          <w:noProof/>
        </w:rPr>
        <w:t>art</w:t>
      </w:r>
      <w:r w:rsidRPr="00B83C93">
        <w:rPr>
          <w:rStyle w:val="normaltextrun"/>
          <w:noProof/>
        </w:rPr>
        <w:t>.</w:t>
      </w:r>
      <w:r w:rsidR="00B83C93" w:rsidRPr="00B83C93">
        <w:rPr>
          <w:rStyle w:val="normaltextrun"/>
          <w:noProof/>
        </w:rPr>
        <w:t> </w:t>
      </w:r>
      <w:r w:rsidRPr="00B83C93">
        <w:rPr>
          <w:rStyle w:val="normaltextrun"/>
          <w:noProof/>
        </w:rPr>
        <w:t>1</w:t>
      </w:r>
      <w:r w:rsidRPr="008B4DA2">
        <w:rPr>
          <w:rStyle w:val="normaltextrun"/>
          <w:noProof/>
        </w:rPr>
        <w:t xml:space="preserve">1 </w:t>
      </w:r>
      <w:r w:rsidRPr="00B83C93">
        <w:rPr>
          <w:rStyle w:val="normaltextrun"/>
          <w:noProof/>
        </w:rPr>
        <w:t>ust.</w:t>
      </w:r>
      <w:r w:rsidR="00B83C93" w:rsidRPr="00B83C93">
        <w:rPr>
          <w:rStyle w:val="normaltextrun"/>
          <w:noProof/>
        </w:rPr>
        <w:t> </w:t>
      </w:r>
      <w:r w:rsidRPr="00B83C93">
        <w:rPr>
          <w:rStyle w:val="normaltextrun"/>
          <w:noProof/>
        </w:rPr>
        <w:t>4</w:t>
      </w:r>
      <w:r w:rsidRPr="008B4DA2">
        <w:rPr>
          <w:rStyle w:val="normaltextrun"/>
          <w:noProof/>
        </w:rPr>
        <w:t xml:space="preserve"> uznaje się, że</w:t>
      </w:r>
      <w:r w:rsidR="00B83C93" w:rsidRPr="008B4DA2">
        <w:rPr>
          <w:rStyle w:val="normaltextrun"/>
          <w:noProof/>
        </w:rPr>
        <w:t xml:space="preserve"> w</w:t>
      </w:r>
      <w:r w:rsidR="00B83C93">
        <w:rPr>
          <w:rStyle w:val="normaltextrun"/>
          <w:noProof/>
        </w:rPr>
        <w:t> </w:t>
      </w:r>
      <w:r w:rsidR="00B83C93" w:rsidRPr="008B4DA2">
        <w:rPr>
          <w:rStyle w:val="normaltextrun"/>
          <w:noProof/>
        </w:rPr>
        <w:t>prz</w:t>
      </w:r>
      <w:r w:rsidRPr="008B4DA2">
        <w:rPr>
          <w:rStyle w:val="normaltextrun"/>
          <w:noProof/>
        </w:rPr>
        <w:t>ypadku pracowników służb dyplomatycznych Unii lub jej państw członkowskich lub członków ich rodzin wchodzących</w:t>
      </w:r>
      <w:r w:rsidR="00B83C93" w:rsidRPr="008B4DA2">
        <w:rPr>
          <w:rStyle w:val="normaltextrun"/>
          <w:noProof/>
        </w:rPr>
        <w:t xml:space="preserve"> w</w:t>
      </w:r>
      <w:r w:rsidR="00B83C93">
        <w:rPr>
          <w:rStyle w:val="normaltextrun"/>
          <w:noProof/>
        </w:rPr>
        <w:t> </w:t>
      </w:r>
      <w:r w:rsidR="00B83C93" w:rsidRPr="008B4DA2">
        <w:rPr>
          <w:rStyle w:val="normaltextrun"/>
          <w:noProof/>
        </w:rPr>
        <w:t>skł</w:t>
      </w:r>
      <w:r w:rsidRPr="008B4DA2">
        <w:rPr>
          <w:rStyle w:val="normaltextrun"/>
          <w:noProof/>
        </w:rPr>
        <w:t>ad ich gospodarstw domowych miejsce stałego zamieszkania – na potrzeby przedłużenia okresu ważności oraz wydania wtórnika – znajduje się na terytorium państwa członkowskiego, które wydało przedmiotowe prawo jazdy.</w:t>
      </w:r>
    </w:p>
    <w:p w:rsidR="00BD67F9" w:rsidRPr="008B4DA2" w:rsidRDefault="00BD67F9" w:rsidP="007F5A7D">
      <w:pPr>
        <w:pStyle w:val="Text1"/>
        <w:rPr>
          <w:rStyle w:val="normaltextrun"/>
          <w:noProof/>
        </w:rPr>
      </w:pPr>
      <w:r w:rsidRPr="008B4DA2">
        <w:rPr>
          <w:rStyle w:val="normaltextrun"/>
          <w:noProof/>
        </w:rPr>
        <w:t>Do celów niniejszego artykułu „służby dyplomatyczne Unii” obejmują urzędników odpowiednich służb Sekretariatu Generalnego Rady</w:t>
      </w:r>
      <w:r w:rsidR="00B83C93" w:rsidRPr="008B4DA2">
        <w:rPr>
          <w:rStyle w:val="normaltextrun"/>
          <w:noProof/>
        </w:rPr>
        <w:t xml:space="preserve"> i</w:t>
      </w:r>
      <w:r w:rsidR="00B83C93">
        <w:rPr>
          <w:rStyle w:val="normaltextrun"/>
          <w:noProof/>
        </w:rPr>
        <w:t> </w:t>
      </w:r>
      <w:r w:rsidR="00B83C93" w:rsidRPr="008B4DA2">
        <w:rPr>
          <w:rStyle w:val="normaltextrun"/>
          <w:noProof/>
        </w:rPr>
        <w:t>Kom</w:t>
      </w:r>
      <w:r w:rsidRPr="008B4DA2">
        <w:rPr>
          <w:rStyle w:val="normaltextrun"/>
          <w:noProof/>
        </w:rPr>
        <w:t>isji, jak również personel delegowany przez krajowe służby dyplomatyczne państw członkowskich oraz wszelkich innych pracowników lub wykonawców pracujących dla instytucji, organów, urzędów</w:t>
      </w:r>
      <w:r w:rsidR="00B83C93" w:rsidRPr="008B4DA2">
        <w:rPr>
          <w:rStyle w:val="normaltextrun"/>
          <w:noProof/>
        </w:rPr>
        <w:t xml:space="preserve"> i</w:t>
      </w:r>
      <w:r w:rsidR="00B83C93">
        <w:rPr>
          <w:rStyle w:val="normaltextrun"/>
          <w:noProof/>
        </w:rPr>
        <w:t> </w:t>
      </w:r>
      <w:r w:rsidR="00B83C93" w:rsidRPr="008B4DA2">
        <w:rPr>
          <w:rStyle w:val="normaltextrun"/>
          <w:noProof/>
        </w:rPr>
        <w:t>age</w:t>
      </w:r>
      <w:r w:rsidRPr="008B4DA2">
        <w:rPr>
          <w:rStyle w:val="normaltextrun"/>
          <w:noProof/>
        </w:rPr>
        <w:t>ncji Unii</w:t>
      </w:r>
      <w:r w:rsidR="00B83C93" w:rsidRPr="008B4DA2">
        <w:rPr>
          <w:rStyle w:val="normaltextrun"/>
          <w:noProof/>
        </w:rPr>
        <w:t xml:space="preserve"> w</w:t>
      </w:r>
      <w:r w:rsidR="00B83C93">
        <w:rPr>
          <w:rStyle w:val="normaltextrun"/>
          <w:noProof/>
        </w:rPr>
        <w:t> </w:t>
      </w:r>
      <w:r w:rsidR="00B83C93" w:rsidRPr="008B4DA2">
        <w:rPr>
          <w:rStyle w:val="normaltextrun"/>
          <w:noProof/>
        </w:rPr>
        <w:t>dzi</w:t>
      </w:r>
      <w:r w:rsidRPr="008B4DA2">
        <w:rPr>
          <w:rStyle w:val="normaltextrun"/>
          <w:noProof/>
        </w:rPr>
        <w:t>edzinie reprezentacji zewnętrznej, którzy, aby móc wykonywać swoje obowiązki wynikające</w:t>
      </w:r>
      <w:r w:rsidR="00B83C93" w:rsidRPr="008B4DA2">
        <w:rPr>
          <w:rStyle w:val="normaltextrun"/>
          <w:noProof/>
        </w:rPr>
        <w:t xml:space="preserve"> z</w:t>
      </w:r>
      <w:r w:rsidR="00B83C93">
        <w:rPr>
          <w:rStyle w:val="normaltextrun"/>
          <w:noProof/>
        </w:rPr>
        <w:t> </w:t>
      </w:r>
      <w:r w:rsidR="00B83C93" w:rsidRPr="008B4DA2">
        <w:rPr>
          <w:rStyle w:val="normaltextrun"/>
          <w:noProof/>
        </w:rPr>
        <w:t>umo</w:t>
      </w:r>
      <w:r w:rsidRPr="008B4DA2">
        <w:rPr>
          <w:rStyle w:val="normaltextrun"/>
          <w:noProof/>
        </w:rPr>
        <w:t>wy, muszą mieszkać przez co najmniej 181 dni</w:t>
      </w:r>
      <w:r w:rsidR="00B83C93" w:rsidRPr="008B4DA2">
        <w:rPr>
          <w:rStyle w:val="normaltextrun"/>
          <w:noProof/>
        </w:rPr>
        <w:t xml:space="preserve"> w</w:t>
      </w:r>
      <w:r w:rsidR="00B83C93">
        <w:rPr>
          <w:rStyle w:val="normaltextrun"/>
          <w:noProof/>
        </w:rPr>
        <w:t> </w:t>
      </w:r>
      <w:r w:rsidR="00B83C93" w:rsidRPr="008B4DA2">
        <w:rPr>
          <w:rStyle w:val="normaltextrun"/>
          <w:noProof/>
        </w:rPr>
        <w:t>rok</w:t>
      </w:r>
      <w:r w:rsidRPr="008B4DA2">
        <w:rPr>
          <w:rStyle w:val="normaltextrun"/>
          <w:noProof/>
        </w:rPr>
        <w:t>u kalendarzowym na terytorium państwa trzeciego lub kilku państw trzecich.</w:t>
      </w:r>
    </w:p>
    <w:p w:rsidR="00BD67F9" w:rsidRPr="008B4DA2" w:rsidRDefault="00DF60AC" w:rsidP="00DF60AC">
      <w:pPr>
        <w:pStyle w:val="ManualNumPar1"/>
        <w:rPr>
          <w:rStyle w:val="normaltextrun"/>
          <w:noProof/>
        </w:rPr>
      </w:pPr>
      <w:r w:rsidRPr="008B4DA2">
        <w:rPr>
          <w:rStyle w:val="normaltextrun"/>
          <w:noProof/>
        </w:rPr>
        <w:t>3.</w:t>
      </w:r>
      <w:r w:rsidRPr="008B4DA2">
        <w:rPr>
          <w:noProof/>
        </w:rPr>
        <w:tab/>
      </w:r>
      <w:r w:rsidRPr="008B4DA2">
        <w:rPr>
          <w:rStyle w:val="normaltextrun"/>
          <w:noProof/>
        </w:rPr>
        <w:t>Jeżeli posiadacz prawa jazdy nie może udowodnić ustanowienia swojego miejsca stałego zamieszkania</w:t>
      </w:r>
      <w:r w:rsidR="00B83C93" w:rsidRPr="008B4DA2">
        <w:rPr>
          <w:rStyle w:val="normaltextrun"/>
          <w:noProof/>
        </w:rPr>
        <w:t xml:space="preserve"> w</w:t>
      </w:r>
      <w:r w:rsidR="00B83C93">
        <w:rPr>
          <w:rStyle w:val="normaltextrun"/>
          <w:noProof/>
        </w:rPr>
        <w:t> </w:t>
      </w:r>
      <w:r w:rsidR="00B83C93" w:rsidRPr="008B4DA2">
        <w:rPr>
          <w:rStyle w:val="normaltextrun"/>
          <w:noProof/>
        </w:rPr>
        <w:t>dan</w:t>
      </w:r>
      <w:r w:rsidRPr="008B4DA2">
        <w:rPr>
          <w:rStyle w:val="normaltextrun"/>
          <w:noProof/>
        </w:rPr>
        <w:t>ym państwie członkowskim zgodnie</w:t>
      </w:r>
      <w:r w:rsidR="00B83C93" w:rsidRPr="008B4DA2">
        <w:rPr>
          <w:rStyle w:val="normaltextrun"/>
          <w:noProof/>
        </w:rPr>
        <w:t xml:space="preserve"> z</w:t>
      </w:r>
      <w:r w:rsidR="00B83C93">
        <w:rPr>
          <w:rStyle w:val="normaltextrun"/>
          <w:noProof/>
        </w:rPr>
        <w:t> </w:t>
      </w:r>
      <w:r w:rsidR="00B83C93" w:rsidRPr="00B83C93">
        <w:rPr>
          <w:rStyle w:val="normaltextrun"/>
          <w:noProof/>
        </w:rPr>
        <w:t>ust</w:t>
      </w:r>
      <w:r w:rsidRPr="00B83C93">
        <w:rPr>
          <w:rStyle w:val="normaltextrun"/>
          <w:noProof/>
        </w:rPr>
        <w:t>.</w:t>
      </w:r>
      <w:r w:rsidR="00B83C93" w:rsidRPr="00B83C93">
        <w:rPr>
          <w:rStyle w:val="normaltextrun"/>
          <w:noProof/>
        </w:rPr>
        <w:t> </w:t>
      </w:r>
      <w:r w:rsidRPr="00B83C93">
        <w:rPr>
          <w:rStyle w:val="normaltextrun"/>
          <w:noProof/>
        </w:rPr>
        <w:t>1</w:t>
      </w:r>
      <w:r w:rsidRPr="008B4DA2">
        <w:rPr>
          <w:rStyle w:val="normaltextrun"/>
          <w:noProof/>
        </w:rPr>
        <w:t>, może</w:t>
      </w:r>
      <w:r w:rsidR="00B83C93" w:rsidRPr="008B4DA2">
        <w:rPr>
          <w:rStyle w:val="normaltextrun"/>
          <w:noProof/>
        </w:rPr>
        <w:t xml:space="preserve"> w</w:t>
      </w:r>
      <w:r w:rsidR="00B83C93">
        <w:rPr>
          <w:rStyle w:val="normaltextrun"/>
          <w:noProof/>
        </w:rPr>
        <w:t> </w:t>
      </w:r>
      <w:r w:rsidR="00B83C93" w:rsidRPr="008B4DA2">
        <w:rPr>
          <w:rStyle w:val="normaltextrun"/>
          <w:noProof/>
        </w:rPr>
        <w:t>ost</w:t>
      </w:r>
      <w:r w:rsidRPr="008B4DA2">
        <w:rPr>
          <w:rStyle w:val="normaltextrun"/>
          <w:noProof/>
        </w:rPr>
        <w:t>ateczności uzyskać przedłużenie okresu ważności prawa jazdy</w:t>
      </w:r>
      <w:r w:rsidR="00B83C93" w:rsidRPr="008B4DA2">
        <w:rPr>
          <w:rStyle w:val="normaltextrun"/>
          <w:noProof/>
        </w:rPr>
        <w:t xml:space="preserve"> w</w:t>
      </w:r>
      <w:r w:rsidR="00B83C93">
        <w:rPr>
          <w:rStyle w:val="normaltextrun"/>
          <w:noProof/>
        </w:rPr>
        <w:t> </w:t>
      </w:r>
      <w:r w:rsidR="00B83C93" w:rsidRPr="008B4DA2">
        <w:rPr>
          <w:rStyle w:val="normaltextrun"/>
          <w:noProof/>
        </w:rPr>
        <w:t>pań</w:t>
      </w:r>
      <w:r w:rsidRPr="008B4DA2">
        <w:rPr>
          <w:rStyle w:val="normaltextrun"/>
          <w:noProof/>
        </w:rPr>
        <w:t>stwie członkowskim, które pierwotnie je wydało.</w:t>
      </w:r>
    </w:p>
    <w:p w:rsidR="00BD67F9" w:rsidRPr="008B4DA2" w:rsidRDefault="00DF60AC" w:rsidP="00DF60AC">
      <w:pPr>
        <w:pStyle w:val="ManualNumPar1"/>
        <w:rPr>
          <w:rStyle w:val="normaltextrun"/>
          <w:noProof/>
        </w:rPr>
      </w:pPr>
      <w:r w:rsidRPr="008B4DA2">
        <w:rPr>
          <w:rStyle w:val="normaltextrun"/>
          <w:noProof/>
        </w:rPr>
        <w:t>4.</w:t>
      </w:r>
      <w:r w:rsidRPr="008B4DA2">
        <w:rPr>
          <w:noProof/>
        </w:rPr>
        <w:tab/>
      </w:r>
      <w:r w:rsidRPr="008B4DA2">
        <w:rPr>
          <w:rStyle w:val="normaltextrun"/>
          <w:noProof/>
        </w:rPr>
        <w:t xml:space="preserve">Na zasadzie odstępstwa od </w:t>
      </w:r>
      <w:r w:rsidRPr="00B83C93">
        <w:rPr>
          <w:rStyle w:val="normaltextrun"/>
          <w:noProof/>
        </w:rPr>
        <w:t>art.</w:t>
      </w:r>
      <w:r w:rsidR="00B83C93" w:rsidRPr="00B83C93">
        <w:rPr>
          <w:rStyle w:val="normaltextrun"/>
          <w:noProof/>
        </w:rPr>
        <w:t> </w:t>
      </w:r>
      <w:r w:rsidRPr="00B83C93">
        <w:rPr>
          <w:rStyle w:val="normaltextrun"/>
          <w:noProof/>
        </w:rPr>
        <w:t>1</w:t>
      </w:r>
      <w:r w:rsidRPr="008B4DA2">
        <w:rPr>
          <w:rStyle w:val="normaltextrun"/>
          <w:noProof/>
        </w:rPr>
        <w:t xml:space="preserve">0 </w:t>
      </w:r>
      <w:r w:rsidRPr="00B83C93">
        <w:rPr>
          <w:rStyle w:val="normaltextrun"/>
          <w:noProof/>
        </w:rPr>
        <w:t>ust.</w:t>
      </w:r>
      <w:r w:rsidR="00B83C93" w:rsidRPr="00B83C93">
        <w:rPr>
          <w:rStyle w:val="normaltextrun"/>
          <w:noProof/>
        </w:rPr>
        <w:t> </w:t>
      </w:r>
      <w:r w:rsidRPr="00B83C93">
        <w:rPr>
          <w:rStyle w:val="normaltextrun"/>
          <w:noProof/>
        </w:rPr>
        <w:t>1</w:t>
      </w:r>
      <w:r w:rsidRPr="008B4DA2">
        <w:rPr>
          <w:rStyle w:val="normaltextrun"/>
          <w:noProof/>
        </w:rPr>
        <w:t xml:space="preserve"> </w:t>
      </w:r>
      <w:r w:rsidRPr="00B83C93">
        <w:rPr>
          <w:rStyle w:val="normaltextrun"/>
          <w:noProof/>
        </w:rPr>
        <w:t>lit.</w:t>
      </w:r>
      <w:r w:rsidR="00B83C93" w:rsidRPr="00B83C93">
        <w:rPr>
          <w:rStyle w:val="normaltextrun"/>
          <w:noProof/>
        </w:rPr>
        <w:t> </w:t>
      </w:r>
      <w:r w:rsidRPr="00B83C93">
        <w:rPr>
          <w:rStyle w:val="normaltextrun"/>
          <w:noProof/>
        </w:rPr>
        <w:t>e)</w:t>
      </w:r>
      <w:r w:rsidR="00B83C93" w:rsidRPr="008B4DA2">
        <w:rPr>
          <w:rStyle w:val="normaltextrun"/>
          <w:noProof/>
        </w:rPr>
        <w:t xml:space="preserve"> i</w:t>
      </w:r>
      <w:r w:rsidR="00B83C93">
        <w:rPr>
          <w:rStyle w:val="normaltextrun"/>
          <w:noProof/>
        </w:rPr>
        <w:t> </w:t>
      </w:r>
      <w:r w:rsidR="00B83C93" w:rsidRPr="008B4DA2">
        <w:rPr>
          <w:rStyle w:val="normaltextrun"/>
          <w:noProof/>
        </w:rPr>
        <w:t>w</w:t>
      </w:r>
      <w:r w:rsidR="00B83C93">
        <w:rPr>
          <w:rStyle w:val="normaltextrun"/>
          <w:noProof/>
        </w:rPr>
        <w:t> </w:t>
      </w:r>
      <w:r w:rsidR="00B83C93" w:rsidRPr="008B4DA2">
        <w:rPr>
          <w:rStyle w:val="normaltextrun"/>
          <w:noProof/>
        </w:rPr>
        <w:t>kon</w:t>
      </w:r>
      <w:r w:rsidRPr="008B4DA2">
        <w:rPr>
          <w:rStyle w:val="normaltextrun"/>
          <w:noProof/>
        </w:rPr>
        <w:t>kretnym celu pierwszego wydania prawa jazdy kategorii B wnioskodawcy, którego państwo członkowskie miejsca stałego zamieszkania jest inne niż państwo członkowskie obywatelstwa, prawo jazdy może zostać wydane przez to drugie</w:t>
      </w:r>
      <w:r w:rsidR="00B83C93" w:rsidRPr="008B4DA2">
        <w:rPr>
          <w:rStyle w:val="normaltextrun"/>
          <w:noProof/>
        </w:rPr>
        <w:t xml:space="preserve"> z</w:t>
      </w:r>
      <w:r w:rsidR="00B83C93">
        <w:rPr>
          <w:rStyle w:val="normaltextrun"/>
          <w:noProof/>
        </w:rPr>
        <w:t> </w:t>
      </w:r>
      <w:r w:rsidR="00B83C93" w:rsidRPr="008B4DA2">
        <w:rPr>
          <w:rStyle w:val="normaltextrun"/>
          <w:noProof/>
        </w:rPr>
        <w:t>wym</w:t>
      </w:r>
      <w:r w:rsidRPr="008B4DA2">
        <w:rPr>
          <w:rStyle w:val="normaltextrun"/>
          <w:noProof/>
        </w:rPr>
        <w:t>ienionych państw, jeżeli państwo członkowskie miejsca stałego zamieszkania nie przewiduje możliwości zdawania egzaminu teoretycznego lub egzaminu praktycznego</w:t>
      </w:r>
      <w:r w:rsidR="00B83C93" w:rsidRPr="008B4DA2">
        <w:rPr>
          <w:rStyle w:val="normaltextrun"/>
          <w:noProof/>
        </w:rPr>
        <w:t xml:space="preserve"> w</w:t>
      </w:r>
      <w:r w:rsidR="00B83C93">
        <w:rPr>
          <w:rStyle w:val="normaltextrun"/>
          <w:noProof/>
        </w:rPr>
        <w:t> </w:t>
      </w:r>
      <w:r w:rsidR="00B83C93" w:rsidRPr="008B4DA2">
        <w:rPr>
          <w:rStyle w:val="normaltextrun"/>
          <w:noProof/>
        </w:rPr>
        <w:t>jed</w:t>
      </w:r>
      <w:r w:rsidRPr="008B4DA2">
        <w:rPr>
          <w:rStyle w:val="normaltextrun"/>
          <w:noProof/>
        </w:rPr>
        <w:t>nym</w:t>
      </w:r>
      <w:r w:rsidR="00B83C93" w:rsidRPr="008B4DA2">
        <w:rPr>
          <w:rStyle w:val="normaltextrun"/>
          <w:noProof/>
        </w:rPr>
        <w:t xml:space="preserve"> z</w:t>
      </w:r>
      <w:r w:rsidR="00B83C93">
        <w:rPr>
          <w:rStyle w:val="normaltextrun"/>
          <w:noProof/>
        </w:rPr>
        <w:t> </w:t>
      </w:r>
      <w:r w:rsidR="00B83C93" w:rsidRPr="008B4DA2">
        <w:rPr>
          <w:rStyle w:val="normaltextrun"/>
          <w:noProof/>
        </w:rPr>
        <w:t>jęz</w:t>
      </w:r>
      <w:r w:rsidRPr="008B4DA2">
        <w:rPr>
          <w:rStyle w:val="normaltextrun"/>
          <w:noProof/>
        </w:rPr>
        <w:t>yków urzędowych państwa członkowskiego obywatelstwa lub</w:t>
      </w:r>
      <w:r w:rsidR="00B83C93" w:rsidRPr="008B4DA2">
        <w:rPr>
          <w:rStyle w:val="normaltextrun"/>
          <w:noProof/>
        </w:rPr>
        <w:t xml:space="preserve"> z</w:t>
      </w:r>
      <w:r w:rsidR="00B83C93">
        <w:rPr>
          <w:rStyle w:val="normaltextrun"/>
          <w:noProof/>
        </w:rPr>
        <w:t> </w:t>
      </w:r>
      <w:r w:rsidR="00B83C93" w:rsidRPr="008B4DA2">
        <w:rPr>
          <w:rStyle w:val="normaltextrun"/>
          <w:noProof/>
        </w:rPr>
        <w:t>udz</w:t>
      </w:r>
      <w:r w:rsidRPr="008B4DA2">
        <w:rPr>
          <w:rStyle w:val="normaltextrun"/>
          <w:noProof/>
        </w:rPr>
        <w:t>iałem tłumacza ustnego.</w:t>
      </w:r>
    </w:p>
    <w:p w:rsidR="00BD67F9" w:rsidRPr="008B4DA2" w:rsidRDefault="00BD67F9" w:rsidP="00BD67F9">
      <w:pPr>
        <w:pStyle w:val="Titrearticle"/>
        <w:rPr>
          <w:rStyle w:val="normaltextrun"/>
          <w:noProof/>
        </w:rPr>
      </w:pPr>
      <w:r w:rsidRPr="008B4DA2">
        <w:rPr>
          <w:rStyle w:val="normaltextrun"/>
          <w:noProof/>
        </w:rPr>
        <w:t>Artykuł 18</w:t>
      </w:r>
    </w:p>
    <w:p w:rsidR="00BD67F9" w:rsidRPr="008B4DA2" w:rsidRDefault="00BD67F9" w:rsidP="00BD67F9">
      <w:pPr>
        <w:pStyle w:val="Objetacteprincipal"/>
        <w:rPr>
          <w:rStyle w:val="normaltextrun"/>
          <w:noProof/>
        </w:rPr>
      </w:pPr>
      <w:r w:rsidRPr="008B4DA2">
        <w:rPr>
          <w:rStyle w:val="normaltextrun"/>
          <w:noProof/>
        </w:rPr>
        <w:t xml:space="preserve">Równoważność praw jazdy nieodpowiadających standardowemu wzorowi unijnemu </w:t>
      </w:r>
    </w:p>
    <w:p w:rsidR="00BD67F9" w:rsidRPr="008B4DA2" w:rsidRDefault="00DF60AC" w:rsidP="00DF60AC">
      <w:pPr>
        <w:pStyle w:val="ManualNumPar1"/>
        <w:rPr>
          <w:rStyle w:val="normaltextrun"/>
          <w:b/>
          <w:bCs/>
          <w:noProof/>
        </w:rPr>
      </w:pPr>
      <w:r w:rsidRPr="008B4DA2">
        <w:rPr>
          <w:rStyle w:val="normaltextrun"/>
          <w:noProof/>
        </w:rPr>
        <w:t>1.</w:t>
      </w:r>
      <w:r w:rsidRPr="008B4DA2">
        <w:rPr>
          <w:noProof/>
        </w:rPr>
        <w:tab/>
      </w:r>
      <w:r w:rsidRPr="008B4DA2">
        <w:rPr>
          <w:rStyle w:val="normaltextrun"/>
          <w:noProof/>
        </w:rPr>
        <w:t>Państwa członkowskie stosują równoważności ustanowione decyzją Komisji (UE) 2016/1945</w:t>
      </w:r>
      <w:r w:rsidRPr="008B4DA2">
        <w:rPr>
          <w:rStyle w:val="FootnoteReference"/>
          <w:noProof/>
        </w:rPr>
        <w:footnoteReference w:id="65"/>
      </w:r>
      <w:r w:rsidRPr="008B4DA2">
        <w:rPr>
          <w:rStyle w:val="normaltextrun"/>
          <w:noProof/>
        </w:rPr>
        <w:t xml:space="preserve"> między uprawnieniami uzyskanymi przed dniem 19 stycznia 20</w:t>
      </w:r>
      <w:r w:rsidRPr="00B83C93">
        <w:rPr>
          <w:rStyle w:val="normaltextrun"/>
          <w:noProof/>
        </w:rPr>
        <w:t>13</w:t>
      </w:r>
      <w:r w:rsidR="00B83C93" w:rsidRPr="00B83C93">
        <w:rPr>
          <w:rStyle w:val="normaltextrun"/>
          <w:noProof/>
        </w:rPr>
        <w:t> </w:t>
      </w:r>
      <w:r w:rsidRPr="00B83C93">
        <w:rPr>
          <w:rStyle w:val="normaltextrun"/>
          <w:noProof/>
        </w:rPr>
        <w:t>r.</w:t>
      </w:r>
      <w:r w:rsidR="00B83C93" w:rsidRPr="008B4DA2">
        <w:rPr>
          <w:rStyle w:val="normaltextrun"/>
          <w:noProof/>
        </w:rPr>
        <w:t xml:space="preserve"> a</w:t>
      </w:r>
      <w:r w:rsidR="00B83C93">
        <w:rPr>
          <w:rStyle w:val="normaltextrun"/>
          <w:noProof/>
        </w:rPr>
        <w:t> </w:t>
      </w:r>
      <w:r w:rsidR="00B83C93" w:rsidRPr="008B4DA2">
        <w:rPr>
          <w:rStyle w:val="normaltextrun"/>
          <w:noProof/>
        </w:rPr>
        <w:t>kat</w:t>
      </w:r>
      <w:r w:rsidRPr="008B4DA2">
        <w:rPr>
          <w:rStyle w:val="normaltextrun"/>
          <w:noProof/>
        </w:rPr>
        <w:t>egoriami określonymi</w:t>
      </w:r>
      <w:r w:rsidR="00B83C93" w:rsidRPr="008B4DA2">
        <w:rPr>
          <w:rStyle w:val="normaltextrun"/>
          <w:noProof/>
        </w:rPr>
        <w:t xml:space="preserve"> w</w:t>
      </w:r>
      <w:r w:rsidR="00B83C93">
        <w:rPr>
          <w:rStyle w:val="normaltextrun"/>
          <w:noProof/>
        </w:rPr>
        <w:t> </w:t>
      </w:r>
      <w:r w:rsidR="00B83C93" w:rsidRPr="00B83C93">
        <w:rPr>
          <w:rStyle w:val="normaltextrun"/>
          <w:noProof/>
        </w:rPr>
        <w:t>art</w:t>
      </w:r>
      <w:r w:rsidRPr="00B83C93">
        <w:rPr>
          <w:rStyle w:val="normaltextrun"/>
          <w:noProof/>
        </w:rPr>
        <w:t>.</w:t>
      </w:r>
      <w:r w:rsidR="00B83C93" w:rsidRPr="00B83C93">
        <w:rPr>
          <w:rStyle w:val="normaltextrun"/>
          <w:noProof/>
        </w:rPr>
        <w:t> </w:t>
      </w:r>
      <w:r w:rsidRPr="00B83C93">
        <w:rPr>
          <w:rStyle w:val="normaltextrun"/>
          <w:noProof/>
        </w:rPr>
        <w:t>6</w:t>
      </w:r>
      <w:r w:rsidRPr="008B4DA2">
        <w:rPr>
          <w:rStyle w:val="normaltextrun"/>
          <w:noProof/>
        </w:rPr>
        <w:t xml:space="preserve"> niniejszej dyrektywy.</w:t>
      </w:r>
    </w:p>
    <w:p w:rsidR="00BD67F9" w:rsidRPr="008B4DA2" w:rsidRDefault="00DF60AC" w:rsidP="00DF60AC">
      <w:pPr>
        <w:pStyle w:val="ManualNumPar1"/>
        <w:rPr>
          <w:rStyle w:val="normaltextrun"/>
          <w:noProof/>
        </w:rPr>
      </w:pPr>
      <w:r w:rsidRPr="008B4DA2">
        <w:rPr>
          <w:rStyle w:val="normaltextrun"/>
          <w:noProof/>
        </w:rPr>
        <w:t>2.</w:t>
      </w:r>
      <w:r w:rsidRPr="008B4DA2">
        <w:rPr>
          <w:noProof/>
        </w:rPr>
        <w:tab/>
      </w:r>
      <w:r w:rsidRPr="008B4DA2">
        <w:rPr>
          <w:rStyle w:val="normaltextrun"/>
          <w:noProof/>
        </w:rPr>
        <w:t>Wszelkie uprawnienia do kierowania pojazdami przyznane przed 19 stycznia 20</w:t>
      </w:r>
      <w:r w:rsidRPr="00B83C93">
        <w:rPr>
          <w:rStyle w:val="normaltextrun"/>
          <w:noProof/>
        </w:rPr>
        <w:t>13</w:t>
      </w:r>
      <w:r w:rsidR="00B83C93" w:rsidRPr="00B83C93">
        <w:rPr>
          <w:rStyle w:val="normaltextrun"/>
          <w:noProof/>
        </w:rPr>
        <w:t> </w:t>
      </w:r>
      <w:r w:rsidRPr="00B83C93">
        <w:rPr>
          <w:rStyle w:val="normaltextrun"/>
          <w:noProof/>
        </w:rPr>
        <w:t>r.</w:t>
      </w:r>
      <w:r w:rsidRPr="008B4DA2">
        <w:rPr>
          <w:rStyle w:val="normaltextrun"/>
          <w:noProof/>
        </w:rPr>
        <w:t xml:space="preserve"> dyrektywy nie podlegają ograniczeniu lub unieważnieniu przez przepisy niniejszej dyrektywy. </w:t>
      </w:r>
    </w:p>
    <w:p w:rsidR="00BD67F9" w:rsidRPr="008B4DA2" w:rsidRDefault="00BD67F9" w:rsidP="00BD67F9">
      <w:pPr>
        <w:pStyle w:val="Titrearticle"/>
        <w:rPr>
          <w:rStyle w:val="normaltextrun"/>
          <w:noProof/>
        </w:rPr>
      </w:pPr>
      <w:r w:rsidRPr="008B4DA2">
        <w:rPr>
          <w:rStyle w:val="normaltextrun"/>
          <w:noProof/>
        </w:rPr>
        <w:t>Artykuł 19</w:t>
      </w:r>
    </w:p>
    <w:p w:rsidR="00BD67F9" w:rsidRPr="008B4DA2" w:rsidRDefault="00BD67F9" w:rsidP="00BD67F9">
      <w:pPr>
        <w:pStyle w:val="Objetacteprincipal"/>
        <w:rPr>
          <w:rStyle w:val="normaltextrun"/>
          <w:noProof/>
        </w:rPr>
      </w:pPr>
      <w:r w:rsidRPr="008B4DA2">
        <w:rPr>
          <w:rStyle w:val="normaltextrun"/>
          <w:noProof/>
        </w:rPr>
        <w:t>Wzajemna pomoc</w:t>
      </w:r>
    </w:p>
    <w:p w:rsidR="00BD67F9" w:rsidRPr="008B4DA2" w:rsidRDefault="00DF60AC" w:rsidP="00DF60AC">
      <w:pPr>
        <w:pStyle w:val="ManualNumPar1"/>
        <w:rPr>
          <w:rStyle w:val="normaltextrun"/>
          <w:b/>
          <w:noProof/>
        </w:rPr>
      </w:pPr>
      <w:r w:rsidRPr="008B4DA2">
        <w:rPr>
          <w:rStyle w:val="normaltextrun"/>
          <w:noProof/>
        </w:rPr>
        <w:t>1.</w:t>
      </w:r>
      <w:r w:rsidRPr="008B4DA2">
        <w:rPr>
          <w:noProof/>
        </w:rPr>
        <w:tab/>
      </w:r>
      <w:r w:rsidRPr="008B4DA2">
        <w:rPr>
          <w:rStyle w:val="normaltextrun"/>
          <w:noProof/>
        </w:rPr>
        <w:t>Państwa członkowskie wspierają się nawzajem</w:t>
      </w:r>
      <w:r w:rsidR="00B83C93" w:rsidRPr="008B4DA2">
        <w:rPr>
          <w:rStyle w:val="normaltextrun"/>
          <w:noProof/>
        </w:rPr>
        <w:t xml:space="preserve"> w</w:t>
      </w:r>
      <w:r w:rsidR="00B83C93">
        <w:rPr>
          <w:rStyle w:val="normaltextrun"/>
          <w:noProof/>
        </w:rPr>
        <w:t> </w:t>
      </w:r>
      <w:r w:rsidR="00B83C93" w:rsidRPr="008B4DA2">
        <w:rPr>
          <w:rStyle w:val="normaltextrun"/>
          <w:noProof/>
        </w:rPr>
        <w:t>wyk</w:t>
      </w:r>
      <w:r w:rsidRPr="008B4DA2">
        <w:rPr>
          <w:rStyle w:val="normaltextrun"/>
          <w:noProof/>
        </w:rPr>
        <w:t>onywaniu niniejszej dyrektywy. Wymieniają one informacje</w:t>
      </w:r>
      <w:r w:rsidR="00B83C93" w:rsidRPr="008B4DA2">
        <w:rPr>
          <w:rStyle w:val="normaltextrun"/>
          <w:noProof/>
        </w:rPr>
        <w:t xml:space="preserve"> o</w:t>
      </w:r>
      <w:r w:rsidR="00B83C93">
        <w:rPr>
          <w:rStyle w:val="normaltextrun"/>
          <w:noProof/>
        </w:rPr>
        <w:t> </w:t>
      </w:r>
      <w:r w:rsidR="00B83C93" w:rsidRPr="008B4DA2">
        <w:rPr>
          <w:rStyle w:val="normaltextrun"/>
          <w:noProof/>
        </w:rPr>
        <w:t>pra</w:t>
      </w:r>
      <w:r w:rsidRPr="008B4DA2">
        <w:rPr>
          <w:rStyle w:val="normaltextrun"/>
          <w:noProof/>
        </w:rPr>
        <w:t>wach jazdy, które wydały, wymieniły, zastąpiły wtórnikiem, przedłużyły pod względem okresu ważności, ograniczyły, zawiesiły, cofnęły, unieważniły lub anulowały, oraz</w:t>
      </w:r>
      <w:r w:rsidR="00B83C93" w:rsidRPr="008B4DA2">
        <w:rPr>
          <w:rStyle w:val="normaltextrun"/>
          <w:noProof/>
        </w:rPr>
        <w:t xml:space="preserve"> o</w:t>
      </w:r>
      <w:r w:rsidR="00B83C93">
        <w:rPr>
          <w:rStyle w:val="normaltextrun"/>
          <w:noProof/>
        </w:rPr>
        <w:t> </w:t>
      </w:r>
      <w:r w:rsidR="00B83C93" w:rsidRPr="008B4DA2">
        <w:rPr>
          <w:rStyle w:val="normaltextrun"/>
          <w:noProof/>
        </w:rPr>
        <w:t>zak</w:t>
      </w:r>
      <w:r w:rsidRPr="008B4DA2">
        <w:rPr>
          <w:rStyle w:val="normaltextrun"/>
          <w:noProof/>
        </w:rPr>
        <w:t>azach prowadzenia pojazdów, które nałożyły lub planują nałożyć,</w:t>
      </w:r>
      <w:r w:rsidR="00B83C93" w:rsidRPr="008B4DA2">
        <w:rPr>
          <w:rStyle w:val="normaltextrun"/>
          <w:noProof/>
        </w:rPr>
        <w:t xml:space="preserve"> a</w:t>
      </w:r>
      <w:r w:rsidR="00B83C93">
        <w:rPr>
          <w:rStyle w:val="normaltextrun"/>
          <w:noProof/>
        </w:rPr>
        <w:t> </w:t>
      </w:r>
      <w:r w:rsidR="00B83C93" w:rsidRPr="008B4DA2">
        <w:rPr>
          <w:rStyle w:val="normaltextrun"/>
          <w:noProof/>
        </w:rPr>
        <w:t>tak</w:t>
      </w:r>
      <w:r w:rsidRPr="008B4DA2">
        <w:rPr>
          <w:rStyle w:val="normaltextrun"/>
          <w:noProof/>
        </w:rPr>
        <w:t>że konsultują się ze sobą</w:t>
      </w:r>
      <w:r w:rsidR="00B83C93" w:rsidRPr="008B4DA2">
        <w:rPr>
          <w:rStyle w:val="normaltextrun"/>
          <w:noProof/>
        </w:rPr>
        <w:t xml:space="preserve"> w</w:t>
      </w:r>
      <w:r w:rsidR="00B83C93">
        <w:rPr>
          <w:rStyle w:val="normaltextrun"/>
          <w:noProof/>
        </w:rPr>
        <w:t> </w:t>
      </w:r>
      <w:r w:rsidR="00B83C93" w:rsidRPr="008B4DA2">
        <w:rPr>
          <w:rStyle w:val="normaltextrun"/>
          <w:noProof/>
        </w:rPr>
        <w:t>cel</w:t>
      </w:r>
      <w:r w:rsidRPr="008B4DA2">
        <w:rPr>
          <w:rStyle w:val="normaltextrun"/>
          <w:noProof/>
        </w:rPr>
        <w:t>u sprawdzenia, czy wnioskodawca ubiegający się</w:t>
      </w:r>
      <w:r w:rsidR="00B83C93" w:rsidRPr="008B4DA2">
        <w:rPr>
          <w:rStyle w:val="normaltextrun"/>
          <w:noProof/>
        </w:rPr>
        <w:t xml:space="preserve"> o</w:t>
      </w:r>
      <w:r w:rsidR="00B83C93">
        <w:rPr>
          <w:rStyle w:val="normaltextrun"/>
          <w:noProof/>
        </w:rPr>
        <w:t> </w:t>
      </w:r>
      <w:r w:rsidR="00B83C93" w:rsidRPr="008B4DA2">
        <w:rPr>
          <w:rStyle w:val="normaltextrun"/>
          <w:noProof/>
        </w:rPr>
        <w:t>pra</w:t>
      </w:r>
      <w:r w:rsidRPr="008B4DA2">
        <w:rPr>
          <w:rStyle w:val="normaltextrun"/>
          <w:noProof/>
        </w:rPr>
        <w:t>wo jazdy nie podlega zakazowi prowadzenia pojazdów</w:t>
      </w:r>
      <w:r w:rsidR="00B83C93" w:rsidRPr="008B4DA2">
        <w:rPr>
          <w:rStyle w:val="normaltextrun"/>
          <w:noProof/>
        </w:rPr>
        <w:t xml:space="preserve"> w</w:t>
      </w:r>
      <w:r w:rsidR="00B83C93">
        <w:rPr>
          <w:rStyle w:val="normaltextrun"/>
          <w:noProof/>
        </w:rPr>
        <w:t> </w:t>
      </w:r>
      <w:r w:rsidR="00B83C93" w:rsidRPr="008B4DA2">
        <w:rPr>
          <w:rStyle w:val="normaltextrun"/>
          <w:noProof/>
        </w:rPr>
        <w:t>jed</w:t>
      </w:r>
      <w:r w:rsidRPr="008B4DA2">
        <w:rPr>
          <w:rStyle w:val="normaltextrun"/>
          <w:noProof/>
        </w:rPr>
        <w:t>nym</w:t>
      </w:r>
      <w:r w:rsidR="00B83C93" w:rsidRPr="008B4DA2">
        <w:rPr>
          <w:rStyle w:val="normaltextrun"/>
          <w:noProof/>
        </w:rPr>
        <w:t xml:space="preserve"> z</w:t>
      </w:r>
      <w:r w:rsidR="00B83C93">
        <w:rPr>
          <w:rStyle w:val="normaltextrun"/>
          <w:noProof/>
        </w:rPr>
        <w:t> </w:t>
      </w:r>
      <w:r w:rsidR="00B83C93" w:rsidRPr="008B4DA2">
        <w:rPr>
          <w:rStyle w:val="normaltextrun"/>
          <w:noProof/>
        </w:rPr>
        <w:t>pań</w:t>
      </w:r>
      <w:r w:rsidRPr="008B4DA2">
        <w:rPr>
          <w:rStyle w:val="normaltextrun"/>
          <w:noProof/>
        </w:rPr>
        <w:t>stw członkowskich. Korzystają one</w:t>
      </w:r>
      <w:r w:rsidR="00B83C93" w:rsidRPr="008B4DA2">
        <w:rPr>
          <w:rStyle w:val="normaltextrun"/>
          <w:noProof/>
        </w:rPr>
        <w:t xml:space="preserve"> z</w:t>
      </w:r>
      <w:r w:rsidR="00B83C93">
        <w:rPr>
          <w:rStyle w:val="normaltextrun"/>
          <w:noProof/>
        </w:rPr>
        <w:t> </w:t>
      </w:r>
      <w:r w:rsidR="00B83C93" w:rsidRPr="008B4DA2">
        <w:rPr>
          <w:rStyle w:val="normaltextrun"/>
          <w:noProof/>
        </w:rPr>
        <w:t>ust</w:t>
      </w:r>
      <w:r w:rsidRPr="008B4DA2">
        <w:rPr>
          <w:rStyle w:val="normaltextrun"/>
          <w:noProof/>
        </w:rPr>
        <w:t>anowionej</w:t>
      </w:r>
      <w:r w:rsidR="00B83C93" w:rsidRPr="008B4DA2">
        <w:rPr>
          <w:rStyle w:val="normaltextrun"/>
          <w:noProof/>
        </w:rPr>
        <w:t xml:space="preserve"> w</w:t>
      </w:r>
      <w:r w:rsidR="00B83C93">
        <w:rPr>
          <w:rStyle w:val="normaltextrun"/>
          <w:noProof/>
        </w:rPr>
        <w:t> </w:t>
      </w:r>
      <w:r w:rsidR="00B83C93" w:rsidRPr="008B4DA2">
        <w:rPr>
          <w:rStyle w:val="normaltextrun"/>
          <w:noProof/>
        </w:rPr>
        <w:t>tym</w:t>
      </w:r>
      <w:r w:rsidRPr="008B4DA2">
        <w:rPr>
          <w:rStyle w:val="normaltextrun"/>
          <w:noProof/>
        </w:rPr>
        <w:t xml:space="preserve"> celu Europejskiej Sieci Praw Jazdy.</w:t>
      </w:r>
    </w:p>
    <w:p w:rsidR="00BD67F9" w:rsidRPr="008B4DA2" w:rsidRDefault="00DF60AC" w:rsidP="00DF60AC">
      <w:pPr>
        <w:pStyle w:val="ManualNumPar1"/>
        <w:rPr>
          <w:rStyle w:val="normaltextrun"/>
          <w:noProof/>
        </w:rPr>
      </w:pPr>
      <w:r w:rsidRPr="008B4DA2">
        <w:rPr>
          <w:rStyle w:val="normaltextrun"/>
          <w:noProof/>
        </w:rPr>
        <w:t>2.</w:t>
      </w:r>
      <w:r w:rsidRPr="008B4DA2">
        <w:rPr>
          <w:noProof/>
        </w:rPr>
        <w:tab/>
      </w:r>
      <w:r w:rsidRPr="008B4DA2">
        <w:rPr>
          <w:rStyle w:val="normaltextrun"/>
          <w:noProof/>
        </w:rPr>
        <w:t>Państwa członkowskie mogą korzystać</w:t>
      </w:r>
      <w:r w:rsidR="00B83C93" w:rsidRPr="008B4DA2">
        <w:rPr>
          <w:rStyle w:val="normaltextrun"/>
          <w:noProof/>
        </w:rPr>
        <w:t xml:space="preserve"> z</w:t>
      </w:r>
      <w:r w:rsidR="00B83C93">
        <w:rPr>
          <w:rStyle w:val="normaltextrun"/>
          <w:noProof/>
        </w:rPr>
        <w:t> </w:t>
      </w:r>
      <w:r w:rsidR="00B83C93" w:rsidRPr="008B4DA2">
        <w:rPr>
          <w:rStyle w:val="normaltextrun"/>
          <w:noProof/>
        </w:rPr>
        <w:t>Eur</w:t>
      </w:r>
      <w:r w:rsidRPr="008B4DA2">
        <w:rPr>
          <w:rStyle w:val="normaltextrun"/>
          <w:noProof/>
        </w:rPr>
        <w:t>opejskiej Sieci Praw Jazdy również do wymiany informacji</w:t>
      </w:r>
      <w:r w:rsidR="00B83C93" w:rsidRPr="008B4DA2">
        <w:rPr>
          <w:rStyle w:val="normaltextrun"/>
          <w:noProof/>
        </w:rPr>
        <w:t xml:space="preserve"> w</w:t>
      </w:r>
      <w:r w:rsidR="00B83C93">
        <w:rPr>
          <w:rStyle w:val="normaltextrun"/>
          <w:noProof/>
        </w:rPr>
        <w:t> </w:t>
      </w:r>
      <w:r w:rsidR="00B83C93" w:rsidRPr="008B4DA2">
        <w:rPr>
          <w:rStyle w:val="normaltextrun"/>
          <w:noProof/>
        </w:rPr>
        <w:t>nas</w:t>
      </w:r>
      <w:r w:rsidRPr="008B4DA2">
        <w:rPr>
          <w:rStyle w:val="normaltextrun"/>
          <w:noProof/>
        </w:rPr>
        <w:t>tępujących celach:</w:t>
      </w:r>
    </w:p>
    <w:p w:rsidR="00BD67F9" w:rsidRPr="008B4DA2" w:rsidRDefault="00DF60AC" w:rsidP="00DF60AC">
      <w:pPr>
        <w:pStyle w:val="Point1"/>
        <w:rPr>
          <w:rStyle w:val="normaltextrun"/>
          <w:noProof/>
        </w:rPr>
      </w:pPr>
      <w:r w:rsidRPr="008B4DA2">
        <w:rPr>
          <w:rStyle w:val="normaltextrun"/>
          <w:noProof/>
        </w:rPr>
        <w:t>a)</w:t>
      </w:r>
      <w:r w:rsidRPr="008B4DA2">
        <w:rPr>
          <w:noProof/>
        </w:rPr>
        <w:tab/>
      </w:r>
      <w:r w:rsidRPr="008B4DA2">
        <w:rPr>
          <w:rStyle w:val="normaltextrun"/>
          <w:noProof/>
        </w:rPr>
        <w:t>umożliwienie swoim organom weryfikacji ważności</w:t>
      </w:r>
      <w:r w:rsidR="00B83C93" w:rsidRPr="008B4DA2">
        <w:rPr>
          <w:rStyle w:val="normaltextrun"/>
          <w:noProof/>
        </w:rPr>
        <w:t xml:space="preserve"> i</w:t>
      </w:r>
      <w:r w:rsidR="00B83C93">
        <w:rPr>
          <w:rStyle w:val="normaltextrun"/>
          <w:noProof/>
        </w:rPr>
        <w:t> </w:t>
      </w:r>
      <w:r w:rsidR="00B83C93" w:rsidRPr="008B4DA2">
        <w:rPr>
          <w:rStyle w:val="normaltextrun"/>
          <w:noProof/>
        </w:rPr>
        <w:t>aut</w:t>
      </w:r>
      <w:r w:rsidRPr="008B4DA2">
        <w:rPr>
          <w:rStyle w:val="normaltextrun"/>
          <w:noProof/>
        </w:rPr>
        <w:t>entyczności prawa jazdy podczas kontroli drogowych lub</w:t>
      </w:r>
      <w:r w:rsidR="00B83C93" w:rsidRPr="008B4DA2">
        <w:rPr>
          <w:rStyle w:val="normaltextrun"/>
          <w:noProof/>
        </w:rPr>
        <w:t xml:space="preserve"> w</w:t>
      </w:r>
      <w:r w:rsidR="00B83C93">
        <w:rPr>
          <w:rStyle w:val="normaltextrun"/>
          <w:noProof/>
        </w:rPr>
        <w:t> </w:t>
      </w:r>
      <w:r w:rsidR="00B83C93" w:rsidRPr="008B4DA2">
        <w:rPr>
          <w:rStyle w:val="normaltextrun"/>
          <w:noProof/>
        </w:rPr>
        <w:t>ram</w:t>
      </w:r>
      <w:r w:rsidRPr="008B4DA2">
        <w:rPr>
          <w:rStyle w:val="normaltextrun"/>
          <w:noProof/>
        </w:rPr>
        <w:t>ach środków zapobiegających fałszerstwom;</w:t>
      </w:r>
    </w:p>
    <w:p w:rsidR="00BD67F9" w:rsidRPr="008B4DA2" w:rsidRDefault="00DF60AC" w:rsidP="00DF60AC">
      <w:pPr>
        <w:pStyle w:val="Point1"/>
        <w:rPr>
          <w:rStyle w:val="normaltextrun"/>
          <w:noProof/>
        </w:rPr>
      </w:pPr>
      <w:r w:rsidRPr="008B4DA2">
        <w:rPr>
          <w:rStyle w:val="normaltextrun"/>
          <w:noProof/>
        </w:rPr>
        <w:t>b)</w:t>
      </w:r>
      <w:r w:rsidRPr="008B4DA2">
        <w:rPr>
          <w:noProof/>
        </w:rPr>
        <w:tab/>
      </w:r>
      <w:r w:rsidRPr="008B4DA2">
        <w:rPr>
          <w:rStyle w:val="normaltextrun"/>
          <w:noProof/>
        </w:rPr>
        <w:t>ułatwienie dochodzeń mających na celu identyfikację osoby odpowiedzialnej za przestępstwo lub wykroczenie przeciwko bezpieczeństwu ruchu drogowego, zgodnie</w:t>
      </w:r>
      <w:r w:rsidR="00B83C93" w:rsidRPr="008B4DA2">
        <w:rPr>
          <w:rStyle w:val="normaltextrun"/>
          <w:noProof/>
        </w:rPr>
        <w:t xml:space="preserve"> z</w:t>
      </w:r>
      <w:r w:rsidR="00B83C93">
        <w:rPr>
          <w:rStyle w:val="normaltextrun"/>
          <w:noProof/>
        </w:rPr>
        <w:t> </w:t>
      </w:r>
      <w:r w:rsidR="00B83C93" w:rsidRPr="008B4DA2">
        <w:rPr>
          <w:rStyle w:val="normaltextrun"/>
          <w:noProof/>
        </w:rPr>
        <w:t>dyr</w:t>
      </w:r>
      <w:r w:rsidRPr="008B4DA2">
        <w:rPr>
          <w:rStyle w:val="normaltextrun"/>
          <w:noProof/>
        </w:rPr>
        <w:t>ektywą</w:t>
      </w:r>
      <w:r w:rsidRPr="008B4DA2">
        <w:rPr>
          <w:noProof/>
        </w:rPr>
        <w:t xml:space="preserve"> Parlamentu Europejskiego</w:t>
      </w:r>
      <w:r w:rsidR="00B83C93" w:rsidRPr="008B4DA2">
        <w:rPr>
          <w:noProof/>
        </w:rPr>
        <w:t xml:space="preserve"> i</w:t>
      </w:r>
      <w:r w:rsidR="00B83C93">
        <w:rPr>
          <w:noProof/>
        </w:rPr>
        <w:t> </w:t>
      </w:r>
      <w:r w:rsidR="00B83C93" w:rsidRPr="008B4DA2">
        <w:rPr>
          <w:noProof/>
        </w:rPr>
        <w:t>Rad</w:t>
      </w:r>
      <w:r w:rsidRPr="008B4DA2">
        <w:rPr>
          <w:noProof/>
        </w:rPr>
        <w:t>y (UE) 2015/413</w:t>
      </w:r>
      <w:r w:rsidRPr="008B4DA2">
        <w:rPr>
          <w:rStyle w:val="FootnoteReference"/>
          <w:noProof/>
        </w:rPr>
        <w:footnoteReference w:id="66"/>
      </w:r>
      <w:r w:rsidRPr="008B4DA2">
        <w:rPr>
          <w:rStyle w:val="normaltextrun"/>
          <w:noProof/>
        </w:rPr>
        <w:t>;</w:t>
      </w:r>
    </w:p>
    <w:p w:rsidR="00BD67F9" w:rsidRPr="008B4DA2" w:rsidRDefault="00DF60AC" w:rsidP="00DF60AC">
      <w:pPr>
        <w:pStyle w:val="Point1"/>
        <w:rPr>
          <w:rStyle w:val="normaltextrun"/>
          <w:noProof/>
        </w:rPr>
      </w:pPr>
      <w:r w:rsidRPr="008B4DA2">
        <w:rPr>
          <w:rStyle w:val="normaltextrun"/>
          <w:noProof/>
        </w:rPr>
        <w:t>c)</w:t>
      </w:r>
      <w:r w:rsidRPr="008B4DA2">
        <w:rPr>
          <w:noProof/>
        </w:rPr>
        <w:tab/>
      </w:r>
      <w:r w:rsidRPr="008B4DA2">
        <w:rPr>
          <w:rStyle w:val="normaltextrun"/>
          <w:noProof/>
        </w:rPr>
        <w:t>zapobieganie przestępstwom, wykrywanie ich</w:t>
      </w:r>
      <w:r w:rsidR="00B83C93" w:rsidRPr="008B4DA2">
        <w:rPr>
          <w:rStyle w:val="normaltextrun"/>
          <w:noProof/>
        </w:rPr>
        <w:t xml:space="preserve"> i</w:t>
      </w:r>
      <w:r w:rsidR="00B83C93">
        <w:rPr>
          <w:rStyle w:val="normaltextrun"/>
          <w:noProof/>
        </w:rPr>
        <w:t> </w:t>
      </w:r>
      <w:r w:rsidR="00B83C93" w:rsidRPr="008B4DA2">
        <w:rPr>
          <w:rStyle w:val="normaltextrun"/>
          <w:noProof/>
        </w:rPr>
        <w:t>pro</w:t>
      </w:r>
      <w:r w:rsidRPr="008B4DA2">
        <w:rPr>
          <w:rStyle w:val="normaltextrun"/>
          <w:noProof/>
        </w:rPr>
        <w:t>wadzenie dochodzeń</w:t>
      </w:r>
      <w:r w:rsidR="00B83C93" w:rsidRPr="008B4DA2">
        <w:rPr>
          <w:rStyle w:val="normaltextrun"/>
          <w:noProof/>
        </w:rPr>
        <w:t xml:space="preserve"> w</w:t>
      </w:r>
      <w:r w:rsidR="00B83C93">
        <w:rPr>
          <w:rStyle w:val="normaltextrun"/>
          <w:noProof/>
        </w:rPr>
        <w:t> </w:t>
      </w:r>
      <w:r w:rsidR="00B83C93" w:rsidRPr="008B4DA2">
        <w:rPr>
          <w:rStyle w:val="normaltextrun"/>
          <w:noProof/>
        </w:rPr>
        <w:t>ich</w:t>
      </w:r>
      <w:r w:rsidRPr="008B4DA2">
        <w:rPr>
          <w:rStyle w:val="normaltextrun"/>
          <w:noProof/>
        </w:rPr>
        <w:t xml:space="preserve"> sprawie, jak określono w [ODNIESIENIE DO PRÜM II];</w:t>
      </w:r>
    </w:p>
    <w:p w:rsidR="00BD67F9" w:rsidRPr="008B4DA2" w:rsidRDefault="00DF60AC" w:rsidP="00DF60AC">
      <w:pPr>
        <w:pStyle w:val="Point1"/>
        <w:rPr>
          <w:rStyle w:val="normaltextrun"/>
          <w:noProof/>
        </w:rPr>
      </w:pPr>
      <w:r w:rsidRPr="008B4DA2">
        <w:rPr>
          <w:rStyle w:val="normaltextrun"/>
          <w:noProof/>
        </w:rPr>
        <w:t>d)</w:t>
      </w:r>
      <w:r w:rsidRPr="008B4DA2">
        <w:rPr>
          <w:noProof/>
        </w:rPr>
        <w:tab/>
      </w:r>
      <w:r w:rsidRPr="008B4DA2">
        <w:rPr>
          <w:rStyle w:val="normaltextrun"/>
          <w:noProof/>
        </w:rPr>
        <w:t>egzekwowanie przepisów dyrektywy (UE) 2022/2561;</w:t>
      </w:r>
    </w:p>
    <w:p w:rsidR="00BD67F9" w:rsidRPr="008B4DA2" w:rsidRDefault="00DF60AC" w:rsidP="00DF60AC">
      <w:pPr>
        <w:pStyle w:val="Point1"/>
        <w:rPr>
          <w:rStyle w:val="normaltextrun"/>
          <w:noProof/>
        </w:rPr>
      </w:pPr>
      <w:r w:rsidRPr="008B4DA2">
        <w:rPr>
          <w:rStyle w:val="normaltextrun"/>
          <w:noProof/>
        </w:rPr>
        <w:t>e)</w:t>
      </w:r>
      <w:r w:rsidRPr="008B4DA2">
        <w:rPr>
          <w:noProof/>
        </w:rPr>
        <w:tab/>
      </w:r>
      <w:r w:rsidRPr="008B4DA2">
        <w:rPr>
          <w:rStyle w:val="normaltextrun"/>
          <w:noProof/>
        </w:rPr>
        <w:t>wdrożenie</w:t>
      </w:r>
      <w:r w:rsidR="00B83C93" w:rsidRPr="008B4DA2">
        <w:rPr>
          <w:rStyle w:val="normaltextrun"/>
          <w:noProof/>
        </w:rPr>
        <w:t xml:space="preserve"> i</w:t>
      </w:r>
      <w:r w:rsidR="00B83C93">
        <w:rPr>
          <w:rStyle w:val="normaltextrun"/>
          <w:noProof/>
        </w:rPr>
        <w:t> </w:t>
      </w:r>
      <w:r w:rsidR="00B83C93" w:rsidRPr="008B4DA2">
        <w:rPr>
          <w:rStyle w:val="normaltextrun"/>
          <w:noProof/>
        </w:rPr>
        <w:t>egz</w:t>
      </w:r>
      <w:r w:rsidRPr="008B4DA2">
        <w:rPr>
          <w:rStyle w:val="normaltextrun"/>
          <w:noProof/>
        </w:rPr>
        <w:t>ekwowanie przepisów [NOWA DYREKTYWA W SPRAWIE</w:t>
      </w:r>
      <w:r w:rsidRPr="008B4DA2">
        <w:rPr>
          <w:noProof/>
        </w:rPr>
        <w:t xml:space="preserve"> </w:t>
      </w:r>
      <w:r w:rsidRPr="008B4DA2">
        <w:rPr>
          <w:rStyle w:val="normaltextrun"/>
          <w:noProof/>
        </w:rPr>
        <w:t>OGÓLNOUNIJNYCH SKUTKÓW NIEKTÓRYCH ZAKAZÓW PROWADZENIA POJAZDÓW].</w:t>
      </w:r>
    </w:p>
    <w:p w:rsidR="00BD67F9" w:rsidRPr="008B4DA2" w:rsidRDefault="00DF60AC" w:rsidP="00DF60AC">
      <w:pPr>
        <w:pStyle w:val="ManualNumPar1"/>
        <w:rPr>
          <w:rStyle w:val="normaltextrun"/>
          <w:noProof/>
        </w:rPr>
      </w:pPr>
      <w:r w:rsidRPr="008B4DA2">
        <w:rPr>
          <w:rStyle w:val="normaltextrun"/>
          <w:noProof/>
        </w:rPr>
        <w:t>3.</w:t>
      </w:r>
      <w:r w:rsidRPr="008B4DA2">
        <w:rPr>
          <w:noProof/>
        </w:rPr>
        <w:tab/>
      </w:r>
      <w:r w:rsidRPr="008B4DA2">
        <w:rPr>
          <w:rStyle w:val="normaltextrun"/>
          <w:noProof/>
        </w:rPr>
        <w:t>Dostęp do sieci musi być zabezpieczony. Sieć zapewnia zarówno synchroniczną (w czasie rzeczywistym), jak</w:t>
      </w:r>
      <w:r w:rsidR="00B83C93" w:rsidRPr="008B4DA2">
        <w:rPr>
          <w:rStyle w:val="normaltextrun"/>
          <w:noProof/>
        </w:rPr>
        <w:t xml:space="preserve"> i</w:t>
      </w:r>
      <w:r w:rsidR="00B83C93">
        <w:rPr>
          <w:rStyle w:val="normaltextrun"/>
          <w:noProof/>
        </w:rPr>
        <w:t> </w:t>
      </w:r>
      <w:r w:rsidR="00B83C93" w:rsidRPr="008B4DA2">
        <w:rPr>
          <w:rStyle w:val="normaltextrun"/>
          <w:noProof/>
        </w:rPr>
        <w:t>asy</w:t>
      </w:r>
      <w:r w:rsidRPr="008B4DA2">
        <w:rPr>
          <w:rStyle w:val="normaltextrun"/>
          <w:noProof/>
        </w:rPr>
        <w:t>nchroniczną wymianę informacji,</w:t>
      </w:r>
      <w:r w:rsidR="00B83C93" w:rsidRPr="008B4DA2">
        <w:rPr>
          <w:rStyle w:val="normaltextrun"/>
          <w:noProof/>
        </w:rPr>
        <w:t xml:space="preserve"> a</w:t>
      </w:r>
      <w:r w:rsidR="00B83C93">
        <w:rPr>
          <w:rStyle w:val="normaltextrun"/>
          <w:noProof/>
        </w:rPr>
        <w:t> </w:t>
      </w:r>
      <w:r w:rsidR="00B83C93" w:rsidRPr="008B4DA2">
        <w:rPr>
          <w:rStyle w:val="normaltextrun"/>
          <w:noProof/>
        </w:rPr>
        <w:t>tak</w:t>
      </w:r>
      <w:r w:rsidRPr="008B4DA2">
        <w:rPr>
          <w:rStyle w:val="normaltextrun"/>
          <w:noProof/>
        </w:rPr>
        <w:t>że wysyłanie</w:t>
      </w:r>
      <w:r w:rsidR="00B83C93" w:rsidRPr="008B4DA2">
        <w:rPr>
          <w:rStyle w:val="normaltextrun"/>
          <w:noProof/>
        </w:rPr>
        <w:t xml:space="preserve"> i</w:t>
      </w:r>
      <w:r w:rsidR="00B83C93">
        <w:rPr>
          <w:rStyle w:val="normaltextrun"/>
          <w:noProof/>
        </w:rPr>
        <w:t> </w:t>
      </w:r>
      <w:r w:rsidR="00B83C93" w:rsidRPr="008B4DA2">
        <w:rPr>
          <w:rStyle w:val="normaltextrun"/>
          <w:noProof/>
        </w:rPr>
        <w:t>odb</w:t>
      </w:r>
      <w:r w:rsidRPr="008B4DA2">
        <w:rPr>
          <w:rStyle w:val="normaltextrun"/>
          <w:noProof/>
        </w:rPr>
        <w:t>ieranie zabezpieczonych komunikatów, powiadomień</w:t>
      </w:r>
      <w:r w:rsidR="00B83C93" w:rsidRPr="008B4DA2">
        <w:rPr>
          <w:rStyle w:val="normaltextrun"/>
          <w:noProof/>
        </w:rPr>
        <w:t xml:space="preserve"> i</w:t>
      </w:r>
      <w:r w:rsidR="00B83C93">
        <w:rPr>
          <w:rStyle w:val="normaltextrun"/>
          <w:noProof/>
        </w:rPr>
        <w:t> </w:t>
      </w:r>
      <w:r w:rsidR="00B83C93" w:rsidRPr="008B4DA2">
        <w:rPr>
          <w:rStyle w:val="normaltextrun"/>
          <w:noProof/>
        </w:rPr>
        <w:t>zał</w:t>
      </w:r>
      <w:r w:rsidRPr="008B4DA2">
        <w:rPr>
          <w:rStyle w:val="normaltextrun"/>
          <w:noProof/>
        </w:rPr>
        <w:t>ączników.</w:t>
      </w:r>
    </w:p>
    <w:p w:rsidR="00BD67F9" w:rsidRPr="008B4DA2" w:rsidRDefault="00BD67F9" w:rsidP="00BD67F9">
      <w:pPr>
        <w:pStyle w:val="Text1"/>
        <w:rPr>
          <w:rStyle w:val="normaltextrun"/>
          <w:noProof/>
        </w:rPr>
      </w:pPr>
      <w:r w:rsidRPr="008B4DA2">
        <w:rPr>
          <w:rStyle w:val="normaltextrun"/>
          <w:noProof/>
        </w:rPr>
        <w:t>Państwa członkowskie podejmują wszelkie kroki niezbędne do zapewnienia, aby informacje wymieniane za pomocą sieci były aktualne.</w:t>
      </w:r>
    </w:p>
    <w:p w:rsidR="00BD67F9" w:rsidRPr="008B4DA2" w:rsidRDefault="00BD67F9" w:rsidP="00BD67F9">
      <w:pPr>
        <w:pStyle w:val="Text1"/>
        <w:rPr>
          <w:rStyle w:val="normaltextrun"/>
          <w:noProof/>
        </w:rPr>
      </w:pPr>
      <w:r w:rsidRPr="008B4DA2">
        <w:rPr>
          <w:rStyle w:val="normaltextrun"/>
          <w:noProof/>
        </w:rPr>
        <w:t>Państwa członkowskie mogą udzielić dostępu do sieci jedynie organom właściwym do celów,</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rych mowa</w:t>
      </w:r>
      <w:r w:rsidR="00B83C93" w:rsidRPr="008B4DA2">
        <w:rPr>
          <w:rStyle w:val="normaltextrun"/>
          <w:noProof/>
        </w:rPr>
        <w:t xml:space="preserve"> w</w:t>
      </w:r>
      <w:r w:rsidR="00B83C93">
        <w:rPr>
          <w:rStyle w:val="normaltextrun"/>
          <w:noProof/>
        </w:rPr>
        <w:t> </w:t>
      </w:r>
      <w:r w:rsidR="00B83C93" w:rsidRPr="00B83C93">
        <w:rPr>
          <w:rStyle w:val="normaltextrun"/>
          <w:noProof/>
        </w:rPr>
        <w:t>ust</w:t>
      </w:r>
      <w:r w:rsidRPr="00B83C93">
        <w:rPr>
          <w:rStyle w:val="normaltextrun"/>
          <w:noProof/>
        </w:rPr>
        <w:t>.</w:t>
      </w:r>
      <w:r w:rsidR="00B83C93" w:rsidRPr="00B83C93">
        <w:rPr>
          <w:rStyle w:val="normaltextrun"/>
          <w:noProof/>
        </w:rPr>
        <w:t> </w:t>
      </w:r>
      <w:r w:rsidRPr="00B83C93">
        <w:rPr>
          <w:rStyle w:val="normaltextrun"/>
          <w:noProof/>
        </w:rPr>
        <w:t>1</w:t>
      </w:r>
      <w:r w:rsidR="00B83C93" w:rsidRPr="008B4DA2">
        <w:rPr>
          <w:rStyle w:val="normaltextrun"/>
          <w:noProof/>
        </w:rPr>
        <w:t xml:space="preserve"> i</w:t>
      </w:r>
      <w:r w:rsidR="00B83C93">
        <w:rPr>
          <w:rStyle w:val="normaltextrun"/>
          <w:noProof/>
        </w:rPr>
        <w:t> </w:t>
      </w:r>
      <w:r w:rsidR="00B83C93" w:rsidRPr="008B4DA2">
        <w:rPr>
          <w:rStyle w:val="normaltextrun"/>
          <w:noProof/>
        </w:rPr>
        <w:t>2</w:t>
      </w:r>
      <w:r w:rsidRPr="008B4DA2">
        <w:rPr>
          <w:rStyle w:val="normaltextrun"/>
          <w:noProof/>
        </w:rPr>
        <w:t>.</w:t>
      </w:r>
    </w:p>
    <w:p w:rsidR="00BD67F9" w:rsidRPr="008B4DA2" w:rsidRDefault="00DF60AC" w:rsidP="00DF60AC">
      <w:pPr>
        <w:pStyle w:val="ManualNumPar1"/>
        <w:rPr>
          <w:rStyle w:val="normaltextrun"/>
          <w:noProof/>
        </w:rPr>
      </w:pPr>
      <w:r w:rsidRPr="008B4DA2">
        <w:rPr>
          <w:rStyle w:val="normaltextrun"/>
          <w:noProof/>
        </w:rPr>
        <w:t>4.</w:t>
      </w:r>
      <w:r w:rsidRPr="008B4DA2">
        <w:rPr>
          <w:noProof/>
        </w:rPr>
        <w:tab/>
      </w:r>
      <w:r w:rsidRPr="008B4DA2">
        <w:rPr>
          <w:rStyle w:val="normaltextrun"/>
          <w:noProof/>
        </w:rPr>
        <w:t>Państwa członkowskie udzielają sobie również wzajemnej pomocy przy wdrażaniu mobilnego prawa jazdy,</w:t>
      </w:r>
      <w:r w:rsidR="00B83C93" w:rsidRPr="008B4DA2">
        <w:rPr>
          <w:rStyle w:val="normaltextrun"/>
          <w:noProof/>
        </w:rPr>
        <w:t xml:space="preserve"> w</w:t>
      </w:r>
      <w:r w:rsidR="00B83C93">
        <w:rPr>
          <w:rStyle w:val="normaltextrun"/>
          <w:noProof/>
        </w:rPr>
        <w:t> </w:t>
      </w:r>
      <w:r w:rsidR="00B83C93" w:rsidRPr="008B4DA2">
        <w:rPr>
          <w:rStyle w:val="normaltextrun"/>
          <w:noProof/>
        </w:rPr>
        <w:t>szc</w:t>
      </w:r>
      <w:r w:rsidRPr="008B4DA2">
        <w:rPr>
          <w:rStyle w:val="normaltextrun"/>
          <w:noProof/>
        </w:rPr>
        <w:t>zególności</w:t>
      </w:r>
      <w:r w:rsidR="00B83C93" w:rsidRPr="008B4DA2">
        <w:rPr>
          <w:rStyle w:val="normaltextrun"/>
          <w:noProof/>
        </w:rPr>
        <w:t xml:space="preserve"> w</w:t>
      </w:r>
      <w:r w:rsidR="00B83C93">
        <w:rPr>
          <w:rStyle w:val="normaltextrun"/>
          <w:noProof/>
        </w:rPr>
        <w:t> </w:t>
      </w:r>
      <w:r w:rsidR="00B83C93" w:rsidRPr="008B4DA2">
        <w:rPr>
          <w:rStyle w:val="normaltextrun"/>
          <w:noProof/>
        </w:rPr>
        <w:t>cel</w:t>
      </w:r>
      <w:r w:rsidRPr="008B4DA2">
        <w:rPr>
          <w:rStyle w:val="normaltextrun"/>
          <w:noProof/>
        </w:rPr>
        <w:t>u zagwarantowania sprawnej interoperacyjności między aplikacjami</w:t>
      </w:r>
      <w:r w:rsidR="00B83C93" w:rsidRPr="008B4DA2">
        <w:rPr>
          <w:rStyle w:val="normaltextrun"/>
          <w:noProof/>
        </w:rPr>
        <w:t xml:space="preserve"> i</w:t>
      </w:r>
      <w:r w:rsidR="00B83C93">
        <w:rPr>
          <w:rStyle w:val="normaltextrun"/>
          <w:noProof/>
        </w:rPr>
        <w:t> </w:t>
      </w:r>
      <w:r w:rsidR="00B83C93" w:rsidRPr="008B4DA2">
        <w:rPr>
          <w:rStyle w:val="normaltextrun"/>
          <w:noProof/>
        </w:rPr>
        <w:t>fun</w:t>
      </w:r>
      <w:r w:rsidRPr="008B4DA2">
        <w:rPr>
          <w:rStyle w:val="normaltextrun"/>
          <w:noProof/>
        </w:rPr>
        <w:t>kcjami weryfikacji,</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rych mowa</w:t>
      </w:r>
      <w:r w:rsidR="00B83C93" w:rsidRPr="008B4DA2">
        <w:rPr>
          <w:rStyle w:val="normaltextrun"/>
          <w:noProof/>
        </w:rPr>
        <w:t xml:space="preserve"> w</w:t>
      </w:r>
      <w:r w:rsidR="00B83C93">
        <w:rPr>
          <w:rStyle w:val="normaltextrun"/>
          <w:noProof/>
        </w:rPr>
        <w:t> </w:t>
      </w:r>
      <w:r w:rsidR="00B83C93" w:rsidRPr="008B4DA2">
        <w:rPr>
          <w:rStyle w:val="normaltextrun"/>
          <w:noProof/>
        </w:rPr>
        <w:t>zał</w:t>
      </w:r>
      <w:r w:rsidRPr="008B4DA2">
        <w:rPr>
          <w:rStyle w:val="normaltextrun"/>
          <w:noProof/>
        </w:rPr>
        <w:t>ączniku I część C.</w:t>
      </w:r>
    </w:p>
    <w:p w:rsidR="00BD67F9" w:rsidRPr="008B4DA2" w:rsidRDefault="00DF60AC" w:rsidP="00DF60AC">
      <w:pPr>
        <w:pStyle w:val="ManualNumPar1"/>
        <w:rPr>
          <w:rStyle w:val="normaltextrun"/>
          <w:noProof/>
        </w:rPr>
      </w:pPr>
      <w:r w:rsidRPr="008B4DA2">
        <w:rPr>
          <w:rStyle w:val="normaltextrun"/>
          <w:noProof/>
        </w:rPr>
        <w:t>5.</w:t>
      </w:r>
      <w:r w:rsidRPr="008B4DA2">
        <w:rPr>
          <w:noProof/>
        </w:rPr>
        <w:tab/>
      </w:r>
      <w:r w:rsidRPr="008B4DA2">
        <w:rPr>
          <w:rStyle w:val="normaltextrun"/>
          <w:noProof/>
        </w:rPr>
        <w:t>Aby zapewnić interoperacyjność między systemami krajowymi połączonymi</w:t>
      </w:r>
      <w:r w:rsidR="00B83C93" w:rsidRPr="008B4DA2">
        <w:rPr>
          <w:rStyle w:val="normaltextrun"/>
          <w:noProof/>
        </w:rPr>
        <w:t xml:space="preserve"> z</w:t>
      </w:r>
      <w:r w:rsidR="00B83C93">
        <w:rPr>
          <w:rStyle w:val="normaltextrun"/>
          <w:noProof/>
        </w:rPr>
        <w:t> </w:t>
      </w:r>
      <w:r w:rsidR="00B83C93" w:rsidRPr="008B4DA2">
        <w:rPr>
          <w:rStyle w:val="normaltextrun"/>
          <w:noProof/>
        </w:rPr>
        <w:t>Eur</w:t>
      </w:r>
      <w:r w:rsidRPr="008B4DA2">
        <w:rPr>
          <w:rStyle w:val="normaltextrun"/>
          <w:noProof/>
        </w:rPr>
        <w:t>opejską Siecią Praw Jazdy oraz ochronę danych osobowych wymienianych</w:t>
      </w:r>
      <w:r w:rsidR="00B83C93" w:rsidRPr="008B4DA2">
        <w:rPr>
          <w:rStyle w:val="normaltextrun"/>
          <w:noProof/>
        </w:rPr>
        <w:t xml:space="preserve"> w</w:t>
      </w:r>
      <w:r w:rsidR="00B83C93">
        <w:rPr>
          <w:rStyle w:val="normaltextrun"/>
          <w:noProof/>
        </w:rPr>
        <w:t> </w:t>
      </w:r>
      <w:r w:rsidR="00B83C93" w:rsidRPr="008B4DA2">
        <w:rPr>
          <w:rStyle w:val="normaltextrun"/>
          <w:noProof/>
        </w:rPr>
        <w:t>tym</w:t>
      </w:r>
      <w:r w:rsidRPr="008B4DA2">
        <w:rPr>
          <w:rStyle w:val="normaltextrun"/>
          <w:noProof/>
        </w:rPr>
        <w:t xml:space="preserve"> kontekście, Komisja przyjmie do dnia 6 czerwca 20</w:t>
      </w:r>
      <w:r w:rsidRPr="00B83C93">
        <w:rPr>
          <w:rStyle w:val="normaltextrun"/>
          <w:noProof/>
        </w:rPr>
        <w:t>26</w:t>
      </w:r>
      <w:r w:rsidR="00B83C93" w:rsidRPr="00B83C93">
        <w:rPr>
          <w:rStyle w:val="normaltextrun"/>
          <w:noProof/>
        </w:rPr>
        <w:t> </w:t>
      </w:r>
      <w:r w:rsidRPr="00B83C93">
        <w:rPr>
          <w:rStyle w:val="normaltextrun"/>
          <w:noProof/>
        </w:rPr>
        <w:t>r.</w:t>
      </w:r>
      <w:r w:rsidRPr="008B4DA2">
        <w:rPr>
          <w:rStyle w:val="normaltextrun"/>
          <w:noProof/>
        </w:rPr>
        <w:t xml:space="preserve"> akty wykonawcze określające szczegółowe wymagania operacyjne, interfejsowe</w:t>
      </w:r>
      <w:r w:rsidR="00B83C93" w:rsidRPr="008B4DA2">
        <w:rPr>
          <w:rStyle w:val="normaltextrun"/>
          <w:noProof/>
        </w:rPr>
        <w:t xml:space="preserve"> i</w:t>
      </w:r>
      <w:r w:rsidR="00B83C93">
        <w:rPr>
          <w:rStyle w:val="normaltextrun"/>
          <w:noProof/>
        </w:rPr>
        <w:t> </w:t>
      </w:r>
      <w:r w:rsidR="00B83C93" w:rsidRPr="008B4DA2">
        <w:rPr>
          <w:rStyle w:val="normaltextrun"/>
          <w:noProof/>
        </w:rPr>
        <w:t>tec</w:t>
      </w:r>
      <w:r w:rsidRPr="008B4DA2">
        <w:rPr>
          <w:rStyle w:val="normaltextrun"/>
          <w:noProof/>
        </w:rPr>
        <w:t>hniczne dotyczące Europejskiej Sieci Praw Jazdy. Te akty wykonawcze przyjmuje się zgodnie</w:t>
      </w:r>
      <w:r w:rsidR="00B83C93" w:rsidRPr="008B4DA2">
        <w:rPr>
          <w:rStyle w:val="normaltextrun"/>
          <w:noProof/>
        </w:rPr>
        <w:t xml:space="preserve"> z</w:t>
      </w:r>
      <w:r w:rsidR="00B83C93">
        <w:rPr>
          <w:rStyle w:val="normaltextrun"/>
          <w:noProof/>
        </w:rPr>
        <w:t> </w:t>
      </w:r>
      <w:r w:rsidR="00B83C93" w:rsidRPr="008B4DA2">
        <w:rPr>
          <w:rStyle w:val="normaltextrun"/>
          <w:noProof/>
        </w:rPr>
        <w:t>pro</w:t>
      </w:r>
      <w:r w:rsidRPr="008B4DA2">
        <w:rPr>
          <w:rStyle w:val="normaltextrun"/>
          <w:noProof/>
        </w:rPr>
        <w:t>cedurą sprawdzającą,</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rej mowa</w:t>
      </w:r>
      <w:r w:rsidR="00B83C93" w:rsidRPr="008B4DA2">
        <w:rPr>
          <w:rStyle w:val="normaltextrun"/>
          <w:noProof/>
        </w:rPr>
        <w:t xml:space="preserve"> w</w:t>
      </w:r>
      <w:r w:rsidR="00B83C93">
        <w:rPr>
          <w:rStyle w:val="normaltextrun"/>
          <w:noProof/>
        </w:rPr>
        <w:t> </w:t>
      </w:r>
      <w:r w:rsidR="00B83C93" w:rsidRPr="00B83C93">
        <w:rPr>
          <w:rStyle w:val="normaltextrun"/>
          <w:noProof/>
        </w:rPr>
        <w:t>art</w:t>
      </w:r>
      <w:r w:rsidRPr="00B83C93">
        <w:rPr>
          <w:rStyle w:val="normaltextrun"/>
          <w:noProof/>
        </w:rPr>
        <w:t>.</w:t>
      </w:r>
      <w:r w:rsidR="00B83C93" w:rsidRPr="00B83C93">
        <w:rPr>
          <w:rStyle w:val="normaltextrun"/>
          <w:noProof/>
        </w:rPr>
        <w:t> </w:t>
      </w:r>
      <w:r w:rsidRPr="00B83C93">
        <w:rPr>
          <w:rStyle w:val="normaltextrun"/>
          <w:noProof/>
        </w:rPr>
        <w:t>2</w:t>
      </w:r>
      <w:r w:rsidRPr="008B4DA2">
        <w:rPr>
          <w:rStyle w:val="normaltextrun"/>
          <w:noProof/>
        </w:rPr>
        <w:t xml:space="preserve">2 </w:t>
      </w:r>
      <w:r w:rsidRPr="00B83C93">
        <w:rPr>
          <w:rStyle w:val="normaltextrun"/>
          <w:noProof/>
        </w:rPr>
        <w:t>ust.</w:t>
      </w:r>
      <w:r w:rsidR="00B83C93" w:rsidRPr="00B83C93">
        <w:rPr>
          <w:rStyle w:val="normaltextrun"/>
          <w:noProof/>
        </w:rPr>
        <w:t> </w:t>
      </w:r>
      <w:r w:rsidRPr="00B83C93">
        <w:rPr>
          <w:rStyle w:val="normaltextrun"/>
          <w:noProof/>
        </w:rPr>
        <w:t>2</w:t>
      </w:r>
      <w:r w:rsidRPr="008B4DA2">
        <w:rPr>
          <w:rStyle w:val="normaltextrun"/>
          <w:noProof/>
        </w:rPr>
        <w:t>.</w:t>
      </w:r>
    </w:p>
    <w:p w:rsidR="00BD67F9" w:rsidRPr="008B4DA2" w:rsidRDefault="00DF60AC" w:rsidP="00DF60AC">
      <w:pPr>
        <w:pStyle w:val="ManualNumPar1"/>
        <w:rPr>
          <w:rStyle w:val="normaltextrun"/>
          <w:noProof/>
        </w:rPr>
      </w:pPr>
      <w:r w:rsidRPr="008B4DA2">
        <w:rPr>
          <w:rStyle w:val="normaltextrun"/>
          <w:noProof/>
        </w:rPr>
        <w:t>6.</w:t>
      </w:r>
      <w:r w:rsidRPr="008B4DA2">
        <w:rPr>
          <w:noProof/>
        </w:rPr>
        <w:tab/>
      </w:r>
      <w:r w:rsidRPr="008B4DA2">
        <w:rPr>
          <w:rStyle w:val="ui-provider"/>
          <w:noProof/>
        </w:rPr>
        <w:t>Państwa członkowskie mogą współpracować</w:t>
      </w:r>
      <w:r w:rsidR="00B83C93" w:rsidRPr="008B4DA2">
        <w:rPr>
          <w:rStyle w:val="ui-provider"/>
          <w:noProof/>
        </w:rPr>
        <w:t xml:space="preserve"> w</w:t>
      </w:r>
      <w:r w:rsidR="00B83C93">
        <w:rPr>
          <w:rStyle w:val="ui-provider"/>
          <w:noProof/>
        </w:rPr>
        <w:t> </w:t>
      </w:r>
      <w:r w:rsidR="00B83C93" w:rsidRPr="008B4DA2">
        <w:rPr>
          <w:rStyle w:val="ui-provider"/>
          <w:noProof/>
        </w:rPr>
        <w:t>zak</w:t>
      </w:r>
      <w:r w:rsidRPr="008B4DA2">
        <w:rPr>
          <w:rStyle w:val="ui-provider"/>
          <w:noProof/>
        </w:rPr>
        <w:t>resie egzekwowania częściowego ograniczenia, zawieszenia, cofnięcia lub unieważnienia uprawnień do kierowania pojazdami lub praw jazdy, zwłaszcza gdy odpowiednie środki ograniczają się do określonych kategorii prawa jazdy lub do terytoriów określonych państw członkowskich,</w:t>
      </w:r>
      <w:r w:rsidR="00B83C93" w:rsidRPr="008B4DA2">
        <w:rPr>
          <w:rStyle w:val="ui-provider"/>
          <w:noProof/>
        </w:rPr>
        <w:t xml:space="preserve"> w</w:t>
      </w:r>
      <w:r w:rsidR="00B83C93">
        <w:rPr>
          <w:rStyle w:val="ui-provider"/>
          <w:noProof/>
        </w:rPr>
        <w:t> </w:t>
      </w:r>
      <w:r w:rsidR="00B83C93" w:rsidRPr="008B4DA2">
        <w:rPr>
          <w:rStyle w:val="ui-provider"/>
          <w:noProof/>
        </w:rPr>
        <w:t>szc</w:t>
      </w:r>
      <w:r w:rsidRPr="008B4DA2">
        <w:rPr>
          <w:rStyle w:val="ui-provider"/>
          <w:noProof/>
        </w:rPr>
        <w:t>zególności za pomocą wpisów</w:t>
      </w:r>
      <w:r w:rsidR="00B83C93" w:rsidRPr="008B4DA2">
        <w:rPr>
          <w:rStyle w:val="ui-provider"/>
          <w:noProof/>
        </w:rPr>
        <w:t xml:space="preserve"> w</w:t>
      </w:r>
      <w:r w:rsidR="00B83C93">
        <w:rPr>
          <w:rStyle w:val="ui-provider"/>
          <w:noProof/>
        </w:rPr>
        <w:t> </w:t>
      </w:r>
      <w:r w:rsidR="00B83C93" w:rsidRPr="008B4DA2">
        <w:rPr>
          <w:rStyle w:val="ui-provider"/>
          <w:noProof/>
        </w:rPr>
        <w:t>wyd</w:t>
      </w:r>
      <w:r w:rsidRPr="008B4DA2">
        <w:rPr>
          <w:rStyle w:val="ui-provider"/>
          <w:noProof/>
        </w:rPr>
        <w:t>anych przez nie prawach jazdy.</w:t>
      </w:r>
    </w:p>
    <w:p w:rsidR="00BD67F9" w:rsidRPr="008B4DA2" w:rsidRDefault="00BD67F9" w:rsidP="00BD67F9">
      <w:pPr>
        <w:pStyle w:val="Titrearticle"/>
        <w:rPr>
          <w:rStyle w:val="normaltextrun"/>
          <w:noProof/>
        </w:rPr>
      </w:pPr>
      <w:r w:rsidRPr="008B4DA2">
        <w:rPr>
          <w:rStyle w:val="normaltextrun"/>
          <w:noProof/>
        </w:rPr>
        <w:t>Artykuł 20</w:t>
      </w:r>
    </w:p>
    <w:p w:rsidR="00BD67F9" w:rsidRPr="008B4DA2" w:rsidRDefault="00BD67F9" w:rsidP="00BD67F9">
      <w:pPr>
        <w:pStyle w:val="Objetacteprincipal"/>
        <w:rPr>
          <w:rStyle w:val="normaltextrun"/>
          <w:noProof/>
        </w:rPr>
      </w:pPr>
      <w:r w:rsidRPr="008B4DA2">
        <w:rPr>
          <w:rStyle w:val="normaltextrun"/>
          <w:noProof/>
        </w:rPr>
        <w:t xml:space="preserve">Przegląd </w:t>
      </w:r>
    </w:p>
    <w:p w:rsidR="00BD67F9" w:rsidRPr="008B4DA2" w:rsidRDefault="00BD67F9" w:rsidP="00BD67F9">
      <w:pPr>
        <w:rPr>
          <w:rStyle w:val="eop"/>
          <w:noProof/>
        </w:rPr>
      </w:pPr>
      <w:r w:rsidRPr="008B4DA2">
        <w:rPr>
          <w:rStyle w:val="normaltextrun"/>
          <w:noProof/>
        </w:rPr>
        <w:t>Państwa członkowskie przekazują co roku Komisji informacje liczbowe dotyczące wydania, przedłużenia okresu ważności, wydania wtórników, cofnięcia</w:t>
      </w:r>
      <w:r w:rsidR="00B83C93" w:rsidRPr="008B4DA2">
        <w:rPr>
          <w:rStyle w:val="normaltextrun"/>
          <w:noProof/>
        </w:rPr>
        <w:t xml:space="preserve"> i</w:t>
      </w:r>
      <w:r w:rsidR="00B83C93">
        <w:rPr>
          <w:rStyle w:val="normaltextrun"/>
          <w:noProof/>
        </w:rPr>
        <w:t> </w:t>
      </w:r>
      <w:r w:rsidR="00B83C93" w:rsidRPr="008B4DA2">
        <w:rPr>
          <w:rStyle w:val="normaltextrun"/>
          <w:noProof/>
        </w:rPr>
        <w:t>wym</w:t>
      </w:r>
      <w:r w:rsidRPr="008B4DA2">
        <w:rPr>
          <w:rStyle w:val="normaltextrun"/>
          <w:noProof/>
        </w:rPr>
        <w:t>iany praw jazdy</w:t>
      </w:r>
      <w:r w:rsidR="00B83C93" w:rsidRPr="008B4DA2">
        <w:rPr>
          <w:rStyle w:val="normaltextrun"/>
          <w:noProof/>
        </w:rPr>
        <w:t xml:space="preserve"> w</w:t>
      </w:r>
      <w:r w:rsidR="00B83C93">
        <w:rPr>
          <w:rStyle w:val="normaltextrun"/>
          <w:noProof/>
        </w:rPr>
        <w:t> </w:t>
      </w:r>
      <w:r w:rsidR="00B83C93" w:rsidRPr="008B4DA2">
        <w:rPr>
          <w:rStyle w:val="normaltextrun"/>
          <w:noProof/>
        </w:rPr>
        <w:t>odn</w:t>
      </w:r>
      <w:r w:rsidRPr="008B4DA2">
        <w:rPr>
          <w:rStyle w:val="normaltextrun"/>
          <w:noProof/>
        </w:rPr>
        <w:t>iesieniu do poszczególnych kategorii, łącznie</w:t>
      </w:r>
      <w:r w:rsidR="00B83C93" w:rsidRPr="008B4DA2">
        <w:rPr>
          <w:rStyle w:val="normaltextrun"/>
          <w:noProof/>
        </w:rPr>
        <w:t xml:space="preserve"> z</w:t>
      </w:r>
      <w:r w:rsidR="00B83C93">
        <w:rPr>
          <w:rStyle w:val="normaltextrun"/>
          <w:noProof/>
        </w:rPr>
        <w:t> </w:t>
      </w:r>
      <w:r w:rsidR="00B83C93" w:rsidRPr="008B4DA2">
        <w:rPr>
          <w:rStyle w:val="normaltextrun"/>
          <w:noProof/>
        </w:rPr>
        <w:t>dan</w:t>
      </w:r>
      <w:r w:rsidRPr="008B4DA2">
        <w:rPr>
          <w:rStyle w:val="normaltextrun"/>
          <w:noProof/>
        </w:rPr>
        <w:t>ymi na temat wydawania</w:t>
      </w:r>
      <w:r w:rsidR="00B83C93" w:rsidRPr="008B4DA2">
        <w:rPr>
          <w:rStyle w:val="normaltextrun"/>
          <w:noProof/>
        </w:rPr>
        <w:t xml:space="preserve"> i</w:t>
      </w:r>
      <w:r w:rsidR="00B83C93">
        <w:rPr>
          <w:rStyle w:val="normaltextrun"/>
          <w:noProof/>
        </w:rPr>
        <w:t> </w:t>
      </w:r>
      <w:r w:rsidR="00B83C93" w:rsidRPr="008B4DA2">
        <w:rPr>
          <w:rStyle w:val="normaltextrun"/>
          <w:noProof/>
        </w:rPr>
        <w:t>uży</w:t>
      </w:r>
      <w:r w:rsidRPr="008B4DA2">
        <w:rPr>
          <w:rStyle w:val="normaltextrun"/>
          <w:noProof/>
        </w:rPr>
        <w:t>wania mobilnych praw jazdy.</w:t>
      </w:r>
      <w:r w:rsidRPr="008B4DA2">
        <w:rPr>
          <w:rStyle w:val="eop"/>
          <w:noProof/>
        </w:rPr>
        <w:t xml:space="preserve"> </w:t>
      </w:r>
    </w:p>
    <w:p w:rsidR="00BD67F9" w:rsidRPr="008B4DA2" w:rsidRDefault="00BD67F9" w:rsidP="00BD67F9">
      <w:pPr>
        <w:rPr>
          <w:rStyle w:val="normaltextrun"/>
          <w:noProof/>
        </w:rPr>
      </w:pPr>
      <w:r w:rsidRPr="008B4DA2">
        <w:rPr>
          <w:rStyle w:val="normaltextrun"/>
          <w:noProof/>
        </w:rPr>
        <w:t>W terminie do dnia [wejście</w:t>
      </w:r>
      <w:r w:rsidR="00B83C93" w:rsidRPr="008B4DA2">
        <w:rPr>
          <w:rStyle w:val="normaltextrun"/>
          <w:noProof/>
        </w:rPr>
        <w:t xml:space="preserve"> w</w:t>
      </w:r>
      <w:r w:rsidR="00B83C93">
        <w:rPr>
          <w:rStyle w:val="normaltextrun"/>
          <w:noProof/>
        </w:rPr>
        <w:t> </w:t>
      </w:r>
      <w:r w:rsidR="00B83C93" w:rsidRPr="008B4DA2">
        <w:rPr>
          <w:rStyle w:val="normaltextrun"/>
          <w:noProof/>
        </w:rPr>
        <w:t>życ</w:t>
      </w:r>
      <w:r w:rsidRPr="008B4DA2">
        <w:rPr>
          <w:rStyle w:val="normaltextrun"/>
          <w:noProof/>
        </w:rPr>
        <w:t>ie + 5 lat],</w:t>
      </w:r>
      <w:r w:rsidR="00B83C93" w:rsidRPr="008B4DA2">
        <w:rPr>
          <w:rStyle w:val="normaltextrun"/>
          <w:noProof/>
        </w:rPr>
        <w:t xml:space="preserve"> a</w:t>
      </w:r>
      <w:r w:rsidR="00B83C93">
        <w:rPr>
          <w:rStyle w:val="normaltextrun"/>
          <w:noProof/>
        </w:rPr>
        <w:t> </w:t>
      </w:r>
      <w:r w:rsidR="00B83C93" w:rsidRPr="008B4DA2">
        <w:rPr>
          <w:rStyle w:val="normaltextrun"/>
          <w:noProof/>
        </w:rPr>
        <w:t>nas</w:t>
      </w:r>
      <w:r w:rsidRPr="008B4DA2">
        <w:rPr>
          <w:rStyle w:val="normaltextrun"/>
          <w:noProof/>
        </w:rPr>
        <w:t>tępnie co pięć lat, Komisja przedstawia Parlamentowi Europejskiemu</w:t>
      </w:r>
      <w:r w:rsidR="00B83C93" w:rsidRPr="008B4DA2">
        <w:rPr>
          <w:rStyle w:val="normaltextrun"/>
          <w:noProof/>
        </w:rPr>
        <w:t xml:space="preserve"> i</w:t>
      </w:r>
      <w:r w:rsidR="00B83C93">
        <w:rPr>
          <w:rStyle w:val="normaltextrun"/>
          <w:noProof/>
        </w:rPr>
        <w:t> </w:t>
      </w:r>
      <w:r w:rsidR="00B83C93" w:rsidRPr="008B4DA2">
        <w:rPr>
          <w:rStyle w:val="normaltextrun"/>
          <w:noProof/>
        </w:rPr>
        <w:t>Rad</w:t>
      </w:r>
      <w:r w:rsidRPr="008B4DA2">
        <w:rPr>
          <w:rStyle w:val="normaltextrun"/>
          <w:noProof/>
        </w:rPr>
        <w:t>zie sprawozdanie na temat wykonania niniejszej dyrektywy,</w:t>
      </w:r>
      <w:r w:rsidR="00B83C93" w:rsidRPr="008B4DA2">
        <w:rPr>
          <w:rStyle w:val="normaltextrun"/>
          <w:noProof/>
        </w:rPr>
        <w:t xml:space="preserve"> w</w:t>
      </w:r>
      <w:r w:rsidR="00B83C93">
        <w:rPr>
          <w:rStyle w:val="normaltextrun"/>
          <w:noProof/>
        </w:rPr>
        <w:t> </w:t>
      </w:r>
      <w:r w:rsidR="00B83C93" w:rsidRPr="008B4DA2">
        <w:rPr>
          <w:rStyle w:val="normaltextrun"/>
          <w:noProof/>
        </w:rPr>
        <w:t>tym</w:t>
      </w:r>
      <w:r w:rsidRPr="008B4DA2">
        <w:rPr>
          <w:rStyle w:val="normaltextrun"/>
          <w:noProof/>
        </w:rPr>
        <w:t xml:space="preserve"> jej wpływu na bezpieczeństwo ruchu drogowego. </w:t>
      </w:r>
    </w:p>
    <w:p w:rsidR="00BD67F9" w:rsidRPr="008B4DA2" w:rsidRDefault="00BD67F9" w:rsidP="00BD67F9">
      <w:pPr>
        <w:pStyle w:val="Titrearticle"/>
        <w:rPr>
          <w:rStyle w:val="normaltextrun"/>
          <w:i w:val="0"/>
          <w:noProof/>
        </w:rPr>
      </w:pPr>
      <w:r w:rsidRPr="008B4DA2">
        <w:rPr>
          <w:rStyle w:val="normaltextrun"/>
          <w:noProof/>
        </w:rPr>
        <w:t>Artykuł 21</w:t>
      </w:r>
    </w:p>
    <w:p w:rsidR="00BD67F9" w:rsidRPr="008B4DA2" w:rsidRDefault="00BD67F9" w:rsidP="00BD67F9">
      <w:pPr>
        <w:pStyle w:val="Objetacteprincipal"/>
        <w:rPr>
          <w:rStyle w:val="eop"/>
          <w:noProof/>
        </w:rPr>
      </w:pPr>
      <w:r w:rsidRPr="008B4DA2">
        <w:rPr>
          <w:rStyle w:val="normaltextrun"/>
          <w:noProof/>
        </w:rPr>
        <w:t>Wykonywanie przekazanych uprawnień</w:t>
      </w:r>
    </w:p>
    <w:p w:rsidR="00BD67F9" w:rsidRPr="00B83C93" w:rsidRDefault="00DF60AC" w:rsidP="00DF60AC">
      <w:pPr>
        <w:pStyle w:val="ManualNumPar1"/>
        <w:rPr>
          <w:noProof/>
        </w:rPr>
      </w:pPr>
      <w:r w:rsidRPr="008B4DA2">
        <w:rPr>
          <w:noProof/>
        </w:rPr>
        <w:t>1.</w:t>
      </w:r>
      <w:r w:rsidRPr="008B4DA2">
        <w:rPr>
          <w:noProof/>
        </w:rPr>
        <w:tab/>
      </w:r>
      <w:r w:rsidRPr="008B4DA2">
        <w:rPr>
          <w:rStyle w:val="normaltextrun"/>
          <w:noProof/>
        </w:rPr>
        <w:t>Powierzenie Komisji uprawnień do przyjmowania aktów delegowanych podlega warunkom określonym</w:t>
      </w:r>
      <w:r w:rsidR="00B83C93" w:rsidRPr="008B4DA2">
        <w:rPr>
          <w:rStyle w:val="normaltextrun"/>
          <w:noProof/>
        </w:rPr>
        <w:t xml:space="preserve"> w</w:t>
      </w:r>
      <w:r w:rsidR="00B83C93">
        <w:rPr>
          <w:rStyle w:val="normaltextrun"/>
          <w:noProof/>
        </w:rPr>
        <w:t> </w:t>
      </w:r>
      <w:r w:rsidR="00B83C93" w:rsidRPr="008B4DA2">
        <w:rPr>
          <w:rStyle w:val="normaltextrun"/>
          <w:noProof/>
        </w:rPr>
        <w:t>nin</w:t>
      </w:r>
      <w:r w:rsidRPr="008B4DA2">
        <w:rPr>
          <w:rStyle w:val="normaltextrun"/>
          <w:noProof/>
        </w:rPr>
        <w:t>iejszym artykule</w:t>
      </w:r>
      <w:r w:rsidRPr="00B83C93">
        <w:rPr>
          <w:rStyle w:val="normaltextrun"/>
          <w:noProof/>
        </w:rPr>
        <w:t>.</w:t>
      </w:r>
      <w:r w:rsidR="00B83C93" w:rsidRPr="00B83C93">
        <w:rPr>
          <w:rStyle w:val="normaltextrun"/>
          <w:noProof/>
        </w:rPr>
        <w:t xml:space="preserve"> </w:t>
      </w:r>
    </w:p>
    <w:p w:rsidR="00BD67F9" w:rsidRPr="008B4DA2" w:rsidRDefault="00DF60AC" w:rsidP="00DF60AC">
      <w:pPr>
        <w:pStyle w:val="ManualNumPar1"/>
        <w:rPr>
          <w:rStyle w:val="normaltextrun"/>
          <w:noProof/>
        </w:rPr>
      </w:pPr>
      <w:r w:rsidRPr="008B4DA2">
        <w:rPr>
          <w:rStyle w:val="normaltextrun"/>
          <w:noProof/>
        </w:rPr>
        <w:t>2.</w:t>
      </w:r>
      <w:r w:rsidRPr="008B4DA2">
        <w:rPr>
          <w:noProof/>
        </w:rPr>
        <w:tab/>
      </w:r>
      <w:r w:rsidRPr="008B4DA2">
        <w:rPr>
          <w:rStyle w:val="normaltextrun"/>
          <w:noProof/>
        </w:rPr>
        <w:t>Uprawnienia do przyjęcia aktów delegowanych,</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rych mowa</w:t>
      </w:r>
      <w:r w:rsidR="00B83C93" w:rsidRPr="008B4DA2">
        <w:rPr>
          <w:rStyle w:val="normaltextrun"/>
          <w:noProof/>
        </w:rPr>
        <w:t xml:space="preserve"> w</w:t>
      </w:r>
      <w:r w:rsidR="00B83C93">
        <w:rPr>
          <w:rStyle w:val="normaltextrun"/>
          <w:noProof/>
        </w:rPr>
        <w:t> </w:t>
      </w:r>
      <w:r w:rsidR="00B83C93" w:rsidRPr="00B83C93">
        <w:rPr>
          <w:rStyle w:val="normaltextrun"/>
          <w:noProof/>
        </w:rPr>
        <w:t>art</w:t>
      </w:r>
      <w:r w:rsidRPr="00B83C93">
        <w:rPr>
          <w:rStyle w:val="normaltextrun"/>
          <w:noProof/>
        </w:rPr>
        <w:t>.</w:t>
      </w:r>
      <w:r w:rsidR="00B83C93" w:rsidRPr="00B83C93">
        <w:rPr>
          <w:rStyle w:val="normaltextrun"/>
          <w:noProof/>
        </w:rPr>
        <w:t> </w:t>
      </w:r>
      <w:r w:rsidRPr="00B83C93">
        <w:rPr>
          <w:rStyle w:val="normaltextrun"/>
          <w:noProof/>
        </w:rPr>
        <w:t>4</w:t>
      </w:r>
      <w:r w:rsidRPr="008B4DA2">
        <w:rPr>
          <w:rStyle w:val="normaltextrun"/>
          <w:noProof/>
        </w:rPr>
        <w:t xml:space="preserve"> </w:t>
      </w:r>
      <w:r w:rsidRPr="00B83C93">
        <w:rPr>
          <w:rStyle w:val="normaltextrun"/>
          <w:noProof/>
        </w:rPr>
        <w:t>ust.</w:t>
      </w:r>
      <w:r w:rsidR="00B83C93" w:rsidRPr="00B83C93">
        <w:rPr>
          <w:rStyle w:val="normaltextrun"/>
          <w:noProof/>
        </w:rPr>
        <w:t> </w:t>
      </w:r>
      <w:r w:rsidRPr="00B83C93">
        <w:rPr>
          <w:rStyle w:val="normaltextrun"/>
          <w:noProof/>
        </w:rPr>
        <w:t>8</w:t>
      </w:r>
      <w:r w:rsidRPr="008B4DA2">
        <w:rPr>
          <w:rStyle w:val="normaltextrun"/>
          <w:noProof/>
        </w:rPr>
        <w:t xml:space="preserve">, </w:t>
      </w:r>
      <w:r w:rsidRPr="00B83C93">
        <w:rPr>
          <w:rStyle w:val="normaltextrun"/>
          <w:noProof/>
        </w:rPr>
        <w:t>art.</w:t>
      </w:r>
      <w:r w:rsidR="00B83C93" w:rsidRPr="00B83C93">
        <w:rPr>
          <w:rStyle w:val="normaltextrun"/>
          <w:noProof/>
        </w:rPr>
        <w:t> </w:t>
      </w:r>
      <w:r w:rsidRPr="00B83C93">
        <w:rPr>
          <w:rStyle w:val="normaltextrun"/>
          <w:noProof/>
        </w:rPr>
        <w:t>5</w:t>
      </w:r>
      <w:r w:rsidRPr="008B4DA2">
        <w:rPr>
          <w:rStyle w:val="normaltextrun"/>
          <w:noProof/>
        </w:rPr>
        <w:t xml:space="preserve"> </w:t>
      </w:r>
      <w:r w:rsidRPr="00B83C93">
        <w:rPr>
          <w:rStyle w:val="normaltextrun"/>
          <w:noProof/>
        </w:rPr>
        <w:t>ust.</w:t>
      </w:r>
      <w:r w:rsidR="00B83C93" w:rsidRPr="00B83C93">
        <w:rPr>
          <w:rStyle w:val="normaltextrun"/>
          <w:noProof/>
        </w:rPr>
        <w:t> </w:t>
      </w:r>
      <w:r w:rsidRPr="00B83C93">
        <w:rPr>
          <w:rStyle w:val="normaltextrun"/>
          <w:noProof/>
        </w:rPr>
        <w:t>6</w:t>
      </w:r>
      <w:r w:rsidRPr="008B4DA2">
        <w:rPr>
          <w:rStyle w:val="normaltextrun"/>
          <w:noProof/>
        </w:rPr>
        <w:t xml:space="preserve">, </w:t>
      </w:r>
      <w:r w:rsidRPr="00B83C93">
        <w:rPr>
          <w:rStyle w:val="normaltextrun"/>
          <w:noProof/>
        </w:rPr>
        <w:t>art.</w:t>
      </w:r>
      <w:r w:rsidR="00B83C93" w:rsidRPr="00B83C93">
        <w:rPr>
          <w:rStyle w:val="normaltextrun"/>
          <w:noProof/>
        </w:rPr>
        <w:t> </w:t>
      </w:r>
      <w:r w:rsidRPr="00B83C93">
        <w:rPr>
          <w:rStyle w:val="normaltextrun"/>
          <w:noProof/>
        </w:rPr>
        <w:t>8</w:t>
      </w:r>
      <w:r w:rsidRPr="008B4DA2">
        <w:rPr>
          <w:rStyle w:val="normaltextrun"/>
          <w:noProof/>
        </w:rPr>
        <w:t xml:space="preserve"> </w:t>
      </w:r>
      <w:r w:rsidRPr="00B83C93">
        <w:rPr>
          <w:rStyle w:val="normaltextrun"/>
          <w:noProof/>
        </w:rPr>
        <w:t>ust.</w:t>
      </w:r>
      <w:r w:rsidR="00B83C93" w:rsidRPr="00B83C93">
        <w:rPr>
          <w:rStyle w:val="normaltextrun"/>
          <w:noProof/>
        </w:rPr>
        <w:t> </w:t>
      </w:r>
      <w:r w:rsidRPr="00B83C93">
        <w:rPr>
          <w:rStyle w:val="normaltextrun"/>
          <w:noProof/>
        </w:rPr>
        <w:t>2</w:t>
      </w:r>
      <w:r w:rsidRPr="008B4DA2">
        <w:rPr>
          <w:rStyle w:val="normaltextrun"/>
          <w:noProof/>
        </w:rPr>
        <w:t xml:space="preserve">, </w:t>
      </w:r>
      <w:r w:rsidRPr="00B83C93">
        <w:rPr>
          <w:rStyle w:val="normaltextrun"/>
          <w:noProof/>
        </w:rPr>
        <w:t>art.</w:t>
      </w:r>
      <w:r w:rsidR="00B83C93" w:rsidRPr="00B83C93">
        <w:rPr>
          <w:rStyle w:val="normaltextrun"/>
          <w:noProof/>
        </w:rPr>
        <w:t> </w:t>
      </w:r>
      <w:r w:rsidRPr="00B83C93">
        <w:rPr>
          <w:rStyle w:val="normaltextrun"/>
          <w:noProof/>
        </w:rPr>
        <w:t>1</w:t>
      </w:r>
      <w:r w:rsidRPr="008B4DA2">
        <w:rPr>
          <w:rStyle w:val="normaltextrun"/>
          <w:noProof/>
        </w:rPr>
        <w:t xml:space="preserve">0 </w:t>
      </w:r>
      <w:r w:rsidRPr="00B83C93">
        <w:rPr>
          <w:rStyle w:val="normaltextrun"/>
          <w:noProof/>
        </w:rPr>
        <w:t>ust.</w:t>
      </w:r>
      <w:r w:rsidR="00B83C93" w:rsidRPr="00B83C93">
        <w:rPr>
          <w:rStyle w:val="normaltextrun"/>
          <w:noProof/>
        </w:rPr>
        <w:t> </w:t>
      </w:r>
      <w:r w:rsidRPr="00B83C93">
        <w:rPr>
          <w:rStyle w:val="normaltextrun"/>
          <w:noProof/>
        </w:rPr>
        <w:t>8</w:t>
      </w:r>
      <w:r w:rsidR="00B83C93" w:rsidRPr="008B4DA2">
        <w:rPr>
          <w:rStyle w:val="normaltextrun"/>
          <w:noProof/>
        </w:rPr>
        <w:t xml:space="preserve"> i</w:t>
      </w:r>
      <w:r w:rsidR="00B83C93">
        <w:rPr>
          <w:rStyle w:val="normaltextrun"/>
          <w:noProof/>
        </w:rPr>
        <w:t> </w:t>
      </w:r>
      <w:r w:rsidR="00B83C93" w:rsidRPr="00B83C93">
        <w:rPr>
          <w:rStyle w:val="normaltextrun"/>
          <w:noProof/>
        </w:rPr>
        <w:t>art</w:t>
      </w:r>
      <w:r w:rsidRPr="00B83C93">
        <w:rPr>
          <w:rStyle w:val="normaltextrun"/>
          <w:noProof/>
        </w:rPr>
        <w:t>.</w:t>
      </w:r>
      <w:r w:rsidR="00B83C93" w:rsidRPr="00B83C93">
        <w:rPr>
          <w:rStyle w:val="normaltextrun"/>
          <w:noProof/>
        </w:rPr>
        <w:t> </w:t>
      </w:r>
      <w:r w:rsidRPr="00B83C93">
        <w:rPr>
          <w:rStyle w:val="normaltextrun"/>
          <w:noProof/>
        </w:rPr>
        <w:t>1</w:t>
      </w:r>
      <w:r w:rsidRPr="008B4DA2">
        <w:rPr>
          <w:rStyle w:val="normaltextrun"/>
          <w:noProof/>
        </w:rPr>
        <w:t xml:space="preserve">6 </w:t>
      </w:r>
      <w:r w:rsidRPr="00B83C93">
        <w:rPr>
          <w:rStyle w:val="normaltextrun"/>
          <w:noProof/>
        </w:rPr>
        <w:t>ust.</w:t>
      </w:r>
      <w:r w:rsidR="00B83C93" w:rsidRPr="00B83C93">
        <w:rPr>
          <w:rStyle w:val="normaltextrun"/>
          <w:noProof/>
        </w:rPr>
        <w:t> </w:t>
      </w:r>
      <w:r w:rsidRPr="00B83C93">
        <w:rPr>
          <w:rStyle w:val="normaltextrun"/>
          <w:noProof/>
        </w:rPr>
        <w:t>2</w:t>
      </w:r>
      <w:r w:rsidRPr="008B4DA2">
        <w:rPr>
          <w:rStyle w:val="normaltextrun"/>
          <w:noProof/>
        </w:rPr>
        <w:t>, powierza się Komisji na okres pięciu lat od dnia [</w:t>
      </w:r>
      <w:r w:rsidRPr="008B4DA2">
        <w:rPr>
          <w:rStyle w:val="normaltextrun"/>
          <w:i/>
          <w:noProof/>
        </w:rPr>
        <w:t>data wejścia</w:t>
      </w:r>
      <w:r w:rsidR="00B83C93" w:rsidRPr="008B4DA2">
        <w:rPr>
          <w:rStyle w:val="normaltextrun"/>
          <w:i/>
          <w:noProof/>
        </w:rPr>
        <w:t xml:space="preserve"> w</w:t>
      </w:r>
      <w:r w:rsidR="00B83C93">
        <w:rPr>
          <w:rStyle w:val="normaltextrun"/>
          <w:i/>
          <w:noProof/>
        </w:rPr>
        <w:t> </w:t>
      </w:r>
      <w:r w:rsidR="00B83C93" w:rsidRPr="008B4DA2">
        <w:rPr>
          <w:rStyle w:val="normaltextrun"/>
          <w:i/>
          <w:noProof/>
        </w:rPr>
        <w:t>życ</w:t>
      </w:r>
      <w:r w:rsidRPr="008B4DA2">
        <w:rPr>
          <w:rStyle w:val="normaltextrun"/>
          <w:i/>
          <w:noProof/>
        </w:rPr>
        <w:t>ie niniejszej dyrektywy</w:t>
      </w:r>
      <w:r w:rsidRPr="008B4DA2">
        <w:rPr>
          <w:rStyle w:val="normaltextrun"/>
          <w:noProof/>
        </w:rPr>
        <w:t>]. Komisja sporządza sprawozdanie dotyczące przekazania uprawnień nie później niż dziewięć miesięcy przed końcem okresu pięciu lat. Przekazanie uprawnień zostaje automatycznie przedłużone na takie same okresy, chyba że Parlament Europejski lub Rada sprzeciwią się takiemu przedłużeniu nie później niż trzy miesiące przed końcem każdego okresu.</w:t>
      </w:r>
    </w:p>
    <w:p w:rsidR="00BD67F9" w:rsidRPr="00B83C93" w:rsidRDefault="00DF60AC" w:rsidP="00DF60AC">
      <w:pPr>
        <w:pStyle w:val="ManualNumPar1"/>
        <w:rPr>
          <w:noProof/>
        </w:rPr>
      </w:pPr>
      <w:r w:rsidRPr="008B4DA2">
        <w:rPr>
          <w:noProof/>
        </w:rPr>
        <w:t>3.</w:t>
      </w:r>
      <w:r w:rsidRPr="008B4DA2">
        <w:rPr>
          <w:noProof/>
        </w:rPr>
        <w:tab/>
      </w:r>
      <w:r w:rsidRPr="008B4DA2">
        <w:rPr>
          <w:rStyle w:val="normaltextrun"/>
          <w:noProof/>
        </w:rPr>
        <w:t>Przekazanie uprawnień,</w:t>
      </w:r>
      <w:r w:rsidR="00B83C93" w:rsidRPr="008B4DA2">
        <w:rPr>
          <w:rStyle w:val="normaltextrun"/>
          <w:noProof/>
        </w:rPr>
        <w:t xml:space="preserve"> o</w:t>
      </w:r>
      <w:r w:rsidR="00B83C93">
        <w:rPr>
          <w:rStyle w:val="normaltextrun"/>
          <w:noProof/>
        </w:rPr>
        <w:t> </w:t>
      </w:r>
      <w:r w:rsidR="00B83C93" w:rsidRPr="008B4DA2">
        <w:rPr>
          <w:rStyle w:val="normaltextrun"/>
          <w:noProof/>
        </w:rPr>
        <w:t>któ</w:t>
      </w:r>
      <w:r w:rsidRPr="008B4DA2">
        <w:rPr>
          <w:rStyle w:val="normaltextrun"/>
          <w:noProof/>
        </w:rPr>
        <w:t>rym mowa</w:t>
      </w:r>
      <w:r w:rsidR="00B83C93" w:rsidRPr="008B4DA2">
        <w:rPr>
          <w:rStyle w:val="normaltextrun"/>
          <w:noProof/>
        </w:rPr>
        <w:t xml:space="preserve"> w</w:t>
      </w:r>
      <w:r w:rsidR="00B83C93">
        <w:rPr>
          <w:rStyle w:val="normaltextrun"/>
          <w:noProof/>
        </w:rPr>
        <w:t> </w:t>
      </w:r>
      <w:r w:rsidR="00B83C93" w:rsidRPr="008B4DA2">
        <w:rPr>
          <w:rStyle w:val="normaltextrun"/>
          <w:noProof/>
        </w:rPr>
        <w:t>art</w:t>
      </w:r>
      <w:r w:rsidRPr="008B4DA2">
        <w:rPr>
          <w:rStyle w:val="normaltextrun"/>
          <w:noProof/>
        </w:rPr>
        <w:t>. 4 ust. 8, art. 5 ust. 6, art. 8 ust. 2, art. 10 ust. 8</w:t>
      </w:r>
      <w:r w:rsidR="00B83C93" w:rsidRPr="008B4DA2">
        <w:rPr>
          <w:rStyle w:val="normaltextrun"/>
          <w:noProof/>
        </w:rPr>
        <w:t xml:space="preserve"> i</w:t>
      </w:r>
      <w:r w:rsidR="00B83C93">
        <w:rPr>
          <w:rStyle w:val="normaltextrun"/>
          <w:noProof/>
        </w:rPr>
        <w:t> </w:t>
      </w:r>
      <w:r w:rsidR="00B83C93" w:rsidRPr="008B4DA2">
        <w:rPr>
          <w:rStyle w:val="normaltextrun"/>
          <w:noProof/>
        </w:rPr>
        <w:t>art</w:t>
      </w:r>
      <w:r w:rsidRPr="008B4DA2">
        <w:rPr>
          <w:rStyle w:val="normaltextrun"/>
          <w:noProof/>
        </w:rPr>
        <w:t>. 16 ust. 2, może zostać</w:t>
      </w:r>
      <w:r w:rsidR="00B83C93" w:rsidRPr="008B4DA2">
        <w:rPr>
          <w:rStyle w:val="normaltextrun"/>
          <w:noProof/>
        </w:rPr>
        <w:t xml:space="preserve"> w</w:t>
      </w:r>
      <w:r w:rsidR="00B83C93">
        <w:rPr>
          <w:rStyle w:val="normaltextrun"/>
          <w:noProof/>
        </w:rPr>
        <w:t> </w:t>
      </w:r>
      <w:r w:rsidR="00B83C93" w:rsidRPr="008B4DA2">
        <w:rPr>
          <w:rStyle w:val="normaltextrun"/>
          <w:noProof/>
        </w:rPr>
        <w:t>dow</w:t>
      </w:r>
      <w:r w:rsidRPr="008B4DA2">
        <w:rPr>
          <w:rStyle w:val="normaltextrun"/>
          <w:noProof/>
        </w:rPr>
        <w:t>olnym momencie odwołane przez Parlament Europejski lub przez Radę. Decyzja</w:t>
      </w:r>
      <w:r w:rsidR="00B83C93" w:rsidRPr="008B4DA2">
        <w:rPr>
          <w:rStyle w:val="normaltextrun"/>
          <w:noProof/>
        </w:rPr>
        <w:t xml:space="preserve"> o</w:t>
      </w:r>
      <w:r w:rsidR="00B83C93">
        <w:rPr>
          <w:rStyle w:val="normaltextrun"/>
          <w:noProof/>
        </w:rPr>
        <w:t> </w:t>
      </w:r>
      <w:r w:rsidR="00B83C93" w:rsidRPr="008B4DA2">
        <w:rPr>
          <w:rStyle w:val="normaltextrun"/>
          <w:noProof/>
        </w:rPr>
        <w:t>odw</w:t>
      </w:r>
      <w:r w:rsidRPr="008B4DA2">
        <w:rPr>
          <w:rStyle w:val="normaltextrun"/>
          <w:noProof/>
        </w:rPr>
        <w:t>ołaniu kończy przekazanie określonych</w:t>
      </w:r>
      <w:r w:rsidR="00B83C93" w:rsidRPr="008B4DA2">
        <w:rPr>
          <w:rStyle w:val="normaltextrun"/>
          <w:noProof/>
        </w:rPr>
        <w:t xml:space="preserve"> w</w:t>
      </w:r>
      <w:r w:rsidR="00B83C93">
        <w:rPr>
          <w:rStyle w:val="normaltextrun"/>
          <w:noProof/>
        </w:rPr>
        <w:t> </w:t>
      </w:r>
      <w:r w:rsidR="00B83C93" w:rsidRPr="008B4DA2">
        <w:rPr>
          <w:rStyle w:val="normaltextrun"/>
          <w:noProof/>
        </w:rPr>
        <w:t>nie</w:t>
      </w:r>
      <w:r w:rsidRPr="008B4DA2">
        <w:rPr>
          <w:rStyle w:val="normaltextrun"/>
          <w:noProof/>
        </w:rPr>
        <w:t>j uprawnień. Decyzja</w:t>
      </w:r>
      <w:r w:rsidR="00B83C93" w:rsidRPr="008B4DA2">
        <w:rPr>
          <w:rStyle w:val="normaltextrun"/>
          <w:noProof/>
        </w:rPr>
        <w:t xml:space="preserve"> o</w:t>
      </w:r>
      <w:r w:rsidR="00B83C93">
        <w:rPr>
          <w:rStyle w:val="normaltextrun"/>
          <w:noProof/>
        </w:rPr>
        <w:t> </w:t>
      </w:r>
      <w:r w:rsidR="00B83C93" w:rsidRPr="008B4DA2">
        <w:rPr>
          <w:rStyle w:val="normaltextrun"/>
          <w:noProof/>
        </w:rPr>
        <w:t>odw</w:t>
      </w:r>
      <w:r w:rsidRPr="008B4DA2">
        <w:rPr>
          <w:rStyle w:val="normaltextrun"/>
          <w:noProof/>
        </w:rPr>
        <w:t>ołaniu staje się skuteczna następnego dnia po jej opublikowaniu</w:t>
      </w:r>
      <w:r w:rsidR="00B83C93" w:rsidRPr="008B4DA2">
        <w:rPr>
          <w:rStyle w:val="normaltextrun"/>
          <w:noProof/>
        </w:rPr>
        <w:t xml:space="preserve"> w</w:t>
      </w:r>
      <w:r w:rsidR="00B83C93">
        <w:rPr>
          <w:rStyle w:val="normaltextrun"/>
          <w:noProof/>
        </w:rPr>
        <w:t> </w:t>
      </w:r>
      <w:r w:rsidR="00B83C93" w:rsidRPr="008B4DA2">
        <w:rPr>
          <w:rStyle w:val="normaltextrun"/>
          <w:noProof/>
        </w:rPr>
        <w:t>Dzi</w:t>
      </w:r>
      <w:r w:rsidRPr="008B4DA2">
        <w:rPr>
          <w:rStyle w:val="normaltextrun"/>
          <w:noProof/>
        </w:rPr>
        <w:t>enniku Urzędowym Unii Europejskiej lub</w:t>
      </w:r>
      <w:r w:rsidR="00B83C93" w:rsidRPr="008B4DA2">
        <w:rPr>
          <w:rStyle w:val="normaltextrun"/>
          <w:noProof/>
        </w:rPr>
        <w:t xml:space="preserve"> w</w:t>
      </w:r>
      <w:r w:rsidR="00B83C93">
        <w:rPr>
          <w:rStyle w:val="normaltextrun"/>
          <w:noProof/>
        </w:rPr>
        <w:t> </w:t>
      </w:r>
      <w:r w:rsidR="00B83C93" w:rsidRPr="008B4DA2">
        <w:rPr>
          <w:rStyle w:val="normaltextrun"/>
          <w:noProof/>
        </w:rPr>
        <w:t>póź</w:t>
      </w:r>
      <w:r w:rsidRPr="008B4DA2">
        <w:rPr>
          <w:rStyle w:val="normaltextrun"/>
          <w:noProof/>
        </w:rPr>
        <w:t>niejszym terminie określonym</w:t>
      </w:r>
      <w:r w:rsidR="00B83C93" w:rsidRPr="008B4DA2">
        <w:rPr>
          <w:rStyle w:val="normaltextrun"/>
          <w:noProof/>
        </w:rPr>
        <w:t xml:space="preserve"> w</w:t>
      </w:r>
      <w:r w:rsidR="00B83C93">
        <w:rPr>
          <w:rStyle w:val="normaltextrun"/>
          <w:noProof/>
        </w:rPr>
        <w:t> </w:t>
      </w:r>
      <w:r w:rsidR="00B83C93" w:rsidRPr="008B4DA2">
        <w:rPr>
          <w:rStyle w:val="normaltextrun"/>
          <w:noProof/>
        </w:rPr>
        <w:t>tej</w:t>
      </w:r>
      <w:r w:rsidRPr="008B4DA2">
        <w:rPr>
          <w:rStyle w:val="normaltextrun"/>
          <w:noProof/>
        </w:rPr>
        <w:t xml:space="preserve"> decyzji. Nie wpływa ona na ważność już obowiązujących aktów delegowanych</w:t>
      </w:r>
      <w:r w:rsidRPr="00B83C93">
        <w:rPr>
          <w:rStyle w:val="normaltextrun"/>
          <w:noProof/>
        </w:rPr>
        <w:t>.</w:t>
      </w:r>
      <w:r w:rsidR="00B83C93" w:rsidRPr="00B83C93">
        <w:rPr>
          <w:rStyle w:val="normaltextrun"/>
          <w:noProof/>
        </w:rPr>
        <w:t xml:space="preserve"> </w:t>
      </w:r>
    </w:p>
    <w:p w:rsidR="00BD67F9" w:rsidRPr="00B83C93" w:rsidRDefault="00DF60AC" w:rsidP="00DF60AC">
      <w:pPr>
        <w:pStyle w:val="ManualNumPar1"/>
        <w:rPr>
          <w:noProof/>
        </w:rPr>
      </w:pPr>
      <w:r w:rsidRPr="008B4DA2">
        <w:rPr>
          <w:noProof/>
        </w:rPr>
        <w:t>4.</w:t>
      </w:r>
      <w:r w:rsidRPr="008B4DA2">
        <w:rPr>
          <w:noProof/>
        </w:rPr>
        <w:tab/>
      </w:r>
      <w:r w:rsidRPr="008B4DA2">
        <w:rPr>
          <w:rStyle w:val="normaltextrun"/>
          <w:noProof/>
        </w:rPr>
        <w:t>Przed przyjęciem aktu delegowanego Komisja konsultuje się</w:t>
      </w:r>
      <w:r w:rsidR="00B83C93" w:rsidRPr="008B4DA2">
        <w:rPr>
          <w:rStyle w:val="normaltextrun"/>
          <w:noProof/>
        </w:rPr>
        <w:t xml:space="preserve"> z</w:t>
      </w:r>
      <w:r w:rsidR="00B83C93">
        <w:rPr>
          <w:rStyle w:val="normaltextrun"/>
          <w:noProof/>
        </w:rPr>
        <w:t> </w:t>
      </w:r>
      <w:r w:rsidR="00B83C93" w:rsidRPr="008B4DA2">
        <w:rPr>
          <w:rStyle w:val="normaltextrun"/>
          <w:noProof/>
        </w:rPr>
        <w:t>eks</w:t>
      </w:r>
      <w:r w:rsidRPr="008B4DA2">
        <w:rPr>
          <w:rStyle w:val="normaltextrun"/>
          <w:noProof/>
        </w:rPr>
        <w:t>pertami wyznaczonymi przez każde państwo członkowskie zgodnie</w:t>
      </w:r>
      <w:r w:rsidR="00B83C93" w:rsidRPr="008B4DA2">
        <w:rPr>
          <w:rStyle w:val="normaltextrun"/>
          <w:noProof/>
        </w:rPr>
        <w:t xml:space="preserve"> z</w:t>
      </w:r>
      <w:r w:rsidR="00B83C93">
        <w:rPr>
          <w:rStyle w:val="normaltextrun"/>
          <w:noProof/>
        </w:rPr>
        <w:t> </w:t>
      </w:r>
      <w:r w:rsidR="00B83C93" w:rsidRPr="008B4DA2">
        <w:rPr>
          <w:rStyle w:val="normaltextrun"/>
          <w:noProof/>
        </w:rPr>
        <w:t>zas</w:t>
      </w:r>
      <w:r w:rsidRPr="008B4DA2">
        <w:rPr>
          <w:rStyle w:val="normaltextrun"/>
          <w:noProof/>
        </w:rPr>
        <w:t>adami określonymi</w:t>
      </w:r>
      <w:r w:rsidR="00B83C93" w:rsidRPr="008B4DA2">
        <w:rPr>
          <w:rStyle w:val="normaltextrun"/>
          <w:noProof/>
        </w:rPr>
        <w:t xml:space="preserve"> w</w:t>
      </w:r>
      <w:r w:rsidR="00B83C93">
        <w:rPr>
          <w:rStyle w:val="normaltextrun"/>
          <w:noProof/>
        </w:rPr>
        <w:t> </w:t>
      </w:r>
      <w:r w:rsidR="00B83C93" w:rsidRPr="008B4DA2">
        <w:rPr>
          <w:rStyle w:val="normaltextrun"/>
          <w:noProof/>
        </w:rPr>
        <w:t>Por</w:t>
      </w:r>
      <w:r w:rsidRPr="008B4DA2">
        <w:rPr>
          <w:rStyle w:val="normaltextrun"/>
          <w:noProof/>
        </w:rPr>
        <w:t>ozumieniu międzyinstytucjonalnym</w:t>
      </w:r>
      <w:r w:rsidR="00B83C93" w:rsidRPr="008B4DA2">
        <w:rPr>
          <w:rStyle w:val="normaltextrun"/>
          <w:noProof/>
        </w:rPr>
        <w:t xml:space="preserve"> z</w:t>
      </w:r>
      <w:r w:rsidR="00B83C93">
        <w:rPr>
          <w:rStyle w:val="normaltextrun"/>
          <w:noProof/>
        </w:rPr>
        <w:t> </w:t>
      </w:r>
      <w:r w:rsidR="00B83C93" w:rsidRPr="008B4DA2">
        <w:rPr>
          <w:rStyle w:val="normaltextrun"/>
          <w:noProof/>
        </w:rPr>
        <w:t>dni</w:t>
      </w:r>
      <w:r w:rsidRPr="008B4DA2">
        <w:rPr>
          <w:rStyle w:val="normaltextrun"/>
          <w:noProof/>
        </w:rPr>
        <w:t>a 13 kwietnia 20</w:t>
      </w:r>
      <w:r w:rsidRPr="00B83C93">
        <w:rPr>
          <w:rStyle w:val="normaltextrun"/>
          <w:noProof/>
        </w:rPr>
        <w:t>16</w:t>
      </w:r>
      <w:r w:rsidR="00B83C93" w:rsidRPr="00B83C93">
        <w:rPr>
          <w:rStyle w:val="normaltextrun"/>
          <w:noProof/>
        </w:rPr>
        <w:t> </w:t>
      </w:r>
      <w:r w:rsidRPr="00B83C93">
        <w:rPr>
          <w:rStyle w:val="normaltextrun"/>
          <w:noProof/>
        </w:rPr>
        <w:t>r.</w:t>
      </w:r>
      <w:r w:rsidR="00B83C93" w:rsidRPr="008B4DA2">
        <w:rPr>
          <w:rStyle w:val="normaltextrun"/>
          <w:noProof/>
        </w:rPr>
        <w:t xml:space="preserve"> w</w:t>
      </w:r>
      <w:r w:rsidR="00B83C93">
        <w:rPr>
          <w:rStyle w:val="normaltextrun"/>
          <w:noProof/>
        </w:rPr>
        <w:t> </w:t>
      </w:r>
      <w:r w:rsidR="00B83C93" w:rsidRPr="008B4DA2">
        <w:rPr>
          <w:rStyle w:val="normaltextrun"/>
          <w:noProof/>
        </w:rPr>
        <w:t>spr</w:t>
      </w:r>
      <w:r w:rsidRPr="008B4DA2">
        <w:rPr>
          <w:rStyle w:val="normaltextrun"/>
          <w:noProof/>
        </w:rPr>
        <w:t>awie lepszego stanowienia prawa</w:t>
      </w:r>
      <w:r w:rsidRPr="00B83C93">
        <w:rPr>
          <w:rStyle w:val="normaltextrun"/>
          <w:noProof/>
        </w:rPr>
        <w:t>.</w:t>
      </w:r>
      <w:r w:rsidR="00B83C93" w:rsidRPr="00B83C93">
        <w:rPr>
          <w:rStyle w:val="normaltextrun"/>
          <w:noProof/>
        </w:rPr>
        <w:t xml:space="preserve"> </w:t>
      </w:r>
    </w:p>
    <w:p w:rsidR="00BD67F9" w:rsidRPr="00B83C93" w:rsidRDefault="00DF60AC" w:rsidP="00DF60AC">
      <w:pPr>
        <w:pStyle w:val="ManualNumPar1"/>
        <w:rPr>
          <w:noProof/>
        </w:rPr>
      </w:pPr>
      <w:r w:rsidRPr="008B4DA2">
        <w:rPr>
          <w:noProof/>
        </w:rPr>
        <w:t>5.</w:t>
      </w:r>
      <w:r w:rsidRPr="008B4DA2">
        <w:rPr>
          <w:noProof/>
        </w:rPr>
        <w:tab/>
      </w:r>
      <w:r w:rsidRPr="008B4DA2">
        <w:rPr>
          <w:rStyle w:val="normaltextrun"/>
          <w:noProof/>
        </w:rPr>
        <w:t>Niezwłocznie po przyjęciu aktu delegowanego Komisja przekazuje go równocześnie Parlamentowi Europejskiemu</w:t>
      </w:r>
      <w:r w:rsidR="00B83C93" w:rsidRPr="008B4DA2">
        <w:rPr>
          <w:rStyle w:val="normaltextrun"/>
          <w:noProof/>
        </w:rPr>
        <w:t xml:space="preserve"> i</w:t>
      </w:r>
      <w:r w:rsidR="00B83C93">
        <w:rPr>
          <w:rStyle w:val="normaltextrun"/>
          <w:noProof/>
        </w:rPr>
        <w:t> </w:t>
      </w:r>
      <w:r w:rsidR="00B83C93" w:rsidRPr="008B4DA2">
        <w:rPr>
          <w:rStyle w:val="normaltextrun"/>
          <w:noProof/>
        </w:rPr>
        <w:t>Rad</w:t>
      </w:r>
      <w:r w:rsidRPr="008B4DA2">
        <w:rPr>
          <w:rStyle w:val="normaltextrun"/>
          <w:noProof/>
        </w:rPr>
        <w:t>zie</w:t>
      </w:r>
      <w:r w:rsidRPr="00B83C93">
        <w:rPr>
          <w:rStyle w:val="normaltextrun"/>
          <w:noProof/>
        </w:rPr>
        <w:t>.</w:t>
      </w:r>
      <w:r w:rsidR="00B83C93" w:rsidRPr="00B83C93">
        <w:rPr>
          <w:rStyle w:val="normaltextrun"/>
          <w:noProof/>
        </w:rPr>
        <w:t xml:space="preserve"> </w:t>
      </w:r>
    </w:p>
    <w:p w:rsidR="00BD67F9" w:rsidRPr="008B4DA2" w:rsidRDefault="00DF60AC" w:rsidP="00DF60AC">
      <w:pPr>
        <w:pStyle w:val="ManualNumPar1"/>
        <w:rPr>
          <w:noProof/>
        </w:rPr>
      </w:pPr>
      <w:r w:rsidRPr="008B4DA2">
        <w:rPr>
          <w:noProof/>
        </w:rPr>
        <w:t>6.</w:t>
      </w:r>
      <w:r w:rsidRPr="008B4DA2">
        <w:rPr>
          <w:noProof/>
        </w:rPr>
        <w:tab/>
      </w:r>
      <w:r w:rsidRPr="008B4DA2">
        <w:rPr>
          <w:rStyle w:val="normaltextrun"/>
          <w:noProof/>
        </w:rPr>
        <w:t xml:space="preserve">Akt delegowany przyjęty na podstawie </w:t>
      </w:r>
      <w:r w:rsidRPr="00B83C93">
        <w:rPr>
          <w:rStyle w:val="normaltextrun"/>
          <w:noProof/>
        </w:rPr>
        <w:t>art.</w:t>
      </w:r>
      <w:r w:rsidR="00B83C93" w:rsidRPr="00B83C93">
        <w:rPr>
          <w:rStyle w:val="normaltextrun"/>
          <w:noProof/>
        </w:rPr>
        <w:t> </w:t>
      </w:r>
      <w:r w:rsidRPr="00B83C93">
        <w:rPr>
          <w:rStyle w:val="normaltextrun"/>
          <w:noProof/>
        </w:rPr>
        <w:t>4</w:t>
      </w:r>
      <w:r w:rsidRPr="008B4DA2">
        <w:rPr>
          <w:rStyle w:val="normaltextrun"/>
          <w:noProof/>
        </w:rPr>
        <w:t xml:space="preserve"> </w:t>
      </w:r>
      <w:r w:rsidRPr="00B83C93">
        <w:rPr>
          <w:rStyle w:val="normaltextrun"/>
          <w:noProof/>
        </w:rPr>
        <w:t>ust.</w:t>
      </w:r>
      <w:r w:rsidR="00B83C93" w:rsidRPr="00B83C93">
        <w:rPr>
          <w:rStyle w:val="normaltextrun"/>
          <w:noProof/>
        </w:rPr>
        <w:t> </w:t>
      </w:r>
      <w:r w:rsidRPr="00B83C93">
        <w:rPr>
          <w:rStyle w:val="normaltextrun"/>
          <w:noProof/>
        </w:rPr>
        <w:t>8</w:t>
      </w:r>
      <w:r w:rsidRPr="008B4DA2">
        <w:rPr>
          <w:rStyle w:val="normaltextrun"/>
          <w:noProof/>
        </w:rPr>
        <w:t xml:space="preserve">, </w:t>
      </w:r>
      <w:r w:rsidRPr="00B83C93">
        <w:rPr>
          <w:rStyle w:val="normaltextrun"/>
          <w:noProof/>
        </w:rPr>
        <w:t>art.</w:t>
      </w:r>
      <w:r w:rsidR="00B83C93" w:rsidRPr="00B83C93">
        <w:rPr>
          <w:rStyle w:val="normaltextrun"/>
          <w:noProof/>
        </w:rPr>
        <w:t> </w:t>
      </w:r>
      <w:r w:rsidRPr="00B83C93">
        <w:rPr>
          <w:rStyle w:val="normaltextrun"/>
          <w:noProof/>
        </w:rPr>
        <w:t>5</w:t>
      </w:r>
      <w:r w:rsidRPr="008B4DA2">
        <w:rPr>
          <w:rStyle w:val="normaltextrun"/>
          <w:noProof/>
        </w:rPr>
        <w:t xml:space="preserve"> </w:t>
      </w:r>
      <w:r w:rsidRPr="00B83C93">
        <w:rPr>
          <w:rStyle w:val="normaltextrun"/>
          <w:noProof/>
        </w:rPr>
        <w:t>ust.</w:t>
      </w:r>
      <w:r w:rsidR="00B83C93" w:rsidRPr="00B83C93">
        <w:rPr>
          <w:rStyle w:val="normaltextrun"/>
          <w:noProof/>
        </w:rPr>
        <w:t> </w:t>
      </w:r>
      <w:r w:rsidRPr="00B83C93">
        <w:rPr>
          <w:rStyle w:val="normaltextrun"/>
          <w:noProof/>
        </w:rPr>
        <w:t>6</w:t>
      </w:r>
      <w:r w:rsidRPr="008B4DA2">
        <w:rPr>
          <w:rStyle w:val="normaltextrun"/>
          <w:noProof/>
        </w:rPr>
        <w:t xml:space="preserve">, </w:t>
      </w:r>
      <w:r w:rsidRPr="00B83C93">
        <w:rPr>
          <w:rStyle w:val="normaltextrun"/>
          <w:noProof/>
        </w:rPr>
        <w:t>art.</w:t>
      </w:r>
      <w:r w:rsidR="00B83C93" w:rsidRPr="00B83C93">
        <w:rPr>
          <w:rStyle w:val="normaltextrun"/>
          <w:noProof/>
        </w:rPr>
        <w:t> </w:t>
      </w:r>
      <w:r w:rsidRPr="00B83C93">
        <w:rPr>
          <w:rStyle w:val="normaltextrun"/>
          <w:noProof/>
        </w:rPr>
        <w:t>8</w:t>
      </w:r>
      <w:r w:rsidRPr="008B4DA2">
        <w:rPr>
          <w:rStyle w:val="normaltextrun"/>
          <w:noProof/>
        </w:rPr>
        <w:t xml:space="preserve"> </w:t>
      </w:r>
      <w:r w:rsidRPr="00B83C93">
        <w:rPr>
          <w:rStyle w:val="normaltextrun"/>
          <w:noProof/>
        </w:rPr>
        <w:t>ust.</w:t>
      </w:r>
      <w:r w:rsidR="00B83C93" w:rsidRPr="00B83C93">
        <w:rPr>
          <w:rStyle w:val="normaltextrun"/>
          <w:noProof/>
        </w:rPr>
        <w:t> </w:t>
      </w:r>
      <w:r w:rsidRPr="00B83C93">
        <w:rPr>
          <w:rStyle w:val="normaltextrun"/>
          <w:noProof/>
        </w:rPr>
        <w:t>2</w:t>
      </w:r>
      <w:r w:rsidRPr="008B4DA2">
        <w:rPr>
          <w:rStyle w:val="normaltextrun"/>
          <w:noProof/>
        </w:rPr>
        <w:t xml:space="preserve">, </w:t>
      </w:r>
      <w:r w:rsidRPr="00B83C93">
        <w:rPr>
          <w:rStyle w:val="normaltextrun"/>
          <w:noProof/>
        </w:rPr>
        <w:t>art.</w:t>
      </w:r>
      <w:r w:rsidR="00B83C93" w:rsidRPr="00B83C93">
        <w:rPr>
          <w:rStyle w:val="normaltextrun"/>
          <w:noProof/>
        </w:rPr>
        <w:t> </w:t>
      </w:r>
      <w:r w:rsidRPr="00B83C93">
        <w:rPr>
          <w:rStyle w:val="normaltextrun"/>
          <w:noProof/>
        </w:rPr>
        <w:t>1</w:t>
      </w:r>
      <w:r w:rsidRPr="008B4DA2">
        <w:rPr>
          <w:rStyle w:val="normaltextrun"/>
          <w:noProof/>
        </w:rPr>
        <w:t xml:space="preserve">0 </w:t>
      </w:r>
      <w:r w:rsidRPr="00B83C93">
        <w:rPr>
          <w:rStyle w:val="normaltextrun"/>
          <w:noProof/>
        </w:rPr>
        <w:t>ust.</w:t>
      </w:r>
      <w:r w:rsidR="00B83C93" w:rsidRPr="00B83C93">
        <w:rPr>
          <w:rStyle w:val="normaltextrun"/>
          <w:noProof/>
        </w:rPr>
        <w:t> </w:t>
      </w:r>
      <w:r w:rsidRPr="00B83C93">
        <w:rPr>
          <w:rStyle w:val="normaltextrun"/>
          <w:noProof/>
        </w:rPr>
        <w:t>8</w:t>
      </w:r>
      <w:r w:rsidR="00B83C93" w:rsidRPr="008B4DA2">
        <w:rPr>
          <w:rStyle w:val="normaltextrun"/>
          <w:noProof/>
        </w:rPr>
        <w:t xml:space="preserve"> i</w:t>
      </w:r>
      <w:r w:rsidR="00B83C93">
        <w:rPr>
          <w:rStyle w:val="normaltextrun"/>
          <w:noProof/>
        </w:rPr>
        <w:t> </w:t>
      </w:r>
      <w:r w:rsidR="00B83C93" w:rsidRPr="00B83C93">
        <w:rPr>
          <w:rStyle w:val="normaltextrun"/>
          <w:noProof/>
        </w:rPr>
        <w:t>art</w:t>
      </w:r>
      <w:r w:rsidRPr="00B83C93">
        <w:rPr>
          <w:rStyle w:val="normaltextrun"/>
          <w:noProof/>
        </w:rPr>
        <w:t>.</w:t>
      </w:r>
      <w:r w:rsidR="00B83C93" w:rsidRPr="00B83C93">
        <w:rPr>
          <w:rStyle w:val="normaltextrun"/>
          <w:noProof/>
        </w:rPr>
        <w:t> </w:t>
      </w:r>
      <w:r w:rsidRPr="00B83C93">
        <w:rPr>
          <w:rStyle w:val="normaltextrun"/>
          <w:noProof/>
        </w:rPr>
        <w:t>1</w:t>
      </w:r>
      <w:r w:rsidRPr="008B4DA2">
        <w:rPr>
          <w:rStyle w:val="normaltextrun"/>
          <w:noProof/>
        </w:rPr>
        <w:t xml:space="preserve">6 </w:t>
      </w:r>
      <w:r w:rsidRPr="00B83C93">
        <w:rPr>
          <w:rStyle w:val="normaltextrun"/>
          <w:noProof/>
        </w:rPr>
        <w:t>ust.</w:t>
      </w:r>
      <w:r w:rsidR="00B83C93" w:rsidRPr="00B83C93">
        <w:rPr>
          <w:rStyle w:val="normaltextrun"/>
          <w:noProof/>
        </w:rPr>
        <w:t> </w:t>
      </w:r>
      <w:r w:rsidRPr="00B83C93">
        <w:rPr>
          <w:rStyle w:val="normaltextrun"/>
          <w:noProof/>
        </w:rPr>
        <w:t>2</w:t>
      </w:r>
      <w:r w:rsidRPr="008B4DA2">
        <w:rPr>
          <w:rStyle w:val="normaltextrun"/>
          <w:noProof/>
        </w:rPr>
        <w:t xml:space="preserve"> wchodzi</w:t>
      </w:r>
      <w:r w:rsidR="00B83C93" w:rsidRPr="008B4DA2">
        <w:rPr>
          <w:rStyle w:val="normaltextrun"/>
          <w:noProof/>
        </w:rPr>
        <w:t xml:space="preserve"> w</w:t>
      </w:r>
      <w:r w:rsidR="00B83C93">
        <w:rPr>
          <w:rStyle w:val="normaltextrun"/>
          <w:noProof/>
        </w:rPr>
        <w:t> </w:t>
      </w:r>
      <w:r w:rsidR="00B83C93" w:rsidRPr="008B4DA2">
        <w:rPr>
          <w:rStyle w:val="normaltextrun"/>
          <w:noProof/>
        </w:rPr>
        <w:t>życ</w:t>
      </w:r>
      <w:r w:rsidRPr="008B4DA2">
        <w:rPr>
          <w:rStyle w:val="normaltextrun"/>
          <w:noProof/>
        </w:rPr>
        <w:t>ie tylko wówczas, gdy ani Parlament Europejski, ani Rada nie wyraziły sprzeciwu</w:t>
      </w:r>
      <w:r w:rsidR="00B83C93" w:rsidRPr="008B4DA2">
        <w:rPr>
          <w:rStyle w:val="normaltextrun"/>
          <w:noProof/>
        </w:rPr>
        <w:t xml:space="preserve"> w</w:t>
      </w:r>
      <w:r w:rsidR="00B83C93">
        <w:rPr>
          <w:rStyle w:val="normaltextrun"/>
          <w:noProof/>
        </w:rPr>
        <w:t> </w:t>
      </w:r>
      <w:r w:rsidR="00B83C93" w:rsidRPr="008B4DA2">
        <w:rPr>
          <w:rStyle w:val="normaltextrun"/>
          <w:noProof/>
        </w:rPr>
        <w:t>ter</w:t>
      </w:r>
      <w:r w:rsidRPr="008B4DA2">
        <w:rPr>
          <w:rStyle w:val="normaltextrun"/>
          <w:noProof/>
        </w:rPr>
        <w:t>minie dwóch miesięcy od przekazania tego aktu Parlamentowi Europejskiemu</w:t>
      </w:r>
      <w:r w:rsidR="00B83C93" w:rsidRPr="008B4DA2">
        <w:rPr>
          <w:rStyle w:val="normaltextrun"/>
          <w:noProof/>
        </w:rPr>
        <w:t xml:space="preserve"> i</w:t>
      </w:r>
      <w:r w:rsidR="00B83C93">
        <w:rPr>
          <w:rStyle w:val="normaltextrun"/>
          <w:noProof/>
        </w:rPr>
        <w:t> </w:t>
      </w:r>
      <w:r w:rsidR="00B83C93" w:rsidRPr="008B4DA2">
        <w:rPr>
          <w:rStyle w:val="normaltextrun"/>
          <w:noProof/>
        </w:rPr>
        <w:t>Rad</w:t>
      </w:r>
      <w:r w:rsidRPr="008B4DA2">
        <w:rPr>
          <w:rStyle w:val="normaltextrun"/>
          <w:noProof/>
        </w:rPr>
        <w:t>zie, lub gdy, przed upływem tego terminu, zarówno Parlament Europejski, jak</w:t>
      </w:r>
      <w:r w:rsidR="00B83C93" w:rsidRPr="008B4DA2">
        <w:rPr>
          <w:rStyle w:val="normaltextrun"/>
          <w:noProof/>
        </w:rPr>
        <w:t xml:space="preserve"> i</w:t>
      </w:r>
      <w:r w:rsidR="00B83C93">
        <w:rPr>
          <w:rStyle w:val="normaltextrun"/>
          <w:noProof/>
        </w:rPr>
        <w:t> </w:t>
      </w:r>
      <w:r w:rsidR="00B83C93" w:rsidRPr="008B4DA2">
        <w:rPr>
          <w:rStyle w:val="normaltextrun"/>
          <w:noProof/>
        </w:rPr>
        <w:t>Rad</w:t>
      </w:r>
      <w:r w:rsidRPr="008B4DA2">
        <w:rPr>
          <w:rStyle w:val="normaltextrun"/>
          <w:noProof/>
        </w:rPr>
        <w:t>a poinformowały Komisję, że nie wniosą sprzeciwu. Termin ten przedłuża się</w:t>
      </w:r>
      <w:r w:rsidR="00B83C93" w:rsidRPr="008B4DA2">
        <w:rPr>
          <w:rStyle w:val="normaltextrun"/>
          <w:noProof/>
        </w:rPr>
        <w:t xml:space="preserve"> o</w:t>
      </w:r>
      <w:r w:rsidR="00B83C93">
        <w:rPr>
          <w:rStyle w:val="normaltextrun"/>
          <w:noProof/>
        </w:rPr>
        <w:t> </w:t>
      </w:r>
      <w:r w:rsidR="00B83C93" w:rsidRPr="008B4DA2">
        <w:rPr>
          <w:rStyle w:val="normaltextrun"/>
          <w:noProof/>
        </w:rPr>
        <w:t>dwa</w:t>
      </w:r>
      <w:r w:rsidRPr="008B4DA2">
        <w:rPr>
          <w:rStyle w:val="normaltextrun"/>
          <w:noProof/>
        </w:rPr>
        <w:t xml:space="preserve"> miesiące</w:t>
      </w:r>
      <w:r w:rsidR="00B83C93" w:rsidRPr="008B4DA2">
        <w:rPr>
          <w:rStyle w:val="normaltextrun"/>
          <w:noProof/>
        </w:rPr>
        <w:t xml:space="preserve"> z</w:t>
      </w:r>
      <w:r w:rsidR="00B83C93">
        <w:rPr>
          <w:rStyle w:val="normaltextrun"/>
          <w:noProof/>
        </w:rPr>
        <w:t> </w:t>
      </w:r>
      <w:r w:rsidR="00B83C93" w:rsidRPr="008B4DA2">
        <w:rPr>
          <w:rStyle w:val="normaltextrun"/>
          <w:noProof/>
        </w:rPr>
        <w:t>ini</w:t>
      </w:r>
      <w:r w:rsidRPr="008B4DA2">
        <w:rPr>
          <w:rStyle w:val="normaltextrun"/>
          <w:noProof/>
        </w:rPr>
        <w:t>cjatywy Parlamentu Europejskiego lub Rady.</w:t>
      </w:r>
      <w:r w:rsidRPr="008B4DA2">
        <w:rPr>
          <w:rStyle w:val="eop"/>
          <w:noProof/>
        </w:rPr>
        <w:t xml:space="preserve"> </w:t>
      </w:r>
    </w:p>
    <w:p w:rsidR="00BD67F9" w:rsidRPr="008B4DA2" w:rsidRDefault="00BD67F9" w:rsidP="00BD67F9">
      <w:pPr>
        <w:pStyle w:val="Titrearticle"/>
        <w:rPr>
          <w:rStyle w:val="normaltextrun"/>
          <w:i w:val="0"/>
          <w:noProof/>
        </w:rPr>
      </w:pPr>
      <w:r w:rsidRPr="008B4DA2">
        <w:rPr>
          <w:rStyle w:val="normaltextrun"/>
          <w:noProof/>
        </w:rPr>
        <w:t>Artykuł 22</w:t>
      </w:r>
    </w:p>
    <w:p w:rsidR="00BD67F9" w:rsidRPr="00B83C93" w:rsidRDefault="00BD67F9" w:rsidP="00BD67F9">
      <w:pPr>
        <w:pStyle w:val="Objetacteprincipal"/>
        <w:rPr>
          <w:rStyle w:val="eop"/>
          <w:noProof/>
        </w:rPr>
      </w:pPr>
      <w:r w:rsidRPr="008B4DA2">
        <w:rPr>
          <w:rStyle w:val="normaltextrun"/>
          <w:noProof/>
        </w:rPr>
        <w:t>Procedura komitetow</w:t>
      </w:r>
      <w:r w:rsidRPr="00B83C93">
        <w:rPr>
          <w:rStyle w:val="normaltextrun"/>
          <w:noProof/>
        </w:rPr>
        <w:t>a</w:t>
      </w:r>
      <w:r w:rsidR="00B83C93" w:rsidRPr="00B83C93">
        <w:rPr>
          <w:rStyle w:val="normaltextrun"/>
          <w:noProof/>
        </w:rPr>
        <w:t xml:space="preserve"> </w:t>
      </w:r>
    </w:p>
    <w:p w:rsidR="00BD67F9" w:rsidRPr="00B83C93" w:rsidRDefault="00DF60AC" w:rsidP="00DF60AC">
      <w:pPr>
        <w:pStyle w:val="ManualNumPar1"/>
        <w:rPr>
          <w:noProof/>
        </w:rPr>
      </w:pPr>
      <w:r w:rsidRPr="008B4DA2">
        <w:rPr>
          <w:noProof/>
        </w:rPr>
        <w:t>1.</w:t>
      </w:r>
      <w:r w:rsidRPr="008B4DA2">
        <w:rPr>
          <w:noProof/>
        </w:rPr>
        <w:tab/>
      </w:r>
      <w:r w:rsidRPr="008B4DA2">
        <w:rPr>
          <w:rStyle w:val="normaltextrun"/>
          <w:noProof/>
        </w:rPr>
        <w:t>Komisja jest wspierana przez komitet ds. praw jazdy. Komitet ten jest komitetem</w:t>
      </w:r>
      <w:r w:rsidR="00B83C93" w:rsidRPr="008B4DA2">
        <w:rPr>
          <w:rStyle w:val="normaltextrun"/>
          <w:noProof/>
        </w:rPr>
        <w:t xml:space="preserve"> w</w:t>
      </w:r>
      <w:r w:rsidR="00B83C93">
        <w:rPr>
          <w:rStyle w:val="normaltextrun"/>
          <w:noProof/>
        </w:rPr>
        <w:t> </w:t>
      </w:r>
      <w:r w:rsidR="00B83C93" w:rsidRPr="008B4DA2">
        <w:rPr>
          <w:rStyle w:val="normaltextrun"/>
          <w:noProof/>
        </w:rPr>
        <w:t>roz</w:t>
      </w:r>
      <w:r w:rsidRPr="008B4DA2">
        <w:rPr>
          <w:rStyle w:val="normaltextrun"/>
          <w:noProof/>
        </w:rPr>
        <w:t>umieniu rozporządzenia (UE) nr 182/2011</w:t>
      </w:r>
      <w:r w:rsidRPr="00B83C93">
        <w:rPr>
          <w:rStyle w:val="normaltextrun"/>
          <w:noProof/>
        </w:rPr>
        <w:t>.</w:t>
      </w:r>
      <w:r w:rsidR="00B83C93" w:rsidRPr="00B83C93">
        <w:rPr>
          <w:rStyle w:val="normaltextrun"/>
          <w:noProof/>
        </w:rPr>
        <w:t xml:space="preserve"> </w:t>
      </w:r>
    </w:p>
    <w:p w:rsidR="00BD67F9" w:rsidRPr="008B4DA2" w:rsidRDefault="00DF60AC" w:rsidP="00DF60AC">
      <w:pPr>
        <w:pStyle w:val="ManualNumPar1"/>
        <w:rPr>
          <w:rStyle w:val="normaltextrun"/>
          <w:noProof/>
        </w:rPr>
      </w:pPr>
      <w:r w:rsidRPr="008B4DA2">
        <w:rPr>
          <w:rStyle w:val="normaltextrun"/>
          <w:noProof/>
        </w:rPr>
        <w:t>2.</w:t>
      </w:r>
      <w:r w:rsidRPr="008B4DA2">
        <w:rPr>
          <w:noProof/>
        </w:rPr>
        <w:tab/>
      </w:r>
      <w:r w:rsidRPr="008B4DA2">
        <w:rPr>
          <w:rStyle w:val="normaltextrun"/>
          <w:noProof/>
        </w:rPr>
        <w:t xml:space="preserve">W przypadku odesłania do niniejszego ustępu stosuje się </w:t>
      </w:r>
      <w:r w:rsidRPr="00B83C93">
        <w:rPr>
          <w:rStyle w:val="normaltextrun"/>
          <w:noProof/>
        </w:rPr>
        <w:t>art.</w:t>
      </w:r>
      <w:r w:rsidR="00B83C93" w:rsidRPr="00B83C93">
        <w:rPr>
          <w:rStyle w:val="normaltextrun"/>
          <w:noProof/>
        </w:rPr>
        <w:t> </w:t>
      </w:r>
      <w:r w:rsidRPr="00B83C93">
        <w:rPr>
          <w:rStyle w:val="normaltextrun"/>
          <w:noProof/>
        </w:rPr>
        <w:t>5</w:t>
      </w:r>
      <w:r w:rsidRPr="008B4DA2">
        <w:rPr>
          <w:rStyle w:val="normaltextrun"/>
          <w:noProof/>
        </w:rPr>
        <w:t xml:space="preserve"> rozporządzenia (UE) nr 182/2011. </w:t>
      </w:r>
    </w:p>
    <w:p w:rsidR="00BD67F9" w:rsidRPr="008B4DA2" w:rsidRDefault="00BD67F9" w:rsidP="005B2A2F">
      <w:pPr>
        <w:pStyle w:val="Text1"/>
        <w:rPr>
          <w:rStyle w:val="normaltextrun"/>
          <w:noProof/>
        </w:rPr>
      </w:pPr>
      <w:r w:rsidRPr="008B4DA2">
        <w:rPr>
          <w:rStyle w:val="normaltextrun"/>
          <w:noProof/>
        </w:rPr>
        <w:t>W przypadku gdy opinia komitetu ma zostać uzyskana</w:t>
      </w:r>
      <w:r w:rsidR="00B83C93" w:rsidRPr="008B4DA2">
        <w:rPr>
          <w:rStyle w:val="normaltextrun"/>
          <w:noProof/>
        </w:rPr>
        <w:t xml:space="preserve"> w</w:t>
      </w:r>
      <w:r w:rsidR="00B83C93">
        <w:rPr>
          <w:rStyle w:val="normaltextrun"/>
          <w:noProof/>
        </w:rPr>
        <w:t> </w:t>
      </w:r>
      <w:r w:rsidR="00B83C93" w:rsidRPr="008B4DA2">
        <w:rPr>
          <w:rStyle w:val="normaltextrun"/>
          <w:noProof/>
        </w:rPr>
        <w:t>dro</w:t>
      </w:r>
      <w:r w:rsidRPr="008B4DA2">
        <w:rPr>
          <w:rStyle w:val="normaltextrun"/>
          <w:noProof/>
        </w:rPr>
        <w:t>dze procedury pisemnej, procedura ta kończy się bez osiągnięcia rezultatu, gdy – przed upływem terminu na wydanie opinii – zdecyduje</w:t>
      </w:r>
      <w:r w:rsidR="00B83C93" w:rsidRPr="008B4DA2">
        <w:rPr>
          <w:rStyle w:val="normaltextrun"/>
          <w:noProof/>
        </w:rPr>
        <w:t xml:space="preserve"> o</w:t>
      </w:r>
      <w:r w:rsidR="00B83C93">
        <w:rPr>
          <w:rStyle w:val="normaltextrun"/>
          <w:noProof/>
        </w:rPr>
        <w:t> </w:t>
      </w:r>
      <w:r w:rsidR="00B83C93" w:rsidRPr="008B4DA2">
        <w:rPr>
          <w:rStyle w:val="normaltextrun"/>
          <w:noProof/>
        </w:rPr>
        <w:t>tym</w:t>
      </w:r>
      <w:r w:rsidRPr="008B4DA2">
        <w:rPr>
          <w:rStyle w:val="normaltextrun"/>
          <w:noProof/>
        </w:rPr>
        <w:t xml:space="preserve"> przewodniczący komitetu lub wniesie o to zwykła większość członków komitetu. </w:t>
      </w:r>
    </w:p>
    <w:p w:rsidR="00BD67F9" w:rsidRPr="008B4DA2" w:rsidRDefault="00BD67F9" w:rsidP="005B2A2F">
      <w:pPr>
        <w:pStyle w:val="Text1"/>
        <w:rPr>
          <w:rStyle w:val="normaltextrun"/>
          <w:noProof/>
        </w:rPr>
      </w:pPr>
      <w:r w:rsidRPr="008B4DA2">
        <w:rPr>
          <w:rStyle w:val="normaltextrun"/>
          <w:noProof/>
        </w:rPr>
        <w:t>W przypadku gdy komitet nie wyda żadnej opinii, Komisja nie przyjmuje aktu wykonawczego</w:t>
      </w:r>
      <w:r w:rsidR="00B83C93" w:rsidRPr="008B4DA2">
        <w:rPr>
          <w:rStyle w:val="normaltextrun"/>
          <w:noProof/>
        </w:rPr>
        <w:t xml:space="preserve"> i</w:t>
      </w:r>
      <w:r w:rsidR="00B83C93">
        <w:rPr>
          <w:rStyle w:val="normaltextrun"/>
          <w:noProof/>
        </w:rPr>
        <w:t> </w:t>
      </w:r>
      <w:r w:rsidR="00B83C93" w:rsidRPr="008B4DA2">
        <w:rPr>
          <w:rStyle w:val="normaltextrun"/>
          <w:noProof/>
        </w:rPr>
        <w:t>sto</w:t>
      </w:r>
      <w:r w:rsidRPr="008B4DA2">
        <w:rPr>
          <w:rStyle w:val="normaltextrun"/>
          <w:noProof/>
        </w:rPr>
        <w:t>suje się art. 5 ust. 4 akapit trzeci rozporządzenia (UE) nr 182/2011.</w:t>
      </w:r>
    </w:p>
    <w:p w:rsidR="00BD67F9" w:rsidRPr="008B4DA2" w:rsidRDefault="00DF60AC" w:rsidP="00DF60AC">
      <w:pPr>
        <w:pStyle w:val="ManualNumPar1"/>
        <w:rPr>
          <w:noProof/>
        </w:rPr>
      </w:pPr>
      <w:r w:rsidRPr="008B4DA2">
        <w:rPr>
          <w:noProof/>
        </w:rPr>
        <w:t>3.</w:t>
      </w:r>
      <w:r w:rsidRPr="008B4DA2">
        <w:rPr>
          <w:noProof/>
        </w:rPr>
        <w:tab/>
        <w:t xml:space="preserve">W przypadku odesłania do niniejszego ustępu stosuje się </w:t>
      </w:r>
      <w:r w:rsidRPr="00B83C93">
        <w:rPr>
          <w:noProof/>
        </w:rPr>
        <w:t>art.</w:t>
      </w:r>
      <w:r w:rsidR="00B83C93" w:rsidRPr="00B83C93">
        <w:rPr>
          <w:noProof/>
        </w:rPr>
        <w:t> </w:t>
      </w:r>
      <w:r w:rsidRPr="00B83C93">
        <w:rPr>
          <w:noProof/>
        </w:rPr>
        <w:t>8</w:t>
      </w:r>
      <w:r w:rsidRPr="008B4DA2">
        <w:rPr>
          <w:noProof/>
        </w:rPr>
        <w:t xml:space="preserve"> rozporządzenia (UE) nr 182/2011. </w:t>
      </w:r>
    </w:p>
    <w:p w:rsidR="00BD67F9" w:rsidRPr="008B4DA2" w:rsidRDefault="00BD67F9" w:rsidP="00BD67F9">
      <w:pPr>
        <w:pStyle w:val="Titrearticle"/>
        <w:rPr>
          <w:rStyle w:val="normaltextrun"/>
          <w:noProof/>
        </w:rPr>
      </w:pPr>
      <w:r w:rsidRPr="008B4DA2">
        <w:rPr>
          <w:rStyle w:val="normaltextrun"/>
          <w:noProof/>
        </w:rPr>
        <w:t>Artykuł 23</w:t>
      </w:r>
    </w:p>
    <w:p w:rsidR="00BD67F9" w:rsidRPr="008B4DA2" w:rsidRDefault="00BD67F9" w:rsidP="00BD67F9">
      <w:pPr>
        <w:pStyle w:val="Objetacteprincipal"/>
        <w:rPr>
          <w:rStyle w:val="normaltextrun"/>
          <w:noProof/>
        </w:rPr>
      </w:pPr>
      <w:r w:rsidRPr="008B4DA2">
        <w:rPr>
          <w:rStyle w:val="normaltextrun"/>
          <w:noProof/>
        </w:rPr>
        <w:t>Zmiany</w:t>
      </w:r>
      <w:r w:rsidR="00B83C93" w:rsidRPr="008B4DA2">
        <w:rPr>
          <w:rStyle w:val="normaltextrun"/>
          <w:noProof/>
        </w:rPr>
        <w:t xml:space="preserve"> w</w:t>
      </w:r>
      <w:r w:rsidR="00B83C93">
        <w:rPr>
          <w:rStyle w:val="normaltextrun"/>
          <w:noProof/>
        </w:rPr>
        <w:t> </w:t>
      </w:r>
      <w:r w:rsidR="00B83C93" w:rsidRPr="008B4DA2">
        <w:rPr>
          <w:rStyle w:val="normaltextrun"/>
          <w:noProof/>
        </w:rPr>
        <w:t>dyr</w:t>
      </w:r>
      <w:r w:rsidRPr="008B4DA2">
        <w:rPr>
          <w:rStyle w:val="normaltextrun"/>
          <w:noProof/>
        </w:rPr>
        <w:t>ektywie (UE) 2022/2561</w:t>
      </w:r>
    </w:p>
    <w:p w:rsidR="00BD67F9" w:rsidRPr="008B4DA2" w:rsidRDefault="00BD67F9" w:rsidP="00BD67F9">
      <w:pPr>
        <w:rPr>
          <w:rStyle w:val="normaltextrun"/>
          <w:noProof/>
        </w:rPr>
      </w:pPr>
      <w:r w:rsidRPr="008B4DA2">
        <w:rPr>
          <w:rStyle w:val="normaltextrun"/>
          <w:noProof/>
        </w:rPr>
        <w:t xml:space="preserve">W </w:t>
      </w:r>
      <w:r w:rsidRPr="00B83C93">
        <w:rPr>
          <w:rStyle w:val="normaltextrun"/>
          <w:noProof/>
        </w:rPr>
        <w:t>art.</w:t>
      </w:r>
      <w:r w:rsidR="00B83C93" w:rsidRPr="00B83C93">
        <w:rPr>
          <w:rStyle w:val="normaltextrun"/>
          <w:noProof/>
        </w:rPr>
        <w:t> </w:t>
      </w:r>
      <w:r w:rsidRPr="00B83C93">
        <w:rPr>
          <w:rStyle w:val="normaltextrun"/>
          <w:noProof/>
        </w:rPr>
        <w:t>5</w:t>
      </w:r>
      <w:r w:rsidRPr="008B4DA2">
        <w:rPr>
          <w:rStyle w:val="normaltextrun"/>
          <w:noProof/>
        </w:rPr>
        <w:t xml:space="preserve"> </w:t>
      </w:r>
      <w:r w:rsidRPr="00B83C93">
        <w:rPr>
          <w:rStyle w:val="normaltextrun"/>
          <w:noProof/>
        </w:rPr>
        <w:t>ust.</w:t>
      </w:r>
      <w:r w:rsidR="00B83C93" w:rsidRPr="00B83C93">
        <w:rPr>
          <w:rStyle w:val="normaltextrun"/>
          <w:noProof/>
        </w:rPr>
        <w:t> </w:t>
      </w:r>
      <w:r w:rsidRPr="00B83C93">
        <w:rPr>
          <w:rStyle w:val="normaltextrun"/>
          <w:noProof/>
        </w:rPr>
        <w:t>2</w:t>
      </w:r>
      <w:r w:rsidRPr="008B4DA2">
        <w:rPr>
          <w:rStyle w:val="normaltextrun"/>
          <w:noProof/>
        </w:rPr>
        <w:t xml:space="preserve"> dyrektywy (UE) </w:t>
      </w:r>
      <w:bookmarkStart w:id="6" w:name="_Hlk123891198"/>
      <w:r w:rsidRPr="008B4DA2">
        <w:rPr>
          <w:rStyle w:val="normaltextrun"/>
          <w:noProof/>
        </w:rPr>
        <w:t>2022/2561</w:t>
      </w:r>
      <w:bookmarkEnd w:id="6"/>
      <w:r w:rsidRPr="008B4DA2">
        <w:rPr>
          <w:rStyle w:val="normaltextrun"/>
          <w:noProof/>
        </w:rPr>
        <w:t xml:space="preserve"> dodaje się literę c)</w:t>
      </w:r>
      <w:r w:rsidR="00B83C93" w:rsidRPr="008B4DA2">
        <w:rPr>
          <w:rStyle w:val="normaltextrun"/>
          <w:noProof/>
        </w:rPr>
        <w:t xml:space="preserve"> w</w:t>
      </w:r>
      <w:r w:rsidR="00B83C93">
        <w:rPr>
          <w:rStyle w:val="normaltextrun"/>
          <w:noProof/>
        </w:rPr>
        <w:t> </w:t>
      </w:r>
      <w:r w:rsidR="00B83C93" w:rsidRPr="008B4DA2">
        <w:rPr>
          <w:rStyle w:val="normaltextrun"/>
          <w:noProof/>
        </w:rPr>
        <w:t>brz</w:t>
      </w:r>
      <w:r w:rsidRPr="008B4DA2">
        <w:rPr>
          <w:rStyle w:val="normaltextrun"/>
          <w:noProof/>
        </w:rPr>
        <w:t>mieniu:</w:t>
      </w:r>
    </w:p>
    <w:p w:rsidR="00BD67F9" w:rsidRPr="00B83C93" w:rsidRDefault="00BD67F9" w:rsidP="00BD67F9">
      <w:pPr>
        <w:rPr>
          <w:rStyle w:val="normaltextrun"/>
          <w:noProof/>
        </w:rPr>
      </w:pPr>
      <w:r w:rsidRPr="008B4DA2">
        <w:rPr>
          <w:rStyle w:val="normaltextrun"/>
          <w:noProof/>
        </w:rPr>
        <w:t xml:space="preserve">„c) </w:t>
      </w:r>
      <w:r w:rsidRPr="00B83C93">
        <w:rPr>
          <w:rStyle w:val="normaltextrun"/>
          <w:noProof/>
        </w:rPr>
        <w:t>od</w:t>
      </w:r>
      <w:r w:rsidR="00B83C93" w:rsidRPr="00B83C93">
        <w:rPr>
          <w:rStyle w:val="normaltextrun"/>
          <w:noProof/>
        </w:rPr>
        <w:t> </w:t>
      </w:r>
      <w:r w:rsidRPr="00B83C93">
        <w:rPr>
          <w:rStyle w:val="normaltextrun"/>
          <w:noProof/>
        </w:rPr>
        <w:t>1</w:t>
      </w:r>
      <w:r w:rsidRPr="008B4DA2">
        <w:rPr>
          <w:rStyle w:val="normaltextrun"/>
          <w:noProof/>
        </w:rPr>
        <w:t>7 roku życia pojazd, dla którego wymaga się prawa jazdy kategorii C,</w:t>
      </w:r>
      <w:r w:rsidR="00B83C93" w:rsidRPr="008B4DA2">
        <w:rPr>
          <w:rStyle w:val="normaltextrun"/>
          <w:noProof/>
        </w:rPr>
        <w:t xml:space="preserve"> o</w:t>
      </w:r>
      <w:r w:rsidR="00B83C93">
        <w:rPr>
          <w:rStyle w:val="normaltextrun"/>
          <w:noProof/>
        </w:rPr>
        <w:t> </w:t>
      </w:r>
      <w:r w:rsidR="00B83C93" w:rsidRPr="008B4DA2">
        <w:rPr>
          <w:rStyle w:val="normaltextrun"/>
          <w:noProof/>
        </w:rPr>
        <w:t>ile</w:t>
      </w:r>
      <w:r w:rsidRPr="008B4DA2">
        <w:rPr>
          <w:rStyle w:val="normaltextrun"/>
          <w:noProof/>
        </w:rPr>
        <w:t xml:space="preserve"> posiadają ŚKZ określone</w:t>
      </w:r>
      <w:r w:rsidR="00B83C93" w:rsidRPr="008B4DA2">
        <w:rPr>
          <w:rStyle w:val="normaltextrun"/>
          <w:noProof/>
        </w:rPr>
        <w:t xml:space="preserve"> w</w:t>
      </w:r>
      <w:r w:rsidR="00B83C93">
        <w:rPr>
          <w:rStyle w:val="normaltextrun"/>
          <w:noProof/>
        </w:rPr>
        <w:t> </w:t>
      </w:r>
      <w:r w:rsidR="00B83C93" w:rsidRPr="00B83C93">
        <w:rPr>
          <w:rStyle w:val="normaltextrun"/>
          <w:noProof/>
        </w:rPr>
        <w:t>art</w:t>
      </w:r>
      <w:r w:rsidRPr="00B83C93">
        <w:rPr>
          <w:rStyle w:val="normaltextrun"/>
          <w:noProof/>
        </w:rPr>
        <w:t>.</w:t>
      </w:r>
      <w:r w:rsidR="00B83C93" w:rsidRPr="00B83C93">
        <w:rPr>
          <w:rStyle w:val="normaltextrun"/>
          <w:noProof/>
        </w:rPr>
        <w:t> </w:t>
      </w:r>
      <w:r w:rsidRPr="00B83C93">
        <w:rPr>
          <w:rStyle w:val="normaltextrun"/>
          <w:noProof/>
        </w:rPr>
        <w:t>6</w:t>
      </w:r>
      <w:r w:rsidRPr="008B4DA2">
        <w:rPr>
          <w:rStyle w:val="normaltextrun"/>
          <w:noProof/>
        </w:rPr>
        <w:t xml:space="preserve"> </w:t>
      </w:r>
      <w:r w:rsidRPr="00B83C93">
        <w:rPr>
          <w:rStyle w:val="normaltextrun"/>
          <w:noProof/>
        </w:rPr>
        <w:t>ust.</w:t>
      </w:r>
      <w:r w:rsidR="00B83C93" w:rsidRPr="00B83C93">
        <w:rPr>
          <w:rStyle w:val="normaltextrun"/>
          <w:noProof/>
        </w:rPr>
        <w:t> </w:t>
      </w:r>
      <w:r w:rsidRPr="00B83C93">
        <w:rPr>
          <w:rStyle w:val="normaltextrun"/>
          <w:noProof/>
        </w:rPr>
        <w:t>1</w:t>
      </w:r>
      <w:r w:rsidRPr="008B4DA2">
        <w:rPr>
          <w:rStyle w:val="normaltextrun"/>
          <w:noProof/>
        </w:rPr>
        <w:t>,</w:t>
      </w:r>
      <w:r w:rsidR="00B83C93" w:rsidRPr="008B4DA2">
        <w:rPr>
          <w:rStyle w:val="normaltextrun"/>
          <w:noProof/>
        </w:rPr>
        <w:t xml:space="preserve"> i</w:t>
      </w:r>
      <w:r w:rsidR="00B83C93">
        <w:rPr>
          <w:rStyle w:val="normaltextrun"/>
          <w:noProof/>
        </w:rPr>
        <w:t> </w:t>
      </w:r>
      <w:r w:rsidR="00B83C93" w:rsidRPr="008B4DA2">
        <w:rPr>
          <w:rStyle w:val="normaltextrun"/>
          <w:noProof/>
        </w:rPr>
        <w:t>wył</w:t>
      </w:r>
      <w:r w:rsidRPr="008B4DA2">
        <w:rPr>
          <w:rStyle w:val="normaltextrun"/>
          <w:noProof/>
        </w:rPr>
        <w:t>ącznie na warunkach przewidzianych</w:t>
      </w:r>
      <w:r w:rsidR="00B83C93" w:rsidRPr="008B4DA2">
        <w:rPr>
          <w:rStyle w:val="normaltextrun"/>
          <w:noProof/>
        </w:rPr>
        <w:t xml:space="preserve"> w</w:t>
      </w:r>
      <w:r w:rsidR="00B83C93">
        <w:rPr>
          <w:rStyle w:val="normaltextrun"/>
          <w:noProof/>
        </w:rPr>
        <w:t> </w:t>
      </w:r>
      <w:r w:rsidR="00B83C93" w:rsidRPr="00B83C93">
        <w:rPr>
          <w:rStyle w:val="normaltextrun"/>
          <w:noProof/>
        </w:rPr>
        <w:t>art</w:t>
      </w:r>
      <w:r w:rsidRPr="00B83C93">
        <w:rPr>
          <w:rStyle w:val="normaltextrun"/>
          <w:noProof/>
        </w:rPr>
        <w:t>.</w:t>
      </w:r>
      <w:r w:rsidR="00B83C93" w:rsidRPr="00B83C93">
        <w:rPr>
          <w:rStyle w:val="normaltextrun"/>
          <w:noProof/>
        </w:rPr>
        <w:t> </w:t>
      </w:r>
      <w:r w:rsidRPr="00B83C93">
        <w:rPr>
          <w:rStyle w:val="normaltextrun"/>
          <w:noProof/>
        </w:rPr>
        <w:t>1</w:t>
      </w:r>
      <w:r w:rsidRPr="008B4DA2">
        <w:rPr>
          <w:rStyle w:val="normaltextrun"/>
          <w:noProof/>
        </w:rPr>
        <w:t xml:space="preserve">4 </w:t>
      </w:r>
      <w:r w:rsidRPr="00B83C93">
        <w:rPr>
          <w:rStyle w:val="normaltextrun"/>
          <w:noProof/>
        </w:rPr>
        <w:t>ust.</w:t>
      </w:r>
      <w:r w:rsidR="00B83C93" w:rsidRPr="00B83C93">
        <w:rPr>
          <w:rStyle w:val="normaltextrun"/>
          <w:noProof/>
        </w:rPr>
        <w:t> </w:t>
      </w:r>
      <w:r w:rsidRPr="00B83C93">
        <w:rPr>
          <w:rStyle w:val="normaltextrun"/>
          <w:noProof/>
        </w:rPr>
        <w:t>2</w:t>
      </w:r>
      <w:r w:rsidRPr="008B4DA2">
        <w:rPr>
          <w:rStyle w:val="normaltextrun"/>
          <w:noProof/>
        </w:rPr>
        <w:t xml:space="preserve"> dyrektywy [ODNIESIENIE DO NINIEJSZEJ DYREKTYWY];”</w:t>
      </w:r>
      <w:r w:rsidRPr="00B83C93">
        <w:rPr>
          <w:rStyle w:val="normaltextrun"/>
          <w:noProof/>
        </w:rPr>
        <w:t>.</w:t>
      </w:r>
      <w:r w:rsidR="00B83C93" w:rsidRPr="00B83C93">
        <w:rPr>
          <w:rStyle w:val="normaltextrun"/>
          <w:noProof/>
        </w:rPr>
        <w:t xml:space="preserve"> </w:t>
      </w:r>
    </w:p>
    <w:p w:rsidR="00BD67F9" w:rsidRPr="008B4DA2" w:rsidRDefault="00BD67F9" w:rsidP="00BD67F9">
      <w:pPr>
        <w:rPr>
          <w:rStyle w:val="normaltextrun"/>
          <w:noProof/>
        </w:rPr>
      </w:pPr>
    </w:p>
    <w:p w:rsidR="00BD67F9" w:rsidRPr="008B4DA2" w:rsidRDefault="00BD67F9" w:rsidP="00BD67F9">
      <w:pPr>
        <w:pStyle w:val="Titrearticle"/>
        <w:rPr>
          <w:rStyle w:val="normaltextrun"/>
          <w:noProof/>
        </w:rPr>
      </w:pPr>
      <w:r w:rsidRPr="008B4DA2">
        <w:rPr>
          <w:rStyle w:val="normaltextrun"/>
          <w:noProof/>
        </w:rPr>
        <w:t>Artykuł 24</w:t>
      </w:r>
    </w:p>
    <w:p w:rsidR="00BD67F9" w:rsidRPr="008B4DA2" w:rsidRDefault="00BD67F9" w:rsidP="00BD67F9">
      <w:pPr>
        <w:pStyle w:val="Objetacteprincipal"/>
        <w:rPr>
          <w:rStyle w:val="normaltextrun"/>
          <w:noProof/>
        </w:rPr>
      </w:pPr>
      <w:r w:rsidRPr="008B4DA2">
        <w:rPr>
          <w:rStyle w:val="normaltextrun"/>
          <w:noProof/>
        </w:rPr>
        <w:t>Zmiany</w:t>
      </w:r>
      <w:r w:rsidR="00B83C93" w:rsidRPr="008B4DA2">
        <w:rPr>
          <w:rStyle w:val="normaltextrun"/>
          <w:noProof/>
        </w:rPr>
        <w:t xml:space="preserve"> w</w:t>
      </w:r>
      <w:r w:rsidR="00B83C93">
        <w:rPr>
          <w:rStyle w:val="normaltextrun"/>
          <w:noProof/>
        </w:rPr>
        <w:t> </w:t>
      </w:r>
      <w:r w:rsidR="00B83C93" w:rsidRPr="008B4DA2">
        <w:rPr>
          <w:rStyle w:val="normaltextrun"/>
          <w:noProof/>
        </w:rPr>
        <w:t>roz</w:t>
      </w:r>
      <w:r w:rsidRPr="008B4DA2">
        <w:rPr>
          <w:rStyle w:val="normaltextrun"/>
          <w:noProof/>
        </w:rPr>
        <w:t>porządzeniu (UE) 2018/1724</w:t>
      </w:r>
    </w:p>
    <w:p w:rsidR="00BD67F9" w:rsidRPr="008B4DA2" w:rsidRDefault="00BD67F9" w:rsidP="00BD67F9">
      <w:pPr>
        <w:rPr>
          <w:noProof/>
          <w:sz w:val="22"/>
        </w:rPr>
      </w:pPr>
      <w:r w:rsidRPr="008B4DA2">
        <w:rPr>
          <w:noProof/>
        </w:rPr>
        <w:t xml:space="preserve">W załączniku II do rozporządzenia (UE) 2018/1724 </w:t>
      </w:r>
      <w:r w:rsidRPr="008B4DA2">
        <w:rPr>
          <w:rStyle w:val="normaltextrun"/>
          <w:noProof/>
        </w:rPr>
        <w:t>wprowadza się następujące zmiany</w:t>
      </w:r>
      <w:r w:rsidRPr="008B4DA2">
        <w:rPr>
          <w:noProof/>
        </w:rPr>
        <w:t>:</w:t>
      </w:r>
    </w:p>
    <w:p w:rsidR="00BD67F9" w:rsidRPr="008B4DA2" w:rsidRDefault="00DF60AC" w:rsidP="00DF60AC">
      <w:pPr>
        <w:pStyle w:val="Point1"/>
        <w:rPr>
          <w:rStyle w:val="normaltextrun"/>
          <w:noProof/>
        </w:rPr>
      </w:pPr>
      <w:r w:rsidRPr="008B4DA2">
        <w:rPr>
          <w:rStyle w:val="normaltextrun"/>
          <w:noProof/>
        </w:rPr>
        <w:t>a)</w:t>
      </w:r>
      <w:r w:rsidRPr="008B4DA2">
        <w:rPr>
          <w:noProof/>
        </w:rPr>
        <w:tab/>
      </w:r>
      <w:r w:rsidRPr="008B4DA2">
        <w:rPr>
          <w:rStyle w:val="normaltextrun"/>
          <w:noProof/>
        </w:rPr>
        <w:t>w drugiej kolumnie, należącej do wiersza „Przeprowadzka”, dodaje się komórkę</w:t>
      </w:r>
      <w:r w:rsidR="00B83C93" w:rsidRPr="008B4DA2">
        <w:rPr>
          <w:rStyle w:val="normaltextrun"/>
          <w:noProof/>
        </w:rPr>
        <w:t xml:space="preserve"> w</w:t>
      </w:r>
      <w:r w:rsidR="00B83C93">
        <w:rPr>
          <w:rStyle w:val="normaltextrun"/>
          <w:noProof/>
        </w:rPr>
        <w:t> </w:t>
      </w:r>
      <w:r w:rsidR="00B83C93" w:rsidRPr="008B4DA2">
        <w:rPr>
          <w:rStyle w:val="normaltextrun"/>
          <w:noProof/>
        </w:rPr>
        <w:t>brz</w:t>
      </w:r>
      <w:r w:rsidRPr="008B4DA2">
        <w:rPr>
          <w:rStyle w:val="normaltextrun"/>
          <w:noProof/>
        </w:rPr>
        <w:t>mieniu: „Uzyskanie</w:t>
      </w:r>
      <w:r w:rsidR="00B83C93" w:rsidRPr="008B4DA2">
        <w:rPr>
          <w:rStyle w:val="normaltextrun"/>
          <w:noProof/>
        </w:rPr>
        <w:t xml:space="preserve"> i</w:t>
      </w:r>
      <w:r w:rsidR="00B83C93">
        <w:rPr>
          <w:rStyle w:val="normaltextrun"/>
          <w:noProof/>
        </w:rPr>
        <w:t> </w:t>
      </w:r>
      <w:r w:rsidR="00B83C93" w:rsidRPr="008B4DA2">
        <w:rPr>
          <w:rStyle w:val="normaltextrun"/>
          <w:noProof/>
        </w:rPr>
        <w:t>prz</w:t>
      </w:r>
      <w:r w:rsidRPr="008B4DA2">
        <w:rPr>
          <w:rStyle w:val="normaltextrun"/>
          <w:noProof/>
        </w:rPr>
        <w:t>edłużenie ważności prawa jazdy”;</w:t>
      </w:r>
    </w:p>
    <w:p w:rsidR="00BD67F9" w:rsidRPr="008B4DA2" w:rsidRDefault="00DF60AC" w:rsidP="00DF60AC">
      <w:pPr>
        <w:pStyle w:val="Point1"/>
        <w:rPr>
          <w:rStyle w:val="normaltextrun"/>
          <w:noProof/>
        </w:rPr>
      </w:pPr>
      <w:r w:rsidRPr="008B4DA2">
        <w:rPr>
          <w:rStyle w:val="normaltextrun"/>
          <w:noProof/>
        </w:rPr>
        <w:t>b)</w:t>
      </w:r>
      <w:r w:rsidRPr="008B4DA2">
        <w:rPr>
          <w:noProof/>
        </w:rPr>
        <w:tab/>
      </w:r>
      <w:r w:rsidRPr="008B4DA2">
        <w:rPr>
          <w:rStyle w:val="normaltextrun"/>
          <w:noProof/>
        </w:rPr>
        <w:t>w trzeciej kolumnie, należącej do wiersza „Przeprowadzka”, dodaje się komórkę</w:t>
      </w:r>
      <w:r w:rsidR="00B83C93" w:rsidRPr="008B4DA2">
        <w:rPr>
          <w:rStyle w:val="normaltextrun"/>
          <w:noProof/>
        </w:rPr>
        <w:t xml:space="preserve"> w</w:t>
      </w:r>
      <w:r w:rsidR="00B83C93">
        <w:rPr>
          <w:rStyle w:val="normaltextrun"/>
          <w:noProof/>
        </w:rPr>
        <w:t> </w:t>
      </w:r>
      <w:r w:rsidR="00B83C93" w:rsidRPr="008B4DA2">
        <w:rPr>
          <w:rStyle w:val="normaltextrun"/>
          <w:noProof/>
        </w:rPr>
        <w:t>brz</w:t>
      </w:r>
      <w:r w:rsidRPr="008B4DA2">
        <w:rPr>
          <w:rStyle w:val="normaltextrun"/>
          <w:noProof/>
        </w:rPr>
        <w:t>mieniu: „Wydanie, wymiana</w:t>
      </w:r>
      <w:r w:rsidR="00B83C93" w:rsidRPr="008B4DA2">
        <w:rPr>
          <w:rStyle w:val="normaltextrun"/>
          <w:noProof/>
        </w:rPr>
        <w:t xml:space="preserve"> i</w:t>
      </w:r>
      <w:r w:rsidR="00B83C93">
        <w:rPr>
          <w:rStyle w:val="normaltextrun"/>
          <w:noProof/>
        </w:rPr>
        <w:t> </w:t>
      </w:r>
      <w:r w:rsidR="00B83C93" w:rsidRPr="008B4DA2">
        <w:rPr>
          <w:rStyle w:val="normaltextrun"/>
          <w:noProof/>
        </w:rPr>
        <w:t>wyd</w:t>
      </w:r>
      <w:r w:rsidRPr="008B4DA2">
        <w:rPr>
          <w:rStyle w:val="normaltextrun"/>
          <w:noProof/>
        </w:rPr>
        <w:t>anie wtórnika prawa jazdy UE”.</w:t>
      </w:r>
    </w:p>
    <w:p w:rsidR="00BD67F9" w:rsidRPr="008B4DA2" w:rsidRDefault="00BD67F9" w:rsidP="00BD67F9">
      <w:pPr>
        <w:pStyle w:val="Titrearticle"/>
        <w:rPr>
          <w:rStyle w:val="normaltextrun"/>
          <w:i w:val="0"/>
          <w:noProof/>
        </w:rPr>
      </w:pPr>
      <w:r w:rsidRPr="008B4DA2">
        <w:rPr>
          <w:rStyle w:val="normaltextrun"/>
          <w:noProof/>
        </w:rPr>
        <w:t>Artykuł 25</w:t>
      </w:r>
    </w:p>
    <w:p w:rsidR="00BD67F9" w:rsidRPr="008B4DA2" w:rsidRDefault="00BD67F9" w:rsidP="00BD67F9">
      <w:pPr>
        <w:pStyle w:val="Objetacteprincipal"/>
        <w:rPr>
          <w:rStyle w:val="eop"/>
          <w:noProof/>
        </w:rPr>
      </w:pPr>
      <w:r w:rsidRPr="008B4DA2">
        <w:rPr>
          <w:rStyle w:val="normaltextrun"/>
          <w:noProof/>
        </w:rPr>
        <w:t>Transpozycja</w:t>
      </w:r>
      <w:r w:rsidRPr="008B4DA2">
        <w:rPr>
          <w:rStyle w:val="eop"/>
          <w:noProof/>
        </w:rPr>
        <w:t xml:space="preserve"> </w:t>
      </w:r>
    </w:p>
    <w:p w:rsidR="00BD67F9" w:rsidRPr="008B4DA2" w:rsidRDefault="00DF60AC" w:rsidP="00DF60AC">
      <w:pPr>
        <w:pStyle w:val="ManualNumPar1"/>
        <w:rPr>
          <w:noProof/>
        </w:rPr>
      </w:pPr>
      <w:r w:rsidRPr="008B4DA2">
        <w:rPr>
          <w:noProof/>
        </w:rPr>
        <w:t>1.</w:t>
      </w:r>
      <w:r w:rsidRPr="008B4DA2">
        <w:rPr>
          <w:noProof/>
        </w:rPr>
        <w:tab/>
      </w:r>
      <w:r w:rsidRPr="008B4DA2">
        <w:rPr>
          <w:rStyle w:val="normaltextrun"/>
          <w:noProof/>
        </w:rPr>
        <w:t>Państwa członkowskie przyjmują</w:t>
      </w:r>
      <w:r w:rsidR="00B83C93" w:rsidRPr="008B4DA2">
        <w:rPr>
          <w:rStyle w:val="normaltextrun"/>
          <w:noProof/>
        </w:rPr>
        <w:t xml:space="preserve"> i</w:t>
      </w:r>
      <w:r w:rsidR="00B83C93">
        <w:rPr>
          <w:rStyle w:val="normaltextrun"/>
          <w:noProof/>
        </w:rPr>
        <w:t> </w:t>
      </w:r>
      <w:r w:rsidR="00B83C93" w:rsidRPr="008B4DA2">
        <w:rPr>
          <w:rStyle w:val="normaltextrun"/>
          <w:noProof/>
        </w:rPr>
        <w:t>pub</w:t>
      </w:r>
      <w:r w:rsidRPr="008B4DA2">
        <w:rPr>
          <w:rStyle w:val="normaltextrun"/>
          <w:noProof/>
        </w:rPr>
        <w:t>likują, najpóźniej do dnia [</w:t>
      </w:r>
      <w:r w:rsidRPr="008B4DA2">
        <w:rPr>
          <w:noProof/>
        </w:rPr>
        <w:t>data przyjęcia + 2 lata</w:t>
      </w:r>
      <w:r w:rsidRPr="008B4DA2">
        <w:rPr>
          <w:rStyle w:val="normaltextrun"/>
          <w:noProof/>
        </w:rPr>
        <w:t>], przepisy ustawowe, wykonawcze</w:t>
      </w:r>
      <w:r w:rsidR="00B83C93" w:rsidRPr="008B4DA2">
        <w:rPr>
          <w:rStyle w:val="normaltextrun"/>
          <w:noProof/>
        </w:rPr>
        <w:t xml:space="preserve"> i</w:t>
      </w:r>
      <w:r w:rsidR="00B83C93">
        <w:rPr>
          <w:rStyle w:val="normaltextrun"/>
          <w:noProof/>
        </w:rPr>
        <w:t> </w:t>
      </w:r>
      <w:r w:rsidR="00B83C93" w:rsidRPr="008B4DA2">
        <w:rPr>
          <w:rStyle w:val="normaltextrun"/>
          <w:noProof/>
        </w:rPr>
        <w:t>adm</w:t>
      </w:r>
      <w:r w:rsidRPr="008B4DA2">
        <w:rPr>
          <w:rStyle w:val="normaltextrun"/>
          <w:noProof/>
        </w:rPr>
        <w:t>inistracyjne niezbędne do wykonania niniejszej dyrektywy. Niezwłocznie przekazują Komisji tekst tych przepisów.</w:t>
      </w:r>
      <w:r w:rsidRPr="008B4DA2">
        <w:rPr>
          <w:rStyle w:val="eop"/>
          <w:noProof/>
        </w:rPr>
        <w:t xml:space="preserve"> </w:t>
      </w:r>
    </w:p>
    <w:p w:rsidR="00BD67F9" w:rsidRPr="008B4DA2" w:rsidRDefault="00BD67F9" w:rsidP="00BD67F9">
      <w:pPr>
        <w:pStyle w:val="Text1"/>
        <w:rPr>
          <w:noProof/>
        </w:rPr>
      </w:pPr>
      <w:r w:rsidRPr="008B4DA2">
        <w:rPr>
          <w:rStyle w:val="normaltextrun"/>
          <w:noProof/>
        </w:rPr>
        <w:t>Państwa członkowskie stosują te przepisy od dnia [</w:t>
      </w:r>
      <w:r w:rsidRPr="008B4DA2">
        <w:rPr>
          <w:noProof/>
        </w:rPr>
        <w:t>data przyjęcia + 3 lata</w:t>
      </w:r>
      <w:r w:rsidRPr="008B4DA2">
        <w:rPr>
          <w:rStyle w:val="normaltextrun"/>
          <w:noProof/>
        </w:rPr>
        <w:t>].</w:t>
      </w:r>
      <w:r w:rsidRPr="008B4DA2">
        <w:rPr>
          <w:rStyle w:val="eop"/>
          <w:noProof/>
        </w:rPr>
        <w:t xml:space="preserve"> </w:t>
      </w:r>
    </w:p>
    <w:p w:rsidR="00BD67F9" w:rsidRPr="008B4DA2" w:rsidRDefault="00BD67F9" w:rsidP="00BD67F9">
      <w:pPr>
        <w:pStyle w:val="Text1"/>
        <w:rPr>
          <w:noProof/>
        </w:rPr>
      </w:pPr>
      <w:r w:rsidRPr="008B4DA2">
        <w:rPr>
          <w:rStyle w:val="normaltextrun"/>
          <w:noProof/>
        </w:rPr>
        <w:t xml:space="preserve">Przepisy przyjęte przez państwa członkowskie zawierają odniesienie do niniejszej dyrektywy lub odniesienie takie towarzyszy ich urzędowej publikacji. </w:t>
      </w:r>
      <w:r w:rsidRPr="008B4DA2">
        <w:rPr>
          <w:noProof/>
        </w:rPr>
        <w:t>Metody dokonywania takiego odniesienia określane są przez państwa członkowskie.</w:t>
      </w:r>
      <w:r w:rsidRPr="008B4DA2">
        <w:rPr>
          <w:rStyle w:val="eop"/>
          <w:noProof/>
        </w:rPr>
        <w:t xml:space="preserve"> </w:t>
      </w:r>
    </w:p>
    <w:p w:rsidR="00BD67F9" w:rsidRPr="00B83C93" w:rsidRDefault="00DF60AC" w:rsidP="00DF60AC">
      <w:pPr>
        <w:pStyle w:val="ManualNumPar1"/>
        <w:rPr>
          <w:rStyle w:val="normaltextrun"/>
          <w:noProof/>
        </w:rPr>
      </w:pPr>
      <w:r w:rsidRPr="008B4DA2">
        <w:rPr>
          <w:rStyle w:val="normaltextrun"/>
          <w:noProof/>
        </w:rPr>
        <w:t>2.</w:t>
      </w:r>
      <w:r w:rsidRPr="008B4DA2">
        <w:rPr>
          <w:noProof/>
        </w:rPr>
        <w:tab/>
      </w:r>
      <w:r w:rsidRPr="008B4DA2">
        <w:rPr>
          <w:rStyle w:val="normaltextrun"/>
          <w:noProof/>
        </w:rPr>
        <w:t>Państwa członkowskie przekazują Komisji tekst podstawowych przepisów prawa krajowego przyjętych</w:t>
      </w:r>
      <w:r w:rsidR="00B83C93" w:rsidRPr="008B4DA2">
        <w:rPr>
          <w:rStyle w:val="normaltextrun"/>
          <w:noProof/>
        </w:rPr>
        <w:t xml:space="preserve"> w</w:t>
      </w:r>
      <w:r w:rsidR="00B83C93">
        <w:rPr>
          <w:rStyle w:val="normaltextrun"/>
          <w:noProof/>
        </w:rPr>
        <w:t> </w:t>
      </w:r>
      <w:r w:rsidR="00B83C93" w:rsidRPr="008B4DA2">
        <w:rPr>
          <w:rStyle w:val="normaltextrun"/>
          <w:noProof/>
        </w:rPr>
        <w:t>dzi</w:t>
      </w:r>
      <w:r w:rsidRPr="008B4DA2">
        <w:rPr>
          <w:rStyle w:val="normaltextrun"/>
          <w:noProof/>
        </w:rPr>
        <w:t>edzinie objętej niniejszą dyrektywą</w:t>
      </w:r>
      <w:r w:rsidRPr="00B83C93">
        <w:rPr>
          <w:rStyle w:val="normaltextrun"/>
          <w:noProof/>
        </w:rPr>
        <w:t>.</w:t>
      </w:r>
      <w:r w:rsidR="00B83C93" w:rsidRPr="00B83C93">
        <w:rPr>
          <w:rStyle w:val="normaltextrun"/>
          <w:noProof/>
        </w:rPr>
        <w:t xml:space="preserve"> </w:t>
      </w:r>
    </w:p>
    <w:p w:rsidR="00BD67F9" w:rsidRPr="008B4DA2" w:rsidRDefault="00BD67F9" w:rsidP="00BD67F9">
      <w:pPr>
        <w:pStyle w:val="Titrearticle"/>
        <w:rPr>
          <w:rStyle w:val="normaltextrun"/>
          <w:noProof/>
        </w:rPr>
      </w:pPr>
      <w:r w:rsidRPr="008B4DA2">
        <w:rPr>
          <w:rStyle w:val="normaltextrun"/>
          <w:noProof/>
        </w:rPr>
        <w:t>Artykuł 26</w:t>
      </w:r>
    </w:p>
    <w:p w:rsidR="00BD67F9" w:rsidRPr="008B4DA2" w:rsidRDefault="00BD67F9" w:rsidP="00BD67F9">
      <w:pPr>
        <w:pStyle w:val="Objetacteprincipal"/>
        <w:rPr>
          <w:rStyle w:val="normaltextrun"/>
          <w:noProof/>
        </w:rPr>
      </w:pPr>
      <w:r w:rsidRPr="008B4DA2">
        <w:rPr>
          <w:rStyle w:val="normaltextrun"/>
          <w:noProof/>
        </w:rPr>
        <w:t xml:space="preserve">Uchylenie </w:t>
      </w:r>
    </w:p>
    <w:p w:rsidR="00BD67F9" w:rsidRPr="008B4DA2" w:rsidRDefault="00DF60AC" w:rsidP="00DF60AC">
      <w:pPr>
        <w:pStyle w:val="ManualNumPar1"/>
        <w:rPr>
          <w:rStyle w:val="normaltextrun"/>
          <w:noProof/>
        </w:rPr>
      </w:pPr>
      <w:r w:rsidRPr="008B4DA2">
        <w:rPr>
          <w:rStyle w:val="normaltextrun"/>
          <w:noProof/>
        </w:rPr>
        <w:t>1.</w:t>
      </w:r>
      <w:r w:rsidRPr="008B4DA2">
        <w:rPr>
          <w:noProof/>
        </w:rPr>
        <w:tab/>
      </w:r>
      <w:r w:rsidRPr="008B4DA2">
        <w:rPr>
          <w:rStyle w:val="normaltextrun"/>
          <w:noProof/>
        </w:rPr>
        <w:t>Dyrektywa 2006/126/WE traci moc ze skutkiem od dnia [data przyjęcia + 3 lata].</w:t>
      </w:r>
    </w:p>
    <w:p w:rsidR="00BD67F9" w:rsidRPr="008B4DA2" w:rsidRDefault="00BD67F9" w:rsidP="00BD67F9">
      <w:pPr>
        <w:pStyle w:val="Text1"/>
        <w:rPr>
          <w:rStyle w:val="normaltextrun"/>
          <w:noProof/>
        </w:rPr>
      </w:pPr>
      <w:r w:rsidRPr="008B4DA2">
        <w:rPr>
          <w:rStyle w:val="normaltextrun"/>
          <w:noProof/>
        </w:rPr>
        <w:t>Odniesienia do dyrektywy 2006/126/WE interpretowane są jako odniesienia to niniejszej dyrektywy</w:t>
      </w:r>
      <w:r w:rsidR="00B83C93" w:rsidRPr="008B4DA2">
        <w:rPr>
          <w:rStyle w:val="normaltextrun"/>
          <w:noProof/>
        </w:rPr>
        <w:t xml:space="preserve"> i</w:t>
      </w:r>
      <w:r w:rsidR="00B83C93">
        <w:rPr>
          <w:rStyle w:val="normaltextrun"/>
          <w:noProof/>
        </w:rPr>
        <w:t> </w:t>
      </w:r>
      <w:r w:rsidR="00B83C93" w:rsidRPr="008B4DA2">
        <w:rPr>
          <w:rStyle w:val="normaltextrun"/>
          <w:noProof/>
        </w:rPr>
        <w:t>odc</w:t>
      </w:r>
      <w:r w:rsidRPr="008B4DA2">
        <w:rPr>
          <w:rStyle w:val="normaltextrun"/>
          <w:noProof/>
        </w:rPr>
        <w:t>zytywane są zgodnie</w:t>
      </w:r>
      <w:r w:rsidR="00B83C93" w:rsidRPr="008B4DA2">
        <w:rPr>
          <w:rStyle w:val="normaltextrun"/>
          <w:noProof/>
        </w:rPr>
        <w:t xml:space="preserve"> z</w:t>
      </w:r>
      <w:r w:rsidR="00B83C93">
        <w:rPr>
          <w:rStyle w:val="normaltextrun"/>
          <w:noProof/>
        </w:rPr>
        <w:t> </w:t>
      </w:r>
      <w:r w:rsidR="00B83C93" w:rsidRPr="008B4DA2">
        <w:rPr>
          <w:rStyle w:val="normaltextrun"/>
          <w:noProof/>
        </w:rPr>
        <w:t>tab</w:t>
      </w:r>
      <w:r w:rsidRPr="008B4DA2">
        <w:rPr>
          <w:rStyle w:val="normaltextrun"/>
          <w:noProof/>
        </w:rPr>
        <w:t>elą korelacji</w:t>
      </w:r>
      <w:r w:rsidR="00B83C93" w:rsidRPr="008B4DA2">
        <w:rPr>
          <w:rStyle w:val="normaltextrun"/>
          <w:noProof/>
        </w:rPr>
        <w:t xml:space="preserve"> w</w:t>
      </w:r>
      <w:r w:rsidR="00B83C93">
        <w:rPr>
          <w:rStyle w:val="normaltextrun"/>
          <w:noProof/>
        </w:rPr>
        <w:t> </w:t>
      </w:r>
      <w:r w:rsidR="00B83C93" w:rsidRPr="008B4DA2">
        <w:rPr>
          <w:rStyle w:val="normaltextrun"/>
          <w:noProof/>
        </w:rPr>
        <w:t>zał</w:t>
      </w:r>
      <w:r w:rsidRPr="008B4DA2">
        <w:rPr>
          <w:rStyle w:val="normaltextrun"/>
          <w:noProof/>
        </w:rPr>
        <w:t>ączniku VII.</w:t>
      </w:r>
    </w:p>
    <w:p w:rsidR="00BD67F9" w:rsidRPr="008B4DA2" w:rsidRDefault="00DF60AC" w:rsidP="00DF60AC">
      <w:pPr>
        <w:pStyle w:val="ManualNumPar1"/>
        <w:rPr>
          <w:rStyle w:val="normaltextrun"/>
          <w:noProof/>
        </w:rPr>
      </w:pPr>
      <w:r w:rsidRPr="008B4DA2">
        <w:rPr>
          <w:rStyle w:val="normaltextrun"/>
          <w:noProof/>
        </w:rPr>
        <w:t>2.</w:t>
      </w:r>
      <w:r w:rsidRPr="008B4DA2">
        <w:rPr>
          <w:noProof/>
        </w:rPr>
        <w:tab/>
      </w:r>
      <w:r w:rsidRPr="008B4DA2">
        <w:rPr>
          <w:rStyle w:val="normaltextrun"/>
          <w:noProof/>
        </w:rPr>
        <w:t xml:space="preserve">Rozporządzenie (UE) </w:t>
      </w:r>
      <w:r w:rsidRPr="00B83C93">
        <w:rPr>
          <w:rStyle w:val="normaltextrun"/>
          <w:noProof/>
        </w:rPr>
        <w:t>nr</w:t>
      </w:r>
      <w:r w:rsidR="00B83C93" w:rsidRPr="00B83C93">
        <w:rPr>
          <w:rStyle w:val="normaltextrun"/>
          <w:noProof/>
        </w:rPr>
        <w:t> </w:t>
      </w:r>
      <w:r w:rsidRPr="00B83C93">
        <w:rPr>
          <w:rStyle w:val="normaltextrun"/>
          <w:noProof/>
        </w:rPr>
        <w:t>3</w:t>
      </w:r>
      <w:r w:rsidRPr="008B4DA2">
        <w:rPr>
          <w:rStyle w:val="normaltextrun"/>
          <w:noProof/>
        </w:rPr>
        <w:t xml:space="preserve">83/2012 traci moc ze skutkiem od dnia [data przyjęcia + 3 lata]. </w:t>
      </w:r>
    </w:p>
    <w:p w:rsidR="00BD67F9" w:rsidRPr="008B4DA2" w:rsidRDefault="00DF60AC" w:rsidP="00DF60AC">
      <w:pPr>
        <w:pStyle w:val="ManualNumPar1"/>
        <w:rPr>
          <w:rStyle w:val="normaltextrun"/>
          <w:noProof/>
        </w:rPr>
      </w:pPr>
      <w:r w:rsidRPr="008B4DA2">
        <w:rPr>
          <w:rStyle w:val="normaltextrun"/>
          <w:noProof/>
        </w:rPr>
        <w:t>3.</w:t>
      </w:r>
      <w:r w:rsidRPr="008B4DA2">
        <w:rPr>
          <w:noProof/>
        </w:rPr>
        <w:tab/>
      </w:r>
      <w:r w:rsidRPr="008B4DA2">
        <w:rPr>
          <w:rStyle w:val="normaltextrun"/>
          <w:noProof/>
        </w:rPr>
        <w:t xml:space="preserve">Odniesienia do rozporządzenia (UE) </w:t>
      </w:r>
      <w:r w:rsidRPr="00B83C93">
        <w:rPr>
          <w:rStyle w:val="normaltextrun"/>
          <w:noProof/>
        </w:rPr>
        <w:t>nr</w:t>
      </w:r>
      <w:r w:rsidR="00B83C93" w:rsidRPr="00B83C93">
        <w:rPr>
          <w:rStyle w:val="normaltextrun"/>
          <w:noProof/>
        </w:rPr>
        <w:t> </w:t>
      </w:r>
      <w:r w:rsidRPr="00B83C93">
        <w:rPr>
          <w:rStyle w:val="normaltextrun"/>
          <w:noProof/>
        </w:rPr>
        <w:t>3</w:t>
      </w:r>
      <w:r w:rsidRPr="008B4DA2">
        <w:rPr>
          <w:rStyle w:val="normaltextrun"/>
          <w:noProof/>
        </w:rPr>
        <w:t>83/2012 interpretowane są jako odniesienia do części B załącznika I do niniejszej dyrektywy</w:t>
      </w:r>
      <w:r w:rsidR="00B83C93" w:rsidRPr="008B4DA2">
        <w:rPr>
          <w:rStyle w:val="normaltextrun"/>
          <w:noProof/>
        </w:rPr>
        <w:t xml:space="preserve"> i</w:t>
      </w:r>
      <w:r w:rsidR="00B83C93">
        <w:rPr>
          <w:rStyle w:val="normaltextrun"/>
          <w:noProof/>
        </w:rPr>
        <w:t> </w:t>
      </w:r>
      <w:r w:rsidR="00B83C93" w:rsidRPr="008B4DA2">
        <w:rPr>
          <w:rStyle w:val="normaltextrun"/>
          <w:noProof/>
        </w:rPr>
        <w:t>odc</w:t>
      </w:r>
      <w:r w:rsidRPr="008B4DA2">
        <w:rPr>
          <w:rStyle w:val="normaltextrun"/>
          <w:noProof/>
        </w:rPr>
        <w:t>zytywane są zgodnie</w:t>
      </w:r>
      <w:r w:rsidR="00B83C93" w:rsidRPr="008B4DA2">
        <w:rPr>
          <w:rStyle w:val="normaltextrun"/>
          <w:noProof/>
        </w:rPr>
        <w:t xml:space="preserve"> z</w:t>
      </w:r>
      <w:r w:rsidR="00B83C93">
        <w:rPr>
          <w:rStyle w:val="normaltextrun"/>
          <w:noProof/>
        </w:rPr>
        <w:t> </w:t>
      </w:r>
      <w:r w:rsidR="00B83C93" w:rsidRPr="008B4DA2">
        <w:rPr>
          <w:rStyle w:val="normaltextrun"/>
          <w:noProof/>
        </w:rPr>
        <w:t>tab</w:t>
      </w:r>
      <w:r w:rsidRPr="008B4DA2">
        <w:rPr>
          <w:rStyle w:val="normaltextrun"/>
          <w:noProof/>
        </w:rPr>
        <w:t>elą korelacji</w:t>
      </w:r>
      <w:r w:rsidR="00B83C93" w:rsidRPr="008B4DA2">
        <w:rPr>
          <w:rStyle w:val="normaltextrun"/>
          <w:noProof/>
        </w:rPr>
        <w:t xml:space="preserve"> w</w:t>
      </w:r>
      <w:r w:rsidR="00B83C93">
        <w:rPr>
          <w:rStyle w:val="normaltextrun"/>
          <w:noProof/>
        </w:rPr>
        <w:t> </w:t>
      </w:r>
      <w:r w:rsidR="00B83C93" w:rsidRPr="008B4DA2">
        <w:rPr>
          <w:rStyle w:val="normaltextrun"/>
          <w:noProof/>
        </w:rPr>
        <w:t>zał</w:t>
      </w:r>
      <w:r w:rsidRPr="008B4DA2">
        <w:rPr>
          <w:rStyle w:val="normaltextrun"/>
          <w:noProof/>
        </w:rPr>
        <w:t xml:space="preserve">ączniku VII. </w:t>
      </w:r>
    </w:p>
    <w:p w:rsidR="00BD67F9" w:rsidRPr="008B4DA2" w:rsidRDefault="00BD67F9" w:rsidP="00BD67F9">
      <w:pPr>
        <w:pStyle w:val="Titrearticle"/>
        <w:rPr>
          <w:rStyle w:val="normaltextrun"/>
          <w:i w:val="0"/>
          <w:noProof/>
        </w:rPr>
      </w:pPr>
      <w:r w:rsidRPr="008B4DA2">
        <w:rPr>
          <w:rStyle w:val="normaltextrun"/>
          <w:noProof/>
        </w:rPr>
        <w:t>Artykuł 27</w:t>
      </w:r>
    </w:p>
    <w:p w:rsidR="00BD67F9" w:rsidRPr="008B4DA2" w:rsidRDefault="00BD67F9" w:rsidP="00BD67F9">
      <w:pPr>
        <w:pStyle w:val="Objetacteprincipal"/>
        <w:rPr>
          <w:rStyle w:val="eop"/>
          <w:noProof/>
        </w:rPr>
      </w:pPr>
      <w:r w:rsidRPr="008B4DA2">
        <w:rPr>
          <w:rStyle w:val="normaltextrun"/>
          <w:noProof/>
        </w:rPr>
        <w:t>Wejście</w:t>
      </w:r>
      <w:r w:rsidR="00B83C93" w:rsidRPr="008B4DA2">
        <w:rPr>
          <w:rStyle w:val="normaltextrun"/>
          <w:noProof/>
        </w:rPr>
        <w:t xml:space="preserve"> w</w:t>
      </w:r>
      <w:r w:rsidR="00B83C93">
        <w:rPr>
          <w:rStyle w:val="normaltextrun"/>
          <w:noProof/>
        </w:rPr>
        <w:t> </w:t>
      </w:r>
      <w:r w:rsidR="00B83C93" w:rsidRPr="008B4DA2">
        <w:rPr>
          <w:rStyle w:val="normaltextrun"/>
          <w:noProof/>
        </w:rPr>
        <w:t>życ</w:t>
      </w:r>
      <w:r w:rsidRPr="008B4DA2">
        <w:rPr>
          <w:rStyle w:val="normaltextrun"/>
          <w:noProof/>
        </w:rPr>
        <w:t>ie</w:t>
      </w:r>
      <w:r w:rsidRPr="008B4DA2">
        <w:rPr>
          <w:rStyle w:val="eop"/>
          <w:noProof/>
        </w:rPr>
        <w:t xml:space="preserve"> </w:t>
      </w:r>
    </w:p>
    <w:p w:rsidR="00BD67F9" w:rsidRPr="008B4DA2" w:rsidRDefault="00BD67F9" w:rsidP="00BD67F9">
      <w:pPr>
        <w:rPr>
          <w:noProof/>
        </w:rPr>
      </w:pPr>
      <w:r w:rsidRPr="008B4DA2">
        <w:rPr>
          <w:rStyle w:val="normaltextrun"/>
          <w:noProof/>
        </w:rPr>
        <w:t>Niniejsza dyrektywa wchodzi</w:t>
      </w:r>
      <w:r w:rsidR="00B83C93" w:rsidRPr="008B4DA2">
        <w:rPr>
          <w:rStyle w:val="normaltextrun"/>
          <w:noProof/>
        </w:rPr>
        <w:t xml:space="preserve"> w</w:t>
      </w:r>
      <w:r w:rsidR="00B83C93">
        <w:rPr>
          <w:rStyle w:val="normaltextrun"/>
          <w:noProof/>
        </w:rPr>
        <w:t> </w:t>
      </w:r>
      <w:r w:rsidR="00B83C93" w:rsidRPr="008B4DA2">
        <w:rPr>
          <w:rStyle w:val="normaltextrun"/>
          <w:noProof/>
        </w:rPr>
        <w:t>życ</w:t>
      </w:r>
      <w:r w:rsidRPr="008B4DA2">
        <w:rPr>
          <w:rStyle w:val="normaltextrun"/>
          <w:noProof/>
        </w:rPr>
        <w:t>ie dwudziestego dnia po jej opublikowaniu</w:t>
      </w:r>
      <w:r w:rsidR="00B83C93" w:rsidRPr="008B4DA2">
        <w:rPr>
          <w:rStyle w:val="normaltextrun"/>
          <w:noProof/>
        </w:rPr>
        <w:t xml:space="preserve"> w</w:t>
      </w:r>
      <w:r w:rsidR="00B83C93">
        <w:rPr>
          <w:rStyle w:val="normaltextrun"/>
          <w:noProof/>
        </w:rPr>
        <w:t> </w:t>
      </w:r>
      <w:r w:rsidR="00B83C93" w:rsidRPr="008B4DA2">
        <w:rPr>
          <w:rStyle w:val="normaltextrun"/>
          <w:i/>
          <w:noProof/>
        </w:rPr>
        <w:t>Dzi</w:t>
      </w:r>
      <w:r w:rsidRPr="008B4DA2">
        <w:rPr>
          <w:rStyle w:val="normaltextrun"/>
          <w:i/>
          <w:noProof/>
        </w:rPr>
        <w:t>enniku Urzędowym Unii Europejskiej</w:t>
      </w:r>
      <w:r w:rsidRPr="008B4DA2">
        <w:rPr>
          <w:noProof/>
        </w:rPr>
        <w:t>.</w:t>
      </w:r>
    </w:p>
    <w:p w:rsidR="00BD67F9" w:rsidRPr="008B4DA2" w:rsidRDefault="00BD67F9" w:rsidP="00BD67F9">
      <w:pPr>
        <w:pStyle w:val="Titrearticle"/>
        <w:rPr>
          <w:noProof/>
        </w:rPr>
      </w:pPr>
      <w:r w:rsidRPr="008B4DA2">
        <w:rPr>
          <w:noProof/>
        </w:rPr>
        <w:t>Artykuł 28</w:t>
      </w:r>
    </w:p>
    <w:p w:rsidR="00BD67F9" w:rsidRPr="008B4DA2" w:rsidRDefault="00BD67F9" w:rsidP="00BD67F9">
      <w:pPr>
        <w:pStyle w:val="Objetacteprincipal"/>
        <w:rPr>
          <w:rStyle w:val="normaltextrun"/>
          <w:noProof/>
        </w:rPr>
      </w:pPr>
      <w:r w:rsidRPr="008B4DA2">
        <w:rPr>
          <w:rStyle w:val="normaltextrun"/>
          <w:noProof/>
        </w:rPr>
        <w:t>Adresaci</w:t>
      </w:r>
    </w:p>
    <w:p w:rsidR="00BD67F9" w:rsidRPr="008B4DA2" w:rsidRDefault="00BD67F9" w:rsidP="00BD67F9">
      <w:pPr>
        <w:keepNext/>
        <w:keepLines/>
        <w:rPr>
          <w:noProof/>
        </w:rPr>
      </w:pPr>
      <w:r w:rsidRPr="008B4DA2">
        <w:rPr>
          <w:noProof/>
        </w:rPr>
        <w:t>Niniejsza dyrektywa skierowana jest do państw członkowskich.</w:t>
      </w:r>
    </w:p>
    <w:p w:rsidR="00BD67F9" w:rsidRPr="008B4DA2" w:rsidRDefault="00FB22BE" w:rsidP="00ED0EE5">
      <w:pPr>
        <w:pStyle w:val="Fait"/>
        <w:rPr>
          <w:noProof/>
        </w:rPr>
      </w:pPr>
      <w:r w:rsidRPr="00FB22BE">
        <w:t xml:space="preserve">Sporządzono w Brukseli dnia </w:t>
      </w:r>
      <w:r w:rsidRPr="00FB22BE">
        <w:rPr>
          <w:rStyle w:val="Marker"/>
        </w:rPr>
        <w:t>[…]</w:t>
      </w:r>
      <w:r w:rsidRPr="00FB22BE">
        <w:t xml:space="preserve"> r.</w:t>
      </w:r>
    </w:p>
    <w:p w:rsidR="00BD67F9" w:rsidRPr="008B4DA2" w:rsidRDefault="00BD67F9" w:rsidP="00ED0EE5">
      <w:pPr>
        <w:pStyle w:val="Institutionquisigne"/>
        <w:rPr>
          <w:noProof/>
        </w:rPr>
      </w:pPr>
      <w:r w:rsidRPr="008B4DA2">
        <w:rPr>
          <w:noProof/>
        </w:rPr>
        <w:t>W imieniu Parlamentu Europejskiego</w:t>
      </w:r>
      <w:r w:rsidRPr="008B4DA2">
        <w:rPr>
          <w:noProof/>
        </w:rPr>
        <w:tab/>
        <w:t>W imieniu Rady</w:t>
      </w:r>
    </w:p>
    <w:p w:rsidR="00DC2CA2" w:rsidRPr="008B4DA2" w:rsidRDefault="00BD67F9" w:rsidP="00BD67F9">
      <w:pPr>
        <w:pStyle w:val="Personnequisigne"/>
        <w:rPr>
          <w:noProof/>
        </w:rPr>
      </w:pPr>
      <w:r w:rsidRPr="008B4DA2">
        <w:rPr>
          <w:noProof/>
        </w:rPr>
        <w:t>Przewodnicząca</w:t>
      </w:r>
      <w:r w:rsidRPr="008B4DA2">
        <w:rPr>
          <w:noProof/>
        </w:rPr>
        <w:tab/>
        <w:t>Przewodniczący</w:t>
      </w:r>
    </w:p>
    <w:p w:rsidR="00BF0434" w:rsidRPr="008B4DA2" w:rsidRDefault="00BF0434" w:rsidP="00DC2CA2">
      <w:pPr>
        <w:rPr>
          <w:noProof/>
        </w:rPr>
        <w:sectPr w:rsidR="00BF0434" w:rsidRPr="008B4DA2" w:rsidSect="00D32FD5">
          <w:footnotePr>
            <w:numRestart w:val="eachSect"/>
          </w:footnotePr>
          <w:pgSz w:w="11907" w:h="16839"/>
          <w:pgMar w:top="1134" w:right="1417" w:bottom="1134" w:left="1417" w:header="709" w:footer="709" w:gutter="0"/>
          <w:cols w:space="708"/>
          <w:docGrid w:linePitch="360"/>
        </w:sectPr>
      </w:pPr>
    </w:p>
    <w:p w:rsidR="00DC2CA2" w:rsidRPr="008B4DA2" w:rsidRDefault="00DC2CA2" w:rsidP="00DC2CA2">
      <w:pPr>
        <w:pStyle w:val="Fichefinanciretitre"/>
        <w:keepNext/>
        <w:rPr>
          <w:noProof/>
        </w:rPr>
      </w:pPr>
      <w:bookmarkStart w:id="7" w:name="_TocB7751C055C4744A28A002AAF436526DF"/>
      <w:r w:rsidRPr="008B4DA2">
        <w:rPr>
          <w:noProof/>
        </w:rPr>
        <w:t>OCENA SKUTKÓW FINANSOWYCH REGULACJI</w:t>
      </w:r>
      <w:bookmarkEnd w:id="7"/>
    </w:p>
    <w:p w:rsidR="005148EA" w:rsidRPr="008B4DA2" w:rsidRDefault="005148EA" w:rsidP="005148EA">
      <w:pPr>
        <w:pStyle w:val="ManualHeading1"/>
        <w:rPr>
          <w:noProof/>
        </w:rPr>
      </w:pPr>
      <w:bookmarkStart w:id="8" w:name="_Toc514938007"/>
      <w:bookmarkStart w:id="9" w:name="_Toc520485025"/>
      <w:bookmarkStart w:id="10" w:name="_Toc514938008"/>
      <w:bookmarkStart w:id="11" w:name="_Toc520485026"/>
      <w:r w:rsidRPr="008B4DA2">
        <w:rPr>
          <w:noProof/>
        </w:rPr>
        <w:t>1.</w:t>
      </w:r>
      <w:r w:rsidRPr="008B4DA2">
        <w:rPr>
          <w:noProof/>
        </w:rPr>
        <w:tab/>
        <w:t>STRUKTURA WNIOSKU/INICJATYWY</w:t>
      </w:r>
      <w:bookmarkEnd w:id="8"/>
      <w:bookmarkEnd w:id="9"/>
      <w:r w:rsidRPr="008B4DA2">
        <w:rPr>
          <w:noProof/>
        </w:rPr>
        <w:t xml:space="preserve"> </w:t>
      </w:r>
    </w:p>
    <w:p w:rsidR="005148EA" w:rsidRPr="008B4DA2" w:rsidRDefault="005148EA" w:rsidP="005148EA">
      <w:pPr>
        <w:pStyle w:val="ManualHeading2"/>
        <w:rPr>
          <w:noProof/>
        </w:rPr>
      </w:pPr>
      <w:r w:rsidRPr="008B4DA2">
        <w:rPr>
          <w:noProof/>
        </w:rPr>
        <w:t>1.1.</w:t>
      </w:r>
      <w:r w:rsidRPr="008B4DA2">
        <w:rPr>
          <w:noProof/>
        </w:rPr>
        <w:tab/>
        <w:t>Tytuł wniosku/inicjatywy</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noProof/>
        </w:rPr>
        <w:t>Wniosek dotyczący dyrektywy Parlamentu Europejskiego</w:t>
      </w:r>
      <w:r w:rsidR="00B83C93" w:rsidRPr="008B4DA2">
        <w:rPr>
          <w:noProof/>
        </w:rPr>
        <w:t xml:space="preserve"> i</w:t>
      </w:r>
      <w:r w:rsidR="00B83C93">
        <w:rPr>
          <w:noProof/>
        </w:rPr>
        <w:t> </w:t>
      </w:r>
      <w:r w:rsidR="00B83C93" w:rsidRPr="008B4DA2">
        <w:rPr>
          <w:noProof/>
        </w:rPr>
        <w:t>Rad</w:t>
      </w:r>
      <w:r w:rsidRPr="008B4DA2">
        <w:rPr>
          <w:noProof/>
        </w:rPr>
        <w:t>y</w:t>
      </w:r>
      <w:r w:rsidR="00B83C93" w:rsidRPr="008B4DA2">
        <w:rPr>
          <w:noProof/>
        </w:rPr>
        <w:t xml:space="preserve"> w</w:t>
      </w:r>
      <w:r w:rsidR="00B83C93">
        <w:rPr>
          <w:noProof/>
        </w:rPr>
        <w:t> </w:t>
      </w:r>
      <w:r w:rsidR="00B83C93" w:rsidRPr="008B4DA2">
        <w:rPr>
          <w:noProof/>
        </w:rPr>
        <w:t>spr</w:t>
      </w:r>
      <w:r w:rsidRPr="008B4DA2">
        <w:rPr>
          <w:noProof/>
        </w:rPr>
        <w:t>awie praw jazdy, zmieniającej dyrektywę Parlamentu Europejskiego</w:t>
      </w:r>
      <w:r w:rsidR="00B83C93" w:rsidRPr="008B4DA2">
        <w:rPr>
          <w:noProof/>
        </w:rPr>
        <w:t xml:space="preserve"> i</w:t>
      </w:r>
      <w:r w:rsidR="00B83C93">
        <w:rPr>
          <w:noProof/>
        </w:rPr>
        <w:t> </w:t>
      </w:r>
      <w:r w:rsidR="00B83C93" w:rsidRPr="008B4DA2">
        <w:rPr>
          <w:noProof/>
        </w:rPr>
        <w:t>Rad</w:t>
      </w:r>
      <w:r w:rsidRPr="008B4DA2">
        <w:rPr>
          <w:noProof/>
        </w:rPr>
        <w:t xml:space="preserve">y (UE) 2022/2561 oraz uchylającej rozporządzenie Komisji (UE) </w:t>
      </w:r>
      <w:r w:rsidRPr="00B83C93">
        <w:rPr>
          <w:noProof/>
        </w:rPr>
        <w:t>nr</w:t>
      </w:r>
      <w:r w:rsidR="00B83C93" w:rsidRPr="00B83C93">
        <w:rPr>
          <w:noProof/>
        </w:rPr>
        <w:t> </w:t>
      </w:r>
      <w:r w:rsidRPr="00B83C93">
        <w:rPr>
          <w:noProof/>
        </w:rPr>
        <w:t>3</w:t>
      </w:r>
      <w:r w:rsidRPr="008B4DA2">
        <w:rPr>
          <w:noProof/>
        </w:rPr>
        <w:t>83/2012.</w:t>
      </w:r>
    </w:p>
    <w:p w:rsidR="005148EA" w:rsidRPr="008B4DA2" w:rsidRDefault="005148EA" w:rsidP="005148EA">
      <w:pPr>
        <w:pStyle w:val="ManualHeading2"/>
        <w:rPr>
          <w:i/>
          <w:noProof/>
        </w:rPr>
      </w:pPr>
      <w:bookmarkStart w:id="12" w:name="_Toc514938011"/>
      <w:bookmarkStart w:id="13" w:name="_Toc520485027"/>
      <w:r w:rsidRPr="008B4DA2">
        <w:rPr>
          <w:noProof/>
        </w:rPr>
        <w:t>1.2.</w:t>
      </w:r>
      <w:r w:rsidRPr="008B4DA2">
        <w:rPr>
          <w:noProof/>
        </w:rPr>
        <w:tab/>
        <w:t>Obszary polityki, których dotyczy wniosek/inicjatywa</w:t>
      </w:r>
      <w:bookmarkEnd w:id="12"/>
      <w:bookmarkEnd w:id="13"/>
      <w:r w:rsidRPr="008B4DA2">
        <w:rPr>
          <w:i/>
          <w:noProof/>
        </w:rPr>
        <w:t xml:space="preserve"> </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noProof/>
        </w:rPr>
        <w:t>Transport, bezpieczeństwo ruchu drogowego</w:t>
      </w:r>
    </w:p>
    <w:p w:rsidR="005148EA" w:rsidRPr="008B4DA2" w:rsidRDefault="005148EA" w:rsidP="005148EA">
      <w:pPr>
        <w:pStyle w:val="ManualHeading2"/>
        <w:rPr>
          <w:bCs/>
          <w:noProof/>
          <w:szCs w:val="24"/>
        </w:rPr>
      </w:pPr>
      <w:bookmarkStart w:id="14" w:name="_Toc514938014"/>
      <w:bookmarkStart w:id="15" w:name="_Toc520485028"/>
      <w:r w:rsidRPr="008B4DA2">
        <w:rPr>
          <w:noProof/>
        </w:rPr>
        <w:t>1.3.</w:t>
      </w:r>
      <w:r w:rsidRPr="008B4DA2">
        <w:rPr>
          <w:noProof/>
        </w:rPr>
        <w:tab/>
        <w:t>Wniosek/inicjatywa dotyczy:</w:t>
      </w:r>
      <w:bookmarkEnd w:id="14"/>
      <w:bookmarkEnd w:id="15"/>
      <w:r w:rsidRPr="008B4DA2">
        <w:rPr>
          <w:noProof/>
        </w:rPr>
        <w:t xml:space="preserve"> </w:t>
      </w:r>
    </w:p>
    <w:p w:rsidR="005148EA" w:rsidRPr="008B4DA2" w:rsidRDefault="005148EA" w:rsidP="005148EA">
      <w:pPr>
        <w:pStyle w:val="Text1"/>
        <w:rPr>
          <w:b/>
          <w:noProof/>
          <w:sz w:val="22"/>
        </w:rPr>
      </w:pPr>
      <w:r w:rsidRPr="008B4DA2">
        <w:rPr>
          <w:rFonts w:ascii="Wingdings" w:hAnsi="Wingdings"/>
          <w:noProof/>
          <w:sz w:val="22"/>
        </w:rPr>
        <w:t></w:t>
      </w:r>
      <w:r w:rsidRPr="008B4DA2">
        <w:rPr>
          <w:b/>
          <w:i/>
          <w:noProof/>
          <w:sz w:val="22"/>
        </w:rPr>
        <w:t xml:space="preserve"> </w:t>
      </w:r>
      <w:r w:rsidRPr="008B4DA2">
        <w:rPr>
          <w:b/>
          <w:noProof/>
        </w:rPr>
        <w:t>nowego działania</w:t>
      </w:r>
      <w:r w:rsidRPr="008B4DA2">
        <w:rPr>
          <w:b/>
          <w:noProof/>
          <w:sz w:val="22"/>
        </w:rPr>
        <w:t xml:space="preserve"> </w:t>
      </w:r>
    </w:p>
    <w:p w:rsidR="005148EA" w:rsidRPr="008B4DA2" w:rsidRDefault="005148EA" w:rsidP="005148EA">
      <w:pPr>
        <w:pStyle w:val="Text1"/>
        <w:rPr>
          <w:noProof/>
          <w:sz w:val="22"/>
        </w:rPr>
      </w:pPr>
      <w:r w:rsidRPr="008B4DA2">
        <w:rPr>
          <w:rFonts w:ascii="Wingdings" w:hAnsi="Wingdings"/>
          <w:noProof/>
          <w:sz w:val="22"/>
        </w:rPr>
        <w:t></w:t>
      </w:r>
      <w:r w:rsidRPr="008B4DA2">
        <w:rPr>
          <w:i/>
          <w:noProof/>
          <w:sz w:val="22"/>
        </w:rPr>
        <w:t xml:space="preserve"> </w:t>
      </w:r>
      <w:r w:rsidRPr="008B4DA2">
        <w:rPr>
          <w:b/>
          <w:noProof/>
        </w:rPr>
        <w:t>nowego działania, będącego następstwem projektu pilotażowego/działania przygotowawczego</w:t>
      </w:r>
      <w:r w:rsidRPr="008B4DA2">
        <w:rPr>
          <w:rStyle w:val="FootnoteReference"/>
          <w:noProof/>
        </w:rPr>
        <w:footnoteReference w:id="67"/>
      </w:r>
      <w:r w:rsidRPr="008B4DA2">
        <w:rPr>
          <w:noProof/>
          <w:sz w:val="22"/>
        </w:rPr>
        <w:t xml:space="preserve"> </w:t>
      </w:r>
    </w:p>
    <w:p w:rsidR="005148EA" w:rsidRPr="008B4DA2" w:rsidRDefault="005148EA" w:rsidP="005148EA">
      <w:pPr>
        <w:pStyle w:val="Text1"/>
        <w:rPr>
          <w:noProof/>
          <w:sz w:val="22"/>
        </w:rPr>
      </w:pPr>
      <w:r w:rsidRPr="008B4DA2">
        <w:rPr>
          <w:b/>
          <w:noProof/>
          <w:bdr w:val="single" w:sz="4" w:space="0" w:color="auto"/>
        </w:rPr>
        <w:t>X</w:t>
      </w:r>
      <w:r w:rsidRPr="008B4DA2">
        <w:rPr>
          <w:b/>
          <w:noProof/>
        </w:rPr>
        <w:t xml:space="preserve"> przedłużenia bieżącego działania</w:t>
      </w:r>
      <w:r w:rsidRPr="008B4DA2">
        <w:rPr>
          <w:noProof/>
          <w:sz w:val="22"/>
        </w:rPr>
        <w:t xml:space="preserve"> </w:t>
      </w:r>
    </w:p>
    <w:p w:rsidR="005148EA" w:rsidRPr="008B4DA2" w:rsidRDefault="005148EA" w:rsidP="005148EA">
      <w:pPr>
        <w:pStyle w:val="Text1"/>
        <w:rPr>
          <w:noProof/>
        </w:rPr>
      </w:pPr>
      <w:r w:rsidRPr="008B4DA2">
        <w:rPr>
          <w:rFonts w:ascii="Wingdings" w:hAnsi="Wingdings"/>
          <w:noProof/>
          <w:sz w:val="22"/>
        </w:rPr>
        <w:t></w:t>
      </w:r>
      <w:r w:rsidRPr="008B4DA2">
        <w:rPr>
          <w:i/>
          <w:noProof/>
          <w:sz w:val="22"/>
        </w:rPr>
        <w:t xml:space="preserve"> </w:t>
      </w:r>
      <w:r w:rsidRPr="008B4DA2">
        <w:rPr>
          <w:b/>
          <w:noProof/>
        </w:rPr>
        <w:t>połączenia lub przekształcenia co najmniej jednego działania pod kątem innego/nowego działania</w:t>
      </w:r>
      <w:r w:rsidRPr="008B4DA2">
        <w:rPr>
          <w:noProof/>
        </w:rPr>
        <w:t xml:space="preserve"> </w:t>
      </w:r>
    </w:p>
    <w:p w:rsidR="005148EA" w:rsidRPr="008B4DA2" w:rsidRDefault="005148EA" w:rsidP="005148EA">
      <w:pPr>
        <w:pStyle w:val="ManualHeading2"/>
        <w:rPr>
          <w:bCs/>
          <w:noProof/>
          <w:szCs w:val="24"/>
        </w:rPr>
      </w:pPr>
      <w:bookmarkStart w:id="16" w:name="_Toc514938015"/>
      <w:bookmarkStart w:id="17" w:name="_Toc520485029"/>
      <w:r w:rsidRPr="008B4DA2">
        <w:rPr>
          <w:noProof/>
        </w:rPr>
        <w:t>1.4.</w:t>
      </w:r>
      <w:r w:rsidRPr="008B4DA2">
        <w:rPr>
          <w:noProof/>
        </w:rPr>
        <w:tab/>
        <w:t>Cel(e)</w:t>
      </w:r>
      <w:bookmarkEnd w:id="16"/>
      <w:bookmarkEnd w:id="17"/>
    </w:p>
    <w:p w:rsidR="005148EA" w:rsidRPr="008B4DA2" w:rsidRDefault="005148EA" w:rsidP="005148EA">
      <w:pPr>
        <w:pStyle w:val="ManualHeading3"/>
        <w:rPr>
          <w:noProof/>
        </w:rPr>
      </w:pPr>
      <w:bookmarkStart w:id="18" w:name="_Toc514938016"/>
      <w:bookmarkStart w:id="19" w:name="_Toc520485030"/>
      <w:r w:rsidRPr="008B4DA2">
        <w:rPr>
          <w:noProof/>
        </w:rPr>
        <w:t>1.4.1.</w:t>
      </w:r>
      <w:r w:rsidRPr="008B4DA2">
        <w:rPr>
          <w:noProof/>
        </w:rPr>
        <w:tab/>
        <w:t>Cel(e) ogólny(e)</w:t>
      </w:r>
      <w:bookmarkEnd w:id="18"/>
      <w:bookmarkEnd w:id="19"/>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rStyle w:val="normaltextrun"/>
          <w:noProof/>
        </w:rPr>
        <w:t>Ogólnym celem jest poprawa bezpieczeństwa ruchu drogowego</w:t>
      </w:r>
      <w:r w:rsidR="00B83C93" w:rsidRPr="008B4DA2">
        <w:rPr>
          <w:rStyle w:val="normaltextrun"/>
          <w:noProof/>
        </w:rPr>
        <w:t xml:space="preserve"> i</w:t>
      </w:r>
      <w:r w:rsidR="00B83C93">
        <w:rPr>
          <w:rStyle w:val="normaltextrun"/>
          <w:noProof/>
        </w:rPr>
        <w:t> </w:t>
      </w:r>
      <w:r w:rsidR="00B83C93" w:rsidRPr="008B4DA2">
        <w:rPr>
          <w:rStyle w:val="normaltextrun"/>
          <w:noProof/>
        </w:rPr>
        <w:t>uła</w:t>
      </w:r>
      <w:r w:rsidRPr="008B4DA2">
        <w:rPr>
          <w:rStyle w:val="normaltextrun"/>
          <w:noProof/>
        </w:rPr>
        <w:t>twienie swobodnego przepływu osób.</w:t>
      </w:r>
    </w:p>
    <w:p w:rsidR="005148EA" w:rsidRPr="008B4DA2" w:rsidRDefault="005148EA" w:rsidP="005148EA">
      <w:pPr>
        <w:pStyle w:val="paragraph"/>
        <w:spacing w:before="0" w:beforeAutospacing="0" w:after="0" w:afterAutospacing="0"/>
        <w:ind w:left="720"/>
        <w:jc w:val="both"/>
        <w:textAlignment w:val="baseline"/>
        <w:rPr>
          <w:rStyle w:val="normaltextrun"/>
          <w:noProof/>
        </w:rPr>
      </w:pPr>
    </w:p>
    <w:p w:rsidR="005148EA" w:rsidRPr="008B4DA2" w:rsidRDefault="005148EA" w:rsidP="005148EA">
      <w:pPr>
        <w:pStyle w:val="ManualHeading3"/>
        <w:rPr>
          <w:noProof/>
        </w:rPr>
      </w:pPr>
      <w:bookmarkStart w:id="20" w:name="_Toc514938018"/>
      <w:bookmarkStart w:id="21" w:name="_Toc520485031"/>
      <w:r w:rsidRPr="008B4DA2">
        <w:rPr>
          <w:noProof/>
        </w:rPr>
        <w:t>1.4.2.</w:t>
      </w:r>
      <w:r w:rsidRPr="008B4DA2">
        <w:rPr>
          <w:noProof/>
        </w:rPr>
        <w:tab/>
        <w:t>Cel(e) szczegółowy(e)</w:t>
      </w:r>
      <w:bookmarkEnd w:id="20"/>
      <w:bookmarkEnd w:id="21"/>
    </w:p>
    <w:p w:rsidR="005148EA" w:rsidRPr="008B4DA2" w:rsidRDefault="005148EA" w:rsidP="005148EA">
      <w:pPr>
        <w:pStyle w:val="paragraph"/>
        <w:spacing w:before="0" w:beforeAutospacing="0" w:after="0" w:afterAutospacing="0"/>
        <w:ind w:left="720"/>
        <w:jc w:val="both"/>
        <w:textAlignment w:val="baseline"/>
        <w:rPr>
          <w:noProof/>
        </w:rPr>
      </w:pPr>
    </w:p>
    <w:p w:rsidR="005148EA" w:rsidRPr="008B4DA2" w:rsidRDefault="005148EA" w:rsidP="00EE1C4D">
      <w:pPr>
        <w:pStyle w:val="ListDash1"/>
        <w:pBdr>
          <w:top w:val="single" w:sz="4" w:space="1" w:color="auto"/>
          <w:left w:val="single" w:sz="4" w:space="4" w:color="auto"/>
          <w:bottom w:val="single" w:sz="4" w:space="1" w:color="auto"/>
          <w:right w:val="single" w:sz="4" w:space="4" w:color="auto"/>
        </w:pBdr>
        <w:rPr>
          <w:rStyle w:val="normaltextrun"/>
          <w:noProof/>
          <w:szCs w:val="24"/>
        </w:rPr>
      </w:pPr>
      <w:r w:rsidRPr="008B4DA2">
        <w:rPr>
          <w:rStyle w:val="normaltextrun"/>
          <w:noProof/>
        </w:rPr>
        <w:t>Podniesienie poziomu umiejętności, wiedzy</w:t>
      </w:r>
      <w:r w:rsidR="00B83C93" w:rsidRPr="008B4DA2">
        <w:rPr>
          <w:rStyle w:val="normaltextrun"/>
          <w:noProof/>
        </w:rPr>
        <w:t xml:space="preserve"> i</w:t>
      </w:r>
      <w:r w:rsidR="00B83C93">
        <w:rPr>
          <w:rStyle w:val="normaltextrun"/>
          <w:noProof/>
        </w:rPr>
        <w:t> </w:t>
      </w:r>
      <w:r w:rsidR="00B83C93" w:rsidRPr="008B4DA2">
        <w:rPr>
          <w:rStyle w:val="normaltextrun"/>
          <w:noProof/>
        </w:rPr>
        <w:t>doś</w:t>
      </w:r>
      <w:r w:rsidRPr="008B4DA2">
        <w:rPr>
          <w:rStyle w:val="normaltextrun"/>
          <w:noProof/>
        </w:rPr>
        <w:t>wiadczenia kierowców oraz ograniczenie</w:t>
      </w:r>
      <w:r w:rsidR="00B83C93" w:rsidRPr="008B4DA2">
        <w:rPr>
          <w:rStyle w:val="normaltextrun"/>
          <w:noProof/>
        </w:rPr>
        <w:t xml:space="preserve"> i</w:t>
      </w:r>
      <w:r w:rsidR="00B83C93">
        <w:rPr>
          <w:rStyle w:val="normaltextrun"/>
          <w:noProof/>
        </w:rPr>
        <w:t> </w:t>
      </w:r>
      <w:r w:rsidR="00B83C93" w:rsidRPr="008B4DA2">
        <w:rPr>
          <w:rStyle w:val="normaltextrun"/>
          <w:noProof/>
        </w:rPr>
        <w:t>kar</w:t>
      </w:r>
      <w:r w:rsidRPr="008B4DA2">
        <w:rPr>
          <w:rStyle w:val="normaltextrun"/>
          <w:noProof/>
        </w:rPr>
        <w:t xml:space="preserve">anie niebezpiecznych zachowań. </w:t>
      </w:r>
    </w:p>
    <w:p w:rsidR="005148EA" w:rsidRPr="008B4DA2" w:rsidRDefault="005148EA" w:rsidP="00EE1C4D">
      <w:pPr>
        <w:pStyle w:val="ListDash1"/>
        <w:pBdr>
          <w:top w:val="single" w:sz="4" w:space="1" w:color="auto"/>
          <w:left w:val="single" w:sz="4" w:space="4" w:color="auto"/>
          <w:bottom w:val="single" w:sz="4" w:space="1" w:color="auto"/>
          <w:right w:val="single" w:sz="4" w:space="4" w:color="auto"/>
        </w:pBdr>
        <w:rPr>
          <w:rStyle w:val="normaltextrun"/>
          <w:noProof/>
          <w:szCs w:val="24"/>
        </w:rPr>
      </w:pPr>
      <w:r w:rsidRPr="008B4DA2">
        <w:rPr>
          <w:rStyle w:val="normaltextrun"/>
          <w:noProof/>
        </w:rPr>
        <w:t>Zapewnienie</w:t>
      </w:r>
      <w:r w:rsidR="00B83C93" w:rsidRPr="008B4DA2">
        <w:rPr>
          <w:rStyle w:val="normaltextrun"/>
          <w:noProof/>
        </w:rPr>
        <w:t xml:space="preserve"> w</w:t>
      </w:r>
      <w:r w:rsidR="00B83C93">
        <w:rPr>
          <w:rStyle w:val="normaltextrun"/>
          <w:noProof/>
        </w:rPr>
        <w:t> </w:t>
      </w:r>
      <w:r w:rsidR="00B83C93" w:rsidRPr="008B4DA2">
        <w:rPr>
          <w:rStyle w:val="normaltextrun"/>
          <w:noProof/>
        </w:rPr>
        <w:t>cał</w:t>
      </w:r>
      <w:r w:rsidRPr="008B4DA2">
        <w:rPr>
          <w:rStyle w:val="normaltextrun"/>
          <w:noProof/>
        </w:rPr>
        <w:t>ej UE odpowiedniej fizycznej</w:t>
      </w:r>
      <w:r w:rsidR="00B83C93" w:rsidRPr="008B4DA2">
        <w:rPr>
          <w:rStyle w:val="normaltextrun"/>
          <w:noProof/>
        </w:rPr>
        <w:t xml:space="preserve"> i</w:t>
      </w:r>
      <w:r w:rsidR="00B83C93">
        <w:rPr>
          <w:rStyle w:val="normaltextrun"/>
          <w:noProof/>
        </w:rPr>
        <w:t> </w:t>
      </w:r>
      <w:r w:rsidR="00B83C93" w:rsidRPr="008B4DA2">
        <w:rPr>
          <w:rStyle w:val="normaltextrun"/>
          <w:noProof/>
        </w:rPr>
        <w:t>psy</w:t>
      </w:r>
      <w:r w:rsidRPr="008B4DA2">
        <w:rPr>
          <w:rStyle w:val="normaltextrun"/>
          <w:noProof/>
        </w:rPr>
        <w:t xml:space="preserve">chicznej zdolności kierowców do kierowania pojazdami. </w:t>
      </w:r>
    </w:p>
    <w:p w:rsidR="005148EA" w:rsidRPr="008B4DA2" w:rsidRDefault="005148EA" w:rsidP="00EE1C4D">
      <w:pPr>
        <w:pStyle w:val="ListDash1"/>
        <w:pBdr>
          <w:top w:val="single" w:sz="4" w:space="1" w:color="auto"/>
          <w:left w:val="single" w:sz="4" w:space="4" w:color="auto"/>
          <w:bottom w:val="single" w:sz="4" w:space="1" w:color="auto"/>
          <w:right w:val="single" w:sz="4" w:space="4" w:color="auto"/>
        </w:pBdr>
        <w:rPr>
          <w:rStyle w:val="normaltextrun"/>
          <w:noProof/>
          <w:szCs w:val="24"/>
        </w:rPr>
      </w:pPr>
      <w:r w:rsidRPr="008B4DA2">
        <w:rPr>
          <w:rStyle w:val="normaltextrun"/>
          <w:noProof/>
        </w:rPr>
        <w:t>Usunięcie nieadekwatnych lub niepotrzebnych barier, jakie napotykają kandydaci ubiegający się</w:t>
      </w:r>
      <w:r w:rsidR="00B83C93" w:rsidRPr="008B4DA2">
        <w:rPr>
          <w:rStyle w:val="normaltextrun"/>
          <w:noProof/>
        </w:rPr>
        <w:t xml:space="preserve"> o</w:t>
      </w:r>
      <w:r w:rsidR="00B83C93">
        <w:rPr>
          <w:rStyle w:val="normaltextrun"/>
          <w:noProof/>
        </w:rPr>
        <w:t> </w:t>
      </w:r>
      <w:r w:rsidR="00B83C93" w:rsidRPr="008B4DA2">
        <w:rPr>
          <w:rStyle w:val="normaltextrun"/>
          <w:noProof/>
        </w:rPr>
        <w:t>pra</w:t>
      </w:r>
      <w:r w:rsidRPr="008B4DA2">
        <w:rPr>
          <w:rStyle w:val="normaltextrun"/>
          <w:noProof/>
        </w:rPr>
        <w:t>wo jazdy</w:t>
      </w:r>
      <w:r w:rsidR="00B83C93" w:rsidRPr="008B4DA2">
        <w:rPr>
          <w:rStyle w:val="normaltextrun"/>
          <w:noProof/>
        </w:rPr>
        <w:t xml:space="preserve"> i</w:t>
      </w:r>
      <w:r w:rsidR="00B83C93">
        <w:rPr>
          <w:rStyle w:val="normaltextrun"/>
          <w:noProof/>
        </w:rPr>
        <w:t> </w:t>
      </w:r>
      <w:r w:rsidR="00B83C93" w:rsidRPr="008B4DA2">
        <w:rPr>
          <w:rStyle w:val="normaltextrun"/>
          <w:noProof/>
        </w:rPr>
        <w:t>pos</w:t>
      </w:r>
      <w:r w:rsidRPr="008B4DA2">
        <w:rPr>
          <w:rStyle w:val="normaltextrun"/>
          <w:noProof/>
        </w:rPr>
        <w:t xml:space="preserve">iadacze praw jazdy. </w:t>
      </w:r>
    </w:p>
    <w:p w:rsidR="005148EA" w:rsidRPr="008B4DA2" w:rsidRDefault="005148EA" w:rsidP="005148EA">
      <w:pPr>
        <w:pStyle w:val="paragraph"/>
        <w:spacing w:before="0" w:beforeAutospacing="0" w:after="0" w:afterAutospacing="0"/>
        <w:jc w:val="both"/>
        <w:textAlignment w:val="baseline"/>
        <w:rPr>
          <w:noProof/>
        </w:rPr>
      </w:pPr>
      <w:bookmarkStart w:id="22" w:name="_Toc514938019"/>
      <w:bookmarkStart w:id="23" w:name="_Toc520485032"/>
    </w:p>
    <w:p w:rsidR="005148EA" w:rsidRPr="008B4DA2" w:rsidRDefault="005148EA" w:rsidP="005148EA">
      <w:pPr>
        <w:pStyle w:val="ManualHeading3"/>
        <w:rPr>
          <w:noProof/>
        </w:rPr>
      </w:pPr>
      <w:r w:rsidRPr="008B4DA2">
        <w:rPr>
          <w:noProof/>
        </w:rPr>
        <w:t>1.4.3.</w:t>
      </w:r>
      <w:r w:rsidRPr="008B4DA2">
        <w:rPr>
          <w:noProof/>
        </w:rPr>
        <w:tab/>
        <w:t>Oczekiwane wyniki</w:t>
      </w:r>
      <w:r w:rsidR="00B83C93" w:rsidRPr="008B4DA2">
        <w:rPr>
          <w:noProof/>
        </w:rPr>
        <w:t xml:space="preserve"> i</w:t>
      </w:r>
      <w:r w:rsidR="00B83C93">
        <w:rPr>
          <w:noProof/>
        </w:rPr>
        <w:t> </w:t>
      </w:r>
      <w:r w:rsidR="00B83C93" w:rsidRPr="008B4DA2">
        <w:rPr>
          <w:noProof/>
        </w:rPr>
        <w:t>wpł</w:t>
      </w:r>
      <w:r w:rsidRPr="008B4DA2">
        <w:rPr>
          <w:noProof/>
        </w:rPr>
        <w:t>yw</w:t>
      </w:r>
      <w:bookmarkEnd w:id="22"/>
      <w:bookmarkEnd w:id="23"/>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8B4DA2">
        <w:rPr>
          <w:rStyle w:val="normaltextrun"/>
          <w:noProof/>
        </w:rPr>
        <w:t>Przewiduje się pozytywne skutki społeczne pod względem wpływu na bezpieczeństwo ruchu drogowego i na swobodny przepływ osób.</w:t>
      </w:r>
      <w:r w:rsidR="000F25F6">
        <w:rPr>
          <w:rStyle w:val="normaltextrun"/>
          <w:noProof/>
        </w:rPr>
        <w:t xml:space="preserve"> </w:t>
      </w:r>
      <w:r w:rsidRPr="008B4DA2">
        <w:rPr>
          <w:rStyle w:val="normaltextrun"/>
          <w:noProof/>
        </w:rPr>
        <w:t>Szacuje się, że</w:t>
      </w:r>
      <w:r w:rsidR="00B83C93" w:rsidRPr="008B4DA2">
        <w:rPr>
          <w:rStyle w:val="normaltextrun"/>
          <w:noProof/>
        </w:rPr>
        <w:t xml:space="preserve"> w</w:t>
      </w:r>
      <w:r w:rsidR="00B83C93">
        <w:rPr>
          <w:rStyle w:val="normaltextrun"/>
          <w:noProof/>
        </w:rPr>
        <w:t> </w:t>
      </w:r>
      <w:r w:rsidR="00B83C93" w:rsidRPr="008B4DA2">
        <w:rPr>
          <w:rStyle w:val="normaltextrun"/>
          <w:noProof/>
        </w:rPr>
        <w:t>lat</w:t>
      </w:r>
      <w:r w:rsidRPr="008B4DA2">
        <w:rPr>
          <w:rStyle w:val="normaltextrun"/>
          <w:noProof/>
        </w:rPr>
        <w:t>ach 2025–2050 uda się uratować 1 153 osoby</w:t>
      </w:r>
      <w:r w:rsidR="00B83C93" w:rsidRPr="008B4DA2">
        <w:rPr>
          <w:rStyle w:val="normaltextrun"/>
          <w:noProof/>
        </w:rPr>
        <w:t xml:space="preserve"> i</w:t>
      </w:r>
      <w:r w:rsidR="00B83C93">
        <w:rPr>
          <w:rStyle w:val="normaltextrun"/>
          <w:noProof/>
        </w:rPr>
        <w:t> </w:t>
      </w:r>
      <w:r w:rsidR="00B83C93" w:rsidRPr="008B4DA2">
        <w:rPr>
          <w:rStyle w:val="normaltextrun"/>
          <w:noProof/>
        </w:rPr>
        <w:t>uni</w:t>
      </w:r>
      <w:r w:rsidRPr="008B4DA2">
        <w:rPr>
          <w:rStyle w:val="normaltextrun"/>
          <w:noProof/>
        </w:rPr>
        <w:t>knąć 11 020 poważnych urazów</w:t>
      </w:r>
      <w:r w:rsidR="00B83C93" w:rsidRPr="008B4DA2">
        <w:rPr>
          <w:rStyle w:val="normaltextrun"/>
          <w:noProof/>
        </w:rPr>
        <w:t xml:space="preserve"> w</w:t>
      </w:r>
      <w:r w:rsidR="00B83C93">
        <w:rPr>
          <w:rStyle w:val="normaltextrun"/>
          <w:noProof/>
        </w:rPr>
        <w:t> </w:t>
      </w:r>
      <w:r w:rsidR="00B83C93" w:rsidRPr="008B4DA2">
        <w:rPr>
          <w:rStyle w:val="normaltextrun"/>
          <w:noProof/>
        </w:rPr>
        <w:t>por</w:t>
      </w:r>
      <w:r w:rsidRPr="008B4DA2">
        <w:rPr>
          <w:rStyle w:val="normaltextrun"/>
          <w:noProof/>
        </w:rPr>
        <w:t>ównaniu ze scenariuszem bazowym dzięki podniesieniu poziomu umiejętności</w:t>
      </w:r>
      <w:r w:rsidR="00B83C93" w:rsidRPr="008B4DA2">
        <w:rPr>
          <w:rStyle w:val="normaltextrun"/>
          <w:noProof/>
        </w:rPr>
        <w:t xml:space="preserve"> i</w:t>
      </w:r>
      <w:r w:rsidR="00B83C93">
        <w:rPr>
          <w:rStyle w:val="normaltextrun"/>
          <w:noProof/>
        </w:rPr>
        <w:t> </w:t>
      </w:r>
      <w:r w:rsidR="00B83C93" w:rsidRPr="008B4DA2">
        <w:rPr>
          <w:rStyle w:val="normaltextrun"/>
          <w:noProof/>
        </w:rPr>
        <w:t>wie</w:t>
      </w:r>
      <w:r w:rsidRPr="008B4DA2">
        <w:rPr>
          <w:rStyle w:val="normaltextrun"/>
          <w:noProof/>
        </w:rPr>
        <w:t>dzy kierowców oraz zmniejszeniu na drogach Unii liczby kierowców przejawiających niebezpieczne zachowania lub niezdolnych do kierowania pojazdami ze względów medycznych</w:t>
      </w:r>
      <w:r w:rsidR="00B83C93" w:rsidRPr="008B4DA2">
        <w:rPr>
          <w:rStyle w:val="normaltextrun"/>
          <w:noProof/>
        </w:rPr>
        <w:t>. W</w:t>
      </w:r>
      <w:r w:rsidR="00B83C93">
        <w:rPr>
          <w:rStyle w:val="normaltextrun"/>
          <w:noProof/>
        </w:rPr>
        <w:t> </w:t>
      </w:r>
      <w:r w:rsidR="00B83C93" w:rsidRPr="008B4DA2">
        <w:rPr>
          <w:rStyle w:val="normaltextrun"/>
          <w:noProof/>
        </w:rPr>
        <w:t>uję</w:t>
      </w:r>
      <w:r w:rsidRPr="008B4DA2">
        <w:rPr>
          <w:rStyle w:val="normaltextrun"/>
          <w:noProof/>
        </w:rPr>
        <w:t>ciu pieniężnym redukcję kosztów zewnętrznych związanych</w:t>
      </w:r>
      <w:r w:rsidR="00B83C93" w:rsidRPr="008B4DA2">
        <w:rPr>
          <w:rStyle w:val="normaltextrun"/>
          <w:noProof/>
        </w:rPr>
        <w:t xml:space="preserve"> z</w:t>
      </w:r>
      <w:r w:rsidR="00B83C93">
        <w:rPr>
          <w:rStyle w:val="normaltextrun"/>
          <w:noProof/>
        </w:rPr>
        <w:t> </w:t>
      </w:r>
      <w:r w:rsidR="00B83C93" w:rsidRPr="008B4DA2">
        <w:rPr>
          <w:rStyle w:val="normaltextrun"/>
          <w:noProof/>
        </w:rPr>
        <w:t>wyp</w:t>
      </w:r>
      <w:r w:rsidRPr="008B4DA2">
        <w:rPr>
          <w:rStyle w:val="normaltextrun"/>
          <w:noProof/>
        </w:rPr>
        <w:t>adkami, wyrażoną jako wartość bieżąca</w:t>
      </w:r>
      <w:r w:rsidR="00B83C93" w:rsidRPr="008B4DA2">
        <w:rPr>
          <w:rStyle w:val="normaltextrun"/>
          <w:noProof/>
        </w:rPr>
        <w:t xml:space="preserve"> w</w:t>
      </w:r>
      <w:r w:rsidR="00B83C93">
        <w:rPr>
          <w:rStyle w:val="normaltextrun"/>
          <w:noProof/>
        </w:rPr>
        <w:t> </w:t>
      </w:r>
      <w:r w:rsidR="00B83C93" w:rsidRPr="008B4DA2">
        <w:rPr>
          <w:rStyle w:val="normaltextrun"/>
          <w:noProof/>
        </w:rPr>
        <w:t>lat</w:t>
      </w:r>
      <w:r w:rsidRPr="008B4DA2">
        <w:rPr>
          <w:rStyle w:val="normaltextrun"/>
          <w:noProof/>
        </w:rPr>
        <w:t>ach 2025–2050</w:t>
      </w:r>
      <w:r w:rsidR="00B83C93" w:rsidRPr="008B4DA2">
        <w:rPr>
          <w:rStyle w:val="normaltextrun"/>
          <w:noProof/>
        </w:rPr>
        <w:t xml:space="preserve"> w</w:t>
      </w:r>
      <w:r w:rsidR="00B83C93">
        <w:rPr>
          <w:rStyle w:val="normaltextrun"/>
          <w:noProof/>
        </w:rPr>
        <w:t> </w:t>
      </w:r>
      <w:r w:rsidR="00B83C93" w:rsidRPr="008B4DA2">
        <w:rPr>
          <w:rStyle w:val="normaltextrun"/>
          <w:noProof/>
        </w:rPr>
        <w:t>odn</w:t>
      </w:r>
      <w:r w:rsidRPr="008B4DA2">
        <w:rPr>
          <w:rStyle w:val="normaltextrun"/>
          <w:noProof/>
        </w:rPr>
        <w:t>iesieniu do scenariusza bazowego, szacuje się na około 7,1 mld EUR.</w:t>
      </w:r>
      <w:r w:rsidR="00A81944">
        <w:rPr>
          <w:rStyle w:val="normaltextrun"/>
          <w:noProof/>
        </w:rPr>
        <w:t> </w:t>
      </w:r>
      <w:r w:rsidRPr="008B4DA2">
        <w:rPr>
          <w:rStyle w:val="normaltextrun"/>
          <w:noProof/>
        </w:rPr>
        <w:t>Ponadto oczekuje się, że środki te usuną nieuzasadnione lub niepotrzebne przeszkody</w:t>
      </w:r>
      <w:r w:rsidR="00B83C93" w:rsidRPr="008B4DA2">
        <w:rPr>
          <w:rStyle w:val="normaltextrun"/>
          <w:noProof/>
        </w:rPr>
        <w:t xml:space="preserve"> w</w:t>
      </w:r>
      <w:r w:rsidR="00B83C93">
        <w:rPr>
          <w:rStyle w:val="normaltextrun"/>
          <w:noProof/>
        </w:rPr>
        <w:t> </w:t>
      </w:r>
      <w:r w:rsidR="00B83C93" w:rsidRPr="008B4DA2">
        <w:rPr>
          <w:rStyle w:val="normaltextrun"/>
          <w:noProof/>
        </w:rPr>
        <w:t>zdo</w:t>
      </w:r>
      <w:r w:rsidRPr="008B4DA2">
        <w:rPr>
          <w:rStyle w:val="normaltextrun"/>
          <w:noProof/>
        </w:rPr>
        <w:t>bywaniu, uzyskiwaniu uznania lub przedłużaniu okresu ważności uprawnień do kierowania pojazdami. Dotyczy to</w:t>
      </w:r>
      <w:r w:rsidR="00B83C93" w:rsidRPr="008B4DA2">
        <w:rPr>
          <w:rStyle w:val="normaltextrun"/>
          <w:noProof/>
        </w:rPr>
        <w:t xml:space="preserve"> w</w:t>
      </w:r>
      <w:r w:rsidR="00B83C93">
        <w:rPr>
          <w:rStyle w:val="normaltextrun"/>
          <w:noProof/>
        </w:rPr>
        <w:t> </w:t>
      </w:r>
      <w:r w:rsidR="00B83C93" w:rsidRPr="008B4DA2">
        <w:rPr>
          <w:rStyle w:val="normaltextrun"/>
          <w:noProof/>
        </w:rPr>
        <w:t>szc</w:t>
      </w:r>
      <w:r w:rsidRPr="008B4DA2">
        <w:rPr>
          <w:rStyle w:val="normaltextrun"/>
          <w:noProof/>
        </w:rPr>
        <w:t>zególności mieszkańców Unii Europejskiej</w:t>
      </w:r>
      <w:r w:rsidR="00B83C93" w:rsidRPr="008B4DA2">
        <w:rPr>
          <w:rStyle w:val="normaltextrun"/>
          <w:noProof/>
        </w:rPr>
        <w:t xml:space="preserve"> i</w:t>
      </w:r>
      <w:r w:rsidR="00B83C93">
        <w:rPr>
          <w:rStyle w:val="normaltextrun"/>
          <w:noProof/>
        </w:rPr>
        <w:t> </w:t>
      </w:r>
      <w:r w:rsidR="00B83C93" w:rsidRPr="008B4DA2">
        <w:rPr>
          <w:rStyle w:val="normaltextrun"/>
          <w:noProof/>
        </w:rPr>
        <w:t>pos</w:t>
      </w:r>
      <w:r w:rsidRPr="008B4DA2">
        <w:rPr>
          <w:rStyle w:val="normaltextrun"/>
          <w:noProof/>
        </w:rPr>
        <w:t>iadaczy zagranicznych praw jazdy uzyskanych</w:t>
      </w:r>
      <w:r w:rsidR="00B83C93" w:rsidRPr="008B4DA2">
        <w:rPr>
          <w:rStyle w:val="normaltextrun"/>
          <w:noProof/>
        </w:rPr>
        <w:t xml:space="preserve"> w</w:t>
      </w:r>
      <w:r w:rsidR="00B83C93">
        <w:rPr>
          <w:rStyle w:val="normaltextrun"/>
          <w:noProof/>
        </w:rPr>
        <w:t> </w:t>
      </w:r>
      <w:r w:rsidR="00B83C93" w:rsidRPr="008B4DA2">
        <w:rPr>
          <w:rStyle w:val="normaltextrun"/>
          <w:noProof/>
        </w:rPr>
        <w:t>pań</w:t>
      </w:r>
      <w:r w:rsidRPr="008B4DA2">
        <w:rPr>
          <w:rStyle w:val="normaltextrun"/>
          <w:noProof/>
        </w:rPr>
        <w:t>stwie członkowskim innym niż ich państwo obywatelstwa, kierowców samochodów dostawczych</w:t>
      </w:r>
      <w:r w:rsidR="00B83C93" w:rsidRPr="008B4DA2">
        <w:rPr>
          <w:rStyle w:val="normaltextrun"/>
          <w:noProof/>
        </w:rPr>
        <w:t xml:space="preserve"> i</w:t>
      </w:r>
      <w:r w:rsidR="00B83C93">
        <w:rPr>
          <w:rStyle w:val="normaltextrun"/>
          <w:noProof/>
        </w:rPr>
        <w:t> </w:t>
      </w:r>
      <w:r w:rsidR="00B83C93" w:rsidRPr="008B4DA2">
        <w:rPr>
          <w:rStyle w:val="normaltextrun"/>
          <w:noProof/>
        </w:rPr>
        <w:t>kem</w:t>
      </w:r>
      <w:r w:rsidRPr="008B4DA2">
        <w:rPr>
          <w:rStyle w:val="normaltextrun"/>
          <w:noProof/>
        </w:rPr>
        <w:t>pingowych napędzanych paliwem alternatywnym, osób chorujących na cukrzycę oraz kierowców zawodowych. </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rStyle w:val="normaltextrun"/>
          <w:noProof/>
        </w:rPr>
        <w:t>Ponadto przewiduje się pozytywne skutki dla administracji publicznej (4,8 mld EUR oszczędności kosztów), dla sektora prywatnego (1,5 mld EUR oszczędności kosztów)</w:t>
      </w:r>
      <w:r w:rsidR="00B83C93" w:rsidRPr="008B4DA2">
        <w:rPr>
          <w:rStyle w:val="normaltextrun"/>
          <w:noProof/>
        </w:rPr>
        <w:t xml:space="preserve"> i</w:t>
      </w:r>
      <w:r w:rsidR="00B83C93">
        <w:rPr>
          <w:rStyle w:val="normaltextrun"/>
          <w:noProof/>
        </w:rPr>
        <w:t> </w:t>
      </w:r>
      <w:r w:rsidR="00B83C93" w:rsidRPr="008B4DA2">
        <w:rPr>
          <w:rStyle w:val="normaltextrun"/>
          <w:noProof/>
        </w:rPr>
        <w:t>dla</w:t>
      </w:r>
      <w:r w:rsidRPr="008B4DA2">
        <w:rPr>
          <w:rStyle w:val="normaltextrun"/>
          <w:noProof/>
        </w:rPr>
        <w:t xml:space="preserve"> obywateli (6,6 mld EUR oszczędności kosztów)</w:t>
      </w:r>
      <w:r w:rsidR="00B83C93" w:rsidRPr="008B4DA2">
        <w:rPr>
          <w:rStyle w:val="normaltextrun"/>
          <w:noProof/>
        </w:rPr>
        <w:t xml:space="preserve"> w</w:t>
      </w:r>
      <w:r w:rsidR="00B83C93">
        <w:rPr>
          <w:rStyle w:val="normaltextrun"/>
          <w:noProof/>
        </w:rPr>
        <w:t> </w:t>
      </w:r>
      <w:r w:rsidR="00B83C93" w:rsidRPr="008B4DA2">
        <w:rPr>
          <w:rStyle w:val="normaltextrun"/>
          <w:noProof/>
        </w:rPr>
        <w:t>sto</w:t>
      </w:r>
      <w:r w:rsidRPr="008B4DA2">
        <w:rPr>
          <w:rStyle w:val="normaltextrun"/>
          <w:noProof/>
        </w:rPr>
        <w:t>sunku do scenariusza bazowego, wyrażone jako wartość bieżąca</w:t>
      </w:r>
      <w:r w:rsidR="00B83C93" w:rsidRPr="008B4DA2">
        <w:rPr>
          <w:rStyle w:val="normaltextrun"/>
          <w:noProof/>
        </w:rPr>
        <w:t xml:space="preserve"> w</w:t>
      </w:r>
      <w:r w:rsidR="00B83C93">
        <w:rPr>
          <w:rStyle w:val="normaltextrun"/>
          <w:noProof/>
        </w:rPr>
        <w:t> </w:t>
      </w:r>
      <w:r w:rsidR="00B83C93" w:rsidRPr="008B4DA2">
        <w:rPr>
          <w:rStyle w:val="normaltextrun"/>
          <w:noProof/>
        </w:rPr>
        <w:t>okr</w:t>
      </w:r>
      <w:r w:rsidRPr="008B4DA2">
        <w:rPr>
          <w:rStyle w:val="normaltextrun"/>
          <w:noProof/>
        </w:rPr>
        <w:t>esie 2025–2050,</w:t>
      </w:r>
      <w:r w:rsidR="00B83C93" w:rsidRPr="008B4DA2">
        <w:rPr>
          <w:rStyle w:val="normaltextrun"/>
          <w:noProof/>
        </w:rPr>
        <w:t xml:space="preserve"> w</w:t>
      </w:r>
      <w:r w:rsidR="00B83C93">
        <w:rPr>
          <w:rStyle w:val="normaltextrun"/>
          <w:noProof/>
        </w:rPr>
        <w:t> </w:t>
      </w:r>
      <w:r w:rsidR="00B83C93" w:rsidRPr="008B4DA2">
        <w:rPr>
          <w:rStyle w:val="normaltextrun"/>
          <w:noProof/>
        </w:rPr>
        <w:t>szc</w:t>
      </w:r>
      <w:r w:rsidRPr="008B4DA2">
        <w:rPr>
          <w:rStyle w:val="normaltextrun"/>
          <w:noProof/>
        </w:rPr>
        <w:t>zególności ze względu na całkowitą harmonizację administracyjnego okresu ważności</w:t>
      </w:r>
      <w:r w:rsidR="00B83C93" w:rsidRPr="008B4DA2">
        <w:rPr>
          <w:rStyle w:val="normaltextrun"/>
          <w:noProof/>
        </w:rPr>
        <w:t xml:space="preserve"> i</w:t>
      </w:r>
      <w:r w:rsidR="00B83C93">
        <w:rPr>
          <w:rStyle w:val="normaltextrun"/>
          <w:noProof/>
        </w:rPr>
        <w:t> </w:t>
      </w:r>
      <w:r w:rsidR="00B83C93" w:rsidRPr="008B4DA2">
        <w:rPr>
          <w:rStyle w:val="normaltextrun"/>
          <w:noProof/>
        </w:rPr>
        <w:t>wpr</w:t>
      </w:r>
      <w:r w:rsidRPr="008B4DA2">
        <w:rPr>
          <w:rStyle w:val="normaltextrun"/>
          <w:noProof/>
        </w:rPr>
        <w:t>owadzenie mobilnego prawa jazdy UE.</w:t>
      </w:r>
    </w:p>
    <w:p w:rsidR="005148EA" w:rsidRPr="008B4DA2" w:rsidRDefault="005148EA" w:rsidP="005148EA">
      <w:pPr>
        <w:pStyle w:val="ManualHeading3"/>
        <w:rPr>
          <w:noProof/>
        </w:rPr>
      </w:pPr>
      <w:bookmarkStart w:id="24" w:name="_Toc514938023"/>
      <w:bookmarkStart w:id="25" w:name="_Toc520485033"/>
      <w:r w:rsidRPr="008B4DA2">
        <w:rPr>
          <w:noProof/>
        </w:rPr>
        <w:t>1.4.4.</w:t>
      </w:r>
      <w:r w:rsidRPr="008B4DA2">
        <w:rPr>
          <w:noProof/>
        </w:rPr>
        <w:tab/>
        <w:t>Wskaźniki dotyczące realizacji celów</w:t>
      </w:r>
      <w:bookmarkEnd w:id="24"/>
      <w:bookmarkEnd w:id="25"/>
    </w:p>
    <w:p w:rsidR="005148EA" w:rsidRPr="008B4DA2" w:rsidRDefault="005148EA" w:rsidP="005148EA">
      <w:pPr>
        <w:pStyle w:val="Text1"/>
        <w:rPr>
          <w:noProof/>
        </w:rPr>
      </w:pP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bookmarkStart w:id="26" w:name="_Toc514938025"/>
      <w:bookmarkStart w:id="27" w:name="_Toc520485034"/>
      <w:r w:rsidRPr="008B4DA2">
        <w:rPr>
          <w:rStyle w:val="normaltextrun"/>
          <w:noProof/>
        </w:rPr>
        <w:t>Ponieważ celem ogólnym jest poprawa bezpieczeństwa ruchu drogowego, podstawowym wskaźnikiem pomiaru skuteczności inicjatywy byłoby zmniejszenie liczby śmiertelnych ofiar wypadków drogowych oraz liczby osób, które doznały poważnych urazów</w:t>
      </w:r>
      <w:r w:rsidR="00B83C93" w:rsidRPr="008B4DA2">
        <w:rPr>
          <w:rStyle w:val="normaltextrun"/>
          <w:noProof/>
        </w:rPr>
        <w:t xml:space="preserve"> w</w:t>
      </w:r>
      <w:r w:rsidR="00B83C93">
        <w:rPr>
          <w:rStyle w:val="normaltextrun"/>
          <w:noProof/>
        </w:rPr>
        <w:t> </w:t>
      </w:r>
      <w:r w:rsidR="00B83C93" w:rsidRPr="008B4DA2">
        <w:rPr>
          <w:rStyle w:val="normaltextrun"/>
          <w:noProof/>
        </w:rPr>
        <w:t>wyp</w:t>
      </w:r>
      <w:r w:rsidRPr="008B4DA2">
        <w:rPr>
          <w:rStyle w:val="normaltextrun"/>
          <w:noProof/>
        </w:rPr>
        <w:t>adkach,</w:t>
      </w:r>
      <w:r w:rsidR="00B83C93" w:rsidRPr="008B4DA2">
        <w:rPr>
          <w:rStyle w:val="normaltextrun"/>
          <w:noProof/>
        </w:rPr>
        <w:t xml:space="preserve"> w</w:t>
      </w:r>
      <w:r w:rsidR="00B83C93">
        <w:rPr>
          <w:rStyle w:val="normaltextrun"/>
          <w:noProof/>
        </w:rPr>
        <w:t> </w:t>
      </w:r>
      <w:r w:rsidR="00B83C93" w:rsidRPr="008B4DA2">
        <w:rPr>
          <w:rStyle w:val="normaltextrun"/>
          <w:noProof/>
        </w:rPr>
        <w:t>prz</w:t>
      </w:r>
      <w:r w:rsidRPr="008B4DA2">
        <w:rPr>
          <w:rStyle w:val="normaltextrun"/>
          <w:noProof/>
        </w:rPr>
        <w:t>ypadku których za jedną</w:t>
      </w:r>
      <w:r w:rsidR="00B83C93" w:rsidRPr="008B4DA2">
        <w:rPr>
          <w:rStyle w:val="normaltextrun"/>
          <w:noProof/>
        </w:rPr>
        <w:t xml:space="preserve"> z</w:t>
      </w:r>
      <w:r w:rsidR="00B83C93">
        <w:rPr>
          <w:rStyle w:val="normaltextrun"/>
          <w:noProof/>
        </w:rPr>
        <w:t> </w:t>
      </w:r>
      <w:r w:rsidR="00B83C93" w:rsidRPr="008B4DA2">
        <w:rPr>
          <w:rStyle w:val="normaltextrun"/>
          <w:noProof/>
        </w:rPr>
        <w:t>prz</w:t>
      </w:r>
      <w:r w:rsidRPr="008B4DA2">
        <w:rPr>
          <w:rStyle w:val="normaltextrun"/>
          <w:noProof/>
        </w:rPr>
        <w:t>yczyn uznaje się kierowcę</w:t>
      </w:r>
      <w:r w:rsidR="00B83C93" w:rsidRPr="008B4DA2">
        <w:rPr>
          <w:rStyle w:val="normaltextrun"/>
          <w:noProof/>
        </w:rPr>
        <w:t>. W</w:t>
      </w:r>
      <w:r w:rsidR="00B83C93">
        <w:rPr>
          <w:rStyle w:val="normaltextrun"/>
          <w:noProof/>
        </w:rPr>
        <w:t> </w:t>
      </w:r>
      <w:r w:rsidR="00B83C93" w:rsidRPr="008B4DA2">
        <w:rPr>
          <w:rStyle w:val="normaltextrun"/>
          <w:noProof/>
        </w:rPr>
        <w:t>tym</w:t>
      </w:r>
      <w:r w:rsidRPr="008B4DA2">
        <w:rPr>
          <w:rStyle w:val="normaltextrun"/>
          <w:noProof/>
        </w:rPr>
        <w:t xml:space="preserve"> celu liczba wypadków będzie rozpatrywana łącznie i po spełnieniu określonych warunków (np. wypadki</w:t>
      </w:r>
      <w:r w:rsidR="00B83C93" w:rsidRPr="008B4DA2">
        <w:rPr>
          <w:rStyle w:val="normaltextrun"/>
          <w:noProof/>
        </w:rPr>
        <w:t xml:space="preserve"> z</w:t>
      </w:r>
      <w:r w:rsidR="00B83C93">
        <w:rPr>
          <w:rStyle w:val="normaltextrun"/>
          <w:noProof/>
        </w:rPr>
        <w:t> </w:t>
      </w:r>
      <w:r w:rsidR="00B83C93" w:rsidRPr="008B4DA2">
        <w:rPr>
          <w:rStyle w:val="normaltextrun"/>
          <w:noProof/>
        </w:rPr>
        <w:t>udz</w:t>
      </w:r>
      <w:r w:rsidRPr="008B4DA2">
        <w:rPr>
          <w:rStyle w:val="normaltextrun"/>
          <w:noProof/>
        </w:rPr>
        <w:t>iałem tylko jednego pojazdu lub wypadki,</w:t>
      </w:r>
      <w:r w:rsidR="00B83C93" w:rsidRPr="008B4DA2">
        <w:rPr>
          <w:rStyle w:val="normaltextrun"/>
          <w:noProof/>
        </w:rPr>
        <w:t xml:space="preserve"> w</w:t>
      </w:r>
      <w:r w:rsidR="00B83C93">
        <w:rPr>
          <w:rStyle w:val="normaltextrun"/>
          <w:noProof/>
        </w:rPr>
        <w:t> </w:t>
      </w:r>
      <w:r w:rsidR="00B83C93" w:rsidRPr="008B4DA2">
        <w:rPr>
          <w:rStyle w:val="normaltextrun"/>
          <w:noProof/>
        </w:rPr>
        <w:t>któ</w:t>
      </w:r>
      <w:r w:rsidRPr="008B4DA2">
        <w:rPr>
          <w:rStyle w:val="normaltextrun"/>
          <w:noProof/>
        </w:rPr>
        <w:t>rych kierujący pojazdem był początkującym kierowcą lub osobą fizycznie/psychicznie niezdolną do kierowania pojazdami)</w:t>
      </w:r>
      <w:r w:rsidRPr="00B83C93">
        <w:rPr>
          <w:rStyle w:val="normaltextrun"/>
          <w:noProof/>
        </w:rPr>
        <w:t>.</w:t>
      </w:r>
      <w:r w:rsidR="00B83C93" w:rsidRPr="00B83C93">
        <w:rPr>
          <w:rStyle w:val="normaltextrun"/>
          <w:noProof/>
        </w:rPr>
        <w:t xml:space="preserve"> </w:t>
      </w:r>
      <w:r w:rsidRPr="00B83C93">
        <w:rPr>
          <w:rStyle w:val="normaltextrun"/>
          <w:noProof/>
        </w:rPr>
        <w:t>W</w:t>
      </w:r>
      <w:r w:rsidRPr="008B4DA2">
        <w:rPr>
          <w:rStyle w:val="normaltextrun"/>
          <w:noProof/>
        </w:rPr>
        <w:t>skaźnik ten będzie musiał obejmować również ogólny rozwój</w:t>
      </w:r>
      <w:r w:rsidR="00B83C93" w:rsidRPr="008B4DA2">
        <w:rPr>
          <w:rStyle w:val="normaltextrun"/>
          <w:noProof/>
        </w:rPr>
        <w:t xml:space="preserve"> w</w:t>
      </w:r>
      <w:r w:rsidR="00B83C93">
        <w:rPr>
          <w:rStyle w:val="normaltextrun"/>
          <w:noProof/>
        </w:rPr>
        <w:t> </w:t>
      </w:r>
      <w:r w:rsidR="00B83C93" w:rsidRPr="008B4DA2">
        <w:rPr>
          <w:rStyle w:val="normaltextrun"/>
          <w:noProof/>
        </w:rPr>
        <w:t>dzi</w:t>
      </w:r>
      <w:r w:rsidRPr="008B4DA2">
        <w:rPr>
          <w:rStyle w:val="normaltextrun"/>
          <w:noProof/>
        </w:rPr>
        <w:t>edzinie bezpieczeństwa ruchu drogowego oraz zmiany</w:t>
      </w:r>
      <w:r w:rsidR="00B83C93" w:rsidRPr="008B4DA2">
        <w:rPr>
          <w:rStyle w:val="normaltextrun"/>
          <w:noProof/>
        </w:rPr>
        <w:t xml:space="preserve"> w</w:t>
      </w:r>
      <w:r w:rsidR="00B83C93">
        <w:rPr>
          <w:rStyle w:val="normaltextrun"/>
          <w:noProof/>
        </w:rPr>
        <w:t> </w:t>
      </w:r>
      <w:r w:rsidR="00B83C93" w:rsidRPr="008B4DA2">
        <w:rPr>
          <w:rStyle w:val="normaltextrun"/>
          <w:noProof/>
        </w:rPr>
        <w:t>ruc</w:t>
      </w:r>
      <w:r w:rsidRPr="008B4DA2">
        <w:rPr>
          <w:rStyle w:val="normaltextrun"/>
          <w:noProof/>
        </w:rPr>
        <w:t>hu drogowym</w:t>
      </w:r>
      <w:r w:rsidR="00B83C93" w:rsidRPr="008B4DA2">
        <w:rPr>
          <w:rStyle w:val="normaltextrun"/>
          <w:noProof/>
        </w:rPr>
        <w:t xml:space="preserve"> i</w:t>
      </w:r>
      <w:r w:rsidR="00B83C93">
        <w:rPr>
          <w:rStyle w:val="normaltextrun"/>
          <w:noProof/>
        </w:rPr>
        <w:t> </w:t>
      </w:r>
      <w:r w:rsidR="00B83C93" w:rsidRPr="008B4DA2">
        <w:rPr>
          <w:rStyle w:val="normaltextrun"/>
          <w:noProof/>
        </w:rPr>
        <w:t>lic</w:t>
      </w:r>
      <w:r w:rsidRPr="008B4DA2">
        <w:rPr>
          <w:rStyle w:val="normaltextrun"/>
          <w:noProof/>
        </w:rPr>
        <w:t>zbie praw jazdy</w:t>
      </w:r>
      <w:r w:rsidR="00B83C93" w:rsidRPr="008B4DA2">
        <w:rPr>
          <w:rStyle w:val="normaltextrun"/>
          <w:noProof/>
        </w:rPr>
        <w:t xml:space="preserve"> w</w:t>
      </w:r>
      <w:r w:rsidR="00B83C93">
        <w:rPr>
          <w:rStyle w:val="normaltextrun"/>
          <w:noProof/>
        </w:rPr>
        <w:t> </w:t>
      </w:r>
      <w:r w:rsidR="00B83C93" w:rsidRPr="008B4DA2">
        <w:rPr>
          <w:rStyle w:val="normaltextrun"/>
          <w:noProof/>
        </w:rPr>
        <w:t>każ</w:t>
      </w:r>
      <w:r w:rsidRPr="008B4DA2">
        <w:rPr>
          <w:rStyle w:val="normaltextrun"/>
          <w:noProof/>
        </w:rPr>
        <w:t xml:space="preserve">dym państwie członkowskim (w celu uwzględnienia innych możliwych czynników). </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8B4DA2">
        <w:rPr>
          <w:rStyle w:val="normaltextrun"/>
          <w:noProof/>
        </w:rPr>
        <w:t>W odniesieniu do drugiego celu ogólnego, jakim jest ułatwienie swobodnego przepływu osób, podstawowym wskaźnikiem pomiaru skuteczności inicjatywy byłoby zmniejszenie liczby skarg</w:t>
      </w:r>
      <w:r w:rsidR="00B83C93" w:rsidRPr="008B4DA2">
        <w:rPr>
          <w:rStyle w:val="normaltextrun"/>
          <w:noProof/>
        </w:rPr>
        <w:t xml:space="preserve"> i</w:t>
      </w:r>
      <w:r w:rsidR="00B83C93">
        <w:rPr>
          <w:rStyle w:val="normaltextrun"/>
          <w:noProof/>
        </w:rPr>
        <w:t> </w:t>
      </w:r>
      <w:r w:rsidR="00B83C93" w:rsidRPr="008B4DA2">
        <w:rPr>
          <w:rStyle w:val="normaltextrun"/>
          <w:noProof/>
        </w:rPr>
        <w:t>spr</w:t>
      </w:r>
      <w:r w:rsidRPr="008B4DA2">
        <w:rPr>
          <w:rStyle w:val="normaltextrun"/>
          <w:noProof/>
        </w:rPr>
        <w:t>aw sądowych związanych</w:t>
      </w:r>
      <w:r w:rsidR="00B83C93" w:rsidRPr="008B4DA2">
        <w:rPr>
          <w:rStyle w:val="normaltextrun"/>
          <w:noProof/>
        </w:rPr>
        <w:t xml:space="preserve"> z</w:t>
      </w:r>
      <w:r w:rsidR="00B83C93">
        <w:rPr>
          <w:rStyle w:val="normaltextrun"/>
          <w:noProof/>
        </w:rPr>
        <w:t> </w:t>
      </w:r>
      <w:r w:rsidR="00B83C93" w:rsidRPr="008B4DA2">
        <w:rPr>
          <w:rStyle w:val="normaltextrun"/>
          <w:noProof/>
        </w:rPr>
        <w:t>pro</w:t>
      </w:r>
      <w:r w:rsidRPr="008B4DA2">
        <w:rPr>
          <w:rStyle w:val="normaltextrun"/>
          <w:noProof/>
        </w:rPr>
        <w:t xml:space="preserve">cedurami dotyczącymi praw jazdy. </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8B4DA2">
        <w:rPr>
          <w:rStyle w:val="normaltextrun"/>
          <w:noProof/>
        </w:rPr>
        <w:t>Wskaźniki odnoszące się do obu celów nadal jednak będą stosunkowo trudne do oceny ze względu na wiele przyczyn wypadków, niedostępność danych oraz niewielką liczbę skarg</w:t>
      </w:r>
      <w:r w:rsidR="00B83C93" w:rsidRPr="008B4DA2">
        <w:rPr>
          <w:rStyle w:val="normaltextrun"/>
          <w:noProof/>
        </w:rPr>
        <w:t xml:space="preserve"> i</w:t>
      </w:r>
      <w:r w:rsidR="00B83C93">
        <w:rPr>
          <w:rStyle w:val="normaltextrun"/>
          <w:noProof/>
        </w:rPr>
        <w:t> </w:t>
      </w:r>
      <w:r w:rsidR="00B83C93" w:rsidRPr="008B4DA2">
        <w:rPr>
          <w:rStyle w:val="normaltextrun"/>
          <w:noProof/>
        </w:rPr>
        <w:t>spr</w:t>
      </w:r>
      <w:r w:rsidRPr="008B4DA2">
        <w:rPr>
          <w:rStyle w:val="normaltextrun"/>
          <w:noProof/>
        </w:rPr>
        <w:t>aw sądowych związanych</w:t>
      </w:r>
      <w:r w:rsidR="00B83C93" w:rsidRPr="008B4DA2">
        <w:rPr>
          <w:rStyle w:val="normaltextrun"/>
          <w:noProof/>
        </w:rPr>
        <w:t xml:space="preserve"> z</w:t>
      </w:r>
      <w:r w:rsidR="00B83C93">
        <w:rPr>
          <w:rStyle w:val="normaltextrun"/>
          <w:noProof/>
        </w:rPr>
        <w:t> </w:t>
      </w:r>
      <w:r w:rsidR="00B83C93" w:rsidRPr="008B4DA2">
        <w:rPr>
          <w:rStyle w:val="normaltextrun"/>
          <w:noProof/>
        </w:rPr>
        <w:t>pro</w:t>
      </w:r>
      <w:r w:rsidRPr="008B4DA2">
        <w:rPr>
          <w:rStyle w:val="normaltextrun"/>
          <w:noProof/>
        </w:rPr>
        <w:t>cedurami dotyczącymi praw jazdy.</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8B4DA2">
        <w:rPr>
          <w:rStyle w:val="normaltextrun"/>
          <w:noProof/>
        </w:rPr>
        <w:t>Jeżeli chodzi</w:t>
      </w:r>
      <w:r w:rsidR="00B83C93" w:rsidRPr="008B4DA2">
        <w:rPr>
          <w:rStyle w:val="normaltextrun"/>
          <w:noProof/>
        </w:rPr>
        <w:t xml:space="preserve"> o</w:t>
      </w:r>
      <w:r w:rsidR="00B83C93">
        <w:rPr>
          <w:rStyle w:val="normaltextrun"/>
          <w:noProof/>
        </w:rPr>
        <w:t> </w:t>
      </w:r>
      <w:r w:rsidR="00B83C93" w:rsidRPr="008B4DA2">
        <w:rPr>
          <w:rStyle w:val="normaltextrun"/>
          <w:noProof/>
        </w:rPr>
        <w:t>cel</w:t>
      </w:r>
      <w:r w:rsidRPr="008B4DA2">
        <w:rPr>
          <w:rStyle w:val="normaltextrun"/>
          <w:noProof/>
        </w:rPr>
        <w:t xml:space="preserve"> „Podnoszenie poziomu umiejętności, wiedzy</w:t>
      </w:r>
      <w:r w:rsidR="00B83C93" w:rsidRPr="008B4DA2">
        <w:rPr>
          <w:rStyle w:val="normaltextrun"/>
          <w:noProof/>
        </w:rPr>
        <w:t xml:space="preserve"> i</w:t>
      </w:r>
      <w:r w:rsidR="00B83C93">
        <w:rPr>
          <w:rStyle w:val="normaltextrun"/>
          <w:noProof/>
        </w:rPr>
        <w:t> </w:t>
      </w:r>
      <w:r w:rsidR="00B83C93" w:rsidRPr="008B4DA2">
        <w:rPr>
          <w:rStyle w:val="normaltextrun"/>
          <w:noProof/>
        </w:rPr>
        <w:t>doś</w:t>
      </w:r>
      <w:r w:rsidRPr="008B4DA2">
        <w:rPr>
          <w:rStyle w:val="normaltextrun"/>
          <w:noProof/>
        </w:rPr>
        <w:t>wiadczenia kierowców oraz ograniczenie</w:t>
      </w:r>
      <w:r w:rsidR="00B83C93" w:rsidRPr="008B4DA2">
        <w:rPr>
          <w:rStyle w:val="normaltextrun"/>
          <w:noProof/>
        </w:rPr>
        <w:t xml:space="preserve"> i</w:t>
      </w:r>
      <w:r w:rsidR="00B83C93">
        <w:rPr>
          <w:rStyle w:val="normaltextrun"/>
          <w:noProof/>
        </w:rPr>
        <w:t> </w:t>
      </w:r>
      <w:r w:rsidR="00B83C93" w:rsidRPr="008B4DA2">
        <w:rPr>
          <w:rStyle w:val="normaltextrun"/>
          <w:noProof/>
        </w:rPr>
        <w:t>kar</w:t>
      </w:r>
      <w:r w:rsidRPr="008B4DA2">
        <w:rPr>
          <w:rStyle w:val="normaltextrun"/>
          <w:noProof/>
        </w:rPr>
        <w:t>anie niebezpiecznych zachowań”, miarą skuteczności będzie fakt zharmonizowania wymogów dotyczących umiejętności, wiedzy</w:t>
      </w:r>
      <w:r w:rsidR="00B83C93" w:rsidRPr="008B4DA2">
        <w:rPr>
          <w:rStyle w:val="normaltextrun"/>
          <w:noProof/>
        </w:rPr>
        <w:t xml:space="preserve"> i</w:t>
      </w:r>
      <w:r w:rsidR="00B83C93">
        <w:rPr>
          <w:rStyle w:val="normaltextrun"/>
          <w:noProof/>
        </w:rPr>
        <w:t> </w:t>
      </w:r>
      <w:r w:rsidR="00B83C93" w:rsidRPr="008B4DA2">
        <w:rPr>
          <w:rStyle w:val="normaltextrun"/>
          <w:noProof/>
        </w:rPr>
        <w:t>okr</w:t>
      </w:r>
      <w:r w:rsidRPr="008B4DA2">
        <w:rPr>
          <w:rStyle w:val="normaltextrun"/>
          <w:noProof/>
        </w:rPr>
        <w:t xml:space="preserve">esów próbnych, które muszą zostać spełnione przy pierwszym wydaniu prawa jazdy, oraz karania niebezpiecznych zachowań niezależnie od miejsca zamieszkania sprawcy. </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8B4DA2">
        <w:rPr>
          <w:rStyle w:val="normaltextrun"/>
          <w:noProof/>
        </w:rPr>
        <w:t>W przypadku „zdolności do kierowania pojazdami” miarą skuteczności będzie odsetek kierowców regularnie poddawanych profilaktycznym badaniom medycznym</w:t>
      </w:r>
      <w:r w:rsidR="00B83C93" w:rsidRPr="008B4DA2">
        <w:rPr>
          <w:rStyle w:val="normaltextrun"/>
          <w:noProof/>
        </w:rPr>
        <w:t xml:space="preserve"> w</w:t>
      </w:r>
      <w:r w:rsidR="00B83C93">
        <w:rPr>
          <w:rStyle w:val="normaltextrun"/>
          <w:noProof/>
        </w:rPr>
        <w:t> </w:t>
      </w:r>
      <w:r w:rsidR="00B83C93" w:rsidRPr="008B4DA2">
        <w:rPr>
          <w:rStyle w:val="normaltextrun"/>
          <w:noProof/>
        </w:rPr>
        <w:t>zal</w:t>
      </w:r>
      <w:r w:rsidRPr="008B4DA2">
        <w:rPr>
          <w:rStyle w:val="normaltextrun"/>
          <w:noProof/>
        </w:rPr>
        <w:t>eżności od stanu zdrowia</w:t>
      </w:r>
      <w:r w:rsidR="00B83C93" w:rsidRPr="008B4DA2">
        <w:rPr>
          <w:rStyle w:val="normaltextrun"/>
          <w:noProof/>
        </w:rPr>
        <w:t xml:space="preserve"> i</w:t>
      </w:r>
      <w:r w:rsidR="00B83C93">
        <w:rPr>
          <w:rStyle w:val="normaltextrun"/>
          <w:noProof/>
        </w:rPr>
        <w:t> </w:t>
      </w:r>
      <w:r w:rsidR="00B83C93" w:rsidRPr="008B4DA2">
        <w:rPr>
          <w:rStyle w:val="normaltextrun"/>
          <w:noProof/>
        </w:rPr>
        <w:t>wie</w:t>
      </w:r>
      <w:r w:rsidRPr="008B4DA2">
        <w:rPr>
          <w:rStyle w:val="normaltextrun"/>
          <w:noProof/>
        </w:rPr>
        <w:t>ku. Jeżeli chodzi</w:t>
      </w:r>
      <w:r w:rsidR="00B83C93" w:rsidRPr="008B4DA2">
        <w:rPr>
          <w:rStyle w:val="normaltextrun"/>
          <w:noProof/>
        </w:rPr>
        <w:t xml:space="preserve"> o</w:t>
      </w:r>
      <w:r w:rsidR="00B83C93">
        <w:rPr>
          <w:rStyle w:val="normaltextrun"/>
          <w:noProof/>
        </w:rPr>
        <w:t> </w:t>
      </w:r>
      <w:r w:rsidR="00B83C93" w:rsidRPr="008B4DA2">
        <w:rPr>
          <w:rStyle w:val="normaltextrun"/>
          <w:noProof/>
        </w:rPr>
        <w:t>usu</w:t>
      </w:r>
      <w:r w:rsidRPr="008B4DA2">
        <w:rPr>
          <w:rStyle w:val="normaltextrun"/>
          <w:noProof/>
        </w:rPr>
        <w:t>nięcie barier mających wpływ na kandydatów ubiegających się</w:t>
      </w:r>
      <w:r w:rsidR="00B83C93" w:rsidRPr="008B4DA2">
        <w:rPr>
          <w:rStyle w:val="normaltextrun"/>
          <w:noProof/>
        </w:rPr>
        <w:t xml:space="preserve"> o</w:t>
      </w:r>
      <w:r w:rsidR="00B83C93">
        <w:rPr>
          <w:rStyle w:val="normaltextrun"/>
          <w:noProof/>
        </w:rPr>
        <w:t> </w:t>
      </w:r>
      <w:r w:rsidR="00B83C93" w:rsidRPr="008B4DA2">
        <w:rPr>
          <w:rStyle w:val="normaltextrun"/>
          <w:noProof/>
        </w:rPr>
        <w:t>pra</w:t>
      </w:r>
      <w:r w:rsidRPr="008B4DA2">
        <w:rPr>
          <w:rStyle w:val="normaltextrun"/>
          <w:noProof/>
        </w:rPr>
        <w:t>wo jazdy</w:t>
      </w:r>
      <w:r w:rsidR="00B83C93" w:rsidRPr="008B4DA2">
        <w:rPr>
          <w:rStyle w:val="normaltextrun"/>
          <w:noProof/>
        </w:rPr>
        <w:t xml:space="preserve"> i</w:t>
      </w:r>
      <w:r w:rsidR="00B83C93">
        <w:rPr>
          <w:rStyle w:val="normaltextrun"/>
          <w:noProof/>
        </w:rPr>
        <w:t> </w:t>
      </w:r>
      <w:r w:rsidR="00B83C93" w:rsidRPr="008B4DA2">
        <w:rPr>
          <w:rStyle w:val="normaltextrun"/>
          <w:noProof/>
        </w:rPr>
        <w:t>pos</w:t>
      </w:r>
      <w:r w:rsidRPr="008B4DA2">
        <w:rPr>
          <w:rStyle w:val="normaltextrun"/>
          <w:noProof/>
        </w:rPr>
        <w:t>iadaczy praw jazdy, miarą skuteczności będzie liczba państw członkowskich wydających mobilne prawa jazdy lub uznających mobilne prawa jazdy UE,</w:t>
      </w:r>
      <w:r w:rsidR="00B83C93" w:rsidRPr="008B4DA2">
        <w:rPr>
          <w:rStyle w:val="normaltextrun"/>
          <w:noProof/>
        </w:rPr>
        <w:t xml:space="preserve"> a</w:t>
      </w:r>
      <w:r w:rsidR="00B83C93">
        <w:rPr>
          <w:rStyle w:val="normaltextrun"/>
          <w:noProof/>
        </w:rPr>
        <w:t> </w:t>
      </w:r>
      <w:r w:rsidR="00B83C93" w:rsidRPr="008B4DA2">
        <w:rPr>
          <w:rStyle w:val="normaltextrun"/>
          <w:noProof/>
        </w:rPr>
        <w:t>tak</w:t>
      </w:r>
      <w:r w:rsidRPr="008B4DA2">
        <w:rPr>
          <w:rStyle w:val="normaltextrun"/>
          <w:noProof/>
        </w:rPr>
        <w:t>że niewielka liczba skarg</w:t>
      </w:r>
      <w:r w:rsidR="00B83C93" w:rsidRPr="008B4DA2">
        <w:rPr>
          <w:rStyle w:val="normaltextrun"/>
          <w:noProof/>
        </w:rPr>
        <w:t xml:space="preserve"> i</w:t>
      </w:r>
      <w:r w:rsidR="00B83C93">
        <w:rPr>
          <w:rStyle w:val="normaltextrun"/>
          <w:noProof/>
        </w:rPr>
        <w:t> </w:t>
      </w:r>
      <w:r w:rsidR="00B83C93" w:rsidRPr="008B4DA2">
        <w:rPr>
          <w:rStyle w:val="normaltextrun"/>
          <w:noProof/>
        </w:rPr>
        <w:t>spr</w:t>
      </w:r>
      <w:r w:rsidRPr="008B4DA2">
        <w:rPr>
          <w:rStyle w:val="normaltextrun"/>
          <w:noProof/>
        </w:rPr>
        <w:t>aw sądowych dotyczących sytuacji,</w:t>
      </w:r>
      <w:r w:rsidR="00B83C93" w:rsidRPr="008B4DA2">
        <w:rPr>
          <w:rStyle w:val="normaltextrun"/>
          <w:noProof/>
        </w:rPr>
        <w:t xml:space="preserve"> w</w:t>
      </w:r>
      <w:r w:rsidR="00B83C93">
        <w:rPr>
          <w:rStyle w:val="normaltextrun"/>
          <w:noProof/>
        </w:rPr>
        <w:t> </w:t>
      </w:r>
      <w:r w:rsidR="00B83C93" w:rsidRPr="008B4DA2">
        <w:rPr>
          <w:rStyle w:val="normaltextrun"/>
          <w:noProof/>
        </w:rPr>
        <w:t>któ</w:t>
      </w:r>
      <w:r w:rsidRPr="008B4DA2">
        <w:rPr>
          <w:rStyle w:val="normaltextrun"/>
          <w:noProof/>
        </w:rPr>
        <w:t xml:space="preserve">rych miejsce stałego zamieszkania jest przeszkodą dla uznania istniejących uprawnień do kierowania pojazdami. </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8B4DA2">
        <w:rPr>
          <w:rStyle w:val="normaltextrun"/>
          <w:noProof/>
        </w:rPr>
        <w:t>Komisja będzie monitorować wdrażanie</w:t>
      </w:r>
      <w:r w:rsidR="00B83C93" w:rsidRPr="008B4DA2">
        <w:rPr>
          <w:rStyle w:val="normaltextrun"/>
          <w:noProof/>
        </w:rPr>
        <w:t xml:space="preserve"> i</w:t>
      </w:r>
      <w:r w:rsidR="00B83C93">
        <w:rPr>
          <w:rStyle w:val="normaltextrun"/>
          <w:noProof/>
        </w:rPr>
        <w:t> </w:t>
      </w:r>
      <w:r w:rsidR="00B83C93" w:rsidRPr="008B4DA2">
        <w:rPr>
          <w:rStyle w:val="normaltextrun"/>
          <w:noProof/>
        </w:rPr>
        <w:t>sku</w:t>
      </w:r>
      <w:r w:rsidRPr="008B4DA2">
        <w:rPr>
          <w:rStyle w:val="normaltextrun"/>
          <w:noProof/>
        </w:rPr>
        <w:t>teczność niniejszej inicjatywy za pomocą szeregu działań</w:t>
      </w:r>
      <w:r w:rsidR="00B83C93" w:rsidRPr="008B4DA2">
        <w:rPr>
          <w:rStyle w:val="normaltextrun"/>
          <w:noProof/>
        </w:rPr>
        <w:t xml:space="preserve"> i</w:t>
      </w:r>
      <w:r w:rsidR="00B83C93">
        <w:rPr>
          <w:rStyle w:val="normaltextrun"/>
          <w:noProof/>
        </w:rPr>
        <w:t> </w:t>
      </w:r>
      <w:r w:rsidR="00B83C93" w:rsidRPr="008B4DA2">
        <w:rPr>
          <w:rStyle w:val="normaltextrun"/>
          <w:noProof/>
        </w:rPr>
        <w:t>zes</w:t>
      </w:r>
      <w:r w:rsidRPr="008B4DA2">
        <w:rPr>
          <w:rStyle w:val="normaltextrun"/>
          <w:noProof/>
        </w:rPr>
        <w:t>tawu podstawowych wskaźników, które posłużą do pomiaru postępów</w:t>
      </w:r>
      <w:r w:rsidR="00B83C93" w:rsidRPr="008B4DA2">
        <w:rPr>
          <w:rStyle w:val="normaltextrun"/>
          <w:noProof/>
        </w:rPr>
        <w:t xml:space="preserve"> w</w:t>
      </w:r>
      <w:r w:rsidR="00B83C93">
        <w:rPr>
          <w:rStyle w:val="normaltextrun"/>
          <w:noProof/>
        </w:rPr>
        <w:t> </w:t>
      </w:r>
      <w:r w:rsidR="00B83C93" w:rsidRPr="008B4DA2">
        <w:rPr>
          <w:rStyle w:val="normaltextrun"/>
          <w:noProof/>
        </w:rPr>
        <w:t>osi</w:t>
      </w:r>
      <w:r w:rsidRPr="008B4DA2">
        <w:rPr>
          <w:rStyle w:val="normaltextrun"/>
          <w:noProof/>
        </w:rPr>
        <w:t>ąganiu celów operacyjnych. Pięć lat po zakończeniu okresu transpozycji aktu ustawodawczego służby Komisji powinny przeprowadzić ocenę</w:t>
      </w:r>
      <w:r w:rsidR="00B83C93" w:rsidRPr="008B4DA2">
        <w:rPr>
          <w:rStyle w:val="normaltextrun"/>
          <w:noProof/>
        </w:rPr>
        <w:t xml:space="preserve"> w</w:t>
      </w:r>
      <w:r w:rsidR="00B83C93">
        <w:rPr>
          <w:rStyle w:val="normaltextrun"/>
          <w:noProof/>
        </w:rPr>
        <w:t> </w:t>
      </w:r>
      <w:r w:rsidR="00B83C93" w:rsidRPr="008B4DA2">
        <w:rPr>
          <w:rStyle w:val="normaltextrun"/>
          <w:noProof/>
        </w:rPr>
        <w:t>cel</w:t>
      </w:r>
      <w:r w:rsidRPr="008B4DA2">
        <w:rPr>
          <w:rStyle w:val="normaltextrun"/>
          <w:noProof/>
        </w:rPr>
        <w:t>u sprawdzenia,</w:t>
      </w:r>
      <w:r w:rsidR="00B83C93" w:rsidRPr="008B4DA2">
        <w:rPr>
          <w:rStyle w:val="normaltextrun"/>
          <w:noProof/>
        </w:rPr>
        <w:t xml:space="preserve"> w</w:t>
      </w:r>
      <w:r w:rsidR="00B83C93">
        <w:rPr>
          <w:rStyle w:val="normaltextrun"/>
          <w:noProof/>
        </w:rPr>
        <w:t> </w:t>
      </w:r>
      <w:r w:rsidR="00B83C93" w:rsidRPr="008B4DA2">
        <w:rPr>
          <w:rStyle w:val="normaltextrun"/>
          <w:noProof/>
        </w:rPr>
        <w:t>jak</w:t>
      </w:r>
      <w:r w:rsidRPr="008B4DA2">
        <w:rPr>
          <w:rStyle w:val="normaltextrun"/>
          <w:noProof/>
        </w:rPr>
        <w:t>im stopniu osiągnięto cele inicjatywy.</w:t>
      </w:r>
    </w:p>
    <w:p w:rsidR="005148EA" w:rsidRPr="00B83C93"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8B4DA2">
        <w:rPr>
          <w:rStyle w:val="normaltextrun"/>
          <w:noProof/>
        </w:rPr>
        <w:t>Do monitorowania korelacji między wypadkami drogowymi</w:t>
      </w:r>
      <w:r w:rsidR="00B83C93" w:rsidRPr="008B4DA2">
        <w:rPr>
          <w:rStyle w:val="normaltextrun"/>
          <w:noProof/>
        </w:rPr>
        <w:t xml:space="preserve"> a</w:t>
      </w:r>
      <w:r w:rsidR="00B83C93">
        <w:rPr>
          <w:rStyle w:val="normaltextrun"/>
          <w:noProof/>
        </w:rPr>
        <w:t> </w:t>
      </w:r>
      <w:r w:rsidR="00B83C93" w:rsidRPr="008B4DA2">
        <w:rPr>
          <w:rStyle w:val="normaltextrun"/>
          <w:noProof/>
        </w:rPr>
        <w:t>pra</w:t>
      </w:r>
      <w:r w:rsidRPr="008B4DA2">
        <w:rPr>
          <w:rStyle w:val="normaltextrun"/>
          <w:noProof/>
        </w:rPr>
        <w:t>wami jazdy wykorzystywane będą ustanowione instrumenty monitorowania (np. baza danych Wspólnoty</w:t>
      </w:r>
      <w:r w:rsidR="00B83C93" w:rsidRPr="008B4DA2">
        <w:rPr>
          <w:rStyle w:val="normaltextrun"/>
          <w:noProof/>
        </w:rPr>
        <w:t xml:space="preserve"> o</w:t>
      </w:r>
      <w:r w:rsidR="00B83C93">
        <w:rPr>
          <w:rStyle w:val="normaltextrun"/>
          <w:noProof/>
        </w:rPr>
        <w:t> </w:t>
      </w:r>
      <w:r w:rsidR="00B83C93" w:rsidRPr="008B4DA2">
        <w:rPr>
          <w:rStyle w:val="normaltextrun"/>
          <w:noProof/>
        </w:rPr>
        <w:t>wyp</w:t>
      </w:r>
      <w:r w:rsidRPr="008B4DA2">
        <w:rPr>
          <w:rStyle w:val="normaltextrun"/>
          <w:noProof/>
        </w:rPr>
        <w:t>adkach drogowych (CARE)). Sprawozdania będą zawierały informacje</w:t>
      </w:r>
      <w:r w:rsidR="00B83C93" w:rsidRPr="008B4DA2">
        <w:rPr>
          <w:rStyle w:val="normaltextrun"/>
          <w:noProof/>
        </w:rPr>
        <w:t xml:space="preserve"> o</w:t>
      </w:r>
      <w:r w:rsidR="00B83C93">
        <w:rPr>
          <w:rStyle w:val="normaltextrun"/>
          <w:noProof/>
        </w:rPr>
        <w:t> </w:t>
      </w:r>
      <w:r w:rsidR="00B83C93" w:rsidRPr="008B4DA2">
        <w:rPr>
          <w:rStyle w:val="normaltextrun"/>
          <w:noProof/>
        </w:rPr>
        <w:t>lic</w:t>
      </w:r>
      <w:r w:rsidRPr="008B4DA2">
        <w:rPr>
          <w:rStyle w:val="normaltextrun"/>
          <w:noProof/>
        </w:rPr>
        <w:t>zbie wypadków,</w:t>
      </w:r>
      <w:r w:rsidR="00B83C93" w:rsidRPr="008B4DA2">
        <w:rPr>
          <w:rStyle w:val="normaltextrun"/>
          <w:noProof/>
        </w:rPr>
        <w:t xml:space="preserve"> w</w:t>
      </w:r>
      <w:r w:rsidR="00B83C93">
        <w:rPr>
          <w:rStyle w:val="normaltextrun"/>
          <w:noProof/>
        </w:rPr>
        <w:t> </w:t>
      </w:r>
      <w:r w:rsidR="00B83C93" w:rsidRPr="008B4DA2">
        <w:rPr>
          <w:rStyle w:val="normaltextrun"/>
          <w:noProof/>
        </w:rPr>
        <w:t>któ</w:t>
      </w:r>
      <w:r w:rsidRPr="008B4DA2">
        <w:rPr>
          <w:rStyle w:val="normaltextrun"/>
          <w:noProof/>
        </w:rPr>
        <w:t>rych doszło do urazów lub utraty życia,</w:t>
      </w:r>
      <w:r w:rsidR="00B83C93" w:rsidRPr="008B4DA2">
        <w:rPr>
          <w:rStyle w:val="normaltextrun"/>
          <w:noProof/>
        </w:rPr>
        <w:t xml:space="preserve"> a</w:t>
      </w:r>
      <w:r w:rsidR="00B83C93">
        <w:rPr>
          <w:rStyle w:val="normaltextrun"/>
          <w:noProof/>
        </w:rPr>
        <w:t> </w:t>
      </w:r>
      <w:r w:rsidR="00B83C93" w:rsidRPr="008B4DA2">
        <w:rPr>
          <w:rStyle w:val="normaltextrun"/>
          <w:noProof/>
        </w:rPr>
        <w:t>tak</w:t>
      </w:r>
      <w:r w:rsidRPr="008B4DA2">
        <w:rPr>
          <w:rStyle w:val="normaltextrun"/>
          <w:noProof/>
        </w:rPr>
        <w:t>że</w:t>
      </w:r>
      <w:r w:rsidR="00B83C93" w:rsidRPr="008B4DA2">
        <w:rPr>
          <w:rStyle w:val="normaltextrun"/>
          <w:noProof/>
        </w:rPr>
        <w:t xml:space="preserve"> o</w:t>
      </w:r>
      <w:r w:rsidR="00B83C93">
        <w:rPr>
          <w:rStyle w:val="normaltextrun"/>
          <w:noProof/>
        </w:rPr>
        <w:t> </w:t>
      </w:r>
      <w:r w:rsidR="00B83C93" w:rsidRPr="008B4DA2">
        <w:rPr>
          <w:rStyle w:val="normaltextrun"/>
          <w:noProof/>
        </w:rPr>
        <w:t>ucz</w:t>
      </w:r>
      <w:r w:rsidRPr="008B4DA2">
        <w:rPr>
          <w:rStyle w:val="normaltextrun"/>
          <w:noProof/>
        </w:rPr>
        <w:t>estniczących</w:t>
      </w:r>
      <w:r w:rsidR="00B83C93" w:rsidRPr="008B4DA2">
        <w:rPr>
          <w:rStyle w:val="normaltextrun"/>
          <w:noProof/>
        </w:rPr>
        <w:t xml:space="preserve"> w</w:t>
      </w:r>
      <w:r w:rsidR="00B83C93">
        <w:rPr>
          <w:rStyle w:val="normaltextrun"/>
          <w:noProof/>
        </w:rPr>
        <w:t> </w:t>
      </w:r>
      <w:r w:rsidR="00B83C93" w:rsidRPr="008B4DA2">
        <w:rPr>
          <w:rStyle w:val="normaltextrun"/>
          <w:noProof/>
        </w:rPr>
        <w:t>nic</w:t>
      </w:r>
      <w:r w:rsidRPr="008B4DA2">
        <w:rPr>
          <w:rStyle w:val="normaltextrun"/>
          <w:noProof/>
        </w:rPr>
        <w:t>h kierowcach, takie jak ich wiek, data ważności</w:t>
      </w:r>
      <w:r w:rsidR="00B83C93" w:rsidRPr="008B4DA2">
        <w:rPr>
          <w:rStyle w:val="normaltextrun"/>
          <w:noProof/>
        </w:rPr>
        <w:t xml:space="preserve"> i</w:t>
      </w:r>
      <w:r w:rsidR="00B83C93">
        <w:rPr>
          <w:rStyle w:val="normaltextrun"/>
          <w:noProof/>
        </w:rPr>
        <w:t> </w:t>
      </w:r>
      <w:r w:rsidR="00B83C93" w:rsidRPr="008B4DA2">
        <w:rPr>
          <w:rStyle w:val="normaltextrun"/>
          <w:noProof/>
        </w:rPr>
        <w:t>wyd</w:t>
      </w:r>
      <w:r w:rsidRPr="008B4DA2">
        <w:rPr>
          <w:rStyle w:val="normaltextrun"/>
          <w:noProof/>
        </w:rPr>
        <w:t>ania ich praw jazdy oraz wyniki badań na obecność środków odurzających/alkoholu. Aby umożliwić,</w:t>
      </w:r>
      <w:r w:rsidR="00B83C93" w:rsidRPr="008B4DA2">
        <w:rPr>
          <w:rStyle w:val="normaltextrun"/>
          <w:noProof/>
        </w:rPr>
        <w:t xml:space="preserve"> w</w:t>
      </w:r>
      <w:r w:rsidR="00B83C93">
        <w:rPr>
          <w:rStyle w:val="normaltextrun"/>
          <w:noProof/>
        </w:rPr>
        <w:t> </w:t>
      </w:r>
      <w:r w:rsidR="00B83C93" w:rsidRPr="008B4DA2">
        <w:rPr>
          <w:rStyle w:val="normaltextrun"/>
          <w:noProof/>
        </w:rPr>
        <w:t>jak</w:t>
      </w:r>
      <w:r w:rsidRPr="008B4DA2">
        <w:rPr>
          <w:rStyle w:val="normaltextrun"/>
          <w:noProof/>
        </w:rPr>
        <w:t xml:space="preserve"> największym stopniu, oddzielenie skutków zmienionej dyrektywy od innych czynników, dane statystyczne dotyczące liczby wydanych praw jazdy będą pozyskiwane od państw członkowskich. Powinno to umożliwić ocenę względnego wzrostu bezpieczeństwa ruchu drogowego</w:t>
      </w:r>
      <w:r w:rsidR="00B83C93" w:rsidRPr="008B4DA2">
        <w:rPr>
          <w:rStyle w:val="normaltextrun"/>
          <w:noProof/>
        </w:rPr>
        <w:t xml:space="preserve"> w</w:t>
      </w:r>
      <w:r w:rsidR="00B83C93">
        <w:rPr>
          <w:rStyle w:val="normaltextrun"/>
          <w:noProof/>
        </w:rPr>
        <w:t> </w:t>
      </w:r>
      <w:r w:rsidR="00B83C93" w:rsidRPr="008B4DA2">
        <w:rPr>
          <w:rStyle w:val="normaltextrun"/>
          <w:noProof/>
        </w:rPr>
        <w:t>odn</w:t>
      </w:r>
      <w:r w:rsidRPr="008B4DA2">
        <w:rPr>
          <w:rStyle w:val="normaltextrun"/>
          <w:noProof/>
        </w:rPr>
        <w:t>iesieniu do głównych grup kierowców, których dotyczy rewizja przepisów (np. początkujący kierowcy, kierowcy</w:t>
      </w:r>
      <w:r w:rsidR="00B83C93" w:rsidRPr="008B4DA2">
        <w:rPr>
          <w:rStyle w:val="normaltextrun"/>
          <w:noProof/>
        </w:rPr>
        <w:t xml:space="preserve"> z</w:t>
      </w:r>
      <w:r w:rsidR="00B83C93">
        <w:rPr>
          <w:rStyle w:val="normaltextrun"/>
          <w:noProof/>
        </w:rPr>
        <w:t> </w:t>
      </w:r>
      <w:r w:rsidR="00B83C93" w:rsidRPr="008B4DA2">
        <w:rPr>
          <w:rStyle w:val="normaltextrun"/>
          <w:noProof/>
        </w:rPr>
        <w:t>pro</w:t>
      </w:r>
      <w:r w:rsidRPr="008B4DA2">
        <w:rPr>
          <w:rStyle w:val="normaltextrun"/>
          <w:noProof/>
        </w:rPr>
        <w:t>blemami zdrowotnymi)</w:t>
      </w:r>
      <w:r w:rsidRPr="00B83C93">
        <w:rPr>
          <w:rStyle w:val="normaltextrun"/>
          <w:noProof/>
        </w:rPr>
        <w:t>.</w:t>
      </w:r>
      <w:r w:rsidR="00B83C93" w:rsidRPr="00B83C93">
        <w:rPr>
          <w:rStyle w:val="normaltextrun"/>
          <w:noProof/>
        </w:rPr>
        <w:t xml:space="preserve"> </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8B4DA2">
        <w:rPr>
          <w:rStyle w:val="normaltextrun"/>
          <w:noProof/>
        </w:rPr>
        <w:t xml:space="preserve">Ponadto Komisja nadal będzie opracowywać dane statystyczne dotyczące wykorzystania sieci RESPER, ustanowionej na mocy </w:t>
      </w:r>
      <w:r w:rsidRPr="00B83C93">
        <w:rPr>
          <w:rStyle w:val="normaltextrun"/>
          <w:noProof/>
        </w:rPr>
        <w:t>art.</w:t>
      </w:r>
      <w:r w:rsidR="00B83C93" w:rsidRPr="00B83C93">
        <w:rPr>
          <w:rStyle w:val="normaltextrun"/>
          <w:noProof/>
        </w:rPr>
        <w:t> </w:t>
      </w:r>
      <w:r w:rsidRPr="00B83C93">
        <w:rPr>
          <w:rStyle w:val="normaltextrun"/>
          <w:noProof/>
        </w:rPr>
        <w:t>1</w:t>
      </w:r>
      <w:r w:rsidRPr="008B4DA2">
        <w:rPr>
          <w:rStyle w:val="normaltextrun"/>
          <w:noProof/>
        </w:rPr>
        <w:t>5 dyrektywy 2006/126/WE, do wymiany informacji</w:t>
      </w:r>
      <w:r w:rsidR="00B83C93" w:rsidRPr="008B4DA2">
        <w:rPr>
          <w:rStyle w:val="normaltextrun"/>
          <w:noProof/>
        </w:rPr>
        <w:t xml:space="preserve"> o</w:t>
      </w:r>
      <w:r w:rsidR="00B83C93">
        <w:rPr>
          <w:rStyle w:val="normaltextrun"/>
          <w:noProof/>
        </w:rPr>
        <w:t> </w:t>
      </w:r>
      <w:r w:rsidR="00B83C93" w:rsidRPr="008B4DA2">
        <w:rPr>
          <w:rStyle w:val="normaltextrun"/>
          <w:noProof/>
        </w:rPr>
        <w:t>pra</w:t>
      </w:r>
      <w:r w:rsidRPr="008B4DA2">
        <w:rPr>
          <w:rStyle w:val="normaltextrun"/>
          <w:noProof/>
        </w:rPr>
        <w:t xml:space="preserve">wach jazdy. Komisja może również zbadać możliwość uzupełnienia tych informacji danymi statystycznymi uzyskiwanymi z EUCARIS, aplikacji stosowanej przez kilka państw członkowskich do łączenia się z RESPER. </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8B4DA2">
        <w:rPr>
          <w:rStyle w:val="normaltextrun"/>
          <w:noProof/>
        </w:rPr>
        <w:t>W odniesieniu do interoperacyjności mobilnego prawa jazdy UE specjalna grupa robocza</w:t>
      </w:r>
      <w:r w:rsidR="00B83C93" w:rsidRPr="008B4DA2">
        <w:rPr>
          <w:rStyle w:val="normaltextrun"/>
          <w:noProof/>
        </w:rPr>
        <w:t xml:space="preserve"> w</w:t>
      </w:r>
      <w:r w:rsidR="00B83C93">
        <w:rPr>
          <w:rStyle w:val="normaltextrun"/>
          <w:noProof/>
        </w:rPr>
        <w:t> </w:t>
      </w:r>
      <w:r w:rsidR="00B83C93" w:rsidRPr="008B4DA2">
        <w:rPr>
          <w:rStyle w:val="normaltextrun"/>
          <w:noProof/>
        </w:rPr>
        <w:t>ram</w:t>
      </w:r>
      <w:r w:rsidRPr="008B4DA2">
        <w:rPr>
          <w:rStyle w:val="normaltextrun"/>
          <w:noProof/>
        </w:rPr>
        <w:t xml:space="preserve">ach komitetu ustanowionego na mocy </w:t>
      </w:r>
      <w:r w:rsidRPr="00B83C93">
        <w:rPr>
          <w:rStyle w:val="normaltextrun"/>
          <w:noProof/>
        </w:rPr>
        <w:t>art.</w:t>
      </w:r>
      <w:r w:rsidR="00B83C93" w:rsidRPr="00B83C93">
        <w:rPr>
          <w:rStyle w:val="normaltextrun"/>
          <w:noProof/>
        </w:rPr>
        <w:t> </w:t>
      </w:r>
      <w:r w:rsidRPr="00B83C93">
        <w:rPr>
          <w:rStyle w:val="normaltextrun"/>
          <w:noProof/>
        </w:rPr>
        <w:t>2</w:t>
      </w:r>
      <w:r w:rsidRPr="008B4DA2">
        <w:rPr>
          <w:rStyle w:val="normaltextrun"/>
          <w:noProof/>
        </w:rPr>
        <w:t>1 dyrektywy będzie monitorować postępy</w:t>
      </w:r>
      <w:r w:rsidR="00B83C93" w:rsidRPr="008B4DA2">
        <w:rPr>
          <w:rStyle w:val="normaltextrun"/>
          <w:noProof/>
        </w:rPr>
        <w:t xml:space="preserve"> w</w:t>
      </w:r>
      <w:r w:rsidR="00B83C93">
        <w:rPr>
          <w:rStyle w:val="normaltextrun"/>
          <w:noProof/>
        </w:rPr>
        <w:t> </w:t>
      </w:r>
      <w:r w:rsidR="00B83C93" w:rsidRPr="008B4DA2">
        <w:rPr>
          <w:rStyle w:val="normaltextrun"/>
          <w:noProof/>
        </w:rPr>
        <w:t>cel</w:t>
      </w:r>
      <w:r w:rsidRPr="008B4DA2">
        <w:rPr>
          <w:rStyle w:val="normaltextrun"/>
          <w:noProof/>
        </w:rPr>
        <w:t>u identyfikowania</w:t>
      </w:r>
      <w:r w:rsidR="00B83C93" w:rsidRPr="008B4DA2">
        <w:rPr>
          <w:rStyle w:val="normaltextrun"/>
          <w:noProof/>
        </w:rPr>
        <w:t xml:space="preserve"> i</w:t>
      </w:r>
      <w:r w:rsidR="00B83C93">
        <w:rPr>
          <w:rStyle w:val="normaltextrun"/>
          <w:noProof/>
        </w:rPr>
        <w:t> </w:t>
      </w:r>
      <w:r w:rsidR="00B83C93" w:rsidRPr="008B4DA2">
        <w:rPr>
          <w:rStyle w:val="normaltextrun"/>
          <w:noProof/>
        </w:rPr>
        <w:t>roz</w:t>
      </w:r>
      <w:r w:rsidRPr="008B4DA2">
        <w:rPr>
          <w:rStyle w:val="normaltextrun"/>
          <w:noProof/>
        </w:rPr>
        <w:t xml:space="preserve">wiązywania ewentualnych problemów. </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8B4DA2">
        <w:rPr>
          <w:rStyle w:val="normaltextrun"/>
          <w:noProof/>
        </w:rPr>
        <w:t>Komisja będzie także zwracać się do państw członkowskich</w:t>
      </w:r>
      <w:r w:rsidR="00B83C93" w:rsidRPr="008B4DA2">
        <w:rPr>
          <w:rStyle w:val="normaltextrun"/>
          <w:noProof/>
        </w:rPr>
        <w:t xml:space="preserve"> o</w:t>
      </w:r>
      <w:r w:rsidR="00B83C93">
        <w:rPr>
          <w:rStyle w:val="normaltextrun"/>
          <w:noProof/>
        </w:rPr>
        <w:t> </w:t>
      </w:r>
      <w:r w:rsidR="00B83C93" w:rsidRPr="008B4DA2">
        <w:rPr>
          <w:rStyle w:val="normaltextrun"/>
          <w:noProof/>
        </w:rPr>
        <w:t>udo</w:t>
      </w:r>
      <w:r w:rsidRPr="008B4DA2">
        <w:rPr>
          <w:rStyle w:val="normaltextrun"/>
          <w:noProof/>
        </w:rPr>
        <w:t>stępnianie danych statystycznych pozyskanych</w:t>
      </w:r>
      <w:r w:rsidR="00B83C93" w:rsidRPr="008B4DA2">
        <w:rPr>
          <w:rStyle w:val="normaltextrun"/>
          <w:noProof/>
        </w:rPr>
        <w:t xml:space="preserve"> z</w:t>
      </w:r>
      <w:r w:rsidR="00B83C93">
        <w:rPr>
          <w:rStyle w:val="normaltextrun"/>
          <w:noProof/>
        </w:rPr>
        <w:t> </w:t>
      </w:r>
      <w:r w:rsidR="00B83C93" w:rsidRPr="008B4DA2">
        <w:rPr>
          <w:rStyle w:val="normaltextrun"/>
          <w:noProof/>
        </w:rPr>
        <w:t>rej</w:t>
      </w:r>
      <w:r w:rsidRPr="008B4DA2">
        <w:rPr>
          <w:rStyle w:val="normaltextrun"/>
          <w:noProof/>
        </w:rPr>
        <w:t>estrów krajowych, jak miało to miejsce</w:t>
      </w:r>
      <w:r w:rsidR="00B83C93" w:rsidRPr="008B4DA2">
        <w:rPr>
          <w:rStyle w:val="normaltextrun"/>
          <w:noProof/>
        </w:rPr>
        <w:t xml:space="preserve"> w</w:t>
      </w:r>
      <w:r w:rsidR="00B83C93">
        <w:rPr>
          <w:rStyle w:val="normaltextrun"/>
          <w:noProof/>
        </w:rPr>
        <w:t> </w:t>
      </w:r>
      <w:r w:rsidR="00B83C93" w:rsidRPr="008B4DA2">
        <w:rPr>
          <w:rStyle w:val="normaltextrun"/>
          <w:noProof/>
        </w:rPr>
        <w:t>ram</w:t>
      </w:r>
      <w:r w:rsidRPr="008B4DA2">
        <w:rPr>
          <w:rStyle w:val="normaltextrun"/>
          <w:noProof/>
        </w:rPr>
        <w:t>ach badania uzupełniającego niniejszą ocenę skutków, dotyczących liczby wydanych praw jazdy</w:t>
      </w:r>
      <w:r w:rsidR="00B83C93" w:rsidRPr="008B4DA2">
        <w:rPr>
          <w:rStyle w:val="normaltextrun"/>
          <w:noProof/>
        </w:rPr>
        <w:t xml:space="preserve"> w</w:t>
      </w:r>
      <w:r w:rsidR="00B83C93">
        <w:rPr>
          <w:rStyle w:val="normaltextrun"/>
          <w:noProof/>
        </w:rPr>
        <w:t> </w:t>
      </w:r>
      <w:r w:rsidR="00B83C93" w:rsidRPr="008B4DA2">
        <w:rPr>
          <w:rStyle w:val="normaltextrun"/>
          <w:noProof/>
        </w:rPr>
        <w:t>pod</w:t>
      </w:r>
      <w:r w:rsidRPr="008B4DA2">
        <w:rPr>
          <w:rStyle w:val="normaltextrun"/>
          <w:noProof/>
        </w:rPr>
        <w:t>ziale na kategorie, płeć</w:t>
      </w:r>
      <w:r w:rsidR="00B83C93" w:rsidRPr="008B4DA2">
        <w:rPr>
          <w:rStyle w:val="normaltextrun"/>
          <w:noProof/>
        </w:rPr>
        <w:t xml:space="preserve"> i</w:t>
      </w:r>
      <w:r w:rsidR="00B83C93">
        <w:rPr>
          <w:rStyle w:val="normaltextrun"/>
          <w:noProof/>
        </w:rPr>
        <w:t> </w:t>
      </w:r>
      <w:r w:rsidR="00B83C93" w:rsidRPr="008B4DA2">
        <w:rPr>
          <w:rStyle w:val="normaltextrun"/>
          <w:noProof/>
        </w:rPr>
        <w:t>gru</w:t>
      </w:r>
      <w:r w:rsidRPr="008B4DA2">
        <w:rPr>
          <w:rStyle w:val="normaltextrun"/>
          <w:noProof/>
        </w:rPr>
        <w:t>pę wiekową</w:t>
      </w:r>
      <w:r w:rsidRPr="008B4DA2">
        <w:rPr>
          <w:noProof/>
        </w:rPr>
        <w:t>.</w:t>
      </w:r>
    </w:p>
    <w:p w:rsidR="005148EA" w:rsidRPr="008B4DA2" w:rsidRDefault="005148EA" w:rsidP="005148EA">
      <w:pPr>
        <w:pStyle w:val="ManualHeading2"/>
        <w:rPr>
          <w:bCs/>
          <w:noProof/>
          <w:szCs w:val="24"/>
        </w:rPr>
      </w:pPr>
      <w:r w:rsidRPr="008B4DA2">
        <w:rPr>
          <w:noProof/>
        </w:rPr>
        <w:t>1.5.</w:t>
      </w:r>
      <w:r w:rsidRPr="008B4DA2">
        <w:rPr>
          <w:noProof/>
        </w:rPr>
        <w:tab/>
        <w:t>Uzasadnienie wniosku/inicjatywy</w:t>
      </w:r>
      <w:bookmarkEnd w:id="26"/>
      <w:bookmarkEnd w:id="27"/>
      <w:r w:rsidRPr="008B4DA2">
        <w:rPr>
          <w:noProof/>
        </w:rPr>
        <w:t xml:space="preserve"> </w:t>
      </w:r>
    </w:p>
    <w:p w:rsidR="005148EA" w:rsidRPr="008B4DA2" w:rsidRDefault="005148EA" w:rsidP="005148EA">
      <w:pPr>
        <w:pStyle w:val="ManualHeading3"/>
        <w:rPr>
          <w:noProof/>
        </w:rPr>
      </w:pPr>
      <w:bookmarkStart w:id="28" w:name="_Toc514938026"/>
      <w:bookmarkStart w:id="29" w:name="_Toc520485035"/>
      <w:r w:rsidRPr="008B4DA2">
        <w:rPr>
          <w:noProof/>
        </w:rPr>
        <w:t>1.5.1.</w:t>
      </w:r>
      <w:r w:rsidRPr="008B4DA2">
        <w:rPr>
          <w:noProof/>
        </w:rPr>
        <w:tab/>
        <w:t>Potrzeby, które należy zaspokoić</w:t>
      </w:r>
      <w:r w:rsidR="00B83C93" w:rsidRPr="008B4DA2">
        <w:rPr>
          <w:noProof/>
        </w:rPr>
        <w:t xml:space="preserve"> w</w:t>
      </w:r>
      <w:r w:rsidR="00B83C93">
        <w:rPr>
          <w:noProof/>
        </w:rPr>
        <w:t> </w:t>
      </w:r>
      <w:r w:rsidR="00B83C93" w:rsidRPr="008B4DA2">
        <w:rPr>
          <w:noProof/>
        </w:rPr>
        <w:t>per</w:t>
      </w:r>
      <w:r w:rsidRPr="008B4DA2">
        <w:rPr>
          <w:noProof/>
        </w:rPr>
        <w:t>spektywie krótko- lub długoterminowej,</w:t>
      </w:r>
      <w:r w:rsidR="00B83C93" w:rsidRPr="008B4DA2">
        <w:rPr>
          <w:noProof/>
        </w:rPr>
        <w:t xml:space="preserve"> w</w:t>
      </w:r>
      <w:r w:rsidR="00B83C93">
        <w:rPr>
          <w:noProof/>
        </w:rPr>
        <w:t> </w:t>
      </w:r>
      <w:r w:rsidR="00B83C93" w:rsidRPr="008B4DA2">
        <w:rPr>
          <w:noProof/>
        </w:rPr>
        <w:t>tym</w:t>
      </w:r>
      <w:r w:rsidRPr="008B4DA2">
        <w:rPr>
          <w:noProof/>
        </w:rPr>
        <w:t xml:space="preserve"> szczegółowy terminarz przebiegu realizacji inicjatywy</w:t>
      </w:r>
      <w:bookmarkEnd w:id="28"/>
      <w:bookmarkEnd w:id="29"/>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rPr>
      </w:pPr>
      <w:r w:rsidRPr="008B4DA2">
        <w:rPr>
          <w:rStyle w:val="normaltextrun"/>
          <w:noProof/>
        </w:rPr>
        <w:t>Niniejsza inicjatywa UE zawiera czwarty</w:t>
      </w:r>
      <w:r w:rsidR="00B83C93" w:rsidRPr="008B4DA2">
        <w:rPr>
          <w:rStyle w:val="normaltextrun"/>
          <w:noProof/>
        </w:rPr>
        <w:t xml:space="preserve"> w</w:t>
      </w:r>
      <w:r w:rsidR="00B83C93">
        <w:rPr>
          <w:rStyle w:val="normaltextrun"/>
          <w:noProof/>
        </w:rPr>
        <w:t> </w:t>
      </w:r>
      <w:r w:rsidR="00B83C93" w:rsidRPr="008B4DA2">
        <w:rPr>
          <w:rStyle w:val="normaltextrun"/>
          <w:noProof/>
        </w:rPr>
        <w:t>kol</w:t>
      </w:r>
      <w:r w:rsidRPr="008B4DA2">
        <w:rPr>
          <w:rStyle w:val="normaltextrun"/>
          <w:noProof/>
        </w:rPr>
        <w:t xml:space="preserve">ejności zestaw </w:t>
      </w:r>
      <w:r w:rsidRPr="008B4DA2">
        <w:rPr>
          <w:rStyle w:val="normaltextrun"/>
          <w:noProof/>
          <w:color w:val="000000"/>
          <w:shd w:val="clear" w:color="auto" w:fill="FFFFFF"/>
        </w:rPr>
        <w:t>unijnych przepisów regulujących kwestię praw jazdy (po raz pierwszy wprowadzonych</w:t>
      </w:r>
      <w:r w:rsidR="00B83C93" w:rsidRPr="008B4DA2">
        <w:rPr>
          <w:rStyle w:val="normaltextrun"/>
          <w:noProof/>
          <w:color w:val="000000"/>
          <w:shd w:val="clear" w:color="auto" w:fill="FFFFFF"/>
        </w:rPr>
        <w:t xml:space="preserve"> w</w:t>
      </w:r>
      <w:r w:rsidR="00B83C93">
        <w:rPr>
          <w:rStyle w:val="normaltextrun"/>
          <w:noProof/>
          <w:color w:val="000000"/>
          <w:shd w:val="clear" w:color="auto" w:fill="FFFFFF"/>
        </w:rPr>
        <w:t> </w:t>
      </w:r>
      <w:r w:rsidR="00B83C93" w:rsidRPr="008B4DA2">
        <w:rPr>
          <w:rStyle w:val="normaltextrun"/>
          <w:noProof/>
          <w:color w:val="000000"/>
          <w:shd w:val="clear" w:color="auto" w:fill="FFFFFF"/>
        </w:rPr>
        <w:t>1</w:t>
      </w:r>
      <w:r w:rsidRPr="008B4DA2">
        <w:rPr>
          <w:rStyle w:val="normaltextrun"/>
          <w:noProof/>
          <w:color w:val="000000"/>
          <w:shd w:val="clear" w:color="auto" w:fill="FFFFFF"/>
        </w:rPr>
        <w:t>9</w:t>
      </w:r>
      <w:r w:rsidRPr="00B83C93">
        <w:rPr>
          <w:rStyle w:val="normaltextrun"/>
          <w:noProof/>
          <w:color w:val="000000"/>
          <w:shd w:val="clear" w:color="auto" w:fill="FFFFFF"/>
        </w:rPr>
        <w:t>80</w:t>
      </w:r>
      <w:r w:rsidR="00B83C93" w:rsidRPr="00B83C93">
        <w:rPr>
          <w:rStyle w:val="normaltextrun"/>
          <w:noProof/>
          <w:color w:val="000000"/>
          <w:shd w:val="clear" w:color="auto" w:fill="FFFFFF"/>
        </w:rPr>
        <w:t> </w:t>
      </w:r>
      <w:r w:rsidRPr="00B83C93">
        <w:rPr>
          <w:rStyle w:val="normaltextrun"/>
          <w:noProof/>
          <w:color w:val="000000"/>
          <w:shd w:val="clear" w:color="auto" w:fill="FFFFFF"/>
        </w:rPr>
        <w:t>r.</w:t>
      </w:r>
      <w:r w:rsidRPr="008B4DA2">
        <w:rPr>
          <w:rStyle w:val="normaltextrun"/>
          <w:noProof/>
          <w:color w:val="000000"/>
          <w:shd w:val="clear" w:color="auto" w:fill="FFFFFF"/>
        </w:rPr>
        <w:t xml:space="preserve"> dyrektywą 80/1263/EWG)</w:t>
      </w:r>
      <w:r w:rsidRPr="008B4DA2">
        <w:rPr>
          <w:rStyle w:val="FootnoteReference"/>
          <w:noProof/>
        </w:rPr>
        <w:footnoteReference w:id="68"/>
      </w:r>
      <w:r w:rsidRPr="008B4DA2">
        <w:rPr>
          <w:rStyle w:val="normaltextrun"/>
          <w:noProof/>
          <w:color w:val="000000"/>
          <w:shd w:val="clear" w:color="auto" w:fill="FFFFFF"/>
        </w:rPr>
        <w:t>.</w:t>
      </w:r>
      <w:r w:rsidRPr="008B4DA2">
        <w:rPr>
          <w:noProof/>
        </w:rPr>
        <w:t xml:space="preserve"> </w:t>
      </w:r>
      <w:r w:rsidRPr="008B4DA2">
        <w:rPr>
          <w:rStyle w:val="normaltextrun"/>
          <w:noProof/>
        </w:rPr>
        <w:t>Przepisy te przyczyniły się do zmniejszenia liczby śmiertelnych ofiar wypadków drogowych</w:t>
      </w:r>
      <w:r w:rsidR="00B83C93" w:rsidRPr="008B4DA2">
        <w:rPr>
          <w:rStyle w:val="normaltextrun"/>
          <w:noProof/>
        </w:rPr>
        <w:t xml:space="preserve"> o</w:t>
      </w:r>
      <w:r w:rsidR="00B83C93">
        <w:rPr>
          <w:rStyle w:val="normaltextrun"/>
          <w:noProof/>
        </w:rPr>
        <w:t> </w:t>
      </w:r>
      <w:r w:rsidR="00B83C93" w:rsidRPr="008B4DA2">
        <w:rPr>
          <w:rStyle w:val="normaltextrun"/>
          <w:noProof/>
        </w:rPr>
        <w:t>6</w:t>
      </w:r>
      <w:r w:rsidRPr="008B4DA2">
        <w:rPr>
          <w:rStyle w:val="normaltextrun"/>
          <w:noProof/>
        </w:rPr>
        <w:t>1,</w:t>
      </w:r>
      <w:r w:rsidRPr="00B83C93">
        <w:rPr>
          <w:rStyle w:val="normaltextrun"/>
          <w:noProof/>
        </w:rPr>
        <w:t>5</w:t>
      </w:r>
      <w:r w:rsidR="00B83C93" w:rsidRPr="00B83C93">
        <w:rPr>
          <w:rStyle w:val="normaltextrun"/>
          <w:noProof/>
        </w:rPr>
        <w:t> </w:t>
      </w:r>
      <w:r w:rsidRPr="00B83C93">
        <w:rPr>
          <w:rStyle w:val="normaltextrun"/>
          <w:noProof/>
        </w:rPr>
        <w:t>%</w:t>
      </w:r>
      <w:r w:rsidRPr="008B4DA2">
        <w:rPr>
          <w:rStyle w:val="normaltextrun"/>
          <w:noProof/>
        </w:rPr>
        <w:t>,</w:t>
      </w:r>
      <w:r w:rsidR="00B83C93" w:rsidRPr="008B4DA2">
        <w:rPr>
          <w:rStyle w:val="normaltextrun"/>
          <w:noProof/>
        </w:rPr>
        <w:t xml:space="preserve"> z</w:t>
      </w:r>
      <w:r w:rsidR="00B83C93">
        <w:rPr>
          <w:rStyle w:val="normaltextrun"/>
          <w:noProof/>
        </w:rPr>
        <w:t> </w:t>
      </w:r>
      <w:r w:rsidR="00B83C93" w:rsidRPr="008B4DA2">
        <w:rPr>
          <w:rStyle w:val="normaltextrun"/>
          <w:noProof/>
        </w:rPr>
        <w:t>oko</w:t>
      </w:r>
      <w:r w:rsidRPr="008B4DA2">
        <w:rPr>
          <w:rStyle w:val="normaltextrun"/>
          <w:noProof/>
        </w:rPr>
        <w:t>ło 51 400</w:t>
      </w:r>
      <w:r w:rsidR="00B83C93" w:rsidRPr="008B4DA2">
        <w:rPr>
          <w:rStyle w:val="normaltextrun"/>
          <w:noProof/>
        </w:rPr>
        <w:t xml:space="preserve"> w</w:t>
      </w:r>
      <w:r w:rsidR="00B83C93">
        <w:rPr>
          <w:rStyle w:val="normaltextrun"/>
          <w:noProof/>
        </w:rPr>
        <w:t> </w:t>
      </w:r>
      <w:r w:rsidR="00B83C93" w:rsidRPr="008B4DA2">
        <w:rPr>
          <w:rStyle w:val="normaltextrun"/>
          <w:noProof/>
        </w:rPr>
        <w:t>2</w:t>
      </w:r>
      <w:r w:rsidRPr="008B4DA2">
        <w:rPr>
          <w:rStyle w:val="normaltextrun"/>
          <w:noProof/>
        </w:rPr>
        <w:t>0</w:t>
      </w:r>
      <w:r w:rsidRPr="00B83C93">
        <w:rPr>
          <w:rStyle w:val="normaltextrun"/>
          <w:noProof/>
        </w:rPr>
        <w:t>01</w:t>
      </w:r>
      <w:r w:rsidR="00B83C93" w:rsidRPr="00B83C93">
        <w:rPr>
          <w:rStyle w:val="normaltextrun"/>
          <w:noProof/>
        </w:rPr>
        <w:t> </w:t>
      </w:r>
      <w:r w:rsidRPr="00B83C93">
        <w:rPr>
          <w:rStyle w:val="normaltextrun"/>
          <w:noProof/>
        </w:rPr>
        <w:t>r.</w:t>
      </w:r>
      <w:r w:rsidRPr="008B4DA2">
        <w:rPr>
          <w:rStyle w:val="normaltextrun"/>
          <w:noProof/>
        </w:rPr>
        <w:t xml:space="preserve"> do około 19 800</w:t>
      </w:r>
      <w:r w:rsidR="00B83C93" w:rsidRPr="008B4DA2">
        <w:rPr>
          <w:rStyle w:val="normaltextrun"/>
          <w:noProof/>
        </w:rPr>
        <w:t xml:space="preserve"> w</w:t>
      </w:r>
      <w:r w:rsidR="00B83C93">
        <w:rPr>
          <w:rStyle w:val="normaltextrun"/>
          <w:noProof/>
        </w:rPr>
        <w:t> </w:t>
      </w:r>
      <w:r w:rsidR="00B83C93" w:rsidRPr="008B4DA2">
        <w:rPr>
          <w:rStyle w:val="normaltextrun"/>
          <w:noProof/>
        </w:rPr>
        <w:t>2</w:t>
      </w:r>
      <w:r w:rsidRPr="008B4DA2">
        <w:rPr>
          <w:rStyle w:val="normaltextrun"/>
          <w:noProof/>
        </w:rPr>
        <w:t>0</w:t>
      </w:r>
      <w:r w:rsidRPr="00B83C93">
        <w:rPr>
          <w:rStyle w:val="normaltextrun"/>
          <w:noProof/>
        </w:rPr>
        <w:t>21</w:t>
      </w:r>
      <w:r w:rsidR="00B83C93" w:rsidRPr="00B83C93">
        <w:rPr>
          <w:rStyle w:val="normaltextrun"/>
          <w:noProof/>
        </w:rPr>
        <w:t> </w:t>
      </w:r>
      <w:r w:rsidRPr="00B83C93">
        <w:rPr>
          <w:rStyle w:val="normaltextrun"/>
          <w:noProof/>
        </w:rPr>
        <w:t>r.</w:t>
      </w:r>
      <w:r w:rsidRPr="008B4DA2">
        <w:rPr>
          <w:rStyle w:val="normaltextrun"/>
          <w:noProof/>
        </w:rPr>
        <w:t xml:space="preserve"> Poprawa bezpieczeństwa ruchu drogowego nie okazała się jednak tak duża, jak jest to konieczne. </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rPr>
      </w:pPr>
      <w:r w:rsidRPr="008B4DA2">
        <w:rPr>
          <w:noProof/>
        </w:rPr>
        <w:t>Aby jeszcze bardziej zmniejszyć liczbę ofiar śmiertelnych</w:t>
      </w:r>
      <w:r w:rsidR="00B83C93" w:rsidRPr="008B4DA2">
        <w:rPr>
          <w:noProof/>
        </w:rPr>
        <w:t xml:space="preserve"> i</w:t>
      </w:r>
      <w:r w:rsidR="00B83C93">
        <w:rPr>
          <w:noProof/>
        </w:rPr>
        <w:t> </w:t>
      </w:r>
      <w:r w:rsidR="00B83C93" w:rsidRPr="008B4DA2">
        <w:rPr>
          <w:noProof/>
        </w:rPr>
        <w:t>ura</w:t>
      </w:r>
      <w:r w:rsidRPr="008B4DA2">
        <w:rPr>
          <w:noProof/>
        </w:rPr>
        <w:t xml:space="preserve">zów na drogach UE, we wniosku uwzględniono szereg środków, np. zwiększenie </w:t>
      </w:r>
      <w:r w:rsidRPr="008B4DA2">
        <w:rPr>
          <w:rStyle w:val="normaltextrun"/>
          <w:noProof/>
        </w:rPr>
        <w:t>cyfryzacji,</w:t>
      </w:r>
      <w:r w:rsidR="00B83C93" w:rsidRPr="008B4DA2">
        <w:rPr>
          <w:rStyle w:val="normaltextrun"/>
          <w:noProof/>
        </w:rPr>
        <w:t xml:space="preserve"> w</w:t>
      </w:r>
      <w:r w:rsidR="00B83C93">
        <w:rPr>
          <w:rStyle w:val="normaltextrun"/>
          <w:noProof/>
        </w:rPr>
        <w:t> </w:t>
      </w:r>
      <w:r w:rsidR="00B83C93" w:rsidRPr="008B4DA2">
        <w:rPr>
          <w:rStyle w:val="normaltextrun"/>
          <w:noProof/>
        </w:rPr>
        <w:t>tym</w:t>
      </w:r>
      <w:r w:rsidRPr="008B4DA2">
        <w:rPr>
          <w:rStyle w:val="normaltextrun"/>
          <w:noProof/>
        </w:rPr>
        <w:t xml:space="preserve"> wprowadzenie cyfrowych praw jazdy, aktualizację</w:t>
      </w:r>
      <w:r w:rsidR="00B83C93" w:rsidRPr="008B4DA2">
        <w:rPr>
          <w:rStyle w:val="normaltextrun"/>
          <w:noProof/>
        </w:rPr>
        <w:t xml:space="preserve"> z</w:t>
      </w:r>
      <w:r w:rsidR="00B83C93">
        <w:rPr>
          <w:rStyle w:val="normaltextrun"/>
          <w:noProof/>
        </w:rPr>
        <w:t> </w:t>
      </w:r>
      <w:r w:rsidR="00B83C93" w:rsidRPr="008B4DA2">
        <w:rPr>
          <w:rStyle w:val="normaltextrun"/>
          <w:noProof/>
        </w:rPr>
        <w:t>uwz</w:t>
      </w:r>
      <w:r w:rsidRPr="008B4DA2">
        <w:rPr>
          <w:rStyle w:val="normaltextrun"/>
          <w:noProof/>
        </w:rPr>
        <w:t>ględnieniem postępu technologicznego, takiego jak systemy zautomatyzowanej jazdy,</w:t>
      </w:r>
      <w:r w:rsidR="00B83C93" w:rsidRPr="008B4DA2">
        <w:rPr>
          <w:rStyle w:val="normaltextrun"/>
          <w:noProof/>
        </w:rPr>
        <w:t xml:space="preserve"> i</w:t>
      </w:r>
      <w:r w:rsidR="00B83C93">
        <w:rPr>
          <w:rStyle w:val="normaltextrun"/>
          <w:noProof/>
        </w:rPr>
        <w:t> </w:t>
      </w:r>
      <w:r w:rsidR="00B83C93" w:rsidRPr="008B4DA2">
        <w:rPr>
          <w:rStyle w:val="normaltextrun"/>
          <w:noProof/>
        </w:rPr>
        <w:t>kwe</w:t>
      </w:r>
      <w:r w:rsidRPr="008B4DA2">
        <w:rPr>
          <w:rStyle w:val="normaltextrun"/>
          <w:noProof/>
        </w:rPr>
        <w:t>stii zrównoważonego rozwoju. Jedną ze zmian spowodowanych elektryfikacją obecnej floty samochodów</w:t>
      </w:r>
      <w:r w:rsidR="00B83C93" w:rsidRPr="008B4DA2">
        <w:rPr>
          <w:rStyle w:val="normaltextrun"/>
          <w:noProof/>
        </w:rPr>
        <w:t xml:space="preserve"> w</w:t>
      </w:r>
      <w:r w:rsidR="00B83C93">
        <w:rPr>
          <w:rStyle w:val="normaltextrun"/>
          <w:noProof/>
        </w:rPr>
        <w:t> </w:t>
      </w:r>
      <w:r w:rsidR="00B83C93" w:rsidRPr="008B4DA2">
        <w:rPr>
          <w:rStyle w:val="normaltextrun"/>
          <w:noProof/>
        </w:rPr>
        <w:t>Eur</w:t>
      </w:r>
      <w:r w:rsidRPr="008B4DA2">
        <w:rPr>
          <w:rStyle w:val="normaltextrun"/>
          <w:noProof/>
        </w:rPr>
        <w:t>opie jest fakt, że automatyczne skrzynie biegów staną się standardem</w:t>
      </w:r>
      <w:r w:rsidR="00B83C93" w:rsidRPr="008B4DA2">
        <w:rPr>
          <w:rStyle w:val="normaltextrun"/>
          <w:noProof/>
        </w:rPr>
        <w:t xml:space="preserve"> w</w:t>
      </w:r>
      <w:r w:rsidR="00B83C93">
        <w:rPr>
          <w:rStyle w:val="normaltextrun"/>
          <w:noProof/>
        </w:rPr>
        <w:t> </w:t>
      </w:r>
      <w:r w:rsidR="00B83C93" w:rsidRPr="008B4DA2">
        <w:rPr>
          <w:rStyle w:val="normaltextrun"/>
          <w:noProof/>
        </w:rPr>
        <w:t>szk</w:t>
      </w:r>
      <w:r w:rsidRPr="008B4DA2">
        <w:rPr>
          <w:rStyle w:val="normaltextrun"/>
          <w:noProof/>
        </w:rPr>
        <w:t>oleniach</w:t>
      </w:r>
      <w:r w:rsidR="00B83C93" w:rsidRPr="008B4DA2">
        <w:rPr>
          <w:rStyle w:val="normaltextrun"/>
          <w:noProof/>
        </w:rPr>
        <w:t xml:space="preserve"> i</w:t>
      </w:r>
      <w:r w:rsidR="00B83C93">
        <w:rPr>
          <w:rStyle w:val="normaltextrun"/>
          <w:noProof/>
        </w:rPr>
        <w:t> </w:t>
      </w:r>
      <w:r w:rsidR="00B83C93" w:rsidRPr="008B4DA2">
        <w:rPr>
          <w:rStyle w:val="normaltextrun"/>
          <w:noProof/>
        </w:rPr>
        <w:t>egz</w:t>
      </w:r>
      <w:r w:rsidRPr="008B4DA2">
        <w:rPr>
          <w:rStyle w:val="normaltextrun"/>
          <w:noProof/>
        </w:rPr>
        <w:t>aminach na prawo jazdy,</w:t>
      </w:r>
      <w:r w:rsidR="00B83C93" w:rsidRPr="008B4DA2">
        <w:rPr>
          <w:rStyle w:val="normaltextrun"/>
          <w:noProof/>
        </w:rPr>
        <w:t xml:space="preserve"> w</w:t>
      </w:r>
      <w:r w:rsidR="00B83C93">
        <w:rPr>
          <w:rStyle w:val="normaltextrun"/>
          <w:noProof/>
        </w:rPr>
        <w:t> </w:t>
      </w:r>
      <w:r w:rsidR="00B83C93" w:rsidRPr="008B4DA2">
        <w:rPr>
          <w:rStyle w:val="normaltextrun"/>
          <w:noProof/>
        </w:rPr>
        <w:t>zwi</w:t>
      </w:r>
      <w:r w:rsidRPr="008B4DA2">
        <w:rPr>
          <w:rStyle w:val="normaltextrun"/>
          <w:noProof/>
        </w:rPr>
        <w:t>ązku</w:t>
      </w:r>
      <w:r w:rsidR="00B83C93" w:rsidRPr="008B4DA2">
        <w:rPr>
          <w:rStyle w:val="normaltextrun"/>
          <w:noProof/>
        </w:rPr>
        <w:t xml:space="preserve"> z</w:t>
      </w:r>
      <w:r w:rsidR="00B83C93">
        <w:rPr>
          <w:rStyle w:val="normaltextrun"/>
          <w:noProof/>
        </w:rPr>
        <w:t> </w:t>
      </w:r>
      <w:r w:rsidR="00B83C93" w:rsidRPr="008B4DA2">
        <w:rPr>
          <w:rStyle w:val="normaltextrun"/>
          <w:noProof/>
        </w:rPr>
        <w:t>czy</w:t>
      </w:r>
      <w:r w:rsidRPr="008B4DA2">
        <w:rPr>
          <w:rStyle w:val="normaltextrun"/>
          <w:noProof/>
        </w:rPr>
        <w:t>m dojdzie do przekształcenia ograniczenia wynikającego</w:t>
      </w:r>
      <w:r w:rsidR="00B83C93" w:rsidRPr="008B4DA2">
        <w:rPr>
          <w:rStyle w:val="normaltextrun"/>
          <w:noProof/>
        </w:rPr>
        <w:t xml:space="preserve"> z</w:t>
      </w:r>
      <w:r w:rsidR="00B83C93">
        <w:rPr>
          <w:rStyle w:val="normaltextrun"/>
          <w:noProof/>
        </w:rPr>
        <w:t> </w:t>
      </w:r>
      <w:r w:rsidR="00B83C93" w:rsidRPr="008B4DA2">
        <w:rPr>
          <w:rStyle w:val="normaltextrun"/>
          <w:noProof/>
        </w:rPr>
        <w:t>kod</w:t>
      </w:r>
      <w:r w:rsidRPr="008B4DA2">
        <w:rPr>
          <w:rStyle w:val="normaltextrun"/>
          <w:noProof/>
        </w:rPr>
        <w:t xml:space="preserve">u 78. </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rPr>
      </w:pPr>
      <w:r w:rsidRPr="008B4DA2">
        <w:rPr>
          <w:rStyle w:val="normaltextrun"/>
          <w:noProof/>
        </w:rPr>
        <w:t>Zaktualizowano również wymogi dotyczące szkolenia,</w:t>
      </w:r>
      <w:r w:rsidR="00B83C93" w:rsidRPr="008B4DA2">
        <w:rPr>
          <w:rStyle w:val="normaltextrun"/>
          <w:noProof/>
        </w:rPr>
        <w:t xml:space="preserve"> w</w:t>
      </w:r>
      <w:r w:rsidR="00B83C93">
        <w:rPr>
          <w:rStyle w:val="normaltextrun"/>
          <w:noProof/>
        </w:rPr>
        <w:t> </w:t>
      </w:r>
      <w:r w:rsidR="00B83C93" w:rsidRPr="008B4DA2">
        <w:rPr>
          <w:rStyle w:val="normaltextrun"/>
          <w:noProof/>
        </w:rPr>
        <w:t>tym</w:t>
      </w:r>
      <w:r w:rsidRPr="008B4DA2">
        <w:rPr>
          <w:rStyle w:val="normaltextrun"/>
          <w:noProof/>
        </w:rPr>
        <w:t xml:space="preserve"> wykorzystywania środków cyfrowych,</w:t>
      </w:r>
      <w:r w:rsidR="00B83C93" w:rsidRPr="008B4DA2">
        <w:rPr>
          <w:rStyle w:val="normaltextrun"/>
          <w:noProof/>
        </w:rPr>
        <w:t xml:space="preserve"> a</w:t>
      </w:r>
      <w:r w:rsidR="00B83C93">
        <w:rPr>
          <w:rStyle w:val="normaltextrun"/>
          <w:noProof/>
        </w:rPr>
        <w:t> </w:t>
      </w:r>
      <w:r w:rsidR="00B83C93" w:rsidRPr="008B4DA2">
        <w:rPr>
          <w:rStyle w:val="normaltextrun"/>
          <w:noProof/>
        </w:rPr>
        <w:t>tak</w:t>
      </w:r>
      <w:r w:rsidRPr="008B4DA2">
        <w:rPr>
          <w:rStyle w:val="normaltextrun"/>
          <w:noProof/>
        </w:rPr>
        <w:t>że metody weryfikacji</w:t>
      </w:r>
      <w:r w:rsidR="00B83C93" w:rsidRPr="008B4DA2">
        <w:rPr>
          <w:rStyle w:val="normaltextrun"/>
          <w:noProof/>
        </w:rPr>
        <w:t xml:space="preserve"> i</w:t>
      </w:r>
      <w:r w:rsidR="00B83C93">
        <w:rPr>
          <w:rStyle w:val="normaltextrun"/>
          <w:noProof/>
        </w:rPr>
        <w:t> </w:t>
      </w:r>
      <w:r w:rsidR="00B83C93" w:rsidRPr="008B4DA2">
        <w:rPr>
          <w:rStyle w:val="normaltextrun"/>
          <w:noProof/>
        </w:rPr>
        <w:t>gwa</w:t>
      </w:r>
      <w:r w:rsidRPr="008B4DA2">
        <w:rPr>
          <w:rStyle w:val="normaltextrun"/>
          <w:noProof/>
        </w:rPr>
        <w:t>rantowania odpowiedniej zdolności do kierowania pojazdami. Rozważane jest również wprowadzenie programu szkoleniowego opartego na jeździe</w:t>
      </w:r>
      <w:r w:rsidR="00B83C93" w:rsidRPr="008B4DA2">
        <w:rPr>
          <w:rStyle w:val="normaltextrun"/>
          <w:noProof/>
        </w:rPr>
        <w:t xml:space="preserve"> w</w:t>
      </w:r>
      <w:r w:rsidR="00B83C93">
        <w:rPr>
          <w:rStyle w:val="normaltextrun"/>
          <w:noProof/>
        </w:rPr>
        <w:t> </w:t>
      </w:r>
      <w:r w:rsidR="00B83C93" w:rsidRPr="008B4DA2">
        <w:rPr>
          <w:rStyle w:val="normaltextrun"/>
          <w:noProof/>
        </w:rPr>
        <w:t>tow</w:t>
      </w:r>
      <w:r w:rsidRPr="008B4DA2">
        <w:rPr>
          <w:rStyle w:val="normaltextrun"/>
          <w:noProof/>
        </w:rPr>
        <w:t>arzystwie innego kierowcy, tak aby początkujący kierowcy przed uzyskaniem prawa jazdy przejeżdżali większą liczbę kilometrów pod okiem innej osoby. Nie miałoby to wpływu na dolną granicę wieku, od którego można kierować pojazdami bez obecności innej osoby, ale odzwierciedlałoby najlepszą praktykę stosowaną przez kilka państw członkowskich.</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rPr>
      </w:pPr>
      <w:r w:rsidRPr="008B4DA2">
        <w:rPr>
          <w:rStyle w:val="normaltextrun"/>
          <w:noProof/>
        </w:rPr>
        <w:t>Wniosek opiera się również na doświadczeniach zdobytych przez kilka państw członkowskich</w:t>
      </w:r>
      <w:r w:rsidR="00B83C93" w:rsidRPr="008B4DA2">
        <w:rPr>
          <w:rStyle w:val="normaltextrun"/>
          <w:noProof/>
        </w:rPr>
        <w:t xml:space="preserve"> w</w:t>
      </w:r>
      <w:r w:rsidR="00B83C93">
        <w:rPr>
          <w:rStyle w:val="normaltextrun"/>
          <w:noProof/>
        </w:rPr>
        <w:t> </w:t>
      </w:r>
      <w:r w:rsidR="00B83C93" w:rsidRPr="008B4DA2">
        <w:rPr>
          <w:rStyle w:val="normaltextrun"/>
          <w:noProof/>
        </w:rPr>
        <w:t>zak</w:t>
      </w:r>
      <w:r w:rsidRPr="008B4DA2">
        <w:rPr>
          <w:rStyle w:val="normaltextrun"/>
          <w:noProof/>
        </w:rPr>
        <w:t>resie okresów próbnych, wprowadzając dwuletnie ramy czasowe,</w:t>
      </w:r>
      <w:r w:rsidR="00B83C93" w:rsidRPr="008B4DA2">
        <w:rPr>
          <w:rStyle w:val="normaltextrun"/>
          <w:noProof/>
        </w:rPr>
        <w:t xml:space="preserve"> w</w:t>
      </w:r>
      <w:r w:rsidR="00B83C93">
        <w:rPr>
          <w:rStyle w:val="normaltextrun"/>
          <w:noProof/>
        </w:rPr>
        <w:t> </w:t>
      </w:r>
      <w:r w:rsidR="00B83C93" w:rsidRPr="008B4DA2">
        <w:rPr>
          <w:rStyle w:val="normaltextrun"/>
          <w:noProof/>
        </w:rPr>
        <w:t>któ</w:t>
      </w:r>
      <w:r w:rsidRPr="008B4DA2">
        <w:rPr>
          <w:rStyle w:val="normaltextrun"/>
          <w:noProof/>
        </w:rPr>
        <w:t>rych początkujący kierowcy podlegają bardziej rygorystycznym przepisom. Wniosek przyczynia się także do zwiększenia bezpiecznego dostępu do praw jazdy dla wszystkich obywateli Unii</w:t>
      </w:r>
      <w:r w:rsidR="00B83C93" w:rsidRPr="008B4DA2">
        <w:rPr>
          <w:rStyle w:val="normaltextrun"/>
          <w:noProof/>
        </w:rPr>
        <w:t xml:space="preserve"> i</w:t>
      </w:r>
      <w:r w:rsidR="00B83C93">
        <w:rPr>
          <w:rStyle w:val="normaltextrun"/>
          <w:noProof/>
        </w:rPr>
        <w:t> </w:t>
      </w:r>
      <w:r w:rsidR="00B83C93" w:rsidRPr="008B4DA2">
        <w:rPr>
          <w:rStyle w:val="normaltextrun"/>
          <w:noProof/>
        </w:rPr>
        <w:t>oby</w:t>
      </w:r>
      <w:r w:rsidRPr="008B4DA2">
        <w:rPr>
          <w:rStyle w:val="normaltextrun"/>
          <w:noProof/>
        </w:rPr>
        <w:t>wateli państw trzecich,</w:t>
      </w:r>
      <w:r w:rsidR="00B83C93" w:rsidRPr="008B4DA2">
        <w:rPr>
          <w:rStyle w:val="normaltextrun"/>
          <w:noProof/>
        </w:rPr>
        <w:t xml:space="preserve"> a</w:t>
      </w:r>
      <w:r w:rsidR="00B83C93">
        <w:rPr>
          <w:rStyle w:val="normaltextrun"/>
          <w:noProof/>
        </w:rPr>
        <w:t> </w:t>
      </w:r>
      <w:r w:rsidR="00B83C93" w:rsidRPr="008B4DA2">
        <w:rPr>
          <w:rStyle w:val="normaltextrun"/>
          <w:noProof/>
        </w:rPr>
        <w:t>tak</w:t>
      </w:r>
      <w:r w:rsidRPr="008B4DA2">
        <w:rPr>
          <w:rStyle w:val="normaltextrun"/>
          <w:noProof/>
        </w:rPr>
        <w:t xml:space="preserve">że uwzględnia rozwiązania mające na celu dalsze wzmocnienie działań państw członkowskich prowadzących do zmniejszenia liczby niebezpiecznych kierowców na drogach UE. </w:t>
      </w:r>
    </w:p>
    <w:p w:rsidR="005148EA" w:rsidRPr="008B4DA2" w:rsidRDefault="005148EA" w:rsidP="005148EA">
      <w:pPr>
        <w:pStyle w:val="ManualHeading3"/>
        <w:rPr>
          <w:noProof/>
        </w:rPr>
      </w:pPr>
      <w:bookmarkStart w:id="30" w:name="_Toc514938029"/>
      <w:bookmarkStart w:id="31" w:name="_Toc520485036"/>
      <w:r w:rsidRPr="008B4DA2">
        <w:rPr>
          <w:noProof/>
        </w:rPr>
        <w:t>1.5.2.</w:t>
      </w:r>
      <w:r w:rsidRPr="008B4DA2">
        <w:rPr>
          <w:noProof/>
        </w:rPr>
        <w:tab/>
        <w:t xml:space="preserve">Wartość dodana </w:t>
      </w:r>
      <w:bookmarkEnd w:id="30"/>
      <w:bookmarkEnd w:id="31"/>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noProof/>
        </w:rPr>
        <w:t>W sytuacji braku niniejszej interwencji UE współpraca między państwami członkowskimi</w:t>
      </w:r>
      <w:r w:rsidR="00B83C93" w:rsidRPr="008B4DA2">
        <w:rPr>
          <w:noProof/>
        </w:rPr>
        <w:t xml:space="preserve"> w</w:t>
      </w:r>
      <w:r w:rsidR="00B83C93">
        <w:rPr>
          <w:noProof/>
        </w:rPr>
        <w:t> </w:t>
      </w:r>
      <w:r w:rsidR="00B83C93" w:rsidRPr="008B4DA2">
        <w:rPr>
          <w:noProof/>
        </w:rPr>
        <w:t>obs</w:t>
      </w:r>
      <w:r w:rsidRPr="008B4DA2">
        <w:rPr>
          <w:noProof/>
        </w:rPr>
        <w:t>zarze praw jazdy byłaby zapewniona za pomocą umów dwu- lub wielostronnych, co skutkowałoby bardziej skomplikowanym systemem wydawania praw jazdy oraz większym obciążeniem administracyjnym posiadaczy praw jazdy. Ponadto część</w:t>
      </w:r>
      <w:r w:rsidR="00B83C93" w:rsidRPr="008B4DA2">
        <w:rPr>
          <w:noProof/>
        </w:rPr>
        <w:t xml:space="preserve"> z</w:t>
      </w:r>
      <w:r w:rsidR="00B83C93">
        <w:rPr>
          <w:noProof/>
        </w:rPr>
        <w:t> </w:t>
      </w:r>
      <w:r w:rsidR="00B83C93" w:rsidRPr="008B4DA2">
        <w:rPr>
          <w:noProof/>
        </w:rPr>
        <w:t>utr</w:t>
      </w:r>
      <w:r w:rsidRPr="008B4DA2">
        <w:rPr>
          <w:noProof/>
        </w:rPr>
        <w:t>zymujących się obecnie problemów wynika</w:t>
      </w:r>
      <w:r w:rsidR="00B83C93" w:rsidRPr="008B4DA2">
        <w:rPr>
          <w:noProof/>
        </w:rPr>
        <w:t xml:space="preserve"> z</w:t>
      </w:r>
      <w:r w:rsidR="00B83C93">
        <w:rPr>
          <w:noProof/>
        </w:rPr>
        <w:t> </w:t>
      </w:r>
      <w:r w:rsidR="00B83C93" w:rsidRPr="008B4DA2">
        <w:rPr>
          <w:noProof/>
        </w:rPr>
        <w:t>róż</w:t>
      </w:r>
      <w:r w:rsidRPr="008B4DA2">
        <w:rPr>
          <w:noProof/>
        </w:rPr>
        <w:t>nego wdrożenia dyrektywy</w:t>
      </w:r>
      <w:r w:rsidR="00B83C93" w:rsidRPr="008B4DA2">
        <w:rPr>
          <w:noProof/>
        </w:rPr>
        <w:t xml:space="preserve"> w</w:t>
      </w:r>
      <w:r w:rsidR="00B83C93">
        <w:rPr>
          <w:noProof/>
        </w:rPr>
        <w:t> </w:t>
      </w:r>
      <w:r w:rsidR="00B83C93" w:rsidRPr="008B4DA2">
        <w:rPr>
          <w:noProof/>
        </w:rPr>
        <w:t>pań</w:t>
      </w:r>
      <w:r w:rsidRPr="008B4DA2">
        <w:rPr>
          <w:noProof/>
        </w:rPr>
        <w:t>stwach członkowskich. </w:t>
      </w:r>
    </w:p>
    <w:p w:rsidR="005148EA" w:rsidRPr="00B83C93"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noProof/>
        </w:rPr>
        <w:t>Kierowcy mogli również napotkać problemy administracyjne, podróżując do państw członkowskich, które nie są umawiającymi się stronami Konwencji</w:t>
      </w:r>
      <w:r w:rsidR="00B83C93" w:rsidRPr="008B4DA2">
        <w:rPr>
          <w:noProof/>
        </w:rPr>
        <w:t xml:space="preserve"> o</w:t>
      </w:r>
      <w:r w:rsidR="00B83C93">
        <w:rPr>
          <w:noProof/>
        </w:rPr>
        <w:t> </w:t>
      </w:r>
      <w:r w:rsidR="00B83C93" w:rsidRPr="008B4DA2">
        <w:rPr>
          <w:noProof/>
        </w:rPr>
        <w:t>ruc</w:t>
      </w:r>
      <w:r w:rsidRPr="008B4DA2">
        <w:rPr>
          <w:noProof/>
        </w:rPr>
        <w:t>hu drogowym, na przykład wymóg posiadania międzynarodowego prawa jazdy. Przy zmianie miejsca zamieszkania</w:t>
      </w:r>
      <w:r w:rsidR="00B83C93" w:rsidRPr="008B4DA2">
        <w:rPr>
          <w:noProof/>
        </w:rPr>
        <w:t xml:space="preserve"> w</w:t>
      </w:r>
      <w:r w:rsidR="00B83C93">
        <w:rPr>
          <w:noProof/>
        </w:rPr>
        <w:t> </w:t>
      </w:r>
      <w:r w:rsidR="00B83C93" w:rsidRPr="008B4DA2">
        <w:rPr>
          <w:noProof/>
        </w:rPr>
        <w:t>Uni</w:t>
      </w:r>
      <w:r w:rsidRPr="008B4DA2">
        <w:rPr>
          <w:noProof/>
        </w:rPr>
        <w:t>i posiadacze praw jazdy UE musieliby uzyskać –</w:t>
      </w:r>
      <w:r w:rsidR="00B83C93" w:rsidRPr="008B4DA2">
        <w:rPr>
          <w:noProof/>
        </w:rPr>
        <w:t xml:space="preserve"> w</w:t>
      </w:r>
      <w:r w:rsidR="00B83C93">
        <w:rPr>
          <w:noProof/>
        </w:rPr>
        <w:t> </w:t>
      </w:r>
      <w:r w:rsidR="00B83C93" w:rsidRPr="008B4DA2">
        <w:rPr>
          <w:noProof/>
        </w:rPr>
        <w:t>dro</w:t>
      </w:r>
      <w:r w:rsidRPr="008B4DA2">
        <w:rPr>
          <w:noProof/>
        </w:rPr>
        <w:t>dze wymiany administracyjnej albo zdając egzamin na prawo jazdy jak każdy inny kandydat – nowe prawo jazdy wydane przez ich nowy kraj zamieszkania</w:t>
      </w:r>
      <w:r w:rsidRPr="00B83C93">
        <w:rPr>
          <w:noProof/>
        </w:rPr>
        <w:t>.</w:t>
      </w:r>
      <w:r w:rsidR="00B83C93" w:rsidRPr="00B83C93">
        <w:rPr>
          <w:noProof/>
        </w:rPr>
        <w:t xml:space="preserve"> </w:t>
      </w:r>
    </w:p>
    <w:p w:rsidR="005148EA" w:rsidRPr="00B83C93"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noProof/>
        </w:rPr>
        <w:t>Co więcej, warunki uzyskania prawa jazdy byłyby różne, co skutkowałoby nierównym traktowaniem obywateli UE</w:t>
      </w:r>
      <w:r w:rsidR="00B83C93" w:rsidRPr="008B4DA2">
        <w:rPr>
          <w:noProof/>
        </w:rPr>
        <w:t xml:space="preserve"> i</w:t>
      </w:r>
      <w:r w:rsidR="00B83C93">
        <w:rPr>
          <w:noProof/>
        </w:rPr>
        <w:t> </w:t>
      </w:r>
      <w:r w:rsidR="00B83C93" w:rsidRPr="008B4DA2">
        <w:rPr>
          <w:noProof/>
        </w:rPr>
        <w:t>mni</w:t>
      </w:r>
      <w:r w:rsidRPr="008B4DA2">
        <w:rPr>
          <w:noProof/>
        </w:rPr>
        <w:t>ejszą skutecznością</w:t>
      </w:r>
      <w:r w:rsidR="00B83C93" w:rsidRPr="008B4DA2">
        <w:rPr>
          <w:noProof/>
        </w:rPr>
        <w:t xml:space="preserve"> w</w:t>
      </w:r>
      <w:r w:rsidR="00B83C93">
        <w:rPr>
          <w:noProof/>
        </w:rPr>
        <w:t> </w:t>
      </w:r>
      <w:r w:rsidR="00B83C93" w:rsidRPr="008B4DA2">
        <w:rPr>
          <w:noProof/>
        </w:rPr>
        <w:t>zak</w:t>
      </w:r>
      <w:r w:rsidRPr="008B4DA2">
        <w:rPr>
          <w:noProof/>
        </w:rPr>
        <w:t>resie bezpieczeństwa ruchu drogowego</w:t>
      </w:r>
      <w:r w:rsidRPr="00B83C93">
        <w:rPr>
          <w:noProof/>
        </w:rPr>
        <w:t>.</w:t>
      </w:r>
      <w:r w:rsidR="00B83C93" w:rsidRPr="00B83C93">
        <w:rPr>
          <w:noProof/>
        </w:rPr>
        <w:t xml:space="preserve"> </w:t>
      </w:r>
    </w:p>
    <w:p w:rsidR="005148EA" w:rsidRPr="008B4DA2" w:rsidRDefault="005148EA" w:rsidP="005148EA">
      <w:pPr>
        <w:pStyle w:val="ManualHeading3"/>
        <w:rPr>
          <w:noProof/>
        </w:rPr>
      </w:pPr>
      <w:bookmarkStart w:id="32" w:name="_Toc514938030"/>
      <w:bookmarkStart w:id="33" w:name="_Toc520485037"/>
      <w:r w:rsidRPr="008B4DA2">
        <w:rPr>
          <w:noProof/>
        </w:rPr>
        <w:t>1.5.3.</w:t>
      </w:r>
      <w:r w:rsidRPr="008B4DA2">
        <w:rPr>
          <w:noProof/>
        </w:rPr>
        <w:tab/>
        <w:t>Główne wnioski wyciągnięte</w:t>
      </w:r>
      <w:r w:rsidR="00B83C93" w:rsidRPr="008B4DA2">
        <w:rPr>
          <w:noProof/>
        </w:rPr>
        <w:t xml:space="preserve"> z</w:t>
      </w:r>
      <w:r w:rsidR="00B83C93">
        <w:rPr>
          <w:noProof/>
        </w:rPr>
        <w:t> </w:t>
      </w:r>
      <w:r w:rsidR="00B83C93" w:rsidRPr="008B4DA2">
        <w:rPr>
          <w:noProof/>
        </w:rPr>
        <w:t>pod</w:t>
      </w:r>
      <w:r w:rsidRPr="008B4DA2">
        <w:rPr>
          <w:noProof/>
        </w:rPr>
        <w:t>obnych działań</w:t>
      </w:r>
      <w:bookmarkEnd w:id="32"/>
      <w:bookmarkEnd w:id="33"/>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noProof/>
        </w:rPr>
        <w:t>Jak wspomniano</w:t>
      </w:r>
      <w:r w:rsidR="00B83C93" w:rsidRPr="008B4DA2">
        <w:rPr>
          <w:noProof/>
        </w:rPr>
        <w:t xml:space="preserve"> w</w:t>
      </w:r>
      <w:r w:rsidR="00B83C93">
        <w:rPr>
          <w:noProof/>
        </w:rPr>
        <w:t> </w:t>
      </w:r>
      <w:r w:rsidR="00B83C93" w:rsidRPr="008B4DA2">
        <w:rPr>
          <w:noProof/>
        </w:rPr>
        <w:t>pun</w:t>
      </w:r>
      <w:r w:rsidRPr="008B4DA2">
        <w:rPr>
          <w:noProof/>
        </w:rPr>
        <w:t>kcie 1.5.1, rewizja dyrektywy</w:t>
      </w:r>
      <w:r w:rsidR="00B83C93" w:rsidRPr="008B4DA2">
        <w:rPr>
          <w:noProof/>
        </w:rPr>
        <w:t xml:space="preserve"> w</w:t>
      </w:r>
      <w:r w:rsidR="00B83C93">
        <w:rPr>
          <w:noProof/>
        </w:rPr>
        <w:t> </w:t>
      </w:r>
      <w:r w:rsidR="00B83C93" w:rsidRPr="008B4DA2">
        <w:rPr>
          <w:noProof/>
        </w:rPr>
        <w:t>spr</w:t>
      </w:r>
      <w:r w:rsidRPr="008B4DA2">
        <w:rPr>
          <w:noProof/>
        </w:rPr>
        <w:t>awie praw jazdy doprowadzi do przyjęcia czwartego aktu prawnego dotyczącego tej kwestii. Pierwsze trzy dyrektywy przyczyniły się już</w:t>
      </w:r>
      <w:r w:rsidR="00B83C93" w:rsidRPr="008B4DA2">
        <w:rPr>
          <w:noProof/>
        </w:rPr>
        <w:t xml:space="preserve"> w</w:t>
      </w:r>
      <w:r w:rsidR="00B83C93">
        <w:rPr>
          <w:noProof/>
        </w:rPr>
        <w:t> </w:t>
      </w:r>
      <w:r w:rsidR="00B83C93" w:rsidRPr="008B4DA2">
        <w:rPr>
          <w:noProof/>
        </w:rPr>
        <w:t>zna</w:t>
      </w:r>
      <w:r w:rsidRPr="008B4DA2">
        <w:rPr>
          <w:noProof/>
        </w:rPr>
        <w:t>cznym stopniu do poprawy bezpieczeństwa ruchu drogowego</w:t>
      </w:r>
      <w:r w:rsidR="00B83C93" w:rsidRPr="008B4DA2">
        <w:rPr>
          <w:noProof/>
        </w:rPr>
        <w:t xml:space="preserve"> i</w:t>
      </w:r>
      <w:r w:rsidR="00B83C93">
        <w:rPr>
          <w:noProof/>
        </w:rPr>
        <w:t> </w:t>
      </w:r>
      <w:r w:rsidR="00B83C93" w:rsidRPr="008B4DA2">
        <w:rPr>
          <w:noProof/>
        </w:rPr>
        <w:t>swo</w:t>
      </w:r>
      <w:r w:rsidRPr="008B4DA2">
        <w:rPr>
          <w:noProof/>
        </w:rPr>
        <w:t>bodnego przepływu osób, dzięki czemu kierowcy mają lepsze umiejętności</w:t>
      </w:r>
      <w:r w:rsidR="00B83C93" w:rsidRPr="008B4DA2">
        <w:rPr>
          <w:noProof/>
        </w:rPr>
        <w:t xml:space="preserve"> i</w:t>
      </w:r>
      <w:r w:rsidR="00B83C93">
        <w:rPr>
          <w:noProof/>
        </w:rPr>
        <w:t> </w:t>
      </w:r>
      <w:r w:rsidR="00B83C93" w:rsidRPr="008B4DA2">
        <w:rPr>
          <w:noProof/>
        </w:rPr>
        <w:t>wie</w:t>
      </w:r>
      <w:r w:rsidRPr="008B4DA2">
        <w:rPr>
          <w:noProof/>
        </w:rPr>
        <w:t>dzę oraz większą zdolność do kierowania pojazdami. Ponadto bezkarność sprawców przestępstw lub wykroczeń</w:t>
      </w:r>
      <w:r w:rsidR="00B83C93" w:rsidRPr="008B4DA2">
        <w:rPr>
          <w:noProof/>
        </w:rPr>
        <w:t xml:space="preserve"> w</w:t>
      </w:r>
      <w:r w:rsidR="00B83C93">
        <w:rPr>
          <w:noProof/>
        </w:rPr>
        <w:t> </w:t>
      </w:r>
      <w:r w:rsidR="00B83C93" w:rsidRPr="008B4DA2">
        <w:rPr>
          <w:noProof/>
        </w:rPr>
        <w:t>ruc</w:t>
      </w:r>
      <w:r w:rsidRPr="008B4DA2">
        <w:rPr>
          <w:noProof/>
        </w:rPr>
        <w:t>hu drogowym została zmniejszona za sprawą wprowadzenia jednolitego prawa jazdy w UE oraz ustanowienia sieci RESPER.</w:t>
      </w:r>
    </w:p>
    <w:p w:rsidR="005148EA" w:rsidRPr="008B4DA2" w:rsidRDefault="005148EA" w:rsidP="005148EA">
      <w:pPr>
        <w:pStyle w:val="ManualHeading3"/>
        <w:rPr>
          <w:noProof/>
        </w:rPr>
      </w:pPr>
      <w:bookmarkStart w:id="34" w:name="_Toc514938033"/>
      <w:bookmarkStart w:id="35" w:name="_Toc520485038"/>
      <w:r w:rsidRPr="008B4DA2">
        <w:rPr>
          <w:noProof/>
        </w:rPr>
        <w:t>1.5.4.</w:t>
      </w:r>
      <w:r w:rsidRPr="008B4DA2">
        <w:rPr>
          <w:noProof/>
        </w:rPr>
        <w:tab/>
        <w:t>Spójność</w:t>
      </w:r>
      <w:r w:rsidR="00B83C93" w:rsidRPr="008B4DA2">
        <w:rPr>
          <w:noProof/>
        </w:rPr>
        <w:t xml:space="preserve"> z</w:t>
      </w:r>
      <w:r w:rsidR="00B83C93">
        <w:rPr>
          <w:noProof/>
        </w:rPr>
        <w:t> </w:t>
      </w:r>
      <w:r w:rsidR="00B83C93" w:rsidRPr="008B4DA2">
        <w:rPr>
          <w:noProof/>
        </w:rPr>
        <w:t>wie</w:t>
      </w:r>
      <w:r w:rsidRPr="008B4DA2">
        <w:rPr>
          <w:noProof/>
        </w:rPr>
        <w:t>loletnimi ramami finansowymi oraz możliwa synergia</w:t>
      </w:r>
      <w:r w:rsidR="00B83C93" w:rsidRPr="008B4DA2">
        <w:rPr>
          <w:noProof/>
        </w:rPr>
        <w:t xml:space="preserve"> z</w:t>
      </w:r>
      <w:r w:rsidR="00B83C93">
        <w:rPr>
          <w:noProof/>
        </w:rPr>
        <w:t> </w:t>
      </w:r>
      <w:r w:rsidR="00B83C93" w:rsidRPr="008B4DA2">
        <w:rPr>
          <w:noProof/>
        </w:rPr>
        <w:t>inn</w:t>
      </w:r>
      <w:r w:rsidRPr="008B4DA2">
        <w:rPr>
          <w:noProof/>
        </w:rPr>
        <w:t>ymi właściwymi instrumentami</w:t>
      </w:r>
      <w:bookmarkEnd w:id="34"/>
      <w:bookmarkEnd w:id="35"/>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noProof/>
        </w:rPr>
        <w:t>Proponowana rewizja dyrektywy</w:t>
      </w:r>
      <w:r w:rsidR="00B83C93" w:rsidRPr="008B4DA2">
        <w:rPr>
          <w:noProof/>
        </w:rPr>
        <w:t xml:space="preserve"> w</w:t>
      </w:r>
      <w:r w:rsidR="00B83C93">
        <w:rPr>
          <w:noProof/>
        </w:rPr>
        <w:t> </w:t>
      </w:r>
      <w:r w:rsidR="00B83C93" w:rsidRPr="008B4DA2">
        <w:rPr>
          <w:noProof/>
        </w:rPr>
        <w:t>spr</w:t>
      </w:r>
      <w:r w:rsidRPr="008B4DA2">
        <w:rPr>
          <w:noProof/>
        </w:rPr>
        <w:t>awie praw jazdy jest zgodna</w:t>
      </w:r>
      <w:r w:rsidR="00B83C93" w:rsidRPr="008B4DA2">
        <w:rPr>
          <w:noProof/>
        </w:rPr>
        <w:t xml:space="preserve"> z</w:t>
      </w:r>
      <w:r w:rsidR="00B83C93">
        <w:rPr>
          <w:noProof/>
        </w:rPr>
        <w:t> </w:t>
      </w:r>
      <w:r w:rsidR="00B83C93" w:rsidRPr="008B4DA2">
        <w:rPr>
          <w:noProof/>
        </w:rPr>
        <w:t>inn</w:t>
      </w:r>
      <w:r w:rsidRPr="008B4DA2">
        <w:rPr>
          <w:noProof/>
        </w:rPr>
        <w:t>ymi unijnymi instrumentami</w:t>
      </w:r>
      <w:r w:rsidR="00B83C93" w:rsidRPr="008B4DA2">
        <w:rPr>
          <w:noProof/>
        </w:rPr>
        <w:t xml:space="preserve"> i</w:t>
      </w:r>
      <w:r w:rsidR="00B83C93">
        <w:rPr>
          <w:noProof/>
        </w:rPr>
        <w:t> </w:t>
      </w:r>
      <w:r w:rsidR="00B83C93" w:rsidRPr="008B4DA2">
        <w:rPr>
          <w:noProof/>
        </w:rPr>
        <w:t>odp</w:t>
      </w:r>
      <w:r w:rsidRPr="008B4DA2">
        <w:rPr>
          <w:noProof/>
        </w:rPr>
        <w:t>owiednimi strategiami politycznymi UE,</w:t>
      </w:r>
      <w:r w:rsidR="00B83C93" w:rsidRPr="008B4DA2">
        <w:rPr>
          <w:noProof/>
        </w:rPr>
        <w:t xml:space="preserve"> a</w:t>
      </w:r>
      <w:r w:rsidR="00B83C93">
        <w:rPr>
          <w:noProof/>
        </w:rPr>
        <w:t> </w:t>
      </w:r>
      <w:r w:rsidR="00B83C93" w:rsidRPr="008B4DA2">
        <w:rPr>
          <w:noProof/>
        </w:rPr>
        <w:t>tak</w:t>
      </w:r>
      <w:r w:rsidRPr="008B4DA2">
        <w:rPr>
          <w:noProof/>
        </w:rPr>
        <w:t>że ze zobowiązaniami międzynarodowymi (konwencjami EKG ONZ</w:t>
      </w:r>
      <w:r w:rsidR="00B83C93" w:rsidRPr="008B4DA2">
        <w:rPr>
          <w:noProof/>
        </w:rPr>
        <w:t xml:space="preserve"> o</w:t>
      </w:r>
      <w:r w:rsidR="00B83C93">
        <w:rPr>
          <w:noProof/>
        </w:rPr>
        <w:t> </w:t>
      </w:r>
      <w:r w:rsidR="00B83C93" w:rsidRPr="008B4DA2">
        <w:rPr>
          <w:noProof/>
        </w:rPr>
        <w:t>ruc</w:t>
      </w:r>
      <w:r w:rsidRPr="008B4DA2">
        <w:rPr>
          <w:noProof/>
        </w:rPr>
        <w:t>hu drogowym – podpisanymi</w:t>
      </w:r>
      <w:r w:rsidR="00B83C93" w:rsidRPr="008B4DA2">
        <w:rPr>
          <w:noProof/>
        </w:rPr>
        <w:t xml:space="preserve"> w</w:t>
      </w:r>
      <w:r w:rsidR="00B83C93">
        <w:rPr>
          <w:noProof/>
        </w:rPr>
        <w:t> </w:t>
      </w:r>
      <w:r w:rsidR="00B83C93" w:rsidRPr="008B4DA2">
        <w:rPr>
          <w:noProof/>
        </w:rPr>
        <w:t>Gen</w:t>
      </w:r>
      <w:r w:rsidRPr="008B4DA2">
        <w:rPr>
          <w:noProof/>
        </w:rPr>
        <w:t>ewie</w:t>
      </w:r>
      <w:r w:rsidR="00B83C93" w:rsidRPr="008B4DA2">
        <w:rPr>
          <w:noProof/>
        </w:rPr>
        <w:t xml:space="preserve"> w</w:t>
      </w:r>
      <w:r w:rsidR="00B83C93">
        <w:rPr>
          <w:noProof/>
        </w:rPr>
        <w:t> </w:t>
      </w:r>
      <w:r w:rsidR="00B83C93" w:rsidRPr="008B4DA2">
        <w:rPr>
          <w:noProof/>
        </w:rPr>
        <w:t>1</w:t>
      </w:r>
      <w:r w:rsidRPr="008B4DA2">
        <w:rPr>
          <w:noProof/>
        </w:rPr>
        <w:t>9</w:t>
      </w:r>
      <w:r w:rsidRPr="00B83C93">
        <w:rPr>
          <w:noProof/>
        </w:rPr>
        <w:t>49</w:t>
      </w:r>
      <w:r w:rsidR="00B83C93" w:rsidRPr="00B83C93">
        <w:rPr>
          <w:noProof/>
        </w:rPr>
        <w:t> </w:t>
      </w:r>
      <w:r w:rsidRPr="00B83C93">
        <w:rPr>
          <w:noProof/>
        </w:rPr>
        <w:t>r.</w:t>
      </w:r>
      <w:r w:rsidR="00B83C93" w:rsidRPr="008B4DA2">
        <w:rPr>
          <w:noProof/>
        </w:rPr>
        <w:t xml:space="preserve"> i</w:t>
      </w:r>
      <w:r w:rsidR="00B83C93">
        <w:rPr>
          <w:noProof/>
        </w:rPr>
        <w:t> </w:t>
      </w:r>
      <w:r w:rsidR="00B83C93" w:rsidRPr="008B4DA2">
        <w:rPr>
          <w:noProof/>
        </w:rPr>
        <w:t>w</w:t>
      </w:r>
      <w:r w:rsidR="00B83C93">
        <w:rPr>
          <w:noProof/>
        </w:rPr>
        <w:t> </w:t>
      </w:r>
      <w:r w:rsidR="00B83C93" w:rsidRPr="008B4DA2">
        <w:rPr>
          <w:noProof/>
        </w:rPr>
        <w:t>Wie</w:t>
      </w:r>
      <w:r w:rsidRPr="008B4DA2">
        <w:rPr>
          <w:noProof/>
        </w:rPr>
        <w:t>dniu</w:t>
      </w:r>
      <w:r w:rsidR="00B83C93" w:rsidRPr="008B4DA2">
        <w:rPr>
          <w:noProof/>
        </w:rPr>
        <w:t xml:space="preserve"> w</w:t>
      </w:r>
      <w:r w:rsidR="00B83C93">
        <w:rPr>
          <w:noProof/>
        </w:rPr>
        <w:t> </w:t>
      </w:r>
      <w:r w:rsidR="00B83C93" w:rsidRPr="008B4DA2">
        <w:rPr>
          <w:noProof/>
        </w:rPr>
        <w:t>1</w:t>
      </w:r>
      <w:r w:rsidRPr="008B4DA2">
        <w:rPr>
          <w:noProof/>
        </w:rPr>
        <w:t>9</w:t>
      </w:r>
      <w:r w:rsidRPr="00B83C93">
        <w:rPr>
          <w:noProof/>
        </w:rPr>
        <w:t>68</w:t>
      </w:r>
      <w:r w:rsidR="00B83C93" w:rsidRPr="00B83C93">
        <w:rPr>
          <w:noProof/>
        </w:rPr>
        <w:t> </w:t>
      </w:r>
      <w:r w:rsidRPr="00B83C93">
        <w:rPr>
          <w:noProof/>
        </w:rPr>
        <w:t>r.</w:t>
      </w:r>
      <w:r w:rsidRPr="008B4DA2">
        <w:rPr>
          <w:noProof/>
        </w:rPr>
        <w:t xml:space="preserve">). Dyrektywa reguluje uprawnienia do kierowania pojazdami według kategorii pojazdów. Niektóre kategorie definiuje się przez odniesienie do przepisów UE, mianowicie: </w:t>
      </w:r>
    </w:p>
    <w:p w:rsidR="005148EA" w:rsidRPr="008B4DA2" w:rsidRDefault="005148EA" w:rsidP="00EE1C4D">
      <w:pPr>
        <w:pStyle w:val="Tiret1"/>
        <w:pBdr>
          <w:top w:val="single" w:sz="4" w:space="1" w:color="auto"/>
          <w:left w:val="single" w:sz="4" w:space="4" w:color="auto"/>
          <w:bottom w:val="single" w:sz="4" w:space="1" w:color="auto"/>
          <w:right w:val="single" w:sz="4" w:space="4" w:color="auto"/>
        </w:pBdr>
        <w:rPr>
          <w:noProof/>
        </w:rPr>
      </w:pPr>
      <w:r w:rsidRPr="008B4DA2">
        <w:rPr>
          <w:noProof/>
        </w:rPr>
        <w:t xml:space="preserve">rozporządzenia (UE) </w:t>
      </w:r>
      <w:r w:rsidRPr="00B83C93">
        <w:rPr>
          <w:noProof/>
        </w:rPr>
        <w:t>nr</w:t>
      </w:r>
      <w:r w:rsidR="00B83C93" w:rsidRPr="00B83C93">
        <w:rPr>
          <w:noProof/>
        </w:rPr>
        <w:t> </w:t>
      </w:r>
      <w:r w:rsidRPr="00B83C93">
        <w:rPr>
          <w:noProof/>
        </w:rPr>
        <w:t>1</w:t>
      </w:r>
      <w:r w:rsidRPr="008B4DA2">
        <w:rPr>
          <w:noProof/>
        </w:rPr>
        <w:t>68/2013</w:t>
      </w:r>
      <w:r w:rsidR="00B83C93" w:rsidRPr="008B4DA2">
        <w:rPr>
          <w:noProof/>
        </w:rPr>
        <w:t xml:space="preserve"> w</w:t>
      </w:r>
      <w:r w:rsidR="00B83C93">
        <w:rPr>
          <w:noProof/>
        </w:rPr>
        <w:t> </w:t>
      </w:r>
      <w:r w:rsidR="00B83C93" w:rsidRPr="008B4DA2">
        <w:rPr>
          <w:noProof/>
        </w:rPr>
        <w:t>spr</w:t>
      </w:r>
      <w:r w:rsidRPr="008B4DA2">
        <w:rPr>
          <w:noProof/>
        </w:rPr>
        <w:t>awie homologacji</w:t>
      </w:r>
      <w:r w:rsidR="00B83C93" w:rsidRPr="008B4DA2">
        <w:rPr>
          <w:noProof/>
        </w:rPr>
        <w:t xml:space="preserve"> i</w:t>
      </w:r>
      <w:r w:rsidR="00B83C93">
        <w:rPr>
          <w:noProof/>
        </w:rPr>
        <w:t> </w:t>
      </w:r>
      <w:r w:rsidR="00B83C93" w:rsidRPr="008B4DA2">
        <w:rPr>
          <w:noProof/>
        </w:rPr>
        <w:t>nad</w:t>
      </w:r>
      <w:r w:rsidRPr="008B4DA2">
        <w:rPr>
          <w:noProof/>
        </w:rPr>
        <w:t>zoru rynku pojazdów dwu- lub trzykołowych oraz czterokołowców</w:t>
      </w:r>
      <w:r w:rsidRPr="008B4DA2">
        <w:rPr>
          <w:rStyle w:val="FootnoteReference"/>
          <w:noProof/>
        </w:rPr>
        <w:footnoteReference w:id="69"/>
      </w:r>
      <w:r w:rsidRPr="008B4DA2">
        <w:rPr>
          <w:noProof/>
        </w:rPr>
        <w:t>, umożliwiającego ustalenie typów motorowerów, motocykli, trzykołowych pojazdów silnikowych</w:t>
      </w:r>
      <w:r w:rsidR="00B83C93" w:rsidRPr="008B4DA2">
        <w:rPr>
          <w:noProof/>
        </w:rPr>
        <w:t xml:space="preserve"> i</w:t>
      </w:r>
      <w:r w:rsidR="00B83C93">
        <w:rPr>
          <w:noProof/>
        </w:rPr>
        <w:t> </w:t>
      </w:r>
      <w:r w:rsidR="00B83C93" w:rsidRPr="008B4DA2">
        <w:rPr>
          <w:noProof/>
        </w:rPr>
        <w:t>czt</w:t>
      </w:r>
      <w:r w:rsidRPr="008B4DA2">
        <w:rPr>
          <w:noProof/>
        </w:rPr>
        <w:t>erokołowców;</w:t>
      </w:r>
    </w:p>
    <w:p w:rsidR="005148EA" w:rsidRPr="008B4DA2" w:rsidRDefault="005148EA" w:rsidP="00EE1C4D">
      <w:pPr>
        <w:pStyle w:val="Tiret1"/>
        <w:pBdr>
          <w:top w:val="single" w:sz="4" w:space="1" w:color="auto"/>
          <w:left w:val="single" w:sz="4" w:space="4" w:color="auto"/>
          <w:bottom w:val="single" w:sz="4" w:space="1" w:color="auto"/>
          <w:right w:val="single" w:sz="4" w:space="4" w:color="auto"/>
        </w:pBdr>
        <w:rPr>
          <w:noProof/>
        </w:rPr>
      </w:pPr>
      <w:r w:rsidRPr="008B4DA2">
        <w:rPr>
          <w:noProof/>
        </w:rPr>
        <w:t>dyrektywy Rady 96/53/WE ustanawiającej maksymalne dopuszczalne wymiary</w:t>
      </w:r>
      <w:r w:rsidR="00B83C93" w:rsidRPr="008B4DA2">
        <w:rPr>
          <w:noProof/>
        </w:rPr>
        <w:t xml:space="preserve"> w</w:t>
      </w:r>
      <w:r w:rsidR="00B83C93">
        <w:rPr>
          <w:noProof/>
        </w:rPr>
        <w:t> </w:t>
      </w:r>
      <w:r w:rsidR="00B83C93" w:rsidRPr="008B4DA2">
        <w:rPr>
          <w:noProof/>
        </w:rPr>
        <w:t>ruc</w:t>
      </w:r>
      <w:r w:rsidRPr="008B4DA2">
        <w:rPr>
          <w:noProof/>
        </w:rPr>
        <w:t>hu krajowym</w:t>
      </w:r>
      <w:r w:rsidR="00B83C93" w:rsidRPr="008B4DA2">
        <w:rPr>
          <w:noProof/>
        </w:rPr>
        <w:t xml:space="preserve"> i</w:t>
      </w:r>
      <w:r w:rsidR="00B83C93">
        <w:rPr>
          <w:noProof/>
        </w:rPr>
        <w:t> </w:t>
      </w:r>
      <w:r w:rsidR="00B83C93" w:rsidRPr="008B4DA2">
        <w:rPr>
          <w:noProof/>
        </w:rPr>
        <w:t>mię</w:t>
      </w:r>
      <w:r w:rsidRPr="008B4DA2">
        <w:rPr>
          <w:noProof/>
        </w:rPr>
        <w:t>dzynarodowym oraz maksymalne dopuszczalne obciążenia</w:t>
      </w:r>
      <w:r w:rsidR="00B83C93" w:rsidRPr="008B4DA2">
        <w:rPr>
          <w:noProof/>
        </w:rPr>
        <w:t xml:space="preserve"> w</w:t>
      </w:r>
      <w:r w:rsidR="00B83C93">
        <w:rPr>
          <w:noProof/>
        </w:rPr>
        <w:t> </w:t>
      </w:r>
      <w:r w:rsidR="00B83C93" w:rsidRPr="008B4DA2">
        <w:rPr>
          <w:noProof/>
        </w:rPr>
        <w:t>ruc</w:t>
      </w:r>
      <w:r w:rsidRPr="008B4DA2">
        <w:rPr>
          <w:noProof/>
        </w:rPr>
        <w:t>hu międzynarodowym</w:t>
      </w:r>
      <w:r w:rsidRPr="008B4DA2">
        <w:rPr>
          <w:rStyle w:val="FootnoteReference"/>
          <w:noProof/>
        </w:rPr>
        <w:footnoteReference w:id="70"/>
      </w:r>
      <w:r w:rsidRPr="008B4DA2">
        <w:rPr>
          <w:noProof/>
        </w:rPr>
        <w:t>, umożliwiającej ustalenie typów pojazdów napędzanych paliwem alternatywnym.</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noProof/>
        </w:rPr>
        <w:t>W niniejszej dyrektywie określa się również dolne granice wieku warunkujące możliwość uzyskania prawa jazdy przez (przyszłych) kierowców zawodowych, którzy podlegają dyrektywie (UE) 2022/2561</w:t>
      </w:r>
      <w:r w:rsidR="00B83C93" w:rsidRPr="008B4DA2">
        <w:rPr>
          <w:noProof/>
        </w:rPr>
        <w:t xml:space="preserve"> w</w:t>
      </w:r>
      <w:r w:rsidR="00B83C93">
        <w:rPr>
          <w:noProof/>
        </w:rPr>
        <w:t> </w:t>
      </w:r>
      <w:r w:rsidR="00B83C93" w:rsidRPr="008B4DA2">
        <w:rPr>
          <w:noProof/>
        </w:rPr>
        <w:t>spr</w:t>
      </w:r>
      <w:r w:rsidRPr="008B4DA2">
        <w:rPr>
          <w:noProof/>
        </w:rPr>
        <w:t>awie wstępnej kwalifikacji</w:t>
      </w:r>
      <w:r w:rsidR="00B83C93" w:rsidRPr="008B4DA2">
        <w:rPr>
          <w:noProof/>
        </w:rPr>
        <w:t xml:space="preserve"> i</w:t>
      </w:r>
      <w:r w:rsidR="00B83C93">
        <w:rPr>
          <w:noProof/>
        </w:rPr>
        <w:t> </w:t>
      </w:r>
      <w:r w:rsidR="00B83C93" w:rsidRPr="008B4DA2">
        <w:rPr>
          <w:noProof/>
        </w:rPr>
        <w:t>okr</w:t>
      </w:r>
      <w:r w:rsidRPr="008B4DA2">
        <w:rPr>
          <w:noProof/>
        </w:rPr>
        <w:t>esowego szkolenia kierowców niektórych pojazdów drogowych do przewozu rzeczy lub osób</w:t>
      </w:r>
      <w:r w:rsidRPr="008B4DA2">
        <w:rPr>
          <w:rStyle w:val="FootnoteReference"/>
          <w:noProof/>
        </w:rPr>
        <w:footnoteReference w:id="71"/>
      </w:r>
      <w:r w:rsidRPr="008B4DA2">
        <w:rPr>
          <w:noProof/>
        </w:rPr>
        <w:t xml:space="preserve">. </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noProof/>
        </w:rPr>
        <w:t>Ponadto do wymiany informacji dotyczących praw jazdy mają zastosowanie również przepisy dotyczące ochrony danych osobowych,</w:t>
      </w:r>
      <w:r w:rsidR="00B83C93" w:rsidRPr="008B4DA2">
        <w:rPr>
          <w:noProof/>
        </w:rPr>
        <w:t xml:space="preserve"> w</w:t>
      </w:r>
      <w:r w:rsidR="00B83C93">
        <w:rPr>
          <w:noProof/>
        </w:rPr>
        <w:t> </w:t>
      </w:r>
      <w:r w:rsidR="00B83C93" w:rsidRPr="008B4DA2">
        <w:rPr>
          <w:noProof/>
        </w:rPr>
        <w:t>szc</w:t>
      </w:r>
      <w:r w:rsidRPr="008B4DA2">
        <w:rPr>
          <w:noProof/>
        </w:rPr>
        <w:t>zególności:</w:t>
      </w:r>
    </w:p>
    <w:p w:rsidR="005148EA" w:rsidRPr="008B4DA2" w:rsidRDefault="005148EA" w:rsidP="00EE1C4D">
      <w:pPr>
        <w:pStyle w:val="Tiret1"/>
        <w:pBdr>
          <w:top w:val="single" w:sz="4" w:space="1" w:color="auto"/>
          <w:left w:val="single" w:sz="4" w:space="4" w:color="auto"/>
          <w:bottom w:val="single" w:sz="4" w:space="1" w:color="auto"/>
          <w:right w:val="single" w:sz="4" w:space="4" w:color="auto"/>
        </w:pBdr>
        <w:rPr>
          <w:noProof/>
        </w:rPr>
      </w:pPr>
      <w:r w:rsidRPr="008B4DA2">
        <w:rPr>
          <w:noProof/>
        </w:rPr>
        <w:t>rozporządzenie (UE) 2018/1725</w:t>
      </w:r>
      <w:r w:rsidR="00B83C93" w:rsidRPr="008B4DA2">
        <w:rPr>
          <w:noProof/>
        </w:rPr>
        <w:t xml:space="preserve"> w</w:t>
      </w:r>
      <w:r w:rsidR="00B83C93">
        <w:rPr>
          <w:noProof/>
        </w:rPr>
        <w:t> </w:t>
      </w:r>
      <w:r w:rsidR="00B83C93" w:rsidRPr="008B4DA2">
        <w:rPr>
          <w:noProof/>
        </w:rPr>
        <w:t>spr</w:t>
      </w:r>
      <w:r w:rsidRPr="008B4DA2">
        <w:rPr>
          <w:noProof/>
        </w:rPr>
        <w:t>awie ochrony osób fizycznych</w:t>
      </w:r>
      <w:r w:rsidR="00B83C93" w:rsidRPr="008B4DA2">
        <w:rPr>
          <w:noProof/>
        </w:rPr>
        <w:t xml:space="preserve"> w</w:t>
      </w:r>
      <w:r w:rsidR="00B83C93">
        <w:rPr>
          <w:noProof/>
        </w:rPr>
        <w:t> </w:t>
      </w:r>
      <w:r w:rsidR="00B83C93" w:rsidRPr="008B4DA2">
        <w:rPr>
          <w:noProof/>
        </w:rPr>
        <w:t>zwi</w:t>
      </w:r>
      <w:r w:rsidRPr="008B4DA2">
        <w:rPr>
          <w:noProof/>
        </w:rPr>
        <w:t>ązku</w:t>
      </w:r>
      <w:r w:rsidR="00B83C93" w:rsidRPr="008B4DA2">
        <w:rPr>
          <w:noProof/>
        </w:rPr>
        <w:t xml:space="preserve"> z</w:t>
      </w:r>
      <w:r w:rsidR="00B83C93">
        <w:rPr>
          <w:noProof/>
        </w:rPr>
        <w:t> </w:t>
      </w:r>
      <w:r w:rsidR="00B83C93" w:rsidRPr="008B4DA2">
        <w:rPr>
          <w:noProof/>
        </w:rPr>
        <w:t>prz</w:t>
      </w:r>
      <w:r w:rsidRPr="008B4DA2">
        <w:rPr>
          <w:noProof/>
        </w:rPr>
        <w:t>etwarzaniem danych osobowych przez instytucje, organy</w:t>
      </w:r>
      <w:r w:rsidR="00B83C93" w:rsidRPr="008B4DA2">
        <w:rPr>
          <w:noProof/>
        </w:rPr>
        <w:t xml:space="preserve"> i</w:t>
      </w:r>
      <w:r w:rsidR="00B83C93">
        <w:rPr>
          <w:noProof/>
        </w:rPr>
        <w:t> </w:t>
      </w:r>
      <w:r w:rsidR="00B83C93" w:rsidRPr="008B4DA2">
        <w:rPr>
          <w:noProof/>
        </w:rPr>
        <w:t>jed</w:t>
      </w:r>
      <w:r w:rsidRPr="008B4DA2">
        <w:rPr>
          <w:noProof/>
        </w:rPr>
        <w:t>nostki organizacyjne Unii</w:t>
      </w:r>
      <w:r w:rsidR="00B83C93" w:rsidRPr="008B4DA2">
        <w:rPr>
          <w:noProof/>
        </w:rPr>
        <w:t xml:space="preserve"> i</w:t>
      </w:r>
      <w:r w:rsidR="00B83C93">
        <w:rPr>
          <w:noProof/>
        </w:rPr>
        <w:t> </w:t>
      </w:r>
      <w:r w:rsidR="00B83C93" w:rsidRPr="008B4DA2">
        <w:rPr>
          <w:noProof/>
        </w:rPr>
        <w:t>swo</w:t>
      </w:r>
      <w:r w:rsidRPr="008B4DA2">
        <w:rPr>
          <w:noProof/>
        </w:rPr>
        <w:t>bodnego przepływu takich danych</w:t>
      </w:r>
      <w:r w:rsidRPr="008B4DA2">
        <w:rPr>
          <w:rStyle w:val="FootnoteReference"/>
          <w:noProof/>
        </w:rPr>
        <w:footnoteReference w:id="72"/>
      </w:r>
      <w:r w:rsidRPr="008B4DA2">
        <w:rPr>
          <w:noProof/>
        </w:rPr>
        <w:t xml:space="preserve">; </w:t>
      </w:r>
    </w:p>
    <w:p w:rsidR="005148EA" w:rsidRPr="008B4DA2" w:rsidRDefault="005148EA" w:rsidP="00EE1C4D">
      <w:pPr>
        <w:pStyle w:val="Tiret1"/>
        <w:pBdr>
          <w:top w:val="single" w:sz="4" w:space="1" w:color="auto"/>
          <w:left w:val="single" w:sz="4" w:space="4" w:color="auto"/>
          <w:bottom w:val="single" w:sz="4" w:space="1" w:color="auto"/>
          <w:right w:val="single" w:sz="4" w:space="4" w:color="auto"/>
        </w:pBdr>
        <w:rPr>
          <w:noProof/>
        </w:rPr>
      </w:pPr>
      <w:r w:rsidRPr="008B4DA2">
        <w:rPr>
          <w:noProof/>
        </w:rPr>
        <w:t>rozporządzenie (UE) 2016/679</w:t>
      </w:r>
      <w:r w:rsidR="00B83C93" w:rsidRPr="008B4DA2">
        <w:rPr>
          <w:noProof/>
        </w:rPr>
        <w:t xml:space="preserve"> w</w:t>
      </w:r>
      <w:r w:rsidR="00B83C93">
        <w:rPr>
          <w:noProof/>
        </w:rPr>
        <w:t> </w:t>
      </w:r>
      <w:r w:rsidR="00B83C93" w:rsidRPr="008B4DA2">
        <w:rPr>
          <w:noProof/>
        </w:rPr>
        <w:t>spr</w:t>
      </w:r>
      <w:r w:rsidRPr="008B4DA2">
        <w:rPr>
          <w:noProof/>
        </w:rPr>
        <w:t>awie ochrony osób fizycznych</w:t>
      </w:r>
      <w:r w:rsidR="00B83C93" w:rsidRPr="008B4DA2">
        <w:rPr>
          <w:noProof/>
        </w:rPr>
        <w:t xml:space="preserve"> w</w:t>
      </w:r>
      <w:r w:rsidR="00B83C93">
        <w:rPr>
          <w:noProof/>
        </w:rPr>
        <w:t> </w:t>
      </w:r>
      <w:r w:rsidR="00B83C93" w:rsidRPr="008B4DA2">
        <w:rPr>
          <w:noProof/>
        </w:rPr>
        <w:t>zwi</w:t>
      </w:r>
      <w:r w:rsidRPr="008B4DA2">
        <w:rPr>
          <w:noProof/>
        </w:rPr>
        <w:t>ązku</w:t>
      </w:r>
      <w:r w:rsidR="00B83C93" w:rsidRPr="008B4DA2">
        <w:rPr>
          <w:noProof/>
        </w:rPr>
        <w:t xml:space="preserve"> z</w:t>
      </w:r>
      <w:r w:rsidR="00B83C93">
        <w:rPr>
          <w:noProof/>
        </w:rPr>
        <w:t> </w:t>
      </w:r>
      <w:r w:rsidR="00B83C93" w:rsidRPr="008B4DA2">
        <w:rPr>
          <w:noProof/>
        </w:rPr>
        <w:t>prz</w:t>
      </w:r>
      <w:r w:rsidRPr="008B4DA2">
        <w:rPr>
          <w:noProof/>
        </w:rPr>
        <w:t>etwarzaniem danych osobowych</w:t>
      </w:r>
      <w:r w:rsidR="00B83C93" w:rsidRPr="008B4DA2">
        <w:rPr>
          <w:noProof/>
        </w:rPr>
        <w:t xml:space="preserve"> i</w:t>
      </w:r>
      <w:r w:rsidR="00B83C93">
        <w:rPr>
          <w:noProof/>
        </w:rPr>
        <w:t> </w:t>
      </w:r>
      <w:r w:rsidR="00B83C93" w:rsidRPr="008B4DA2">
        <w:rPr>
          <w:noProof/>
        </w:rPr>
        <w:t>w</w:t>
      </w:r>
      <w:r w:rsidR="00B83C93">
        <w:rPr>
          <w:noProof/>
        </w:rPr>
        <w:t> </w:t>
      </w:r>
      <w:r w:rsidR="00B83C93" w:rsidRPr="008B4DA2">
        <w:rPr>
          <w:noProof/>
        </w:rPr>
        <w:t>spr</w:t>
      </w:r>
      <w:r w:rsidRPr="008B4DA2">
        <w:rPr>
          <w:noProof/>
        </w:rPr>
        <w:t>awie swobodnego przepływu takich danych (ogólne rozporządzenie</w:t>
      </w:r>
      <w:r w:rsidR="00B83C93" w:rsidRPr="008B4DA2">
        <w:rPr>
          <w:noProof/>
        </w:rPr>
        <w:t xml:space="preserve"> o</w:t>
      </w:r>
      <w:r w:rsidR="00B83C93">
        <w:rPr>
          <w:noProof/>
        </w:rPr>
        <w:t> </w:t>
      </w:r>
      <w:r w:rsidR="00B83C93" w:rsidRPr="008B4DA2">
        <w:rPr>
          <w:noProof/>
        </w:rPr>
        <w:t>och</w:t>
      </w:r>
      <w:r w:rsidRPr="008B4DA2">
        <w:rPr>
          <w:noProof/>
        </w:rPr>
        <w:t>ronie danych)</w:t>
      </w:r>
      <w:r w:rsidRPr="008B4DA2">
        <w:rPr>
          <w:rStyle w:val="FootnoteReference"/>
          <w:noProof/>
        </w:rPr>
        <w:footnoteReference w:id="73"/>
      </w:r>
      <w:r w:rsidRPr="008B4DA2">
        <w:rPr>
          <w:noProof/>
        </w:rPr>
        <w:t xml:space="preserve"> oraz dyrektywa Parlamentu Europejskiego</w:t>
      </w:r>
      <w:r w:rsidR="00B83C93" w:rsidRPr="008B4DA2">
        <w:rPr>
          <w:noProof/>
        </w:rPr>
        <w:t xml:space="preserve"> i</w:t>
      </w:r>
      <w:r w:rsidR="00B83C93">
        <w:rPr>
          <w:noProof/>
        </w:rPr>
        <w:t> </w:t>
      </w:r>
      <w:r w:rsidR="00B83C93" w:rsidRPr="008B4DA2">
        <w:rPr>
          <w:noProof/>
        </w:rPr>
        <w:t>Rad</w:t>
      </w:r>
      <w:r w:rsidRPr="008B4DA2">
        <w:rPr>
          <w:noProof/>
        </w:rPr>
        <w:t>y (UE) 2016/680</w:t>
      </w:r>
      <w:r w:rsidRPr="008B4DA2">
        <w:rPr>
          <w:rStyle w:val="FootnoteReference"/>
          <w:noProof/>
        </w:rPr>
        <w:footnoteReference w:id="74"/>
      </w:r>
      <w:r w:rsidRPr="008B4DA2">
        <w:rPr>
          <w:noProof/>
        </w:rPr>
        <w:t>.</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noProof/>
        </w:rPr>
        <w:t>Co więcej, Komisja przyjęła 3 czerwca 20</w:t>
      </w:r>
      <w:r w:rsidRPr="00B83C93">
        <w:rPr>
          <w:noProof/>
        </w:rPr>
        <w:t>21</w:t>
      </w:r>
      <w:r w:rsidR="00B83C93" w:rsidRPr="00B83C93">
        <w:rPr>
          <w:noProof/>
        </w:rPr>
        <w:t> </w:t>
      </w:r>
      <w:r w:rsidRPr="00B83C93">
        <w:rPr>
          <w:noProof/>
        </w:rPr>
        <w:t>r.</w:t>
      </w:r>
      <w:r w:rsidRPr="008B4DA2">
        <w:rPr>
          <w:noProof/>
        </w:rPr>
        <w:t xml:space="preserve"> wniosek</w:t>
      </w:r>
      <w:r w:rsidRPr="008B4DA2">
        <w:rPr>
          <w:rStyle w:val="FootnoteReference"/>
          <w:noProof/>
        </w:rPr>
        <w:footnoteReference w:id="75"/>
      </w:r>
      <w:r w:rsidRPr="008B4DA2">
        <w:rPr>
          <w:noProof/>
        </w:rPr>
        <w:t xml:space="preserve"> dotyczący zmiany rozporządzenia (UE) </w:t>
      </w:r>
      <w:r w:rsidRPr="00B83C93">
        <w:rPr>
          <w:noProof/>
        </w:rPr>
        <w:t>nr</w:t>
      </w:r>
      <w:r w:rsidR="00B83C93" w:rsidRPr="00B83C93">
        <w:rPr>
          <w:noProof/>
        </w:rPr>
        <w:t> </w:t>
      </w:r>
      <w:r w:rsidRPr="00B83C93">
        <w:rPr>
          <w:noProof/>
        </w:rPr>
        <w:t>9</w:t>
      </w:r>
      <w:r w:rsidRPr="008B4DA2">
        <w:rPr>
          <w:noProof/>
        </w:rPr>
        <w:t>10/2014</w:t>
      </w:r>
      <w:r w:rsidRPr="008B4DA2">
        <w:rPr>
          <w:rStyle w:val="FootnoteReference"/>
          <w:noProof/>
        </w:rPr>
        <w:footnoteReference w:id="76"/>
      </w:r>
      <w:r w:rsidR="00B83C93" w:rsidRPr="008B4DA2">
        <w:rPr>
          <w:noProof/>
        </w:rPr>
        <w:t xml:space="preserve"> w</w:t>
      </w:r>
      <w:r w:rsidR="00B83C93">
        <w:rPr>
          <w:noProof/>
        </w:rPr>
        <w:t> </w:t>
      </w:r>
      <w:r w:rsidR="00B83C93" w:rsidRPr="008B4DA2">
        <w:rPr>
          <w:noProof/>
        </w:rPr>
        <w:t>odn</w:t>
      </w:r>
      <w:r w:rsidRPr="008B4DA2">
        <w:rPr>
          <w:noProof/>
        </w:rPr>
        <w:t>iesieniu do ustanowienia europejskich ram tożsamości cyfrowej. Te nowe ramy zawierają moduły istotne dla mobilnych praw jazdy</w:t>
      </w:r>
      <w:r w:rsidR="00B83C93" w:rsidRPr="008B4DA2">
        <w:rPr>
          <w:noProof/>
        </w:rPr>
        <w:t>. W</w:t>
      </w:r>
      <w:r w:rsidR="00B83C93">
        <w:rPr>
          <w:noProof/>
        </w:rPr>
        <w:t> </w:t>
      </w:r>
      <w:r w:rsidR="00B83C93" w:rsidRPr="008B4DA2">
        <w:rPr>
          <w:noProof/>
        </w:rPr>
        <w:t>szc</w:t>
      </w:r>
      <w:r w:rsidRPr="008B4DA2">
        <w:rPr>
          <w:noProof/>
        </w:rPr>
        <w:t>zególności funkcje tożsamości elektronicznej oraz – potencjalnie – funkcje cyfrowego portfela można wykorzystać na potrzeby opracowania interoperacyjnego rozwiązania dla mobilnych praw jazdy UE.</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noProof/>
        </w:rPr>
        <w:t>Aby zapewnić spójność dyrektywy</w:t>
      </w:r>
      <w:r w:rsidR="00B83C93" w:rsidRPr="008B4DA2">
        <w:rPr>
          <w:noProof/>
        </w:rPr>
        <w:t xml:space="preserve"> w</w:t>
      </w:r>
      <w:r w:rsidR="00B83C93">
        <w:rPr>
          <w:noProof/>
        </w:rPr>
        <w:t> </w:t>
      </w:r>
      <w:r w:rsidR="00B83C93" w:rsidRPr="008B4DA2">
        <w:rPr>
          <w:noProof/>
        </w:rPr>
        <w:t>spr</w:t>
      </w:r>
      <w:r w:rsidRPr="008B4DA2">
        <w:rPr>
          <w:noProof/>
        </w:rPr>
        <w:t>awie praw jazdy</w:t>
      </w:r>
      <w:r w:rsidR="00B83C93" w:rsidRPr="008B4DA2">
        <w:rPr>
          <w:noProof/>
        </w:rPr>
        <w:t xml:space="preserve"> z</w:t>
      </w:r>
      <w:r w:rsidR="00B83C93">
        <w:rPr>
          <w:noProof/>
        </w:rPr>
        <w:t> </w:t>
      </w:r>
      <w:r w:rsidR="00B83C93" w:rsidRPr="008B4DA2">
        <w:rPr>
          <w:noProof/>
        </w:rPr>
        <w:t>poz</w:t>
      </w:r>
      <w:r w:rsidRPr="008B4DA2">
        <w:rPr>
          <w:noProof/>
        </w:rPr>
        <w:t>ostałymi instrumentami prawnymi odnoszącymi się do aspektów egzekwowania przepisów ruchu drogowego, ustanawia się pakiet negocjacyjny obejmujący trzy inicjatywy – oprócz niniejszego wniosku dotyczącego nowej dyrektywy</w:t>
      </w:r>
      <w:r w:rsidR="00B83C93" w:rsidRPr="008B4DA2">
        <w:rPr>
          <w:noProof/>
        </w:rPr>
        <w:t xml:space="preserve"> w</w:t>
      </w:r>
      <w:r w:rsidR="00B83C93">
        <w:rPr>
          <w:noProof/>
        </w:rPr>
        <w:t> </w:t>
      </w:r>
      <w:r w:rsidR="00B83C93" w:rsidRPr="008B4DA2">
        <w:rPr>
          <w:noProof/>
        </w:rPr>
        <w:t>spr</w:t>
      </w:r>
      <w:r w:rsidRPr="008B4DA2">
        <w:rPr>
          <w:noProof/>
        </w:rPr>
        <w:t>awie praw jazdy obejmuje on również wniosek dotyczący dyrektywy zmieniającej dyrektywę (UE) 2015/413</w:t>
      </w:r>
      <w:r w:rsidR="00B83C93" w:rsidRPr="008B4DA2">
        <w:rPr>
          <w:noProof/>
        </w:rPr>
        <w:t xml:space="preserve"> w</w:t>
      </w:r>
      <w:r w:rsidR="00B83C93">
        <w:rPr>
          <w:noProof/>
        </w:rPr>
        <w:t> </w:t>
      </w:r>
      <w:r w:rsidR="00B83C93" w:rsidRPr="008B4DA2">
        <w:rPr>
          <w:noProof/>
        </w:rPr>
        <w:t>spr</w:t>
      </w:r>
      <w:r w:rsidRPr="008B4DA2">
        <w:rPr>
          <w:noProof/>
        </w:rPr>
        <w:t>awie ułatwień</w:t>
      </w:r>
      <w:r w:rsidR="00B83C93" w:rsidRPr="008B4DA2">
        <w:rPr>
          <w:noProof/>
        </w:rPr>
        <w:t xml:space="preserve"> w</w:t>
      </w:r>
      <w:r w:rsidR="00B83C93">
        <w:rPr>
          <w:noProof/>
        </w:rPr>
        <w:t> </w:t>
      </w:r>
      <w:r w:rsidR="00B83C93" w:rsidRPr="008B4DA2">
        <w:rPr>
          <w:noProof/>
        </w:rPr>
        <w:t>zak</w:t>
      </w:r>
      <w:r w:rsidRPr="008B4DA2">
        <w:rPr>
          <w:noProof/>
        </w:rPr>
        <w:t>resie transgranicznej wymiany informacji dotyczących przestępstw lub wykroczeń przeciwko bezpieczeństwu ruchu drogowego oraz wniosek dotyczący dyrektywy</w:t>
      </w:r>
      <w:r w:rsidR="00B83C93" w:rsidRPr="008B4DA2">
        <w:rPr>
          <w:noProof/>
        </w:rPr>
        <w:t xml:space="preserve"> w</w:t>
      </w:r>
      <w:r w:rsidR="00B83C93">
        <w:rPr>
          <w:noProof/>
        </w:rPr>
        <w:t> </w:t>
      </w:r>
      <w:r w:rsidR="00B83C93" w:rsidRPr="008B4DA2">
        <w:rPr>
          <w:noProof/>
        </w:rPr>
        <w:t>spr</w:t>
      </w:r>
      <w:r w:rsidRPr="008B4DA2">
        <w:rPr>
          <w:noProof/>
        </w:rPr>
        <w:t>awie ogólnounijnych skutków niektórych zakazów prowadzenia pojazdów.</w:t>
      </w:r>
    </w:p>
    <w:p w:rsidR="005148EA" w:rsidRPr="008B4DA2" w:rsidRDefault="005148EA" w:rsidP="005148EA">
      <w:pPr>
        <w:pStyle w:val="ManualHeading3"/>
        <w:rPr>
          <w:noProof/>
        </w:rPr>
      </w:pPr>
      <w:bookmarkStart w:id="36" w:name="_Toc514938036"/>
      <w:bookmarkStart w:id="37" w:name="_Toc520485039"/>
      <w:r w:rsidRPr="008B4DA2">
        <w:rPr>
          <w:noProof/>
        </w:rPr>
        <w:t>1.5.5.</w:t>
      </w:r>
      <w:r w:rsidRPr="008B4DA2">
        <w:rPr>
          <w:noProof/>
        </w:rPr>
        <w:tab/>
        <w:t>Ocena różnych dostępnych możliwości finansowania,</w:t>
      </w:r>
      <w:r w:rsidR="00B83C93" w:rsidRPr="008B4DA2">
        <w:rPr>
          <w:noProof/>
        </w:rPr>
        <w:t xml:space="preserve"> w</w:t>
      </w:r>
      <w:r w:rsidR="00B83C93">
        <w:rPr>
          <w:noProof/>
        </w:rPr>
        <w:t> </w:t>
      </w:r>
      <w:r w:rsidR="00B83C93" w:rsidRPr="008B4DA2">
        <w:rPr>
          <w:noProof/>
        </w:rPr>
        <w:t>tym</w:t>
      </w:r>
      <w:r w:rsidRPr="008B4DA2">
        <w:rPr>
          <w:noProof/>
        </w:rPr>
        <w:t xml:space="preserve"> </w:t>
      </w:r>
      <w:bookmarkStart w:id="38" w:name="_Hlk127289220"/>
      <w:r w:rsidRPr="008B4DA2">
        <w:rPr>
          <w:noProof/>
        </w:rPr>
        <w:t>zakresu przegrupowania środków</w:t>
      </w:r>
      <w:bookmarkEnd w:id="36"/>
      <w:bookmarkEnd w:id="37"/>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noProof/>
        </w:rPr>
        <w:t>Jednorazowe koszty, które zostaną poniesione</w:t>
      </w:r>
      <w:r w:rsidR="00B83C93" w:rsidRPr="008B4DA2">
        <w:rPr>
          <w:noProof/>
        </w:rPr>
        <w:t xml:space="preserve"> w</w:t>
      </w:r>
      <w:r w:rsidR="00B83C93">
        <w:rPr>
          <w:noProof/>
        </w:rPr>
        <w:t> </w:t>
      </w:r>
      <w:r w:rsidR="00B83C93" w:rsidRPr="008B4DA2">
        <w:rPr>
          <w:noProof/>
        </w:rPr>
        <w:t>2</w:t>
      </w:r>
      <w:r w:rsidRPr="008B4DA2">
        <w:rPr>
          <w:noProof/>
        </w:rPr>
        <w:t>0</w:t>
      </w:r>
      <w:r w:rsidRPr="00B83C93">
        <w:rPr>
          <w:noProof/>
        </w:rPr>
        <w:t>25</w:t>
      </w:r>
      <w:r w:rsidR="00B83C93" w:rsidRPr="00B83C93">
        <w:rPr>
          <w:noProof/>
        </w:rPr>
        <w:t> </w:t>
      </w:r>
      <w:r w:rsidRPr="00B83C93">
        <w:rPr>
          <w:noProof/>
        </w:rPr>
        <w:t>r.</w:t>
      </w:r>
      <w:r w:rsidRPr="008B4DA2">
        <w:rPr>
          <w:noProof/>
        </w:rPr>
        <w:t xml:space="preserve">, oraz bieżące koszty dostosowania, które Komisja będzie ponosić </w:t>
      </w:r>
      <w:r w:rsidRPr="00B83C93">
        <w:rPr>
          <w:noProof/>
        </w:rPr>
        <w:t>do</w:t>
      </w:r>
      <w:r w:rsidR="00B83C93" w:rsidRPr="00B83C93">
        <w:rPr>
          <w:noProof/>
        </w:rPr>
        <w:t> </w:t>
      </w:r>
      <w:r w:rsidRPr="00B83C93">
        <w:rPr>
          <w:noProof/>
        </w:rPr>
        <w:t>2</w:t>
      </w:r>
      <w:r w:rsidRPr="008B4DA2">
        <w:rPr>
          <w:noProof/>
        </w:rPr>
        <w:t>0</w:t>
      </w:r>
      <w:r w:rsidRPr="00B83C93">
        <w:rPr>
          <w:noProof/>
        </w:rPr>
        <w:t>50</w:t>
      </w:r>
      <w:r w:rsidR="00B83C93" w:rsidRPr="00B83C93">
        <w:rPr>
          <w:noProof/>
        </w:rPr>
        <w:t> </w:t>
      </w:r>
      <w:r w:rsidRPr="00B83C93">
        <w:rPr>
          <w:noProof/>
        </w:rPr>
        <w:t>r.</w:t>
      </w:r>
      <w:r w:rsidRPr="008B4DA2">
        <w:rPr>
          <w:noProof/>
        </w:rPr>
        <w:t>, są związane głównie</w:t>
      </w:r>
      <w:r w:rsidR="00B83C93" w:rsidRPr="008B4DA2">
        <w:rPr>
          <w:noProof/>
        </w:rPr>
        <w:t xml:space="preserve"> z</w:t>
      </w:r>
      <w:r w:rsidR="00B83C93">
        <w:rPr>
          <w:noProof/>
        </w:rPr>
        <w:t> </w:t>
      </w:r>
      <w:r w:rsidR="00B83C93" w:rsidRPr="008B4DA2">
        <w:rPr>
          <w:noProof/>
        </w:rPr>
        <w:t>utw</w:t>
      </w:r>
      <w:r w:rsidRPr="008B4DA2">
        <w:rPr>
          <w:noProof/>
        </w:rPr>
        <w:t>orzeniem grupy ekspertów, aby umożliwić organom wymianę informacji</w:t>
      </w:r>
      <w:r w:rsidR="00B83C93" w:rsidRPr="008B4DA2">
        <w:rPr>
          <w:noProof/>
        </w:rPr>
        <w:t xml:space="preserve"> i</w:t>
      </w:r>
      <w:r w:rsidR="00B83C93">
        <w:rPr>
          <w:noProof/>
        </w:rPr>
        <w:t> </w:t>
      </w:r>
      <w:r w:rsidR="00B83C93" w:rsidRPr="008B4DA2">
        <w:rPr>
          <w:noProof/>
        </w:rPr>
        <w:t>naj</w:t>
      </w:r>
      <w:r w:rsidRPr="008B4DA2">
        <w:rPr>
          <w:noProof/>
        </w:rPr>
        <w:t>lepszych praktyk</w:t>
      </w:r>
      <w:r w:rsidR="00B83C93" w:rsidRPr="008B4DA2">
        <w:rPr>
          <w:noProof/>
        </w:rPr>
        <w:t xml:space="preserve"> w</w:t>
      </w:r>
      <w:r w:rsidR="00B83C93">
        <w:rPr>
          <w:noProof/>
        </w:rPr>
        <w:t> </w:t>
      </w:r>
      <w:r w:rsidR="00B83C93" w:rsidRPr="008B4DA2">
        <w:rPr>
          <w:noProof/>
        </w:rPr>
        <w:t>odn</w:t>
      </w:r>
      <w:r w:rsidRPr="008B4DA2">
        <w:rPr>
          <w:noProof/>
        </w:rPr>
        <w:t>iesieniu do fizycznej</w:t>
      </w:r>
      <w:r w:rsidR="00B83C93" w:rsidRPr="008B4DA2">
        <w:rPr>
          <w:noProof/>
        </w:rPr>
        <w:t xml:space="preserve"> i</w:t>
      </w:r>
      <w:r w:rsidR="00B83C93">
        <w:rPr>
          <w:noProof/>
        </w:rPr>
        <w:t> </w:t>
      </w:r>
      <w:r w:rsidR="00B83C93" w:rsidRPr="008B4DA2">
        <w:rPr>
          <w:noProof/>
        </w:rPr>
        <w:t>psy</w:t>
      </w:r>
      <w:r w:rsidRPr="008B4DA2">
        <w:rPr>
          <w:noProof/>
        </w:rPr>
        <w:t>chicznej zdolności do kierowania pojazdami, oraz</w:t>
      </w:r>
      <w:r w:rsidR="00B83C93" w:rsidRPr="008B4DA2">
        <w:rPr>
          <w:noProof/>
        </w:rPr>
        <w:t xml:space="preserve"> z</w:t>
      </w:r>
      <w:r w:rsidR="00B83C93">
        <w:rPr>
          <w:noProof/>
        </w:rPr>
        <w:t> </w:t>
      </w:r>
      <w:r w:rsidR="00B83C93" w:rsidRPr="008B4DA2">
        <w:rPr>
          <w:noProof/>
        </w:rPr>
        <w:t>opr</w:t>
      </w:r>
      <w:r w:rsidRPr="008B4DA2">
        <w:rPr>
          <w:noProof/>
        </w:rPr>
        <w:t>acowaniem programu szkolenia online</w:t>
      </w:r>
      <w:r w:rsidR="00B83C93" w:rsidRPr="008B4DA2">
        <w:rPr>
          <w:noProof/>
        </w:rPr>
        <w:t xml:space="preserve"> z</w:t>
      </w:r>
      <w:r w:rsidR="00B83C93">
        <w:rPr>
          <w:noProof/>
        </w:rPr>
        <w:t> </w:t>
      </w:r>
      <w:r w:rsidR="00B83C93" w:rsidRPr="008B4DA2">
        <w:rPr>
          <w:noProof/>
        </w:rPr>
        <w:t>zak</w:t>
      </w:r>
      <w:r w:rsidRPr="008B4DA2">
        <w:rPr>
          <w:noProof/>
        </w:rPr>
        <w:t>resu zdolności do kierowania pojazdami dla lekarzy podstawowej opieki zdrowotnej. Ustanowienie tych dwóch inicjatyw nie wymaga zwiększenia zasobów ludzkich.</w:t>
      </w:r>
    </w:p>
    <w:p w:rsidR="005148EA" w:rsidRPr="008B4DA2" w:rsidRDefault="005148EA" w:rsidP="005148EA">
      <w:pPr>
        <w:pStyle w:val="Text1"/>
        <w:rPr>
          <w:noProof/>
        </w:rPr>
      </w:pPr>
    </w:p>
    <w:p w:rsidR="005148EA" w:rsidRPr="008B4DA2" w:rsidRDefault="005148EA" w:rsidP="005148EA">
      <w:pPr>
        <w:pStyle w:val="ManualHeading2"/>
        <w:rPr>
          <w:bCs/>
          <w:noProof/>
          <w:szCs w:val="24"/>
        </w:rPr>
      </w:pPr>
      <w:bookmarkStart w:id="39" w:name="_Toc514938039"/>
      <w:bookmarkStart w:id="40" w:name="_Toc520485040"/>
      <w:bookmarkEnd w:id="38"/>
      <w:r w:rsidRPr="008B4DA2">
        <w:rPr>
          <w:noProof/>
        </w:rPr>
        <w:t>1.6.</w:t>
      </w:r>
      <w:r w:rsidRPr="008B4DA2">
        <w:rPr>
          <w:noProof/>
        </w:rPr>
        <w:tab/>
        <w:t>Czas trwania</w:t>
      </w:r>
      <w:r w:rsidR="00B83C93" w:rsidRPr="008B4DA2">
        <w:rPr>
          <w:noProof/>
        </w:rPr>
        <w:t xml:space="preserve"> i</w:t>
      </w:r>
      <w:r w:rsidR="00B83C93">
        <w:rPr>
          <w:noProof/>
        </w:rPr>
        <w:t> </w:t>
      </w:r>
      <w:r w:rsidR="00B83C93" w:rsidRPr="008B4DA2">
        <w:rPr>
          <w:noProof/>
        </w:rPr>
        <w:t>wpł</w:t>
      </w:r>
      <w:r w:rsidRPr="008B4DA2">
        <w:rPr>
          <w:noProof/>
        </w:rPr>
        <w:t>yw finansowy wniosku/inicjatywy</w:t>
      </w:r>
      <w:bookmarkEnd w:id="39"/>
      <w:bookmarkEnd w:id="40"/>
    </w:p>
    <w:p w:rsidR="005148EA" w:rsidRPr="008B4DA2" w:rsidRDefault="005148EA" w:rsidP="005148EA">
      <w:pPr>
        <w:pStyle w:val="Text1"/>
        <w:rPr>
          <w:noProof/>
        </w:rPr>
      </w:pPr>
      <w:r w:rsidRPr="008B4DA2">
        <w:rPr>
          <w:rFonts w:ascii="Wingdings" w:hAnsi="Wingdings"/>
          <w:noProof/>
        </w:rPr>
        <w:t></w:t>
      </w:r>
      <w:r w:rsidRPr="008B4DA2">
        <w:rPr>
          <w:b/>
          <w:i/>
          <w:noProof/>
        </w:rPr>
        <w:t xml:space="preserve"> </w:t>
      </w:r>
      <w:r w:rsidRPr="008B4DA2">
        <w:rPr>
          <w:b/>
          <w:noProof/>
        </w:rPr>
        <w:t xml:space="preserve">Ograniczony czas trwania </w:t>
      </w:r>
    </w:p>
    <w:p w:rsidR="005148EA" w:rsidRPr="008B4DA2" w:rsidRDefault="005148EA" w:rsidP="005148EA">
      <w:pPr>
        <w:pStyle w:val="ListDash2"/>
        <w:rPr>
          <w:noProof/>
        </w:rPr>
      </w:pPr>
      <w:r w:rsidRPr="008B4DA2">
        <w:rPr>
          <w:rFonts w:ascii="Wingdings" w:hAnsi="Wingdings"/>
          <w:noProof/>
        </w:rPr>
        <w:t></w:t>
      </w:r>
      <w:r w:rsidRPr="008B4DA2">
        <w:rPr>
          <w:noProof/>
        </w:rPr>
        <w:tab/>
        <w:t xml:space="preserve">Okres trwania: od [DD/MM]RRRR r. do [DD/MM]RRRR r. </w:t>
      </w:r>
    </w:p>
    <w:p w:rsidR="005148EA" w:rsidRPr="008B4DA2" w:rsidRDefault="005148EA" w:rsidP="005148EA">
      <w:pPr>
        <w:pStyle w:val="ListDash2"/>
        <w:rPr>
          <w:noProof/>
        </w:rPr>
      </w:pPr>
      <w:r w:rsidRPr="008B4DA2">
        <w:rPr>
          <w:rFonts w:ascii="Wingdings" w:hAnsi="Wingdings"/>
          <w:noProof/>
        </w:rPr>
        <w:t></w:t>
      </w:r>
      <w:r w:rsidRPr="008B4DA2">
        <w:rPr>
          <w:noProof/>
        </w:rPr>
        <w:tab/>
        <w:t>Okres trwania wpływu finansowego: od RRRR r. do RRRR r.</w:t>
      </w:r>
      <w:r w:rsidR="00B83C93" w:rsidRPr="008B4DA2">
        <w:rPr>
          <w:noProof/>
        </w:rPr>
        <w:t xml:space="preserve"> w</w:t>
      </w:r>
      <w:r w:rsidR="00B83C93">
        <w:rPr>
          <w:noProof/>
        </w:rPr>
        <w:t> </w:t>
      </w:r>
      <w:r w:rsidR="00B83C93" w:rsidRPr="008B4DA2">
        <w:rPr>
          <w:noProof/>
        </w:rPr>
        <w:t>odn</w:t>
      </w:r>
      <w:r w:rsidRPr="008B4DA2">
        <w:rPr>
          <w:noProof/>
        </w:rPr>
        <w:t>iesieniu do środków na zobowiązania oraz od RRRR r. do RRRR r.</w:t>
      </w:r>
      <w:r w:rsidR="00B83C93" w:rsidRPr="008B4DA2">
        <w:rPr>
          <w:noProof/>
        </w:rPr>
        <w:t xml:space="preserve"> w</w:t>
      </w:r>
      <w:r w:rsidR="00B83C93">
        <w:rPr>
          <w:noProof/>
        </w:rPr>
        <w:t> </w:t>
      </w:r>
      <w:r w:rsidR="00B83C93" w:rsidRPr="008B4DA2">
        <w:rPr>
          <w:noProof/>
        </w:rPr>
        <w:t>odn</w:t>
      </w:r>
      <w:r w:rsidRPr="008B4DA2">
        <w:rPr>
          <w:noProof/>
        </w:rPr>
        <w:t xml:space="preserve">iesieniu do środków na płatności. </w:t>
      </w:r>
    </w:p>
    <w:p w:rsidR="005148EA" w:rsidRPr="008B4DA2" w:rsidRDefault="005148EA" w:rsidP="005148EA">
      <w:pPr>
        <w:pStyle w:val="Text1"/>
        <w:rPr>
          <w:noProof/>
        </w:rPr>
      </w:pPr>
      <w:bookmarkStart w:id="41" w:name="_Hlk127198658"/>
      <w:r w:rsidRPr="008B4DA2">
        <w:rPr>
          <w:b/>
          <w:noProof/>
          <w:bdr w:val="single" w:sz="4" w:space="0" w:color="auto"/>
        </w:rPr>
        <w:t>X</w:t>
      </w:r>
      <w:bookmarkEnd w:id="41"/>
      <w:r w:rsidRPr="008B4DA2">
        <w:rPr>
          <w:b/>
          <w:i/>
          <w:noProof/>
        </w:rPr>
        <w:t xml:space="preserve"> </w:t>
      </w:r>
      <w:r w:rsidRPr="008B4DA2">
        <w:rPr>
          <w:b/>
          <w:noProof/>
        </w:rPr>
        <w:t>Nieograniczony czas trwania</w:t>
      </w:r>
    </w:p>
    <w:p w:rsidR="005148EA" w:rsidRPr="008B4DA2" w:rsidRDefault="005148EA" w:rsidP="005148EA">
      <w:pPr>
        <w:pStyle w:val="ListDash1"/>
        <w:rPr>
          <w:noProof/>
        </w:rPr>
      </w:pPr>
      <w:r w:rsidRPr="008B4DA2">
        <w:rPr>
          <w:noProof/>
        </w:rPr>
        <w:t>Wprowadzenie</w:t>
      </w:r>
      <w:r w:rsidR="00B83C93" w:rsidRPr="008B4DA2">
        <w:rPr>
          <w:noProof/>
        </w:rPr>
        <w:t xml:space="preserve"> w</w:t>
      </w:r>
      <w:r w:rsidR="00B83C93">
        <w:rPr>
          <w:noProof/>
        </w:rPr>
        <w:t> </w:t>
      </w:r>
      <w:r w:rsidR="00B83C93" w:rsidRPr="008B4DA2">
        <w:rPr>
          <w:noProof/>
        </w:rPr>
        <w:t>życ</w:t>
      </w:r>
      <w:r w:rsidRPr="008B4DA2">
        <w:rPr>
          <w:noProof/>
        </w:rPr>
        <w:t>ie</w:t>
      </w:r>
      <w:r w:rsidR="00B83C93" w:rsidRPr="008B4DA2">
        <w:rPr>
          <w:noProof/>
        </w:rPr>
        <w:t xml:space="preserve"> z</w:t>
      </w:r>
      <w:r w:rsidR="00B83C93">
        <w:rPr>
          <w:noProof/>
        </w:rPr>
        <w:t> </w:t>
      </w:r>
      <w:r w:rsidR="00B83C93" w:rsidRPr="008B4DA2">
        <w:rPr>
          <w:noProof/>
        </w:rPr>
        <w:t>okr</w:t>
      </w:r>
      <w:r w:rsidRPr="008B4DA2">
        <w:rPr>
          <w:noProof/>
        </w:rPr>
        <w:t>esem rozruchu od RRRR r. do RRRR r.,</w:t>
      </w:r>
    </w:p>
    <w:p w:rsidR="005148EA" w:rsidRPr="008B4DA2" w:rsidRDefault="005148EA" w:rsidP="005148EA">
      <w:pPr>
        <w:pStyle w:val="ListDash1"/>
        <w:rPr>
          <w:noProof/>
        </w:rPr>
      </w:pPr>
      <w:r w:rsidRPr="008B4DA2">
        <w:rPr>
          <w:noProof/>
        </w:rPr>
        <w:t>po którym następuje faza operacyjna.</w:t>
      </w:r>
    </w:p>
    <w:p w:rsidR="005148EA" w:rsidRPr="008B4DA2" w:rsidRDefault="005148EA" w:rsidP="005148EA">
      <w:pPr>
        <w:pStyle w:val="ManualHeading2"/>
        <w:rPr>
          <w:bCs/>
          <w:noProof/>
          <w:szCs w:val="24"/>
        </w:rPr>
      </w:pPr>
      <w:bookmarkStart w:id="42" w:name="_Toc514938040"/>
      <w:bookmarkStart w:id="43" w:name="_Toc520485041"/>
      <w:r w:rsidRPr="008B4DA2">
        <w:rPr>
          <w:noProof/>
        </w:rPr>
        <w:t>1.7.</w:t>
      </w:r>
      <w:r w:rsidRPr="008B4DA2">
        <w:rPr>
          <w:noProof/>
        </w:rPr>
        <w:tab/>
        <w:t>Planowane metody wykonania budżetu</w:t>
      </w:r>
      <w:r w:rsidRPr="008B4DA2">
        <w:rPr>
          <w:rStyle w:val="FootnoteReference"/>
          <w:noProof/>
        </w:rPr>
        <w:footnoteReference w:id="77"/>
      </w:r>
      <w:bookmarkEnd w:id="42"/>
      <w:bookmarkEnd w:id="43"/>
      <w:r w:rsidRPr="008B4DA2">
        <w:rPr>
          <w:noProof/>
        </w:rPr>
        <w:t xml:space="preserve"> </w:t>
      </w:r>
    </w:p>
    <w:p w:rsidR="005148EA" w:rsidRPr="008B4DA2" w:rsidRDefault="005148EA" w:rsidP="005148EA">
      <w:pPr>
        <w:pStyle w:val="Text1"/>
        <w:rPr>
          <w:noProof/>
        </w:rPr>
      </w:pPr>
      <w:r w:rsidRPr="008B4DA2">
        <w:rPr>
          <w:b/>
          <w:noProof/>
          <w:bdr w:val="single" w:sz="4" w:space="0" w:color="auto"/>
        </w:rPr>
        <w:t>X</w:t>
      </w:r>
      <w:r w:rsidRPr="008B4DA2">
        <w:rPr>
          <w:i/>
          <w:noProof/>
        </w:rPr>
        <w:t xml:space="preserve"> </w:t>
      </w:r>
      <w:r w:rsidRPr="008B4DA2">
        <w:rPr>
          <w:b/>
          <w:noProof/>
        </w:rPr>
        <w:t>Bezpośrednie zarządzanie</w:t>
      </w:r>
      <w:r w:rsidRPr="008B4DA2">
        <w:rPr>
          <w:noProof/>
        </w:rPr>
        <w:t xml:space="preserve"> przez Komisję</w:t>
      </w:r>
    </w:p>
    <w:p w:rsidR="005148EA" w:rsidRPr="008B4DA2" w:rsidRDefault="005148EA" w:rsidP="005148EA">
      <w:pPr>
        <w:pStyle w:val="ListDash2"/>
        <w:rPr>
          <w:rFonts w:cs="EUAlbertina"/>
          <w:noProof/>
        </w:rPr>
      </w:pPr>
      <w:r w:rsidRPr="008B4DA2">
        <w:rPr>
          <w:rFonts w:ascii="Wingdings" w:hAnsi="Wingdings"/>
          <w:noProof/>
        </w:rPr>
        <w:t></w:t>
      </w:r>
      <w:r w:rsidR="00B83C93" w:rsidRPr="008B4DA2">
        <w:rPr>
          <w:noProof/>
        </w:rPr>
        <w:t xml:space="preserve"> w</w:t>
      </w:r>
      <w:r w:rsidR="00B83C93">
        <w:rPr>
          <w:noProof/>
        </w:rPr>
        <w:t> </w:t>
      </w:r>
      <w:r w:rsidR="00B83C93" w:rsidRPr="008B4DA2">
        <w:rPr>
          <w:noProof/>
        </w:rPr>
        <w:t>ram</w:t>
      </w:r>
      <w:r w:rsidRPr="008B4DA2">
        <w:rPr>
          <w:noProof/>
        </w:rPr>
        <w:t>ach jej służb,</w:t>
      </w:r>
      <w:r w:rsidR="00B83C93" w:rsidRPr="008B4DA2">
        <w:rPr>
          <w:noProof/>
        </w:rPr>
        <w:t xml:space="preserve"> w</w:t>
      </w:r>
      <w:r w:rsidR="00B83C93">
        <w:rPr>
          <w:noProof/>
        </w:rPr>
        <w:t> </w:t>
      </w:r>
      <w:r w:rsidR="00B83C93" w:rsidRPr="008B4DA2">
        <w:rPr>
          <w:noProof/>
        </w:rPr>
        <w:t>tym</w:t>
      </w:r>
      <w:r w:rsidRPr="008B4DA2">
        <w:rPr>
          <w:noProof/>
        </w:rPr>
        <w:t xml:space="preserve"> za pośrednictwem jej pracowników</w:t>
      </w:r>
      <w:r w:rsidR="00B83C93" w:rsidRPr="008B4DA2">
        <w:rPr>
          <w:noProof/>
        </w:rPr>
        <w:t xml:space="preserve"> w</w:t>
      </w:r>
      <w:r w:rsidR="00B83C93">
        <w:rPr>
          <w:noProof/>
        </w:rPr>
        <w:t> </w:t>
      </w:r>
      <w:r w:rsidR="00B83C93" w:rsidRPr="008B4DA2">
        <w:rPr>
          <w:noProof/>
        </w:rPr>
        <w:t>del</w:t>
      </w:r>
      <w:r w:rsidRPr="008B4DA2">
        <w:rPr>
          <w:noProof/>
        </w:rPr>
        <w:t xml:space="preserve">egaturach Unii; </w:t>
      </w:r>
    </w:p>
    <w:p w:rsidR="005148EA" w:rsidRPr="008B4DA2" w:rsidRDefault="005148EA" w:rsidP="005148EA">
      <w:pPr>
        <w:pStyle w:val="ListDash2"/>
        <w:rPr>
          <w:noProof/>
        </w:rPr>
      </w:pPr>
      <w:r w:rsidRPr="008B4DA2">
        <w:rPr>
          <w:rFonts w:ascii="Wingdings" w:hAnsi="Wingdings"/>
          <w:noProof/>
        </w:rPr>
        <w:t></w:t>
      </w:r>
      <w:r w:rsidRPr="008B4DA2">
        <w:rPr>
          <w:noProof/>
        </w:rPr>
        <w:tab/>
        <w:t xml:space="preserve">przez agencje wykonawcze </w:t>
      </w:r>
    </w:p>
    <w:p w:rsidR="005148EA" w:rsidRPr="008B4DA2" w:rsidRDefault="005148EA" w:rsidP="005148EA">
      <w:pPr>
        <w:pStyle w:val="Text1"/>
        <w:rPr>
          <w:noProof/>
        </w:rPr>
      </w:pPr>
      <w:r w:rsidRPr="008B4DA2">
        <w:rPr>
          <w:rFonts w:ascii="Wingdings" w:hAnsi="Wingdings"/>
          <w:noProof/>
        </w:rPr>
        <w:t></w:t>
      </w:r>
      <w:r w:rsidRPr="008B4DA2">
        <w:rPr>
          <w:b/>
          <w:i/>
          <w:noProof/>
        </w:rPr>
        <w:t xml:space="preserve"> </w:t>
      </w:r>
      <w:r w:rsidRPr="008B4DA2">
        <w:rPr>
          <w:b/>
          <w:noProof/>
        </w:rPr>
        <w:t>Zarządzanie dzielone</w:t>
      </w:r>
      <w:r w:rsidR="00B83C93" w:rsidRPr="008B4DA2">
        <w:rPr>
          <w:noProof/>
        </w:rPr>
        <w:t xml:space="preserve"> z</w:t>
      </w:r>
      <w:r w:rsidR="00B83C93">
        <w:rPr>
          <w:noProof/>
        </w:rPr>
        <w:t> </w:t>
      </w:r>
      <w:r w:rsidR="00B83C93" w:rsidRPr="008B4DA2">
        <w:rPr>
          <w:noProof/>
        </w:rPr>
        <w:t>pań</w:t>
      </w:r>
      <w:r w:rsidRPr="008B4DA2">
        <w:rPr>
          <w:noProof/>
        </w:rPr>
        <w:t xml:space="preserve">stwami członkowskimi </w:t>
      </w:r>
    </w:p>
    <w:p w:rsidR="005148EA" w:rsidRPr="008B4DA2" w:rsidRDefault="005148EA" w:rsidP="005148EA">
      <w:pPr>
        <w:pStyle w:val="Text1"/>
        <w:rPr>
          <w:noProof/>
        </w:rPr>
      </w:pPr>
      <w:r w:rsidRPr="008B4DA2">
        <w:rPr>
          <w:rFonts w:ascii="Wingdings" w:hAnsi="Wingdings"/>
          <w:noProof/>
        </w:rPr>
        <w:t></w:t>
      </w:r>
      <w:r w:rsidRPr="008B4DA2">
        <w:rPr>
          <w:i/>
          <w:noProof/>
        </w:rPr>
        <w:t xml:space="preserve"> </w:t>
      </w:r>
      <w:r w:rsidRPr="008B4DA2">
        <w:rPr>
          <w:b/>
          <w:noProof/>
        </w:rPr>
        <w:t>Zarządzanie pośrednie</w:t>
      </w:r>
      <w:r w:rsidRPr="008B4DA2">
        <w:rPr>
          <w:noProof/>
        </w:rPr>
        <w:t xml:space="preserve"> poprzez przekazanie zadań związanych</w:t>
      </w:r>
      <w:r w:rsidR="00B83C93" w:rsidRPr="008B4DA2">
        <w:rPr>
          <w:noProof/>
        </w:rPr>
        <w:t xml:space="preserve"> z</w:t>
      </w:r>
      <w:r w:rsidR="00B83C93">
        <w:rPr>
          <w:noProof/>
        </w:rPr>
        <w:t> </w:t>
      </w:r>
      <w:r w:rsidR="00B83C93" w:rsidRPr="008B4DA2">
        <w:rPr>
          <w:noProof/>
        </w:rPr>
        <w:t>wyk</w:t>
      </w:r>
      <w:r w:rsidRPr="008B4DA2">
        <w:rPr>
          <w:noProof/>
        </w:rPr>
        <w:t>onaniem budżetu:</w:t>
      </w:r>
    </w:p>
    <w:p w:rsidR="005148EA" w:rsidRPr="008B4DA2" w:rsidRDefault="005148EA" w:rsidP="005148EA">
      <w:pPr>
        <w:pStyle w:val="ListDash2"/>
        <w:rPr>
          <w:noProof/>
        </w:rPr>
      </w:pPr>
      <w:r w:rsidRPr="008B4DA2">
        <w:rPr>
          <w:rFonts w:ascii="Wingdings" w:hAnsi="Wingdings"/>
          <w:noProof/>
        </w:rPr>
        <w:t></w:t>
      </w:r>
      <w:r w:rsidRPr="008B4DA2">
        <w:rPr>
          <w:noProof/>
        </w:rPr>
        <w:t xml:space="preserve"> państwom trzecim lub organom przez nie wyznaczonym;</w:t>
      </w:r>
    </w:p>
    <w:p w:rsidR="005148EA" w:rsidRPr="008B4DA2" w:rsidRDefault="005148EA" w:rsidP="005148EA">
      <w:pPr>
        <w:pStyle w:val="ListDash2"/>
        <w:rPr>
          <w:noProof/>
        </w:rPr>
      </w:pPr>
      <w:r w:rsidRPr="008B4DA2">
        <w:rPr>
          <w:rFonts w:ascii="Wingdings" w:hAnsi="Wingdings"/>
          <w:noProof/>
        </w:rPr>
        <w:t></w:t>
      </w:r>
      <w:r w:rsidRPr="008B4DA2">
        <w:rPr>
          <w:noProof/>
        </w:rPr>
        <w:t xml:space="preserve"> organizacjom międzynarodowym</w:t>
      </w:r>
      <w:r w:rsidR="00B83C93" w:rsidRPr="008B4DA2">
        <w:rPr>
          <w:noProof/>
        </w:rPr>
        <w:t xml:space="preserve"> i</w:t>
      </w:r>
      <w:r w:rsidR="00B83C93">
        <w:rPr>
          <w:noProof/>
        </w:rPr>
        <w:t> </w:t>
      </w:r>
      <w:r w:rsidR="00B83C93" w:rsidRPr="008B4DA2">
        <w:rPr>
          <w:noProof/>
        </w:rPr>
        <w:t>ich</w:t>
      </w:r>
      <w:r w:rsidRPr="008B4DA2">
        <w:rPr>
          <w:noProof/>
        </w:rPr>
        <w:t xml:space="preserve"> agencjom (należy wyszczególnić);</w:t>
      </w:r>
    </w:p>
    <w:p w:rsidR="005148EA" w:rsidRPr="008B4DA2" w:rsidRDefault="005148EA" w:rsidP="005148EA">
      <w:pPr>
        <w:pStyle w:val="ListDash2"/>
        <w:rPr>
          <w:noProof/>
        </w:rPr>
      </w:pPr>
      <w:r w:rsidRPr="008B4DA2">
        <w:rPr>
          <w:rFonts w:ascii="Wingdings" w:hAnsi="Wingdings"/>
          <w:noProof/>
        </w:rPr>
        <w:t></w:t>
      </w:r>
      <w:r w:rsidRPr="008B4DA2">
        <w:rPr>
          <w:noProof/>
        </w:rPr>
        <w:t xml:space="preserve"> EBI oraz Europejskiemu Funduszowi Inwestycyjnemu;</w:t>
      </w:r>
    </w:p>
    <w:p w:rsidR="005148EA" w:rsidRPr="008B4DA2" w:rsidRDefault="005148EA" w:rsidP="005148EA">
      <w:pPr>
        <w:pStyle w:val="ListDash2"/>
        <w:rPr>
          <w:noProof/>
        </w:rPr>
      </w:pPr>
      <w:r w:rsidRPr="008B4DA2">
        <w:rPr>
          <w:rFonts w:ascii="Wingdings" w:hAnsi="Wingdings"/>
          <w:noProof/>
        </w:rPr>
        <w:t></w:t>
      </w:r>
      <w:r w:rsidRPr="008B4DA2">
        <w:rPr>
          <w:noProof/>
        </w:rPr>
        <w:t xml:space="preserve"> organom,</w:t>
      </w:r>
      <w:r w:rsidR="00B83C93" w:rsidRPr="008B4DA2">
        <w:rPr>
          <w:noProof/>
        </w:rPr>
        <w:t xml:space="preserve"> o</w:t>
      </w:r>
      <w:r w:rsidR="00B83C93">
        <w:rPr>
          <w:noProof/>
        </w:rPr>
        <w:t> </w:t>
      </w:r>
      <w:r w:rsidR="00B83C93" w:rsidRPr="008B4DA2">
        <w:rPr>
          <w:noProof/>
        </w:rPr>
        <w:t>któ</w:t>
      </w:r>
      <w:r w:rsidRPr="008B4DA2">
        <w:rPr>
          <w:noProof/>
        </w:rPr>
        <w:t>rych mowa</w:t>
      </w:r>
      <w:r w:rsidR="00B83C93" w:rsidRPr="008B4DA2">
        <w:rPr>
          <w:noProof/>
        </w:rPr>
        <w:t xml:space="preserve"> w</w:t>
      </w:r>
      <w:r w:rsidR="00B83C93">
        <w:rPr>
          <w:noProof/>
        </w:rPr>
        <w:t> </w:t>
      </w:r>
      <w:r w:rsidR="00B83C93" w:rsidRPr="00B83C93">
        <w:rPr>
          <w:noProof/>
        </w:rPr>
        <w:t>art</w:t>
      </w:r>
      <w:r w:rsidRPr="00B83C93">
        <w:rPr>
          <w:noProof/>
        </w:rPr>
        <w:t>.</w:t>
      </w:r>
      <w:r w:rsidR="00B83C93" w:rsidRPr="00B83C93">
        <w:rPr>
          <w:noProof/>
        </w:rPr>
        <w:t> </w:t>
      </w:r>
      <w:r w:rsidRPr="00B83C93">
        <w:rPr>
          <w:noProof/>
        </w:rPr>
        <w:t>7</w:t>
      </w:r>
      <w:r w:rsidRPr="008B4DA2">
        <w:rPr>
          <w:noProof/>
        </w:rPr>
        <w:t>0</w:t>
      </w:r>
      <w:r w:rsidR="00B83C93" w:rsidRPr="008B4DA2">
        <w:rPr>
          <w:noProof/>
        </w:rPr>
        <w:t xml:space="preserve"> i</w:t>
      </w:r>
      <w:r w:rsidR="00B83C93">
        <w:rPr>
          <w:noProof/>
        </w:rPr>
        <w:t> </w:t>
      </w:r>
      <w:r w:rsidR="00B83C93" w:rsidRPr="008B4DA2">
        <w:rPr>
          <w:noProof/>
        </w:rPr>
        <w:t>7</w:t>
      </w:r>
      <w:r w:rsidRPr="008B4DA2">
        <w:rPr>
          <w:noProof/>
        </w:rPr>
        <w:t>1 rozporządzenia finansowego;</w:t>
      </w:r>
    </w:p>
    <w:p w:rsidR="005148EA" w:rsidRPr="008B4DA2" w:rsidRDefault="005148EA" w:rsidP="005148EA">
      <w:pPr>
        <w:pStyle w:val="ListDash2"/>
        <w:rPr>
          <w:noProof/>
        </w:rPr>
      </w:pPr>
      <w:r w:rsidRPr="008B4DA2">
        <w:rPr>
          <w:rFonts w:ascii="Wingdings" w:hAnsi="Wingdings"/>
          <w:noProof/>
        </w:rPr>
        <w:t></w:t>
      </w:r>
      <w:r w:rsidRPr="008B4DA2">
        <w:rPr>
          <w:noProof/>
        </w:rPr>
        <w:t xml:space="preserve"> organom prawa publicznego;</w:t>
      </w:r>
    </w:p>
    <w:p w:rsidR="005148EA" w:rsidRPr="008B4DA2" w:rsidRDefault="005148EA" w:rsidP="005148EA">
      <w:pPr>
        <w:pStyle w:val="ListDash2"/>
        <w:rPr>
          <w:noProof/>
        </w:rPr>
      </w:pPr>
      <w:r w:rsidRPr="008B4DA2">
        <w:rPr>
          <w:rFonts w:ascii="Wingdings" w:hAnsi="Wingdings"/>
          <w:noProof/>
        </w:rPr>
        <w:t></w:t>
      </w:r>
      <w:r w:rsidRPr="008B4DA2">
        <w:rPr>
          <w:noProof/>
        </w:rPr>
        <w:t xml:space="preserve"> podmiotom podlegającym prawu prywatnemu, które świadczą usługi użyteczności publicznej,</w:t>
      </w:r>
      <w:r w:rsidR="00B83C93" w:rsidRPr="008B4DA2">
        <w:rPr>
          <w:noProof/>
        </w:rPr>
        <w:t xml:space="preserve"> o</w:t>
      </w:r>
      <w:r w:rsidR="00B83C93">
        <w:rPr>
          <w:noProof/>
        </w:rPr>
        <w:t> </w:t>
      </w:r>
      <w:r w:rsidR="00B83C93" w:rsidRPr="008B4DA2">
        <w:rPr>
          <w:noProof/>
        </w:rPr>
        <w:t>ile</w:t>
      </w:r>
      <w:r w:rsidRPr="008B4DA2">
        <w:rPr>
          <w:noProof/>
        </w:rPr>
        <w:t xml:space="preserve"> są im zapewnione odpowiednie gwarancje finansowe;</w:t>
      </w:r>
    </w:p>
    <w:p w:rsidR="005148EA" w:rsidRPr="008B4DA2" w:rsidRDefault="005148EA" w:rsidP="005148EA">
      <w:pPr>
        <w:pStyle w:val="ListDash2"/>
        <w:rPr>
          <w:noProof/>
        </w:rPr>
      </w:pPr>
      <w:r w:rsidRPr="008B4DA2">
        <w:rPr>
          <w:rFonts w:ascii="Wingdings" w:hAnsi="Wingdings"/>
          <w:noProof/>
        </w:rPr>
        <w:t></w:t>
      </w:r>
      <w:r w:rsidRPr="008B4DA2">
        <w:rPr>
          <w:noProof/>
        </w:rPr>
        <w:t xml:space="preserve"> podmiotom podlegającym prawu prywatnemu państwa członkowskiego, którym powierzono realizację partnerstwa publiczno-prywatnego</w:t>
      </w:r>
      <w:r w:rsidR="00B83C93" w:rsidRPr="008B4DA2">
        <w:rPr>
          <w:noProof/>
        </w:rPr>
        <w:t xml:space="preserve"> i</w:t>
      </w:r>
      <w:r w:rsidR="00B83C93">
        <w:rPr>
          <w:noProof/>
        </w:rPr>
        <w:t> </w:t>
      </w:r>
      <w:r w:rsidR="00B83C93" w:rsidRPr="008B4DA2">
        <w:rPr>
          <w:noProof/>
        </w:rPr>
        <w:t>zap</w:t>
      </w:r>
      <w:r w:rsidRPr="008B4DA2">
        <w:rPr>
          <w:noProof/>
        </w:rPr>
        <w:t>ewniono odpowiednie gwarancje finansowe;</w:t>
      </w:r>
    </w:p>
    <w:p w:rsidR="005148EA" w:rsidRPr="008B4DA2" w:rsidRDefault="005148EA" w:rsidP="005148EA">
      <w:pPr>
        <w:pStyle w:val="ListDash2"/>
        <w:rPr>
          <w:noProof/>
        </w:rPr>
      </w:pPr>
      <w:r w:rsidRPr="008B4DA2">
        <w:rPr>
          <w:rFonts w:ascii="Wingdings" w:hAnsi="Wingdings"/>
          <w:noProof/>
        </w:rPr>
        <w:t></w:t>
      </w:r>
      <w:r w:rsidRPr="008B4DA2">
        <w:rPr>
          <w:noProof/>
        </w:rPr>
        <w:t xml:space="preserve"> podmiotom lub osobom odpowiedzialnym za wykonanie określonych działań</w:t>
      </w:r>
      <w:r w:rsidR="00B83C93" w:rsidRPr="008B4DA2">
        <w:rPr>
          <w:noProof/>
        </w:rPr>
        <w:t xml:space="preserve"> w</w:t>
      </w:r>
      <w:r w:rsidR="00B83C93">
        <w:rPr>
          <w:noProof/>
        </w:rPr>
        <w:t> </w:t>
      </w:r>
      <w:r w:rsidR="00B83C93" w:rsidRPr="008B4DA2">
        <w:rPr>
          <w:noProof/>
        </w:rPr>
        <w:t>dzi</w:t>
      </w:r>
      <w:r w:rsidRPr="008B4DA2">
        <w:rPr>
          <w:noProof/>
        </w:rPr>
        <w:t>edzinie wspólnej polityki zagranicznej</w:t>
      </w:r>
      <w:r w:rsidR="00B83C93" w:rsidRPr="008B4DA2">
        <w:rPr>
          <w:noProof/>
        </w:rPr>
        <w:t xml:space="preserve"> i</w:t>
      </w:r>
      <w:r w:rsidR="00B83C93">
        <w:rPr>
          <w:noProof/>
        </w:rPr>
        <w:t> </w:t>
      </w:r>
      <w:r w:rsidR="00B83C93" w:rsidRPr="008B4DA2">
        <w:rPr>
          <w:noProof/>
        </w:rPr>
        <w:t>bez</w:t>
      </w:r>
      <w:r w:rsidRPr="008B4DA2">
        <w:rPr>
          <w:noProof/>
        </w:rPr>
        <w:t>pieczeństwa na mocy tytułu V Traktatu</w:t>
      </w:r>
      <w:r w:rsidR="00B83C93" w:rsidRPr="008B4DA2">
        <w:rPr>
          <w:noProof/>
        </w:rPr>
        <w:t xml:space="preserve"> o</w:t>
      </w:r>
      <w:r w:rsidR="00B83C93">
        <w:rPr>
          <w:noProof/>
        </w:rPr>
        <w:t> </w:t>
      </w:r>
      <w:r w:rsidR="00B83C93" w:rsidRPr="008B4DA2">
        <w:rPr>
          <w:noProof/>
        </w:rPr>
        <w:t>Uni</w:t>
      </w:r>
      <w:r w:rsidRPr="008B4DA2">
        <w:rPr>
          <w:noProof/>
        </w:rPr>
        <w:t>i Europejskiej oraz określonym we właściwym podstawowym akcie prawnym.</w:t>
      </w:r>
    </w:p>
    <w:p w:rsidR="005148EA" w:rsidRPr="008B4DA2" w:rsidRDefault="005148EA" w:rsidP="005148EA">
      <w:pPr>
        <w:pStyle w:val="ListDash2"/>
        <w:rPr>
          <w:i/>
          <w:noProof/>
          <w:sz w:val="18"/>
          <w:u w:val="single"/>
        </w:rPr>
      </w:pPr>
      <w:r w:rsidRPr="008B4DA2">
        <w:rPr>
          <w:i/>
          <w:noProof/>
          <w:sz w:val="18"/>
        </w:rPr>
        <w:t>W przypadku wskazania więcej niż jednego trybu należy podać dodatkowe informacje</w:t>
      </w:r>
      <w:r w:rsidR="00B83C93" w:rsidRPr="008B4DA2">
        <w:rPr>
          <w:i/>
          <w:noProof/>
          <w:sz w:val="18"/>
        </w:rPr>
        <w:t xml:space="preserve"> w</w:t>
      </w:r>
      <w:r w:rsidR="00B83C93">
        <w:rPr>
          <w:i/>
          <w:noProof/>
          <w:sz w:val="18"/>
        </w:rPr>
        <w:t> </w:t>
      </w:r>
      <w:r w:rsidR="00B83C93" w:rsidRPr="008B4DA2">
        <w:rPr>
          <w:i/>
          <w:noProof/>
          <w:sz w:val="18"/>
        </w:rPr>
        <w:t>czę</w:t>
      </w:r>
      <w:r w:rsidRPr="008B4DA2">
        <w:rPr>
          <w:i/>
          <w:noProof/>
          <w:sz w:val="18"/>
        </w:rPr>
        <w:t>ści „Uwagi”.</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szCs w:val="24"/>
        </w:rPr>
      </w:pPr>
      <w:r w:rsidRPr="008B4DA2">
        <w:rPr>
          <w:noProof/>
        </w:rPr>
        <w:t>Wdrożenie wniosku wymaga utworzenia</w:t>
      </w:r>
      <w:r w:rsidR="00B83C93" w:rsidRPr="008B4DA2">
        <w:rPr>
          <w:noProof/>
        </w:rPr>
        <w:t xml:space="preserve"> i</w:t>
      </w:r>
      <w:r w:rsidR="00B83C93">
        <w:rPr>
          <w:noProof/>
        </w:rPr>
        <w:t> </w:t>
      </w:r>
      <w:r w:rsidR="00B83C93" w:rsidRPr="008B4DA2">
        <w:rPr>
          <w:noProof/>
        </w:rPr>
        <w:t>utr</w:t>
      </w:r>
      <w:r w:rsidRPr="008B4DA2">
        <w:rPr>
          <w:noProof/>
        </w:rPr>
        <w:t>zymania grupy ekspertów, aby umożliwić organom wymianę informacji</w:t>
      </w:r>
      <w:r w:rsidR="00B83C93" w:rsidRPr="008B4DA2">
        <w:rPr>
          <w:noProof/>
        </w:rPr>
        <w:t xml:space="preserve"> i</w:t>
      </w:r>
      <w:r w:rsidR="00B83C93">
        <w:rPr>
          <w:noProof/>
        </w:rPr>
        <w:t> </w:t>
      </w:r>
      <w:r w:rsidR="00B83C93" w:rsidRPr="008B4DA2">
        <w:rPr>
          <w:noProof/>
        </w:rPr>
        <w:t>naj</w:t>
      </w:r>
      <w:r w:rsidRPr="008B4DA2">
        <w:rPr>
          <w:noProof/>
        </w:rPr>
        <w:t>lepszych praktyk</w:t>
      </w:r>
      <w:r w:rsidR="00B83C93" w:rsidRPr="008B4DA2">
        <w:rPr>
          <w:noProof/>
        </w:rPr>
        <w:t xml:space="preserve"> w</w:t>
      </w:r>
      <w:r w:rsidR="00B83C93">
        <w:rPr>
          <w:noProof/>
        </w:rPr>
        <w:t> </w:t>
      </w:r>
      <w:r w:rsidR="00B83C93" w:rsidRPr="008B4DA2">
        <w:rPr>
          <w:noProof/>
        </w:rPr>
        <w:t>odn</w:t>
      </w:r>
      <w:r w:rsidRPr="008B4DA2">
        <w:rPr>
          <w:noProof/>
        </w:rPr>
        <w:t>iesieniu do fizycznej</w:t>
      </w:r>
      <w:r w:rsidR="00B83C93" w:rsidRPr="008B4DA2">
        <w:rPr>
          <w:noProof/>
        </w:rPr>
        <w:t xml:space="preserve"> i</w:t>
      </w:r>
      <w:r w:rsidR="00B83C93">
        <w:rPr>
          <w:noProof/>
        </w:rPr>
        <w:t> </w:t>
      </w:r>
      <w:r w:rsidR="00B83C93" w:rsidRPr="008B4DA2">
        <w:rPr>
          <w:noProof/>
        </w:rPr>
        <w:t>psy</w:t>
      </w:r>
      <w:r w:rsidRPr="008B4DA2">
        <w:rPr>
          <w:noProof/>
        </w:rPr>
        <w:t>chicznej zdolności do kierowania pojazdami, oraz do opracowania programu szkolenia online</w:t>
      </w:r>
      <w:r w:rsidR="00B83C93" w:rsidRPr="008B4DA2">
        <w:rPr>
          <w:noProof/>
        </w:rPr>
        <w:t xml:space="preserve"> z</w:t>
      </w:r>
      <w:r w:rsidR="00B83C93">
        <w:rPr>
          <w:noProof/>
        </w:rPr>
        <w:t> </w:t>
      </w:r>
      <w:r w:rsidR="00B83C93" w:rsidRPr="008B4DA2">
        <w:rPr>
          <w:noProof/>
        </w:rPr>
        <w:t>zak</w:t>
      </w:r>
      <w:r w:rsidRPr="008B4DA2">
        <w:rPr>
          <w:noProof/>
        </w:rPr>
        <w:t>resu zdolności do kierowania pojazdami dla lekarzy podstawowej opieki zdrowotnej. Ustanowienie tych inicjatyw nie wymaga zwiększenia zasobów ludzkich.</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szCs w:val="24"/>
        </w:rPr>
      </w:pPr>
      <w:r w:rsidRPr="008B4DA2">
        <w:rPr>
          <w:noProof/>
        </w:rPr>
        <w:t>–</w:t>
      </w:r>
      <w:r w:rsidRPr="008B4DA2">
        <w:rPr>
          <w:noProof/>
        </w:rPr>
        <w:tab/>
        <w:t>stałe koszty dostosowania</w:t>
      </w:r>
      <w:r w:rsidR="00B83C93" w:rsidRPr="008B4DA2">
        <w:rPr>
          <w:noProof/>
        </w:rPr>
        <w:t xml:space="preserve"> w</w:t>
      </w:r>
      <w:r w:rsidR="00B83C93">
        <w:rPr>
          <w:noProof/>
        </w:rPr>
        <w:t> </w:t>
      </w:r>
      <w:r w:rsidR="00B83C93" w:rsidRPr="008B4DA2">
        <w:rPr>
          <w:noProof/>
        </w:rPr>
        <w:t>lat</w:t>
      </w:r>
      <w:r w:rsidRPr="008B4DA2">
        <w:rPr>
          <w:noProof/>
        </w:rPr>
        <w:t>ach 2025–2028 poniesione</w:t>
      </w:r>
      <w:r w:rsidR="00B83C93" w:rsidRPr="008B4DA2">
        <w:rPr>
          <w:noProof/>
        </w:rPr>
        <w:t xml:space="preserve"> w</w:t>
      </w:r>
      <w:r w:rsidR="00B83C93">
        <w:rPr>
          <w:noProof/>
        </w:rPr>
        <w:t> </w:t>
      </w:r>
      <w:r w:rsidR="00B83C93" w:rsidRPr="008B4DA2">
        <w:rPr>
          <w:noProof/>
        </w:rPr>
        <w:t>zwi</w:t>
      </w:r>
      <w:r w:rsidRPr="008B4DA2">
        <w:rPr>
          <w:noProof/>
        </w:rPr>
        <w:t>ązku</w:t>
      </w:r>
      <w:r w:rsidR="00B83C93" w:rsidRPr="008B4DA2">
        <w:rPr>
          <w:noProof/>
        </w:rPr>
        <w:t xml:space="preserve"> z</w:t>
      </w:r>
      <w:r w:rsidR="00B83C93">
        <w:rPr>
          <w:noProof/>
        </w:rPr>
        <w:t> </w:t>
      </w:r>
      <w:r w:rsidR="00B83C93" w:rsidRPr="008B4DA2">
        <w:rPr>
          <w:noProof/>
        </w:rPr>
        <w:t>utw</w:t>
      </w:r>
      <w:r w:rsidRPr="008B4DA2">
        <w:rPr>
          <w:noProof/>
        </w:rPr>
        <w:t>orzeniem grupy ekspertów, aby umożliwić organom wymianę informacji</w:t>
      </w:r>
      <w:r w:rsidR="00B83C93" w:rsidRPr="008B4DA2">
        <w:rPr>
          <w:noProof/>
        </w:rPr>
        <w:t xml:space="preserve"> i</w:t>
      </w:r>
      <w:r w:rsidR="00B83C93">
        <w:rPr>
          <w:noProof/>
        </w:rPr>
        <w:t> </w:t>
      </w:r>
      <w:r w:rsidR="00B83C93" w:rsidRPr="008B4DA2">
        <w:rPr>
          <w:noProof/>
        </w:rPr>
        <w:t>naj</w:t>
      </w:r>
      <w:r w:rsidRPr="008B4DA2">
        <w:rPr>
          <w:noProof/>
        </w:rPr>
        <w:t>lepszych praktyk</w:t>
      </w:r>
      <w:r w:rsidR="00B83C93" w:rsidRPr="008B4DA2">
        <w:rPr>
          <w:noProof/>
        </w:rPr>
        <w:t xml:space="preserve"> w</w:t>
      </w:r>
      <w:r w:rsidR="00B83C93">
        <w:rPr>
          <w:noProof/>
        </w:rPr>
        <w:t> </w:t>
      </w:r>
      <w:r w:rsidR="00B83C93" w:rsidRPr="008B4DA2">
        <w:rPr>
          <w:noProof/>
        </w:rPr>
        <w:t>odn</w:t>
      </w:r>
      <w:r w:rsidRPr="008B4DA2">
        <w:rPr>
          <w:noProof/>
        </w:rPr>
        <w:t>iesieniu do fizycznej</w:t>
      </w:r>
      <w:r w:rsidR="00B83C93" w:rsidRPr="008B4DA2">
        <w:rPr>
          <w:noProof/>
        </w:rPr>
        <w:t xml:space="preserve"> i</w:t>
      </w:r>
      <w:r w:rsidR="00B83C93">
        <w:rPr>
          <w:noProof/>
        </w:rPr>
        <w:t> </w:t>
      </w:r>
      <w:r w:rsidR="00B83C93" w:rsidRPr="008B4DA2">
        <w:rPr>
          <w:noProof/>
        </w:rPr>
        <w:t>psy</w:t>
      </w:r>
      <w:r w:rsidRPr="008B4DA2">
        <w:rPr>
          <w:noProof/>
        </w:rPr>
        <w:t xml:space="preserve">chicznej zdolności do kierowania pojazdami, szacuje się </w:t>
      </w:r>
      <w:r w:rsidRPr="00B83C93">
        <w:rPr>
          <w:noProof/>
        </w:rPr>
        <w:t>na</w:t>
      </w:r>
      <w:r w:rsidR="00B83C93" w:rsidRPr="00B83C93">
        <w:rPr>
          <w:noProof/>
        </w:rPr>
        <w:t> </w:t>
      </w:r>
      <w:r w:rsidRPr="00B83C93">
        <w:rPr>
          <w:noProof/>
        </w:rPr>
        <w:t>3</w:t>
      </w:r>
      <w:r w:rsidRPr="008B4DA2">
        <w:rPr>
          <w:noProof/>
        </w:rPr>
        <w:t>0 000 EUR rocznie;</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szCs w:val="24"/>
        </w:rPr>
      </w:pPr>
      <w:r w:rsidRPr="008B4DA2">
        <w:rPr>
          <w:noProof/>
        </w:rPr>
        <w:t>–</w:t>
      </w:r>
      <w:r w:rsidRPr="008B4DA2">
        <w:rPr>
          <w:noProof/>
        </w:rPr>
        <w:tab/>
        <w:t>w 20</w:t>
      </w:r>
      <w:r w:rsidRPr="00B83C93">
        <w:rPr>
          <w:noProof/>
        </w:rPr>
        <w:t>25</w:t>
      </w:r>
      <w:r w:rsidR="00B83C93" w:rsidRPr="00B83C93">
        <w:rPr>
          <w:noProof/>
        </w:rPr>
        <w:t> </w:t>
      </w:r>
      <w:r w:rsidRPr="00B83C93">
        <w:rPr>
          <w:noProof/>
        </w:rPr>
        <w:t>r.</w:t>
      </w:r>
      <w:r w:rsidRPr="008B4DA2">
        <w:rPr>
          <w:noProof/>
        </w:rPr>
        <w:t xml:space="preserve"> przewiduje się jednorazowe koszty dostosowania</w:t>
      </w:r>
      <w:r w:rsidR="00B83C93" w:rsidRPr="008B4DA2">
        <w:rPr>
          <w:noProof/>
        </w:rPr>
        <w:t xml:space="preserve"> w</w:t>
      </w:r>
      <w:r w:rsidR="00B83C93">
        <w:rPr>
          <w:noProof/>
        </w:rPr>
        <w:t> </w:t>
      </w:r>
      <w:r w:rsidR="00B83C93" w:rsidRPr="008B4DA2">
        <w:rPr>
          <w:noProof/>
        </w:rPr>
        <w:t>wys</w:t>
      </w:r>
      <w:r w:rsidRPr="008B4DA2">
        <w:rPr>
          <w:noProof/>
        </w:rPr>
        <w:t>okości 80 000 EUR poniesione</w:t>
      </w:r>
      <w:r w:rsidR="00B83C93" w:rsidRPr="008B4DA2">
        <w:rPr>
          <w:noProof/>
        </w:rPr>
        <w:t xml:space="preserve"> w</w:t>
      </w:r>
      <w:r w:rsidR="00B83C93">
        <w:rPr>
          <w:noProof/>
        </w:rPr>
        <w:t> </w:t>
      </w:r>
      <w:r w:rsidR="00B83C93" w:rsidRPr="008B4DA2">
        <w:rPr>
          <w:noProof/>
        </w:rPr>
        <w:t>zwi</w:t>
      </w:r>
      <w:r w:rsidRPr="008B4DA2">
        <w:rPr>
          <w:noProof/>
        </w:rPr>
        <w:t>ązku</w:t>
      </w:r>
      <w:r w:rsidR="00B83C93" w:rsidRPr="008B4DA2">
        <w:rPr>
          <w:noProof/>
        </w:rPr>
        <w:t xml:space="preserve"> z</w:t>
      </w:r>
      <w:r w:rsidR="00B83C93">
        <w:rPr>
          <w:noProof/>
        </w:rPr>
        <w:t> </w:t>
      </w:r>
      <w:r w:rsidR="00B83C93" w:rsidRPr="008B4DA2">
        <w:rPr>
          <w:noProof/>
        </w:rPr>
        <w:t>ust</w:t>
      </w:r>
      <w:r w:rsidRPr="008B4DA2">
        <w:rPr>
          <w:noProof/>
        </w:rPr>
        <w:t>anowieniem</w:t>
      </w:r>
      <w:r w:rsidR="00B83C93" w:rsidRPr="008B4DA2">
        <w:rPr>
          <w:noProof/>
        </w:rPr>
        <w:t xml:space="preserve"> i</w:t>
      </w:r>
      <w:r w:rsidR="00B83C93">
        <w:rPr>
          <w:noProof/>
        </w:rPr>
        <w:t> </w:t>
      </w:r>
      <w:r w:rsidR="00B83C93" w:rsidRPr="008B4DA2">
        <w:rPr>
          <w:noProof/>
        </w:rPr>
        <w:t>opr</w:t>
      </w:r>
      <w:r w:rsidRPr="008B4DA2">
        <w:rPr>
          <w:noProof/>
        </w:rPr>
        <w:t>acowaniem programu szkolenia online</w:t>
      </w:r>
      <w:r w:rsidR="00B83C93" w:rsidRPr="008B4DA2">
        <w:rPr>
          <w:noProof/>
        </w:rPr>
        <w:t xml:space="preserve"> z</w:t>
      </w:r>
      <w:r w:rsidR="00B83C93">
        <w:rPr>
          <w:noProof/>
        </w:rPr>
        <w:t> </w:t>
      </w:r>
      <w:r w:rsidR="00B83C93" w:rsidRPr="008B4DA2">
        <w:rPr>
          <w:noProof/>
        </w:rPr>
        <w:t>zak</w:t>
      </w:r>
      <w:r w:rsidRPr="008B4DA2">
        <w:rPr>
          <w:noProof/>
        </w:rPr>
        <w:t>resu zdolności do kierowania pojazdami dla lekarzy podstawowej opieki zdrowotnej;</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szCs w:val="24"/>
        </w:rPr>
      </w:pPr>
      <w:r w:rsidRPr="008B4DA2">
        <w:rPr>
          <w:noProof/>
        </w:rPr>
        <w:t>–</w:t>
      </w:r>
      <w:r w:rsidRPr="008B4DA2">
        <w:rPr>
          <w:noProof/>
        </w:rPr>
        <w:tab/>
        <w:t>bieżące koszty dostosowania (aktualizacja programu szkolenia online</w:t>
      </w:r>
      <w:r w:rsidR="00B83C93" w:rsidRPr="008B4DA2">
        <w:rPr>
          <w:noProof/>
        </w:rPr>
        <w:t xml:space="preserve"> z</w:t>
      </w:r>
      <w:r w:rsidR="00B83C93">
        <w:rPr>
          <w:noProof/>
        </w:rPr>
        <w:t> </w:t>
      </w:r>
      <w:r w:rsidR="00B83C93" w:rsidRPr="008B4DA2">
        <w:rPr>
          <w:noProof/>
        </w:rPr>
        <w:t>zak</w:t>
      </w:r>
      <w:r w:rsidRPr="008B4DA2">
        <w:rPr>
          <w:noProof/>
        </w:rPr>
        <w:t xml:space="preserve">resu zdolności do kierowania pojazdami dla lekarzy podstawowej opieki zdrowotnej) szacuje się </w:t>
      </w:r>
      <w:r w:rsidRPr="00B83C93">
        <w:rPr>
          <w:noProof/>
        </w:rPr>
        <w:t>na</w:t>
      </w:r>
      <w:r w:rsidR="00B83C93" w:rsidRPr="00B83C93">
        <w:rPr>
          <w:noProof/>
        </w:rPr>
        <w:t> </w:t>
      </w:r>
      <w:r w:rsidRPr="00B83C93">
        <w:rPr>
          <w:noProof/>
        </w:rPr>
        <w:t>8</w:t>
      </w:r>
      <w:r w:rsidRPr="008B4DA2">
        <w:rPr>
          <w:noProof/>
        </w:rPr>
        <w:t xml:space="preserve">0 000 EUR </w:t>
      </w:r>
      <w:r w:rsidRPr="00B83C93">
        <w:rPr>
          <w:noProof/>
        </w:rPr>
        <w:t>co</w:t>
      </w:r>
      <w:r w:rsidR="00B83C93" w:rsidRPr="00B83C93">
        <w:rPr>
          <w:noProof/>
        </w:rPr>
        <w:t> </w:t>
      </w:r>
      <w:r w:rsidRPr="00B83C93">
        <w:rPr>
          <w:noProof/>
        </w:rPr>
        <w:t>5</w:t>
      </w:r>
      <w:r w:rsidRPr="008B4DA2">
        <w:rPr>
          <w:noProof/>
        </w:rPr>
        <w:t xml:space="preserve"> lat.</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ind w:left="0"/>
        <w:rPr>
          <w:noProof/>
        </w:rPr>
        <w:sectPr w:rsidR="005148EA" w:rsidRPr="008B4DA2" w:rsidSect="00D32FD5">
          <w:pgSz w:w="11907" w:h="16840" w:code="9"/>
          <w:pgMar w:top="1134" w:right="1418" w:bottom="1134" w:left="1418" w:header="709" w:footer="709" w:gutter="0"/>
          <w:cols w:space="708"/>
          <w:docGrid w:linePitch="360"/>
        </w:sectPr>
      </w:pPr>
    </w:p>
    <w:p w:rsidR="005148EA" w:rsidRPr="008B4DA2" w:rsidRDefault="005148EA" w:rsidP="005148EA">
      <w:pPr>
        <w:pStyle w:val="ManualHeading1"/>
        <w:rPr>
          <w:bCs/>
          <w:noProof/>
          <w:szCs w:val="24"/>
        </w:rPr>
      </w:pPr>
      <w:bookmarkStart w:id="44" w:name="_Toc514938041"/>
      <w:bookmarkStart w:id="45" w:name="_Toc520485042"/>
      <w:r w:rsidRPr="008B4DA2">
        <w:rPr>
          <w:noProof/>
        </w:rPr>
        <w:t>2.</w:t>
      </w:r>
      <w:r w:rsidRPr="008B4DA2">
        <w:rPr>
          <w:noProof/>
        </w:rPr>
        <w:tab/>
        <w:t>ŚRODKI ZARZĄDZANIA</w:t>
      </w:r>
      <w:bookmarkEnd w:id="44"/>
      <w:bookmarkEnd w:id="45"/>
      <w:r w:rsidRPr="008B4DA2">
        <w:rPr>
          <w:noProof/>
        </w:rPr>
        <w:t xml:space="preserve"> </w:t>
      </w:r>
    </w:p>
    <w:p w:rsidR="005148EA" w:rsidRPr="008B4DA2" w:rsidRDefault="005148EA" w:rsidP="005148EA">
      <w:pPr>
        <w:pStyle w:val="ManualHeading2"/>
        <w:rPr>
          <w:noProof/>
        </w:rPr>
      </w:pPr>
      <w:bookmarkStart w:id="46" w:name="_Toc514938042"/>
      <w:bookmarkStart w:id="47" w:name="_Toc520485043"/>
      <w:r w:rsidRPr="008B4DA2">
        <w:rPr>
          <w:noProof/>
        </w:rPr>
        <w:t>2.1.</w:t>
      </w:r>
      <w:r w:rsidRPr="008B4DA2">
        <w:rPr>
          <w:noProof/>
        </w:rPr>
        <w:tab/>
        <w:t>Zasady nadzoru</w:t>
      </w:r>
      <w:r w:rsidR="00B83C93" w:rsidRPr="008B4DA2">
        <w:rPr>
          <w:noProof/>
        </w:rPr>
        <w:t xml:space="preserve"> i</w:t>
      </w:r>
      <w:r w:rsidR="00B83C93">
        <w:rPr>
          <w:noProof/>
        </w:rPr>
        <w:t> </w:t>
      </w:r>
      <w:r w:rsidR="00B83C93" w:rsidRPr="008B4DA2">
        <w:rPr>
          <w:noProof/>
        </w:rPr>
        <w:t>spr</w:t>
      </w:r>
      <w:r w:rsidRPr="008B4DA2">
        <w:rPr>
          <w:noProof/>
        </w:rPr>
        <w:t>awozdawczości</w:t>
      </w:r>
      <w:bookmarkEnd w:id="46"/>
      <w:bookmarkEnd w:id="47"/>
      <w:r w:rsidRPr="008B4DA2">
        <w:rPr>
          <w:noProof/>
        </w:rPr>
        <w:t xml:space="preserve"> </w:t>
      </w:r>
    </w:p>
    <w:p w:rsidR="005148EA" w:rsidRPr="008B4DA2" w:rsidRDefault="005148EA" w:rsidP="005148EA">
      <w:pPr>
        <w:pStyle w:val="Text1"/>
        <w:rPr>
          <w:i/>
          <w:noProof/>
          <w:sz w:val="20"/>
        </w:rPr>
      </w:pPr>
      <w:r w:rsidRPr="008B4DA2">
        <w:rPr>
          <w:i/>
          <w:noProof/>
          <w:sz w:val="20"/>
        </w:rPr>
        <w:t>Określić częstotliwość</w:t>
      </w:r>
      <w:r w:rsidR="00B83C93" w:rsidRPr="008B4DA2">
        <w:rPr>
          <w:i/>
          <w:noProof/>
          <w:sz w:val="20"/>
        </w:rPr>
        <w:t xml:space="preserve"> i</w:t>
      </w:r>
      <w:r w:rsidR="00B83C93">
        <w:rPr>
          <w:i/>
          <w:noProof/>
          <w:sz w:val="20"/>
        </w:rPr>
        <w:t> </w:t>
      </w:r>
      <w:r w:rsidR="00B83C93" w:rsidRPr="008B4DA2">
        <w:rPr>
          <w:i/>
          <w:noProof/>
          <w:sz w:val="20"/>
        </w:rPr>
        <w:t>war</w:t>
      </w:r>
      <w:r w:rsidRPr="008B4DA2">
        <w:rPr>
          <w:i/>
          <w:noProof/>
          <w:sz w:val="20"/>
        </w:rPr>
        <w:t>unki</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color w:val="000000" w:themeColor="text1"/>
        </w:rPr>
      </w:pPr>
      <w:r w:rsidRPr="008B4DA2">
        <w:rPr>
          <w:noProof/>
        </w:rPr>
        <w:t>Zadania realizowane bezpośrednio przez DG MOVE są zgodne</w:t>
      </w:r>
      <w:r w:rsidR="00B83C93" w:rsidRPr="008B4DA2">
        <w:rPr>
          <w:noProof/>
        </w:rPr>
        <w:t xml:space="preserve"> z</w:t>
      </w:r>
      <w:r w:rsidR="00B83C93">
        <w:rPr>
          <w:noProof/>
        </w:rPr>
        <w:t> </w:t>
      </w:r>
      <w:r w:rsidR="00B83C93" w:rsidRPr="008B4DA2">
        <w:rPr>
          <w:noProof/>
        </w:rPr>
        <w:t>rea</w:t>
      </w:r>
      <w:r w:rsidRPr="008B4DA2">
        <w:rPr>
          <w:noProof/>
        </w:rPr>
        <w:t>lizowanym przez Komisję</w:t>
      </w:r>
      <w:r w:rsidR="00B83C93" w:rsidRPr="008B4DA2">
        <w:rPr>
          <w:noProof/>
        </w:rPr>
        <w:t xml:space="preserve"> i</w:t>
      </w:r>
      <w:r w:rsidR="00B83C93">
        <w:rPr>
          <w:noProof/>
        </w:rPr>
        <w:t> </w:t>
      </w:r>
      <w:r w:rsidR="00B83C93" w:rsidRPr="008B4DA2">
        <w:rPr>
          <w:noProof/>
        </w:rPr>
        <w:t>age</w:t>
      </w:r>
      <w:r w:rsidRPr="008B4DA2">
        <w:rPr>
          <w:noProof/>
        </w:rPr>
        <w:t>ncje wykonawcze rocznym cyklem planowania</w:t>
      </w:r>
      <w:r w:rsidR="00B83C93" w:rsidRPr="008B4DA2">
        <w:rPr>
          <w:noProof/>
        </w:rPr>
        <w:t xml:space="preserve"> i</w:t>
      </w:r>
      <w:r w:rsidR="00B83C93">
        <w:rPr>
          <w:noProof/>
        </w:rPr>
        <w:t> </w:t>
      </w:r>
      <w:r w:rsidR="00B83C93" w:rsidRPr="008B4DA2">
        <w:rPr>
          <w:noProof/>
        </w:rPr>
        <w:t>mon</w:t>
      </w:r>
      <w:r w:rsidRPr="008B4DA2">
        <w:rPr>
          <w:noProof/>
        </w:rPr>
        <w:t>itorowania,</w:t>
      </w:r>
      <w:r w:rsidR="00B83C93" w:rsidRPr="008B4DA2">
        <w:rPr>
          <w:noProof/>
        </w:rPr>
        <w:t xml:space="preserve"> w</w:t>
      </w:r>
      <w:r w:rsidR="00B83C93">
        <w:rPr>
          <w:noProof/>
        </w:rPr>
        <w:t> </w:t>
      </w:r>
      <w:r w:rsidR="00B83C93" w:rsidRPr="008B4DA2">
        <w:rPr>
          <w:noProof/>
        </w:rPr>
        <w:t>tym w</w:t>
      </w:r>
      <w:r w:rsidR="00B83C93">
        <w:rPr>
          <w:noProof/>
        </w:rPr>
        <w:t> </w:t>
      </w:r>
      <w:r w:rsidR="00B83C93" w:rsidRPr="008B4DA2">
        <w:rPr>
          <w:noProof/>
        </w:rPr>
        <w:t>zak</w:t>
      </w:r>
      <w:r w:rsidRPr="008B4DA2">
        <w:rPr>
          <w:noProof/>
        </w:rPr>
        <w:t>resie sprawozdawczości na temat wyników za pośrednictwem rocznego sprawozdania</w:t>
      </w:r>
      <w:r w:rsidR="00B83C93" w:rsidRPr="008B4DA2">
        <w:rPr>
          <w:noProof/>
        </w:rPr>
        <w:t xml:space="preserve"> z</w:t>
      </w:r>
      <w:r w:rsidR="00B83C93">
        <w:rPr>
          <w:noProof/>
        </w:rPr>
        <w:t> </w:t>
      </w:r>
      <w:r w:rsidR="00B83C93" w:rsidRPr="008B4DA2">
        <w:rPr>
          <w:noProof/>
        </w:rPr>
        <w:t>dzi</w:t>
      </w:r>
      <w:r w:rsidRPr="008B4DA2">
        <w:rPr>
          <w:noProof/>
        </w:rPr>
        <w:t>ałalności DG MOVE.</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noProof/>
        </w:rPr>
        <w:t>Zgodnie</w:t>
      </w:r>
      <w:r w:rsidR="00B83C93" w:rsidRPr="008B4DA2">
        <w:rPr>
          <w:noProof/>
        </w:rPr>
        <w:t xml:space="preserve"> z</w:t>
      </w:r>
      <w:r w:rsidR="00B83C93">
        <w:rPr>
          <w:noProof/>
        </w:rPr>
        <w:t> </w:t>
      </w:r>
      <w:r w:rsidR="00B83C93" w:rsidRPr="00B83C93">
        <w:rPr>
          <w:noProof/>
        </w:rPr>
        <w:t>art</w:t>
      </w:r>
      <w:r w:rsidRPr="00B83C93">
        <w:rPr>
          <w:noProof/>
        </w:rPr>
        <w:t>.</w:t>
      </w:r>
      <w:r w:rsidR="00B83C93" w:rsidRPr="00B83C93">
        <w:rPr>
          <w:noProof/>
        </w:rPr>
        <w:t> </w:t>
      </w:r>
      <w:r w:rsidRPr="00B83C93">
        <w:rPr>
          <w:noProof/>
        </w:rPr>
        <w:t>2</w:t>
      </w:r>
      <w:r w:rsidRPr="008B4DA2">
        <w:rPr>
          <w:noProof/>
        </w:rPr>
        <w:t>0 dyrektywy</w:t>
      </w:r>
      <w:r w:rsidR="00B83C93" w:rsidRPr="008B4DA2">
        <w:rPr>
          <w:noProof/>
        </w:rPr>
        <w:t xml:space="preserve"> w</w:t>
      </w:r>
      <w:r w:rsidR="00B83C93">
        <w:rPr>
          <w:noProof/>
        </w:rPr>
        <w:t> </w:t>
      </w:r>
      <w:r w:rsidR="00B83C93" w:rsidRPr="008B4DA2">
        <w:rPr>
          <w:noProof/>
        </w:rPr>
        <w:t>spr</w:t>
      </w:r>
      <w:r w:rsidRPr="008B4DA2">
        <w:rPr>
          <w:noProof/>
        </w:rPr>
        <w:t>awie praw jazdy państwa członkowskie mają przekazywać co roku Komisji informacje liczbowe dotyczące wydania, przedłużenia okresu ważności, wydania wtórnik</w:t>
      </w:r>
      <w:r w:rsidR="00291234">
        <w:rPr>
          <w:noProof/>
        </w:rPr>
        <w:t>ó</w:t>
      </w:r>
      <w:r w:rsidRPr="008B4DA2">
        <w:rPr>
          <w:noProof/>
        </w:rPr>
        <w:t>w, cofnięcia</w:t>
      </w:r>
      <w:r w:rsidR="00B83C93" w:rsidRPr="008B4DA2">
        <w:rPr>
          <w:noProof/>
        </w:rPr>
        <w:t xml:space="preserve"> i</w:t>
      </w:r>
      <w:r w:rsidR="00B83C93">
        <w:rPr>
          <w:noProof/>
        </w:rPr>
        <w:t> </w:t>
      </w:r>
      <w:r w:rsidR="00B83C93" w:rsidRPr="008B4DA2">
        <w:rPr>
          <w:noProof/>
        </w:rPr>
        <w:t>wym</w:t>
      </w:r>
      <w:r w:rsidRPr="008B4DA2">
        <w:rPr>
          <w:noProof/>
        </w:rPr>
        <w:t>iany praw jazdy</w:t>
      </w:r>
      <w:r w:rsidR="00B83C93" w:rsidRPr="008B4DA2">
        <w:rPr>
          <w:noProof/>
        </w:rPr>
        <w:t xml:space="preserve"> w</w:t>
      </w:r>
      <w:r w:rsidR="00B83C93">
        <w:rPr>
          <w:noProof/>
        </w:rPr>
        <w:t> </w:t>
      </w:r>
      <w:r w:rsidR="00B83C93" w:rsidRPr="008B4DA2">
        <w:rPr>
          <w:noProof/>
        </w:rPr>
        <w:t>odn</w:t>
      </w:r>
      <w:r w:rsidRPr="008B4DA2">
        <w:rPr>
          <w:noProof/>
        </w:rPr>
        <w:t>iesieniu do poszczególnych kategorii, łącznie</w:t>
      </w:r>
      <w:r w:rsidR="00B83C93" w:rsidRPr="008B4DA2">
        <w:rPr>
          <w:noProof/>
        </w:rPr>
        <w:t xml:space="preserve"> z</w:t>
      </w:r>
      <w:r w:rsidR="00B83C93">
        <w:rPr>
          <w:noProof/>
        </w:rPr>
        <w:t> </w:t>
      </w:r>
      <w:r w:rsidR="00B83C93" w:rsidRPr="008B4DA2">
        <w:rPr>
          <w:noProof/>
        </w:rPr>
        <w:t>dan</w:t>
      </w:r>
      <w:r w:rsidRPr="008B4DA2">
        <w:rPr>
          <w:noProof/>
        </w:rPr>
        <w:t>ymi na temat wydawania</w:t>
      </w:r>
      <w:r w:rsidR="00B83C93" w:rsidRPr="008B4DA2">
        <w:rPr>
          <w:noProof/>
        </w:rPr>
        <w:t xml:space="preserve"> i</w:t>
      </w:r>
      <w:r w:rsidR="00B83C93">
        <w:rPr>
          <w:noProof/>
        </w:rPr>
        <w:t> </w:t>
      </w:r>
      <w:r w:rsidR="00B83C93" w:rsidRPr="008B4DA2">
        <w:rPr>
          <w:noProof/>
        </w:rPr>
        <w:t>uży</w:t>
      </w:r>
      <w:r w:rsidRPr="008B4DA2">
        <w:rPr>
          <w:noProof/>
        </w:rPr>
        <w:t>wania mobilnych praw jazdy.</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noProof/>
        </w:rPr>
        <w:t>Komisja oceni również prawidłowość transpozycji dyrektywy przez państwa członkowskie.</w:t>
      </w:r>
    </w:p>
    <w:p w:rsidR="005148EA" w:rsidRPr="008B4DA2" w:rsidRDefault="005148EA" w:rsidP="005148EA">
      <w:pPr>
        <w:pStyle w:val="ManualHeading2"/>
        <w:rPr>
          <w:bCs/>
          <w:noProof/>
          <w:szCs w:val="24"/>
        </w:rPr>
      </w:pPr>
      <w:bookmarkStart w:id="48" w:name="_Toc514938045"/>
      <w:bookmarkStart w:id="49" w:name="_Toc520485044"/>
      <w:r w:rsidRPr="008B4DA2">
        <w:rPr>
          <w:noProof/>
        </w:rPr>
        <w:t>2.2.</w:t>
      </w:r>
      <w:r w:rsidRPr="008B4DA2">
        <w:rPr>
          <w:noProof/>
        </w:rPr>
        <w:tab/>
        <w:t>System zarządzania</w:t>
      </w:r>
      <w:r w:rsidR="00B83C93" w:rsidRPr="008B4DA2">
        <w:rPr>
          <w:noProof/>
        </w:rPr>
        <w:t xml:space="preserve"> i</w:t>
      </w:r>
      <w:r w:rsidR="00B83C93">
        <w:rPr>
          <w:noProof/>
        </w:rPr>
        <w:t> </w:t>
      </w:r>
      <w:r w:rsidR="00B83C93" w:rsidRPr="008B4DA2">
        <w:rPr>
          <w:noProof/>
        </w:rPr>
        <w:t>kon</w:t>
      </w:r>
      <w:r w:rsidRPr="008B4DA2">
        <w:rPr>
          <w:noProof/>
        </w:rPr>
        <w:t>troli</w:t>
      </w:r>
      <w:bookmarkEnd w:id="48"/>
      <w:bookmarkEnd w:id="49"/>
      <w:r w:rsidRPr="008B4DA2">
        <w:rPr>
          <w:noProof/>
        </w:rPr>
        <w:t xml:space="preserve"> </w:t>
      </w:r>
    </w:p>
    <w:p w:rsidR="005148EA" w:rsidRPr="008B4DA2" w:rsidRDefault="005148EA" w:rsidP="005148EA">
      <w:pPr>
        <w:pStyle w:val="ManualHeading3"/>
        <w:rPr>
          <w:noProof/>
        </w:rPr>
      </w:pPr>
      <w:bookmarkStart w:id="50" w:name="_Toc514938046"/>
      <w:bookmarkStart w:id="51" w:name="_Toc520485045"/>
      <w:r w:rsidRPr="008B4DA2">
        <w:rPr>
          <w:noProof/>
        </w:rPr>
        <w:t>2.2.1.</w:t>
      </w:r>
      <w:r w:rsidRPr="008B4DA2">
        <w:rPr>
          <w:noProof/>
        </w:rPr>
        <w:tab/>
        <w:t>Uzasadnienie dla systemu zarządzania, mechanizmów finansowania wykonania, warunków płatności</w:t>
      </w:r>
      <w:r w:rsidR="00B83C93" w:rsidRPr="008B4DA2">
        <w:rPr>
          <w:noProof/>
        </w:rPr>
        <w:t xml:space="preserve"> i</w:t>
      </w:r>
      <w:r w:rsidR="00B83C93">
        <w:rPr>
          <w:noProof/>
        </w:rPr>
        <w:t> </w:t>
      </w:r>
      <w:r w:rsidR="00B83C93" w:rsidRPr="008B4DA2">
        <w:rPr>
          <w:noProof/>
        </w:rPr>
        <w:t>pro</w:t>
      </w:r>
      <w:r w:rsidRPr="008B4DA2">
        <w:rPr>
          <w:noProof/>
        </w:rPr>
        <w:t>ponowanej strategii kontroli</w:t>
      </w:r>
      <w:bookmarkEnd w:id="50"/>
      <w:bookmarkEnd w:id="51"/>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color w:val="000000" w:themeColor="text1"/>
        </w:rPr>
      </w:pPr>
      <w:r w:rsidRPr="008B4DA2">
        <w:rPr>
          <w:noProof/>
        </w:rPr>
        <w:t>Wdrażaniem dyrektywy będzie zarządzać dział DG MOVE odpowiedzialny za tę dziedzinę polityki.</w:t>
      </w:r>
    </w:p>
    <w:p w:rsidR="005148EA" w:rsidRPr="008B4DA2" w:rsidRDefault="005148EA" w:rsidP="00EE1C4D">
      <w:pPr>
        <w:pStyle w:val="Text1"/>
        <w:pBdr>
          <w:top w:val="single" w:sz="4" w:space="1" w:color="auto"/>
          <w:left w:val="single" w:sz="4" w:space="4" w:color="auto"/>
          <w:bottom w:val="single" w:sz="4" w:space="1" w:color="auto"/>
          <w:right w:val="single" w:sz="4" w:space="4" w:color="auto"/>
        </w:pBdr>
        <w:rPr>
          <w:noProof/>
        </w:rPr>
      </w:pPr>
      <w:r w:rsidRPr="008B4DA2">
        <w:rPr>
          <w:noProof/>
        </w:rPr>
        <w:t>Wydatki będą realizowane</w:t>
      </w:r>
      <w:r w:rsidR="00B83C93" w:rsidRPr="008B4DA2">
        <w:rPr>
          <w:noProof/>
        </w:rPr>
        <w:t xml:space="preserve"> w</w:t>
      </w:r>
      <w:r w:rsidR="00B83C93">
        <w:rPr>
          <w:noProof/>
        </w:rPr>
        <w:t> </w:t>
      </w:r>
      <w:r w:rsidR="00B83C93" w:rsidRPr="008B4DA2">
        <w:rPr>
          <w:noProof/>
        </w:rPr>
        <w:t>ram</w:t>
      </w:r>
      <w:r w:rsidRPr="008B4DA2">
        <w:rPr>
          <w:noProof/>
        </w:rPr>
        <w:t>ach zarządzania bezpośredniego, przy pełnym zastosowaniu przepisów rozporządzenia finansowego. Strategia kontroli zamówień</w:t>
      </w:r>
      <w:r w:rsidR="00B83C93" w:rsidRPr="008B4DA2">
        <w:rPr>
          <w:noProof/>
        </w:rPr>
        <w:t xml:space="preserve"> i</w:t>
      </w:r>
      <w:r w:rsidR="00B83C93">
        <w:rPr>
          <w:noProof/>
        </w:rPr>
        <w:t> </w:t>
      </w:r>
      <w:r w:rsidR="00B83C93" w:rsidRPr="008B4DA2">
        <w:rPr>
          <w:noProof/>
        </w:rPr>
        <w:t>dot</w:t>
      </w:r>
      <w:r w:rsidRPr="008B4DA2">
        <w:rPr>
          <w:noProof/>
        </w:rPr>
        <w:t>acji w DG MOVE obejmuje szczegółowe prawne, operacyjne</w:t>
      </w:r>
      <w:r w:rsidR="00B83C93" w:rsidRPr="008B4DA2">
        <w:rPr>
          <w:noProof/>
        </w:rPr>
        <w:t xml:space="preserve"> i</w:t>
      </w:r>
      <w:r w:rsidR="00B83C93">
        <w:rPr>
          <w:noProof/>
        </w:rPr>
        <w:t> </w:t>
      </w:r>
      <w:r w:rsidR="00B83C93" w:rsidRPr="008B4DA2">
        <w:rPr>
          <w:noProof/>
        </w:rPr>
        <w:t>fin</w:t>
      </w:r>
      <w:r w:rsidRPr="008B4DA2">
        <w:rPr>
          <w:noProof/>
        </w:rPr>
        <w:t xml:space="preserve">ansowe kontrole </w:t>
      </w:r>
      <w:r w:rsidRPr="008B4DA2">
        <w:rPr>
          <w:i/>
          <w:iCs/>
          <w:noProof/>
        </w:rPr>
        <w:t>ex ante</w:t>
      </w:r>
      <w:r w:rsidRPr="008B4DA2">
        <w:rPr>
          <w:noProof/>
        </w:rPr>
        <w:t xml:space="preserve"> procedur (w tym,</w:t>
      </w:r>
      <w:r w:rsidR="00B83C93" w:rsidRPr="008B4DA2">
        <w:rPr>
          <w:noProof/>
        </w:rPr>
        <w:t xml:space="preserve"> w</w:t>
      </w:r>
      <w:r w:rsidR="00B83C93">
        <w:rPr>
          <w:noProof/>
        </w:rPr>
        <w:t> </w:t>
      </w:r>
      <w:r w:rsidR="00B83C93" w:rsidRPr="008B4DA2">
        <w:rPr>
          <w:noProof/>
        </w:rPr>
        <w:t>odn</w:t>
      </w:r>
      <w:r w:rsidRPr="008B4DA2">
        <w:rPr>
          <w:noProof/>
        </w:rPr>
        <w:t>iesieniu do zamówień, przegląd przeprowadzany przez Komitet Doradczy ds. Zamówień Publicznych</w:t>
      </w:r>
      <w:r w:rsidR="00B83C93" w:rsidRPr="008B4DA2">
        <w:rPr>
          <w:noProof/>
        </w:rPr>
        <w:t xml:space="preserve"> i</w:t>
      </w:r>
      <w:r w:rsidR="00B83C93">
        <w:rPr>
          <w:noProof/>
        </w:rPr>
        <w:t> </w:t>
      </w:r>
      <w:r w:rsidR="00B83C93" w:rsidRPr="008B4DA2">
        <w:rPr>
          <w:noProof/>
        </w:rPr>
        <w:t>Umó</w:t>
      </w:r>
      <w:r w:rsidRPr="008B4DA2">
        <w:rPr>
          <w:noProof/>
        </w:rPr>
        <w:t>w),</w:t>
      </w:r>
      <w:r w:rsidR="00B83C93" w:rsidRPr="008B4DA2">
        <w:rPr>
          <w:noProof/>
        </w:rPr>
        <w:t xml:space="preserve"> a</w:t>
      </w:r>
      <w:r w:rsidR="00B83C93">
        <w:rPr>
          <w:noProof/>
        </w:rPr>
        <w:t> </w:t>
      </w:r>
      <w:r w:rsidR="00B83C93" w:rsidRPr="008B4DA2">
        <w:rPr>
          <w:noProof/>
        </w:rPr>
        <w:t>tak</w:t>
      </w:r>
      <w:r w:rsidRPr="008B4DA2">
        <w:rPr>
          <w:noProof/>
        </w:rPr>
        <w:t>że podpisywania umów</w:t>
      </w:r>
      <w:r w:rsidR="00B83C93" w:rsidRPr="008B4DA2">
        <w:rPr>
          <w:noProof/>
        </w:rPr>
        <w:t xml:space="preserve"> i</w:t>
      </w:r>
      <w:r w:rsidR="00B83C93">
        <w:rPr>
          <w:noProof/>
        </w:rPr>
        <w:t> </w:t>
      </w:r>
      <w:r w:rsidR="00B83C93" w:rsidRPr="008B4DA2">
        <w:rPr>
          <w:noProof/>
        </w:rPr>
        <w:t>por</w:t>
      </w:r>
      <w:r w:rsidRPr="008B4DA2">
        <w:rPr>
          <w:noProof/>
        </w:rPr>
        <w:t>ozumień. Ponadto wydatki poniesione na zakup towarów</w:t>
      </w:r>
      <w:r w:rsidR="00B83C93" w:rsidRPr="008B4DA2">
        <w:rPr>
          <w:noProof/>
        </w:rPr>
        <w:t xml:space="preserve"> i</w:t>
      </w:r>
      <w:r w:rsidR="00B83C93">
        <w:rPr>
          <w:noProof/>
        </w:rPr>
        <w:t> </w:t>
      </w:r>
      <w:r w:rsidR="00B83C93" w:rsidRPr="008B4DA2">
        <w:rPr>
          <w:noProof/>
        </w:rPr>
        <w:t>usł</w:t>
      </w:r>
      <w:r w:rsidRPr="008B4DA2">
        <w:rPr>
          <w:noProof/>
        </w:rPr>
        <w:t>ug podlegają kontroli ex ante oraz,</w:t>
      </w:r>
      <w:r w:rsidR="00B83C93" w:rsidRPr="008B4DA2">
        <w:rPr>
          <w:noProof/>
        </w:rPr>
        <w:t xml:space="preserve"> w</w:t>
      </w:r>
      <w:r w:rsidR="00B83C93">
        <w:rPr>
          <w:noProof/>
        </w:rPr>
        <w:t> </w:t>
      </w:r>
      <w:r w:rsidR="00B83C93" w:rsidRPr="008B4DA2">
        <w:rPr>
          <w:noProof/>
        </w:rPr>
        <w:t>raz</w:t>
      </w:r>
      <w:r w:rsidRPr="008B4DA2">
        <w:rPr>
          <w:noProof/>
        </w:rPr>
        <w:t>ie konieczności, kontroli ex post</w:t>
      </w:r>
      <w:r w:rsidR="00B83C93" w:rsidRPr="008B4DA2">
        <w:rPr>
          <w:noProof/>
        </w:rPr>
        <w:t xml:space="preserve"> i</w:t>
      </w:r>
      <w:r w:rsidR="00B83C93">
        <w:rPr>
          <w:noProof/>
        </w:rPr>
        <w:t> </w:t>
      </w:r>
      <w:r w:rsidR="00B83C93" w:rsidRPr="008B4DA2">
        <w:rPr>
          <w:noProof/>
        </w:rPr>
        <w:t>kon</w:t>
      </w:r>
      <w:r w:rsidRPr="008B4DA2">
        <w:rPr>
          <w:noProof/>
        </w:rPr>
        <w:t>troli finansowej.</w:t>
      </w:r>
    </w:p>
    <w:p w:rsidR="005148EA" w:rsidRPr="008B4DA2" w:rsidRDefault="005148EA" w:rsidP="005148EA">
      <w:pPr>
        <w:pStyle w:val="ManualHeading3"/>
        <w:rPr>
          <w:bCs/>
          <w:noProof/>
          <w:szCs w:val="24"/>
        </w:rPr>
      </w:pPr>
      <w:bookmarkStart w:id="52" w:name="_Toc514938047"/>
      <w:bookmarkStart w:id="53" w:name="_Toc520485046"/>
      <w:r w:rsidRPr="008B4DA2">
        <w:rPr>
          <w:noProof/>
        </w:rPr>
        <w:t>2.2.2.</w:t>
      </w:r>
      <w:r w:rsidRPr="008B4DA2">
        <w:rPr>
          <w:noProof/>
        </w:rPr>
        <w:tab/>
        <w:t>Informacje dotyczące zidentyfikowanego ryzyka</w:t>
      </w:r>
      <w:r w:rsidR="00B83C93" w:rsidRPr="008B4DA2">
        <w:rPr>
          <w:noProof/>
        </w:rPr>
        <w:t xml:space="preserve"> i</w:t>
      </w:r>
      <w:r w:rsidR="00B83C93">
        <w:rPr>
          <w:noProof/>
        </w:rPr>
        <w:t> </w:t>
      </w:r>
      <w:r w:rsidR="00B83C93" w:rsidRPr="008B4DA2">
        <w:rPr>
          <w:noProof/>
        </w:rPr>
        <w:t>sys</w:t>
      </w:r>
      <w:r w:rsidRPr="008B4DA2">
        <w:rPr>
          <w:noProof/>
        </w:rPr>
        <w:t>temów kontroli wewnętrznej ustanowionych</w:t>
      </w:r>
      <w:r w:rsidR="00B83C93" w:rsidRPr="008B4DA2">
        <w:rPr>
          <w:noProof/>
        </w:rPr>
        <w:t xml:space="preserve"> w</w:t>
      </w:r>
      <w:r w:rsidR="00B83C93">
        <w:rPr>
          <w:noProof/>
        </w:rPr>
        <w:t> </w:t>
      </w:r>
      <w:r w:rsidR="00B83C93" w:rsidRPr="008B4DA2">
        <w:rPr>
          <w:noProof/>
        </w:rPr>
        <w:t>cel</w:t>
      </w:r>
      <w:r w:rsidRPr="008B4DA2">
        <w:rPr>
          <w:noProof/>
        </w:rPr>
        <w:t>u jego ograniczenia</w:t>
      </w:r>
      <w:bookmarkEnd w:id="52"/>
      <w:bookmarkEnd w:id="53"/>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color w:val="000000" w:themeColor="text1"/>
        </w:rPr>
      </w:pPr>
      <w:bookmarkStart w:id="54" w:name="_Toc514938048"/>
      <w:bookmarkStart w:id="55" w:name="_Toc520485047"/>
      <w:r w:rsidRPr="008B4DA2">
        <w:rPr>
          <w:noProof/>
        </w:rPr>
        <w:t>Jeżeli chodzi</w:t>
      </w:r>
      <w:r w:rsidR="00B83C93" w:rsidRPr="008B4DA2">
        <w:rPr>
          <w:noProof/>
        </w:rPr>
        <w:t xml:space="preserve"> o</w:t>
      </w:r>
      <w:r w:rsidR="00B83C93">
        <w:rPr>
          <w:noProof/>
        </w:rPr>
        <w:t> </w:t>
      </w:r>
      <w:r w:rsidR="00B83C93" w:rsidRPr="008B4DA2">
        <w:rPr>
          <w:noProof/>
        </w:rPr>
        <w:t>rea</w:t>
      </w:r>
      <w:r w:rsidRPr="008B4DA2">
        <w:rPr>
          <w:noProof/>
        </w:rPr>
        <w:t>lizację zadań związanych</w:t>
      </w:r>
      <w:r w:rsidR="00B83C93" w:rsidRPr="008B4DA2">
        <w:rPr>
          <w:noProof/>
        </w:rPr>
        <w:t xml:space="preserve"> z</w:t>
      </w:r>
      <w:r w:rsidR="00B83C93">
        <w:rPr>
          <w:noProof/>
        </w:rPr>
        <w:t> </w:t>
      </w:r>
      <w:r w:rsidR="00B83C93" w:rsidRPr="008B4DA2">
        <w:rPr>
          <w:noProof/>
        </w:rPr>
        <w:t>ust</w:t>
      </w:r>
      <w:r w:rsidRPr="008B4DA2">
        <w:rPr>
          <w:noProof/>
        </w:rPr>
        <w:t xml:space="preserve">anowieniem mechanizmu, zidentyfikowane ryzyko </w:t>
      </w:r>
      <w:r w:rsidRPr="008B4DA2">
        <w:rPr>
          <w:noProof/>
          <w:color w:val="000000" w:themeColor="text1"/>
        </w:rPr>
        <w:t>związane jest</w:t>
      </w:r>
      <w:r w:rsidR="00B83C93" w:rsidRPr="008B4DA2">
        <w:rPr>
          <w:noProof/>
          <w:color w:val="000000" w:themeColor="text1"/>
        </w:rPr>
        <w:t xml:space="preserve"> z</w:t>
      </w:r>
      <w:r w:rsidR="00B83C93">
        <w:rPr>
          <w:noProof/>
          <w:color w:val="000000" w:themeColor="text1"/>
        </w:rPr>
        <w:t> </w:t>
      </w:r>
      <w:r w:rsidR="00B83C93" w:rsidRPr="008B4DA2">
        <w:rPr>
          <w:noProof/>
          <w:color w:val="000000" w:themeColor="text1"/>
        </w:rPr>
        <w:t>kor</w:t>
      </w:r>
      <w:r w:rsidRPr="008B4DA2">
        <w:rPr>
          <w:noProof/>
          <w:color w:val="000000" w:themeColor="text1"/>
        </w:rPr>
        <w:t>zystaniem</w:t>
      </w:r>
      <w:r w:rsidR="00B83C93" w:rsidRPr="008B4DA2">
        <w:rPr>
          <w:noProof/>
          <w:color w:val="000000" w:themeColor="text1"/>
        </w:rPr>
        <w:t xml:space="preserve"> z</w:t>
      </w:r>
      <w:r w:rsidR="00B83C93">
        <w:rPr>
          <w:noProof/>
          <w:color w:val="000000" w:themeColor="text1"/>
        </w:rPr>
        <w:t> </w:t>
      </w:r>
      <w:r w:rsidR="00B83C93" w:rsidRPr="008B4DA2">
        <w:rPr>
          <w:noProof/>
          <w:color w:val="000000" w:themeColor="text1"/>
        </w:rPr>
        <w:t>pro</w:t>
      </w:r>
      <w:r w:rsidRPr="008B4DA2">
        <w:rPr>
          <w:noProof/>
          <w:color w:val="000000" w:themeColor="text1"/>
        </w:rPr>
        <w:t>cedur udzielania zamówień: opóźnieniem, dostępnością danych, terminowym informowaniem rynku itp. Ryzyko to jest objęte rozporządzeniem finansowym</w:t>
      </w:r>
      <w:r w:rsidR="00B83C93" w:rsidRPr="008B4DA2">
        <w:rPr>
          <w:noProof/>
          <w:color w:val="000000" w:themeColor="text1"/>
        </w:rPr>
        <w:t xml:space="preserve"> i</w:t>
      </w:r>
      <w:r w:rsidR="00B83C93">
        <w:rPr>
          <w:noProof/>
          <w:color w:val="000000" w:themeColor="text1"/>
        </w:rPr>
        <w:t> </w:t>
      </w:r>
      <w:r w:rsidR="00B83C93" w:rsidRPr="008B4DA2">
        <w:rPr>
          <w:noProof/>
          <w:color w:val="000000" w:themeColor="text1"/>
        </w:rPr>
        <w:t>ogr</w:t>
      </w:r>
      <w:r w:rsidRPr="008B4DA2">
        <w:rPr>
          <w:noProof/>
          <w:color w:val="000000" w:themeColor="text1"/>
        </w:rPr>
        <w:t>anicza je zestaw kontroli wewnętrznych wdrożonych przez DG MOVE</w:t>
      </w:r>
      <w:r w:rsidR="00B83C93" w:rsidRPr="008B4DA2">
        <w:rPr>
          <w:noProof/>
          <w:color w:val="000000" w:themeColor="text1"/>
        </w:rPr>
        <w:t xml:space="preserve"> w</w:t>
      </w:r>
      <w:r w:rsidR="00B83C93">
        <w:rPr>
          <w:noProof/>
          <w:color w:val="000000" w:themeColor="text1"/>
        </w:rPr>
        <w:t> </w:t>
      </w:r>
      <w:r w:rsidR="00B83C93" w:rsidRPr="008B4DA2">
        <w:rPr>
          <w:noProof/>
          <w:color w:val="000000" w:themeColor="text1"/>
        </w:rPr>
        <w:t>odn</w:t>
      </w:r>
      <w:r w:rsidRPr="008B4DA2">
        <w:rPr>
          <w:noProof/>
          <w:color w:val="000000" w:themeColor="text1"/>
        </w:rPr>
        <w:t>iesieniu do zamówień</w:t>
      </w:r>
      <w:r w:rsidR="00B83C93" w:rsidRPr="008B4DA2">
        <w:rPr>
          <w:noProof/>
          <w:color w:val="000000" w:themeColor="text1"/>
        </w:rPr>
        <w:t xml:space="preserve"> o</w:t>
      </w:r>
      <w:r w:rsidR="00B83C93">
        <w:rPr>
          <w:noProof/>
          <w:color w:val="000000" w:themeColor="text1"/>
        </w:rPr>
        <w:t> </w:t>
      </w:r>
      <w:r w:rsidR="00B83C93" w:rsidRPr="008B4DA2">
        <w:rPr>
          <w:noProof/>
          <w:color w:val="000000" w:themeColor="text1"/>
        </w:rPr>
        <w:t>tej</w:t>
      </w:r>
      <w:r w:rsidRPr="008B4DA2">
        <w:rPr>
          <w:noProof/>
          <w:color w:val="000000" w:themeColor="text1"/>
        </w:rPr>
        <w:t xml:space="preserve"> wartości.</w:t>
      </w:r>
    </w:p>
    <w:p w:rsidR="005148EA" w:rsidRPr="008B4DA2" w:rsidRDefault="005148EA" w:rsidP="005148EA">
      <w:pPr>
        <w:pStyle w:val="ManualHeading3"/>
        <w:rPr>
          <w:noProof/>
        </w:rPr>
      </w:pPr>
      <w:r w:rsidRPr="008B4DA2">
        <w:rPr>
          <w:noProof/>
        </w:rPr>
        <w:t>2.2.3.</w:t>
      </w:r>
      <w:r w:rsidRPr="008B4DA2">
        <w:rPr>
          <w:noProof/>
        </w:rPr>
        <w:tab/>
        <w:t>Oszacowanie</w:t>
      </w:r>
      <w:r w:rsidR="00B83C93" w:rsidRPr="008B4DA2">
        <w:rPr>
          <w:noProof/>
        </w:rPr>
        <w:t xml:space="preserve"> i</w:t>
      </w:r>
      <w:r w:rsidR="00B83C93">
        <w:rPr>
          <w:noProof/>
        </w:rPr>
        <w:t> </w:t>
      </w:r>
      <w:r w:rsidR="00B83C93" w:rsidRPr="008B4DA2">
        <w:rPr>
          <w:noProof/>
        </w:rPr>
        <w:t>uza</w:t>
      </w:r>
      <w:r w:rsidRPr="008B4DA2">
        <w:rPr>
          <w:noProof/>
        </w:rPr>
        <w:t>sadnienie efektywności kosztowej kontroli (relacja kosztów kontroli do wartości zarządzanych funduszy powiązanych) oraz ocena prawdopodobnego ryzyka błędu (przy płatności</w:t>
      </w:r>
      <w:r w:rsidR="00B83C93" w:rsidRPr="008B4DA2">
        <w:rPr>
          <w:noProof/>
        </w:rPr>
        <w:t xml:space="preserve"> i</w:t>
      </w:r>
      <w:r w:rsidR="00B83C93">
        <w:rPr>
          <w:noProof/>
        </w:rPr>
        <w:t> </w:t>
      </w:r>
      <w:r w:rsidR="00B83C93" w:rsidRPr="008B4DA2">
        <w:rPr>
          <w:noProof/>
        </w:rPr>
        <w:t>prz</w:t>
      </w:r>
      <w:r w:rsidRPr="008B4DA2">
        <w:rPr>
          <w:noProof/>
        </w:rPr>
        <w:t>y zamykaniu)</w:t>
      </w:r>
      <w:bookmarkEnd w:id="54"/>
      <w:bookmarkEnd w:id="55"/>
      <w:r w:rsidRPr="008B4DA2">
        <w:rPr>
          <w:noProof/>
        </w:rPr>
        <w:t xml:space="preserve"> </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color w:val="000000" w:themeColor="text1"/>
        </w:rPr>
      </w:pPr>
      <w:r w:rsidRPr="008B4DA2">
        <w:rPr>
          <w:noProof/>
        </w:rPr>
        <w:t>W rocznym sprawozdaniu</w:t>
      </w:r>
      <w:r w:rsidR="00B83C93" w:rsidRPr="008B4DA2">
        <w:rPr>
          <w:noProof/>
        </w:rPr>
        <w:t xml:space="preserve"> z</w:t>
      </w:r>
      <w:r w:rsidR="00B83C93">
        <w:rPr>
          <w:noProof/>
        </w:rPr>
        <w:t> </w:t>
      </w:r>
      <w:r w:rsidR="00B83C93" w:rsidRPr="008B4DA2">
        <w:rPr>
          <w:noProof/>
        </w:rPr>
        <w:t>dzi</w:t>
      </w:r>
      <w:r w:rsidRPr="008B4DA2">
        <w:rPr>
          <w:noProof/>
        </w:rPr>
        <w:t>ałalności DG MOVE przedstawia co roku sprawozdanie na temat kosztów kontrolowania swoich działań. Profil ryzyka</w:t>
      </w:r>
      <w:r w:rsidR="00B83C93" w:rsidRPr="008B4DA2">
        <w:rPr>
          <w:noProof/>
        </w:rPr>
        <w:t xml:space="preserve"> i</w:t>
      </w:r>
      <w:r w:rsidR="00B83C93">
        <w:rPr>
          <w:noProof/>
        </w:rPr>
        <w:t> </w:t>
      </w:r>
      <w:r w:rsidR="00B83C93" w:rsidRPr="008B4DA2">
        <w:rPr>
          <w:noProof/>
        </w:rPr>
        <w:t>kos</w:t>
      </w:r>
      <w:r w:rsidRPr="008B4DA2">
        <w:rPr>
          <w:noProof/>
        </w:rPr>
        <w:t>zty kontroli</w:t>
      </w:r>
      <w:r w:rsidR="00B83C93" w:rsidRPr="008B4DA2">
        <w:rPr>
          <w:noProof/>
        </w:rPr>
        <w:t xml:space="preserve"> w</w:t>
      </w:r>
      <w:r w:rsidR="00B83C93">
        <w:rPr>
          <w:noProof/>
        </w:rPr>
        <w:t> </w:t>
      </w:r>
      <w:r w:rsidR="00B83C93" w:rsidRPr="008B4DA2">
        <w:rPr>
          <w:noProof/>
        </w:rPr>
        <w:t>odn</w:t>
      </w:r>
      <w:r w:rsidRPr="008B4DA2">
        <w:rPr>
          <w:noProof/>
        </w:rPr>
        <w:t>iesieniu do działań związanych</w:t>
      </w:r>
      <w:r w:rsidR="00B83C93" w:rsidRPr="008B4DA2">
        <w:rPr>
          <w:noProof/>
        </w:rPr>
        <w:t xml:space="preserve"> z</w:t>
      </w:r>
      <w:r w:rsidR="00B83C93">
        <w:rPr>
          <w:noProof/>
        </w:rPr>
        <w:t> </w:t>
      </w:r>
      <w:r w:rsidR="00B83C93" w:rsidRPr="008B4DA2">
        <w:rPr>
          <w:noProof/>
        </w:rPr>
        <w:t>zam</w:t>
      </w:r>
      <w:r w:rsidRPr="008B4DA2">
        <w:rPr>
          <w:noProof/>
        </w:rPr>
        <w:t>ówieniami publicznymi są zgodne</w:t>
      </w:r>
      <w:r w:rsidR="00B83C93" w:rsidRPr="008B4DA2">
        <w:rPr>
          <w:noProof/>
        </w:rPr>
        <w:t xml:space="preserve"> z</w:t>
      </w:r>
      <w:r w:rsidR="00B83C93">
        <w:rPr>
          <w:noProof/>
        </w:rPr>
        <w:t> </w:t>
      </w:r>
      <w:r w:rsidR="00B83C93" w:rsidRPr="008B4DA2">
        <w:rPr>
          <w:noProof/>
        </w:rPr>
        <w:t>wym</w:t>
      </w:r>
      <w:r w:rsidRPr="008B4DA2">
        <w:rPr>
          <w:noProof/>
        </w:rPr>
        <w:t>ogami.</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noProof/>
        </w:rPr>
        <w:t>Wnioskowane zwiększenie budżetu dotyczy utworzenia</w:t>
      </w:r>
      <w:r w:rsidR="00B83C93" w:rsidRPr="008B4DA2">
        <w:rPr>
          <w:noProof/>
        </w:rPr>
        <w:t xml:space="preserve"> i</w:t>
      </w:r>
      <w:r w:rsidR="00B83C93">
        <w:rPr>
          <w:noProof/>
        </w:rPr>
        <w:t> </w:t>
      </w:r>
      <w:r w:rsidR="00B83C93" w:rsidRPr="008B4DA2">
        <w:rPr>
          <w:noProof/>
        </w:rPr>
        <w:t>utr</w:t>
      </w:r>
      <w:r w:rsidRPr="008B4DA2">
        <w:rPr>
          <w:noProof/>
        </w:rPr>
        <w:t>zymania platformy informacyjnej dla organów na potrzeby wymiany informacji dotyczących fizycznej</w:t>
      </w:r>
      <w:r w:rsidR="00B83C93" w:rsidRPr="008B4DA2">
        <w:rPr>
          <w:noProof/>
        </w:rPr>
        <w:t xml:space="preserve"> i</w:t>
      </w:r>
      <w:r w:rsidR="00B83C93">
        <w:rPr>
          <w:noProof/>
        </w:rPr>
        <w:t> </w:t>
      </w:r>
      <w:r w:rsidR="00B83C93" w:rsidRPr="008B4DA2">
        <w:rPr>
          <w:noProof/>
        </w:rPr>
        <w:t>psy</w:t>
      </w:r>
      <w:r w:rsidRPr="008B4DA2">
        <w:rPr>
          <w:noProof/>
        </w:rPr>
        <w:t>chicznej zdolności do kierowania pojazdami oraz opracowanie programu szkolenia (online) dla lekarzy podstawowej opieki zdrowotnej. Jeżeli chodzi</w:t>
      </w:r>
      <w:r w:rsidR="00B83C93" w:rsidRPr="008B4DA2">
        <w:rPr>
          <w:noProof/>
        </w:rPr>
        <w:t xml:space="preserve"> o</w:t>
      </w:r>
      <w:r w:rsidR="00B83C93">
        <w:rPr>
          <w:noProof/>
        </w:rPr>
        <w:t> </w:t>
      </w:r>
      <w:r w:rsidR="00B83C93" w:rsidRPr="008B4DA2">
        <w:rPr>
          <w:noProof/>
        </w:rPr>
        <w:t>dzi</w:t>
      </w:r>
      <w:r w:rsidRPr="008B4DA2">
        <w:rPr>
          <w:noProof/>
        </w:rPr>
        <w:t>ałania kontrolne związane</w:t>
      </w:r>
      <w:r w:rsidR="00B83C93" w:rsidRPr="008B4DA2">
        <w:rPr>
          <w:noProof/>
        </w:rPr>
        <w:t xml:space="preserve"> z</w:t>
      </w:r>
      <w:r w:rsidR="00B83C93">
        <w:rPr>
          <w:noProof/>
        </w:rPr>
        <w:t> </w:t>
      </w:r>
      <w:r w:rsidR="00B83C93" w:rsidRPr="008B4DA2">
        <w:rPr>
          <w:noProof/>
        </w:rPr>
        <w:t>sys</w:t>
      </w:r>
      <w:r w:rsidRPr="008B4DA2">
        <w:rPr>
          <w:noProof/>
        </w:rPr>
        <w:t>temami informatycznymi opracowanymi lub zarządzanymi przez dyrekcję odpowiedzialną za wniosek, komitet sterujący ds. technologii informacyjnych regularnie monitoruje bazy danych dyrekcji</w:t>
      </w:r>
      <w:r w:rsidR="00B83C93" w:rsidRPr="008B4DA2">
        <w:rPr>
          <w:noProof/>
        </w:rPr>
        <w:t xml:space="preserve"> i</w:t>
      </w:r>
      <w:r w:rsidR="00B83C93">
        <w:rPr>
          <w:noProof/>
        </w:rPr>
        <w:t> </w:t>
      </w:r>
      <w:r w:rsidR="00B83C93" w:rsidRPr="008B4DA2">
        <w:rPr>
          <w:noProof/>
        </w:rPr>
        <w:t>poc</w:t>
      </w:r>
      <w:r w:rsidRPr="008B4DA2">
        <w:rPr>
          <w:noProof/>
        </w:rPr>
        <w:t>zynione postępy, biorąc pod uwagę uproszczenie</w:t>
      </w:r>
      <w:r w:rsidR="00B83C93" w:rsidRPr="008B4DA2">
        <w:rPr>
          <w:noProof/>
        </w:rPr>
        <w:t xml:space="preserve"> i</w:t>
      </w:r>
      <w:r w:rsidR="00B83C93">
        <w:rPr>
          <w:noProof/>
        </w:rPr>
        <w:t> </w:t>
      </w:r>
      <w:r w:rsidR="00B83C93" w:rsidRPr="008B4DA2">
        <w:rPr>
          <w:noProof/>
        </w:rPr>
        <w:t>osz</w:t>
      </w:r>
      <w:r w:rsidRPr="008B4DA2">
        <w:rPr>
          <w:noProof/>
        </w:rPr>
        <w:t>czędność kosztową zasobów informatycznych Komisji.</w:t>
      </w:r>
    </w:p>
    <w:p w:rsidR="005148EA" w:rsidRPr="008B4DA2" w:rsidRDefault="005148EA" w:rsidP="005148EA">
      <w:pPr>
        <w:pStyle w:val="ManualHeading2"/>
        <w:rPr>
          <w:bCs/>
          <w:noProof/>
          <w:szCs w:val="24"/>
        </w:rPr>
      </w:pPr>
      <w:bookmarkStart w:id="56" w:name="_Toc514938049"/>
      <w:bookmarkStart w:id="57" w:name="_Toc520485048"/>
      <w:r w:rsidRPr="008B4DA2">
        <w:rPr>
          <w:noProof/>
        </w:rPr>
        <w:t>2.3.</w:t>
      </w:r>
      <w:r w:rsidRPr="008B4DA2">
        <w:rPr>
          <w:noProof/>
        </w:rPr>
        <w:tab/>
        <w:t>Środki zapobiegania nadużyciom finansowym</w:t>
      </w:r>
      <w:r w:rsidR="00B83C93" w:rsidRPr="008B4DA2">
        <w:rPr>
          <w:noProof/>
        </w:rPr>
        <w:t xml:space="preserve"> i</w:t>
      </w:r>
      <w:r w:rsidR="00B83C93">
        <w:rPr>
          <w:noProof/>
        </w:rPr>
        <w:t> </w:t>
      </w:r>
      <w:r w:rsidR="00B83C93" w:rsidRPr="008B4DA2">
        <w:rPr>
          <w:noProof/>
        </w:rPr>
        <w:t>nie</w:t>
      </w:r>
      <w:r w:rsidRPr="008B4DA2">
        <w:rPr>
          <w:noProof/>
        </w:rPr>
        <w:t>prawidłowościom</w:t>
      </w:r>
      <w:bookmarkEnd w:id="56"/>
      <w:bookmarkEnd w:id="57"/>
      <w:r w:rsidRPr="008B4DA2">
        <w:rPr>
          <w:noProof/>
        </w:rPr>
        <w:t xml:space="preserve"> </w:t>
      </w:r>
    </w:p>
    <w:p w:rsidR="005148EA" w:rsidRPr="008B4DA2" w:rsidRDefault="005148EA" w:rsidP="005148EA">
      <w:pPr>
        <w:pStyle w:val="Text1"/>
        <w:rPr>
          <w:i/>
          <w:noProof/>
          <w:sz w:val="20"/>
        </w:rPr>
      </w:pPr>
      <w:r w:rsidRPr="008B4DA2">
        <w:rPr>
          <w:i/>
          <w:noProof/>
          <w:sz w:val="20"/>
        </w:rPr>
        <w:t>Określić istniejące lub przewidywane środki zapobiegania</w:t>
      </w:r>
      <w:r w:rsidR="00B83C93" w:rsidRPr="008B4DA2">
        <w:rPr>
          <w:i/>
          <w:noProof/>
          <w:sz w:val="20"/>
        </w:rPr>
        <w:t xml:space="preserve"> i</w:t>
      </w:r>
      <w:r w:rsidR="00B83C93">
        <w:rPr>
          <w:i/>
          <w:noProof/>
          <w:sz w:val="20"/>
        </w:rPr>
        <w:t> </w:t>
      </w:r>
      <w:r w:rsidR="00B83C93" w:rsidRPr="008B4DA2">
        <w:rPr>
          <w:i/>
          <w:noProof/>
          <w:sz w:val="20"/>
        </w:rPr>
        <w:t>och</w:t>
      </w:r>
      <w:r w:rsidRPr="008B4DA2">
        <w:rPr>
          <w:i/>
          <w:noProof/>
          <w:sz w:val="20"/>
        </w:rPr>
        <w:t>rony, np. ze strategii zwalczania nadużyć finansowych.</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noProof/>
        </w:rPr>
        <w:t>Stosowane będą standardowe środki zapobiegania</w:t>
      </w:r>
      <w:r w:rsidR="00B83C93" w:rsidRPr="008B4DA2">
        <w:rPr>
          <w:noProof/>
        </w:rPr>
        <w:t xml:space="preserve"> i</w:t>
      </w:r>
      <w:r w:rsidR="00B83C93">
        <w:rPr>
          <w:noProof/>
        </w:rPr>
        <w:t> </w:t>
      </w:r>
      <w:r w:rsidR="00B83C93" w:rsidRPr="008B4DA2">
        <w:rPr>
          <w:noProof/>
        </w:rPr>
        <w:t>och</w:t>
      </w:r>
      <w:r w:rsidRPr="008B4DA2">
        <w:rPr>
          <w:noProof/>
        </w:rPr>
        <w:t>rony Komisji,</w:t>
      </w:r>
      <w:r w:rsidR="00B83C93" w:rsidRPr="008B4DA2">
        <w:rPr>
          <w:noProof/>
        </w:rPr>
        <w:t xml:space="preserve"> w</w:t>
      </w:r>
      <w:r w:rsidR="00B83C93">
        <w:rPr>
          <w:noProof/>
        </w:rPr>
        <w:t> </w:t>
      </w:r>
      <w:r w:rsidR="00B83C93" w:rsidRPr="008B4DA2">
        <w:rPr>
          <w:noProof/>
        </w:rPr>
        <w:t>szc</w:t>
      </w:r>
      <w:r w:rsidRPr="008B4DA2">
        <w:rPr>
          <w:noProof/>
        </w:rPr>
        <w:t>zególności:</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noProof/>
        </w:rPr>
        <w:t>– Przed dokonaniem płatności pracownicy Komisji dokonują weryfikacji płatności za usługi,</w:t>
      </w:r>
      <w:r w:rsidR="00B83C93" w:rsidRPr="008B4DA2">
        <w:rPr>
          <w:noProof/>
        </w:rPr>
        <w:t xml:space="preserve"> z</w:t>
      </w:r>
      <w:r w:rsidR="00B83C93">
        <w:rPr>
          <w:noProof/>
        </w:rPr>
        <w:t> </w:t>
      </w:r>
      <w:r w:rsidR="00B83C93" w:rsidRPr="008B4DA2">
        <w:rPr>
          <w:noProof/>
        </w:rPr>
        <w:t>uwz</w:t>
      </w:r>
      <w:r w:rsidRPr="008B4DA2">
        <w:rPr>
          <w:noProof/>
        </w:rPr>
        <w:t>ględnieniem zobowiązań umownych, zasad gospodarczych oraz dobrej praktyki finansowej lub zarządczej. Postanowienia dotyczące zwalczania nadużyć finansowych (odnoszące się do nadzoru, wymogów sprawozdawczych itp.) będą umieszczane we wszystkich umowach zawieranych przez Komisję</w:t>
      </w:r>
      <w:r w:rsidR="00B83C93" w:rsidRPr="008B4DA2">
        <w:rPr>
          <w:noProof/>
        </w:rPr>
        <w:t xml:space="preserve"> z</w:t>
      </w:r>
      <w:r w:rsidR="00B83C93">
        <w:rPr>
          <w:noProof/>
        </w:rPr>
        <w:t> </w:t>
      </w:r>
      <w:r w:rsidR="00B83C93" w:rsidRPr="008B4DA2">
        <w:rPr>
          <w:noProof/>
        </w:rPr>
        <w:t>ben</w:t>
      </w:r>
      <w:r w:rsidRPr="008B4DA2">
        <w:rPr>
          <w:noProof/>
        </w:rPr>
        <w:t>eficjentami płatności</w:t>
      </w:r>
      <w:r w:rsidR="00B83C93" w:rsidRPr="008B4DA2">
        <w:rPr>
          <w:noProof/>
        </w:rPr>
        <w:t xml:space="preserve"> i</w:t>
      </w:r>
      <w:r w:rsidR="00B83C93">
        <w:rPr>
          <w:noProof/>
        </w:rPr>
        <w:t> </w:t>
      </w:r>
      <w:r w:rsidR="00B83C93" w:rsidRPr="008B4DA2">
        <w:rPr>
          <w:noProof/>
        </w:rPr>
        <w:t>skł</w:t>
      </w:r>
      <w:r w:rsidRPr="008B4DA2">
        <w:rPr>
          <w:noProof/>
        </w:rPr>
        <w:t>adanych przez nią</w:t>
      </w:r>
      <w:r w:rsidR="00B83C93" w:rsidRPr="008B4DA2">
        <w:rPr>
          <w:noProof/>
        </w:rPr>
        <w:t xml:space="preserve"> u</w:t>
      </w:r>
      <w:r w:rsidR="00B83C93">
        <w:rPr>
          <w:noProof/>
        </w:rPr>
        <w:t> </w:t>
      </w:r>
      <w:r w:rsidR="00B83C93" w:rsidRPr="008B4DA2">
        <w:rPr>
          <w:noProof/>
        </w:rPr>
        <w:t>nic</w:t>
      </w:r>
      <w:r w:rsidRPr="008B4DA2">
        <w:rPr>
          <w:noProof/>
        </w:rPr>
        <w:t>h zamówieniach.</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noProof/>
        </w:rPr>
        <w:t>– W celu zwalczania nadużyć finansowych, korupcji</w:t>
      </w:r>
      <w:r w:rsidR="00B83C93" w:rsidRPr="008B4DA2">
        <w:rPr>
          <w:noProof/>
        </w:rPr>
        <w:t xml:space="preserve"> i</w:t>
      </w:r>
      <w:r w:rsidR="00B83C93">
        <w:rPr>
          <w:noProof/>
        </w:rPr>
        <w:t> </w:t>
      </w:r>
      <w:r w:rsidR="00B83C93" w:rsidRPr="008B4DA2">
        <w:rPr>
          <w:noProof/>
        </w:rPr>
        <w:t>inn</w:t>
      </w:r>
      <w:r w:rsidRPr="008B4DA2">
        <w:rPr>
          <w:noProof/>
        </w:rPr>
        <w:t>ych działań bezprawnych stosuje się bez ograniczeń przepisy rozporządzenia Parlamentu Europejskiego</w:t>
      </w:r>
      <w:r w:rsidR="00B83C93" w:rsidRPr="008B4DA2">
        <w:rPr>
          <w:noProof/>
        </w:rPr>
        <w:t xml:space="preserve"> i</w:t>
      </w:r>
      <w:r w:rsidR="00B83C93">
        <w:rPr>
          <w:noProof/>
        </w:rPr>
        <w:t> </w:t>
      </w:r>
      <w:r w:rsidR="00B83C93" w:rsidRPr="008B4DA2">
        <w:rPr>
          <w:noProof/>
        </w:rPr>
        <w:t>Rad</w:t>
      </w:r>
      <w:r w:rsidRPr="008B4DA2">
        <w:rPr>
          <w:noProof/>
        </w:rPr>
        <w:t xml:space="preserve">y (UE, Euratom) </w:t>
      </w:r>
      <w:r w:rsidRPr="00B83C93">
        <w:rPr>
          <w:noProof/>
        </w:rPr>
        <w:t>nr</w:t>
      </w:r>
      <w:r w:rsidR="00B83C93" w:rsidRPr="00B83C93">
        <w:rPr>
          <w:noProof/>
        </w:rPr>
        <w:t> </w:t>
      </w:r>
      <w:r w:rsidRPr="00B83C93">
        <w:rPr>
          <w:noProof/>
        </w:rPr>
        <w:t>8</w:t>
      </w:r>
      <w:r w:rsidRPr="008B4DA2">
        <w:rPr>
          <w:noProof/>
        </w:rPr>
        <w:t>83/2013</w:t>
      </w:r>
      <w:r w:rsidR="00B83C93" w:rsidRPr="008B4DA2">
        <w:rPr>
          <w:noProof/>
        </w:rPr>
        <w:t xml:space="preserve"> z</w:t>
      </w:r>
      <w:r w:rsidR="00B83C93">
        <w:rPr>
          <w:noProof/>
        </w:rPr>
        <w:t> </w:t>
      </w:r>
      <w:r w:rsidR="00B83C93" w:rsidRPr="008B4DA2">
        <w:rPr>
          <w:noProof/>
        </w:rPr>
        <w:t>dni</w:t>
      </w:r>
      <w:r w:rsidRPr="008B4DA2">
        <w:rPr>
          <w:noProof/>
        </w:rPr>
        <w:t>a 25 maja 19</w:t>
      </w:r>
      <w:r w:rsidRPr="00B83C93">
        <w:rPr>
          <w:noProof/>
        </w:rPr>
        <w:t>99</w:t>
      </w:r>
      <w:r w:rsidR="00B83C93" w:rsidRPr="00B83C93">
        <w:rPr>
          <w:noProof/>
        </w:rPr>
        <w:t> </w:t>
      </w:r>
      <w:r w:rsidRPr="00B83C93">
        <w:rPr>
          <w:noProof/>
        </w:rPr>
        <w:t>r.</w:t>
      </w:r>
      <w:r w:rsidRPr="008B4DA2">
        <w:rPr>
          <w:noProof/>
        </w:rPr>
        <w:t xml:space="preserve"> dotyczącego dochodzeń prowadzonych przez Europejski Urząd ds. Zwalczania Nadużyć Finansowych (OLAF).</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noProof/>
        </w:rPr>
        <w:t>W 20</w:t>
      </w:r>
      <w:r w:rsidRPr="00B83C93">
        <w:rPr>
          <w:noProof/>
        </w:rPr>
        <w:t>20</w:t>
      </w:r>
      <w:r w:rsidR="00B83C93" w:rsidRPr="00B83C93">
        <w:rPr>
          <w:noProof/>
        </w:rPr>
        <w:t> </w:t>
      </w:r>
      <w:r w:rsidRPr="00B83C93">
        <w:rPr>
          <w:noProof/>
        </w:rPr>
        <w:t>r.</w:t>
      </w:r>
      <w:r w:rsidRPr="008B4DA2">
        <w:rPr>
          <w:noProof/>
        </w:rPr>
        <w:t xml:space="preserve"> DG MOVE przyjęła zmienioną strategię zwalczania nadużyć finansowych (AFS). Strategia zwalczania nadużyć finansowych DG MOVE opiera się na strategii Komisji</w:t>
      </w:r>
      <w:r w:rsidR="00B83C93" w:rsidRPr="008B4DA2">
        <w:rPr>
          <w:noProof/>
        </w:rPr>
        <w:t xml:space="preserve"> w</w:t>
      </w:r>
      <w:r w:rsidR="00B83C93">
        <w:rPr>
          <w:noProof/>
        </w:rPr>
        <w:t> </w:t>
      </w:r>
      <w:r w:rsidR="00B83C93" w:rsidRPr="008B4DA2">
        <w:rPr>
          <w:noProof/>
        </w:rPr>
        <w:t>zak</w:t>
      </w:r>
      <w:r w:rsidRPr="008B4DA2">
        <w:rPr>
          <w:noProof/>
        </w:rPr>
        <w:t>resie zwalczania nadużyć finansowych oraz szczegółowej ocenie ryzyka przeprowadzonej wewnętrznie</w:t>
      </w:r>
      <w:r w:rsidR="00B83C93" w:rsidRPr="008B4DA2">
        <w:rPr>
          <w:noProof/>
        </w:rPr>
        <w:t xml:space="preserve"> w</w:t>
      </w:r>
      <w:r w:rsidR="00B83C93">
        <w:rPr>
          <w:noProof/>
        </w:rPr>
        <w:t> </w:t>
      </w:r>
      <w:r w:rsidR="00B83C93" w:rsidRPr="008B4DA2">
        <w:rPr>
          <w:noProof/>
        </w:rPr>
        <w:t>cel</w:t>
      </w:r>
      <w:r w:rsidRPr="008B4DA2">
        <w:rPr>
          <w:noProof/>
        </w:rPr>
        <w:t>u określenia obszarów najbardziej narażonych na nadużycia finansowe, istniejących już kontroli oraz działań niezbędnych do poprawy zdolności DG MOVE do zapobiegania nadużyciom finansowym, ich wykrywania</w:t>
      </w:r>
      <w:r w:rsidR="00B83C93" w:rsidRPr="008B4DA2">
        <w:rPr>
          <w:noProof/>
        </w:rPr>
        <w:t xml:space="preserve"> i</w:t>
      </w:r>
      <w:r w:rsidR="00B83C93">
        <w:rPr>
          <w:noProof/>
        </w:rPr>
        <w:t> </w:t>
      </w:r>
      <w:r w:rsidR="00B83C93" w:rsidRPr="008B4DA2">
        <w:rPr>
          <w:noProof/>
        </w:rPr>
        <w:t>kor</w:t>
      </w:r>
      <w:r w:rsidRPr="008B4DA2">
        <w:rPr>
          <w:noProof/>
        </w:rPr>
        <w:t>ygowania.</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r w:rsidRPr="008B4DA2">
        <w:rPr>
          <w:noProof/>
        </w:rPr>
        <w:t>Postanowienia umowne mające zastosowanie do zamówień publicznych dają służbom Komisji,</w:t>
      </w:r>
      <w:r w:rsidR="00B83C93" w:rsidRPr="008B4DA2">
        <w:rPr>
          <w:noProof/>
        </w:rPr>
        <w:t xml:space="preserve"> w</w:t>
      </w:r>
      <w:r w:rsidR="00B83C93">
        <w:rPr>
          <w:noProof/>
        </w:rPr>
        <w:t> </w:t>
      </w:r>
      <w:r w:rsidR="00B83C93" w:rsidRPr="008B4DA2">
        <w:rPr>
          <w:noProof/>
        </w:rPr>
        <w:t>tym</w:t>
      </w:r>
      <w:r w:rsidRPr="008B4DA2">
        <w:rPr>
          <w:noProof/>
        </w:rPr>
        <w:t xml:space="preserve"> OLAF, możliwość przeprowadzania audytów</w:t>
      </w:r>
      <w:r w:rsidR="00B83C93" w:rsidRPr="008B4DA2">
        <w:rPr>
          <w:noProof/>
        </w:rPr>
        <w:t xml:space="preserve"> i</w:t>
      </w:r>
      <w:r w:rsidR="00B83C93">
        <w:rPr>
          <w:noProof/>
        </w:rPr>
        <w:t> </w:t>
      </w:r>
      <w:r w:rsidR="00B83C93" w:rsidRPr="008B4DA2">
        <w:rPr>
          <w:noProof/>
        </w:rPr>
        <w:t>kon</w:t>
      </w:r>
      <w:r w:rsidRPr="008B4DA2">
        <w:rPr>
          <w:noProof/>
        </w:rPr>
        <w:t>troli na miejscu</w:t>
      </w:r>
      <w:r w:rsidR="00B83C93" w:rsidRPr="008B4DA2">
        <w:rPr>
          <w:noProof/>
        </w:rPr>
        <w:t xml:space="preserve"> w</w:t>
      </w:r>
      <w:r w:rsidR="00B83C93">
        <w:rPr>
          <w:noProof/>
        </w:rPr>
        <w:t> </w:t>
      </w:r>
      <w:r w:rsidR="00B83C93" w:rsidRPr="008B4DA2">
        <w:rPr>
          <w:noProof/>
        </w:rPr>
        <w:t>opa</w:t>
      </w:r>
      <w:r w:rsidRPr="008B4DA2">
        <w:rPr>
          <w:noProof/>
        </w:rPr>
        <w:t>rciu</w:t>
      </w:r>
      <w:r w:rsidR="00B83C93" w:rsidRPr="008B4DA2">
        <w:rPr>
          <w:noProof/>
        </w:rPr>
        <w:t xml:space="preserve"> o</w:t>
      </w:r>
      <w:r w:rsidR="00B83C93">
        <w:rPr>
          <w:noProof/>
        </w:rPr>
        <w:t> </w:t>
      </w:r>
      <w:r w:rsidR="00B83C93" w:rsidRPr="008B4DA2">
        <w:rPr>
          <w:noProof/>
        </w:rPr>
        <w:t>zal</w:t>
      </w:r>
      <w:r w:rsidRPr="008B4DA2">
        <w:rPr>
          <w:noProof/>
        </w:rPr>
        <w:t>ecane przez OLAF standardowe przepisy.</w:t>
      </w:r>
    </w:p>
    <w:p w:rsidR="005148EA" w:rsidRPr="008B4DA2" w:rsidRDefault="005148EA" w:rsidP="005148EA">
      <w:pPr>
        <w:rPr>
          <w:noProof/>
        </w:rPr>
      </w:pPr>
    </w:p>
    <w:p w:rsidR="005148EA" w:rsidRPr="008B4DA2" w:rsidRDefault="005148EA" w:rsidP="005148EA">
      <w:pPr>
        <w:rPr>
          <w:noProof/>
        </w:rPr>
      </w:pPr>
    </w:p>
    <w:p w:rsidR="005148EA" w:rsidRPr="008B4DA2" w:rsidRDefault="005148EA" w:rsidP="005148EA">
      <w:pPr>
        <w:rPr>
          <w:noProof/>
        </w:rPr>
        <w:sectPr w:rsidR="005148EA" w:rsidRPr="008B4DA2" w:rsidSect="00D32FD5">
          <w:pgSz w:w="11907" w:h="16840" w:code="9"/>
          <w:pgMar w:top="1134" w:right="1418" w:bottom="1134" w:left="1418" w:header="709" w:footer="709" w:gutter="0"/>
          <w:cols w:space="708"/>
          <w:docGrid w:linePitch="360"/>
        </w:sectPr>
      </w:pPr>
    </w:p>
    <w:p w:rsidR="005148EA" w:rsidRPr="008B4DA2" w:rsidRDefault="005148EA" w:rsidP="005148EA">
      <w:pPr>
        <w:pStyle w:val="ManualHeading1"/>
        <w:rPr>
          <w:bCs/>
          <w:noProof/>
          <w:szCs w:val="24"/>
        </w:rPr>
      </w:pPr>
      <w:bookmarkStart w:id="58" w:name="_Toc514938050"/>
      <w:bookmarkStart w:id="59" w:name="_Toc520485049"/>
      <w:r w:rsidRPr="008B4DA2">
        <w:rPr>
          <w:noProof/>
        </w:rPr>
        <w:t>3.</w:t>
      </w:r>
      <w:r w:rsidRPr="008B4DA2">
        <w:rPr>
          <w:noProof/>
        </w:rPr>
        <w:tab/>
        <w:t>SZACUNKOWY WPŁYW FINANSOWY WNIOSKU/INICJATYWY</w:t>
      </w:r>
      <w:bookmarkEnd w:id="58"/>
      <w:bookmarkEnd w:id="59"/>
      <w:r w:rsidRPr="008B4DA2">
        <w:rPr>
          <w:noProof/>
        </w:rPr>
        <w:t xml:space="preserve"> </w:t>
      </w:r>
    </w:p>
    <w:p w:rsidR="005148EA" w:rsidRPr="008B4DA2" w:rsidRDefault="005148EA" w:rsidP="005148EA">
      <w:pPr>
        <w:pStyle w:val="ManualHeading2"/>
        <w:rPr>
          <w:noProof/>
        </w:rPr>
      </w:pPr>
      <w:bookmarkStart w:id="60" w:name="_Toc514938051"/>
      <w:bookmarkStart w:id="61" w:name="_Toc520485050"/>
      <w:r w:rsidRPr="008B4DA2">
        <w:rPr>
          <w:noProof/>
        </w:rPr>
        <w:t>3.1.</w:t>
      </w:r>
      <w:r w:rsidRPr="008B4DA2">
        <w:rPr>
          <w:noProof/>
        </w:rPr>
        <w:tab/>
        <w:t>Działy wieloletnich ram finansowych</w:t>
      </w:r>
      <w:r w:rsidR="00B83C93" w:rsidRPr="008B4DA2">
        <w:rPr>
          <w:noProof/>
        </w:rPr>
        <w:t xml:space="preserve"> i</w:t>
      </w:r>
      <w:r w:rsidR="00B83C93">
        <w:rPr>
          <w:noProof/>
        </w:rPr>
        <w:t> </w:t>
      </w:r>
      <w:r w:rsidR="00B83C93" w:rsidRPr="008B4DA2">
        <w:rPr>
          <w:noProof/>
        </w:rPr>
        <w:t>lin</w:t>
      </w:r>
      <w:r w:rsidRPr="008B4DA2">
        <w:rPr>
          <w:noProof/>
        </w:rPr>
        <w:t>ie budżetowe po stronie wydatków, na które wniosek/inicjatywa ma wpływ</w:t>
      </w:r>
      <w:bookmarkEnd w:id="60"/>
      <w:bookmarkEnd w:id="61"/>
      <w:r w:rsidRPr="008B4DA2">
        <w:rPr>
          <w:noProof/>
        </w:rPr>
        <w:t xml:space="preserve"> </w:t>
      </w:r>
    </w:p>
    <w:p w:rsidR="005148EA" w:rsidRPr="008B4DA2" w:rsidRDefault="005148EA" w:rsidP="005148EA">
      <w:pPr>
        <w:pStyle w:val="ListBullet1"/>
        <w:rPr>
          <w:noProof/>
        </w:rPr>
      </w:pPr>
      <w:r w:rsidRPr="008B4DA2">
        <w:rPr>
          <w:noProof/>
        </w:rPr>
        <w:t xml:space="preserve">Istniejące linie budżetowe </w:t>
      </w:r>
    </w:p>
    <w:p w:rsidR="005148EA" w:rsidRPr="008B4DA2" w:rsidRDefault="005148EA" w:rsidP="005148EA">
      <w:pPr>
        <w:pStyle w:val="Text1"/>
        <w:rPr>
          <w:i/>
          <w:noProof/>
        </w:rPr>
      </w:pPr>
      <w:r w:rsidRPr="008B4DA2">
        <w:rPr>
          <w:i/>
          <w:noProof/>
          <w:u w:val="single"/>
        </w:rPr>
        <w:t>Według</w:t>
      </w:r>
      <w:r w:rsidRPr="008B4DA2">
        <w:rPr>
          <w:i/>
          <w:noProof/>
        </w:rPr>
        <w:t xml:space="preserve"> działów wieloletnich ram finansowych</w:t>
      </w:r>
      <w:r w:rsidR="00B83C93" w:rsidRPr="008B4DA2">
        <w:rPr>
          <w:i/>
          <w:noProof/>
        </w:rPr>
        <w:t xml:space="preserve"> i</w:t>
      </w:r>
      <w:r w:rsidR="00B83C93">
        <w:rPr>
          <w:i/>
          <w:noProof/>
        </w:rPr>
        <w:t> </w:t>
      </w:r>
      <w:r w:rsidR="00B83C93" w:rsidRPr="008B4DA2">
        <w:rPr>
          <w:i/>
          <w:noProof/>
        </w:rPr>
        <w:t>lin</w:t>
      </w:r>
      <w:r w:rsidRPr="008B4DA2">
        <w:rPr>
          <w:i/>
          <w:noProof/>
        </w:rPr>
        <w:t>ii budżetowych</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4E303B" w:rsidRPr="008B4DA2" w:rsidTr="00BF0434">
        <w:tc>
          <w:tcPr>
            <w:tcW w:w="1080" w:type="dxa"/>
            <w:vMerge w:val="restart"/>
            <w:vAlign w:val="center"/>
          </w:tcPr>
          <w:p w:rsidR="005148EA" w:rsidRPr="008B4DA2" w:rsidRDefault="005148EA" w:rsidP="00BF0434">
            <w:pPr>
              <w:spacing w:before="60" w:after="60"/>
              <w:jc w:val="center"/>
              <w:rPr>
                <w:noProof/>
              </w:rPr>
            </w:pPr>
            <w:r w:rsidRPr="008B4DA2">
              <w:rPr>
                <w:noProof/>
                <w:sz w:val="18"/>
              </w:rPr>
              <w:t>Dział wieloletnich ram finansowych</w:t>
            </w:r>
          </w:p>
        </w:tc>
        <w:tc>
          <w:tcPr>
            <w:tcW w:w="3960" w:type="dxa"/>
            <w:vAlign w:val="center"/>
          </w:tcPr>
          <w:p w:rsidR="005148EA" w:rsidRPr="008B4DA2" w:rsidRDefault="005148EA" w:rsidP="00BF0434">
            <w:pPr>
              <w:spacing w:before="60" w:after="60"/>
              <w:jc w:val="center"/>
              <w:rPr>
                <w:noProof/>
              </w:rPr>
            </w:pPr>
            <w:r w:rsidRPr="008B4DA2">
              <w:rPr>
                <w:noProof/>
                <w:sz w:val="20"/>
              </w:rPr>
              <w:t>Linia budżetowa</w:t>
            </w:r>
          </w:p>
        </w:tc>
        <w:tc>
          <w:tcPr>
            <w:tcW w:w="1080" w:type="dxa"/>
            <w:vAlign w:val="center"/>
          </w:tcPr>
          <w:p w:rsidR="005148EA" w:rsidRPr="008B4DA2" w:rsidRDefault="005148EA" w:rsidP="00BF0434">
            <w:pPr>
              <w:spacing w:before="60" w:after="60"/>
              <w:jc w:val="center"/>
              <w:rPr>
                <w:noProof/>
              </w:rPr>
            </w:pPr>
            <w:r w:rsidRPr="008B4DA2">
              <w:rPr>
                <w:noProof/>
                <w:sz w:val="18"/>
              </w:rPr>
              <w:t xml:space="preserve">Rodzaj </w:t>
            </w:r>
            <w:r w:rsidRPr="008B4DA2">
              <w:rPr>
                <w:noProof/>
              </w:rPr>
              <w:br/>
            </w:r>
            <w:r w:rsidRPr="008B4DA2">
              <w:rPr>
                <w:noProof/>
                <w:sz w:val="18"/>
              </w:rPr>
              <w:t>środków</w:t>
            </w:r>
          </w:p>
        </w:tc>
        <w:tc>
          <w:tcPr>
            <w:tcW w:w="4440" w:type="dxa"/>
            <w:gridSpan w:val="4"/>
            <w:vAlign w:val="center"/>
          </w:tcPr>
          <w:p w:rsidR="005148EA" w:rsidRPr="008B4DA2" w:rsidRDefault="005148EA" w:rsidP="00BF0434">
            <w:pPr>
              <w:spacing w:before="60" w:after="60"/>
              <w:jc w:val="center"/>
              <w:rPr>
                <w:noProof/>
              </w:rPr>
            </w:pPr>
            <w:r w:rsidRPr="008B4DA2">
              <w:rPr>
                <w:noProof/>
                <w:sz w:val="20"/>
              </w:rPr>
              <w:t xml:space="preserve">Wkład </w:t>
            </w:r>
          </w:p>
        </w:tc>
      </w:tr>
      <w:tr w:rsidR="004E303B" w:rsidRPr="008B4DA2" w:rsidTr="00BF0434">
        <w:tc>
          <w:tcPr>
            <w:tcW w:w="1080" w:type="dxa"/>
            <w:vMerge/>
            <w:vAlign w:val="center"/>
          </w:tcPr>
          <w:p w:rsidR="005148EA" w:rsidRPr="008B4DA2" w:rsidRDefault="005148EA" w:rsidP="00BF0434">
            <w:pPr>
              <w:jc w:val="center"/>
              <w:rPr>
                <w:noProof/>
              </w:rPr>
            </w:pPr>
          </w:p>
        </w:tc>
        <w:tc>
          <w:tcPr>
            <w:tcW w:w="3960" w:type="dxa"/>
            <w:vAlign w:val="center"/>
          </w:tcPr>
          <w:p w:rsidR="005148EA" w:rsidRPr="008B4DA2" w:rsidRDefault="005148EA" w:rsidP="00BF0434">
            <w:pPr>
              <w:rPr>
                <w:noProof/>
              </w:rPr>
            </w:pPr>
            <w:r w:rsidRPr="008B4DA2">
              <w:rPr>
                <w:noProof/>
                <w:sz w:val="20"/>
              </w:rPr>
              <w:t>Nume</w:t>
            </w:r>
            <w:r w:rsidRPr="00B83C93">
              <w:rPr>
                <w:noProof/>
                <w:sz w:val="20"/>
              </w:rPr>
              <w:t>r</w:t>
            </w:r>
            <w:r w:rsidR="00B83C93" w:rsidRPr="00B83C93">
              <w:rPr>
                <w:noProof/>
                <w:sz w:val="20"/>
              </w:rPr>
              <w:t xml:space="preserve"> </w:t>
            </w:r>
            <w:r w:rsidRPr="00B83C93">
              <w:rPr>
                <w:noProof/>
              </w:rPr>
              <w:br/>
            </w:r>
          </w:p>
        </w:tc>
        <w:tc>
          <w:tcPr>
            <w:tcW w:w="1080" w:type="dxa"/>
            <w:vAlign w:val="center"/>
          </w:tcPr>
          <w:p w:rsidR="005148EA" w:rsidRPr="008B4DA2" w:rsidRDefault="005148EA" w:rsidP="00BF0434">
            <w:pPr>
              <w:jc w:val="center"/>
              <w:rPr>
                <w:noProof/>
              </w:rPr>
            </w:pPr>
            <w:r w:rsidRPr="008B4DA2">
              <w:rPr>
                <w:noProof/>
                <w:sz w:val="18"/>
              </w:rPr>
              <w:t>Zróżn./ niezróżn.</w:t>
            </w:r>
            <w:r w:rsidRPr="008B4DA2">
              <w:rPr>
                <w:rStyle w:val="FootnoteReference"/>
                <w:noProof/>
              </w:rPr>
              <w:footnoteReference w:id="78"/>
            </w:r>
          </w:p>
        </w:tc>
        <w:tc>
          <w:tcPr>
            <w:tcW w:w="956" w:type="dxa"/>
            <w:vAlign w:val="center"/>
          </w:tcPr>
          <w:p w:rsidR="005148EA" w:rsidRPr="008B4DA2" w:rsidRDefault="005148EA" w:rsidP="00BF0434">
            <w:pPr>
              <w:jc w:val="center"/>
              <w:rPr>
                <w:b/>
                <w:noProof/>
                <w:sz w:val="18"/>
              </w:rPr>
            </w:pPr>
            <w:r w:rsidRPr="008B4DA2">
              <w:rPr>
                <w:noProof/>
                <w:sz w:val="18"/>
              </w:rPr>
              <w:t>państw EFTA</w:t>
            </w:r>
            <w:r w:rsidRPr="008B4DA2">
              <w:rPr>
                <w:rStyle w:val="FootnoteReference"/>
                <w:noProof/>
              </w:rPr>
              <w:footnoteReference w:id="79"/>
            </w:r>
          </w:p>
        </w:tc>
        <w:tc>
          <w:tcPr>
            <w:tcW w:w="1080" w:type="dxa"/>
            <w:vAlign w:val="center"/>
          </w:tcPr>
          <w:p w:rsidR="005148EA" w:rsidRPr="008B4DA2" w:rsidRDefault="005148EA" w:rsidP="00BF0434">
            <w:pPr>
              <w:jc w:val="center"/>
              <w:rPr>
                <w:noProof/>
                <w:sz w:val="18"/>
              </w:rPr>
            </w:pPr>
            <w:r w:rsidRPr="008B4DA2">
              <w:rPr>
                <w:noProof/>
                <w:sz w:val="18"/>
              </w:rPr>
              <w:t>krajów kandydujących</w:t>
            </w:r>
            <w:r w:rsidR="00B83C93" w:rsidRPr="008B4DA2">
              <w:rPr>
                <w:noProof/>
                <w:sz w:val="18"/>
              </w:rPr>
              <w:t xml:space="preserve"> i</w:t>
            </w:r>
            <w:r w:rsidR="00B83C93">
              <w:rPr>
                <w:noProof/>
                <w:sz w:val="18"/>
              </w:rPr>
              <w:t> </w:t>
            </w:r>
            <w:r w:rsidR="00B83C93" w:rsidRPr="008B4DA2">
              <w:rPr>
                <w:noProof/>
                <w:sz w:val="18"/>
              </w:rPr>
              <w:t>pot</w:t>
            </w:r>
            <w:r w:rsidRPr="008B4DA2">
              <w:rPr>
                <w:noProof/>
                <w:sz w:val="18"/>
              </w:rPr>
              <w:t>encjalnych krajów kandydujących</w:t>
            </w:r>
            <w:r w:rsidRPr="008B4DA2">
              <w:rPr>
                <w:rStyle w:val="FootnoteReference"/>
                <w:noProof/>
              </w:rPr>
              <w:footnoteReference w:id="80"/>
            </w:r>
          </w:p>
        </w:tc>
        <w:tc>
          <w:tcPr>
            <w:tcW w:w="956" w:type="dxa"/>
            <w:vAlign w:val="center"/>
          </w:tcPr>
          <w:p w:rsidR="005148EA" w:rsidRPr="008B4DA2" w:rsidRDefault="005148EA" w:rsidP="00BF0434">
            <w:pPr>
              <w:jc w:val="center"/>
              <w:rPr>
                <w:noProof/>
                <w:sz w:val="18"/>
              </w:rPr>
            </w:pPr>
            <w:r w:rsidRPr="008B4DA2">
              <w:rPr>
                <w:noProof/>
                <w:sz w:val="18"/>
              </w:rPr>
              <w:t>innych państw trzecich</w:t>
            </w:r>
          </w:p>
        </w:tc>
        <w:tc>
          <w:tcPr>
            <w:tcW w:w="1448" w:type="dxa"/>
            <w:vAlign w:val="center"/>
          </w:tcPr>
          <w:p w:rsidR="005148EA" w:rsidRPr="008B4DA2" w:rsidRDefault="005148EA" w:rsidP="00BF0434">
            <w:pPr>
              <w:jc w:val="center"/>
              <w:rPr>
                <w:noProof/>
              </w:rPr>
            </w:pPr>
            <w:r w:rsidRPr="008B4DA2">
              <w:rPr>
                <w:noProof/>
                <w:sz w:val="18"/>
              </w:rPr>
              <w:t>pochodzący</w:t>
            </w:r>
            <w:r w:rsidR="00B83C93" w:rsidRPr="008B4DA2">
              <w:rPr>
                <w:noProof/>
                <w:sz w:val="18"/>
              </w:rPr>
              <w:t xml:space="preserve"> z</w:t>
            </w:r>
            <w:r w:rsidR="00B83C93">
              <w:rPr>
                <w:noProof/>
                <w:sz w:val="18"/>
              </w:rPr>
              <w:t> </w:t>
            </w:r>
            <w:r w:rsidR="00B83C93" w:rsidRPr="008B4DA2">
              <w:rPr>
                <w:noProof/>
                <w:sz w:val="18"/>
              </w:rPr>
              <w:t>poz</w:t>
            </w:r>
            <w:r w:rsidRPr="008B4DA2">
              <w:rPr>
                <w:noProof/>
                <w:sz w:val="18"/>
              </w:rPr>
              <w:t>ostałych dochodów przeznaczonych na określony cel</w:t>
            </w:r>
          </w:p>
        </w:tc>
      </w:tr>
      <w:tr w:rsidR="00517853" w:rsidRPr="008B4DA2" w:rsidTr="00BF0434">
        <w:tc>
          <w:tcPr>
            <w:tcW w:w="1080" w:type="dxa"/>
            <w:vAlign w:val="center"/>
          </w:tcPr>
          <w:p w:rsidR="005148EA" w:rsidRPr="008B4DA2" w:rsidRDefault="005148EA" w:rsidP="00BF0434">
            <w:pPr>
              <w:spacing w:before="60"/>
              <w:rPr>
                <w:noProof/>
              </w:rPr>
            </w:pPr>
            <w:r w:rsidRPr="008B4DA2">
              <w:rPr>
                <w:b/>
                <w:noProof/>
                <w:sz w:val="22"/>
              </w:rPr>
              <w:t>01</w:t>
            </w:r>
          </w:p>
        </w:tc>
        <w:tc>
          <w:tcPr>
            <w:tcW w:w="3960" w:type="dxa"/>
            <w:vAlign w:val="center"/>
          </w:tcPr>
          <w:p w:rsidR="005148EA" w:rsidRPr="008B4DA2" w:rsidRDefault="005148EA" w:rsidP="005148EA">
            <w:pPr>
              <w:spacing w:before="60"/>
              <w:rPr>
                <w:b/>
                <w:bCs/>
                <w:noProof/>
              </w:rPr>
            </w:pPr>
            <w:r w:rsidRPr="008B4DA2">
              <w:rPr>
                <w:b/>
                <w:noProof/>
                <w:sz w:val="22"/>
              </w:rPr>
              <w:t>02.200401</w:t>
            </w:r>
          </w:p>
        </w:tc>
        <w:tc>
          <w:tcPr>
            <w:tcW w:w="1080" w:type="dxa"/>
            <w:vAlign w:val="center"/>
          </w:tcPr>
          <w:p w:rsidR="005148EA" w:rsidRPr="008B4DA2" w:rsidRDefault="005148EA" w:rsidP="00BF0434">
            <w:pPr>
              <w:jc w:val="center"/>
              <w:rPr>
                <w:noProof/>
              </w:rPr>
            </w:pPr>
            <w:r w:rsidRPr="008B4DA2">
              <w:rPr>
                <w:noProof/>
                <w:sz w:val="22"/>
              </w:rPr>
              <w:t>Zróżn.</w:t>
            </w:r>
          </w:p>
        </w:tc>
        <w:tc>
          <w:tcPr>
            <w:tcW w:w="956" w:type="dxa"/>
            <w:vAlign w:val="center"/>
          </w:tcPr>
          <w:p w:rsidR="005148EA" w:rsidRPr="008B4DA2" w:rsidRDefault="005148EA" w:rsidP="00BF0434">
            <w:pPr>
              <w:jc w:val="center"/>
              <w:rPr>
                <w:noProof/>
                <w:sz w:val="20"/>
                <w:szCs w:val="20"/>
              </w:rPr>
            </w:pPr>
            <w:r w:rsidRPr="008B4DA2">
              <w:rPr>
                <w:noProof/>
                <w:sz w:val="20"/>
              </w:rPr>
              <w:t>NIE</w:t>
            </w:r>
          </w:p>
        </w:tc>
        <w:tc>
          <w:tcPr>
            <w:tcW w:w="1080" w:type="dxa"/>
            <w:vAlign w:val="center"/>
          </w:tcPr>
          <w:p w:rsidR="005148EA" w:rsidRPr="008B4DA2" w:rsidRDefault="005148EA" w:rsidP="00BF0434">
            <w:pPr>
              <w:jc w:val="center"/>
              <w:rPr>
                <w:noProof/>
                <w:sz w:val="20"/>
                <w:szCs w:val="20"/>
              </w:rPr>
            </w:pPr>
            <w:r w:rsidRPr="008B4DA2">
              <w:rPr>
                <w:noProof/>
                <w:sz w:val="20"/>
              </w:rPr>
              <w:t>NIE</w:t>
            </w:r>
          </w:p>
        </w:tc>
        <w:tc>
          <w:tcPr>
            <w:tcW w:w="956" w:type="dxa"/>
            <w:vAlign w:val="center"/>
          </w:tcPr>
          <w:p w:rsidR="005148EA" w:rsidRPr="008B4DA2" w:rsidRDefault="005148EA" w:rsidP="00BF0434">
            <w:pPr>
              <w:jc w:val="center"/>
              <w:rPr>
                <w:noProof/>
                <w:sz w:val="20"/>
                <w:szCs w:val="20"/>
              </w:rPr>
            </w:pPr>
            <w:r w:rsidRPr="008B4DA2">
              <w:rPr>
                <w:noProof/>
                <w:sz w:val="20"/>
              </w:rPr>
              <w:t>NIE</w:t>
            </w:r>
          </w:p>
        </w:tc>
        <w:tc>
          <w:tcPr>
            <w:tcW w:w="1448" w:type="dxa"/>
            <w:vAlign w:val="center"/>
          </w:tcPr>
          <w:p w:rsidR="005148EA" w:rsidRPr="008B4DA2" w:rsidRDefault="005148EA" w:rsidP="00BF0434">
            <w:pPr>
              <w:jc w:val="center"/>
              <w:rPr>
                <w:noProof/>
                <w:sz w:val="20"/>
                <w:szCs w:val="20"/>
              </w:rPr>
            </w:pPr>
            <w:r w:rsidRPr="008B4DA2">
              <w:rPr>
                <w:noProof/>
                <w:sz w:val="20"/>
              </w:rPr>
              <w:t>NIE</w:t>
            </w:r>
          </w:p>
        </w:tc>
      </w:tr>
    </w:tbl>
    <w:p w:rsidR="005148EA" w:rsidRPr="008B4DA2" w:rsidRDefault="005148EA" w:rsidP="005148EA">
      <w:pPr>
        <w:pStyle w:val="ListBullet1"/>
        <w:rPr>
          <w:noProof/>
        </w:rPr>
      </w:pPr>
      <w:r w:rsidRPr="008B4DA2">
        <w:rPr>
          <w:noProof/>
        </w:rPr>
        <w:t xml:space="preserve">Proponowane nowe linie budżetowe </w:t>
      </w:r>
    </w:p>
    <w:p w:rsidR="005148EA" w:rsidRPr="008B4DA2" w:rsidRDefault="005148EA" w:rsidP="005148EA">
      <w:pPr>
        <w:pStyle w:val="Text1"/>
        <w:rPr>
          <w:i/>
          <w:noProof/>
          <w:sz w:val="20"/>
        </w:rPr>
      </w:pPr>
      <w:r w:rsidRPr="008B4DA2">
        <w:rPr>
          <w:i/>
          <w:noProof/>
          <w:u w:val="single"/>
        </w:rPr>
        <w:t>Według</w:t>
      </w:r>
      <w:r w:rsidRPr="008B4DA2">
        <w:rPr>
          <w:i/>
          <w:noProof/>
        </w:rPr>
        <w:t xml:space="preserve"> działów wieloletnich ram finansowych</w:t>
      </w:r>
      <w:r w:rsidR="00B83C93" w:rsidRPr="008B4DA2">
        <w:rPr>
          <w:i/>
          <w:noProof/>
        </w:rPr>
        <w:t xml:space="preserve"> i</w:t>
      </w:r>
      <w:r w:rsidR="00B83C93">
        <w:rPr>
          <w:i/>
          <w:noProof/>
        </w:rPr>
        <w:t> </w:t>
      </w:r>
      <w:r w:rsidR="00B83C93" w:rsidRPr="008B4DA2">
        <w:rPr>
          <w:i/>
          <w:noProof/>
        </w:rPr>
        <w:t>lin</w:t>
      </w:r>
      <w:r w:rsidRPr="008B4DA2">
        <w:rPr>
          <w:i/>
          <w:noProof/>
        </w:rPr>
        <w:t>ii budżetowych</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4E303B" w:rsidRPr="008B4DA2" w:rsidTr="00BF0434">
        <w:tc>
          <w:tcPr>
            <w:tcW w:w="1080" w:type="dxa"/>
            <w:vMerge w:val="restart"/>
            <w:vAlign w:val="center"/>
          </w:tcPr>
          <w:p w:rsidR="005148EA" w:rsidRPr="008B4DA2" w:rsidRDefault="005148EA" w:rsidP="00BF0434">
            <w:pPr>
              <w:spacing w:before="60" w:after="60"/>
              <w:jc w:val="center"/>
              <w:rPr>
                <w:noProof/>
                <w:sz w:val="18"/>
                <w:szCs w:val="18"/>
              </w:rPr>
            </w:pPr>
            <w:r w:rsidRPr="008B4DA2">
              <w:rPr>
                <w:noProof/>
                <w:sz w:val="18"/>
              </w:rPr>
              <w:t>Dział wieloletnich ram finansowych</w:t>
            </w:r>
          </w:p>
        </w:tc>
        <w:tc>
          <w:tcPr>
            <w:tcW w:w="3960" w:type="dxa"/>
            <w:vAlign w:val="center"/>
          </w:tcPr>
          <w:p w:rsidR="005148EA" w:rsidRPr="008B4DA2" w:rsidRDefault="005148EA" w:rsidP="00BF0434">
            <w:pPr>
              <w:spacing w:before="60" w:after="60"/>
              <w:jc w:val="center"/>
              <w:rPr>
                <w:noProof/>
              </w:rPr>
            </w:pPr>
            <w:r w:rsidRPr="008B4DA2">
              <w:rPr>
                <w:noProof/>
                <w:sz w:val="20"/>
              </w:rPr>
              <w:t>Linia budżetowa</w:t>
            </w:r>
          </w:p>
        </w:tc>
        <w:tc>
          <w:tcPr>
            <w:tcW w:w="1080" w:type="dxa"/>
            <w:vAlign w:val="center"/>
          </w:tcPr>
          <w:p w:rsidR="005148EA" w:rsidRPr="008B4DA2" w:rsidRDefault="005148EA" w:rsidP="00BF0434">
            <w:pPr>
              <w:spacing w:before="60" w:after="60"/>
              <w:jc w:val="center"/>
              <w:rPr>
                <w:noProof/>
              </w:rPr>
            </w:pPr>
            <w:r w:rsidRPr="008B4DA2">
              <w:rPr>
                <w:noProof/>
                <w:sz w:val="18"/>
              </w:rPr>
              <w:t>Rodzaj</w:t>
            </w:r>
            <w:r w:rsidRPr="008B4DA2">
              <w:rPr>
                <w:noProof/>
              </w:rPr>
              <w:t xml:space="preserve"> </w:t>
            </w:r>
            <w:r w:rsidRPr="008B4DA2">
              <w:rPr>
                <w:noProof/>
              </w:rPr>
              <w:br/>
            </w:r>
            <w:r w:rsidRPr="008B4DA2">
              <w:rPr>
                <w:noProof/>
                <w:sz w:val="18"/>
              </w:rPr>
              <w:t>środków</w:t>
            </w:r>
          </w:p>
        </w:tc>
        <w:tc>
          <w:tcPr>
            <w:tcW w:w="4440" w:type="dxa"/>
            <w:gridSpan w:val="4"/>
            <w:vAlign w:val="center"/>
          </w:tcPr>
          <w:p w:rsidR="005148EA" w:rsidRPr="008B4DA2" w:rsidRDefault="005148EA" w:rsidP="00BF0434">
            <w:pPr>
              <w:spacing w:before="60" w:after="60"/>
              <w:jc w:val="center"/>
              <w:rPr>
                <w:noProof/>
              </w:rPr>
            </w:pPr>
            <w:r w:rsidRPr="008B4DA2">
              <w:rPr>
                <w:noProof/>
                <w:sz w:val="20"/>
              </w:rPr>
              <w:t xml:space="preserve">Wkład </w:t>
            </w:r>
          </w:p>
        </w:tc>
      </w:tr>
      <w:tr w:rsidR="004E303B" w:rsidRPr="008B4DA2" w:rsidTr="00BF0434">
        <w:tc>
          <w:tcPr>
            <w:tcW w:w="1080" w:type="dxa"/>
            <w:vMerge/>
            <w:vAlign w:val="center"/>
          </w:tcPr>
          <w:p w:rsidR="005148EA" w:rsidRPr="008B4DA2" w:rsidRDefault="005148EA" w:rsidP="00BF0434">
            <w:pPr>
              <w:jc w:val="center"/>
              <w:rPr>
                <w:noProof/>
              </w:rPr>
            </w:pPr>
          </w:p>
        </w:tc>
        <w:tc>
          <w:tcPr>
            <w:tcW w:w="3960" w:type="dxa"/>
            <w:vAlign w:val="center"/>
          </w:tcPr>
          <w:p w:rsidR="005148EA" w:rsidRPr="008B4DA2" w:rsidRDefault="005148EA" w:rsidP="00BF0434">
            <w:pPr>
              <w:rPr>
                <w:noProof/>
              </w:rPr>
            </w:pPr>
            <w:r w:rsidRPr="008B4DA2">
              <w:rPr>
                <w:noProof/>
                <w:sz w:val="20"/>
              </w:rPr>
              <w:t>Nume</w:t>
            </w:r>
            <w:r w:rsidRPr="00B83C93">
              <w:rPr>
                <w:noProof/>
                <w:sz w:val="20"/>
              </w:rPr>
              <w:t>r</w:t>
            </w:r>
            <w:r w:rsidR="00B83C93" w:rsidRPr="00B83C93">
              <w:rPr>
                <w:noProof/>
                <w:sz w:val="20"/>
              </w:rPr>
              <w:t xml:space="preserve"> </w:t>
            </w:r>
            <w:r w:rsidRPr="00B83C93">
              <w:rPr>
                <w:noProof/>
              </w:rPr>
              <w:br/>
            </w:r>
          </w:p>
        </w:tc>
        <w:tc>
          <w:tcPr>
            <w:tcW w:w="1080" w:type="dxa"/>
            <w:vAlign w:val="center"/>
          </w:tcPr>
          <w:p w:rsidR="005148EA" w:rsidRPr="008B4DA2" w:rsidRDefault="005148EA" w:rsidP="00BF0434">
            <w:pPr>
              <w:jc w:val="center"/>
              <w:rPr>
                <w:noProof/>
              </w:rPr>
            </w:pPr>
            <w:r w:rsidRPr="008B4DA2">
              <w:rPr>
                <w:noProof/>
                <w:sz w:val="18"/>
              </w:rPr>
              <w:t>Zróżn./ niezróżn.</w:t>
            </w:r>
          </w:p>
        </w:tc>
        <w:tc>
          <w:tcPr>
            <w:tcW w:w="956" w:type="dxa"/>
            <w:vAlign w:val="center"/>
          </w:tcPr>
          <w:p w:rsidR="005148EA" w:rsidRPr="008B4DA2" w:rsidRDefault="005148EA" w:rsidP="00BF0434">
            <w:pPr>
              <w:jc w:val="center"/>
              <w:rPr>
                <w:noProof/>
                <w:sz w:val="18"/>
              </w:rPr>
            </w:pPr>
            <w:r w:rsidRPr="008B4DA2">
              <w:rPr>
                <w:noProof/>
                <w:sz w:val="18"/>
              </w:rPr>
              <w:t>państw EFTA</w:t>
            </w:r>
          </w:p>
        </w:tc>
        <w:tc>
          <w:tcPr>
            <w:tcW w:w="1080" w:type="dxa"/>
            <w:vAlign w:val="center"/>
          </w:tcPr>
          <w:p w:rsidR="005148EA" w:rsidRPr="008B4DA2" w:rsidRDefault="005148EA" w:rsidP="00BF0434">
            <w:pPr>
              <w:jc w:val="center"/>
              <w:rPr>
                <w:noProof/>
                <w:sz w:val="18"/>
              </w:rPr>
            </w:pPr>
            <w:r w:rsidRPr="008B4DA2">
              <w:rPr>
                <w:noProof/>
                <w:sz w:val="18"/>
              </w:rPr>
              <w:t>krajów kandydujących</w:t>
            </w:r>
            <w:r w:rsidR="00B83C93" w:rsidRPr="008B4DA2">
              <w:rPr>
                <w:noProof/>
                <w:sz w:val="18"/>
              </w:rPr>
              <w:t xml:space="preserve"> i</w:t>
            </w:r>
            <w:r w:rsidR="00B83C93">
              <w:rPr>
                <w:noProof/>
                <w:sz w:val="18"/>
              </w:rPr>
              <w:t> </w:t>
            </w:r>
            <w:r w:rsidR="00B83C93" w:rsidRPr="008B4DA2">
              <w:rPr>
                <w:noProof/>
                <w:sz w:val="18"/>
              </w:rPr>
              <w:t>pot</w:t>
            </w:r>
            <w:r w:rsidRPr="008B4DA2">
              <w:rPr>
                <w:noProof/>
                <w:sz w:val="18"/>
              </w:rPr>
              <w:t>encjalnych krajów kandydujących</w:t>
            </w:r>
          </w:p>
        </w:tc>
        <w:tc>
          <w:tcPr>
            <w:tcW w:w="956" w:type="dxa"/>
            <w:vAlign w:val="center"/>
          </w:tcPr>
          <w:p w:rsidR="005148EA" w:rsidRPr="008B4DA2" w:rsidRDefault="005148EA" w:rsidP="00BF0434">
            <w:pPr>
              <w:jc w:val="center"/>
              <w:rPr>
                <w:noProof/>
                <w:sz w:val="18"/>
              </w:rPr>
            </w:pPr>
            <w:r w:rsidRPr="008B4DA2">
              <w:rPr>
                <w:noProof/>
                <w:sz w:val="18"/>
              </w:rPr>
              <w:t>innych państw trzecich</w:t>
            </w:r>
          </w:p>
        </w:tc>
        <w:tc>
          <w:tcPr>
            <w:tcW w:w="1448" w:type="dxa"/>
            <w:vAlign w:val="center"/>
          </w:tcPr>
          <w:p w:rsidR="005148EA" w:rsidRPr="008B4DA2" w:rsidRDefault="005148EA" w:rsidP="00BF0434">
            <w:pPr>
              <w:jc w:val="center"/>
              <w:rPr>
                <w:noProof/>
              </w:rPr>
            </w:pPr>
            <w:r w:rsidRPr="008B4DA2">
              <w:rPr>
                <w:noProof/>
                <w:sz w:val="18"/>
              </w:rPr>
              <w:t>pochodzący</w:t>
            </w:r>
            <w:r w:rsidR="00B83C93" w:rsidRPr="008B4DA2">
              <w:rPr>
                <w:noProof/>
                <w:sz w:val="18"/>
              </w:rPr>
              <w:t xml:space="preserve"> z</w:t>
            </w:r>
            <w:r w:rsidR="00B83C93">
              <w:rPr>
                <w:noProof/>
                <w:sz w:val="18"/>
              </w:rPr>
              <w:t> </w:t>
            </w:r>
            <w:r w:rsidR="00B83C93" w:rsidRPr="008B4DA2">
              <w:rPr>
                <w:noProof/>
                <w:sz w:val="18"/>
              </w:rPr>
              <w:t>poz</w:t>
            </w:r>
            <w:r w:rsidRPr="008B4DA2">
              <w:rPr>
                <w:noProof/>
                <w:sz w:val="18"/>
              </w:rPr>
              <w:t xml:space="preserve">ostałych dochodów przeznaczonych na określony cel </w:t>
            </w:r>
          </w:p>
        </w:tc>
      </w:tr>
      <w:tr w:rsidR="00517853" w:rsidRPr="008B4DA2" w:rsidTr="00BF0434">
        <w:tc>
          <w:tcPr>
            <w:tcW w:w="1080" w:type="dxa"/>
            <w:vAlign w:val="center"/>
          </w:tcPr>
          <w:p w:rsidR="005148EA" w:rsidRPr="008B4DA2" w:rsidRDefault="005148EA" w:rsidP="00BF0434">
            <w:pPr>
              <w:jc w:val="center"/>
              <w:rPr>
                <w:noProof/>
              </w:rPr>
            </w:pPr>
          </w:p>
        </w:tc>
        <w:tc>
          <w:tcPr>
            <w:tcW w:w="3960" w:type="dxa"/>
            <w:vAlign w:val="center"/>
          </w:tcPr>
          <w:p w:rsidR="005148EA" w:rsidRPr="008B4DA2" w:rsidRDefault="005148EA" w:rsidP="005148EA">
            <w:pPr>
              <w:spacing w:before="60"/>
              <w:rPr>
                <w:noProof/>
              </w:rPr>
            </w:pPr>
            <w:r w:rsidRPr="008B4DA2">
              <w:rPr>
                <w:noProof/>
                <w:sz w:val="22"/>
              </w:rPr>
              <w:t>[XX.YY.YY.YY]</w:t>
            </w:r>
          </w:p>
        </w:tc>
        <w:tc>
          <w:tcPr>
            <w:tcW w:w="1080" w:type="dxa"/>
            <w:vAlign w:val="center"/>
          </w:tcPr>
          <w:p w:rsidR="005148EA" w:rsidRPr="008B4DA2" w:rsidRDefault="005148EA" w:rsidP="00BF0434">
            <w:pPr>
              <w:jc w:val="center"/>
              <w:rPr>
                <w:noProof/>
              </w:rPr>
            </w:pPr>
          </w:p>
        </w:tc>
        <w:tc>
          <w:tcPr>
            <w:tcW w:w="956" w:type="dxa"/>
            <w:vAlign w:val="center"/>
          </w:tcPr>
          <w:p w:rsidR="005148EA" w:rsidRPr="008B4DA2" w:rsidRDefault="005148EA" w:rsidP="00BF0434">
            <w:pPr>
              <w:jc w:val="center"/>
              <w:rPr>
                <w:noProof/>
                <w:sz w:val="20"/>
                <w:szCs w:val="20"/>
              </w:rPr>
            </w:pPr>
            <w:r w:rsidRPr="008B4DA2">
              <w:rPr>
                <w:noProof/>
                <w:sz w:val="20"/>
              </w:rPr>
              <w:t>TAK/ NIE</w:t>
            </w:r>
          </w:p>
        </w:tc>
        <w:tc>
          <w:tcPr>
            <w:tcW w:w="1080" w:type="dxa"/>
            <w:vAlign w:val="center"/>
          </w:tcPr>
          <w:p w:rsidR="005148EA" w:rsidRPr="008B4DA2" w:rsidRDefault="005148EA" w:rsidP="00BF0434">
            <w:pPr>
              <w:jc w:val="center"/>
              <w:rPr>
                <w:noProof/>
                <w:sz w:val="20"/>
                <w:szCs w:val="20"/>
              </w:rPr>
            </w:pPr>
            <w:r w:rsidRPr="008B4DA2">
              <w:rPr>
                <w:noProof/>
                <w:sz w:val="20"/>
              </w:rPr>
              <w:t>TAK/ NIE</w:t>
            </w:r>
          </w:p>
        </w:tc>
        <w:tc>
          <w:tcPr>
            <w:tcW w:w="956" w:type="dxa"/>
            <w:vAlign w:val="center"/>
          </w:tcPr>
          <w:p w:rsidR="005148EA" w:rsidRPr="008B4DA2" w:rsidRDefault="005148EA" w:rsidP="00BF0434">
            <w:pPr>
              <w:jc w:val="center"/>
              <w:rPr>
                <w:noProof/>
                <w:sz w:val="20"/>
                <w:szCs w:val="20"/>
              </w:rPr>
            </w:pPr>
            <w:r w:rsidRPr="008B4DA2">
              <w:rPr>
                <w:noProof/>
                <w:sz w:val="20"/>
              </w:rPr>
              <w:t>TAK/ NIE</w:t>
            </w:r>
          </w:p>
        </w:tc>
        <w:tc>
          <w:tcPr>
            <w:tcW w:w="1448" w:type="dxa"/>
            <w:vAlign w:val="center"/>
          </w:tcPr>
          <w:p w:rsidR="005148EA" w:rsidRPr="008B4DA2" w:rsidRDefault="005148EA" w:rsidP="00BF0434">
            <w:pPr>
              <w:jc w:val="center"/>
              <w:rPr>
                <w:noProof/>
                <w:sz w:val="20"/>
                <w:szCs w:val="20"/>
              </w:rPr>
            </w:pPr>
            <w:r w:rsidRPr="008B4DA2">
              <w:rPr>
                <w:noProof/>
                <w:sz w:val="20"/>
              </w:rPr>
              <w:t>TAK/ NIE</w:t>
            </w:r>
          </w:p>
        </w:tc>
      </w:tr>
    </w:tbl>
    <w:p w:rsidR="005148EA" w:rsidRPr="008B4DA2" w:rsidRDefault="005148EA" w:rsidP="005148EA">
      <w:pPr>
        <w:rPr>
          <w:noProof/>
        </w:rPr>
        <w:sectPr w:rsidR="005148EA" w:rsidRPr="008B4DA2" w:rsidSect="00D32FD5">
          <w:pgSz w:w="11907" w:h="16840" w:code="1"/>
          <w:pgMar w:top="1134" w:right="1418" w:bottom="1134" w:left="1418" w:header="709" w:footer="709" w:gutter="0"/>
          <w:cols w:space="708"/>
          <w:docGrid w:linePitch="360"/>
        </w:sectPr>
      </w:pPr>
    </w:p>
    <w:p w:rsidR="005148EA" w:rsidRPr="008B4DA2" w:rsidRDefault="005148EA" w:rsidP="005148EA">
      <w:pPr>
        <w:pStyle w:val="ManualHeading2"/>
        <w:rPr>
          <w:bCs/>
          <w:noProof/>
          <w:szCs w:val="24"/>
        </w:rPr>
      </w:pPr>
      <w:bookmarkStart w:id="62" w:name="_Toc514938052"/>
      <w:bookmarkStart w:id="63" w:name="_Toc520485051"/>
      <w:r w:rsidRPr="008B4DA2">
        <w:rPr>
          <w:noProof/>
        </w:rPr>
        <w:t>3.2.</w:t>
      </w:r>
      <w:r w:rsidRPr="008B4DA2">
        <w:rPr>
          <w:noProof/>
        </w:rPr>
        <w:tab/>
        <w:t>Szacunkowy wpływ finansowy wniosku na środki</w:t>
      </w:r>
      <w:bookmarkEnd w:id="62"/>
      <w:bookmarkEnd w:id="63"/>
      <w:r w:rsidRPr="008B4DA2">
        <w:rPr>
          <w:noProof/>
        </w:rPr>
        <w:t xml:space="preserve"> </w:t>
      </w:r>
    </w:p>
    <w:p w:rsidR="005148EA" w:rsidRPr="008B4DA2" w:rsidRDefault="005148EA" w:rsidP="005148EA">
      <w:pPr>
        <w:pStyle w:val="ManualHeading3"/>
        <w:rPr>
          <w:noProof/>
        </w:rPr>
      </w:pPr>
      <w:bookmarkStart w:id="64" w:name="_Toc514938053"/>
      <w:bookmarkStart w:id="65" w:name="_Toc520485052"/>
      <w:r w:rsidRPr="008B4DA2">
        <w:rPr>
          <w:noProof/>
        </w:rPr>
        <w:t>3.2.1.</w:t>
      </w:r>
      <w:r w:rsidRPr="008B4DA2">
        <w:rPr>
          <w:noProof/>
        </w:rPr>
        <w:tab/>
        <w:t>Podsumowanie szacunkowego wpływu na środki operacyjne</w:t>
      </w:r>
      <w:bookmarkEnd w:id="64"/>
      <w:bookmarkEnd w:id="65"/>
      <w:r w:rsidRPr="008B4DA2">
        <w:rPr>
          <w:noProof/>
        </w:rPr>
        <w:t xml:space="preserve"> </w:t>
      </w:r>
    </w:p>
    <w:p w:rsidR="005148EA" w:rsidRPr="008B4DA2" w:rsidRDefault="005148EA" w:rsidP="005148EA">
      <w:pPr>
        <w:pStyle w:val="ListDash1"/>
        <w:rPr>
          <w:noProof/>
        </w:rPr>
      </w:pPr>
      <w:r w:rsidRPr="008B4DA2">
        <w:rPr>
          <w:noProof/>
        </w:rPr>
        <w:tab/>
        <w:t xml:space="preserve"> Wniosek/inicjatywa nie wiąże się</w:t>
      </w:r>
      <w:r w:rsidR="00B83C93" w:rsidRPr="008B4DA2">
        <w:rPr>
          <w:noProof/>
        </w:rPr>
        <w:t xml:space="preserve"> z</w:t>
      </w:r>
      <w:r w:rsidR="00B83C93">
        <w:rPr>
          <w:noProof/>
        </w:rPr>
        <w:t> </w:t>
      </w:r>
      <w:r w:rsidR="00B83C93" w:rsidRPr="008B4DA2">
        <w:rPr>
          <w:noProof/>
        </w:rPr>
        <w:t>kon</w:t>
      </w:r>
      <w:r w:rsidRPr="008B4DA2">
        <w:rPr>
          <w:noProof/>
        </w:rPr>
        <w:t xml:space="preserve">iecznością wykorzystania środków operacyjnych </w:t>
      </w:r>
    </w:p>
    <w:p w:rsidR="005148EA" w:rsidRPr="008B4DA2" w:rsidRDefault="005148EA" w:rsidP="005148EA">
      <w:pPr>
        <w:pStyle w:val="ListDash1"/>
        <w:rPr>
          <w:noProof/>
        </w:rPr>
      </w:pPr>
      <w:r w:rsidRPr="008B4DA2">
        <w:rPr>
          <w:noProof/>
        </w:rPr>
        <w:t>X</w:t>
      </w:r>
      <w:r w:rsidRPr="008B4DA2">
        <w:rPr>
          <w:rFonts w:ascii="Wingdings" w:hAnsi="Wingdings"/>
          <w:noProof/>
        </w:rPr>
        <w:t></w:t>
      </w:r>
      <w:r w:rsidRPr="008B4DA2">
        <w:rPr>
          <w:noProof/>
        </w:rPr>
        <w:tab/>
        <w:t>Wniosek/inicjatywa wiąże się</w:t>
      </w:r>
      <w:r w:rsidR="00B83C93" w:rsidRPr="008B4DA2">
        <w:rPr>
          <w:noProof/>
        </w:rPr>
        <w:t xml:space="preserve"> z</w:t>
      </w:r>
      <w:r w:rsidR="00B83C93">
        <w:rPr>
          <w:noProof/>
        </w:rPr>
        <w:t> </w:t>
      </w:r>
      <w:r w:rsidR="00B83C93" w:rsidRPr="008B4DA2">
        <w:rPr>
          <w:noProof/>
        </w:rPr>
        <w:t>kon</w:t>
      </w:r>
      <w:r w:rsidRPr="008B4DA2">
        <w:rPr>
          <w:noProof/>
        </w:rPr>
        <w:t>iecznością wykorzystania środków operacyjnych, jak określono poniżej. Nie będą potrzebne żadne dodatkowe środki. Kwoty potrzebne do finansowania projektu zostaną przesunięte ze środków już zaprogramowanych</w:t>
      </w:r>
      <w:r w:rsidR="00B83C93" w:rsidRPr="008B4DA2">
        <w:rPr>
          <w:noProof/>
        </w:rPr>
        <w:t xml:space="preserve"> w</w:t>
      </w:r>
      <w:r w:rsidR="00B83C93">
        <w:rPr>
          <w:noProof/>
        </w:rPr>
        <w:t> </w:t>
      </w:r>
      <w:r w:rsidR="00B83C93" w:rsidRPr="008B4DA2">
        <w:rPr>
          <w:noProof/>
        </w:rPr>
        <w:t>ofi</w:t>
      </w:r>
      <w:r w:rsidRPr="008B4DA2">
        <w:rPr>
          <w:noProof/>
        </w:rPr>
        <w:t>cjalnym programowaniu finansowym</w:t>
      </w:r>
      <w:r w:rsidR="00B83C93" w:rsidRPr="008B4DA2">
        <w:rPr>
          <w:noProof/>
        </w:rPr>
        <w:t xml:space="preserve"> w</w:t>
      </w:r>
      <w:r w:rsidR="00B83C93">
        <w:rPr>
          <w:noProof/>
        </w:rPr>
        <w:t> </w:t>
      </w:r>
      <w:r w:rsidR="00B83C93" w:rsidRPr="008B4DA2">
        <w:rPr>
          <w:noProof/>
        </w:rPr>
        <w:t>ram</w:t>
      </w:r>
      <w:r w:rsidRPr="008B4DA2">
        <w:rPr>
          <w:noProof/>
        </w:rPr>
        <w:t>ach konkretnych pozycji budżetowych.</w:t>
      </w:r>
    </w:p>
    <w:p w:rsidR="005148EA" w:rsidRPr="008B4DA2" w:rsidRDefault="005148EA" w:rsidP="005148EA">
      <w:pPr>
        <w:jc w:val="right"/>
        <w:rPr>
          <w:noProof/>
          <w:sz w:val="18"/>
          <w:szCs w:val="18"/>
        </w:rPr>
      </w:pPr>
      <w:r w:rsidRPr="008B4DA2">
        <w:rPr>
          <w:noProof/>
          <w:sz w:val="18"/>
        </w:rPr>
        <w:t>w mln EUR (do trzech miejsc po przecinku)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148EA" w:rsidRPr="008B4DA2" w:rsidTr="00BF0434">
        <w:trPr>
          <w:jc w:val="center"/>
        </w:trPr>
        <w:tc>
          <w:tcPr>
            <w:tcW w:w="4744" w:type="dxa"/>
            <w:shd w:val="thinDiagStripe" w:color="C0C0C0" w:fill="auto"/>
            <w:vAlign w:val="center"/>
          </w:tcPr>
          <w:p w:rsidR="005148EA" w:rsidRPr="008B4DA2" w:rsidRDefault="005148EA" w:rsidP="00BF0434">
            <w:pPr>
              <w:spacing w:before="60" w:after="60"/>
              <w:jc w:val="center"/>
              <w:rPr>
                <w:b/>
                <w:noProof/>
              </w:rPr>
            </w:pPr>
            <w:r w:rsidRPr="008B4DA2">
              <w:rPr>
                <w:b/>
                <w:noProof/>
                <w:sz w:val="22"/>
              </w:rPr>
              <w:t>Dzia</w:t>
            </w:r>
            <w:r w:rsidRPr="00B83C93">
              <w:rPr>
                <w:b/>
                <w:noProof/>
                <w:sz w:val="22"/>
              </w:rPr>
              <w:t>ł</w:t>
            </w:r>
            <w:r w:rsidR="00B83C93" w:rsidRPr="00B83C93">
              <w:rPr>
                <w:b/>
                <w:noProof/>
                <w:sz w:val="22"/>
              </w:rPr>
              <w:t xml:space="preserve"> </w:t>
            </w:r>
            <w:r w:rsidRPr="00B83C93">
              <w:rPr>
                <w:noProof/>
              </w:rPr>
              <w:br/>
            </w:r>
            <w:r w:rsidRPr="008B4DA2">
              <w:rPr>
                <w:b/>
                <w:noProof/>
                <w:sz w:val="22"/>
              </w:rPr>
              <w:t xml:space="preserve">wieloletnich ram finansowych </w:t>
            </w:r>
          </w:p>
        </w:tc>
        <w:tc>
          <w:tcPr>
            <w:tcW w:w="1080" w:type="dxa"/>
            <w:vAlign w:val="center"/>
          </w:tcPr>
          <w:p w:rsidR="005148EA" w:rsidRPr="008B4DA2" w:rsidRDefault="005148EA" w:rsidP="00BF0434">
            <w:pPr>
              <w:spacing w:before="60" w:after="60"/>
              <w:jc w:val="center"/>
              <w:rPr>
                <w:noProof/>
              </w:rPr>
            </w:pPr>
            <w:r w:rsidRPr="008B4DA2">
              <w:rPr>
                <w:noProof/>
                <w:sz w:val="22"/>
              </w:rPr>
              <w:t>01</w:t>
            </w:r>
          </w:p>
        </w:tc>
        <w:tc>
          <w:tcPr>
            <w:tcW w:w="7817" w:type="dxa"/>
            <w:vAlign w:val="center"/>
          </w:tcPr>
          <w:p w:rsidR="005148EA" w:rsidRPr="008B4DA2" w:rsidRDefault="005148EA" w:rsidP="00BF0434">
            <w:pPr>
              <w:spacing w:before="60" w:after="60"/>
              <w:rPr>
                <w:noProof/>
              </w:rPr>
            </w:pPr>
            <w:r w:rsidRPr="008B4DA2">
              <w:rPr>
                <w:noProof/>
              </w:rPr>
              <w:t>Jednolity rynek, innowacje</w:t>
            </w:r>
            <w:r w:rsidR="00B83C93" w:rsidRPr="008B4DA2">
              <w:rPr>
                <w:noProof/>
              </w:rPr>
              <w:t xml:space="preserve"> i</w:t>
            </w:r>
            <w:r w:rsidR="00B83C93">
              <w:rPr>
                <w:noProof/>
              </w:rPr>
              <w:t> </w:t>
            </w:r>
            <w:r w:rsidR="00B83C93" w:rsidRPr="008B4DA2">
              <w:rPr>
                <w:noProof/>
              </w:rPr>
              <w:t>gos</w:t>
            </w:r>
            <w:r w:rsidRPr="008B4DA2">
              <w:rPr>
                <w:noProof/>
              </w:rPr>
              <w:t>podarka cyfrowa</w:t>
            </w:r>
          </w:p>
        </w:tc>
      </w:tr>
    </w:tbl>
    <w:p w:rsidR="005148EA" w:rsidRPr="008B4DA2" w:rsidRDefault="005148EA" w:rsidP="005148EA">
      <w:pPr>
        <w:rPr>
          <w:noProof/>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440"/>
        <w:gridCol w:w="120"/>
        <w:gridCol w:w="534"/>
        <w:gridCol w:w="868"/>
        <w:gridCol w:w="868"/>
        <w:gridCol w:w="868"/>
        <w:gridCol w:w="868"/>
        <w:gridCol w:w="1777"/>
      </w:tblGrid>
      <w:tr w:rsidR="005148EA" w:rsidRPr="008B4DA2" w:rsidTr="005148EA">
        <w:tc>
          <w:tcPr>
            <w:tcW w:w="3458" w:type="dxa"/>
            <w:vAlign w:val="center"/>
          </w:tcPr>
          <w:p w:rsidR="005148EA" w:rsidRPr="008B4DA2" w:rsidRDefault="005148EA" w:rsidP="00BF0434">
            <w:pPr>
              <w:jc w:val="center"/>
              <w:rPr>
                <w:noProof/>
              </w:rPr>
            </w:pPr>
            <w:r w:rsidRPr="008B4DA2">
              <w:rPr>
                <w:noProof/>
                <w:sz w:val="22"/>
              </w:rPr>
              <w:t>DG: MOVE</w:t>
            </w:r>
          </w:p>
        </w:tc>
        <w:tc>
          <w:tcPr>
            <w:tcW w:w="1560" w:type="dxa"/>
            <w:gridSpan w:val="2"/>
          </w:tcPr>
          <w:p w:rsidR="005148EA" w:rsidRPr="008B4DA2" w:rsidRDefault="005148EA" w:rsidP="00BF0434">
            <w:pPr>
              <w:rPr>
                <w:noProof/>
                <w:sz w:val="20"/>
              </w:rPr>
            </w:pPr>
          </w:p>
        </w:tc>
        <w:tc>
          <w:tcPr>
            <w:tcW w:w="534" w:type="dxa"/>
          </w:tcPr>
          <w:p w:rsidR="005148EA" w:rsidRPr="008B4DA2" w:rsidRDefault="005148EA" w:rsidP="00BF0434">
            <w:pPr>
              <w:jc w:val="center"/>
              <w:rPr>
                <w:noProof/>
                <w:sz w:val="20"/>
              </w:rPr>
            </w:pPr>
          </w:p>
        </w:tc>
        <w:tc>
          <w:tcPr>
            <w:tcW w:w="868" w:type="dxa"/>
            <w:vAlign w:val="center"/>
          </w:tcPr>
          <w:p w:rsidR="005148EA" w:rsidRPr="008B4DA2" w:rsidRDefault="005148EA" w:rsidP="00BF0434">
            <w:pPr>
              <w:jc w:val="center"/>
              <w:rPr>
                <w:b/>
                <w:noProof/>
                <w:sz w:val="20"/>
              </w:rPr>
            </w:pPr>
            <w:r w:rsidRPr="008B4DA2">
              <w:rPr>
                <w:noProof/>
                <w:sz w:val="20"/>
              </w:rPr>
              <w:t>Rok</w:t>
            </w:r>
            <w:r w:rsidRPr="008B4DA2">
              <w:rPr>
                <w:noProof/>
              </w:rPr>
              <w:t xml:space="preserve"> </w:t>
            </w:r>
            <w:r w:rsidRPr="008B4DA2">
              <w:rPr>
                <w:noProof/>
              </w:rPr>
              <w:br/>
            </w:r>
          </w:p>
          <w:p w:rsidR="005148EA" w:rsidRPr="008B4DA2" w:rsidRDefault="005148EA" w:rsidP="00BF0434">
            <w:pPr>
              <w:jc w:val="center"/>
              <w:rPr>
                <w:noProof/>
                <w:sz w:val="20"/>
              </w:rPr>
            </w:pPr>
            <w:r w:rsidRPr="008B4DA2">
              <w:rPr>
                <w:b/>
                <w:noProof/>
                <w:sz w:val="20"/>
              </w:rPr>
              <w:t>2025</w:t>
            </w:r>
          </w:p>
        </w:tc>
        <w:tc>
          <w:tcPr>
            <w:tcW w:w="868" w:type="dxa"/>
            <w:vAlign w:val="center"/>
          </w:tcPr>
          <w:p w:rsidR="005148EA" w:rsidRPr="008B4DA2" w:rsidRDefault="005148EA" w:rsidP="00BF0434">
            <w:pPr>
              <w:jc w:val="center"/>
              <w:rPr>
                <w:b/>
                <w:noProof/>
                <w:sz w:val="20"/>
              </w:rPr>
            </w:pPr>
            <w:r w:rsidRPr="008B4DA2">
              <w:rPr>
                <w:noProof/>
                <w:sz w:val="20"/>
              </w:rPr>
              <w:t>Rok</w:t>
            </w:r>
            <w:r w:rsidRPr="008B4DA2">
              <w:rPr>
                <w:noProof/>
              </w:rPr>
              <w:t xml:space="preserve"> </w:t>
            </w:r>
            <w:r w:rsidRPr="008B4DA2">
              <w:rPr>
                <w:noProof/>
              </w:rPr>
              <w:br/>
            </w:r>
          </w:p>
          <w:p w:rsidR="005148EA" w:rsidRPr="008B4DA2" w:rsidRDefault="005148EA" w:rsidP="00BF0434">
            <w:pPr>
              <w:jc w:val="center"/>
              <w:rPr>
                <w:noProof/>
                <w:sz w:val="20"/>
              </w:rPr>
            </w:pPr>
            <w:r w:rsidRPr="008B4DA2">
              <w:rPr>
                <w:b/>
                <w:noProof/>
                <w:sz w:val="20"/>
              </w:rPr>
              <w:t>2026</w:t>
            </w:r>
          </w:p>
        </w:tc>
        <w:tc>
          <w:tcPr>
            <w:tcW w:w="868" w:type="dxa"/>
            <w:vAlign w:val="center"/>
          </w:tcPr>
          <w:p w:rsidR="005148EA" w:rsidRPr="008B4DA2" w:rsidRDefault="005148EA" w:rsidP="00BF0434">
            <w:pPr>
              <w:jc w:val="center"/>
              <w:rPr>
                <w:b/>
                <w:noProof/>
                <w:sz w:val="20"/>
              </w:rPr>
            </w:pPr>
            <w:r w:rsidRPr="008B4DA2">
              <w:rPr>
                <w:noProof/>
                <w:sz w:val="20"/>
              </w:rPr>
              <w:t>Rok</w:t>
            </w:r>
            <w:r w:rsidRPr="008B4DA2">
              <w:rPr>
                <w:noProof/>
              </w:rPr>
              <w:t xml:space="preserve"> </w:t>
            </w:r>
            <w:r w:rsidRPr="008B4DA2">
              <w:rPr>
                <w:noProof/>
              </w:rPr>
              <w:br/>
            </w:r>
          </w:p>
          <w:p w:rsidR="005148EA" w:rsidRPr="008B4DA2" w:rsidRDefault="005148EA" w:rsidP="00BF0434">
            <w:pPr>
              <w:jc w:val="center"/>
              <w:rPr>
                <w:noProof/>
                <w:sz w:val="20"/>
              </w:rPr>
            </w:pPr>
            <w:r w:rsidRPr="008B4DA2">
              <w:rPr>
                <w:b/>
                <w:noProof/>
                <w:sz w:val="20"/>
              </w:rPr>
              <w:t>2027</w:t>
            </w:r>
          </w:p>
        </w:tc>
        <w:tc>
          <w:tcPr>
            <w:tcW w:w="868" w:type="dxa"/>
            <w:vAlign w:val="center"/>
          </w:tcPr>
          <w:p w:rsidR="005148EA" w:rsidRPr="008B4DA2" w:rsidRDefault="005148EA" w:rsidP="00BF0434">
            <w:pPr>
              <w:jc w:val="center"/>
              <w:rPr>
                <w:b/>
                <w:noProof/>
                <w:sz w:val="20"/>
              </w:rPr>
            </w:pPr>
            <w:r w:rsidRPr="008B4DA2">
              <w:rPr>
                <w:noProof/>
                <w:sz w:val="20"/>
              </w:rPr>
              <w:t>Rok</w:t>
            </w:r>
            <w:r w:rsidRPr="008B4DA2">
              <w:rPr>
                <w:noProof/>
              </w:rPr>
              <w:t xml:space="preserve"> </w:t>
            </w:r>
            <w:r w:rsidRPr="008B4DA2">
              <w:rPr>
                <w:noProof/>
              </w:rPr>
              <w:br/>
            </w:r>
          </w:p>
          <w:p w:rsidR="005148EA" w:rsidRPr="008B4DA2" w:rsidRDefault="005148EA" w:rsidP="00BF0434">
            <w:pPr>
              <w:jc w:val="center"/>
              <w:rPr>
                <w:noProof/>
                <w:sz w:val="20"/>
              </w:rPr>
            </w:pPr>
            <w:r w:rsidRPr="008B4DA2">
              <w:rPr>
                <w:b/>
                <w:noProof/>
                <w:sz w:val="20"/>
              </w:rPr>
              <w:t>2028</w:t>
            </w:r>
          </w:p>
        </w:tc>
        <w:tc>
          <w:tcPr>
            <w:tcW w:w="1777" w:type="dxa"/>
            <w:vAlign w:val="center"/>
          </w:tcPr>
          <w:p w:rsidR="005148EA" w:rsidRPr="008B4DA2" w:rsidRDefault="005148EA" w:rsidP="00BF0434">
            <w:pPr>
              <w:jc w:val="center"/>
              <w:rPr>
                <w:b/>
                <w:noProof/>
                <w:sz w:val="20"/>
              </w:rPr>
            </w:pPr>
            <w:r w:rsidRPr="008B4DA2">
              <w:rPr>
                <w:b/>
                <w:noProof/>
                <w:sz w:val="20"/>
              </w:rPr>
              <w:t>OGÓŁEM</w:t>
            </w:r>
          </w:p>
          <w:p w:rsidR="005148EA" w:rsidRPr="008B4DA2" w:rsidRDefault="005148EA" w:rsidP="00BF0434">
            <w:pPr>
              <w:jc w:val="center"/>
              <w:rPr>
                <w:b/>
                <w:noProof/>
                <w:sz w:val="20"/>
              </w:rPr>
            </w:pPr>
            <w:r w:rsidRPr="008B4DA2">
              <w:rPr>
                <w:b/>
                <w:noProof/>
                <w:sz w:val="20"/>
              </w:rPr>
              <w:t>2025–2028</w:t>
            </w:r>
          </w:p>
        </w:tc>
      </w:tr>
      <w:tr w:rsidR="005148EA" w:rsidRPr="008B4DA2" w:rsidTr="005148EA">
        <w:trPr>
          <w:trHeight w:val="213"/>
        </w:trPr>
        <w:tc>
          <w:tcPr>
            <w:tcW w:w="5552" w:type="dxa"/>
            <w:gridSpan w:val="4"/>
            <w:vAlign w:val="center"/>
          </w:tcPr>
          <w:p w:rsidR="005148EA" w:rsidRPr="008B4DA2" w:rsidRDefault="005148EA" w:rsidP="00BF0434">
            <w:pPr>
              <w:spacing w:before="20" w:after="20"/>
              <w:rPr>
                <w:noProof/>
                <w:sz w:val="21"/>
              </w:rPr>
            </w:pPr>
            <w:r w:rsidRPr="008B4DA2">
              <w:rPr>
                <w:rFonts w:ascii="Wingdings" w:hAnsi="Wingdings"/>
                <w:noProof/>
                <w:sz w:val="21"/>
              </w:rPr>
              <w:t>□</w:t>
            </w:r>
            <w:r w:rsidRPr="008B4DA2">
              <w:rPr>
                <w:noProof/>
                <w:sz w:val="21"/>
              </w:rPr>
              <w:t xml:space="preserve"> Środki operacyjne </w:t>
            </w:r>
          </w:p>
        </w:tc>
        <w:tc>
          <w:tcPr>
            <w:tcW w:w="868" w:type="dxa"/>
            <w:vAlign w:val="center"/>
          </w:tcPr>
          <w:p w:rsidR="005148EA" w:rsidRPr="008B4DA2" w:rsidRDefault="005148EA" w:rsidP="00BF0434">
            <w:pPr>
              <w:rPr>
                <w:noProof/>
                <w:sz w:val="20"/>
              </w:rPr>
            </w:pPr>
          </w:p>
        </w:tc>
        <w:tc>
          <w:tcPr>
            <w:tcW w:w="868" w:type="dxa"/>
            <w:vAlign w:val="center"/>
          </w:tcPr>
          <w:p w:rsidR="005148EA" w:rsidRPr="008B4DA2" w:rsidRDefault="005148EA" w:rsidP="00BF0434">
            <w:pPr>
              <w:rPr>
                <w:noProof/>
                <w:sz w:val="20"/>
              </w:rPr>
            </w:pPr>
          </w:p>
        </w:tc>
        <w:tc>
          <w:tcPr>
            <w:tcW w:w="868" w:type="dxa"/>
            <w:vAlign w:val="center"/>
          </w:tcPr>
          <w:p w:rsidR="005148EA" w:rsidRPr="008B4DA2" w:rsidRDefault="005148EA" w:rsidP="00BF0434">
            <w:pPr>
              <w:rPr>
                <w:noProof/>
                <w:sz w:val="20"/>
              </w:rPr>
            </w:pPr>
          </w:p>
        </w:tc>
        <w:tc>
          <w:tcPr>
            <w:tcW w:w="868" w:type="dxa"/>
            <w:vAlign w:val="center"/>
          </w:tcPr>
          <w:p w:rsidR="005148EA" w:rsidRPr="008B4DA2" w:rsidRDefault="005148EA" w:rsidP="00BF0434">
            <w:pPr>
              <w:rPr>
                <w:noProof/>
                <w:sz w:val="20"/>
              </w:rPr>
            </w:pPr>
          </w:p>
        </w:tc>
        <w:tc>
          <w:tcPr>
            <w:tcW w:w="1777" w:type="dxa"/>
            <w:vAlign w:val="center"/>
          </w:tcPr>
          <w:p w:rsidR="005148EA" w:rsidRPr="008B4DA2" w:rsidRDefault="005148EA" w:rsidP="00BF0434">
            <w:pPr>
              <w:rPr>
                <w:b/>
                <w:noProof/>
                <w:sz w:val="20"/>
              </w:rPr>
            </w:pPr>
          </w:p>
        </w:tc>
      </w:tr>
      <w:tr w:rsidR="005148EA" w:rsidRPr="008B4DA2" w:rsidTr="005148EA">
        <w:trPr>
          <w:trHeight w:val="277"/>
        </w:trPr>
        <w:tc>
          <w:tcPr>
            <w:tcW w:w="3458" w:type="dxa"/>
            <w:vMerge w:val="restart"/>
            <w:vAlign w:val="center"/>
          </w:tcPr>
          <w:p w:rsidR="005148EA" w:rsidRPr="008B4DA2" w:rsidRDefault="005148EA" w:rsidP="00BF0434">
            <w:pPr>
              <w:rPr>
                <w:noProof/>
              </w:rPr>
            </w:pPr>
            <w:r w:rsidRPr="008B4DA2">
              <w:rPr>
                <w:noProof/>
                <w:sz w:val="20"/>
              </w:rPr>
              <w:t>Linia budżetowa</w:t>
            </w:r>
            <w:r w:rsidRPr="008B4DA2">
              <w:rPr>
                <w:rStyle w:val="FootnoteReference"/>
                <w:noProof/>
              </w:rPr>
              <w:footnoteReference w:id="81"/>
            </w:r>
            <w:r w:rsidRPr="008B4DA2">
              <w:rPr>
                <w:noProof/>
                <w:sz w:val="20"/>
              </w:rPr>
              <w:t xml:space="preserve"> 02.200401</w:t>
            </w:r>
          </w:p>
        </w:tc>
        <w:tc>
          <w:tcPr>
            <w:tcW w:w="1440" w:type="dxa"/>
            <w:vAlign w:val="center"/>
          </w:tcPr>
          <w:p w:rsidR="005148EA" w:rsidRPr="008B4DA2" w:rsidRDefault="005148EA" w:rsidP="00BF0434">
            <w:pPr>
              <w:spacing w:before="20" w:after="20"/>
              <w:rPr>
                <w:noProof/>
                <w:sz w:val="18"/>
              </w:rPr>
            </w:pPr>
            <w:r w:rsidRPr="008B4DA2">
              <w:rPr>
                <w:noProof/>
                <w:sz w:val="18"/>
              </w:rPr>
              <w:t>Środki na zobowiązania</w:t>
            </w:r>
          </w:p>
        </w:tc>
        <w:tc>
          <w:tcPr>
            <w:tcW w:w="654" w:type="dxa"/>
            <w:gridSpan w:val="2"/>
            <w:vAlign w:val="center"/>
          </w:tcPr>
          <w:p w:rsidR="005148EA" w:rsidRPr="008B4DA2" w:rsidRDefault="005148EA" w:rsidP="00BF0434">
            <w:pPr>
              <w:spacing w:before="20" w:after="20"/>
              <w:jc w:val="center"/>
              <w:rPr>
                <w:noProof/>
                <w:sz w:val="14"/>
              </w:rPr>
            </w:pPr>
            <w:r w:rsidRPr="008B4DA2">
              <w:rPr>
                <w:noProof/>
                <w:sz w:val="14"/>
              </w:rPr>
              <w:t>(1a)</w:t>
            </w:r>
          </w:p>
        </w:tc>
        <w:tc>
          <w:tcPr>
            <w:tcW w:w="868" w:type="dxa"/>
            <w:vAlign w:val="center"/>
          </w:tcPr>
          <w:p w:rsidR="005148EA" w:rsidRPr="008B4DA2" w:rsidRDefault="005148EA" w:rsidP="00BF0434">
            <w:pPr>
              <w:spacing w:before="20" w:after="20"/>
              <w:jc w:val="right"/>
              <w:rPr>
                <w:noProof/>
                <w:sz w:val="20"/>
              </w:rPr>
            </w:pPr>
            <w:r w:rsidRPr="008B4DA2">
              <w:rPr>
                <w:b/>
                <w:noProof/>
                <w:sz w:val="20"/>
              </w:rPr>
              <w:t>0,110</w:t>
            </w:r>
          </w:p>
        </w:tc>
        <w:tc>
          <w:tcPr>
            <w:tcW w:w="868" w:type="dxa"/>
            <w:vAlign w:val="center"/>
          </w:tcPr>
          <w:p w:rsidR="005148EA" w:rsidRPr="008B4DA2" w:rsidRDefault="005148EA" w:rsidP="00BF0434">
            <w:pPr>
              <w:spacing w:before="20" w:after="20"/>
              <w:jc w:val="right"/>
              <w:rPr>
                <w:noProof/>
                <w:sz w:val="20"/>
              </w:rPr>
            </w:pPr>
            <w:r w:rsidRPr="008B4DA2">
              <w:rPr>
                <w:b/>
                <w:noProof/>
                <w:sz w:val="20"/>
              </w:rPr>
              <w:t>0,030</w:t>
            </w:r>
          </w:p>
        </w:tc>
        <w:tc>
          <w:tcPr>
            <w:tcW w:w="868" w:type="dxa"/>
            <w:vAlign w:val="center"/>
          </w:tcPr>
          <w:p w:rsidR="005148EA" w:rsidRPr="008B4DA2" w:rsidRDefault="005148EA" w:rsidP="00BF0434">
            <w:pPr>
              <w:spacing w:before="20" w:after="20"/>
              <w:jc w:val="right"/>
              <w:rPr>
                <w:noProof/>
                <w:sz w:val="20"/>
              </w:rPr>
            </w:pPr>
            <w:r w:rsidRPr="008B4DA2">
              <w:rPr>
                <w:b/>
                <w:noProof/>
                <w:sz w:val="20"/>
              </w:rPr>
              <w:t>0,030</w:t>
            </w:r>
          </w:p>
        </w:tc>
        <w:tc>
          <w:tcPr>
            <w:tcW w:w="868" w:type="dxa"/>
            <w:vAlign w:val="center"/>
          </w:tcPr>
          <w:p w:rsidR="005148EA" w:rsidRPr="008B4DA2" w:rsidRDefault="005148EA" w:rsidP="00BF0434">
            <w:pPr>
              <w:spacing w:before="20" w:after="20"/>
              <w:jc w:val="right"/>
              <w:rPr>
                <w:noProof/>
                <w:sz w:val="20"/>
              </w:rPr>
            </w:pPr>
            <w:r w:rsidRPr="008B4DA2">
              <w:rPr>
                <w:b/>
                <w:noProof/>
                <w:sz w:val="20"/>
              </w:rPr>
              <w:t>0,030</w:t>
            </w:r>
          </w:p>
        </w:tc>
        <w:tc>
          <w:tcPr>
            <w:tcW w:w="1777" w:type="dxa"/>
            <w:vAlign w:val="center"/>
          </w:tcPr>
          <w:p w:rsidR="005148EA" w:rsidRPr="008B4DA2" w:rsidRDefault="005148EA" w:rsidP="00BF0434">
            <w:pPr>
              <w:spacing w:before="20" w:after="20"/>
              <w:jc w:val="right"/>
              <w:rPr>
                <w:b/>
                <w:noProof/>
                <w:sz w:val="20"/>
              </w:rPr>
            </w:pPr>
            <w:r w:rsidRPr="008B4DA2">
              <w:rPr>
                <w:b/>
                <w:noProof/>
                <w:sz w:val="20"/>
              </w:rPr>
              <w:t>0,200</w:t>
            </w:r>
          </w:p>
        </w:tc>
      </w:tr>
      <w:tr w:rsidR="005148EA" w:rsidRPr="008B4DA2" w:rsidTr="005148EA">
        <w:tc>
          <w:tcPr>
            <w:tcW w:w="3458" w:type="dxa"/>
            <w:vMerge/>
          </w:tcPr>
          <w:p w:rsidR="005148EA" w:rsidRPr="008B4DA2" w:rsidRDefault="005148EA" w:rsidP="00BF0434">
            <w:pPr>
              <w:jc w:val="center"/>
              <w:rPr>
                <w:noProof/>
                <w:sz w:val="20"/>
              </w:rPr>
            </w:pPr>
          </w:p>
        </w:tc>
        <w:tc>
          <w:tcPr>
            <w:tcW w:w="1440" w:type="dxa"/>
            <w:vAlign w:val="center"/>
          </w:tcPr>
          <w:p w:rsidR="005148EA" w:rsidRPr="008B4DA2" w:rsidRDefault="005148EA" w:rsidP="00BF0434">
            <w:pPr>
              <w:spacing w:before="20" w:after="20"/>
              <w:rPr>
                <w:noProof/>
                <w:sz w:val="18"/>
              </w:rPr>
            </w:pPr>
            <w:r w:rsidRPr="008B4DA2">
              <w:rPr>
                <w:noProof/>
                <w:sz w:val="18"/>
              </w:rPr>
              <w:t>Środki na płatności</w:t>
            </w:r>
          </w:p>
        </w:tc>
        <w:tc>
          <w:tcPr>
            <w:tcW w:w="654" w:type="dxa"/>
            <w:gridSpan w:val="2"/>
            <w:vAlign w:val="center"/>
          </w:tcPr>
          <w:p w:rsidR="005148EA" w:rsidRPr="008B4DA2" w:rsidRDefault="005148EA" w:rsidP="00BF0434">
            <w:pPr>
              <w:spacing w:before="20" w:after="20"/>
              <w:jc w:val="center"/>
              <w:rPr>
                <w:noProof/>
                <w:sz w:val="14"/>
              </w:rPr>
            </w:pPr>
            <w:r w:rsidRPr="008B4DA2">
              <w:rPr>
                <w:noProof/>
                <w:sz w:val="14"/>
              </w:rPr>
              <w:t>(2a)</w:t>
            </w:r>
          </w:p>
        </w:tc>
        <w:tc>
          <w:tcPr>
            <w:tcW w:w="868" w:type="dxa"/>
            <w:vAlign w:val="center"/>
          </w:tcPr>
          <w:p w:rsidR="005148EA" w:rsidRPr="008B4DA2" w:rsidRDefault="005148EA" w:rsidP="00BF0434">
            <w:pPr>
              <w:spacing w:before="20" w:after="20"/>
              <w:jc w:val="right"/>
              <w:rPr>
                <w:noProof/>
                <w:sz w:val="20"/>
              </w:rPr>
            </w:pPr>
            <w:r w:rsidRPr="008B4DA2">
              <w:rPr>
                <w:b/>
                <w:noProof/>
                <w:sz w:val="20"/>
              </w:rPr>
              <w:t>0,110</w:t>
            </w:r>
          </w:p>
        </w:tc>
        <w:tc>
          <w:tcPr>
            <w:tcW w:w="868" w:type="dxa"/>
            <w:vAlign w:val="center"/>
          </w:tcPr>
          <w:p w:rsidR="005148EA" w:rsidRPr="008B4DA2" w:rsidRDefault="005148EA" w:rsidP="00BF0434">
            <w:pPr>
              <w:spacing w:before="20" w:after="20"/>
              <w:jc w:val="right"/>
              <w:rPr>
                <w:noProof/>
                <w:sz w:val="20"/>
              </w:rPr>
            </w:pPr>
            <w:r w:rsidRPr="008B4DA2">
              <w:rPr>
                <w:b/>
                <w:noProof/>
                <w:sz w:val="20"/>
              </w:rPr>
              <w:t>0,030</w:t>
            </w:r>
          </w:p>
        </w:tc>
        <w:tc>
          <w:tcPr>
            <w:tcW w:w="868" w:type="dxa"/>
            <w:vAlign w:val="center"/>
          </w:tcPr>
          <w:p w:rsidR="005148EA" w:rsidRPr="008B4DA2" w:rsidRDefault="005148EA" w:rsidP="00BF0434">
            <w:pPr>
              <w:spacing w:before="20" w:after="20"/>
              <w:jc w:val="right"/>
              <w:rPr>
                <w:noProof/>
                <w:sz w:val="20"/>
              </w:rPr>
            </w:pPr>
            <w:r w:rsidRPr="008B4DA2">
              <w:rPr>
                <w:b/>
                <w:noProof/>
                <w:sz w:val="20"/>
              </w:rPr>
              <w:t>0,030</w:t>
            </w:r>
          </w:p>
        </w:tc>
        <w:tc>
          <w:tcPr>
            <w:tcW w:w="868" w:type="dxa"/>
            <w:vAlign w:val="center"/>
          </w:tcPr>
          <w:p w:rsidR="005148EA" w:rsidRPr="008B4DA2" w:rsidRDefault="005148EA" w:rsidP="00BF0434">
            <w:pPr>
              <w:spacing w:before="20" w:after="20"/>
              <w:jc w:val="right"/>
              <w:rPr>
                <w:noProof/>
                <w:sz w:val="20"/>
              </w:rPr>
            </w:pPr>
            <w:r w:rsidRPr="008B4DA2">
              <w:rPr>
                <w:b/>
                <w:noProof/>
                <w:sz w:val="20"/>
              </w:rPr>
              <w:t>0,030</w:t>
            </w:r>
          </w:p>
        </w:tc>
        <w:tc>
          <w:tcPr>
            <w:tcW w:w="1777" w:type="dxa"/>
            <w:vAlign w:val="center"/>
          </w:tcPr>
          <w:p w:rsidR="005148EA" w:rsidRPr="008B4DA2" w:rsidRDefault="005148EA" w:rsidP="00BF0434">
            <w:pPr>
              <w:spacing w:before="20" w:after="20"/>
              <w:jc w:val="right"/>
              <w:rPr>
                <w:b/>
                <w:noProof/>
                <w:sz w:val="20"/>
              </w:rPr>
            </w:pPr>
            <w:r w:rsidRPr="008B4DA2">
              <w:rPr>
                <w:b/>
                <w:noProof/>
                <w:sz w:val="20"/>
              </w:rPr>
              <w:t>0,200</w:t>
            </w:r>
          </w:p>
        </w:tc>
      </w:tr>
      <w:tr w:rsidR="005148EA" w:rsidRPr="008B4DA2" w:rsidTr="005148EA">
        <w:tc>
          <w:tcPr>
            <w:tcW w:w="3458" w:type="dxa"/>
            <w:vMerge w:val="restart"/>
            <w:vAlign w:val="center"/>
          </w:tcPr>
          <w:p w:rsidR="005148EA" w:rsidRPr="008B4DA2" w:rsidRDefault="005148EA" w:rsidP="00BF0434">
            <w:pPr>
              <w:rPr>
                <w:noProof/>
              </w:rPr>
            </w:pPr>
            <w:r w:rsidRPr="008B4DA2">
              <w:rPr>
                <w:noProof/>
                <w:sz w:val="20"/>
              </w:rPr>
              <w:t>Linia budżetowa</w:t>
            </w:r>
          </w:p>
        </w:tc>
        <w:tc>
          <w:tcPr>
            <w:tcW w:w="1440" w:type="dxa"/>
            <w:vAlign w:val="center"/>
          </w:tcPr>
          <w:p w:rsidR="005148EA" w:rsidRPr="008B4DA2" w:rsidRDefault="005148EA" w:rsidP="00BF0434">
            <w:pPr>
              <w:spacing w:before="20" w:after="20"/>
              <w:rPr>
                <w:noProof/>
                <w:sz w:val="18"/>
              </w:rPr>
            </w:pPr>
            <w:r w:rsidRPr="008B4DA2">
              <w:rPr>
                <w:noProof/>
                <w:sz w:val="18"/>
              </w:rPr>
              <w:t>Środki na zobowiązania</w:t>
            </w:r>
          </w:p>
        </w:tc>
        <w:tc>
          <w:tcPr>
            <w:tcW w:w="654" w:type="dxa"/>
            <w:gridSpan w:val="2"/>
            <w:vAlign w:val="center"/>
          </w:tcPr>
          <w:p w:rsidR="005148EA" w:rsidRPr="008B4DA2" w:rsidRDefault="005148EA" w:rsidP="00BF0434">
            <w:pPr>
              <w:spacing w:before="20" w:after="20"/>
              <w:jc w:val="center"/>
              <w:rPr>
                <w:noProof/>
                <w:sz w:val="14"/>
              </w:rPr>
            </w:pPr>
            <w:r w:rsidRPr="008B4DA2">
              <w:rPr>
                <w:noProof/>
                <w:sz w:val="14"/>
              </w:rPr>
              <w:t>(1b)</w:t>
            </w: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1777" w:type="dxa"/>
            <w:vAlign w:val="center"/>
          </w:tcPr>
          <w:p w:rsidR="005148EA" w:rsidRPr="008B4DA2" w:rsidRDefault="005148EA" w:rsidP="00BF0434">
            <w:pPr>
              <w:spacing w:before="20" w:after="20"/>
              <w:jc w:val="right"/>
              <w:rPr>
                <w:b/>
                <w:noProof/>
                <w:sz w:val="20"/>
              </w:rPr>
            </w:pPr>
          </w:p>
        </w:tc>
      </w:tr>
      <w:tr w:rsidR="005148EA" w:rsidRPr="008B4DA2" w:rsidTr="005148EA">
        <w:tc>
          <w:tcPr>
            <w:tcW w:w="3458" w:type="dxa"/>
            <w:vMerge/>
          </w:tcPr>
          <w:p w:rsidR="005148EA" w:rsidRPr="008B4DA2" w:rsidRDefault="005148EA" w:rsidP="00BF0434">
            <w:pPr>
              <w:jc w:val="center"/>
              <w:rPr>
                <w:noProof/>
                <w:sz w:val="20"/>
              </w:rPr>
            </w:pPr>
          </w:p>
        </w:tc>
        <w:tc>
          <w:tcPr>
            <w:tcW w:w="1440" w:type="dxa"/>
            <w:vAlign w:val="center"/>
          </w:tcPr>
          <w:p w:rsidR="005148EA" w:rsidRPr="008B4DA2" w:rsidRDefault="005148EA" w:rsidP="00BF0434">
            <w:pPr>
              <w:spacing w:before="20" w:after="20"/>
              <w:rPr>
                <w:noProof/>
                <w:sz w:val="18"/>
              </w:rPr>
            </w:pPr>
            <w:r w:rsidRPr="008B4DA2">
              <w:rPr>
                <w:noProof/>
                <w:sz w:val="18"/>
              </w:rPr>
              <w:t>Środki na płatności</w:t>
            </w:r>
          </w:p>
        </w:tc>
        <w:tc>
          <w:tcPr>
            <w:tcW w:w="654" w:type="dxa"/>
            <w:gridSpan w:val="2"/>
            <w:vAlign w:val="center"/>
          </w:tcPr>
          <w:p w:rsidR="005148EA" w:rsidRPr="008B4DA2" w:rsidRDefault="005148EA" w:rsidP="00BF0434">
            <w:pPr>
              <w:spacing w:before="20" w:after="20"/>
              <w:jc w:val="center"/>
              <w:rPr>
                <w:noProof/>
                <w:sz w:val="14"/>
              </w:rPr>
            </w:pPr>
            <w:r w:rsidRPr="008B4DA2">
              <w:rPr>
                <w:noProof/>
                <w:sz w:val="14"/>
              </w:rPr>
              <w:t>(2b)</w:t>
            </w: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1777" w:type="dxa"/>
            <w:vAlign w:val="center"/>
          </w:tcPr>
          <w:p w:rsidR="005148EA" w:rsidRPr="008B4DA2" w:rsidRDefault="005148EA" w:rsidP="00BF0434">
            <w:pPr>
              <w:spacing w:before="20" w:after="20"/>
              <w:jc w:val="right"/>
              <w:rPr>
                <w:b/>
                <w:noProof/>
                <w:sz w:val="20"/>
              </w:rPr>
            </w:pPr>
          </w:p>
        </w:tc>
      </w:tr>
      <w:tr w:rsidR="005148EA" w:rsidRPr="008B4DA2" w:rsidTr="005148EA">
        <w:trPr>
          <w:trHeight w:val="231"/>
        </w:trPr>
        <w:tc>
          <w:tcPr>
            <w:tcW w:w="5552" w:type="dxa"/>
            <w:gridSpan w:val="4"/>
            <w:vAlign w:val="center"/>
          </w:tcPr>
          <w:p w:rsidR="005148EA" w:rsidRPr="008B4DA2" w:rsidRDefault="005148EA" w:rsidP="00BF0434">
            <w:pPr>
              <w:spacing w:before="20" w:after="20"/>
              <w:rPr>
                <w:noProof/>
              </w:rPr>
            </w:pPr>
            <w:r w:rsidRPr="008B4DA2">
              <w:rPr>
                <w:noProof/>
                <w:sz w:val="21"/>
              </w:rPr>
              <w:t>Środki administracyjne finansowane ze środków przydzielonych na określone programy</w:t>
            </w:r>
            <w:r w:rsidRPr="008B4DA2">
              <w:rPr>
                <w:rStyle w:val="FootnoteReference"/>
                <w:noProof/>
              </w:rPr>
              <w:footnoteReference w:id="82"/>
            </w:r>
            <w:r w:rsidRPr="008B4DA2">
              <w:rPr>
                <w:noProof/>
                <w:sz w:val="21"/>
              </w:rPr>
              <w:t xml:space="preserve"> </w:t>
            </w:r>
          </w:p>
          <w:p w:rsidR="005148EA" w:rsidRPr="008B4DA2" w:rsidRDefault="005148EA" w:rsidP="00BF0434">
            <w:pPr>
              <w:spacing w:before="0" w:after="0"/>
              <w:rPr>
                <w:noProof/>
              </w:rPr>
            </w:pPr>
          </w:p>
        </w:tc>
        <w:tc>
          <w:tcPr>
            <w:tcW w:w="868" w:type="dxa"/>
            <w:vAlign w:val="center"/>
          </w:tcPr>
          <w:p w:rsidR="005148EA" w:rsidRPr="008B4DA2" w:rsidRDefault="005148EA" w:rsidP="00BF0434">
            <w:pPr>
              <w:rPr>
                <w:b/>
                <w:noProof/>
                <w:sz w:val="20"/>
              </w:rPr>
            </w:pPr>
          </w:p>
        </w:tc>
        <w:tc>
          <w:tcPr>
            <w:tcW w:w="868" w:type="dxa"/>
            <w:vAlign w:val="center"/>
          </w:tcPr>
          <w:p w:rsidR="005148EA" w:rsidRPr="008B4DA2" w:rsidRDefault="005148EA" w:rsidP="00BF0434">
            <w:pPr>
              <w:rPr>
                <w:b/>
                <w:noProof/>
                <w:sz w:val="20"/>
              </w:rPr>
            </w:pPr>
          </w:p>
        </w:tc>
        <w:tc>
          <w:tcPr>
            <w:tcW w:w="868" w:type="dxa"/>
            <w:vAlign w:val="center"/>
          </w:tcPr>
          <w:p w:rsidR="005148EA" w:rsidRPr="008B4DA2" w:rsidRDefault="005148EA" w:rsidP="00BF0434">
            <w:pPr>
              <w:rPr>
                <w:b/>
                <w:noProof/>
                <w:sz w:val="20"/>
              </w:rPr>
            </w:pPr>
          </w:p>
        </w:tc>
        <w:tc>
          <w:tcPr>
            <w:tcW w:w="868" w:type="dxa"/>
            <w:vAlign w:val="center"/>
          </w:tcPr>
          <w:p w:rsidR="005148EA" w:rsidRPr="008B4DA2" w:rsidRDefault="005148EA" w:rsidP="00BF0434">
            <w:pPr>
              <w:rPr>
                <w:b/>
                <w:noProof/>
                <w:sz w:val="20"/>
              </w:rPr>
            </w:pPr>
          </w:p>
        </w:tc>
        <w:tc>
          <w:tcPr>
            <w:tcW w:w="1777" w:type="dxa"/>
            <w:vAlign w:val="center"/>
          </w:tcPr>
          <w:p w:rsidR="005148EA" w:rsidRPr="008B4DA2" w:rsidRDefault="005148EA" w:rsidP="00BF0434">
            <w:pPr>
              <w:rPr>
                <w:b/>
                <w:noProof/>
                <w:sz w:val="20"/>
              </w:rPr>
            </w:pPr>
          </w:p>
        </w:tc>
      </w:tr>
      <w:tr w:rsidR="005148EA" w:rsidRPr="008B4DA2" w:rsidTr="005148EA">
        <w:trPr>
          <w:trHeight w:val="319"/>
        </w:trPr>
        <w:tc>
          <w:tcPr>
            <w:tcW w:w="3458" w:type="dxa"/>
            <w:vAlign w:val="center"/>
          </w:tcPr>
          <w:p w:rsidR="005148EA" w:rsidRPr="008B4DA2" w:rsidRDefault="005148EA" w:rsidP="00BF0434">
            <w:pPr>
              <w:spacing w:before="60" w:after="60"/>
              <w:rPr>
                <w:noProof/>
              </w:rPr>
            </w:pPr>
            <w:r w:rsidRPr="008B4DA2">
              <w:rPr>
                <w:noProof/>
                <w:sz w:val="20"/>
              </w:rPr>
              <w:t>Linia budżetowa</w:t>
            </w:r>
          </w:p>
        </w:tc>
        <w:tc>
          <w:tcPr>
            <w:tcW w:w="1440" w:type="dxa"/>
            <w:vAlign w:val="center"/>
          </w:tcPr>
          <w:p w:rsidR="005148EA" w:rsidRPr="008B4DA2" w:rsidRDefault="005148EA" w:rsidP="00BF0434">
            <w:pPr>
              <w:spacing w:before="40" w:after="40"/>
              <w:jc w:val="right"/>
              <w:rPr>
                <w:noProof/>
                <w:sz w:val="18"/>
              </w:rPr>
            </w:pPr>
          </w:p>
        </w:tc>
        <w:tc>
          <w:tcPr>
            <w:tcW w:w="654" w:type="dxa"/>
            <w:gridSpan w:val="2"/>
            <w:vAlign w:val="center"/>
          </w:tcPr>
          <w:p w:rsidR="005148EA" w:rsidRPr="008B4DA2" w:rsidRDefault="005148EA" w:rsidP="00BF0434">
            <w:pPr>
              <w:spacing w:before="40" w:after="40"/>
              <w:jc w:val="center"/>
              <w:rPr>
                <w:noProof/>
                <w:sz w:val="14"/>
              </w:rPr>
            </w:pPr>
            <w:r w:rsidRPr="008B4DA2">
              <w:rPr>
                <w:noProof/>
                <w:sz w:val="14"/>
              </w:rPr>
              <w:t>(3)</w:t>
            </w:r>
          </w:p>
        </w:tc>
        <w:tc>
          <w:tcPr>
            <w:tcW w:w="868" w:type="dxa"/>
            <w:vAlign w:val="center"/>
          </w:tcPr>
          <w:p w:rsidR="005148EA" w:rsidRPr="008B4DA2" w:rsidRDefault="005148EA" w:rsidP="00BF0434">
            <w:pPr>
              <w:spacing w:before="40" w:after="40"/>
              <w:jc w:val="right"/>
              <w:rPr>
                <w:b/>
                <w:noProof/>
                <w:sz w:val="20"/>
              </w:rPr>
            </w:pPr>
          </w:p>
        </w:tc>
        <w:tc>
          <w:tcPr>
            <w:tcW w:w="868" w:type="dxa"/>
            <w:vAlign w:val="center"/>
          </w:tcPr>
          <w:p w:rsidR="005148EA" w:rsidRPr="008B4DA2" w:rsidRDefault="005148EA" w:rsidP="00BF0434">
            <w:pPr>
              <w:spacing w:before="40" w:after="40"/>
              <w:jc w:val="right"/>
              <w:rPr>
                <w:b/>
                <w:noProof/>
                <w:sz w:val="20"/>
              </w:rPr>
            </w:pPr>
          </w:p>
        </w:tc>
        <w:tc>
          <w:tcPr>
            <w:tcW w:w="868" w:type="dxa"/>
            <w:vAlign w:val="center"/>
          </w:tcPr>
          <w:p w:rsidR="005148EA" w:rsidRPr="008B4DA2" w:rsidRDefault="005148EA" w:rsidP="00BF0434">
            <w:pPr>
              <w:spacing w:before="40" w:after="40"/>
              <w:jc w:val="right"/>
              <w:rPr>
                <w:b/>
                <w:noProof/>
                <w:sz w:val="20"/>
              </w:rPr>
            </w:pPr>
          </w:p>
        </w:tc>
        <w:tc>
          <w:tcPr>
            <w:tcW w:w="868" w:type="dxa"/>
            <w:vAlign w:val="center"/>
          </w:tcPr>
          <w:p w:rsidR="005148EA" w:rsidRPr="008B4DA2" w:rsidRDefault="005148EA" w:rsidP="00BF0434">
            <w:pPr>
              <w:spacing w:before="40" w:after="40"/>
              <w:jc w:val="right"/>
              <w:rPr>
                <w:b/>
                <w:noProof/>
                <w:sz w:val="20"/>
              </w:rPr>
            </w:pPr>
          </w:p>
        </w:tc>
        <w:tc>
          <w:tcPr>
            <w:tcW w:w="1777" w:type="dxa"/>
            <w:vAlign w:val="center"/>
          </w:tcPr>
          <w:p w:rsidR="005148EA" w:rsidRPr="008B4DA2" w:rsidRDefault="005148EA" w:rsidP="00BF0434">
            <w:pPr>
              <w:spacing w:before="40" w:after="40"/>
              <w:jc w:val="right"/>
              <w:rPr>
                <w:b/>
                <w:noProof/>
                <w:sz w:val="20"/>
              </w:rPr>
            </w:pPr>
          </w:p>
        </w:tc>
      </w:tr>
      <w:tr w:rsidR="005148EA" w:rsidRPr="008B4DA2" w:rsidTr="005148EA">
        <w:tc>
          <w:tcPr>
            <w:tcW w:w="3458" w:type="dxa"/>
            <w:vMerge w:val="restart"/>
            <w:vAlign w:val="center"/>
          </w:tcPr>
          <w:p w:rsidR="005148EA" w:rsidRPr="008B4DA2" w:rsidRDefault="005148EA" w:rsidP="00BF0434">
            <w:pPr>
              <w:jc w:val="center"/>
              <w:rPr>
                <w:b/>
                <w:noProof/>
              </w:rPr>
            </w:pPr>
            <w:r w:rsidRPr="008B4DA2">
              <w:rPr>
                <w:b/>
                <w:noProof/>
                <w:sz w:val="22"/>
              </w:rPr>
              <w:t>OGÓŁEM środki</w:t>
            </w:r>
            <w:r w:rsidRPr="008B4DA2">
              <w:rPr>
                <w:noProof/>
              </w:rPr>
              <w:t xml:space="preserve"> </w:t>
            </w:r>
            <w:r w:rsidRPr="008B4DA2">
              <w:rPr>
                <w:noProof/>
              </w:rPr>
              <w:br/>
            </w:r>
            <w:r w:rsidRPr="008B4DA2">
              <w:rPr>
                <w:b/>
                <w:noProof/>
                <w:sz w:val="22"/>
              </w:rPr>
              <w:t>dla DG MOVE</w:t>
            </w:r>
          </w:p>
        </w:tc>
        <w:tc>
          <w:tcPr>
            <w:tcW w:w="1440" w:type="dxa"/>
            <w:vAlign w:val="center"/>
          </w:tcPr>
          <w:p w:rsidR="005148EA" w:rsidRPr="008B4DA2" w:rsidRDefault="005148EA" w:rsidP="00BF0434">
            <w:pPr>
              <w:rPr>
                <w:noProof/>
                <w:sz w:val="18"/>
              </w:rPr>
            </w:pPr>
            <w:r w:rsidRPr="008B4DA2">
              <w:rPr>
                <w:noProof/>
                <w:sz w:val="18"/>
              </w:rPr>
              <w:t>Środki na zobowiązania</w:t>
            </w:r>
          </w:p>
        </w:tc>
        <w:tc>
          <w:tcPr>
            <w:tcW w:w="654" w:type="dxa"/>
            <w:gridSpan w:val="2"/>
            <w:vAlign w:val="center"/>
          </w:tcPr>
          <w:p w:rsidR="005148EA" w:rsidRPr="008B4DA2" w:rsidRDefault="005148EA" w:rsidP="00BF0434">
            <w:pPr>
              <w:jc w:val="center"/>
              <w:rPr>
                <w:noProof/>
                <w:sz w:val="14"/>
              </w:rPr>
            </w:pPr>
            <w:r w:rsidRPr="008B4DA2">
              <w:rPr>
                <w:noProof/>
                <w:sz w:val="14"/>
              </w:rPr>
              <w:t>=1a+1b +3</w:t>
            </w:r>
          </w:p>
        </w:tc>
        <w:tc>
          <w:tcPr>
            <w:tcW w:w="868" w:type="dxa"/>
          </w:tcPr>
          <w:p w:rsidR="005148EA" w:rsidRPr="008B4DA2" w:rsidRDefault="005148EA" w:rsidP="00BF0434">
            <w:pPr>
              <w:spacing w:before="20" w:after="20"/>
              <w:jc w:val="right"/>
              <w:rPr>
                <w:bCs/>
                <w:noProof/>
                <w:sz w:val="20"/>
              </w:rPr>
            </w:pPr>
            <w:r w:rsidRPr="008B4DA2">
              <w:rPr>
                <w:noProof/>
              </w:rPr>
              <w:t>0,110</w:t>
            </w:r>
          </w:p>
        </w:tc>
        <w:tc>
          <w:tcPr>
            <w:tcW w:w="868" w:type="dxa"/>
          </w:tcPr>
          <w:p w:rsidR="005148EA" w:rsidRPr="008B4DA2" w:rsidRDefault="005148EA" w:rsidP="00BF0434">
            <w:pPr>
              <w:spacing w:before="20" w:after="20"/>
              <w:jc w:val="right"/>
              <w:rPr>
                <w:bCs/>
                <w:noProof/>
                <w:sz w:val="20"/>
              </w:rPr>
            </w:pPr>
            <w:r w:rsidRPr="008B4DA2">
              <w:rPr>
                <w:noProof/>
              </w:rPr>
              <w:t>0,030</w:t>
            </w:r>
          </w:p>
        </w:tc>
        <w:tc>
          <w:tcPr>
            <w:tcW w:w="868" w:type="dxa"/>
          </w:tcPr>
          <w:p w:rsidR="005148EA" w:rsidRPr="008B4DA2" w:rsidRDefault="005148EA" w:rsidP="00BF0434">
            <w:pPr>
              <w:spacing w:before="20" w:after="20"/>
              <w:jc w:val="right"/>
              <w:rPr>
                <w:bCs/>
                <w:noProof/>
                <w:sz w:val="20"/>
              </w:rPr>
            </w:pPr>
            <w:r w:rsidRPr="008B4DA2">
              <w:rPr>
                <w:noProof/>
              </w:rPr>
              <w:t>0,030</w:t>
            </w:r>
          </w:p>
        </w:tc>
        <w:tc>
          <w:tcPr>
            <w:tcW w:w="868" w:type="dxa"/>
          </w:tcPr>
          <w:p w:rsidR="005148EA" w:rsidRPr="008B4DA2" w:rsidRDefault="005148EA" w:rsidP="00BF0434">
            <w:pPr>
              <w:spacing w:before="20" w:after="20"/>
              <w:jc w:val="right"/>
              <w:rPr>
                <w:bCs/>
                <w:noProof/>
                <w:sz w:val="20"/>
              </w:rPr>
            </w:pPr>
            <w:r w:rsidRPr="008B4DA2">
              <w:rPr>
                <w:noProof/>
              </w:rPr>
              <w:t>0,030</w:t>
            </w:r>
          </w:p>
        </w:tc>
        <w:tc>
          <w:tcPr>
            <w:tcW w:w="1777" w:type="dxa"/>
          </w:tcPr>
          <w:p w:rsidR="005148EA" w:rsidRPr="008B4DA2" w:rsidRDefault="005148EA" w:rsidP="00BF0434">
            <w:pPr>
              <w:spacing w:before="20" w:after="20"/>
              <w:jc w:val="right"/>
              <w:rPr>
                <w:bCs/>
                <w:noProof/>
                <w:sz w:val="20"/>
              </w:rPr>
            </w:pPr>
            <w:r w:rsidRPr="008B4DA2">
              <w:rPr>
                <w:noProof/>
              </w:rPr>
              <w:t>0,200</w:t>
            </w:r>
          </w:p>
        </w:tc>
      </w:tr>
      <w:tr w:rsidR="005148EA" w:rsidRPr="008B4DA2" w:rsidTr="005148EA">
        <w:tc>
          <w:tcPr>
            <w:tcW w:w="3458" w:type="dxa"/>
            <w:vMerge/>
          </w:tcPr>
          <w:p w:rsidR="005148EA" w:rsidRPr="008B4DA2" w:rsidRDefault="005148EA" w:rsidP="00BF0434">
            <w:pPr>
              <w:rPr>
                <w:noProof/>
                <w:sz w:val="20"/>
              </w:rPr>
            </w:pPr>
          </w:p>
        </w:tc>
        <w:tc>
          <w:tcPr>
            <w:tcW w:w="1440" w:type="dxa"/>
            <w:vAlign w:val="center"/>
          </w:tcPr>
          <w:p w:rsidR="005148EA" w:rsidRPr="008B4DA2" w:rsidRDefault="005148EA" w:rsidP="00BF0434">
            <w:pPr>
              <w:rPr>
                <w:noProof/>
                <w:sz w:val="18"/>
              </w:rPr>
            </w:pPr>
            <w:r w:rsidRPr="008B4DA2">
              <w:rPr>
                <w:noProof/>
                <w:sz w:val="18"/>
              </w:rPr>
              <w:t>Środki na płatności</w:t>
            </w:r>
          </w:p>
        </w:tc>
        <w:tc>
          <w:tcPr>
            <w:tcW w:w="654" w:type="dxa"/>
            <w:gridSpan w:val="2"/>
            <w:vAlign w:val="center"/>
          </w:tcPr>
          <w:p w:rsidR="005148EA" w:rsidRPr="008B4DA2" w:rsidRDefault="005148EA" w:rsidP="00BF0434">
            <w:pPr>
              <w:jc w:val="center"/>
              <w:rPr>
                <w:noProof/>
                <w:sz w:val="14"/>
              </w:rPr>
            </w:pPr>
            <w:r w:rsidRPr="008B4DA2">
              <w:rPr>
                <w:noProof/>
                <w:sz w:val="14"/>
              </w:rPr>
              <w:t>=2a+2b</w:t>
            </w:r>
          </w:p>
          <w:p w:rsidR="005148EA" w:rsidRPr="008B4DA2" w:rsidRDefault="005148EA" w:rsidP="00BF0434">
            <w:pPr>
              <w:jc w:val="center"/>
              <w:rPr>
                <w:noProof/>
                <w:sz w:val="14"/>
              </w:rPr>
            </w:pPr>
            <w:r w:rsidRPr="008B4DA2">
              <w:rPr>
                <w:noProof/>
                <w:sz w:val="14"/>
              </w:rPr>
              <w:t>+3</w:t>
            </w:r>
          </w:p>
        </w:tc>
        <w:tc>
          <w:tcPr>
            <w:tcW w:w="868" w:type="dxa"/>
          </w:tcPr>
          <w:p w:rsidR="005148EA" w:rsidRPr="008B4DA2" w:rsidRDefault="005148EA" w:rsidP="00BF0434">
            <w:pPr>
              <w:spacing w:before="20" w:after="20"/>
              <w:jc w:val="center"/>
              <w:rPr>
                <w:bCs/>
                <w:noProof/>
                <w:sz w:val="20"/>
              </w:rPr>
            </w:pPr>
            <w:r w:rsidRPr="008B4DA2">
              <w:rPr>
                <w:noProof/>
              </w:rPr>
              <w:t>0,110</w:t>
            </w:r>
          </w:p>
        </w:tc>
        <w:tc>
          <w:tcPr>
            <w:tcW w:w="868" w:type="dxa"/>
          </w:tcPr>
          <w:p w:rsidR="005148EA" w:rsidRPr="008B4DA2" w:rsidRDefault="005148EA" w:rsidP="00BF0434">
            <w:pPr>
              <w:spacing w:before="20" w:after="20"/>
              <w:jc w:val="right"/>
              <w:rPr>
                <w:bCs/>
                <w:noProof/>
                <w:sz w:val="20"/>
              </w:rPr>
            </w:pPr>
            <w:r w:rsidRPr="008B4DA2">
              <w:rPr>
                <w:noProof/>
              </w:rPr>
              <w:t>0,030</w:t>
            </w:r>
          </w:p>
        </w:tc>
        <w:tc>
          <w:tcPr>
            <w:tcW w:w="868" w:type="dxa"/>
          </w:tcPr>
          <w:p w:rsidR="005148EA" w:rsidRPr="008B4DA2" w:rsidRDefault="005148EA" w:rsidP="00BF0434">
            <w:pPr>
              <w:spacing w:before="20" w:after="20"/>
              <w:jc w:val="right"/>
              <w:rPr>
                <w:bCs/>
                <w:noProof/>
                <w:sz w:val="20"/>
              </w:rPr>
            </w:pPr>
            <w:r w:rsidRPr="008B4DA2">
              <w:rPr>
                <w:noProof/>
              </w:rPr>
              <w:t>0,030</w:t>
            </w:r>
          </w:p>
        </w:tc>
        <w:tc>
          <w:tcPr>
            <w:tcW w:w="868" w:type="dxa"/>
          </w:tcPr>
          <w:p w:rsidR="005148EA" w:rsidRPr="008B4DA2" w:rsidRDefault="005148EA" w:rsidP="00BF0434">
            <w:pPr>
              <w:spacing w:before="20" w:after="20"/>
              <w:jc w:val="right"/>
              <w:rPr>
                <w:bCs/>
                <w:noProof/>
                <w:sz w:val="20"/>
              </w:rPr>
            </w:pPr>
            <w:r w:rsidRPr="008B4DA2">
              <w:rPr>
                <w:noProof/>
              </w:rPr>
              <w:t>0,030</w:t>
            </w:r>
          </w:p>
        </w:tc>
        <w:tc>
          <w:tcPr>
            <w:tcW w:w="1777" w:type="dxa"/>
          </w:tcPr>
          <w:p w:rsidR="005148EA" w:rsidRPr="008B4DA2" w:rsidRDefault="005148EA" w:rsidP="00BF0434">
            <w:pPr>
              <w:spacing w:before="20" w:after="20"/>
              <w:jc w:val="right"/>
              <w:rPr>
                <w:bCs/>
                <w:noProof/>
                <w:sz w:val="20"/>
              </w:rPr>
            </w:pPr>
            <w:r w:rsidRPr="008B4DA2">
              <w:rPr>
                <w:noProof/>
              </w:rPr>
              <w:t>0,200</w:t>
            </w:r>
          </w:p>
        </w:tc>
      </w:tr>
    </w:tbl>
    <w:p w:rsidR="005148EA" w:rsidRPr="008B4DA2" w:rsidRDefault="005148EA" w:rsidP="005148EA">
      <w:pPr>
        <w:rPr>
          <w:noProof/>
        </w:rPr>
      </w:pPr>
      <w:r w:rsidRPr="008B4DA2">
        <w:rPr>
          <w:noProof/>
        </w:rPr>
        <w:t xml:space="preserve"> </w:t>
      </w:r>
      <w:r w:rsidRPr="008B4DA2">
        <w:rPr>
          <w:noProof/>
        </w:rPr>
        <w:br/>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440"/>
        <w:gridCol w:w="654"/>
        <w:gridCol w:w="868"/>
        <w:gridCol w:w="868"/>
        <w:gridCol w:w="868"/>
        <w:gridCol w:w="868"/>
        <w:gridCol w:w="1749"/>
      </w:tblGrid>
      <w:tr w:rsidR="005148EA" w:rsidRPr="008B4DA2" w:rsidTr="005148EA">
        <w:trPr>
          <w:trHeight w:val="277"/>
        </w:trPr>
        <w:tc>
          <w:tcPr>
            <w:tcW w:w="3458" w:type="dxa"/>
            <w:vMerge w:val="restart"/>
            <w:vAlign w:val="center"/>
          </w:tcPr>
          <w:p w:rsidR="005148EA" w:rsidRPr="008B4DA2" w:rsidRDefault="005148EA" w:rsidP="00BF0434">
            <w:pPr>
              <w:spacing w:before="20" w:after="20"/>
              <w:rPr>
                <w:noProof/>
              </w:rPr>
            </w:pPr>
            <w:r w:rsidRPr="008B4DA2">
              <w:rPr>
                <w:noProof/>
              </w:rPr>
              <w:br w:type="page"/>
            </w:r>
            <w:r w:rsidRPr="008B4DA2">
              <w:rPr>
                <w:rFonts w:ascii="Wingdings" w:hAnsi="Wingdings"/>
                <w:noProof/>
                <w:sz w:val="21"/>
              </w:rPr>
              <w:t>□</w:t>
            </w:r>
            <w:r w:rsidRPr="008B4DA2">
              <w:rPr>
                <w:noProof/>
                <w:sz w:val="21"/>
              </w:rPr>
              <w:t xml:space="preserve"> OGÓŁEM środki operacyjne </w:t>
            </w:r>
          </w:p>
        </w:tc>
        <w:tc>
          <w:tcPr>
            <w:tcW w:w="1440" w:type="dxa"/>
            <w:vAlign w:val="center"/>
          </w:tcPr>
          <w:p w:rsidR="005148EA" w:rsidRPr="008B4DA2" w:rsidRDefault="005148EA" w:rsidP="00BF0434">
            <w:pPr>
              <w:spacing w:beforeLines="20" w:before="48" w:afterLines="20" w:after="48"/>
              <w:rPr>
                <w:noProof/>
                <w:sz w:val="18"/>
              </w:rPr>
            </w:pPr>
            <w:r w:rsidRPr="008B4DA2">
              <w:rPr>
                <w:noProof/>
                <w:sz w:val="18"/>
              </w:rPr>
              <w:t>Środki na zobowiązania</w:t>
            </w:r>
          </w:p>
        </w:tc>
        <w:tc>
          <w:tcPr>
            <w:tcW w:w="654" w:type="dxa"/>
            <w:vAlign w:val="center"/>
          </w:tcPr>
          <w:p w:rsidR="005148EA" w:rsidRPr="008B4DA2" w:rsidRDefault="005148EA" w:rsidP="00BF0434">
            <w:pPr>
              <w:spacing w:beforeLines="20" w:before="48" w:afterLines="20" w:after="48"/>
              <w:jc w:val="center"/>
              <w:rPr>
                <w:noProof/>
                <w:sz w:val="14"/>
              </w:rPr>
            </w:pPr>
            <w:r w:rsidRPr="008B4DA2">
              <w:rPr>
                <w:noProof/>
                <w:sz w:val="14"/>
              </w:rPr>
              <w:t>(4)</w:t>
            </w:r>
          </w:p>
        </w:tc>
        <w:tc>
          <w:tcPr>
            <w:tcW w:w="868" w:type="dxa"/>
          </w:tcPr>
          <w:p w:rsidR="005148EA" w:rsidRPr="008B4DA2" w:rsidRDefault="005148EA" w:rsidP="00BF0434">
            <w:pPr>
              <w:spacing w:before="20" w:after="20"/>
              <w:jc w:val="right"/>
              <w:rPr>
                <w:noProof/>
                <w:sz w:val="20"/>
              </w:rPr>
            </w:pPr>
            <w:r w:rsidRPr="008B4DA2">
              <w:rPr>
                <w:noProof/>
              </w:rPr>
              <w:t>0,110</w:t>
            </w:r>
          </w:p>
        </w:tc>
        <w:tc>
          <w:tcPr>
            <w:tcW w:w="868" w:type="dxa"/>
          </w:tcPr>
          <w:p w:rsidR="005148EA" w:rsidRPr="008B4DA2" w:rsidRDefault="005148EA" w:rsidP="00BF0434">
            <w:pPr>
              <w:spacing w:before="20" w:after="20"/>
              <w:jc w:val="right"/>
              <w:rPr>
                <w:noProof/>
                <w:sz w:val="20"/>
              </w:rPr>
            </w:pPr>
            <w:r w:rsidRPr="008B4DA2">
              <w:rPr>
                <w:noProof/>
              </w:rPr>
              <w:t>0,030</w:t>
            </w:r>
          </w:p>
        </w:tc>
        <w:tc>
          <w:tcPr>
            <w:tcW w:w="868" w:type="dxa"/>
          </w:tcPr>
          <w:p w:rsidR="005148EA" w:rsidRPr="008B4DA2" w:rsidRDefault="005148EA" w:rsidP="00BF0434">
            <w:pPr>
              <w:spacing w:before="20" w:after="20"/>
              <w:jc w:val="right"/>
              <w:rPr>
                <w:noProof/>
                <w:sz w:val="20"/>
              </w:rPr>
            </w:pPr>
            <w:r w:rsidRPr="008B4DA2">
              <w:rPr>
                <w:noProof/>
              </w:rPr>
              <w:t>0,030</w:t>
            </w:r>
          </w:p>
        </w:tc>
        <w:tc>
          <w:tcPr>
            <w:tcW w:w="868" w:type="dxa"/>
          </w:tcPr>
          <w:p w:rsidR="005148EA" w:rsidRPr="008B4DA2" w:rsidRDefault="005148EA" w:rsidP="00BF0434">
            <w:pPr>
              <w:spacing w:before="20" w:after="20"/>
              <w:jc w:val="right"/>
              <w:rPr>
                <w:noProof/>
                <w:sz w:val="20"/>
              </w:rPr>
            </w:pPr>
            <w:r w:rsidRPr="008B4DA2">
              <w:rPr>
                <w:noProof/>
              </w:rPr>
              <w:t>0,030</w:t>
            </w:r>
          </w:p>
        </w:tc>
        <w:tc>
          <w:tcPr>
            <w:tcW w:w="1749" w:type="dxa"/>
          </w:tcPr>
          <w:p w:rsidR="005148EA" w:rsidRPr="008B4DA2" w:rsidRDefault="005148EA" w:rsidP="00BF0434">
            <w:pPr>
              <w:spacing w:before="20" w:after="20"/>
              <w:jc w:val="right"/>
              <w:rPr>
                <w:noProof/>
                <w:sz w:val="20"/>
              </w:rPr>
            </w:pPr>
            <w:r w:rsidRPr="008B4DA2">
              <w:rPr>
                <w:noProof/>
              </w:rPr>
              <w:t>0,200</w:t>
            </w:r>
          </w:p>
        </w:tc>
      </w:tr>
      <w:tr w:rsidR="005148EA" w:rsidRPr="008B4DA2" w:rsidTr="005148EA">
        <w:tc>
          <w:tcPr>
            <w:tcW w:w="3458" w:type="dxa"/>
            <w:vMerge/>
          </w:tcPr>
          <w:p w:rsidR="005148EA" w:rsidRPr="008B4DA2" w:rsidRDefault="005148EA" w:rsidP="00BF0434">
            <w:pPr>
              <w:jc w:val="center"/>
              <w:rPr>
                <w:noProof/>
                <w:sz w:val="20"/>
              </w:rPr>
            </w:pPr>
          </w:p>
        </w:tc>
        <w:tc>
          <w:tcPr>
            <w:tcW w:w="1440" w:type="dxa"/>
            <w:vAlign w:val="center"/>
          </w:tcPr>
          <w:p w:rsidR="005148EA" w:rsidRPr="008B4DA2" w:rsidRDefault="005148EA" w:rsidP="00BF0434">
            <w:pPr>
              <w:spacing w:beforeLines="20" w:before="48" w:afterLines="20" w:after="48"/>
              <w:rPr>
                <w:noProof/>
                <w:sz w:val="18"/>
              </w:rPr>
            </w:pPr>
            <w:r w:rsidRPr="008B4DA2">
              <w:rPr>
                <w:noProof/>
                <w:sz w:val="18"/>
              </w:rPr>
              <w:t>Środki na płatności</w:t>
            </w:r>
          </w:p>
        </w:tc>
        <w:tc>
          <w:tcPr>
            <w:tcW w:w="654" w:type="dxa"/>
            <w:vAlign w:val="center"/>
          </w:tcPr>
          <w:p w:rsidR="005148EA" w:rsidRPr="008B4DA2" w:rsidRDefault="005148EA" w:rsidP="00BF0434">
            <w:pPr>
              <w:spacing w:beforeLines="20" w:before="48" w:afterLines="20" w:after="48"/>
              <w:jc w:val="center"/>
              <w:rPr>
                <w:noProof/>
                <w:sz w:val="14"/>
              </w:rPr>
            </w:pPr>
            <w:r w:rsidRPr="008B4DA2">
              <w:rPr>
                <w:noProof/>
                <w:sz w:val="14"/>
              </w:rPr>
              <w:t>(5)</w:t>
            </w:r>
          </w:p>
        </w:tc>
        <w:tc>
          <w:tcPr>
            <w:tcW w:w="868" w:type="dxa"/>
          </w:tcPr>
          <w:p w:rsidR="005148EA" w:rsidRPr="008B4DA2" w:rsidRDefault="005148EA" w:rsidP="00BF0434">
            <w:pPr>
              <w:spacing w:before="20" w:after="20"/>
              <w:jc w:val="right"/>
              <w:rPr>
                <w:noProof/>
                <w:sz w:val="20"/>
              </w:rPr>
            </w:pPr>
            <w:r w:rsidRPr="008B4DA2">
              <w:rPr>
                <w:noProof/>
              </w:rPr>
              <w:t>0,110</w:t>
            </w:r>
          </w:p>
        </w:tc>
        <w:tc>
          <w:tcPr>
            <w:tcW w:w="868" w:type="dxa"/>
          </w:tcPr>
          <w:p w:rsidR="005148EA" w:rsidRPr="008B4DA2" w:rsidRDefault="005148EA" w:rsidP="00BF0434">
            <w:pPr>
              <w:spacing w:before="20" w:after="20"/>
              <w:jc w:val="right"/>
              <w:rPr>
                <w:noProof/>
                <w:sz w:val="20"/>
              </w:rPr>
            </w:pPr>
            <w:r w:rsidRPr="008B4DA2">
              <w:rPr>
                <w:noProof/>
              </w:rPr>
              <w:t>0,030</w:t>
            </w:r>
          </w:p>
        </w:tc>
        <w:tc>
          <w:tcPr>
            <w:tcW w:w="868" w:type="dxa"/>
          </w:tcPr>
          <w:p w:rsidR="005148EA" w:rsidRPr="008B4DA2" w:rsidRDefault="005148EA" w:rsidP="00BF0434">
            <w:pPr>
              <w:spacing w:before="20" w:after="20"/>
              <w:jc w:val="right"/>
              <w:rPr>
                <w:noProof/>
                <w:sz w:val="20"/>
              </w:rPr>
            </w:pPr>
            <w:r w:rsidRPr="008B4DA2">
              <w:rPr>
                <w:noProof/>
              </w:rPr>
              <w:t>0,030</w:t>
            </w:r>
          </w:p>
        </w:tc>
        <w:tc>
          <w:tcPr>
            <w:tcW w:w="868" w:type="dxa"/>
          </w:tcPr>
          <w:p w:rsidR="005148EA" w:rsidRPr="008B4DA2" w:rsidRDefault="005148EA" w:rsidP="00BF0434">
            <w:pPr>
              <w:spacing w:before="20" w:after="20"/>
              <w:jc w:val="right"/>
              <w:rPr>
                <w:noProof/>
                <w:sz w:val="20"/>
              </w:rPr>
            </w:pPr>
            <w:r w:rsidRPr="008B4DA2">
              <w:rPr>
                <w:noProof/>
              </w:rPr>
              <w:t>0,030</w:t>
            </w:r>
          </w:p>
        </w:tc>
        <w:tc>
          <w:tcPr>
            <w:tcW w:w="1749" w:type="dxa"/>
          </w:tcPr>
          <w:p w:rsidR="005148EA" w:rsidRPr="008B4DA2" w:rsidRDefault="005148EA" w:rsidP="00BF0434">
            <w:pPr>
              <w:spacing w:before="20" w:after="20"/>
              <w:jc w:val="right"/>
              <w:rPr>
                <w:noProof/>
                <w:sz w:val="20"/>
              </w:rPr>
            </w:pPr>
            <w:r w:rsidRPr="008B4DA2">
              <w:rPr>
                <w:noProof/>
              </w:rPr>
              <w:t>0,200</w:t>
            </w:r>
          </w:p>
        </w:tc>
      </w:tr>
      <w:tr w:rsidR="005148EA" w:rsidRPr="008B4DA2" w:rsidTr="005148EA">
        <w:trPr>
          <w:trHeight w:val="533"/>
        </w:trPr>
        <w:tc>
          <w:tcPr>
            <w:tcW w:w="4898" w:type="dxa"/>
            <w:gridSpan w:val="2"/>
            <w:vAlign w:val="center"/>
          </w:tcPr>
          <w:p w:rsidR="005148EA" w:rsidRPr="008B4DA2" w:rsidRDefault="005148EA" w:rsidP="00BF0434">
            <w:pPr>
              <w:spacing w:beforeLines="20" w:before="48" w:afterLines="20" w:after="48"/>
              <w:rPr>
                <w:noProof/>
              </w:rPr>
            </w:pPr>
            <w:r w:rsidRPr="008B4DA2">
              <w:rPr>
                <w:rFonts w:ascii="Wingdings" w:hAnsi="Wingdings"/>
                <w:noProof/>
                <w:sz w:val="21"/>
              </w:rPr>
              <w:t>□</w:t>
            </w:r>
            <w:r w:rsidRPr="008B4DA2">
              <w:rPr>
                <w:noProof/>
                <w:sz w:val="21"/>
              </w:rPr>
              <w:t xml:space="preserve"> OGÓŁEM środki administracyjne finansowane ze środków przydzielonych na określone programy </w:t>
            </w:r>
          </w:p>
        </w:tc>
        <w:tc>
          <w:tcPr>
            <w:tcW w:w="654" w:type="dxa"/>
            <w:vAlign w:val="center"/>
          </w:tcPr>
          <w:p w:rsidR="005148EA" w:rsidRPr="008B4DA2" w:rsidRDefault="005148EA" w:rsidP="00BF0434">
            <w:pPr>
              <w:spacing w:beforeLines="20" w:before="48" w:afterLines="20" w:after="48"/>
              <w:jc w:val="center"/>
              <w:rPr>
                <w:noProof/>
                <w:sz w:val="14"/>
              </w:rPr>
            </w:pPr>
            <w:r w:rsidRPr="008B4DA2">
              <w:rPr>
                <w:noProof/>
                <w:sz w:val="14"/>
              </w:rPr>
              <w:t>(6)</w:t>
            </w:r>
          </w:p>
        </w:tc>
        <w:tc>
          <w:tcPr>
            <w:tcW w:w="868" w:type="dxa"/>
            <w:vAlign w:val="center"/>
          </w:tcPr>
          <w:p w:rsidR="005148EA" w:rsidRPr="008B4DA2" w:rsidRDefault="005148EA" w:rsidP="00BF0434">
            <w:pPr>
              <w:spacing w:before="20" w:after="20"/>
              <w:jc w:val="right"/>
              <w:rPr>
                <w:b/>
                <w:noProof/>
                <w:sz w:val="20"/>
              </w:rPr>
            </w:pPr>
          </w:p>
        </w:tc>
        <w:tc>
          <w:tcPr>
            <w:tcW w:w="868" w:type="dxa"/>
            <w:vAlign w:val="center"/>
          </w:tcPr>
          <w:p w:rsidR="005148EA" w:rsidRPr="008B4DA2" w:rsidRDefault="005148EA" w:rsidP="00BF0434">
            <w:pPr>
              <w:spacing w:before="20" w:after="20"/>
              <w:jc w:val="right"/>
              <w:rPr>
                <w:b/>
                <w:noProof/>
                <w:sz w:val="20"/>
              </w:rPr>
            </w:pPr>
          </w:p>
        </w:tc>
        <w:tc>
          <w:tcPr>
            <w:tcW w:w="868" w:type="dxa"/>
            <w:vAlign w:val="center"/>
          </w:tcPr>
          <w:p w:rsidR="005148EA" w:rsidRPr="008B4DA2" w:rsidRDefault="005148EA" w:rsidP="00BF0434">
            <w:pPr>
              <w:spacing w:before="20" w:after="20"/>
              <w:jc w:val="right"/>
              <w:rPr>
                <w:b/>
                <w:noProof/>
                <w:sz w:val="20"/>
              </w:rPr>
            </w:pPr>
          </w:p>
        </w:tc>
        <w:tc>
          <w:tcPr>
            <w:tcW w:w="868" w:type="dxa"/>
            <w:vAlign w:val="center"/>
          </w:tcPr>
          <w:p w:rsidR="005148EA" w:rsidRPr="008B4DA2" w:rsidRDefault="005148EA" w:rsidP="00BF0434">
            <w:pPr>
              <w:spacing w:before="20" w:after="20"/>
              <w:jc w:val="right"/>
              <w:rPr>
                <w:b/>
                <w:noProof/>
                <w:sz w:val="20"/>
              </w:rPr>
            </w:pPr>
          </w:p>
        </w:tc>
        <w:tc>
          <w:tcPr>
            <w:tcW w:w="1749" w:type="dxa"/>
            <w:vAlign w:val="center"/>
          </w:tcPr>
          <w:p w:rsidR="005148EA" w:rsidRPr="008B4DA2" w:rsidRDefault="005148EA" w:rsidP="00BF0434">
            <w:pPr>
              <w:spacing w:before="20" w:after="20"/>
              <w:jc w:val="right"/>
              <w:rPr>
                <w:b/>
                <w:noProof/>
                <w:sz w:val="20"/>
              </w:rPr>
            </w:pPr>
          </w:p>
        </w:tc>
      </w:tr>
      <w:tr w:rsidR="005148EA" w:rsidRPr="008B4DA2" w:rsidTr="005148EA">
        <w:tc>
          <w:tcPr>
            <w:tcW w:w="3458" w:type="dxa"/>
            <w:vMerge w:val="restart"/>
            <w:shd w:val="thinDiagStripe" w:color="C0C0C0" w:fill="auto"/>
            <w:vAlign w:val="center"/>
          </w:tcPr>
          <w:p w:rsidR="005148EA" w:rsidRPr="008B4DA2" w:rsidRDefault="005148EA" w:rsidP="00BF0434">
            <w:pPr>
              <w:jc w:val="center"/>
              <w:rPr>
                <w:b/>
                <w:noProof/>
              </w:rPr>
            </w:pPr>
            <w:r w:rsidRPr="008B4DA2">
              <w:rPr>
                <w:b/>
                <w:noProof/>
                <w:sz w:val="22"/>
              </w:rPr>
              <w:t>OGÓŁEM środk</w:t>
            </w:r>
            <w:r w:rsidRPr="00B83C93">
              <w:rPr>
                <w:b/>
                <w:noProof/>
                <w:sz w:val="22"/>
              </w:rPr>
              <w:t>i</w:t>
            </w:r>
            <w:r w:rsidR="00B83C93" w:rsidRPr="00B83C93">
              <w:rPr>
                <w:b/>
                <w:noProof/>
                <w:sz w:val="22"/>
              </w:rPr>
              <w:t xml:space="preserve"> </w:t>
            </w:r>
            <w:r w:rsidRPr="00B83C93">
              <w:rPr>
                <w:noProof/>
              </w:rPr>
              <w:br/>
            </w:r>
            <w:r w:rsidRPr="008B4DA2">
              <w:rPr>
                <w:b/>
                <w:noProof/>
                <w:sz w:val="22"/>
              </w:rPr>
              <w:t>na DZIAŁ &lt;01&gt;</w:t>
            </w:r>
            <w:r w:rsidRPr="008B4DA2">
              <w:rPr>
                <w:noProof/>
              </w:rPr>
              <w:t xml:space="preserve"> </w:t>
            </w:r>
            <w:r w:rsidRPr="008B4DA2">
              <w:rPr>
                <w:noProof/>
              </w:rPr>
              <w:br/>
            </w:r>
            <w:r w:rsidRPr="008B4DA2">
              <w:rPr>
                <w:noProof/>
                <w:sz w:val="22"/>
              </w:rPr>
              <w:t>wieloletnich ram finansowych</w:t>
            </w:r>
          </w:p>
        </w:tc>
        <w:tc>
          <w:tcPr>
            <w:tcW w:w="1440" w:type="dxa"/>
            <w:vAlign w:val="center"/>
          </w:tcPr>
          <w:p w:rsidR="005148EA" w:rsidRPr="008B4DA2" w:rsidRDefault="005148EA" w:rsidP="00BF0434">
            <w:pPr>
              <w:rPr>
                <w:noProof/>
                <w:sz w:val="18"/>
              </w:rPr>
            </w:pPr>
            <w:r w:rsidRPr="008B4DA2">
              <w:rPr>
                <w:noProof/>
                <w:sz w:val="18"/>
              </w:rPr>
              <w:t>Środki na zobowiązania</w:t>
            </w:r>
          </w:p>
        </w:tc>
        <w:tc>
          <w:tcPr>
            <w:tcW w:w="654" w:type="dxa"/>
            <w:vAlign w:val="center"/>
          </w:tcPr>
          <w:p w:rsidR="005148EA" w:rsidRPr="008B4DA2" w:rsidRDefault="005148EA" w:rsidP="00BF0434">
            <w:pPr>
              <w:jc w:val="center"/>
              <w:rPr>
                <w:noProof/>
                <w:sz w:val="14"/>
              </w:rPr>
            </w:pPr>
            <w:r w:rsidRPr="008B4DA2">
              <w:rPr>
                <w:noProof/>
                <w:sz w:val="14"/>
              </w:rPr>
              <w:t>=4+6</w:t>
            </w:r>
          </w:p>
        </w:tc>
        <w:tc>
          <w:tcPr>
            <w:tcW w:w="868" w:type="dxa"/>
          </w:tcPr>
          <w:p w:rsidR="005148EA" w:rsidRPr="008B4DA2" w:rsidRDefault="005148EA" w:rsidP="00BF0434">
            <w:pPr>
              <w:spacing w:before="20" w:after="20"/>
              <w:jc w:val="right"/>
              <w:rPr>
                <w:noProof/>
                <w:sz w:val="20"/>
              </w:rPr>
            </w:pPr>
            <w:r w:rsidRPr="008B4DA2">
              <w:rPr>
                <w:noProof/>
              </w:rPr>
              <w:t>0,110</w:t>
            </w:r>
          </w:p>
        </w:tc>
        <w:tc>
          <w:tcPr>
            <w:tcW w:w="868" w:type="dxa"/>
          </w:tcPr>
          <w:p w:rsidR="005148EA" w:rsidRPr="008B4DA2" w:rsidRDefault="005148EA" w:rsidP="00BF0434">
            <w:pPr>
              <w:spacing w:before="20" w:after="20"/>
              <w:jc w:val="right"/>
              <w:rPr>
                <w:noProof/>
                <w:sz w:val="20"/>
              </w:rPr>
            </w:pPr>
            <w:r w:rsidRPr="008B4DA2">
              <w:rPr>
                <w:noProof/>
              </w:rPr>
              <w:t>0,030</w:t>
            </w:r>
          </w:p>
        </w:tc>
        <w:tc>
          <w:tcPr>
            <w:tcW w:w="868" w:type="dxa"/>
          </w:tcPr>
          <w:p w:rsidR="005148EA" w:rsidRPr="008B4DA2" w:rsidRDefault="005148EA" w:rsidP="00BF0434">
            <w:pPr>
              <w:spacing w:before="20" w:after="20"/>
              <w:jc w:val="right"/>
              <w:rPr>
                <w:noProof/>
                <w:sz w:val="20"/>
              </w:rPr>
            </w:pPr>
            <w:r w:rsidRPr="008B4DA2">
              <w:rPr>
                <w:noProof/>
              </w:rPr>
              <w:t>0,030</w:t>
            </w:r>
          </w:p>
        </w:tc>
        <w:tc>
          <w:tcPr>
            <w:tcW w:w="868" w:type="dxa"/>
          </w:tcPr>
          <w:p w:rsidR="005148EA" w:rsidRPr="008B4DA2" w:rsidRDefault="005148EA" w:rsidP="00BF0434">
            <w:pPr>
              <w:spacing w:before="20" w:after="20"/>
              <w:jc w:val="right"/>
              <w:rPr>
                <w:noProof/>
                <w:sz w:val="20"/>
              </w:rPr>
            </w:pPr>
            <w:r w:rsidRPr="008B4DA2">
              <w:rPr>
                <w:noProof/>
              </w:rPr>
              <w:t>0,030</w:t>
            </w:r>
          </w:p>
        </w:tc>
        <w:tc>
          <w:tcPr>
            <w:tcW w:w="1749" w:type="dxa"/>
          </w:tcPr>
          <w:p w:rsidR="005148EA" w:rsidRPr="008B4DA2" w:rsidRDefault="005148EA" w:rsidP="00BF0434">
            <w:pPr>
              <w:spacing w:before="20" w:after="20"/>
              <w:jc w:val="right"/>
              <w:rPr>
                <w:noProof/>
                <w:sz w:val="20"/>
              </w:rPr>
            </w:pPr>
            <w:r w:rsidRPr="008B4DA2">
              <w:rPr>
                <w:noProof/>
              </w:rPr>
              <w:t>0,200</w:t>
            </w:r>
          </w:p>
        </w:tc>
      </w:tr>
      <w:tr w:rsidR="005148EA" w:rsidRPr="008B4DA2" w:rsidTr="005148EA">
        <w:tc>
          <w:tcPr>
            <w:tcW w:w="3458" w:type="dxa"/>
            <w:vMerge/>
            <w:shd w:val="thinDiagStripe" w:color="C0C0C0" w:fill="auto"/>
          </w:tcPr>
          <w:p w:rsidR="005148EA" w:rsidRPr="008B4DA2" w:rsidRDefault="005148EA" w:rsidP="00BF0434">
            <w:pPr>
              <w:rPr>
                <w:noProof/>
                <w:sz w:val="20"/>
              </w:rPr>
            </w:pPr>
          </w:p>
        </w:tc>
        <w:tc>
          <w:tcPr>
            <w:tcW w:w="1440" w:type="dxa"/>
            <w:vAlign w:val="center"/>
          </w:tcPr>
          <w:p w:rsidR="005148EA" w:rsidRPr="008B4DA2" w:rsidRDefault="005148EA" w:rsidP="00BF0434">
            <w:pPr>
              <w:rPr>
                <w:noProof/>
                <w:sz w:val="18"/>
              </w:rPr>
            </w:pPr>
            <w:r w:rsidRPr="008B4DA2">
              <w:rPr>
                <w:noProof/>
                <w:sz w:val="18"/>
              </w:rPr>
              <w:t>Środki na płatności</w:t>
            </w:r>
          </w:p>
        </w:tc>
        <w:tc>
          <w:tcPr>
            <w:tcW w:w="654" w:type="dxa"/>
            <w:vAlign w:val="center"/>
          </w:tcPr>
          <w:p w:rsidR="005148EA" w:rsidRPr="008B4DA2" w:rsidRDefault="005148EA" w:rsidP="00BF0434">
            <w:pPr>
              <w:jc w:val="center"/>
              <w:rPr>
                <w:noProof/>
                <w:sz w:val="14"/>
              </w:rPr>
            </w:pPr>
            <w:r w:rsidRPr="008B4DA2">
              <w:rPr>
                <w:noProof/>
                <w:sz w:val="14"/>
              </w:rPr>
              <w:t>=5+6</w:t>
            </w:r>
          </w:p>
        </w:tc>
        <w:tc>
          <w:tcPr>
            <w:tcW w:w="868" w:type="dxa"/>
          </w:tcPr>
          <w:p w:rsidR="005148EA" w:rsidRPr="008B4DA2" w:rsidRDefault="005148EA" w:rsidP="00BF0434">
            <w:pPr>
              <w:spacing w:before="20" w:after="20"/>
              <w:jc w:val="right"/>
              <w:rPr>
                <w:noProof/>
                <w:sz w:val="20"/>
              </w:rPr>
            </w:pPr>
            <w:r w:rsidRPr="008B4DA2">
              <w:rPr>
                <w:noProof/>
              </w:rPr>
              <w:t>0,110</w:t>
            </w:r>
          </w:p>
        </w:tc>
        <w:tc>
          <w:tcPr>
            <w:tcW w:w="868" w:type="dxa"/>
          </w:tcPr>
          <w:p w:rsidR="005148EA" w:rsidRPr="008B4DA2" w:rsidRDefault="005148EA" w:rsidP="00BF0434">
            <w:pPr>
              <w:spacing w:before="20" w:after="20"/>
              <w:jc w:val="right"/>
              <w:rPr>
                <w:noProof/>
                <w:sz w:val="20"/>
              </w:rPr>
            </w:pPr>
            <w:r w:rsidRPr="008B4DA2">
              <w:rPr>
                <w:noProof/>
              </w:rPr>
              <w:t>0,030</w:t>
            </w:r>
          </w:p>
        </w:tc>
        <w:tc>
          <w:tcPr>
            <w:tcW w:w="868" w:type="dxa"/>
          </w:tcPr>
          <w:p w:rsidR="005148EA" w:rsidRPr="008B4DA2" w:rsidRDefault="005148EA" w:rsidP="00BF0434">
            <w:pPr>
              <w:spacing w:before="20" w:after="20"/>
              <w:jc w:val="right"/>
              <w:rPr>
                <w:noProof/>
                <w:sz w:val="20"/>
              </w:rPr>
            </w:pPr>
            <w:r w:rsidRPr="008B4DA2">
              <w:rPr>
                <w:noProof/>
              </w:rPr>
              <w:t>0,030</w:t>
            </w:r>
          </w:p>
        </w:tc>
        <w:tc>
          <w:tcPr>
            <w:tcW w:w="868" w:type="dxa"/>
          </w:tcPr>
          <w:p w:rsidR="005148EA" w:rsidRPr="008B4DA2" w:rsidRDefault="005148EA" w:rsidP="00BF0434">
            <w:pPr>
              <w:spacing w:before="20" w:after="20"/>
              <w:jc w:val="right"/>
              <w:rPr>
                <w:noProof/>
                <w:sz w:val="20"/>
              </w:rPr>
            </w:pPr>
            <w:r w:rsidRPr="008B4DA2">
              <w:rPr>
                <w:noProof/>
              </w:rPr>
              <w:t>0,030</w:t>
            </w:r>
          </w:p>
        </w:tc>
        <w:tc>
          <w:tcPr>
            <w:tcW w:w="1749" w:type="dxa"/>
          </w:tcPr>
          <w:p w:rsidR="005148EA" w:rsidRPr="008B4DA2" w:rsidRDefault="005148EA" w:rsidP="00BF0434">
            <w:pPr>
              <w:spacing w:before="20" w:after="20"/>
              <w:jc w:val="right"/>
              <w:rPr>
                <w:noProof/>
                <w:sz w:val="20"/>
              </w:rPr>
            </w:pPr>
            <w:r w:rsidRPr="008B4DA2">
              <w:rPr>
                <w:noProof/>
              </w:rPr>
              <w:t>0,200</w:t>
            </w:r>
          </w:p>
        </w:tc>
      </w:tr>
    </w:tbl>
    <w:p w:rsidR="005148EA" w:rsidRPr="008B4DA2" w:rsidRDefault="005148EA" w:rsidP="005148EA">
      <w:pPr>
        <w:spacing w:after="40"/>
        <w:rPr>
          <w:b/>
          <w:noProof/>
          <w:sz w:val="22"/>
          <w:u w:val="single"/>
        </w:rPr>
      </w:pPr>
      <w:r w:rsidRPr="008B4DA2">
        <w:rPr>
          <w:b/>
          <w:noProof/>
          <w:sz w:val="22"/>
          <w:u w:val="single"/>
        </w:rPr>
        <w:t>Jeżeli wpływ wniosku/inicjatywy nie ogranicza się do jednego działu operacyjnego, należy powtórzyć powyższą część:</w:t>
      </w:r>
    </w:p>
    <w:tbl>
      <w:tblPr>
        <w:tblW w:w="0" w:type="auto"/>
        <w:tblInd w:w="250"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458"/>
        <w:gridCol w:w="1440"/>
        <w:gridCol w:w="654"/>
        <w:gridCol w:w="868"/>
        <w:gridCol w:w="868"/>
        <w:gridCol w:w="868"/>
        <w:gridCol w:w="868"/>
        <w:gridCol w:w="868"/>
        <w:gridCol w:w="868"/>
        <w:gridCol w:w="868"/>
        <w:gridCol w:w="1777"/>
      </w:tblGrid>
      <w:tr w:rsidR="005148EA" w:rsidRPr="008B4DA2" w:rsidTr="005148EA">
        <w:trPr>
          <w:trHeight w:val="277"/>
        </w:trPr>
        <w:tc>
          <w:tcPr>
            <w:tcW w:w="3458" w:type="dxa"/>
            <w:vMerge w:val="restart"/>
            <w:tcBorders>
              <w:top w:val="single" w:sz="4" w:space="0" w:color="auto"/>
              <w:left w:val="single" w:sz="4" w:space="0" w:color="auto"/>
              <w:bottom w:val="single" w:sz="4" w:space="0" w:color="FF0000"/>
            </w:tcBorders>
            <w:vAlign w:val="center"/>
          </w:tcPr>
          <w:p w:rsidR="005148EA" w:rsidRPr="008B4DA2" w:rsidRDefault="005148EA" w:rsidP="00BF0434">
            <w:pPr>
              <w:spacing w:before="20" w:after="20"/>
              <w:rPr>
                <w:noProof/>
              </w:rPr>
            </w:pPr>
            <w:r w:rsidRPr="008B4DA2">
              <w:rPr>
                <w:rFonts w:ascii="Wingdings" w:hAnsi="Wingdings"/>
                <w:noProof/>
                <w:sz w:val="21"/>
              </w:rPr>
              <w:t>□</w:t>
            </w:r>
            <w:r w:rsidRPr="008B4DA2">
              <w:rPr>
                <w:noProof/>
                <w:sz w:val="21"/>
              </w:rPr>
              <w:t xml:space="preserve"> OGÓŁEM środki operacyjne (wszystkie działy operacyjne)</w:t>
            </w:r>
          </w:p>
        </w:tc>
        <w:tc>
          <w:tcPr>
            <w:tcW w:w="1440" w:type="dxa"/>
            <w:tcBorders>
              <w:top w:val="single" w:sz="4" w:space="0" w:color="auto"/>
            </w:tcBorders>
            <w:vAlign w:val="center"/>
          </w:tcPr>
          <w:p w:rsidR="005148EA" w:rsidRPr="008B4DA2" w:rsidRDefault="005148EA" w:rsidP="00BF0434">
            <w:pPr>
              <w:spacing w:beforeLines="20" w:before="48" w:afterLines="20" w:after="48"/>
              <w:rPr>
                <w:noProof/>
                <w:sz w:val="18"/>
              </w:rPr>
            </w:pPr>
            <w:r w:rsidRPr="008B4DA2">
              <w:rPr>
                <w:noProof/>
                <w:sz w:val="18"/>
              </w:rPr>
              <w:t>Środki na zobowiązania</w:t>
            </w:r>
          </w:p>
        </w:tc>
        <w:tc>
          <w:tcPr>
            <w:tcW w:w="654" w:type="dxa"/>
            <w:tcBorders>
              <w:top w:val="single" w:sz="4" w:space="0" w:color="auto"/>
            </w:tcBorders>
            <w:vAlign w:val="center"/>
          </w:tcPr>
          <w:p w:rsidR="005148EA" w:rsidRPr="008B4DA2" w:rsidRDefault="005148EA" w:rsidP="00BF0434">
            <w:pPr>
              <w:spacing w:beforeLines="20" w:before="48" w:afterLines="20" w:after="48"/>
              <w:jc w:val="center"/>
              <w:rPr>
                <w:noProof/>
                <w:sz w:val="14"/>
              </w:rPr>
            </w:pPr>
            <w:r w:rsidRPr="008B4DA2">
              <w:rPr>
                <w:noProof/>
                <w:sz w:val="14"/>
              </w:rPr>
              <w:t>(4)</w:t>
            </w:r>
          </w:p>
        </w:tc>
        <w:tc>
          <w:tcPr>
            <w:tcW w:w="868" w:type="dxa"/>
            <w:tcBorders>
              <w:top w:val="single" w:sz="4" w:space="0" w:color="auto"/>
            </w:tcBorders>
            <w:vAlign w:val="center"/>
          </w:tcPr>
          <w:p w:rsidR="005148EA" w:rsidRPr="008B4DA2" w:rsidRDefault="005148EA" w:rsidP="00BF0434">
            <w:pPr>
              <w:spacing w:before="20" w:after="20"/>
              <w:jc w:val="right"/>
              <w:rPr>
                <w:noProof/>
                <w:sz w:val="20"/>
              </w:rPr>
            </w:pPr>
          </w:p>
        </w:tc>
        <w:tc>
          <w:tcPr>
            <w:tcW w:w="868" w:type="dxa"/>
            <w:tcBorders>
              <w:top w:val="single" w:sz="4" w:space="0" w:color="auto"/>
            </w:tcBorders>
            <w:vAlign w:val="center"/>
          </w:tcPr>
          <w:p w:rsidR="005148EA" w:rsidRPr="008B4DA2" w:rsidRDefault="005148EA" w:rsidP="00BF0434">
            <w:pPr>
              <w:spacing w:before="20" w:after="20"/>
              <w:jc w:val="right"/>
              <w:rPr>
                <w:noProof/>
                <w:sz w:val="20"/>
              </w:rPr>
            </w:pPr>
          </w:p>
        </w:tc>
        <w:tc>
          <w:tcPr>
            <w:tcW w:w="868" w:type="dxa"/>
            <w:tcBorders>
              <w:top w:val="single" w:sz="4" w:space="0" w:color="auto"/>
            </w:tcBorders>
            <w:vAlign w:val="center"/>
          </w:tcPr>
          <w:p w:rsidR="005148EA" w:rsidRPr="008B4DA2" w:rsidRDefault="005148EA" w:rsidP="00BF0434">
            <w:pPr>
              <w:spacing w:before="20" w:after="20"/>
              <w:jc w:val="right"/>
              <w:rPr>
                <w:noProof/>
                <w:sz w:val="20"/>
              </w:rPr>
            </w:pPr>
          </w:p>
        </w:tc>
        <w:tc>
          <w:tcPr>
            <w:tcW w:w="868" w:type="dxa"/>
            <w:tcBorders>
              <w:top w:val="single" w:sz="4" w:space="0" w:color="auto"/>
            </w:tcBorders>
            <w:vAlign w:val="center"/>
          </w:tcPr>
          <w:p w:rsidR="005148EA" w:rsidRPr="008B4DA2" w:rsidRDefault="005148EA" w:rsidP="00BF0434">
            <w:pPr>
              <w:spacing w:before="20" w:after="20"/>
              <w:jc w:val="right"/>
              <w:rPr>
                <w:noProof/>
                <w:sz w:val="20"/>
              </w:rPr>
            </w:pPr>
          </w:p>
        </w:tc>
        <w:tc>
          <w:tcPr>
            <w:tcW w:w="868" w:type="dxa"/>
            <w:tcBorders>
              <w:top w:val="single" w:sz="4" w:space="0" w:color="auto"/>
            </w:tcBorders>
            <w:vAlign w:val="center"/>
          </w:tcPr>
          <w:p w:rsidR="005148EA" w:rsidRPr="008B4DA2" w:rsidRDefault="005148EA" w:rsidP="00BF0434">
            <w:pPr>
              <w:spacing w:before="20" w:after="20"/>
              <w:jc w:val="right"/>
              <w:rPr>
                <w:noProof/>
                <w:sz w:val="20"/>
              </w:rPr>
            </w:pPr>
          </w:p>
        </w:tc>
        <w:tc>
          <w:tcPr>
            <w:tcW w:w="868" w:type="dxa"/>
            <w:tcBorders>
              <w:top w:val="single" w:sz="4" w:space="0" w:color="auto"/>
            </w:tcBorders>
            <w:vAlign w:val="center"/>
          </w:tcPr>
          <w:p w:rsidR="005148EA" w:rsidRPr="008B4DA2" w:rsidRDefault="005148EA" w:rsidP="00BF0434">
            <w:pPr>
              <w:spacing w:before="20" w:after="20"/>
              <w:jc w:val="right"/>
              <w:rPr>
                <w:noProof/>
                <w:sz w:val="20"/>
              </w:rPr>
            </w:pPr>
          </w:p>
        </w:tc>
        <w:tc>
          <w:tcPr>
            <w:tcW w:w="868" w:type="dxa"/>
            <w:tcBorders>
              <w:top w:val="single" w:sz="4" w:space="0" w:color="auto"/>
            </w:tcBorders>
            <w:vAlign w:val="center"/>
          </w:tcPr>
          <w:p w:rsidR="005148EA" w:rsidRPr="008B4DA2" w:rsidRDefault="005148EA" w:rsidP="00BF0434">
            <w:pPr>
              <w:spacing w:before="20" w:after="20"/>
              <w:jc w:val="right"/>
              <w:rPr>
                <w:b/>
                <w:noProof/>
                <w:sz w:val="20"/>
              </w:rPr>
            </w:pPr>
          </w:p>
        </w:tc>
        <w:tc>
          <w:tcPr>
            <w:tcW w:w="1777" w:type="dxa"/>
            <w:tcBorders>
              <w:top w:val="single" w:sz="4" w:space="0" w:color="auto"/>
              <w:right w:val="single" w:sz="4" w:space="0" w:color="auto"/>
            </w:tcBorders>
            <w:vAlign w:val="center"/>
          </w:tcPr>
          <w:p w:rsidR="005148EA" w:rsidRPr="008B4DA2" w:rsidRDefault="005148EA" w:rsidP="00BF0434">
            <w:pPr>
              <w:spacing w:before="20" w:after="20"/>
              <w:jc w:val="right"/>
              <w:rPr>
                <w:b/>
                <w:noProof/>
                <w:sz w:val="20"/>
              </w:rPr>
            </w:pPr>
          </w:p>
        </w:tc>
      </w:tr>
      <w:tr w:rsidR="005148EA" w:rsidRPr="008B4DA2" w:rsidTr="005148EA">
        <w:tc>
          <w:tcPr>
            <w:tcW w:w="3458" w:type="dxa"/>
            <w:vMerge/>
            <w:tcBorders>
              <w:top w:val="single" w:sz="4" w:space="0" w:color="FF0000"/>
              <w:left w:val="single" w:sz="4" w:space="0" w:color="auto"/>
              <w:bottom w:val="single" w:sz="4" w:space="0" w:color="FF0000"/>
            </w:tcBorders>
          </w:tcPr>
          <w:p w:rsidR="005148EA" w:rsidRPr="008B4DA2" w:rsidRDefault="005148EA" w:rsidP="00BF0434">
            <w:pPr>
              <w:jc w:val="center"/>
              <w:rPr>
                <w:noProof/>
                <w:sz w:val="20"/>
              </w:rPr>
            </w:pPr>
          </w:p>
        </w:tc>
        <w:tc>
          <w:tcPr>
            <w:tcW w:w="1440" w:type="dxa"/>
            <w:vAlign w:val="center"/>
          </w:tcPr>
          <w:p w:rsidR="005148EA" w:rsidRPr="008B4DA2" w:rsidRDefault="005148EA" w:rsidP="00BF0434">
            <w:pPr>
              <w:spacing w:beforeLines="20" w:before="48" w:afterLines="20" w:after="48"/>
              <w:rPr>
                <w:noProof/>
                <w:sz w:val="18"/>
              </w:rPr>
            </w:pPr>
            <w:r w:rsidRPr="008B4DA2">
              <w:rPr>
                <w:noProof/>
                <w:sz w:val="18"/>
              </w:rPr>
              <w:t>Środki na płatności</w:t>
            </w:r>
          </w:p>
        </w:tc>
        <w:tc>
          <w:tcPr>
            <w:tcW w:w="654" w:type="dxa"/>
            <w:vAlign w:val="center"/>
          </w:tcPr>
          <w:p w:rsidR="005148EA" w:rsidRPr="008B4DA2" w:rsidRDefault="005148EA" w:rsidP="00BF0434">
            <w:pPr>
              <w:spacing w:beforeLines="20" w:before="48" w:afterLines="20" w:after="48"/>
              <w:jc w:val="center"/>
              <w:rPr>
                <w:noProof/>
                <w:sz w:val="14"/>
              </w:rPr>
            </w:pPr>
            <w:r w:rsidRPr="008B4DA2">
              <w:rPr>
                <w:noProof/>
                <w:sz w:val="14"/>
              </w:rPr>
              <w:t>(5)</w:t>
            </w: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b/>
                <w:noProof/>
                <w:sz w:val="20"/>
              </w:rPr>
            </w:pPr>
          </w:p>
        </w:tc>
        <w:tc>
          <w:tcPr>
            <w:tcW w:w="1777" w:type="dxa"/>
            <w:tcBorders>
              <w:right w:val="single" w:sz="4" w:space="0" w:color="auto"/>
            </w:tcBorders>
            <w:vAlign w:val="center"/>
          </w:tcPr>
          <w:p w:rsidR="005148EA" w:rsidRPr="008B4DA2" w:rsidRDefault="005148EA" w:rsidP="00BF0434">
            <w:pPr>
              <w:spacing w:before="20" w:after="20"/>
              <w:jc w:val="right"/>
              <w:rPr>
                <w:b/>
                <w:noProof/>
                <w:sz w:val="20"/>
              </w:rPr>
            </w:pPr>
          </w:p>
        </w:tc>
      </w:tr>
      <w:tr w:rsidR="005148EA" w:rsidRPr="008B4DA2" w:rsidTr="005148EA">
        <w:tblPrEx>
          <w:tblBorders>
            <w:top w:val="single" w:sz="4" w:space="0" w:color="auto"/>
            <w:left w:val="single" w:sz="4" w:space="0" w:color="auto"/>
            <w:bottom w:val="single" w:sz="4" w:space="0" w:color="auto"/>
            <w:right w:val="single" w:sz="4" w:space="0" w:color="auto"/>
          </w:tblBorders>
        </w:tblPrEx>
        <w:trPr>
          <w:trHeight w:val="533"/>
        </w:trPr>
        <w:tc>
          <w:tcPr>
            <w:tcW w:w="4898" w:type="dxa"/>
            <w:gridSpan w:val="2"/>
            <w:vAlign w:val="center"/>
          </w:tcPr>
          <w:p w:rsidR="005148EA" w:rsidRPr="008B4DA2" w:rsidRDefault="005148EA" w:rsidP="00BF0434">
            <w:pPr>
              <w:spacing w:beforeLines="20" w:before="48" w:afterLines="20" w:after="48"/>
              <w:rPr>
                <w:noProof/>
              </w:rPr>
            </w:pPr>
            <w:r w:rsidRPr="008B4DA2">
              <w:rPr>
                <w:noProof/>
                <w:sz w:val="21"/>
              </w:rPr>
              <w:t xml:space="preserve"> OGÓŁEM środki administracyjne finansowane ze środków przydzielonych na określone programy (wszystkie działy operacyjne)</w:t>
            </w:r>
          </w:p>
        </w:tc>
        <w:tc>
          <w:tcPr>
            <w:tcW w:w="654" w:type="dxa"/>
            <w:vAlign w:val="center"/>
          </w:tcPr>
          <w:p w:rsidR="005148EA" w:rsidRPr="008B4DA2" w:rsidRDefault="005148EA" w:rsidP="00BF0434">
            <w:pPr>
              <w:rPr>
                <w:noProof/>
              </w:rPr>
            </w:pPr>
          </w:p>
          <w:p w:rsidR="005148EA" w:rsidRPr="008B4DA2" w:rsidRDefault="005148EA" w:rsidP="00BF0434">
            <w:pPr>
              <w:spacing w:beforeLines="20" w:before="48" w:afterLines="20" w:after="48"/>
              <w:jc w:val="center"/>
              <w:rPr>
                <w:noProof/>
                <w:sz w:val="14"/>
              </w:rPr>
            </w:pPr>
            <w:r w:rsidRPr="008B4DA2">
              <w:rPr>
                <w:noProof/>
                <w:sz w:val="14"/>
              </w:rPr>
              <w:t>(6)</w:t>
            </w:r>
          </w:p>
        </w:tc>
        <w:tc>
          <w:tcPr>
            <w:tcW w:w="868" w:type="dxa"/>
            <w:vAlign w:val="center"/>
          </w:tcPr>
          <w:p w:rsidR="005148EA" w:rsidRPr="008B4DA2" w:rsidRDefault="005148EA" w:rsidP="00BF0434">
            <w:pPr>
              <w:spacing w:before="20" w:after="20"/>
              <w:jc w:val="right"/>
              <w:rPr>
                <w:b/>
                <w:noProof/>
                <w:sz w:val="20"/>
              </w:rPr>
            </w:pPr>
          </w:p>
        </w:tc>
        <w:tc>
          <w:tcPr>
            <w:tcW w:w="868" w:type="dxa"/>
            <w:vAlign w:val="center"/>
          </w:tcPr>
          <w:p w:rsidR="005148EA" w:rsidRPr="008B4DA2" w:rsidRDefault="005148EA" w:rsidP="00BF0434">
            <w:pPr>
              <w:spacing w:before="20" w:after="20"/>
              <w:jc w:val="right"/>
              <w:rPr>
                <w:b/>
                <w:noProof/>
                <w:sz w:val="20"/>
              </w:rPr>
            </w:pPr>
          </w:p>
        </w:tc>
        <w:tc>
          <w:tcPr>
            <w:tcW w:w="868" w:type="dxa"/>
            <w:vAlign w:val="center"/>
          </w:tcPr>
          <w:p w:rsidR="005148EA" w:rsidRPr="008B4DA2" w:rsidRDefault="005148EA" w:rsidP="00BF0434">
            <w:pPr>
              <w:spacing w:before="20" w:after="20"/>
              <w:jc w:val="right"/>
              <w:rPr>
                <w:b/>
                <w:noProof/>
                <w:sz w:val="20"/>
              </w:rPr>
            </w:pPr>
          </w:p>
        </w:tc>
        <w:tc>
          <w:tcPr>
            <w:tcW w:w="868" w:type="dxa"/>
            <w:vAlign w:val="center"/>
          </w:tcPr>
          <w:p w:rsidR="005148EA" w:rsidRPr="008B4DA2" w:rsidRDefault="005148EA" w:rsidP="00BF0434">
            <w:pPr>
              <w:spacing w:before="20" w:after="20"/>
              <w:jc w:val="right"/>
              <w:rPr>
                <w:b/>
                <w:noProof/>
                <w:sz w:val="20"/>
              </w:rPr>
            </w:pPr>
          </w:p>
        </w:tc>
        <w:tc>
          <w:tcPr>
            <w:tcW w:w="868" w:type="dxa"/>
            <w:vAlign w:val="center"/>
          </w:tcPr>
          <w:p w:rsidR="005148EA" w:rsidRPr="008B4DA2" w:rsidRDefault="005148EA" w:rsidP="00BF0434">
            <w:pPr>
              <w:spacing w:before="20" w:after="20"/>
              <w:jc w:val="right"/>
              <w:rPr>
                <w:b/>
                <w:noProof/>
                <w:sz w:val="20"/>
              </w:rPr>
            </w:pPr>
          </w:p>
        </w:tc>
        <w:tc>
          <w:tcPr>
            <w:tcW w:w="868" w:type="dxa"/>
            <w:vAlign w:val="center"/>
          </w:tcPr>
          <w:p w:rsidR="005148EA" w:rsidRPr="008B4DA2" w:rsidRDefault="005148EA" w:rsidP="00BF0434">
            <w:pPr>
              <w:spacing w:before="20" w:after="20"/>
              <w:jc w:val="right"/>
              <w:rPr>
                <w:b/>
                <w:noProof/>
                <w:sz w:val="20"/>
              </w:rPr>
            </w:pPr>
          </w:p>
        </w:tc>
        <w:tc>
          <w:tcPr>
            <w:tcW w:w="868" w:type="dxa"/>
            <w:vAlign w:val="center"/>
          </w:tcPr>
          <w:p w:rsidR="005148EA" w:rsidRPr="008B4DA2" w:rsidRDefault="005148EA" w:rsidP="00BF0434">
            <w:pPr>
              <w:spacing w:before="20" w:after="20"/>
              <w:jc w:val="right"/>
              <w:rPr>
                <w:b/>
                <w:noProof/>
                <w:sz w:val="20"/>
              </w:rPr>
            </w:pPr>
          </w:p>
        </w:tc>
        <w:tc>
          <w:tcPr>
            <w:tcW w:w="1777" w:type="dxa"/>
            <w:vAlign w:val="center"/>
          </w:tcPr>
          <w:p w:rsidR="005148EA" w:rsidRPr="008B4DA2" w:rsidRDefault="005148EA" w:rsidP="00BF0434">
            <w:pPr>
              <w:spacing w:before="20" w:after="20"/>
              <w:jc w:val="right"/>
              <w:rPr>
                <w:b/>
                <w:noProof/>
                <w:sz w:val="20"/>
              </w:rPr>
            </w:pPr>
          </w:p>
        </w:tc>
      </w:tr>
      <w:tr w:rsidR="005148EA" w:rsidRPr="008B4DA2" w:rsidTr="005148EA">
        <w:tc>
          <w:tcPr>
            <w:tcW w:w="3458" w:type="dxa"/>
            <w:vMerge w:val="restart"/>
            <w:tcBorders>
              <w:top w:val="single" w:sz="4" w:space="0" w:color="FF0000"/>
              <w:left w:val="single" w:sz="4" w:space="0" w:color="auto"/>
              <w:bottom w:val="single" w:sz="4" w:space="0" w:color="FF0000"/>
            </w:tcBorders>
            <w:shd w:val="thinDiagStripe" w:color="C0C0C0" w:fill="auto"/>
            <w:vAlign w:val="center"/>
          </w:tcPr>
          <w:p w:rsidR="005148EA" w:rsidRPr="008B4DA2" w:rsidRDefault="005148EA" w:rsidP="00BF0434">
            <w:pPr>
              <w:jc w:val="center"/>
              <w:rPr>
                <w:b/>
                <w:noProof/>
              </w:rPr>
            </w:pPr>
            <w:r w:rsidRPr="008B4DA2">
              <w:rPr>
                <w:b/>
                <w:noProof/>
                <w:sz w:val="22"/>
              </w:rPr>
              <w:t>OGÓŁEM środk</w:t>
            </w:r>
            <w:r w:rsidRPr="00B83C93">
              <w:rPr>
                <w:b/>
                <w:noProof/>
                <w:sz w:val="22"/>
              </w:rPr>
              <w:t>i</w:t>
            </w:r>
            <w:r w:rsidR="00B83C93" w:rsidRPr="00B83C93">
              <w:rPr>
                <w:b/>
                <w:noProof/>
                <w:sz w:val="22"/>
              </w:rPr>
              <w:t xml:space="preserve"> </w:t>
            </w:r>
            <w:r w:rsidRPr="00B83C93">
              <w:rPr>
                <w:noProof/>
              </w:rPr>
              <w:br/>
            </w:r>
            <w:r w:rsidRPr="008B4DA2">
              <w:rPr>
                <w:b/>
                <w:noProof/>
                <w:sz w:val="22"/>
              </w:rPr>
              <w:t xml:space="preserve">na DZIAŁY </w:t>
            </w:r>
            <w:r w:rsidRPr="00B83C93">
              <w:rPr>
                <w:b/>
                <w:noProof/>
                <w:sz w:val="22"/>
              </w:rPr>
              <w:t>od</w:t>
            </w:r>
            <w:r w:rsidR="00B83C93" w:rsidRPr="00B83C93">
              <w:rPr>
                <w:b/>
                <w:noProof/>
                <w:sz w:val="22"/>
              </w:rPr>
              <w:t> </w:t>
            </w:r>
            <w:r w:rsidRPr="00B83C93">
              <w:rPr>
                <w:b/>
                <w:noProof/>
                <w:sz w:val="22"/>
              </w:rPr>
              <w:t>1</w:t>
            </w:r>
            <w:r w:rsidRPr="008B4DA2">
              <w:rPr>
                <w:b/>
                <w:noProof/>
                <w:sz w:val="22"/>
              </w:rPr>
              <w:t xml:space="preserve"> </w:t>
            </w:r>
            <w:r w:rsidRPr="00B83C93">
              <w:rPr>
                <w:b/>
                <w:noProof/>
                <w:sz w:val="22"/>
              </w:rPr>
              <w:t>do</w:t>
            </w:r>
            <w:r w:rsidR="00B83C93" w:rsidRPr="00B83C93">
              <w:rPr>
                <w:b/>
                <w:noProof/>
                <w:sz w:val="22"/>
              </w:rPr>
              <w:t> </w:t>
            </w:r>
            <w:r w:rsidRPr="00B83C93">
              <w:rPr>
                <w:b/>
                <w:noProof/>
                <w:sz w:val="22"/>
              </w:rPr>
              <w:t>6</w:t>
            </w:r>
            <w:r w:rsidRPr="008B4DA2">
              <w:rPr>
                <w:noProof/>
              </w:rPr>
              <w:t xml:space="preserve"> </w:t>
            </w:r>
            <w:r w:rsidRPr="008B4DA2">
              <w:rPr>
                <w:noProof/>
              </w:rPr>
              <w:br/>
            </w:r>
            <w:r w:rsidRPr="008B4DA2">
              <w:rPr>
                <w:noProof/>
                <w:sz w:val="22"/>
              </w:rPr>
              <w:t>wieloletnich ram finansowych</w:t>
            </w:r>
            <w:r w:rsidRPr="008B4DA2">
              <w:rPr>
                <w:noProof/>
              </w:rPr>
              <w:t xml:space="preserve"> </w:t>
            </w:r>
            <w:r w:rsidRPr="008B4DA2">
              <w:rPr>
                <w:noProof/>
              </w:rPr>
              <w:br/>
            </w:r>
            <w:r w:rsidRPr="008B4DA2">
              <w:rPr>
                <w:noProof/>
                <w:sz w:val="20"/>
              </w:rPr>
              <w:t>(kwota referencyjna)</w:t>
            </w:r>
          </w:p>
        </w:tc>
        <w:tc>
          <w:tcPr>
            <w:tcW w:w="1440" w:type="dxa"/>
            <w:vAlign w:val="center"/>
          </w:tcPr>
          <w:p w:rsidR="005148EA" w:rsidRPr="008B4DA2" w:rsidRDefault="005148EA" w:rsidP="00BF0434">
            <w:pPr>
              <w:rPr>
                <w:noProof/>
                <w:sz w:val="18"/>
              </w:rPr>
            </w:pPr>
            <w:r w:rsidRPr="008B4DA2">
              <w:rPr>
                <w:noProof/>
                <w:sz w:val="18"/>
              </w:rPr>
              <w:t>Środki na zobowiązania</w:t>
            </w:r>
          </w:p>
        </w:tc>
        <w:tc>
          <w:tcPr>
            <w:tcW w:w="654" w:type="dxa"/>
            <w:vAlign w:val="center"/>
          </w:tcPr>
          <w:p w:rsidR="005148EA" w:rsidRPr="008B4DA2" w:rsidRDefault="005148EA" w:rsidP="00BF0434">
            <w:pPr>
              <w:jc w:val="center"/>
              <w:rPr>
                <w:noProof/>
                <w:sz w:val="14"/>
              </w:rPr>
            </w:pPr>
            <w:r w:rsidRPr="008B4DA2">
              <w:rPr>
                <w:noProof/>
                <w:sz w:val="14"/>
              </w:rPr>
              <w:t>=4+6</w:t>
            </w: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b/>
                <w:noProof/>
                <w:sz w:val="20"/>
              </w:rPr>
            </w:pPr>
          </w:p>
        </w:tc>
        <w:tc>
          <w:tcPr>
            <w:tcW w:w="1777" w:type="dxa"/>
            <w:tcBorders>
              <w:right w:val="single" w:sz="4" w:space="0" w:color="auto"/>
            </w:tcBorders>
            <w:vAlign w:val="center"/>
          </w:tcPr>
          <w:p w:rsidR="005148EA" w:rsidRPr="008B4DA2" w:rsidRDefault="005148EA" w:rsidP="00BF0434">
            <w:pPr>
              <w:spacing w:before="20" w:after="20"/>
              <w:jc w:val="right"/>
              <w:rPr>
                <w:b/>
                <w:noProof/>
                <w:sz w:val="20"/>
              </w:rPr>
            </w:pPr>
          </w:p>
        </w:tc>
      </w:tr>
      <w:tr w:rsidR="005148EA" w:rsidRPr="008B4DA2" w:rsidTr="005148EA">
        <w:tc>
          <w:tcPr>
            <w:tcW w:w="3458" w:type="dxa"/>
            <w:vMerge/>
            <w:tcBorders>
              <w:top w:val="single" w:sz="4" w:space="0" w:color="FF0000"/>
              <w:left w:val="single" w:sz="4" w:space="0" w:color="auto"/>
              <w:bottom w:val="single" w:sz="4" w:space="0" w:color="auto"/>
            </w:tcBorders>
            <w:shd w:val="thinDiagStripe" w:color="C0C0C0" w:fill="auto"/>
          </w:tcPr>
          <w:p w:rsidR="005148EA" w:rsidRPr="008B4DA2" w:rsidRDefault="005148EA" w:rsidP="00BF0434">
            <w:pPr>
              <w:rPr>
                <w:noProof/>
                <w:sz w:val="20"/>
              </w:rPr>
            </w:pPr>
          </w:p>
        </w:tc>
        <w:tc>
          <w:tcPr>
            <w:tcW w:w="1440" w:type="dxa"/>
            <w:tcBorders>
              <w:bottom w:val="single" w:sz="4" w:space="0" w:color="auto"/>
            </w:tcBorders>
            <w:vAlign w:val="center"/>
          </w:tcPr>
          <w:p w:rsidR="005148EA" w:rsidRPr="008B4DA2" w:rsidRDefault="005148EA" w:rsidP="00BF0434">
            <w:pPr>
              <w:rPr>
                <w:noProof/>
                <w:sz w:val="18"/>
              </w:rPr>
            </w:pPr>
            <w:r w:rsidRPr="008B4DA2">
              <w:rPr>
                <w:noProof/>
                <w:sz w:val="18"/>
              </w:rPr>
              <w:t>Środki na płatności</w:t>
            </w:r>
          </w:p>
        </w:tc>
        <w:tc>
          <w:tcPr>
            <w:tcW w:w="654" w:type="dxa"/>
            <w:tcBorders>
              <w:bottom w:val="single" w:sz="4" w:space="0" w:color="auto"/>
            </w:tcBorders>
            <w:vAlign w:val="center"/>
          </w:tcPr>
          <w:p w:rsidR="005148EA" w:rsidRPr="008B4DA2" w:rsidRDefault="005148EA" w:rsidP="00BF0434">
            <w:pPr>
              <w:jc w:val="center"/>
              <w:rPr>
                <w:noProof/>
                <w:sz w:val="14"/>
              </w:rPr>
            </w:pPr>
            <w:r w:rsidRPr="008B4DA2">
              <w:rPr>
                <w:noProof/>
                <w:sz w:val="14"/>
              </w:rPr>
              <w:t>=5+6</w:t>
            </w:r>
          </w:p>
        </w:tc>
        <w:tc>
          <w:tcPr>
            <w:tcW w:w="868" w:type="dxa"/>
            <w:tcBorders>
              <w:bottom w:val="single" w:sz="4" w:space="0" w:color="auto"/>
            </w:tcBorders>
            <w:vAlign w:val="center"/>
          </w:tcPr>
          <w:p w:rsidR="005148EA" w:rsidRPr="008B4DA2" w:rsidRDefault="005148EA" w:rsidP="00BF0434">
            <w:pPr>
              <w:spacing w:before="20" w:after="20"/>
              <w:jc w:val="right"/>
              <w:rPr>
                <w:noProof/>
                <w:sz w:val="20"/>
              </w:rPr>
            </w:pPr>
          </w:p>
        </w:tc>
        <w:tc>
          <w:tcPr>
            <w:tcW w:w="868" w:type="dxa"/>
            <w:tcBorders>
              <w:bottom w:val="single" w:sz="4" w:space="0" w:color="auto"/>
            </w:tcBorders>
            <w:vAlign w:val="center"/>
          </w:tcPr>
          <w:p w:rsidR="005148EA" w:rsidRPr="008B4DA2" w:rsidRDefault="005148EA" w:rsidP="00BF0434">
            <w:pPr>
              <w:spacing w:before="20" w:after="20"/>
              <w:jc w:val="right"/>
              <w:rPr>
                <w:noProof/>
                <w:sz w:val="20"/>
              </w:rPr>
            </w:pPr>
          </w:p>
        </w:tc>
        <w:tc>
          <w:tcPr>
            <w:tcW w:w="868" w:type="dxa"/>
            <w:tcBorders>
              <w:bottom w:val="single" w:sz="4" w:space="0" w:color="auto"/>
            </w:tcBorders>
            <w:vAlign w:val="center"/>
          </w:tcPr>
          <w:p w:rsidR="005148EA" w:rsidRPr="008B4DA2" w:rsidRDefault="005148EA" w:rsidP="00BF0434">
            <w:pPr>
              <w:spacing w:before="20" w:after="20"/>
              <w:jc w:val="right"/>
              <w:rPr>
                <w:noProof/>
                <w:sz w:val="20"/>
              </w:rPr>
            </w:pPr>
          </w:p>
        </w:tc>
        <w:tc>
          <w:tcPr>
            <w:tcW w:w="868" w:type="dxa"/>
            <w:tcBorders>
              <w:bottom w:val="single" w:sz="4" w:space="0" w:color="auto"/>
            </w:tcBorders>
            <w:vAlign w:val="center"/>
          </w:tcPr>
          <w:p w:rsidR="005148EA" w:rsidRPr="008B4DA2" w:rsidRDefault="005148EA" w:rsidP="00BF0434">
            <w:pPr>
              <w:spacing w:before="20" w:after="20"/>
              <w:jc w:val="right"/>
              <w:rPr>
                <w:noProof/>
                <w:sz w:val="20"/>
              </w:rPr>
            </w:pPr>
          </w:p>
        </w:tc>
        <w:tc>
          <w:tcPr>
            <w:tcW w:w="868" w:type="dxa"/>
            <w:tcBorders>
              <w:bottom w:val="single" w:sz="4" w:space="0" w:color="auto"/>
            </w:tcBorders>
            <w:vAlign w:val="center"/>
          </w:tcPr>
          <w:p w:rsidR="005148EA" w:rsidRPr="008B4DA2" w:rsidRDefault="005148EA" w:rsidP="00BF0434">
            <w:pPr>
              <w:spacing w:before="20" w:after="20"/>
              <w:jc w:val="right"/>
              <w:rPr>
                <w:noProof/>
                <w:sz w:val="20"/>
              </w:rPr>
            </w:pPr>
          </w:p>
        </w:tc>
        <w:tc>
          <w:tcPr>
            <w:tcW w:w="868" w:type="dxa"/>
            <w:tcBorders>
              <w:bottom w:val="single" w:sz="4" w:space="0" w:color="auto"/>
            </w:tcBorders>
            <w:vAlign w:val="center"/>
          </w:tcPr>
          <w:p w:rsidR="005148EA" w:rsidRPr="008B4DA2" w:rsidRDefault="005148EA" w:rsidP="00BF0434">
            <w:pPr>
              <w:spacing w:before="20" w:after="20"/>
              <w:jc w:val="right"/>
              <w:rPr>
                <w:noProof/>
                <w:sz w:val="20"/>
              </w:rPr>
            </w:pPr>
          </w:p>
        </w:tc>
        <w:tc>
          <w:tcPr>
            <w:tcW w:w="868" w:type="dxa"/>
            <w:tcBorders>
              <w:bottom w:val="single" w:sz="4" w:space="0" w:color="auto"/>
            </w:tcBorders>
            <w:vAlign w:val="center"/>
          </w:tcPr>
          <w:p w:rsidR="005148EA" w:rsidRPr="008B4DA2" w:rsidRDefault="005148EA" w:rsidP="00BF0434">
            <w:pPr>
              <w:spacing w:before="20" w:after="20"/>
              <w:jc w:val="right"/>
              <w:rPr>
                <w:b/>
                <w:noProof/>
                <w:sz w:val="20"/>
              </w:rPr>
            </w:pPr>
          </w:p>
        </w:tc>
        <w:tc>
          <w:tcPr>
            <w:tcW w:w="1777" w:type="dxa"/>
            <w:tcBorders>
              <w:bottom w:val="single" w:sz="4" w:space="0" w:color="auto"/>
              <w:right w:val="single" w:sz="4" w:space="0" w:color="auto"/>
            </w:tcBorders>
            <w:vAlign w:val="center"/>
          </w:tcPr>
          <w:p w:rsidR="005148EA" w:rsidRPr="008B4DA2" w:rsidRDefault="005148EA" w:rsidP="00BF0434">
            <w:pPr>
              <w:spacing w:before="20" w:after="20"/>
              <w:jc w:val="right"/>
              <w:rPr>
                <w:b/>
                <w:noProof/>
                <w:sz w:val="20"/>
              </w:rPr>
            </w:pPr>
          </w:p>
        </w:tc>
      </w:tr>
    </w:tbl>
    <w:p w:rsidR="005148EA" w:rsidRPr="008B4DA2" w:rsidRDefault="005148EA" w:rsidP="005148EA">
      <w:pPr>
        <w:spacing w:before="0" w:after="0"/>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9"/>
        <w:gridCol w:w="1080"/>
        <w:gridCol w:w="7817"/>
      </w:tblGrid>
      <w:tr w:rsidR="005148EA" w:rsidRPr="008B4DA2" w:rsidTr="005148EA">
        <w:trPr>
          <w:jc w:val="center"/>
        </w:trPr>
        <w:tc>
          <w:tcPr>
            <w:tcW w:w="5209" w:type="dxa"/>
            <w:shd w:val="thinDiagStripe" w:color="C0C0C0" w:fill="auto"/>
            <w:vAlign w:val="center"/>
          </w:tcPr>
          <w:p w:rsidR="005148EA" w:rsidRPr="008B4DA2" w:rsidRDefault="005148EA" w:rsidP="00BF0434">
            <w:pPr>
              <w:spacing w:before="60" w:after="60"/>
              <w:jc w:val="center"/>
              <w:rPr>
                <w:b/>
                <w:noProof/>
              </w:rPr>
            </w:pPr>
            <w:r w:rsidRPr="008B4DA2">
              <w:rPr>
                <w:noProof/>
              </w:rPr>
              <w:br w:type="page"/>
            </w:r>
            <w:r w:rsidRPr="008B4DA2">
              <w:rPr>
                <w:b/>
                <w:noProof/>
                <w:sz w:val="22"/>
              </w:rPr>
              <w:t>Dzia</w:t>
            </w:r>
            <w:r w:rsidRPr="00B83C93">
              <w:rPr>
                <w:b/>
                <w:noProof/>
                <w:sz w:val="22"/>
              </w:rPr>
              <w:t>ł</w:t>
            </w:r>
            <w:r w:rsidR="00B83C93" w:rsidRPr="00B83C93">
              <w:rPr>
                <w:b/>
                <w:noProof/>
                <w:sz w:val="22"/>
              </w:rPr>
              <w:t xml:space="preserve"> </w:t>
            </w:r>
            <w:r w:rsidRPr="00B83C93">
              <w:rPr>
                <w:noProof/>
              </w:rPr>
              <w:br/>
            </w:r>
            <w:r w:rsidRPr="008B4DA2">
              <w:rPr>
                <w:b/>
                <w:noProof/>
                <w:sz w:val="22"/>
              </w:rPr>
              <w:t xml:space="preserve">wieloletnich ram finansowych </w:t>
            </w:r>
          </w:p>
        </w:tc>
        <w:tc>
          <w:tcPr>
            <w:tcW w:w="1080" w:type="dxa"/>
            <w:shd w:val="thinDiagStripe" w:color="C0C0C0" w:fill="auto"/>
            <w:vAlign w:val="center"/>
          </w:tcPr>
          <w:p w:rsidR="005148EA" w:rsidRPr="008B4DA2" w:rsidRDefault="005148EA" w:rsidP="00BF0434">
            <w:pPr>
              <w:spacing w:before="60" w:after="60"/>
              <w:jc w:val="center"/>
              <w:rPr>
                <w:noProof/>
              </w:rPr>
            </w:pPr>
            <w:r w:rsidRPr="008B4DA2">
              <w:rPr>
                <w:b/>
                <w:noProof/>
                <w:sz w:val="22"/>
              </w:rPr>
              <w:t>7</w:t>
            </w:r>
          </w:p>
        </w:tc>
        <w:tc>
          <w:tcPr>
            <w:tcW w:w="7817" w:type="dxa"/>
            <w:vAlign w:val="center"/>
          </w:tcPr>
          <w:p w:rsidR="005148EA" w:rsidRPr="008B4DA2" w:rsidRDefault="005148EA" w:rsidP="00BF0434">
            <w:pPr>
              <w:spacing w:before="60" w:after="60"/>
              <w:rPr>
                <w:noProof/>
              </w:rPr>
            </w:pPr>
            <w:r w:rsidRPr="008B4DA2">
              <w:rPr>
                <w:noProof/>
                <w:sz w:val="22"/>
              </w:rPr>
              <w:t>„Wydatki administracyjne”</w:t>
            </w:r>
          </w:p>
        </w:tc>
      </w:tr>
    </w:tbl>
    <w:p w:rsidR="005148EA" w:rsidRPr="008B4DA2" w:rsidRDefault="005148EA" w:rsidP="005148EA">
      <w:pPr>
        <w:jc w:val="left"/>
        <w:rPr>
          <w:noProof/>
          <w:sz w:val="20"/>
        </w:rPr>
      </w:pPr>
      <w:r w:rsidRPr="008B4DA2">
        <w:rPr>
          <w:noProof/>
        </w:rPr>
        <w:t>Niniejszą część uzupełnia się przy użyciu „danych budżetowych</w:t>
      </w:r>
      <w:r w:rsidR="00B83C93" w:rsidRPr="008B4DA2">
        <w:rPr>
          <w:noProof/>
        </w:rPr>
        <w:t xml:space="preserve"> o</w:t>
      </w:r>
      <w:r w:rsidR="00B83C93">
        <w:rPr>
          <w:noProof/>
        </w:rPr>
        <w:t> </w:t>
      </w:r>
      <w:r w:rsidR="00B83C93" w:rsidRPr="008B4DA2">
        <w:rPr>
          <w:noProof/>
        </w:rPr>
        <w:t>cha</w:t>
      </w:r>
      <w:r w:rsidRPr="008B4DA2">
        <w:rPr>
          <w:noProof/>
        </w:rPr>
        <w:t xml:space="preserve">rakterze administracyjnym”, które należy najpierw wprowadzić do </w:t>
      </w:r>
      <w:hyperlink r:id="rId16" w:history="1">
        <w:r w:rsidRPr="008B4DA2">
          <w:rPr>
            <w:rStyle w:val="Hyperlink"/>
            <w:noProof/>
          </w:rPr>
          <w:t>załącznika do oceny skutków finansowych regulacji</w:t>
        </w:r>
      </w:hyperlink>
      <w:r w:rsidRPr="008B4DA2">
        <w:rPr>
          <w:noProof/>
        </w:rPr>
        <w:t xml:space="preserve"> (załącznika 5 do decyzji Komisji</w:t>
      </w:r>
      <w:r w:rsidR="00B83C93" w:rsidRPr="008B4DA2">
        <w:rPr>
          <w:noProof/>
        </w:rPr>
        <w:t xml:space="preserve"> w</w:t>
      </w:r>
      <w:r w:rsidR="00B83C93">
        <w:rPr>
          <w:noProof/>
        </w:rPr>
        <w:t> </w:t>
      </w:r>
      <w:r w:rsidR="00B83C93" w:rsidRPr="008B4DA2">
        <w:rPr>
          <w:noProof/>
        </w:rPr>
        <w:t>spr</w:t>
      </w:r>
      <w:r w:rsidRPr="008B4DA2">
        <w:rPr>
          <w:noProof/>
        </w:rPr>
        <w:t>awie przepisów wewnętrznych dotyczących wykonania sekcji Komisji budżetu ogólnego Unii Europejskiej), przesyłanego do DECIDE</w:t>
      </w:r>
      <w:r w:rsidR="00B83C93" w:rsidRPr="008B4DA2">
        <w:rPr>
          <w:noProof/>
        </w:rPr>
        <w:t xml:space="preserve"> w</w:t>
      </w:r>
      <w:r w:rsidR="00B83C93">
        <w:rPr>
          <w:noProof/>
        </w:rPr>
        <w:t> </w:t>
      </w:r>
      <w:r w:rsidR="00B83C93" w:rsidRPr="008B4DA2">
        <w:rPr>
          <w:noProof/>
        </w:rPr>
        <w:t>cel</w:t>
      </w:r>
      <w:r w:rsidRPr="008B4DA2">
        <w:rPr>
          <w:noProof/>
        </w:rPr>
        <w:t>u konsultacji między służbami.</w:t>
      </w:r>
    </w:p>
    <w:p w:rsidR="005148EA" w:rsidRPr="008B4DA2" w:rsidRDefault="005148EA" w:rsidP="005148EA">
      <w:pPr>
        <w:jc w:val="right"/>
        <w:rPr>
          <w:noProof/>
          <w:sz w:val="20"/>
        </w:rPr>
      </w:pPr>
      <w:r w:rsidRPr="008B4DA2">
        <w:rPr>
          <w:noProof/>
          <w:sz w:val="20"/>
        </w:rPr>
        <w:t>w mln EUR (do trzech miejsc po przecinku)</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4"/>
        <w:gridCol w:w="1560"/>
        <w:gridCol w:w="534"/>
        <w:gridCol w:w="868"/>
        <w:gridCol w:w="868"/>
        <w:gridCol w:w="868"/>
        <w:gridCol w:w="868"/>
        <w:gridCol w:w="868"/>
        <w:gridCol w:w="868"/>
        <w:gridCol w:w="868"/>
        <w:gridCol w:w="1777"/>
      </w:tblGrid>
      <w:tr w:rsidR="000417F5" w:rsidRPr="008B4DA2" w:rsidTr="005148EA">
        <w:tc>
          <w:tcPr>
            <w:tcW w:w="3884" w:type="dxa"/>
            <w:tcBorders>
              <w:top w:val="nil"/>
              <w:left w:val="nil"/>
              <w:right w:val="nil"/>
            </w:tcBorders>
            <w:vAlign w:val="center"/>
          </w:tcPr>
          <w:p w:rsidR="005148EA" w:rsidRPr="008B4DA2" w:rsidRDefault="005148EA" w:rsidP="00BF0434">
            <w:pPr>
              <w:jc w:val="center"/>
              <w:rPr>
                <w:noProof/>
              </w:rPr>
            </w:pPr>
          </w:p>
        </w:tc>
        <w:tc>
          <w:tcPr>
            <w:tcW w:w="1560" w:type="dxa"/>
            <w:tcBorders>
              <w:top w:val="nil"/>
              <w:left w:val="nil"/>
              <w:right w:val="nil"/>
            </w:tcBorders>
          </w:tcPr>
          <w:p w:rsidR="005148EA" w:rsidRPr="008B4DA2" w:rsidRDefault="005148EA" w:rsidP="00BF0434">
            <w:pPr>
              <w:rPr>
                <w:noProof/>
                <w:sz w:val="20"/>
              </w:rPr>
            </w:pPr>
          </w:p>
        </w:tc>
        <w:tc>
          <w:tcPr>
            <w:tcW w:w="534" w:type="dxa"/>
            <w:tcBorders>
              <w:top w:val="nil"/>
              <w:left w:val="nil"/>
            </w:tcBorders>
          </w:tcPr>
          <w:p w:rsidR="005148EA" w:rsidRPr="008B4DA2" w:rsidRDefault="005148EA" w:rsidP="00BF0434">
            <w:pPr>
              <w:jc w:val="center"/>
              <w:rPr>
                <w:noProof/>
                <w:sz w:val="20"/>
              </w:rPr>
            </w:pPr>
          </w:p>
        </w:tc>
        <w:tc>
          <w:tcPr>
            <w:tcW w:w="868" w:type="dxa"/>
            <w:vAlign w:val="center"/>
          </w:tcPr>
          <w:p w:rsidR="005148EA" w:rsidRPr="008B4DA2" w:rsidRDefault="005148EA" w:rsidP="00BF0434">
            <w:pPr>
              <w:jc w:val="center"/>
              <w:rPr>
                <w:noProof/>
                <w:sz w:val="20"/>
              </w:rPr>
            </w:pPr>
            <w:r w:rsidRPr="008B4DA2">
              <w:rPr>
                <w:noProof/>
                <w:sz w:val="20"/>
              </w:rPr>
              <w:t>Rok</w:t>
            </w:r>
            <w:r w:rsidRPr="008B4DA2">
              <w:rPr>
                <w:noProof/>
              </w:rPr>
              <w:t xml:space="preserve"> </w:t>
            </w:r>
            <w:r w:rsidRPr="008B4DA2">
              <w:rPr>
                <w:noProof/>
              </w:rPr>
              <w:br/>
            </w:r>
            <w:r w:rsidRPr="008B4DA2">
              <w:rPr>
                <w:b/>
                <w:noProof/>
                <w:sz w:val="20"/>
              </w:rPr>
              <w:t>N</w:t>
            </w:r>
          </w:p>
        </w:tc>
        <w:tc>
          <w:tcPr>
            <w:tcW w:w="868" w:type="dxa"/>
            <w:vAlign w:val="center"/>
          </w:tcPr>
          <w:p w:rsidR="005148EA" w:rsidRPr="008B4DA2" w:rsidRDefault="005148EA" w:rsidP="00BF0434">
            <w:pPr>
              <w:jc w:val="center"/>
              <w:rPr>
                <w:noProof/>
                <w:sz w:val="20"/>
              </w:rPr>
            </w:pPr>
            <w:r w:rsidRPr="008B4DA2">
              <w:rPr>
                <w:noProof/>
                <w:sz w:val="20"/>
              </w:rPr>
              <w:t>Rok</w:t>
            </w:r>
            <w:r w:rsidRPr="008B4DA2">
              <w:rPr>
                <w:noProof/>
              </w:rPr>
              <w:t xml:space="preserve"> </w:t>
            </w:r>
            <w:r w:rsidRPr="008B4DA2">
              <w:rPr>
                <w:noProof/>
              </w:rPr>
              <w:br/>
            </w:r>
            <w:r w:rsidRPr="008B4DA2">
              <w:rPr>
                <w:b/>
                <w:noProof/>
                <w:sz w:val="20"/>
              </w:rPr>
              <w:t>N+1</w:t>
            </w:r>
          </w:p>
        </w:tc>
        <w:tc>
          <w:tcPr>
            <w:tcW w:w="868" w:type="dxa"/>
            <w:vAlign w:val="center"/>
          </w:tcPr>
          <w:p w:rsidR="005148EA" w:rsidRPr="008B4DA2" w:rsidRDefault="005148EA" w:rsidP="00BF0434">
            <w:pPr>
              <w:jc w:val="center"/>
              <w:rPr>
                <w:noProof/>
                <w:sz w:val="20"/>
              </w:rPr>
            </w:pPr>
            <w:r w:rsidRPr="008B4DA2">
              <w:rPr>
                <w:noProof/>
                <w:sz w:val="20"/>
              </w:rPr>
              <w:t>Rok</w:t>
            </w:r>
            <w:r w:rsidRPr="008B4DA2">
              <w:rPr>
                <w:noProof/>
              </w:rPr>
              <w:t xml:space="preserve"> </w:t>
            </w:r>
            <w:r w:rsidRPr="008B4DA2">
              <w:rPr>
                <w:noProof/>
              </w:rPr>
              <w:br/>
            </w:r>
            <w:r w:rsidRPr="008B4DA2">
              <w:rPr>
                <w:b/>
                <w:noProof/>
                <w:sz w:val="20"/>
              </w:rPr>
              <w:t>N+2</w:t>
            </w:r>
          </w:p>
        </w:tc>
        <w:tc>
          <w:tcPr>
            <w:tcW w:w="868" w:type="dxa"/>
            <w:vAlign w:val="center"/>
          </w:tcPr>
          <w:p w:rsidR="005148EA" w:rsidRPr="008B4DA2" w:rsidRDefault="005148EA" w:rsidP="00BF0434">
            <w:pPr>
              <w:jc w:val="center"/>
              <w:rPr>
                <w:noProof/>
                <w:sz w:val="20"/>
              </w:rPr>
            </w:pPr>
            <w:r w:rsidRPr="008B4DA2">
              <w:rPr>
                <w:noProof/>
                <w:sz w:val="20"/>
              </w:rPr>
              <w:t>Rok</w:t>
            </w:r>
            <w:r w:rsidRPr="008B4DA2">
              <w:rPr>
                <w:noProof/>
              </w:rPr>
              <w:t xml:space="preserve"> </w:t>
            </w:r>
            <w:r w:rsidRPr="008B4DA2">
              <w:rPr>
                <w:noProof/>
              </w:rPr>
              <w:br/>
            </w:r>
            <w:r w:rsidRPr="008B4DA2">
              <w:rPr>
                <w:b/>
                <w:noProof/>
                <w:sz w:val="20"/>
              </w:rPr>
              <w:t>N+3</w:t>
            </w:r>
          </w:p>
        </w:tc>
        <w:tc>
          <w:tcPr>
            <w:tcW w:w="2604" w:type="dxa"/>
            <w:gridSpan w:val="3"/>
            <w:vAlign w:val="center"/>
          </w:tcPr>
          <w:p w:rsidR="005148EA" w:rsidRPr="008B4DA2" w:rsidRDefault="005148EA" w:rsidP="00BF0434">
            <w:pPr>
              <w:jc w:val="center"/>
              <w:rPr>
                <w:b/>
                <w:noProof/>
                <w:sz w:val="18"/>
              </w:rPr>
            </w:pPr>
            <w:r w:rsidRPr="008B4DA2">
              <w:rPr>
                <w:noProof/>
                <w:sz w:val="18"/>
              </w:rPr>
              <w:t xml:space="preserve">Wprowadzić taką liczbę kolumn dla poszczególnych lat, jaka jest niezbędna, by odzwierciedlić cały okres wpływu (por. </w:t>
            </w:r>
            <w:r w:rsidRPr="00B83C93">
              <w:rPr>
                <w:noProof/>
                <w:sz w:val="18"/>
              </w:rPr>
              <w:t>pkt</w:t>
            </w:r>
            <w:r w:rsidR="00B83C93" w:rsidRPr="00B83C93">
              <w:rPr>
                <w:noProof/>
                <w:sz w:val="18"/>
              </w:rPr>
              <w:t> </w:t>
            </w:r>
            <w:r w:rsidRPr="00B83C93">
              <w:rPr>
                <w:noProof/>
                <w:sz w:val="18"/>
              </w:rPr>
              <w:t>1</w:t>
            </w:r>
            <w:r w:rsidRPr="008B4DA2">
              <w:rPr>
                <w:noProof/>
                <w:sz w:val="18"/>
              </w:rPr>
              <w:t xml:space="preserve">.6) </w:t>
            </w:r>
          </w:p>
        </w:tc>
        <w:tc>
          <w:tcPr>
            <w:tcW w:w="1777" w:type="dxa"/>
            <w:vAlign w:val="center"/>
          </w:tcPr>
          <w:p w:rsidR="005148EA" w:rsidRPr="008B4DA2" w:rsidRDefault="005148EA" w:rsidP="00BF0434">
            <w:pPr>
              <w:jc w:val="center"/>
              <w:rPr>
                <w:b/>
                <w:noProof/>
                <w:sz w:val="20"/>
              </w:rPr>
            </w:pPr>
            <w:r w:rsidRPr="008B4DA2">
              <w:rPr>
                <w:b/>
                <w:noProof/>
                <w:sz w:val="20"/>
              </w:rPr>
              <w:t>OGÓŁEM</w:t>
            </w:r>
          </w:p>
        </w:tc>
      </w:tr>
      <w:tr w:rsidR="004E303B" w:rsidRPr="008B4DA2" w:rsidTr="005148EA">
        <w:trPr>
          <w:gridAfter w:val="10"/>
          <w:wAfter w:w="9947" w:type="dxa"/>
        </w:trPr>
        <w:tc>
          <w:tcPr>
            <w:tcW w:w="3884" w:type="dxa"/>
            <w:vAlign w:val="center"/>
          </w:tcPr>
          <w:p w:rsidR="005148EA" w:rsidRPr="008B4DA2" w:rsidRDefault="005148EA" w:rsidP="00BF0434">
            <w:pPr>
              <w:spacing w:before="60" w:after="60"/>
              <w:jc w:val="center"/>
              <w:rPr>
                <w:noProof/>
              </w:rPr>
            </w:pPr>
            <w:r w:rsidRPr="008B4DA2">
              <w:rPr>
                <w:noProof/>
                <w:sz w:val="22"/>
              </w:rPr>
              <w:t>Dyrekcja Generalna: &lt;…….&gt;</w:t>
            </w:r>
          </w:p>
        </w:tc>
      </w:tr>
      <w:tr w:rsidR="00517853" w:rsidRPr="008B4DA2" w:rsidTr="005148EA">
        <w:trPr>
          <w:trHeight w:val="313"/>
        </w:trPr>
        <w:tc>
          <w:tcPr>
            <w:tcW w:w="5978" w:type="dxa"/>
            <w:gridSpan w:val="3"/>
            <w:vAlign w:val="center"/>
          </w:tcPr>
          <w:p w:rsidR="005148EA" w:rsidRPr="008B4DA2" w:rsidRDefault="005148EA" w:rsidP="00BF0434">
            <w:pPr>
              <w:spacing w:before="20" w:after="20"/>
              <w:rPr>
                <w:noProof/>
              </w:rPr>
            </w:pPr>
            <w:r w:rsidRPr="008B4DA2">
              <w:rPr>
                <w:rFonts w:ascii="Wingdings" w:hAnsi="Wingdings"/>
                <w:noProof/>
                <w:sz w:val="22"/>
              </w:rPr>
              <w:t>□</w:t>
            </w:r>
            <w:r w:rsidRPr="008B4DA2">
              <w:rPr>
                <w:noProof/>
                <w:sz w:val="22"/>
              </w:rPr>
              <w:t xml:space="preserve"> Zasoby ludzkie </w:t>
            </w: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b/>
                <w:noProof/>
                <w:sz w:val="20"/>
              </w:rPr>
            </w:pPr>
          </w:p>
        </w:tc>
        <w:tc>
          <w:tcPr>
            <w:tcW w:w="1777" w:type="dxa"/>
            <w:vAlign w:val="center"/>
          </w:tcPr>
          <w:p w:rsidR="005148EA" w:rsidRPr="008B4DA2" w:rsidRDefault="005148EA" w:rsidP="00BF0434">
            <w:pPr>
              <w:spacing w:before="20" w:after="20"/>
              <w:jc w:val="right"/>
              <w:rPr>
                <w:b/>
                <w:noProof/>
                <w:sz w:val="20"/>
              </w:rPr>
            </w:pPr>
          </w:p>
        </w:tc>
      </w:tr>
      <w:tr w:rsidR="00517853" w:rsidRPr="008B4DA2" w:rsidTr="005148EA">
        <w:trPr>
          <w:trHeight w:val="351"/>
        </w:trPr>
        <w:tc>
          <w:tcPr>
            <w:tcW w:w="5978" w:type="dxa"/>
            <w:gridSpan w:val="3"/>
            <w:vAlign w:val="center"/>
          </w:tcPr>
          <w:p w:rsidR="005148EA" w:rsidRPr="008B4DA2" w:rsidRDefault="005148EA" w:rsidP="00BF0434">
            <w:pPr>
              <w:spacing w:before="20" w:after="20"/>
              <w:rPr>
                <w:noProof/>
              </w:rPr>
            </w:pPr>
            <w:r w:rsidRPr="008B4DA2">
              <w:rPr>
                <w:rFonts w:ascii="Wingdings" w:hAnsi="Wingdings"/>
                <w:noProof/>
                <w:sz w:val="22"/>
              </w:rPr>
              <w:t>□</w:t>
            </w:r>
            <w:r w:rsidRPr="008B4DA2">
              <w:rPr>
                <w:noProof/>
                <w:sz w:val="22"/>
              </w:rPr>
              <w:t xml:space="preserve"> Pozostałe wydatki administracyjne </w:t>
            </w:r>
          </w:p>
        </w:tc>
        <w:tc>
          <w:tcPr>
            <w:tcW w:w="868" w:type="dxa"/>
            <w:vAlign w:val="center"/>
          </w:tcPr>
          <w:p w:rsidR="005148EA" w:rsidRPr="008B4DA2" w:rsidRDefault="005148EA" w:rsidP="00BF0434">
            <w:pPr>
              <w:spacing w:before="20" w:after="20"/>
              <w:jc w:val="right"/>
              <w:rPr>
                <w:b/>
                <w:noProof/>
                <w:sz w:val="20"/>
              </w:rPr>
            </w:pPr>
          </w:p>
        </w:tc>
        <w:tc>
          <w:tcPr>
            <w:tcW w:w="868" w:type="dxa"/>
            <w:vAlign w:val="center"/>
          </w:tcPr>
          <w:p w:rsidR="005148EA" w:rsidRPr="008B4DA2" w:rsidRDefault="005148EA" w:rsidP="00BF0434">
            <w:pPr>
              <w:spacing w:before="20" w:after="20"/>
              <w:jc w:val="right"/>
              <w:rPr>
                <w:b/>
                <w:noProof/>
                <w:sz w:val="20"/>
              </w:rPr>
            </w:pPr>
          </w:p>
        </w:tc>
        <w:tc>
          <w:tcPr>
            <w:tcW w:w="868" w:type="dxa"/>
            <w:vAlign w:val="center"/>
          </w:tcPr>
          <w:p w:rsidR="005148EA" w:rsidRPr="008B4DA2" w:rsidRDefault="005148EA" w:rsidP="00BF0434">
            <w:pPr>
              <w:spacing w:before="20" w:after="20"/>
              <w:jc w:val="right"/>
              <w:rPr>
                <w:b/>
                <w:noProof/>
                <w:sz w:val="20"/>
              </w:rPr>
            </w:pPr>
          </w:p>
        </w:tc>
        <w:tc>
          <w:tcPr>
            <w:tcW w:w="868" w:type="dxa"/>
            <w:vAlign w:val="center"/>
          </w:tcPr>
          <w:p w:rsidR="005148EA" w:rsidRPr="008B4DA2" w:rsidRDefault="005148EA" w:rsidP="00BF0434">
            <w:pPr>
              <w:spacing w:before="20" w:after="20"/>
              <w:jc w:val="right"/>
              <w:rPr>
                <w:b/>
                <w:noProof/>
                <w:sz w:val="20"/>
              </w:rPr>
            </w:pPr>
          </w:p>
        </w:tc>
        <w:tc>
          <w:tcPr>
            <w:tcW w:w="868" w:type="dxa"/>
            <w:vAlign w:val="center"/>
          </w:tcPr>
          <w:p w:rsidR="005148EA" w:rsidRPr="008B4DA2" w:rsidRDefault="005148EA" w:rsidP="00BF0434">
            <w:pPr>
              <w:spacing w:before="20" w:after="20"/>
              <w:jc w:val="right"/>
              <w:rPr>
                <w:b/>
                <w:noProof/>
                <w:sz w:val="20"/>
              </w:rPr>
            </w:pPr>
          </w:p>
        </w:tc>
        <w:tc>
          <w:tcPr>
            <w:tcW w:w="868" w:type="dxa"/>
            <w:vAlign w:val="center"/>
          </w:tcPr>
          <w:p w:rsidR="005148EA" w:rsidRPr="008B4DA2" w:rsidRDefault="005148EA" w:rsidP="00BF0434">
            <w:pPr>
              <w:spacing w:before="20" w:after="20"/>
              <w:jc w:val="right"/>
              <w:rPr>
                <w:b/>
                <w:noProof/>
                <w:sz w:val="20"/>
              </w:rPr>
            </w:pPr>
          </w:p>
        </w:tc>
        <w:tc>
          <w:tcPr>
            <w:tcW w:w="868" w:type="dxa"/>
            <w:vAlign w:val="center"/>
          </w:tcPr>
          <w:p w:rsidR="005148EA" w:rsidRPr="008B4DA2" w:rsidRDefault="005148EA" w:rsidP="00BF0434">
            <w:pPr>
              <w:spacing w:before="20" w:after="20"/>
              <w:jc w:val="right"/>
              <w:rPr>
                <w:b/>
                <w:noProof/>
                <w:sz w:val="20"/>
              </w:rPr>
            </w:pPr>
          </w:p>
        </w:tc>
        <w:tc>
          <w:tcPr>
            <w:tcW w:w="1777" w:type="dxa"/>
            <w:vAlign w:val="center"/>
          </w:tcPr>
          <w:p w:rsidR="005148EA" w:rsidRPr="008B4DA2" w:rsidRDefault="005148EA" w:rsidP="00BF0434">
            <w:pPr>
              <w:spacing w:before="20" w:after="20"/>
              <w:jc w:val="right"/>
              <w:rPr>
                <w:b/>
                <w:noProof/>
                <w:sz w:val="20"/>
              </w:rPr>
            </w:pPr>
          </w:p>
        </w:tc>
      </w:tr>
      <w:tr w:rsidR="00517853" w:rsidRPr="008B4DA2" w:rsidTr="005148EA">
        <w:tc>
          <w:tcPr>
            <w:tcW w:w="3884" w:type="dxa"/>
            <w:vAlign w:val="center"/>
          </w:tcPr>
          <w:p w:rsidR="005148EA" w:rsidRPr="008B4DA2" w:rsidRDefault="005148EA" w:rsidP="00BF0434">
            <w:pPr>
              <w:jc w:val="center"/>
              <w:rPr>
                <w:b/>
                <w:noProof/>
              </w:rPr>
            </w:pPr>
            <w:r w:rsidRPr="008B4DA2">
              <w:rPr>
                <w:b/>
                <w:noProof/>
                <w:sz w:val="22"/>
              </w:rPr>
              <w:t xml:space="preserve">OGÓŁEM Dyrekcja Generalna </w:t>
            </w:r>
            <w:r w:rsidRPr="008B4DA2">
              <w:rPr>
                <w:noProof/>
                <w:sz w:val="22"/>
              </w:rPr>
              <w:t>&lt;….&gt;</w:t>
            </w:r>
          </w:p>
        </w:tc>
        <w:tc>
          <w:tcPr>
            <w:tcW w:w="2094" w:type="dxa"/>
            <w:gridSpan w:val="2"/>
            <w:vAlign w:val="center"/>
          </w:tcPr>
          <w:p w:rsidR="005148EA" w:rsidRPr="008B4DA2" w:rsidRDefault="005148EA" w:rsidP="00BF0434">
            <w:pPr>
              <w:rPr>
                <w:noProof/>
                <w:sz w:val="14"/>
              </w:rPr>
            </w:pPr>
            <w:r w:rsidRPr="008B4DA2">
              <w:rPr>
                <w:noProof/>
                <w:sz w:val="18"/>
              </w:rPr>
              <w:t xml:space="preserve">Środki </w:t>
            </w:r>
          </w:p>
        </w:tc>
        <w:tc>
          <w:tcPr>
            <w:tcW w:w="868" w:type="dxa"/>
            <w:vAlign w:val="center"/>
          </w:tcPr>
          <w:p w:rsidR="005148EA" w:rsidRPr="008B4DA2" w:rsidRDefault="005148EA" w:rsidP="00BF0434">
            <w:pPr>
              <w:spacing w:before="60" w:after="6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b/>
                <w:noProof/>
                <w:sz w:val="20"/>
              </w:rPr>
            </w:pPr>
          </w:p>
        </w:tc>
        <w:tc>
          <w:tcPr>
            <w:tcW w:w="1777" w:type="dxa"/>
            <w:vAlign w:val="center"/>
          </w:tcPr>
          <w:p w:rsidR="005148EA" w:rsidRPr="008B4DA2" w:rsidRDefault="005148EA" w:rsidP="00BF0434">
            <w:pPr>
              <w:spacing w:before="20" w:after="20"/>
              <w:jc w:val="right"/>
              <w:rPr>
                <w:b/>
                <w:noProof/>
                <w:sz w:val="20"/>
              </w:rPr>
            </w:pPr>
          </w:p>
        </w:tc>
      </w:tr>
    </w:tbl>
    <w:p w:rsidR="005148EA" w:rsidRPr="008B4DA2" w:rsidRDefault="005148EA" w:rsidP="005148EA">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0417F5" w:rsidRPr="008B4DA2" w:rsidTr="00BF0434">
        <w:tc>
          <w:tcPr>
            <w:tcW w:w="3960" w:type="dxa"/>
            <w:shd w:val="thinDiagStripe" w:color="C0C0C0" w:fill="auto"/>
            <w:vAlign w:val="center"/>
          </w:tcPr>
          <w:p w:rsidR="005148EA" w:rsidRPr="008B4DA2" w:rsidRDefault="005148EA" w:rsidP="00BF0434">
            <w:pPr>
              <w:jc w:val="center"/>
              <w:rPr>
                <w:b/>
                <w:noProof/>
              </w:rPr>
            </w:pPr>
            <w:r w:rsidRPr="008B4DA2">
              <w:rPr>
                <w:b/>
                <w:noProof/>
                <w:sz w:val="22"/>
              </w:rPr>
              <w:t>OGÓŁEM środki</w:t>
            </w:r>
            <w:r w:rsidRPr="008B4DA2">
              <w:rPr>
                <w:noProof/>
              </w:rPr>
              <w:t xml:space="preserve"> </w:t>
            </w:r>
            <w:r w:rsidRPr="008B4DA2">
              <w:rPr>
                <w:noProof/>
              </w:rPr>
              <w:br/>
            </w:r>
            <w:r w:rsidRPr="008B4DA2">
              <w:rPr>
                <w:b/>
                <w:noProof/>
                <w:sz w:val="22"/>
              </w:rPr>
              <w:t>na DZIAŁ 7</w:t>
            </w:r>
            <w:r w:rsidRPr="008B4DA2">
              <w:rPr>
                <w:noProof/>
              </w:rPr>
              <w:t xml:space="preserve"> </w:t>
            </w:r>
            <w:r w:rsidRPr="008B4DA2">
              <w:rPr>
                <w:noProof/>
              </w:rPr>
              <w:br/>
            </w:r>
            <w:r w:rsidRPr="008B4DA2">
              <w:rPr>
                <w:noProof/>
                <w:sz w:val="22"/>
              </w:rPr>
              <w:t>wieloletnich ram finansowych</w:t>
            </w:r>
            <w:r w:rsidRPr="008B4DA2">
              <w:rPr>
                <w:b/>
                <w:noProof/>
                <w:sz w:val="22"/>
              </w:rPr>
              <w:t xml:space="preserve"> </w:t>
            </w:r>
          </w:p>
        </w:tc>
        <w:tc>
          <w:tcPr>
            <w:tcW w:w="2094" w:type="dxa"/>
            <w:vAlign w:val="center"/>
          </w:tcPr>
          <w:p w:rsidR="005148EA" w:rsidRPr="008B4DA2" w:rsidRDefault="005148EA" w:rsidP="00BF0434">
            <w:pPr>
              <w:spacing w:before="40" w:after="40"/>
              <w:rPr>
                <w:noProof/>
              </w:rPr>
            </w:pPr>
            <w:r w:rsidRPr="008B4DA2">
              <w:rPr>
                <w:noProof/>
                <w:sz w:val="18"/>
              </w:rPr>
              <w:t>(Środki na zobowiązania ogółem = środki na płatności ogółem)</w:t>
            </w: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noProof/>
                <w:sz w:val="20"/>
              </w:rPr>
            </w:pPr>
          </w:p>
        </w:tc>
        <w:tc>
          <w:tcPr>
            <w:tcW w:w="868" w:type="dxa"/>
            <w:vAlign w:val="center"/>
          </w:tcPr>
          <w:p w:rsidR="005148EA" w:rsidRPr="008B4DA2" w:rsidRDefault="005148EA" w:rsidP="00BF0434">
            <w:pPr>
              <w:spacing w:before="20" w:after="20"/>
              <w:jc w:val="right"/>
              <w:rPr>
                <w:b/>
                <w:noProof/>
                <w:sz w:val="20"/>
              </w:rPr>
            </w:pPr>
          </w:p>
        </w:tc>
        <w:tc>
          <w:tcPr>
            <w:tcW w:w="1777" w:type="dxa"/>
            <w:vAlign w:val="center"/>
          </w:tcPr>
          <w:p w:rsidR="005148EA" w:rsidRPr="008B4DA2" w:rsidRDefault="005148EA" w:rsidP="00BF0434">
            <w:pPr>
              <w:spacing w:before="20" w:after="20"/>
              <w:jc w:val="right"/>
              <w:rPr>
                <w:b/>
                <w:noProof/>
                <w:sz w:val="20"/>
              </w:rPr>
            </w:pPr>
          </w:p>
        </w:tc>
      </w:tr>
    </w:tbl>
    <w:p w:rsidR="005148EA" w:rsidRPr="008B4DA2" w:rsidRDefault="005148EA" w:rsidP="005148EA">
      <w:pPr>
        <w:jc w:val="right"/>
        <w:rPr>
          <w:noProof/>
          <w:sz w:val="20"/>
        </w:rPr>
      </w:pPr>
      <w:r w:rsidRPr="008B4DA2">
        <w:rPr>
          <w:noProof/>
          <w:sz w:val="20"/>
        </w:rPr>
        <w:t>w mln EUR (do trzech miejsc po przecinku)</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0417F5" w:rsidRPr="008B4DA2" w:rsidTr="00BF0434">
        <w:tc>
          <w:tcPr>
            <w:tcW w:w="3960" w:type="dxa"/>
            <w:tcBorders>
              <w:top w:val="nil"/>
              <w:left w:val="nil"/>
              <w:right w:val="nil"/>
            </w:tcBorders>
            <w:vAlign w:val="center"/>
          </w:tcPr>
          <w:p w:rsidR="005148EA" w:rsidRPr="008B4DA2" w:rsidRDefault="005148EA" w:rsidP="00BF0434">
            <w:pPr>
              <w:jc w:val="center"/>
              <w:rPr>
                <w:noProof/>
              </w:rPr>
            </w:pPr>
          </w:p>
        </w:tc>
        <w:tc>
          <w:tcPr>
            <w:tcW w:w="1560" w:type="dxa"/>
            <w:tcBorders>
              <w:top w:val="nil"/>
              <w:left w:val="nil"/>
              <w:right w:val="nil"/>
            </w:tcBorders>
          </w:tcPr>
          <w:p w:rsidR="005148EA" w:rsidRPr="008B4DA2" w:rsidRDefault="005148EA" w:rsidP="00BF0434">
            <w:pPr>
              <w:rPr>
                <w:noProof/>
                <w:sz w:val="20"/>
              </w:rPr>
            </w:pPr>
          </w:p>
        </w:tc>
        <w:tc>
          <w:tcPr>
            <w:tcW w:w="534" w:type="dxa"/>
            <w:tcBorders>
              <w:top w:val="nil"/>
              <w:left w:val="nil"/>
            </w:tcBorders>
          </w:tcPr>
          <w:p w:rsidR="005148EA" w:rsidRPr="008B4DA2" w:rsidRDefault="005148EA" w:rsidP="00BF0434">
            <w:pPr>
              <w:jc w:val="center"/>
              <w:rPr>
                <w:noProof/>
                <w:sz w:val="20"/>
              </w:rPr>
            </w:pPr>
          </w:p>
        </w:tc>
        <w:tc>
          <w:tcPr>
            <w:tcW w:w="868" w:type="dxa"/>
            <w:vAlign w:val="center"/>
          </w:tcPr>
          <w:p w:rsidR="005148EA" w:rsidRPr="008B4DA2" w:rsidRDefault="005148EA" w:rsidP="00BF0434">
            <w:pPr>
              <w:jc w:val="center"/>
              <w:rPr>
                <w:noProof/>
                <w:sz w:val="20"/>
              </w:rPr>
            </w:pPr>
            <w:r w:rsidRPr="008B4DA2">
              <w:rPr>
                <w:noProof/>
                <w:sz w:val="20"/>
              </w:rPr>
              <w:t>Rok</w:t>
            </w:r>
            <w:r w:rsidRPr="008B4DA2">
              <w:rPr>
                <w:noProof/>
              </w:rPr>
              <w:t xml:space="preserve"> </w:t>
            </w:r>
            <w:r w:rsidRPr="008B4DA2">
              <w:rPr>
                <w:noProof/>
              </w:rPr>
              <w:br/>
            </w:r>
            <w:r w:rsidRPr="008B4DA2">
              <w:rPr>
                <w:b/>
                <w:noProof/>
                <w:sz w:val="20"/>
              </w:rPr>
              <w:t>N</w:t>
            </w:r>
            <w:r w:rsidRPr="008B4DA2">
              <w:rPr>
                <w:rStyle w:val="FootnoteReference"/>
                <w:noProof/>
              </w:rPr>
              <w:footnoteReference w:id="83"/>
            </w:r>
          </w:p>
        </w:tc>
        <w:tc>
          <w:tcPr>
            <w:tcW w:w="868" w:type="dxa"/>
            <w:vAlign w:val="center"/>
          </w:tcPr>
          <w:p w:rsidR="005148EA" w:rsidRPr="008B4DA2" w:rsidRDefault="005148EA" w:rsidP="00BF0434">
            <w:pPr>
              <w:jc w:val="center"/>
              <w:rPr>
                <w:noProof/>
                <w:sz w:val="20"/>
              </w:rPr>
            </w:pPr>
            <w:r w:rsidRPr="008B4DA2">
              <w:rPr>
                <w:noProof/>
                <w:sz w:val="20"/>
              </w:rPr>
              <w:t>Rok</w:t>
            </w:r>
            <w:r w:rsidRPr="008B4DA2">
              <w:rPr>
                <w:noProof/>
              </w:rPr>
              <w:t xml:space="preserve"> </w:t>
            </w:r>
            <w:r w:rsidRPr="008B4DA2">
              <w:rPr>
                <w:noProof/>
              </w:rPr>
              <w:br/>
            </w:r>
            <w:r w:rsidRPr="008B4DA2">
              <w:rPr>
                <w:b/>
                <w:noProof/>
                <w:sz w:val="20"/>
              </w:rPr>
              <w:t>N+1</w:t>
            </w:r>
          </w:p>
        </w:tc>
        <w:tc>
          <w:tcPr>
            <w:tcW w:w="868" w:type="dxa"/>
            <w:vAlign w:val="center"/>
          </w:tcPr>
          <w:p w:rsidR="005148EA" w:rsidRPr="008B4DA2" w:rsidRDefault="005148EA" w:rsidP="00BF0434">
            <w:pPr>
              <w:jc w:val="center"/>
              <w:rPr>
                <w:noProof/>
                <w:sz w:val="20"/>
              </w:rPr>
            </w:pPr>
            <w:r w:rsidRPr="008B4DA2">
              <w:rPr>
                <w:noProof/>
                <w:sz w:val="20"/>
              </w:rPr>
              <w:t>Rok</w:t>
            </w:r>
            <w:r w:rsidRPr="008B4DA2">
              <w:rPr>
                <w:noProof/>
              </w:rPr>
              <w:t xml:space="preserve"> </w:t>
            </w:r>
            <w:r w:rsidRPr="008B4DA2">
              <w:rPr>
                <w:noProof/>
              </w:rPr>
              <w:br/>
            </w:r>
            <w:r w:rsidRPr="008B4DA2">
              <w:rPr>
                <w:b/>
                <w:noProof/>
                <w:sz w:val="20"/>
              </w:rPr>
              <w:t>N+2</w:t>
            </w:r>
          </w:p>
        </w:tc>
        <w:tc>
          <w:tcPr>
            <w:tcW w:w="868" w:type="dxa"/>
            <w:vAlign w:val="center"/>
          </w:tcPr>
          <w:p w:rsidR="005148EA" w:rsidRPr="008B4DA2" w:rsidRDefault="005148EA" w:rsidP="00BF0434">
            <w:pPr>
              <w:jc w:val="center"/>
              <w:rPr>
                <w:noProof/>
                <w:sz w:val="20"/>
              </w:rPr>
            </w:pPr>
            <w:r w:rsidRPr="008B4DA2">
              <w:rPr>
                <w:noProof/>
                <w:sz w:val="20"/>
              </w:rPr>
              <w:t>Rok</w:t>
            </w:r>
            <w:r w:rsidRPr="008B4DA2">
              <w:rPr>
                <w:noProof/>
              </w:rPr>
              <w:t xml:space="preserve"> </w:t>
            </w:r>
            <w:r w:rsidRPr="008B4DA2">
              <w:rPr>
                <w:noProof/>
              </w:rPr>
              <w:br/>
            </w:r>
            <w:r w:rsidRPr="008B4DA2">
              <w:rPr>
                <w:b/>
                <w:noProof/>
                <w:sz w:val="20"/>
              </w:rPr>
              <w:t>N+3</w:t>
            </w:r>
          </w:p>
        </w:tc>
        <w:tc>
          <w:tcPr>
            <w:tcW w:w="2604" w:type="dxa"/>
            <w:gridSpan w:val="3"/>
            <w:vAlign w:val="center"/>
          </w:tcPr>
          <w:p w:rsidR="005148EA" w:rsidRPr="008B4DA2" w:rsidRDefault="005148EA" w:rsidP="00BF0434">
            <w:pPr>
              <w:jc w:val="center"/>
              <w:rPr>
                <w:b/>
                <w:noProof/>
                <w:sz w:val="18"/>
              </w:rPr>
            </w:pPr>
            <w:r w:rsidRPr="008B4DA2">
              <w:rPr>
                <w:noProof/>
                <w:sz w:val="18"/>
              </w:rPr>
              <w:t xml:space="preserve">Wprowadzić taką liczbę kolumn dla poszczególnych lat, jaka jest niezbędna, by odzwierciedlić cały okres wpływu (por. </w:t>
            </w:r>
            <w:r w:rsidRPr="00B83C93">
              <w:rPr>
                <w:noProof/>
                <w:sz w:val="18"/>
              </w:rPr>
              <w:t>pkt</w:t>
            </w:r>
            <w:r w:rsidR="00B83C93" w:rsidRPr="00B83C93">
              <w:rPr>
                <w:noProof/>
                <w:sz w:val="18"/>
              </w:rPr>
              <w:t> </w:t>
            </w:r>
            <w:r w:rsidRPr="00B83C93">
              <w:rPr>
                <w:noProof/>
                <w:sz w:val="18"/>
              </w:rPr>
              <w:t>1</w:t>
            </w:r>
            <w:r w:rsidRPr="008B4DA2">
              <w:rPr>
                <w:noProof/>
                <w:sz w:val="18"/>
              </w:rPr>
              <w:t>.6)</w:t>
            </w:r>
          </w:p>
        </w:tc>
        <w:tc>
          <w:tcPr>
            <w:tcW w:w="1777" w:type="dxa"/>
            <w:vAlign w:val="center"/>
          </w:tcPr>
          <w:p w:rsidR="005148EA" w:rsidRPr="008B4DA2" w:rsidRDefault="005148EA" w:rsidP="00BF0434">
            <w:pPr>
              <w:jc w:val="center"/>
              <w:rPr>
                <w:b/>
                <w:noProof/>
                <w:sz w:val="20"/>
              </w:rPr>
            </w:pPr>
            <w:r w:rsidRPr="008B4DA2">
              <w:rPr>
                <w:b/>
                <w:noProof/>
                <w:sz w:val="20"/>
              </w:rPr>
              <w:t>OGÓŁEM</w:t>
            </w:r>
          </w:p>
        </w:tc>
      </w:tr>
      <w:tr w:rsidR="000417F5" w:rsidRPr="008B4DA2" w:rsidTr="00BF0434">
        <w:tc>
          <w:tcPr>
            <w:tcW w:w="3960" w:type="dxa"/>
            <w:vMerge w:val="restart"/>
            <w:shd w:val="clear" w:color="auto" w:fill="C0C0C0"/>
            <w:vAlign w:val="center"/>
          </w:tcPr>
          <w:p w:rsidR="005148EA" w:rsidRPr="008B4DA2" w:rsidRDefault="005148EA" w:rsidP="00BF0434">
            <w:pPr>
              <w:jc w:val="center"/>
              <w:rPr>
                <w:b/>
                <w:noProof/>
              </w:rPr>
            </w:pPr>
            <w:r w:rsidRPr="008B4DA2">
              <w:rPr>
                <w:b/>
                <w:noProof/>
                <w:sz w:val="22"/>
              </w:rPr>
              <w:t>OGÓŁEM środk</w:t>
            </w:r>
            <w:r w:rsidRPr="00B83C93">
              <w:rPr>
                <w:b/>
                <w:noProof/>
                <w:sz w:val="22"/>
              </w:rPr>
              <w:t>i</w:t>
            </w:r>
            <w:r w:rsidR="00B83C93" w:rsidRPr="00B83C93">
              <w:rPr>
                <w:b/>
                <w:noProof/>
                <w:sz w:val="22"/>
              </w:rPr>
              <w:t xml:space="preserve"> </w:t>
            </w:r>
            <w:r w:rsidRPr="00B83C93">
              <w:rPr>
                <w:noProof/>
              </w:rPr>
              <w:br/>
            </w:r>
            <w:r w:rsidRPr="008B4DA2">
              <w:rPr>
                <w:b/>
                <w:noProof/>
                <w:sz w:val="22"/>
              </w:rPr>
              <w:t xml:space="preserve">na DZIAŁY </w:t>
            </w:r>
            <w:r w:rsidRPr="00B83C93">
              <w:rPr>
                <w:b/>
                <w:noProof/>
                <w:sz w:val="22"/>
              </w:rPr>
              <w:t>od</w:t>
            </w:r>
            <w:r w:rsidR="00B83C93" w:rsidRPr="00B83C93">
              <w:rPr>
                <w:b/>
                <w:noProof/>
                <w:sz w:val="22"/>
              </w:rPr>
              <w:t> </w:t>
            </w:r>
            <w:r w:rsidRPr="00B83C93">
              <w:rPr>
                <w:b/>
                <w:noProof/>
                <w:sz w:val="22"/>
              </w:rPr>
              <w:t>1</w:t>
            </w:r>
            <w:r w:rsidRPr="008B4DA2">
              <w:rPr>
                <w:b/>
                <w:noProof/>
                <w:sz w:val="22"/>
              </w:rPr>
              <w:t xml:space="preserve"> </w:t>
            </w:r>
            <w:r w:rsidRPr="00B83C93">
              <w:rPr>
                <w:b/>
                <w:noProof/>
                <w:sz w:val="22"/>
              </w:rPr>
              <w:t>do</w:t>
            </w:r>
            <w:r w:rsidR="00B83C93" w:rsidRPr="00B83C93">
              <w:rPr>
                <w:b/>
                <w:noProof/>
                <w:sz w:val="22"/>
              </w:rPr>
              <w:t> </w:t>
            </w:r>
            <w:r w:rsidRPr="00B83C93">
              <w:rPr>
                <w:b/>
                <w:noProof/>
                <w:sz w:val="22"/>
              </w:rPr>
              <w:t>7</w:t>
            </w:r>
            <w:r w:rsidRPr="008B4DA2">
              <w:rPr>
                <w:noProof/>
              </w:rPr>
              <w:t xml:space="preserve"> </w:t>
            </w:r>
            <w:r w:rsidRPr="008B4DA2">
              <w:rPr>
                <w:noProof/>
              </w:rPr>
              <w:br/>
            </w:r>
            <w:r w:rsidRPr="008B4DA2">
              <w:rPr>
                <w:noProof/>
                <w:sz w:val="22"/>
              </w:rPr>
              <w:t>wieloletnich ram finansowych</w:t>
            </w:r>
            <w:r w:rsidRPr="008B4DA2">
              <w:rPr>
                <w:b/>
                <w:noProof/>
                <w:sz w:val="22"/>
              </w:rPr>
              <w:t xml:space="preserve"> </w:t>
            </w:r>
          </w:p>
        </w:tc>
        <w:tc>
          <w:tcPr>
            <w:tcW w:w="2094" w:type="dxa"/>
            <w:gridSpan w:val="2"/>
            <w:vAlign w:val="center"/>
          </w:tcPr>
          <w:p w:rsidR="005148EA" w:rsidRPr="008B4DA2" w:rsidRDefault="005148EA" w:rsidP="00BF0434">
            <w:pPr>
              <w:rPr>
                <w:noProof/>
                <w:sz w:val="14"/>
              </w:rPr>
            </w:pPr>
            <w:r w:rsidRPr="008B4DA2">
              <w:rPr>
                <w:noProof/>
                <w:sz w:val="18"/>
              </w:rPr>
              <w:t>Środki na zobowiązania</w:t>
            </w:r>
          </w:p>
        </w:tc>
        <w:tc>
          <w:tcPr>
            <w:tcW w:w="868" w:type="dxa"/>
            <w:vAlign w:val="center"/>
          </w:tcPr>
          <w:p w:rsidR="005148EA" w:rsidRPr="008B4DA2" w:rsidRDefault="005148EA" w:rsidP="00BF0434">
            <w:pPr>
              <w:spacing w:before="60" w:after="60"/>
              <w:jc w:val="right"/>
              <w:rPr>
                <w:noProof/>
                <w:sz w:val="20"/>
              </w:rPr>
            </w:pPr>
          </w:p>
        </w:tc>
        <w:tc>
          <w:tcPr>
            <w:tcW w:w="868" w:type="dxa"/>
            <w:vAlign w:val="center"/>
          </w:tcPr>
          <w:p w:rsidR="005148EA" w:rsidRPr="008B4DA2" w:rsidRDefault="005148EA" w:rsidP="00BF0434">
            <w:pPr>
              <w:spacing w:before="60" w:after="60"/>
              <w:jc w:val="right"/>
              <w:rPr>
                <w:noProof/>
                <w:sz w:val="20"/>
              </w:rPr>
            </w:pPr>
          </w:p>
        </w:tc>
        <w:tc>
          <w:tcPr>
            <w:tcW w:w="868" w:type="dxa"/>
            <w:vAlign w:val="center"/>
          </w:tcPr>
          <w:p w:rsidR="005148EA" w:rsidRPr="008B4DA2" w:rsidRDefault="005148EA" w:rsidP="00BF0434">
            <w:pPr>
              <w:spacing w:before="60" w:after="60"/>
              <w:jc w:val="right"/>
              <w:rPr>
                <w:noProof/>
                <w:sz w:val="20"/>
              </w:rPr>
            </w:pPr>
          </w:p>
        </w:tc>
        <w:tc>
          <w:tcPr>
            <w:tcW w:w="868" w:type="dxa"/>
            <w:vAlign w:val="center"/>
          </w:tcPr>
          <w:p w:rsidR="005148EA" w:rsidRPr="008B4DA2" w:rsidRDefault="005148EA" w:rsidP="00BF0434">
            <w:pPr>
              <w:spacing w:before="60" w:after="60"/>
              <w:jc w:val="right"/>
              <w:rPr>
                <w:noProof/>
                <w:sz w:val="20"/>
              </w:rPr>
            </w:pPr>
          </w:p>
        </w:tc>
        <w:tc>
          <w:tcPr>
            <w:tcW w:w="868" w:type="dxa"/>
            <w:vAlign w:val="center"/>
          </w:tcPr>
          <w:p w:rsidR="005148EA" w:rsidRPr="008B4DA2" w:rsidRDefault="005148EA" w:rsidP="00BF0434">
            <w:pPr>
              <w:spacing w:before="60" w:after="60"/>
              <w:jc w:val="right"/>
              <w:rPr>
                <w:noProof/>
                <w:sz w:val="20"/>
              </w:rPr>
            </w:pPr>
          </w:p>
        </w:tc>
        <w:tc>
          <w:tcPr>
            <w:tcW w:w="868" w:type="dxa"/>
            <w:vAlign w:val="center"/>
          </w:tcPr>
          <w:p w:rsidR="005148EA" w:rsidRPr="008B4DA2" w:rsidRDefault="005148EA" w:rsidP="00BF0434">
            <w:pPr>
              <w:spacing w:before="60" w:after="60"/>
              <w:jc w:val="right"/>
              <w:rPr>
                <w:noProof/>
                <w:sz w:val="20"/>
              </w:rPr>
            </w:pPr>
          </w:p>
        </w:tc>
        <w:tc>
          <w:tcPr>
            <w:tcW w:w="868" w:type="dxa"/>
            <w:vAlign w:val="center"/>
          </w:tcPr>
          <w:p w:rsidR="005148EA" w:rsidRPr="008B4DA2" w:rsidRDefault="005148EA" w:rsidP="00BF0434">
            <w:pPr>
              <w:spacing w:before="60" w:after="60"/>
              <w:jc w:val="right"/>
              <w:rPr>
                <w:b/>
                <w:noProof/>
                <w:sz w:val="20"/>
              </w:rPr>
            </w:pPr>
          </w:p>
        </w:tc>
        <w:tc>
          <w:tcPr>
            <w:tcW w:w="1777" w:type="dxa"/>
            <w:vAlign w:val="center"/>
          </w:tcPr>
          <w:p w:rsidR="005148EA" w:rsidRPr="008B4DA2" w:rsidRDefault="005148EA" w:rsidP="00BF0434">
            <w:pPr>
              <w:spacing w:before="60" w:after="60"/>
              <w:jc w:val="right"/>
              <w:rPr>
                <w:b/>
                <w:noProof/>
                <w:sz w:val="20"/>
              </w:rPr>
            </w:pPr>
          </w:p>
        </w:tc>
      </w:tr>
      <w:tr w:rsidR="000417F5" w:rsidRPr="008B4DA2" w:rsidTr="00BF0434">
        <w:tc>
          <w:tcPr>
            <w:tcW w:w="3960" w:type="dxa"/>
            <w:vMerge/>
            <w:shd w:val="clear" w:color="auto" w:fill="C0C0C0"/>
          </w:tcPr>
          <w:p w:rsidR="005148EA" w:rsidRPr="008B4DA2" w:rsidRDefault="005148EA" w:rsidP="00BF0434">
            <w:pPr>
              <w:rPr>
                <w:noProof/>
                <w:sz w:val="20"/>
              </w:rPr>
            </w:pPr>
          </w:p>
        </w:tc>
        <w:tc>
          <w:tcPr>
            <w:tcW w:w="2094" w:type="dxa"/>
            <w:gridSpan w:val="2"/>
            <w:vAlign w:val="center"/>
          </w:tcPr>
          <w:p w:rsidR="005148EA" w:rsidRPr="008B4DA2" w:rsidRDefault="005148EA" w:rsidP="00BF0434">
            <w:pPr>
              <w:rPr>
                <w:noProof/>
                <w:sz w:val="14"/>
              </w:rPr>
            </w:pPr>
            <w:r w:rsidRPr="008B4DA2">
              <w:rPr>
                <w:noProof/>
                <w:sz w:val="18"/>
              </w:rPr>
              <w:t>Środki na płatności</w:t>
            </w:r>
          </w:p>
        </w:tc>
        <w:tc>
          <w:tcPr>
            <w:tcW w:w="868" w:type="dxa"/>
            <w:vAlign w:val="center"/>
          </w:tcPr>
          <w:p w:rsidR="005148EA" w:rsidRPr="008B4DA2" w:rsidRDefault="005148EA" w:rsidP="00BF0434">
            <w:pPr>
              <w:spacing w:before="60" w:after="60"/>
              <w:jc w:val="right"/>
              <w:rPr>
                <w:noProof/>
                <w:sz w:val="20"/>
              </w:rPr>
            </w:pPr>
          </w:p>
        </w:tc>
        <w:tc>
          <w:tcPr>
            <w:tcW w:w="868" w:type="dxa"/>
            <w:vAlign w:val="center"/>
          </w:tcPr>
          <w:p w:rsidR="005148EA" w:rsidRPr="008B4DA2" w:rsidRDefault="005148EA" w:rsidP="00BF0434">
            <w:pPr>
              <w:spacing w:before="60" w:after="60"/>
              <w:jc w:val="right"/>
              <w:rPr>
                <w:noProof/>
                <w:sz w:val="20"/>
              </w:rPr>
            </w:pPr>
          </w:p>
        </w:tc>
        <w:tc>
          <w:tcPr>
            <w:tcW w:w="868" w:type="dxa"/>
            <w:vAlign w:val="center"/>
          </w:tcPr>
          <w:p w:rsidR="005148EA" w:rsidRPr="008B4DA2" w:rsidRDefault="005148EA" w:rsidP="00BF0434">
            <w:pPr>
              <w:spacing w:before="60" w:after="60"/>
              <w:jc w:val="right"/>
              <w:rPr>
                <w:noProof/>
                <w:sz w:val="20"/>
              </w:rPr>
            </w:pPr>
          </w:p>
        </w:tc>
        <w:tc>
          <w:tcPr>
            <w:tcW w:w="868" w:type="dxa"/>
            <w:vAlign w:val="center"/>
          </w:tcPr>
          <w:p w:rsidR="005148EA" w:rsidRPr="008B4DA2" w:rsidRDefault="005148EA" w:rsidP="00BF0434">
            <w:pPr>
              <w:spacing w:before="60" w:after="60"/>
              <w:jc w:val="right"/>
              <w:rPr>
                <w:noProof/>
                <w:sz w:val="20"/>
              </w:rPr>
            </w:pPr>
          </w:p>
        </w:tc>
        <w:tc>
          <w:tcPr>
            <w:tcW w:w="868" w:type="dxa"/>
            <w:vAlign w:val="center"/>
          </w:tcPr>
          <w:p w:rsidR="005148EA" w:rsidRPr="008B4DA2" w:rsidRDefault="005148EA" w:rsidP="00BF0434">
            <w:pPr>
              <w:spacing w:before="60" w:after="60"/>
              <w:jc w:val="right"/>
              <w:rPr>
                <w:noProof/>
                <w:sz w:val="20"/>
              </w:rPr>
            </w:pPr>
          </w:p>
        </w:tc>
        <w:tc>
          <w:tcPr>
            <w:tcW w:w="868" w:type="dxa"/>
            <w:vAlign w:val="center"/>
          </w:tcPr>
          <w:p w:rsidR="005148EA" w:rsidRPr="008B4DA2" w:rsidRDefault="005148EA" w:rsidP="00BF0434">
            <w:pPr>
              <w:spacing w:before="60" w:after="60"/>
              <w:jc w:val="right"/>
              <w:rPr>
                <w:noProof/>
                <w:sz w:val="20"/>
              </w:rPr>
            </w:pPr>
          </w:p>
        </w:tc>
        <w:tc>
          <w:tcPr>
            <w:tcW w:w="868" w:type="dxa"/>
            <w:vAlign w:val="center"/>
          </w:tcPr>
          <w:p w:rsidR="005148EA" w:rsidRPr="008B4DA2" w:rsidRDefault="005148EA" w:rsidP="00BF0434">
            <w:pPr>
              <w:spacing w:before="60" w:after="60"/>
              <w:jc w:val="right"/>
              <w:rPr>
                <w:b/>
                <w:noProof/>
                <w:sz w:val="20"/>
              </w:rPr>
            </w:pPr>
          </w:p>
        </w:tc>
        <w:tc>
          <w:tcPr>
            <w:tcW w:w="1777" w:type="dxa"/>
            <w:vAlign w:val="center"/>
          </w:tcPr>
          <w:p w:rsidR="005148EA" w:rsidRPr="008B4DA2" w:rsidRDefault="005148EA" w:rsidP="00BF0434">
            <w:pPr>
              <w:spacing w:before="60" w:after="60"/>
              <w:jc w:val="right"/>
              <w:rPr>
                <w:b/>
                <w:noProof/>
                <w:sz w:val="20"/>
              </w:rPr>
            </w:pPr>
          </w:p>
        </w:tc>
      </w:tr>
    </w:tbl>
    <w:p w:rsidR="005148EA" w:rsidRPr="008B4DA2" w:rsidRDefault="005148EA" w:rsidP="005148EA">
      <w:pPr>
        <w:rPr>
          <w:noProof/>
        </w:rPr>
      </w:pPr>
    </w:p>
    <w:p w:rsidR="005148EA" w:rsidRPr="008B4DA2" w:rsidRDefault="005148EA" w:rsidP="005148EA">
      <w:pPr>
        <w:pStyle w:val="ManualHeading3"/>
        <w:rPr>
          <w:bCs/>
          <w:noProof/>
          <w:szCs w:val="24"/>
        </w:rPr>
      </w:pPr>
      <w:bookmarkStart w:id="66" w:name="_Toc514938054"/>
      <w:bookmarkStart w:id="67" w:name="_Toc520485053"/>
      <w:r w:rsidRPr="008B4DA2">
        <w:rPr>
          <w:noProof/>
        </w:rPr>
        <w:t>3.2.2.</w:t>
      </w:r>
      <w:r w:rsidRPr="008B4DA2">
        <w:rPr>
          <w:noProof/>
        </w:rPr>
        <w:tab/>
        <w:t>Przewidywany produkt finansowany ze środków operacyjnych</w:t>
      </w:r>
      <w:bookmarkEnd w:id="66"/>
      <w:bookmarkEnd w:id="67"/>
      <w:r w:rsidRPr="008B4DA2">
        <w:rPr>
          <w:noProof/>
        </w:rPr>
        <w:t xml:space="preserve"> </w:t>
      </w:r>
    </w:p>
    <w:p w:rsidR="005148EA" w:rsidRPr="008B4DA2" w:rsidRDefault="005148EA" w:rsidP="005148EA">
      <w:pPr>
        <w:jc w:val="right"/>
        <w:rPr>
          <w:noProof/>
          <w:sz w:val="20"/>
        </w:rPr>
      </w:pPr>
      <w:r w:rsidRPr="008B4DA2">
        <w:rPr>
          <w:noProof/>
          <w:sz w:val="20"/>
        </w:rPr>
        <w:t>Środki na zobowiązania</w:t>
      </w:r>
      <w:r w:rsidR="00B83C93" w:rsidRPr="008B4DA2">
        <w:rPr>
          <w:noProof/>
          <w:sz w:val="20"/>
        </w:rPr>
        <w:t xml:space="preserve"> w</w:t>
      </w:r>
      <w:r w:rsidR="00B83C93">
        <w:rPr>
          <w:noProof/>
          <w:sz w:val="20"/>
        </w:rPr>
        <w:t> </w:t>
      </w:r>
      <w:r w:rsidR="00B83C93" w:rsidRPr="008B4DA2">
        <w:rPr>
          <w:noProof/>
          <w:sz w:val="20"/>
        </w:rPr>
        <w:t>mln</w:t>
      </w:r>
      <w:r w:rsidRPr="008B4DA2">
        <w:rPr>
          <w:noProof/>
          <w:sz w:val="20"/>
        </w:rPr>
        <w:t xml:space="preserve"> EUR (do trzech miejsc po przecinku)</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5148EA" w:rsidRPr="008B4DA2" w:rsidTr="00BF0434">
        <w:trPr>
          <w:jc w:val="center"/>
        </w:trPr>
        <w:tc>
          <w:tcPr>
            <w:tcW w:w="1423" w:type="dxa"/>
            <w:vMerge w:val="restart"/>
            <w:vAlign w:val="center"/>
          </w:tcPr>
          <w:p w:rsidR="005148EA" w:rsidRPr="008B4DA2" w:rsidRDefault="005148EA" w:rsidP="00BF0434">
            <w:pPr>
              <w:ind w:right="-29"/>
              <w:jc w:val="center"/>
              <w:rPr>
                <w:b/>
                <w:noProof/>
                <w:sz w:val="18"/>
                <w:szCs w:val="18"/>
              </w:rPr>
            </w:pPr>
            <w:r w:rsidRPr="008B4DA2">
              <w:rPr>
                <w:b/>
                <w:noProof/>
                <w:sz w:val="18"/>
              </w:rPr>
              <w:t>Określić cele</w:t>
            </w:r>
            <w:r w:rsidR="00B83C93" w:rsidRPr="008B4DA2">
              <w:rPr>
                <w:b/>
                <w:noProof/>
                <w:sz w:val="18"/>
              </w:rPr>
              <w:t xml:space="preserve"> i</w:t>
            </w:r>
            <w:r w:rsidR="00B83C93">
              <w:rPr>
                <w:b/>
                <w:noProof/>
                <w:sz w:val="18"/>
              </w:rPr>
              <w:t> </w:t>
            </w:r>
            <w:r w:rsidR="00B83C93" w:rsidRPr="008B4DA2">
              <w:rPr>
                <w:b/>
                <w:noProof/>
                <w:sz w:val="18"/>
              </w:rPr>
              <w:t>pro</w:t>
            </w:r>
            <w:r w:rsidRPr="008B4DA2">
              <w:rPr>
                <w:b/>
                <w:noProof/>
                <w:sz w:val="18"/>
              </w:rPr>
              <w:t xml:space="preserve">dukty </w:t>
            </w:r>
          </w:p>
          <w:p w:rsidR="005148EA" w:rsidRPr="008B4DA2" w:rsidRDefault="005148EA" w:rsidP="00BF0434">
            <w:pPr>
              <w:ind w:right="-29"/>
              <w:jc w:val="center"/>
              <w:rPr>
                <w:b/>
                <w:noProof/>
                <w:sz w:val="18"/>
                <w:szCs w:val="18"/>
              </w:rPr>
            </w:pPr>
          </w:p>
          <w:p w:rsidR="005148EA" w:rsidRPr="008B4DA2" w:rsidRDefault="005148EA" w:rsidP="00BF0434">
            <w:pPr>
              <w:ind w:right="-29"/>
              <w:jc w:val="center"/>
              <w:rPr>
                <w:noProof/>
                <w:sz w:val="18"/>
                <w:szCs w:val="18"/>
              </w:rPr>
            </w:pPr>
            <w:r w:rsidRPr="008B4DA2">
              <w:rPr>
                <w:rFonts w:ascii="Wingdings" w:hAnsi="Wingdings"/>
                <w:noProof/>
                <w:sz w:val="18"/>
              </w:rPr>
              <w:t></w:t>
            </w:r>
          </w:p>
        </w:tc>
        <w:tc>
          <w:tcPr>
            <w:tcW w:w="720" w:type="dxa"/>
            <w:vAlign w:val="center"/>
          </w:tcPr>
          <w:p w:rsidR="005148EA" w:rsidRPr="008B4DA2" w:rsidRDefault="005148EA" w:rsidP="00BF0434">
            <w:pPr>
              <w:ind w:right="-29"/>
              <w:jc w:val="center"/>
              <w:rPr>
                <w:noProof/>
                <w:sz w:val="18"/>
                <w:szCs w:val="18"/>
              </w:rPr>
            </w:pPr>
          </w:p>
        </w:tc>
        <w:tc>
          <w:tcPr>
            <w:tcW w:w="701" w:type="dxa"/>
            <w:vAlign w:val="center"/>
          </w:tcPr>
          <w:p w:rsidR="005148EA" w:rsidRPr="008B4DA2" w:rsidRDefault="005148EA" w:rsidP="00BF0434">
            <w:pPr>
              <w:ind w:right="-29"/>
              <w:jc w:val="center"/>
              <w:rPr>
                <w:noProof/>
                <w:sz w:val="18"/>
                <w:szCs w:val="18"/>
              </w:rPr>
            </w:pPr>
          </w:p>
        </w:tc>
        <w:tc>
          <w:tcPr>
            <w:tcW w:w="1224" w:type="dxa"/>
            <w:gridSpan w:val="2"/>
            <w:tcBorders>
              <w:left w:val="nil"/>
            </w:tcBorders>
            <w:vAlign w:val="center"/>
          </w:tcPr>
          <w:p w:rsidR="005148EA" w:rsidRPr="008B4DA2" w:rsidRDefault="005148EA" w:rsidP="00BF0434">
            <w:pPr>
              <w:ind w:right="-29"/>
              <w:jc w:val="center"/>
              <w:rPr>
                <w:noProof/>
                <w:sz w:val="18"/>
                <w:szCs w:val="18"/>
              </w:rPr>
            </w:pPr>
            <w:r w:rsidRPr="008B4DA2">
              <w:rPr>
                <w:noProof/>
                <w:sz w:val="18"/>
              </w:rPr>
              <w:t>Rok</w:t>
            </w:r>
            <w:r w:rsidRPr="008B4DA2">
              <w:rPr>
                <w:noProof/>
              </w:rPr>
              <w:t xml:space="preserve"> </w:t>
            </w:r>
            <w:r w:rsidRPr="008B4DA2">
              <w:rPr>
                <w:noProof/>
              </w:rPr>
              <w:br/>
            </w:r>
            <w:r w:rsidRPr="008B4DA2">
              <w:rPr>
                <w:b/>
                <w:noProof/>
                <w:sz w:val="18"/>
              </w:rPr>
              <w:t>N</w:t>
            </w:r>
          </w:p>
        </w:tc>
        <w:tc>
          <w:tcPr>
            <w:tcW w:w="1260" w:type="dxa"/>
            <w:gridSpan w:val="2"/>
            <w:vAlign w:val="center"/>
          </w:tcPr>
          <w:p w:rsidR="005148EA" w:rsidRPr="008B4DA2" w:rsidRDefault="005148EA" w:rsidP="00BF0434">
            <w:pPr>
              <w:ind w:right="-29"/>
              <w:jc w:val="center"/>
              <w:rPr>
                <w:noProof/>
                <w:sz w:val="18"/>
                <w:szCs w:val="18"/>
              </w:rPr>
            </w:pPr>
            <w:r w:rsidRPr="008B4DA2">
              <w:rPr>
                <w:noProof/>
                <w:sz w:val="18"/>
              </w:rPr>
              <w:t>Rok</w:t>
            </w:r>
            <w:r w:rsidRPr="008B4DA2">
              <w:rPr>
                <w:noProof/>
              </w:rPr>
              <w:t xml:space="preserve"> </w:t>
            </w:r>
            <w:r w:rsidRPr="008B4DA2">
              <w:rPr>
                <w:noProof/>
              </w:rPr>
              <w:br/>
            </w:r>
            <w:r w:rsidRPr="008B4DA2">
              <w:rPr>
                <w:b/>
                <w:noProof/>
                <w:sz w:val="18"/>
              </w:rPr>
              <w:t>N+1</w:t>
            </w:r>
          </w:p>
        </w:tc>
        <w:tc>
          <w:tcPr>
            <w:tcW w:w="1440" w:type="dxa"/>
            <w:gridSpan w:val="2"/>
            <w:vAlign w:val="center"/>
          </w:tcPr>
          <w:p w:rsidR="005148EA" w:rsidRPr="008B4DA2" w:rsidRDefault="005148EA" w:rsidP="00BF0434">
            <w:pPr>
              <w:ind w:right="-29"/>
              <w:jc w:val="center"/>
              <w:rPr>
                <w:noProof/>
                <w:sz w:val="18"/>
                <w:szCs w:val="18"/>
              </w:rPr>
            </w:pPr>
            <w:r w:rsidRPr="008B4DA2">
              <w:rPr>
                <w:noProof/>
                <w:sz w:val="18"/>
              </w:rPr>
              <w:t>Rok</w:t>
            </w:r>
            <w:r w:rsidRPr="008B4DA2">
              <w:rPr>
                <w:noProof/>
              </w:rPr>
              <w:t xml:space="preserve"> </w:t>
            </w:r>
            <w:r w:rsidRPr="008B4DA2">
              <w:rPr>
                <w:noProof/>
              </w:rPr>
              <w:br/>
            </w:r>
            <w:r w:rsidRPr="008B4DA2">
              <w:rPr>
                <w:b/>
                <w:noProof/>
                <w:sz w:val="18"/>
              </w:rPr>
              <w:t>N+2</w:t>
            </w:r>
          </w:p>
        </w:tc>
        <w:tc>
          <w:tcPr>
            <w:tcW w:w="1620" w:type="dxa"/>
            <w:gridSpan w:val="3"/>
            <w:vAlign w:val="center"/>
          </w:tcPr>
          <w:p w:rsidR="005148EA" w:rsidRPr="008B4DA2" w:rsidRDefault="005148EA" w:rsidP="00BF0434">
            <w:pPr>
              <w:ind w:right="-29"/>
              <w:jc w:val="center"/>
              <w:rPr>
                <w:noProof/>
                <w:sz w:val="18"/>
                <w:szCs w:val="18"/>
              </w:rPr>
            </w:pPr>
            <w:r w:rsidRPr="008B4DA2">
              <w:rPr>
                <w:noProof/>
                <w:sz w:val="18"/>
              </w:rPr>
              <w:t>Rok</w:t>
            </w:r>
            <w:r w:rsidRPr="008B4DA2">
              <w:rPr>
                <w:noProof/>
              </w:rPr>
              <w:t xml:space="preserve"> </w:t>
            </w:r>
            <w:r w:rsidRPr="008B4DA2">
              <w:rPr>
                <w:noProof/>
              </w:rPr>
              <w:br/>
            </w:r>
            <w:r w:rsidRPr="008B4DA2">
              <w:rPr>
                <w:b/>
                <w:noProof/>
                <w:sz w:val="18"/>
              </w:rPr>
              <w:t>N+3</w:t>
            </w:r>
          </w:p>
        </w:tc>
        <w:tc>
          <w:tcPr>
            <w:tcW w:w="3600" w:type="dxa"/>
            <w:gridSpan w:val="6"/>
            <w:vAlign w:val="center"/>
          </w:tcPr>
          <w:p w:rsidR="005148EA" w:rsidRPr="008B4DA2" w:rsidRDefault="005148EA" w:rsidP="00BF0434">
            <w:pPr>
              <w:jc w:val="center"/>
              <w:rPr>
                <w:noProof/>
                <w:sz w:val="18"/>
                <w:szCs w:val="18"/>
              </w:rPr>
            </w:pPr>
            <w:r w:rsidRPr="008B4DA2">
              <w:rPr>
                <w:noProof/>
                <w:sz w:val="18"/>
              </w:rPr>
              <w:t xml:space="preserve">Wprowadzić taką liczbę kolumn dla poszczególnych lat, jaka jest niezbędna, by odzwierciedlić cały okres wpływu (por. </w:t>
            </w:r>
            <w:r w:rsidRPr="00B83C93">
              <w:rPr>
                <w:noProof/>
                <w:sz w:val="18"/>
              </w:rPr>
              <w:t>pkt</w:t>
            </w:r>
            <w:r w:rsidR="00B83C93" w:rsidRPr="00B83C93">
              <w:rPr>
                <w:noProof/>
                <w:sz w:val="18"/>
              </w:rPr>
              <w:t> </w:t>
            </w:r>
            <w:r w:rsidRPr="00B83C93">
              <w:rPr>
                <w:noProof/>
                <w:sz w:val="18"/>
              </w:rPr>
              <w:t>1</w:t>
            </w:r>
            <w:r w:rsidRPr="008B4DA2">
              <w:rPr>
                <w:noProof/>
                <w:sz w:val="18"/>
              </w:rPr>
              <w:t>.6)</w:t>
            </w:r>
          </w:p>
        </w:tc>
        <w:tc>
          <w:tcPr>
            <w:tcW w:w="1620" w:type="dxa"/>
            <w:gridSpan w:val="2"/>
            <w:tcBorders>
              <w:left w:val="nil"/>
              <w:bottom w:val="nil"/>
            </w:tcBorders>
            <w:vAlign w:val="center"/>
          </w:tcPr>
          <w:p w:rsidR="005148EA" w:rsidRPr="008B4DA2" w:rsidRDefault="005148EA" w:rsidP="00BF0434">
            <w:pPr>
              <w:ind w:right="-29"/>
              <w:jc w:val="center"/>
              <w:rPr>
                <w:noProof/>
                <w:sz w:val="18"/>
                <w:szCs w:val="18"/>
              </w:rPr>
            </w:pPr>
            <w:r w:rsidRPr="008B4DA2">
              <w:rPr>
                <w:b/>
                <w:noProof/>
                <w:sz w:val="18"/>
              </w:rPr>
              <w:t>OGÓŁEM</w:t>
            </w:r>
          </w:p>
        </w:tc>
      </w:tr>
      <w:tr w:rsidR="005148EA" w:rsidRPr="008B4DA2" w:rsidTr="00BF0434">
        <w:trPr>
          <w:jc w:val="center"/>
        </w:trPr>
        <w:tc>
          <w:tcPr>
            <w:tcW w:w="1423" w:type="dxa"/>
            <w:vMerge/>
            <w:vAlign w:val="center"/>
          </w:tcPr>
          <w:p w:rsidR="005148EA" w:rsidRPr="008B4DA2" w:rsidRDefault="005148EA" w:rsidP="00BF0434">
            <w:pPr>
              <w:ind w:right="-29"/>
              <w:jc w:val="center"/>
              <w:rPr>
                <w:noProof/>
                <w:sz w:val="18"/>
                <w:szCs w:val="18"/>
              </w:rPr>
            </w:pPr>
          </w:p>
        </w:tc>
        <w:tc>
          <w:tcPr>
            <w:tcW w:w="12185" w:type="dxa"/>
            <w:gridSpan w:val="19"/>
            <w:vAlign w:val="center"/>
          </w:tcPr>
          <w:p w:rsidR="005148EA" w:rsidRPr="008B4DA2" w:rsidRDefault="005148EA" w:rsidP="00BF0434">
            <w:pPr>
              <w:spacing w:before="60" w:after="60"/>
              <w:ind w:right="-29"/>
              <w:jc w:val="center"/>
              <w:rPr>
                <w:noProof/>
                <w:sz w:val="18"/>
                <w:szCs w:val="18"/>
              </w:rPr>
            </w:pPr>
            <w:r w:rsidRPr="008B4DA2">
              <w:rPr>
                <w:b/>
                <w:noProof/>
                <w:sz w:val="18"/>
              </w:rPr>
              <w:t>PRODUKT</w:t>
            </w:r>
          </w:p>
        </w:tc>
      </w:tr>
      <w:tr w:rsidR="005F0539" w:rsidRPr="008B4DA2" w:rsidTr="00BF0434">
        <w:trPr>
          <w:cantSplit/>
          <w:trHeight w:val="1134"/>
          <w:jc w:val="center"/>
        </w:trPr>
        <w:tc>
          <w:tcPr>
            <w:tcW w:w="1423" w:type="dxa"/>
            <w:vMerge/>
            <w:vAlign w:val="center"/>
          </w:tcPr>
          <w:p w:rsidR="005148EA" w:rsidRPr="008B4DA2" w:rsidRDefault="005148EA" w:rsidP="00BF0434">
            <w:pPr>
              <w:rPr>
                <w:noProof/>
                <w:sz w:val="18"/>
                <w:szCs w:val="18"/>
              </w:rPr>
            </w:pPr>
          </w:p>
        </w:tc>
        <w:tc>
          <w:tcPr>
            <w:tcW w:w="720" w:type="dxa"/>
            <w:vAlign w:val="center"/>
          </w:tcPr>
          <w:p w:rsidR="005148EA" w:rsidRPr="008B4DA2" w:rsidRDefault="005148EA" w:rsidP="00BF0434">
            <w:pPr>
              <w:jc w:val="center"/>
              <w:rPr>
                <w:noProof/>
                <w:sz w:val="18"/>
                <w:szCs w:val="18"/>
              </w:rPr>
            </w:pPr>
            <w:r w:rsidRPr="008B4DA2">
              <w:rPr>
                <w:noProof/>
                <w:sz w:val="18"/>
              </w:rPr>
              <w:t>Rodzaj</w:t>
            </w:r>
            <w:r w:rsidRPr="008B4DA2">
              <w:rPr>
                <w:rStyle w:val="FootnoteReference"/>
                <w:noProof/>
              </w:rPr>
              <w:footnoteReference w:id="84"/>
            </w:r>
          </w:p>
          <w:p w:rsidR="005148EA" w:rsidRPr="008B4DA2" w:rsidRDefault="005148EA" w:rsidP="00BF0434">
            <w:pPr>
              <w:spacing w:before="0" w:after="0"/>
              <w:jc w:val="center"/>
              <w:rPr>
                <w:noProof/>
                <w:sz w:val="18"/>
                <w:szCs w:val="18"/>
              </w:rPr>
            </w:pPr>
          </w:p>
        </w:tc>
        <w:tc>
          <w:tcPr>
            <w:tcW w:w="701" w:type="dxa"/>
            <w:vAlign w:val="center"/>
          </w:tcPr>
          <w:p w:rsidR="005148EA" w:rsidRPr="008B4DA2" w:rsidRDefault="005148EA" w:rsidP="00BF0434">
            <w:pPr>
              <w:jc w:val="center"/>
              <w:rPr>
                <w:noProof/>
                <w:sz w:val="18"/>
                <w:szCs w:val="18"/>
              </w:rPr>
            </w:pPr>
            <w:r w:rsidRPr="008B4DA2">
              <w:rPr>
                <w:noProof/>
                <w:sz w:val="18"/>
              </w:rPr>
              <w:t>Średni koszt</w:t>
            </w:r>
          </w:p>
        </w:tc>
        <w:tc>
          <w:tcPr>
            <w:tcW w:w="504" w:type="dxa"/>
            <w:tcBorders>
              <w:left w:val="nil"/>
              <w:right w:val="dashSmallGap" w:sz="4" w:space="0" w:color="auto"/>
            </w:tcBorders>
            <w:shd w:val="pct10" w:color="auto" w:fill="auto"/>
            <w:textDirection w:val="btLr"/>
            <w:vAlign w:val="center"/>
          </w:tcPr>
          <w:p w:rsidR="005148EA" w:rsidRPr="008B4DA2" w:rsidRDefault="005148EA" w:rsidP="00BF0434">
            <w:pPr>
              <w:ind w:left="113" w:right="113"/>
              <w:jc w:val="center"/>
              <w:rPr>
                <w:noProof/>
                <w:sz w:val="18"/>
                <w:szCs w:val="18"/>
              </w:rPr>
            </w:pPr>
            <w:r w:rsidRPr="008B4DA2">
              <w:rPr>
                <w:noProof/>
                <w:sz w:val="18"/>
              </w:rPr>
              <w:t>Liczba</w:t>
            </w:r>
          </w:p>
        </w:tc>
        <w:tc>
          <w:tcPr>
            <w:tcW w:w="720" w:type="dxa"/>
            <w:tcBorders>
              <w:left w:val="dashSmallGap" w:sz="4" w:space="0" w:color="auto"/>
            </w:tcBorders>
            <w:shd w:val="pct10" w:color="auto" w:fill="auto"/>
            <w:vAlign w:val="center"/>
          </w:tcPr>
          <w:p w:rsidR="005148EA" w:rsidRPr="008B4DA2" w:rsidRDefault="005148EA" w:rsidP="00BF0434">
            <w:pPr>
              <w:jc w:val="center"/>
              <w:rPr>
                <w:noProof/>
                <w:sz w:val="18"/>
                <w:szCs w:val="18"/>
              </w:rPr>
            </w:pPr>
            <w:r w:rsidRPr="008B4DA2">
              <w:rPr>
                <w:noProof/>
                <w:sz w:val="18"/>
              </w:rPr>
              <w:t>Koszt</w:t>
            </w:r>
          </w:p>
        </w:tc>
        <w:tc>
          <w:tcPr>
            <w:tcW w:w="540" w:type="dxa"/>
            <w:tcBorders>
              <w:right w:val="dashSmallGap" w:sz="4" w:space="0" w:color="auto"/>
            </w:tcBorders>
            <w:shd w:val="pct10" w:color="auto" w:fill="auto"/>
            <w:textDirection w:val="btLr"/>
            <w:vAlign w:val="center"/>
          </w:tcPr>
          <w:p w:rsidR="005148EA" w:rsidRPr="008B4DA2" w:rsidRDefault="005148EA" w:rsidP="00BF0434">
            <w:pPr>
              <w:ind w:left="113" w:right="113"/>
              <w:jc w:val="center"/>
              <w:rPr>
                <w:noProof/>
                <w:sz w:val="18"/>
                <w:szCs w:val="18"/>
              </w:rPr>
            </w:pPr>
            <w:r w:rsidRPr="008B4DA2">
              <w:rPr>
                <w:noProof/>
                <w:sz w:val="18"/>
              </w:rPr>
              <w:t>Liczba</w:t>
            </w:r>
          </w:p>
        </w:tc>
        <w:tc>
          <w:tcPr>
            <w:tcW w:w="720" w:type="dxa"/>
            <w:tcBorders>
              <w:left w:val="dashSmallGap" w:sz="4" w:space="0" w:color="auto"/>
            </w:tcBorders>
            <w:shd w:val="pct10" w:color="auto" w:fill="auto"/>
            <w:vAlign w:val="center"/>
          </w:tcPr>
          <w:p w:rsidR="005148EA" w:rsidRPr="008B4DA2" w:rsidRDefault="005148EA" w:rsidP="00BF0434">
            <w:pPr>
              <w:jc w:val="center"/>
              <w:rPr>
                <w:noProof/>
                <w:sz w:val="18"/>
                <w:szCs w:val="18"/>
              </w:rPr>
            </w:pPr>
            <w:r w:rsidRPr="008B4DA2">
              <w:rPr>
                <w:noProof/>
                <w:sz w:val="18"/>
              </w:rPr>
              <w:t>Koszt</w:t>
            </w:r>
          </w:p>
        </w:tc>
        <w:tc>
          <w:tcPr>
            <w:tcW w:w="720" w:type="dxa"/>
            <w:tcBorders>
              <w:right w:val="dashSmallGap" w:sz="4" w:space="0" w:color="auto"/>
            </w:tcBorders>
            <w:shd w:val="pct10" w:color="auto" w:fill="auto"/>
            <w:textDirection w:val="btLr"/>
            <w:vAlign w:val="center"/>
          </w:tcPr>
          <w:p w:rsidR="005148EA" w:rsidRPr="008B4DA2" w:rsidRDefault="005148EA" w:rsidP="00BF0434">
            <w:pPr>
              <w:ind w:left="113" w:right="113"/>
              <w:jc w:val="center"/>
              <w:rPr>
                <w:noProof/>
                <w:sz w:val="18"/>
                <w:szCs w:val="18"/>
              </w:rPr>
            </w:pPr>
            <w:r w:rsidRPr="008B4DA2">
              <w:rPr>
                <w:noProof/>
                <w:sz w:val="18"/>
              </w:rPr>
              <w:t>Liczba</w:t>
            </w:r>
          </w:p>
        </w:tc>
        <w:tc>
          <w:tcPr>
            <w:tcW w:w="720" w:type="dxa"/>
            <w:tcBorders>
              <w:left w:val="dashSmallGap" w:sz="4" w:space="0" w:color="auto"/>
            </w:tcBorders>
            <w:shd w:val="pct10" w:color="auto" w:fill="auto"/>
            <w:vAlign w:val="center"/>
          </w:tcPr>
          <w:p w:rsidR="005148EA" w:rsidRPr="008B4DA2" w:rsidRDefault="005148EA" w:rsidP="00BF0434">
            <w:pPr>
              <w:jc w:val="center"/>
              <w:rPr>
                <w:noProof/>
                <w:sz w:val="18"/>
                <w:szCs w:val="18"/>
              </w:rPr>
            </w:pPr>
            <w:r w:rsidRPr="008B4DA2">
              <w:rPr>
                <w:noProof/>
                <w:sz w:val="18"/>
              </w:rPr>
              <w:t>Koszt</w:t>
            </w:r>
          </w:p>
        </w:tc>
        <w:tc>
          <w:tcPr>
            <w:tcW w:w="900" w:type="dxa"/>
            <w:tcBorders>
              <w:right w:val="dashSmallGap" w:sz="4" w:space="0" w:color="auto"/>
            </w:tcBorders>
            <w:shd w:val="pct10" w:color="auto" w:fill="auto"/>
            <w:textDirection w:val="btLr"/>
            <w:vAlign w:val="center"/>
          </w:tcPr>
          <w:p w:rsidR="005148EA" w:rsidRPr="008B4DA2" w:rsidRDefault="005148EA" w:rsidP="00BF0434">
            <w:pPr>
              <w:ind w:left="113" w:right="113"/>
              <w:jc w:val="center"/>
              <w:rPr>
                <w:noProof/>
                <w:sz w:val="18"/>
                <w:szCs w:val="18"/>
              </w:rPr>
            </w:pPr>
            <w:r w:rsidRPr="008B4DA2">
              <w:rPr>
                <w:noProof/>
                <w:sz w:val="18"/>
              </w:rPr>
              <w:t>Liczba</w:t>
            </w:r>
          </w:p>
        </w:tc>
        <w:tc>
          <w:tcPr>
            <w:tcW w:w="720" w:type="dxa"/>
            <w:gridSpan w:val="2"/>
            <w:tcBorders>
              <w:left w:val="dashSmallGap" w:sz="4" w:space="0" w:color="auto"/>
            </w:tcBorders>
            <w:shd w:val="pct10" w:color="auto" w:fill="auto"/>
            <w:vAlign w:val="center"/>
          </w:tcPr>
          <w:p w:rsidR="005148EA" w:rsidRPr="008B4DA2" w:rsidRDefault="005148EA" w:rsidP="00BF0434">
            <w:pPr>
              <w:jc w:val="center"/>
              <w:rPr>
                <w:noProof/>
                <w:sz w:val="18"/>
                <w:szCs w:val="18"/>
              </w:rPr>
            </w:pPr>
            <w:r w:rsidRPr="008B4DA2">
              <w:rPr>
                <w:noProof/>
                <w:sz w:val="18"/>
              </w:rPr>
              <w:t>Koszt</w:t>
            </w:r>
          </w:p>
        </w:tc>
        <w:tc>
          <w:tcPr>
            <w:tcW w:w="540" w:type="dxa"/>
            <w:tcBorders>
              <w:right w:val="dashSmallGap" w:sz="4" w:space="0" w:color="auto"/>
            </w:tcBorders>
            <w:shd w:val="pct10" w:color="auto" w:fill="auto"/>
            <w:textDirection w:val="btLr"/>
            <w:vAlign w:val="center"/>
          </w:tcPr>
          <w:p w:rsidR="005148EA" w:rsidRPr="008B4DA2" w:rsidRDefault="005148EA" w:rsidP="00BF0434">
            <w:pPr>
              <w:ind w:left="113" w:right="113"/>
              <w:jc w:val="center"/>
              <w:rPr>
                <w:noProof/>
                <w:sz w:val="18"/>
                <w:szCs w:val="18"/>
              </w:rPr>
            </w:pPr>
            <w:r w:rsidRPr="008B4DA2">
              <w:rPr>
                <w:noProof/>
                <w:sz w:val="18"/>
              </w:rPr>
              <w:t>Liczba</w:t>
            </w:r>
          </w:p>
        </w:tc>
        <w:tc>
          <w:tcPr>
            <w:tcW w:w="648" w:type="dxa"/>
            <w:tcBorders>
              <w:left w:val="dashSmallGap" w:sz="4" w:space="0" w:color="auto"/>
            </w:tcBorders>
            <w:shd w:val="pct10" w:color="auto" w:fill="auto"/>
            <w:vAlign w:val="center"/>
          </w:tcPr>
          <w:p w:rsidR="005148EA" w:rsidRPr="008B4DA2" w:rsidRDefault="005148EA" w:rsidP="00BF0434">
            <w:pPr>
              <w:jc w:val="center"/>
              <w:rPr>
                <w:noProof/>
                <w:sz w:val="18"/>
                <w:szCs w:val="18"/>
              </w:rPr>
            </w:pPr>
            <w:r w:rsidRPr="008B4DA2">
              <w:rPr>
                <w:noProof/>
                <w:sz w:val="18"/>
              </w:rPr>
              <w:t>Koszt</w:t>
            </w:r>
          </w:p>
        </w:tc>
        <w:tc>
          <w:tcPr>
            <w:tcW w:w="432" w:type="dxa"/>
            <w:tcBorders>
              <w:right w:val="dashSmallGap" w:sz="4" w:space="0" w:color="auto"/>
            </w:tcBorders>
            <w:shd w:val="pct10" w:color="auto" w:fill="auto"/>
            <w:textDirection w:val="btLr"/>
            <w:vAlign w:val="center"/>
          </w:tcPr>
          <w:p w:rsidR="005148EA" w:rsidRPr="008B4DA2" w:rsidRDefault="005148EA" w:rsidP="00BF0434">
            <w:pPr>
              <w:ind w:left="113" w:right="113"/>
              <w:jc w:val="center"/>
              <w:rPr>
                <w:noProof/>
                <w:sz w:val="18"/>
                <w:szCs w:val="18"/>
              </w:rPr>
            </w:pPr>
            <w:r w:rsidRPr="008B4DA2">
              <w:rPr>
                <w:noProof/>
                <w:sz w:val="18"/>
              </w:rPr>
              <w:t>Liczba</w:t>
            </w:r>
          </w:p>
        </w:tc>
        <w:tc>
          <w:tcPr>
            <w:tcW w:w="720" w:type="dxa"/>
            <w:tcBorders>
              <w:left w:val="dashSmallGap" w:sz="4" w:space="0" w:color="auto"/>
            </w:tcBorders>
            <w:shd w:val="pct10" w:color="auto" w:fill="auto"/>
            <w:vAlign w:val="center"/>
          </w:tcPr>
          <w:p w:rsidR="005148EA" w:rsidRPr="008B4DA2" w:rsidRDefault="005148EA" w:rsidP="00BF0434">
            <w:pPr>
              <w:jc w:val="center"/>
              <w:rPr>
                <w:noProof/>
                <w:sz w:val="18"/>
                <w:szCs w:val="18"/>
              </w:rPr>
            </w:pPr>
            <w:r w:rsidRPr="008B4DA2">
              <w:rPr>
                <w:noProof/>
                <w:sz w:val="18"/>
              </w:rPr>
              <w:t>Koszt</w:t>
            </w:r>
          </w:p>
        </w:tc>
        <w:tc>
          <w:tcPr>
            <w:tcW w:w="540" w:type="dxa"/>
            <w:tcBorders>
              <w:right w:val="dashSmallGap" w:sz="4" w:space="0" w:color="auto"/>
            </w:tcBorders>
            <w:shd w:val="pct10" w:color="auto" w:fill="auto"/>
            <w:textDirection w:val="btLr"/>
            <w:vAlign w:val="center"/>
          </w:tcPr>
          <w:p w:rsidR="005148EA" w:rsidRPr="008B4DA2" w:rsidRDefault="005148EA" w:rsidP="00BF0434">
            <w:pPr>
              <w:ind w:left="113" w:right="113"/>
              <w:jc w:val="center"/>
              <w:rPr>
                <w:noProof/>
                <w:sz w:val="18"/>
                <w:szCs w:val="18"/>
              </w:rPr>
            </w:pPr>
            <w:r w:rsidRPr="008B4DA2">
              <w:rPr>
                <w:noProof/>
                <w:sz w:val="18"/>
              </w:rPr>
              <w:t>Liczba</w:t>
            </w:r>
          </w:p>
        </w:tc>
        <w:tc>
          <w:tcPr>
            <w:tcW w:w="720" w:type="dxa"/>
            <w:tcBorders>
              <w:left w:val="dashSmallGap" w:sz="4" w:space="0" w:color="auto"/>
            </w:tcBorders>
            <w:shd w:val="pct10" w:color="auto" w:fill="auto"/>
            <w:vAlign w:val="center"/>
          </w:tcPr>
          <w:p w:rsidR="005148EA" w:rsidRPr="008B4DA2" w:rsidRDefault="005148EA" w:rsidP="00BF0434">
            <w:pPr>
              <w:jc w:val="center"/>
              <w:rPr>
                <w:noProof/>
                <w:sz w:val="18"/>
                <w:szCs w:val="18"/>
              </w:rPr>
            </w:pPr>
            <w:r w:rsidRPr="008B4DA2">
              <w:rPr>
                <w:noProof/>
                <w:sz w:val="18"/>
              </w:rPr>
              <w:t>Koszt</w:t>
            </w:r>
          </w:p>
        </w:tc>
        <w:tc>
          <w:tcPr>
            <w:tcW w:w="720" w:type="dxa"/>
            <w:tcBorders>
              <w:right w:val="dashSmallGap" w:sz="4" w:space="0" w:color="auto"/>
            </w:tcBorders>
            <w:shd w:val="pct10" w:color="auto" w:fill="auto"/>
            <w:vAlign w:val="center"/>
          </w:tcPr>
          <w:p w:rsidR="005148EA" w:rsidRPr="008B4DA2" w:rsidRDefault="005148EA" w:rsidP="00BF0434">
            <w:pPr>
              <w:jc w:val="center"/>
              <w:rPr>
                <w:noProof/>
                <w:sz w:val="18"/>
                <w:szCs w:val="18"/>
              </w:rPr>
            </w:pPr>
            <w:r w:rsidRPr="008B4DA2">
              <w:rPr>
                <w:noProof/>
                <w:sz w:val="18"/>
              </w:rPr>
              <w:t>Liczba ogółem</w:t>
            </w:r>
          </w:p>
        </w:tc>
        <w:tc>
          <w:tcPr>
            <w:tcW w:w="900" w:type="dxa"/>
            <w:tcBorders>
              <w:left w:val="dashSmallGap" w:sz="4" w:space="0" w:color="auto"/>
            </w:tcBorders>
            <w:shd w:val="pct10" w:color="auto" w:fill="auto"/>
            <w:vAlign w:val="center"/>
          </w:tcPr>
          <w:p w:rsidR="005148EA" w:rsidRPr="008B4DA2" w:rsidRDefault="005148EA" w:rsidP="00BF0434">
            <w:pPr>
              <w:jc w:val="center"/>
              <w:rPr>
                <w:noProof/>
                <w:sz w:val="18"/>
                <w:szCs w:val="18"/>
              </w:rPr>
            </w:pPr>
            <w:r w:rsidRPr="008B4DA2">
              <w:rPr>
                <w:noProof/>
                <w:sz w:val="18"/>
              </w:rPr>
              <w:t>Koszt całkowity</w:t>
            </w:r>
          </w:p>
        </w:tc>
      </w:tr>
      <w:tr w:rsidR="005148EA" w:rsidRPr="008B4DA2" w:rsidTr="00BF0434">
        <w:trPr>
          <w:jc w:val="center"/>
        </w:trPr>
        <w:tc>
          <w:tcPr>
            <w:tcW w:w="2844" w:type="dxa"/>
            <w:gridSpan w:val="3"/>
            <w:vAlign w:val="center"/>
          </w:tcPr>
          <w:p w:rsidR="005148EA" w:rsidRPr="008B4DA2" w:rsidRDefault="005148EA" w:rsidP="00BF0434">
            <w:pPr>
              <w:spacing w:before="60" w:after="60"/>
              <w:ind w:right="-29"/>
              <w:jc w:val="center"/>
              <w:rPr>
                <w:noProof/>
                <w:sz w:val="18"/>
                <w:szCs w:val="18"/>
              </w:rPr>
            </w:pPr>
            <w:r w:rsidRPr="008B4DA2">
              <w:rPr>
                <w:noProof/>
                <w:sz w:val="18"/>
              </w:rPr>
              <w:t xml:space="preserve">CEL SZCZEGÓŁOWY </w:t>
            </w:r>
            <w:r w:rsidRPr="00B83C93">
              <w:rPr>
                <w:noProof/>
                <w:sz w:val="18"/>
              </w:rPr>
              <w:t>nr</w:t>
            </w:r>
            <w:r w:rsidR="00B83C93" w:rsidRPr="00B83C93">
              <w:rPr>
                <w:noProof/>
                <w:sz w:val="18"/>
              </w:rPr>
              <w:t> </w:t>
            </w:r>
            <w:r w:rsidRPr="00B83C93">
              <w:rPr>
                <w:noProof/>
                <w:sz w:val="18"/>
              </w:rPr>
              <w:t>1</w:t>
            </w:r>
            <w:r w:rsidRPr="008B4DA2">
              <w:rPr>
                <w:rStyle w:val="FootnoteReference"/>
                <w:noProof/>
              </w:rPr>
              <w:footnoteReference w:id="85"/>
            </w:r>
            <w:r w:rsidRPr="008B4DA2">
              <w:rPr>
                <w:noProof/>
                <w:sz w:val="18"/>
              </w:rPr>
              <w:t>…</w:t>
            </w:r>
          </w:p>
        </w:tc>
        <w:tc>
          <w:tcPr>
            <w:tcW w:w="504"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54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90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720" w:type="dxa"/>
            <w:gridSpan w:val="2"/>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54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648"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432"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54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90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r>
      <w:tr w:rsidR="005148EA" w:rsidRPr="008B4DA2" w:rsidTr="00BF0434">
        <w:trPr>
          <w:trHeight w:hRule="exact" w:val="369"/>
          <w:jc w:val="center"/>
        </w:trPr>
        <w:tc>
          <w:tcPr>
            <w:tcW w:w="1423" w:type="dxa"/>
          </w:tcPr>
          <w:p w:rsidR="005148EA" w:rsidRPr="008B4DA2" w:rsidRDefault="005148EA" w:rsidP="00BF0434">
            <w:pPr>
              <w:ind w:right="-29"/>
              <w:jc w:val="center"/>
              <w:rPr>
                <w:noProof/>
                <w:sz w:val="18"/>
                <w:szCs w:val="18"/>
              </w:rPr>
            </w:pPr>
            <w:r w:rsidRPr="008B4DA2">
              <w:rPr>
                <w:noProof/>
                <w:sz w:val="18"/>
              </w:rPr>
              <w:t>- Produkt</w:t>
            </w:r>
          </w:p>
        </w:tc>
        <w:tc>
          <w:tcPr>
            <w:tcW w:w="720" w:type="dxa"/>
          </w:tcPr>
          <w:p w:rsidR="005148EA" w:rsidRPr="008B4DA2" w:rsidRDefault="005148EA" w:rsidP="00BF0434">
            <w:pPr>
              <w:ind w:right="-29"/>
              <w:jc w:val="center"/>
              <w:rPr>
                <w:noProof/>
                <w:sz w:val="18"/>
                <w:szCs w:val="18"/>
              </w:rPr>
            </w:pPr>
          </w:p>
        </w:tc>
        <w:tc>
          <w:tcPr>
            <w:tcW w:w="701" w:type="dxa"/>
          </w:tcPr>
          <w:p w:rsidR="005148EA" w:rsidRPr="008B4DA2" w:rsidRDefault="005148EA" w:rsidP="00BF0434">
            <w:pPr>
              <w:ind w:right="-29"/>
              <w:jc w:val="center"/>
              <w:rPr>
                <w:noProof/>
                <w:sz w:val="18"/>
                <w:szCs w:val="18"/>
              </w:rPr>
            </w:pPr>
          </w:p>
        </w:tc>
        <w:tc>
          <w:tcPr>
            <w:tcW w:w="504" w:type="dxa"/>
            <w:tcBorders>
              <w:right w:val="dashSmallGap" w:sz="4" w:space="0" w:color="auto"/>
            </w:tcBorders>
          </w:tcPr>
          <w:p w:rsidR="005148EA" w:rsidRPr="008B4DA2" w:rsidRDefault="005148EA" w:rsidP="00BF0434">
            <w:pPr>
              <w:ind w:right="-29"/>
              <w:jc w:val="center"/>
              <w:rPr>
                <w:noProof/>
                <w:sz w:val="18"/>
                <w:szCs w:val="18"/>
              </w:rPr>
            </w:pPr>
          </w:p>
        </w:tc>
        <w:tc>
          <w:tcPr>
            <w:tcW w:w="720" w:type="dxa"/>
            <w:tcBorders>
              <w:left w:val="dashSmallGap" w:sz="4" w:space="0" w:color="auto"/>
            </w:tcBorders>
          </w:tcPr>
          <w:p w:rsidR="005148EA" w:rsidRPr="008B4DA2" w:rsidRDefault="005148EA" w:rsidP="00BF0434">
            <w:pPr>
              <w:ind w:right="-29"/>
              <w:jc w:val="center"/>
              <w:rPr>
                <w:noProof/>
                <w:sz w:val="18"/>
                <w:szCs w:val="18"/>
              </w:rPr>
            </w:pPr>
          </w:p>
        </w:tc>
        <w:tc>
          <w:tcPr>
            <w:tcW w:w="540" w:type="dxa"/>
            <w:tcBorders>
              <w:right w:val="dashSmallGap" w:sz="4" w:space="0" w:color="auto"/>
            </w:tcBorders>
          </w:tcPr>
          <w:p w:rsidR="005148EA" w:rsidRPr="008B4DA2" w:rsidRDefault="005148EA" w:rsidP="00BF0434">
            <w:pPr>
              <w:ind w:right="-29"/>
              <w:jc w:val="center"/>
              <w:rPr>
                <w:noProof/>
                <w:sz w:val="18"/>
                <w:szCs w:val="18"/>
              </w:rPr>
            </w:pPr>
          </w:p>
        </w:tc>
        <w:tc>
          <w:tcPr>
            <w:tcW w:w="720" w:type="dxa"/>
            <w:tcBorders>
              <w:left w:val="dashSmallGap" w:sz="4" w:space="0" w:color="auto"/>
            </w:tcBorders>
          </w:tcPr>
          <w:p w:rsidR="005148EA" w:rsidRPr="008B4DA2" w:rsidRDefault="005148EA" w:rsidP="00BF0434">
            <w:pPr>
              <w:ind w:right="-29"/>
              <w:jc w:val="center"/>
              <w:rPr>
                <w:noProof/>
                <w:sz w:val="18"/>
                <w:szCs w:val="18"/>
              </w:rPr>
            </w:pPr>
          </w:p>
        </w:tc>
        <w:tc>
          <w:tcPr>
            <w:tcW w:w="720" w:type="dxa"/>
            <w:tcBorders>
              <w:right w:val="dashSmallGap" w:sz="4" w:space="0" w:color="auto"/>
            </w:tcBorders>
          </w:tcPr>
          <w:p w:rsidR="005148EA" w:rsidRPr="008B4DA2" w:rsidRDefault="005148EA" w:rsidP="00BF0434">
            <w:pPr>
              <w:ind w:right="-29"/>
              <w:jc w:val="center"/>
              <w:rPr>
                <w:noProof/>
                <w:sz w:val="18"/>
                <w:szCs w:val="18"/>
              </w:rPr>
            </w:pPr>
          </w:p>
        </w:tc>
        <w:tc>
          <w:tcPr>
            <w:tcW w:w="720" w:type="dxa"/>
            <w:tcBorders>
              <w:left w:val="dashSmallGap" w:sz="4" w:space="0" w:color="auto"/>
            </w:tcBorders>
          </w:tcPr>
          <w:p w:rsidR="005148EA" w:rsidRPr="008B4DA2" w:rsidRDefault="005148EA" w:rsidP="00BF0434">
            <w:pPr>
              <w:ind w:right="-29"/>
              <w:jc w:val="center"/>
              <w:rPr>
                <w:noProof/>
                <w:sz w:val="18"/>
                <w:szCs w:val="18"/>
              </w:rPr>
            </w:pPr>
          </w:p>
        </w:tc>
        <w:tc>
          <w:tcPr>
            <w:tcW w:w="900" w:type="dxa"/>
            <w:tcBorders>
              <w:right w:val="dashSmallGap" w:sz="4" w:space="0" w:color="auto"/>
            </w:tcBorders>
          </w:tcPr>
          <w:p w:rsidR="005148EA" w:rsidRPr="008B4DA2" w:rsidRDefault="005148EA" w:rsidP="00BF0434">
            <w:pPr>
              <w:ind w:right="-29"/>
              <w:jc w:val="center"/>
              <w:rPr>
                <w:noProof/>
                <w:sz w:val="18"/>
                <w:szCs w:val="18"/>
              </w:rPr>
            </w:pPr>
          </w:p>
        </w:tc>
        <w:tc>
          <w:tcPr>
            <w:tcW w:w="720" w:type="dxa"/>
            <w:gridSpan w:val="2"/>
            <w:tcBorders>
              <w:left w:val="dashSmallGap" w:sz="4" w:space="0" w:color="auto"/>
            </w:tcBorders>
          </w:tcPr>
          <w:p w:rsidR="005148EA" w:rsidRPr="008B4DA2" w:rsidRDefault="005148EA" w:rsidP="00BF0434">
            <w:pPr>
              <w:ind w:right="-29"/>
              <w:jc w:val="center"/>
              <w:rPr>
                <w:noProof/>
                <w:sz w:val="18"/>
                <w:szCs w:val="18"/>
              </w:rPr>
            </w:pPr>
          </w:p>
        </w:tc>
        <w:tc>
          <w:tcPr>
            <w:tcW w:w="540" w:type="dxa"/>
            <w:tcBorders>
              <w:right w:val="dashSmallGap" w:sz="4" w:space="0" w:color="auto"/>
            </w:tcBorders>
          </w:tcPr>
          <w:p w:rsidR="005148EA" w:rsidRPr="008B4DA2" w:rsidRDefault="005148EA" w:rsidP="00BF0434">
            <w:pPr>
              <w:ind w:right="-29"/>
              <w:jc w:val="center"/>
              <w:rPr>
                <w:noProof/>
                <w:sz w:val="18"/>
                <w:szCs w:val="18"/>
              </w:rPr>
            </w:pPr>
          </w:p>
        </w:tc>
        <w:tc>
          <w:tcPr>
            <w:tcW w:w="648" w:type="dxa"/>
            <w:tcBorders>
              <w:left w:val="dashSmallGap" w:sz="4" w:space="0" w:color="auto"/>
            </w:tcBorders>
          </w:tcPr>
          <w:p w:rsidR="005148EA" w:rsidRPr="008B4DA2" w:rsidRDefault="005148EA" w:rsidP="00BF0434">
            <w:pPr>
              <w:ind w:right="-29"/>
              <w:jc w:val="center"/>
              <w:rPr>
                <w:noProof/>
                <w:sz w:val="18"/>
                <w:szCs w:val="18"/>
              </w:rPr>
            </w:pPr>
          </w:p>
        </w:tc>
        <w:tc>
          <w:tcPr>
            <w:tcW w:w="432" w:type="dxa"/>
            <w:tcBorders>
              <w:right w:val="dashSmallGap" w:sz="4" w:space="0" w:color="auto"/>
            </w:tcBorders>
          </w:tcPr>
          <w:p w:rsidR="005148EA" w:rsidRPr="008B4DA2" w:rsidRDefault="005148EA" w:rsidP="00BF0434">
            <w:pPr>
              <w:ind w:right="-29"/>
              <w:jc w:val="center"/>
              <w:rPr>
                <w:noProof/>
                <w:sz w:val="18"/>
                <w:szCs w:val="18"/>
              </w:rPr>
            </w:pPr>
          </w:p>
        </w:tc>
        <w:tc>
          <w:tcPr>
            <w:tcW w:w="720" w:type="dxa"/>
            <w:tcBorders>
              <w:left w:val="dashSmallGap" w:sz="4" w:space="0" w:color="auto"/>
            </w:tcBorders>
          </w:tcPr>
          <w:p w:rsidR="005148EA" w:rsidRPr="008B4DA2" w:rsidRDefault="005148EA" w:rsidP="00BF0434">
            <w:pPr>
              <w:ind w:right="-29"/>
              <w:jc w:val="center"/>
              <w:rPr>
                <w:noProof/>
                <w:sz w:val="18"/>
                <w:szCs w:val="18"/>
              </w:rPr>
            </w:pPr>
          </w:p>
        </w:tc>
        <w:tc>
          <w:tcPr>
            <w:tcW w:w="540" w:type="dxa"/>
            <w:tcBorders>
              <w:right w:val="dashSmallGap" w:sz="4" w:space="0" w:color="auto"/>
            </w:tcBorders>
          </w:tcPr>
          <w:p w:rsidR="005148EA" w:rsidRPr="008B4DA2" w:rsidRDefault="005148EA" w:rsidP="00BF0434">
            <w:pPr>
              <w:ind w:right="-29"/>
              <w:jc w:val="center"/>
              <w:rPr>
                <w:noProof/>
                <w:sz w:val="18"/>
                <w:szCs w:val="18"/>
              </w:rPr>
            </w:pPr>
          </w:p>
        </w:tc>
        <w:tc>
          <w:tcPr>
            <w:tcW w:w="720" w:type="dxa"/>
            <w:tcBorders>
              <w:left w:val="dashSmallGap" w:sz="4" w:space="0" w:color="auto"/>
            </w:tcBorders>
          </w:tcPr>
          <w:p w:rsidR="005148EA" w:rsidRPr="008B4DA2" w:rsidRDefault="005148EA" w:rsidP="00BF0434">
            <w:pPr>
              <w:ind w:right="-29"/>
              <w:jc w:val="center"/>
              <w:rPr>
                <w:noProof/>
                <w:sz w:val="18"/>
                <w:szCs w:val="18"/>
              </w:rPr>
            </w:pPr>
          </w:p>
        </w:tc>
        <w:tc>
          <w:tcPr>
            <w:tcW w:w="720" w:type="dxa"/>
          </w:tcPr>
          <w:p w:rsidR="005148EA" w:rsidRPr="008B4DA2" w:rsidRDefault="005148EA" w:rsidP="00BF0434">
            <w:pPr>
              <w:ind w:right="-29"/>
              <w:jc w:val="center"/>
              <w:rPr>
                <w:noProof/>
                <w:sz w:val="18"/>
                <w:szCs w:val="18"/>
              </w:rPr>
            </w:pPr>
          </w:p>
        </w:tc>
        <w:tc>
          <w:tcPr>
            <w:tcW w:w="900" w:type="dxa"/>
          </w:tcPr>
          <w:p w:rsidR="005148EA" w:rsidRPr="008B4DA2" w:rsidRDefault="005148EA" w:rsidP="00BF0434">
            <w:pPr>
              <w:ind w:right="-29"/>
              <w:jc w:val="center"/>
              <w:rPr>
                <w:noProof/>
                <w:sz w:val="18"/>
                <w:szCs w:val="18"/>
              </w:rPr>
            </w:pPr>
          </w:p>
        </w:tc>
      </w:tr>
      <w:tr w:rsidR="005148EA" w:rsidRPr="008B4DA2" w:rsidTr="00BF0434">
        <w:trPr>
          <w:trHeight w:hRule="exact" w:val="369"/>
          <w:jc w:val="center"/>
        </w:trPr>
        <w:tc>
          <w:tcPr>
            <w:tcW w:w="1423" w:type="dxa"/>
          </w:tcPr>
          <w:p w:rsidR="005148EA" w:rsidRPr="008B4DA2" w:rsidRDefault="005148EA" w:rsidP="00BF0434">
            <w:pPr>
              <w:ind w:right="-29"/>
              <w:jc w:val="center"/>
              <w:rPr>
                <w:noProof/>
                <w:sz w:val="18"/>
                <w:szCs w:val="18"/>
              </w:rPr>
            </w:pPr>
            <w:r w:rsidRPr="008B4DA2">
              <w:rPr>
                <w:noProof/>
                <w:sz w:val="18"/>
              </w:rPr>
              <w:t>- Produkt</w:t>
            </w:r>
          </w:p>
        </w:tc>
        <w:tc>
          <w:tcPr>
            <w:tcW w:w="720" w:type="dxa"/>
          </w:tcPr>
          <w:p w:rsidR="005148EA" w:rsidRPr="008B4DA2" w:rsidRDefault="005148EA" w:rsidP="00BF0434">
            <w:pPr>
              <w:ind w:right="-29"/>
              <w:jc w:val="center"/>
              <w:rPr>
                <w:noProof/>
                <w:sz w:val="18"/>
                <w:szCs w:val="18"/>
              </w:rPr>
            </w:pPr>
          </w:p>
        </w:tc>
        <w:tc>
          <w:tcPr>
            <w:tcW w:w="701" w:type="dxa"/>
          </w:tcPr>
          <w:p w:rsidR="005148EA" w:rsidRPr="008B4DA2" w:rsidRDefault="005148EA" w:rsidP="00BF0434">
            <w:pPr>
              <w:ind w:right="-29"/>
              <w:jc w:val="center"/>
              <w:rPr>
                <w:noProof/>
                <w:sz w:val="18"/>
                <w:szCs w:val="18"/>
              </w:rPr>
            </w:pPr>
          </w:p>
        </w:tc>
        <w:tc>
          <w:tcPr>
            <w:tcW w:w="504" w:type="dxa"/>
            <w:tcBorders>
              <w:right w:val="dashSmallGap" w:sz="4" w:space="0" w:color="auto"/>
            </w:tcBorders>
          </w:tcPr>
          <w:p w:rsidR="005148EA" w:rsidRPr="008B4DA2" w:rsidRDefault="005148EA" w:rsidP="00BF0434">
            <w:pPr>
              <w:ind w:right="-29"/>
              <w:jc w:val="center"/>
              <w:rPr>
                <w:noProof/>
                <w:sz w:val="18"/>
                <w:szCs w:val="18"/>
              </w:rPr>
            </w:pPr>
          </w:p>
        </w:tc>
        <w:tc>
          <w:tcPr>
            <w:tcW w:w="720" w:type="dxa"/>
            <w:tcBorders>
              <w:left w:val="dashSmallGap" w:sz="4" w:space="0" w:color="auto"/>
            </w:tcBorders>
          </w:tcPr>
          <w:p w:rsidR="005148EA" w:rsidRPr="008B4DA2" w:rsidRDefault="005148EA" w:rsidP="00BF0434">
            <w:pPr>
              <w:ind w:right="-29"/>
              <w:jc w:val="center"/>
              <w:rPr>
                <w:noProof/>
                <w:sz w:val="18"/>
                <w:szCs w:val="18"/>
              </w:rPr>
            </w:pPr>
          </w:p>
        </w:tc>
        <w:tc>
          <w:tcPr>
            <w:tcW w:w="540" w:type="dxa"/>
            <w:tcBorders>
              <w:right w:val="dashSmallGap" w:sz="4" w:space="0" w:color="auto"/>
            </w:tcBorders>
          </w:tcPr>
          <w:p w:rsidR="005148EA" w:rsidRPr="008B4DA2" w:rsidRDefault="005148EA" w:rsidP="00BF0434">
            <w:pPr>
              <w:ind w:right="-29"/>
              <w:jc w:val="center"/>
              <w:rPr>
                <w:noProof/>
                <w:sz w:val="18"/>
                <w:szCs w:val="18"/>
              </w:rPr>
            </w:pPr>
          </w:p>
        </w:tc>
        <w:tc>
          <w:tcPr>
            <w:tcW w:w="720" w:type="dxa"/>
            <w:tcBorders>
              <w:left w:val="dashSmallGap" w:sz="4" w:space="0" w:color="auto"/>
            </w:tcBorders>
          </w:tcPr>
          <w:p w:rsidR="005148EA" w:rsidRPr="008B4DA2" w:rsidRDefault="005148EA" w:rsidP="00BF0434">
            <w:pPr>
              <w:ind w:right="-29"/>
              <w:jc w:val="center"/>
              <w:rPr>
                <w:noProof/>
                <w:sz w:val="18"/>
                <w:szCs w:val="18"/>
              </w:rPr>
            </w:pPr>
          </w:p>
        </w:tc>
        <w:tc>
          <w:tcPr>
            <w:tcW w:w="720" w:type="dxa"/>
            <w:tcBorders>
              <w:right w:val="dashSmallGap" w:sz="4" w:space="0" w:color="auto"/>
            </w:tcBorders>
          </w:tcPr>
          <w:p w:rsidR="005148EA" w:rsidRPr="008B4DA2" w:rsidRDefault="005148EA" w:rsidP="00BF0434">
            <w:pPr>
              <w:ind w:right="-29"/>
              <w:jc w:val="center"/>
              <w:rPr>
                <w:noProof/>
                <w:sz w:val="18"/>
                <w:szCs w:val="18"/>
              </w:rPr>
            </w:pPr>
          </w:p>
        </w:tc>
        <w:tc>
          <w:tcPr>
            <w:tcW w:w="720" w:type="dxa"/>
            <w:tcBorders>
              <w:left w:val="dashSmallGap" w:sz="4" w:space="0" w:color="auto"/>
            </w:tcBorders>
          </w:tcPr>
          <w:p w:rsidR="005148EA" w:rsidRPr="008B4DA2" w:rsidRDefault="005148EA" w:rsidP="00BF0434">
            <w:pPr>
              <w:ind w:right="-29"/>
              <w:jc w:val="center"/>
              <w:rPr>
                <w:noProof/>
                <w:sz w:val="18"/>
                <w:szCs w:val="18"/>
              </w:rPr>
            </w:pPr>
          </w:p>
        </w:tc>
        <w:tc>
          <w:tcPr>
            <w:tcW w:w="900" w:type="dxa"/>
            <w:tcBorders>
              <w:right w:val="dashSmallGap" w:sz="4" w:space="0" w:color="auto"/>
            </w:tcBorders>
          </w:tcPr>
          <w:p w:rsidR="005148EA" w:rsidRPr="008B4DA2" w:rsidRDefault="005148EA" w:rsidP="00BF0434">
            <w:pPr>
              <w:ind w:right="-29"/>
              <w:jc w:val="center"/>
              <w:rPr>
                <w:noProof/>
                <w:sz w:val="18"/>
                <w:szCs w:val="18"/>
              </w:rPr>
            </w:pPr>
          </w:p>
        </w:tc>
        <w:tc>
          <w:tcPr>
            <w:tcW w:w="720" w:type="dxa"/>
            <w:gridSpan w:val="2"/>
            <w:tcBorders>
              <w:left w:val="dashSmallGap" w:sz="4" w:space="0" w:color="auto"/>
            </w:tcBorders>
          </w:tcPr>
          <w:p w:rsidR="005148EA" w:rsidRPr="008B4DA2" w:rsidRDefault="005148EA" w:rsidP="00BF0434">
            <w:pPr>
              <w:ind w:right="-29"/>
              <w:jc w:val="center"/>
              <w:rPr>
                <w:noProof/>
                <w:sz w:val="18"/>
                <w:szCs w:val="18"/>
              </w:rPr>
            </w:pPr>
          </w:p>
        </w:tc>
        <w:tc>
          <w:tcPr>
            <w:tcW w:w="540" w:type="dxa"/>
            <w:tcBorders>
              <w:right w:val="dashSmallGap" w:sz="4" w:space="0" w:color="auto"/>
            </w:tcBorders>
          </w:tcPr>
          <w:p w:rsidR="005148EA" w:rsidRPr="008B4DA2" w:rsidRDefault="005148EA" w:rsidP="00BF0434">
            <w:pPr>
              <w:ind w:right="-29"/>
              <w:jc w:val="center"/>
              <w:rPr>
                <w:noProof/>
                <w:sz w:val="18"/>
                <w:szCs w:val="18"/>
              </w:rPr>
            </w:pPr>
          </w:p>
        </w:tc>
        <w:tc>
          <w:tcPr>
            <w:tcW w:w="648" w:type="dxa"/>
            <w:tcBorders>
              <w:left w:val="dashSmallGap" w:sz="4" w:space="0" w:color="auto"/>
            </w:tcBorders>
          </w:tcPr>
          <w:p w:rsidR="005148EA" w:rsidRPr="008B4DA2" w:rsidRDefault="005148EA" w:rsidP="00BF0434">
            <w:pPr>
              <w:ind w:right="-29"/>
              <w:jc w:val="center"/>
              <w:rPr>
                <w:noProof/>
                <w:sz w:val="18"/>
                <w:szCs w:val="18"/>
              </w:rPr>
            </w:pPr>
          </w:p>
        </w:tc>
        <w:tc>
          <w:tcPr>
            <w:tcW w:w="432" w:type="dxa"/>
            <w:tcBorders>
              <w:right w:val="dashSmallGap" w:sz="4" w:space="0" w:color="auto"/>
            </w:tcBorders>
          </w:tcPr>
          <w:p w:rsidR="005148EA" w:rsidRPr="008B4DA2" w:rsidRDefault="005148EA" w:rsidP="00BF0434">
            <w:pPr>
              <w:ind w:right="-29"/>
              <w:jc w:val="center"/>
              <w:rPr>
                <w:noProof/>
                <w:sz w:val="18"/>
                <w:szCs w:val="18"/>
              </w:rPr>
            </w:pPr>
          </w:p>
        </w:tc>
        <w:tc>
          <w:tcPr>
            <w:tcW w:w="720" w:type="dxa"/>
            <w:tcBorders>
              <w:left w:val="dashSmallGap" w:sz="4" w:space="0" w:color="auto"/>
            </w:tcBorders>
          </w:tcPr>
          <w:p w:rsidR="005148EA" w:rsidRPr="008B4DA2" w:rsidRDefault="005148EA" w:rsidP="00BF0434">
            <w:pPr>
              <w:ind w:right="-29"/>
              <w:jc w:val="center"/>
              <w:rPr>
                <w:noProof/>
                <w:sz w:val="18"/>
                <w:szCs w:val="18"/>
              </w:rPr>
            </w:pPr>
          </w:p>
        </w:tc>
        <w:tc>
          <w:tcPr>
            <w:tcW w:w="540" w:type="dxa"/>
            <w:tcBorders>
              <w:right w:val="dashSmallGap" w:sz="4" w:space="0" w:color="auto"/>
            </w:tcBorders>
          </w:tcPr>
          <w:p w:rsidR="005148EA" w:rsidRPr="008B4DA2" w:rsidRDefault="005148EA" w:rsidP="00BF0434">
            <w:pPr>
              <w:ind w:right="-29"/>
              <w:jc w:val="center"/>
              <w:rPr>
                <w:noProof/>
                <w:sz w:val="18"/>
                <w:szCs w:val="18"/>
              </w:rPr>
            </w:pPr>
          </w:p>
        </w:tc>
        <w:tc>
          <w:tcPr>
            <w:tcW w:w="720" w:type="dxa"/>
            <w:tcBorders>
              <w:left w:val="dashSmallGap" w:sz="4" w:space="0" w:color="auto"/>
            </w:tcBorders>
          </w:tcPr>
          <w:p w:rsidR="005148EA" w:rsidRPr="008B4DA2" w:rsidRDefault="005148EA" w:rsidP="00BF0434">
            <w:pPr>
              <w:ind w:right="-29"/>
              <w:jc w:val="center"/>
              <w:rPr>
                <w:noProof/>
                <w:sz w:val="18"/>
                <w:szCs w:val="18"/>
              </w:rPr>
            </w:pPr>
          </w:p>
        </w:tc>
        <w:tc>
          <w:tcPr>
            <w:tcW w:w="720" w:type="dxa"/>
          </w:tcPr>
          <w:p w:rsidR="005148EA" w:rsidRPr="008B4DA2" w:rsidRDefault="005148EA" w:rsidP="00BF0434">
            <w:pPr>
              <w:ind w:right="-29"/>
              <w:jc w:val="center"/>
              <w:rPr>
                <w:noProof/>
                <w:sz w:val="18"/>
                <w:szCs w:val="18"/>
              </w:rPr>
            </w:pPr>
          </w:p>
        </w:tc>
        <w:tc>
          <w:tcPr>
            <w:tcW w:w="900" w:type="dxa"/>
          </w:tcPr>
          <w:p w:rsidR="005148EA" w:rsidRPr="008B4DA2" w:rsidRDefault="005148EA" w:rsidP="00BF0434">
            <w:pPr>
              <w:ind w:right="-29"/>
              <w:jc w:val="center"/>
              <w:rPr>
                <w:noProof/>
                <w:sz w:val="18"/>
                <w:szCs w:val="18"/>
              </w:rPr>
            </w:pPr>
          </w:p>
        </w:tc>
      </w:tr>
      <w:tr w:rsidR="005148EA" w:rsidRPr="008B4DA2" w:rsidTr="00BF0434">
        <w:trPr>
          <w:trHeight w:hRule="exact" w:val="369"/>
          <w:jc w:val="center"/>
        </w:trPr>
        <w:tc>
          <w:tcPr>
            <w:tcW w:w="1423" w:type="dxa"/>
          </w:tcPr>
          <w:p w:rsidR="005148EA" w:rsidRPr="008B4DA2" w:rsidRDefault="005148EA" w:rsidP="00BF0434">
            <w:pPr>
              <w:ind w:right="-29"/>
              <w:jc w:val="center"/>
              <w:rPr>
                <w:noProof/>
                <w:sz w:val="18"/>
                <w:szCs w:val="18"/>
              </w:rPr>
            </w:pPr>
            <w:r w:rsidRPr="008B4DA2">
              <w:rPr>
                <w:noProof/>
                <w:sz w:val="18"/>
              </w:rPr>
              <w:t>- Produkt</w:t>
            </w:r>
          </w:p>
        </w:tc>
        <w:tc>
          <w:tcPr>
            <w:tcW w:w="720" w:type="dxa"/>
          </w:tcPr>
          <w:p w:rsidR="005148EA" w:rsidRPr="008B4DA2" w:rsidRDefault="005148EA" w:rsidP="00BF0434">
            <w:pPr>
              <w:ind w:right="-29"/>
              <w:jc w:val="center"/>
              <w:rPr>
                <w:noProof/>
                <w:sz w:val="18"/>
                <w:szCs w:val="18"/>
              </w:rPr>
            </w:pPr>
          </w:p>
        </w:tc>
        <w:tc>
          <w:tcPr>
            <w:tcW w:w="701" w:type="dxa"/>
          </w:tcPr>
          <w:p w:rsidR="005148EA" w:rsidRPr="008B4DA2" w:rsidRDefault="005148EA" w:rsidP="00BF0434">
            <w:pPr>
              <w:ind w:right="-29"/>
              <w:jc w:val="center"/>
              <w:rPr>
                <w:noProof/>
                <w:sz w:val="18"/>
                <w:szCs w:val="18"/>
              </w:rPr>
            </w:pPr>
          </w:p>
        </w:tc>
        <w:tc>
          <w:tcPr>
            <w:tcW w:w="504" w:type="dxa"/>
          </w:tcPr>
          <w:p w:rsidR="005148EA" w:rsidRPr="008B4DA2" w:rsidRDefault="005148EA" w:rsidP="00BF0434">
            <w:pPr>
              <w:ind w:right="-29"/>
              <w:jc w:val="center"/>
              <w:rPr>
                <w:noProof/>
                <w:sz w:val="18"/>
                <w:szCs w:val="18"/>
              </w:rPr>
            </w:pPr>
          </w:p>
        </w:tc>
        <w:tc>
          <w:tcPr>
            <w:tcW w:w="720" w:type="dxa"/>
          </w:tcPr>
          <w:p w:rsidR="005148EA" w:rsidRPr="008B4DA2" w:rsidRDefault="005148EA" w:rsidP="00BF0434">
            <w:pPr>
              <w:ind w:right="-29"/>
              <w:jc w:val="center"/>
              <w:rPr>
                <w:noProof/>
                <w:sz w:val="18"/>
                <w:szCs w:val="18"/>
              </w:rPr>
            </w:pPr>
          </w:p>
        </w:tc>
        <w:tc>
          <w:tcPr>
            <w:tcW w:w="540" w:type="dxa"/>
          </w:tcPr>
          <w:p w:rsidR="005148EA" w:rsidRPr="008B4DA2" w:rsidRDefault="005148EA" w:rsidP="00BF0434">
            <w:pPr>
              <w:ind w:right="-29"/>
              <w:jc w:val="center"/>
              <w:rPr>
                <w:noProof/>
                <w:sz w:val="18"/>
                <w:szCs w:val="18"/>
              </w:rPr>
            </w:pPr>
          </w:p>
        </w:tc>
        <w:tc>
          <w:tcPr>
            <w:tcW w:w="720" w:type="dxa"/>
          </w:tcPr>
          <w:p w:rsidR="005148EA" w:rsidRPr="008B4DA2" w:rsidRDefault="005148EA" w:rsidP="00BF0434">
            <w:pPr>
              <w:ind w:right="-29"/>
              <w:jc w:val="center"/>
              <w:rPr>
                <w:noProof/>
                <w:sz w:val="18"/>
                <w:szCs w:val="18"/>
              </w:rPr>
            </w:pPr>
          </w:p>
        </w:tc>
        <w:tc>
          <w:tcPr>
            <w:tcW w:w="720" w:type="dxa"/>
          </w:tcPr>
          <w:p w:rsidR="005148EA" w:rsidRPr="008B4DA2" w:rsidRDefault="005148EA" w:rsidP="00BF0434">
            <w:pPr>
              <w:ind w:right="-29"/>
              <w:jc w:val="center"/>
              <w:rPr>
                <w:noProof/>
                <w:sz w:val="18"/>
                <w:szCs w:val="18"/>
              </w:rPr>
            </w:pPr>
          </w:p>
        </w:tc>
        <w:tc>
          <w:tcPr>
            <w:tcW w:w="720" w:type="dxa"/>
          </w:tcPr>
          <w:p w:rsidR="005148EA" w:rsidRPr="008B4DA2" w:rsidRDefault="005148EA" w:rsidP="00BF0434">
            <w:pPr>
              <w:ind w:right="-29"/>
              <w:jc w:val="center"/>
              <w:rPr>
                <w:noProof/>
                <w:sz w:val="18"/>
                <w:szCs w:val="18"/>
              </w:rPr>
            </w:pPr>
          </w:p>
        </w:tc>
        <w:tc>
          <w:tcPr>
            <w:tcW w:w="900" w:type="dxa"/>
          </w:tcPr>
          <w:p w:rsidR="005148EA" w:rsidRPr="008B4DA2" w:rsidRDefault="005148EA" w:rsidP="00BF0434">
            <w:pPr>
              <w:ind w:right="-29"/>
              <w:jc w:val="center"/>
              <w:rPr>
                <w:noProof/>
                <w:sz w:val="18"/>
                <w:szCs w:val="18"/>
              </w:rPr>
            </w:pPr>
          </w:p>
        </w:tc>
        <w:tc>
          <w:tcPr>
            <w:tcW w:w="720" w:type="dxa"/>
            <w:gridSpan w:val="2"/>
          </w:tcPr>
          <w:p w:rsidR="005148EA" w:rsidRPr="008B4DA2" w:rsidRDefault="005148EA" w:rsidP="00BF0434">
            <w:pPr>
              <w:ind w:right="-29"/>
              <w:jc w:val="center"/>
              <w:rPr>
                <w:noProof/>
                <w:sz w:val="18"/>
                <w:szCs w:val="18"/>
              </w:rPr>
            </w:pPr>
          </w:p>
        </w:tc>
        <w:tc>
          <w:tcPr>
            <w:tcW w:w="540" w:type="dxa"/>
          </w:tcPr>
          <w:p w:rsidR="005148EA" w:rsidRPr="008B4DA2" w:rsidRDefault="005148EA" w:rsidP="00BF0434">
            <w:pPr>
              <w:ind w:right="-29"/>
              <w:jc w:val="center"/>
              <w:rPr>
                <w:noProof/>
                <w:sz w:val="18"/>
                <w:szCs w:val="18"/>
              </w:rPr>
            </w:pPr>
          </w:p>
        </w:tc>
        <w:tc>
          <w:tcPr>
            <w:tcW w:w="648" w:type="dxa"/>
          </w:tcPr>
          <w:p w:rsidR="005148EA" w:rsidRPr="008B4DA2" w:rsidRDefault="005148EA" w:rsidP="00BF0434">
            <w:pPr>
              <w:ind w:right="-29"/>
              <w:jc w:val="center"/>
              <w:rPr>
                <w:noProof/>
                <w:sz w:val="18"/>
                <w:szCs w:val="18"/>
              </w:rPr>
            </w:pPr>
          </w:p>
        </w:tc>
        <w:tc>
          <w:tcPr>
            <w:tcW w:w="432" w:type="dxa"/>
          </w:tcPr>
          <w:p w:rsidR="005148EA" w:rsidRPr="008B4DA2" w:rsidRDefault="005148EA" w:rsidP="00BF0434">
            <w:pPr>
              <w:ind w:right="-29"/>
              <w:jc w:val="center"/>
              <w:rPr>
                <w:noProof/>
                <w:sz w:val="18"/>
                <w:szCs w:val="18"/>
              </w:rPr>
            </w:pPr>
          </w:p>
        </w:tc>
        <w:tc>
          <w:tcPr>
            <w:tcW w:w="720" w:type="dxa"/>
          </w:tcPr>
          <w:p w:rsidR="005148EA" w:rsidRPr="008B4DA2" w:rsidRDefault="005148EA" w:rsidP="00BF0434">
            <w:pPr>
              <w:ind w:right="-29"/>
              <w:jc w:val="center"/>
              <w:rPr>
                <w:noProof/>
                <w:sz w:val="18"/>
                <w:szCs w:val="18"/>
              </w:rPr>
            </w:pPr>
          </w:p>
        </w:tc>
        <w:tc>
          <w:tcPr>
            <w:tcW w:w="540" w:type="dxa"/>
          </w:tcPr>
          <w:p w:rsidR="005148EA" w:rsidRPr="008B4DA2" w:rsidRDefault="005148EA" w:rsidP="00BF0434">
            <w:pPr>
              <w:ind w:right="-29"/>
              <w:jc w:val="center"/>
              <w:rPr>
                <w:noProof/>
                <w:sz w:val="18"/>
                <w:szCs w:val="18"/>
              </w:rPr>
            </w:pPr>
          </w:p>
        </w:tc>
        <w:tc>
          <w:tcPr>
            <w:tcW w:w="720" w:type="dxa"/>
          </w:tcPr>
          <w:p w:rsidR="005148EA" w:rsidRPr="008B4DA2" w:rsidRDefault="005148EA" w:rsidP="00BF0434">
            <w:pPr>
              <w:ind w:right="-29"/>
              <w:jc w:val="center"/>
              <w:rPr>
                <w:noProof/>
                <w:sz w:val="18"/>
                <w:szCs w:val="18"/>
              </w:rPr>
            </w:pPr>
          </w:p>
        </w:tc>
        <w:tc>
          <w:tcPr>
            <w:tcW w:w="720" w:type="dxa"/>
          </w:tcPr>
          <w:p w:rsidR="005148EA" w:rsidRPr="008B4DA2" w:rsidRDefault="005148EA" w:rsidP="00BF0434">
            <w:pPr>
              <w:ind w:right="-29"/>
              <w:jc w:val="center"/>
              <w:rPr>
                <w:noProof/>
                <w:sz w:val="18"/>
                <w:szCs w:val="18"/>
              </w:rPr>
            </w:pPr>
          </w:p>
        </w:tc>
        <w:tc>
          <w:tcPr>
            <w:tcW w:w="900" w:type="dxa"/>
          </w:tcPr>
          <w:p w:rsidR="005148EA" w:rsidRPr="008B4DA2" w:rsidRDefault="005148EA" w:rsidP="00BF0434">
            <w:pPr>
              <w:ind w:right="-29"/>
              <w:jc w:val="center"/>
              <w:rPr>
                <w:noProof/>
                <w:sz w:val="18"/>
                <w:szCs w:val="18"/>
              </w:rPr>
            </w:pPr>
          </w:p>
        </w:tc>
      </w:tr>
      <w:tr w:rsidR="005148EA" w:rsidRPr="008B4DA2" w:rsidTr="00BF0434">
        <w:trPr>
          <w:trHeight w:val="77"/>
          <w:jc w:val="center"/>
        </w:trPr>
        <w:tc>
          <w:tcPr>
            <w:tcW w:w="2844" w:type="dxa"/>
            <w:gridSpan w:val="3"/>
            <w:tcBorders>
              <w:bottom w:val="single" w:sz="12" w:space="0" w:color="auto"/>
            </w:tcBorders>
            <w:vAlign w:val="center"/>
          </w:tcPr>
          <w:p w:rsidR="005148EA" w:rsidRPr="008B4DA2" w:rsidRDefault="005148EA" w:rsidP="00BF0434">
            <w:pPr>
              <w:ind w:right="-29"/>
              <w:jc w:val="center"/>
              <w:rPr>
                <w:noProof/>
                <w:sz w:val="18"/>
                <w:szCs w:val="18"/>
              </w:rPr>
            </w:pPr>
            <w:r w:rsidRPr="008B4DA2">
              <w:rPr>
                <w:noProof/>
                <w:sz w:val="18"/>
              </w:rPr>
              <w:t xml:space="preserve">Cel szczegółowy </w:t>
            </w:r>
            <w:r w:rsidRPr="00B83C93">
              <w:rPr>
                <w:noProof/>
                <w:sz w:val="18"/>
              </w:rPr>
              <w:t>nr</w:t>
            </w:r>
            <w:r w:rsidR="00B83C93" w:rsidRPr="00B83C93">
              <w:rPr>
                <w:noProof/>
                <w:sz w:val="18"/>
              </w:rPr>
              <w:t> </w:t>
            </w:r>
            <w:r w:rsidRPr="00B83C93">
              <w:rPr>
                <w:noProof/>
                <w:sz w:val="18"/>
              </w:rPr>
              <w:t>1</w:t>
            </w:r>
            <w:r w:rsidRPr="008B4DA2">
              <w:rPr>
                <w:noProof/>
                <w:sz w:val="18"/>
              </w:rPr>
              <w:t xml:space="preserve"> – suma cząstkowa</w:t>
            </w:r>
          </w:p>
        </w:tc>
        <w:tc>
          <w:tcPr>
            <w:tcW w:w="504" w:type="dxa"/>
            <w:tcBorders>
              <w:bottom w:val="single" w:sz="12" w:space="0" w:color="auto"/>
            </w:tcBorders>
          </w:tcPr>
          <w:p w:rsidR="005148EA" w:rsidRPr="008B4DA2" w:rsidRDefault="005148EA" w:rsidP="00BF0434">
            <w:pPr>
              <w:ind w:right="-29"/>
              <w:jc w:val="center"/>
              <w:rPr>
                <w:noProof/>
                <w:sz w:val="18"/>
                <w:szCs w:val="18"/>
              </w:rPr>
            </w:pPr>
          </w:p>
        </w:tc>
        <w:tc>
          <w:tcPr>
            <w:tcW w:w="720" w:type="dxa"/>
            <w:tcBorders>
              <w:bottom w:val="single" w:sz="12" w:space="0" w:color="auto"/>
            </w:tcBorders>
          </w:tcPr>
          <w:p w:rsidR="005148EA" w:rsidRPr="008B4DA2" w:rsidRDefault="005148EA" w:rsidP="00BF0434">
            <w:pPr>
              <w:ind w:right="-29"/>
              <w:jc w:val="center"/>
              <w:rPr>
                <w:noProof/>
                <w:sz w:val="18"/>
                <w:szCs w:val="18"/>
              </w:rPr>
            </w:pPr>
          </w:p>
        </w:tc>
        <w:tc>
          <w:tcPr>
            <w:tcW w:w="540" w:type="dxa"/>
            <w:tcBorders>
              <w:bottom w:val="single" w:sz="12" w:space="0" w:color="auto"/>
            </w:tcBorders>
          </w:tcPr>
          <w:p w:rsidR="005148EA" w:rsidRPr="008B4DA2" w:rsidRDefault="005148EA" w:rsidP="00BF0434">
            <w:pPr>
              <w:ind w:right="-29"/>
              <w:jc w:val="center"/>
              <w:rPr>
                <w:noProof/>
                <w:sz w:val="18"/>
                <w:szCs w:val="18"/>
              </w:rPr>
            </w:pPr>
          </w:p>
        </w:tc>
        <w:tc>
          <w:tcPr>
            <w:tcW w:w="720" w:type="dxa"/>
            <w:tcBorders>
              <w:bottom w:val="single" w:sz="12" w:space="0" w:color="auto"/>
            </w:tcBorders>
          </w:tcPr>
          <w:p w:rsidR="005148EA" w:rsidRPr="008B4DA2" w:rsidRDefault="005148EA" w:rsidP="00BF0434">
            <w:pPr>
              <w:ind w:right="-29"/>
              <w:jc w:val="center"/>
              <w:rPr>
                <w:noProof/>
                <w:sz w:val="18"/>
                <w:szCs w:val="18"/>
              </w:rPr>
            </w:pPr>
          </w:p>
        </w:tc>
        <w:tc>
          <w:tcPr>
            <w:tcW w:w="720" w:type="dxa"/>
            <w:tcBorders>
              <w:bottom w:val="single" w:sz="12" w:space="0" w:color="auto"/>
            </w:tcBorders>
          </w:tcPr>
          <w:p w:rsidR="005148EA" w:rsidRPr="008B4DA2" w:rsidRDefault="005148EA" w:rsidP="00BF0434">
            <w:pPr>
              <w:ind w:right="-29"/>
              <w:jc w:val="center"/>
              <w:rPr>
                <w:noProof/>
                <w:sz w:val="18"/>
                <w:szCs w:val="18"/>
              </w:rPr>
            </w:pPr>
          </w:p>
        </w:tc>
        <w:tc>
          <w:tcPr>
            <w:tcW w:w="720" w:type="dxa"/>
            <w:tcBorders>
              <w:bottom w:val="single" w:sz="12" w:space="0" w:color="auto"/>
            </w:tcBorders>
          </w:tcPr>
          <w:p w:rsidR="005148EA" w:rsidRPr="008B4DA2" w:rsidRDefault="005148EA" w:rsidP="00BF0434">
            <w:pPr>
              <w:ind w:right="-29"/>
              <w:jc w:val="center"/>
              <w:rPr>
                <w:noProof/>
                <w:sz w:val="18"/>
                <w:szCs w:val="18"/>
              </w:rPr>
            </w:pPr>
          </w:p>
        </w:tc>
        <w:tc>
          <w:tcPr>
            <w:tcW w:w="900" w:type="dxa"/>
            <w:tcBorders>
              <w:bottom w:val="single" w:sz="12" w:space="0" w:color="auto"/>
            </w:tcBorders>
          </w:tcPr>
          <w:p w:rsidR="005148EA" w:rsidRPr="008B4DA2" w:rsidRDefault="005148EA" w:rsidP="00BF0434">
            <w:pPr>
              <w:ind w:right="-29"/>
              <w:jc w:val="center"/>
              <w:rPr>
                <w:noProof/>
                <w:sz w:val="18"/>
                <w:szCs w:val="18"/>
              </w:rPr>
            </w:pPr>
          </w:p>
        </w:tc>
        <w:tc>
          <w:tcPr>
            <w:tcW w:w="720" w:type="dxa"/>
            <w:gridSpan w:val="2"/>
            <w:tcBorders>
              <w:bottom w:val="single" w:sz="12" w:space="0" w:color="auto"/>
            </w:tcBorders>
          </w:tcPr>
          <w:p w:rsidR="005148EA" w:rsidRPr="008B4DA2" w:rsidRDefault="005148EA" w:rsidP="00BF0434">
            <w:pPr>
              <w:ind w:right="-29"/>
              <w:jc w:val="center"/>
              <w:rPr>
                <w:noProof/>
                <w:sz w:val="18"/>
                <w:szCs w:val="18"/>
              </w:rPr>
            </w:pPr>
          </w:p>
        </w:tc>
        <w:tc>
          <w:tcPr>
            <w:tcW w:w="540" w:type="dxa"/>
            <w:tcBorders>
              <w:bottom w:val="single" w:sz="12" w:space="0" w:color="auto"/>
            </w:tcBorders>
          </w:tcPr>
          <w:p w:rsidR="005148EA" w:rsidRPr="008B4DA2" w:rsidRDefault="005148EA" w:rsidP="00BF0434">
            <w:pPr>
              <w:ind w:right="-29"/>
              <w:jc w:val="center"/>
              <w:rPr>
                <w:noProof/>
                <w:sz w:val="18"/>
                <w:szCs w:val="18"/>
              </w:rPr>
            </w:pPr>
          </w:p>
        </w:tc>
        <w:tc>
          <w:tcPr>
            <w:tcW w:w="648" w:type="dxa"/>
            <w:tcBorders>
              <w:bottom w:val="single" w:sz="12" w:space="0" w:color="auto"/>
            </w:tcBorders>
          </w:tcPr>
          <w:p w:rsidR="005148EA" w:rsidRPr="008B4DA2" w:rsidRDefault="005148EA" w:rsidP="00BF0434">
            <w:pPr>
              <w:ind w:right="-29"/>
              <w:jc w:val="center"/>
              <w:rPr>
                <w:noProof/>
                <w:sz w:val="18"/>
                <w:szCs w:val="18"/>
              </w:rPr>
            </w:pPr>
          </w:p>
        </w:tc>
        <w:tc>
          <w:tcPr>
            <w:tcW w:w="432" w:type="dxa"/>
            <w:tcBorders>
              <w:bottom w:val="single" w:sz="12" w:space="0" w:color="auto"/>
            </w:tcBorders>
          </w:tcPr>
          <w:p w:rsidR="005148EA" w:rsidRPr="008B4DA2" w:rsidRDefault="005148EA" w:rsidP="00BF0434">
            <w:pPr>
              <w:ind w:right="-29"/>
              <w:jc w:val="center"/>
              <w:rPr>
                <w:noProof/>
                <w:sz w:val="18"/>
                <w:szCs w:val="18"/>
              </w:rPr>
            </w:pPr>
          </w:p>
        </w:tc>
        <w:tc>
          <w:tcPr>
            <w:tcW w:w="720" w:type="dxa"/>
            <w:tcBorders>
              <w:bottom w:val="single" w:sz="12" w:space="0" w:color="auto"/>
            </w:tcBorders>
          </w:tcPr>
          <w:p w:rsidR="005148EA" w:rsidRPr="008B4DA2" w:rsidRDefault="005148EA" w:rsidP="00BF0434">
            <w:pPr>
              <w:ind w:right="-29"/>
              <w:jc w:val="center"/>
              <w:rPr>
                <w:noProof/>
                <w:sz w:val="18"/>
                <w:szCs w:val="18"/>
              </w:rPr>
            </w:pPr>
          </w:p>
        </w:tc>
        <w:tc>
          <w:tcPr>
            <w:tcW w:w="540" w:type="dxa"/>
            <w:tcBorders>
              <w:bottom w:val="single" w:sz="12" w:space="0" w:color="auto"/>
            </w:tcBorders>
          </w:tcPr>
          <w:p w:rsidR="005148EA" w:rsidRPr="008B4DA2" w:rsidRDefault="005148EA" w:rsidP="00BF0434">
            <w:pPr>
              <w:ind w:right="-29"/>
              <w:jc w:val="center"/>
              <w:rPr>
                <w:noProof/>
                <w:sz w:val="18"/>
                <w:szCs w:val="18"/>
              </w:rPr>
            </w:pPr>
          </w:p>
        </w:tc>
        <w:tc>
          <w:tcPr>
            <w:tcW w:w="720" w:type="dxa"/>
            <w:tcBorders>
              <w:bottom w:val="single" w:sz="12" w:space="0" w:color="auto"/>
            </w:tcBorders>
          </w:tcPr>
          <w:p w:rsidR="005148EA" w:rsidRPr="008B4DA2" w:rsidRDefault="005148EA" w:rsidP="00BF0434">
            <w:pPr>
              <w:ind w:right="-29"/>
              <w:jc w:val="center"/>
              <w:rPr>
                <w:noProof/>
                <w:sz w:val="18"/>
                <w:szCs w:val="18"/>
              </w:rPr>
            </w:pPr>
          </w:p>
        </w:tc>
        <w:tc>
          <w:tcPr>
            <w:tcW w:w="720" w:type="dxa"/>
            <w:tcBorders>
              <w:bottom w:val="single" w:sz="12" w:space="0" w:color="auto"/>
            </w:tcBorders>
          </w:tcPr>
          <w:p w:rsidR="005148EA" w:rsidRPr="008B4DA2" w:rsidRDefault="005148EA" w:rsidP="00BF0434">
            <w:pPr>
              <w:ind w:right="-29"/>
              <w:jc w:val="center"/>
              <w:rPr>
                <w:noProof/>
                <w:sz w:val="18"/>
                <w:szCs w:val="18"/>
              </w:rPr>
            </w:pPr>
          </w:p>
        </w:tc>
        <w:tc>
          <w:tcPr>
            <w:tcW w:w="900" w:type="dxa"/>
            <w:tcBorders>
              <w:bottom w:val="single" w:sz="12" w:space="0" w:color="auto"/>
            </w:tcBorders>
          </w:tcPr>
          <w:p w:rsidR="005148EA" w:rsidRPr="008B4DA2" w:rsidRDefault="005148EA" w:rsidP="00BF0434">
            <w:pPr>
              <w:ind w:right="-29"/>
              <w:jc w:val="center"/>
              <w:rPr>
                <w:noProof/>
                <w:sz w:val="18"/>
                <w:szCs w:val="18"/>
              </w:rPr>
            </w:pPr>
          </w:p>
        </w:tc>
      </w:tr>
      <w:tr w:rsidR="005148EA" w:rsidRPr="008B4DA2" w:rsidTr="00BF0434">
        <w:trPr>
          <w:jc w:val="center"/>
        </w:trPr>
        <w:tc>
          <w:tcPr>
            <w:tcW w:w="2844" w:type="dxa"/>
            <w:gridSpan w:val="3"/>
            <w:vAlign w:val="center"/>
          </w:tcPr>
          <w:p w:rsidR="005148EA" w:rsidRPr="008B4DA2" w:rsidRDefault="005148EA" w:rsidP="00BF0434">
            <w:pPr>
              <w:spacing w:before="60" w:after="60"/>
              <w:ind w:right="-29"/>
              <w:jc w:val="center"/>
              <w:rPr>
                <w:noProof/>
                <w:sz w:val="18"/>
                <w:szCs w:val="18"/>
              </w:rPr>
            </w:pPr>
            <w:r w:rsidRPr="008B4DA2">
              <w:rPr>
                <w:noProof/>
                <w:sz w:val="18"/>
              </w:rPr>
              <w:t xml:space="preserve">CEL SZCZEGÓŁOWY </w:t>
            </w:r>
            <w:r w:rsidRPr="00B83C93">
              <w:rPr>
                <w:noProof/>
                <w:sz w:val="18"/>
              </w:rPr>
              <w:t>nr</w:t>
            </w:r>
            <w:r w:rsidR="00B83C93" w:rsidRPr="00B83C93">
              <w:rPr>
                <w:noProof/>
                <w:sz w:val="18"/>
              </w:rPr>
              <w:t> </w:t>
            </w:r>
            <w:r w:rsidRPr="00B83C93">
              <w:rPr>
                <w:noProof/>
                <w:sz w:val="18"/>
              </w:rPr>
              <w:t>2</w:t>
            </w:r>
          </w:p>
        </w:tc>
        <w:tc>
          <w:tcPr>
            <w:tcW w:w="504"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54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90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720" w:type="dxa"/>
            <w:gridSpan w:val="2"/>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54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648"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432"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54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c>
          <w:tcPr>
            <w:tcW w:w="900" w:type="dxa"/>
            <w:tcBorders>
              <w:top w:val="nil"/>
              <w:left w:val="nil"/>
              <w:bottom w:val="nil"/>
              <w:right w:val="nil"/>
            </w:tcBorders>
          </w:tcPr>
          <w:p w:rsidR="005148EA" w:rsidRPr="008B4DA2" w:rsidRDefault="005148EA" w:rsidP="00BF0434">
            <w:pPr>
              <w:spacing w:before="60" w:after="60"/>
              <w:ind w:right="-29"/>
              <w:jc w:val="center"/>
              <w:rPr>
                <w:noProof/>
                <w:sz w:val="18"/>
                <w:szCs w:val="18"/>
              </w:rPr>
            </w:pPr>
          </w:p>
        </w:tc>
      </w:tr>
      <w:tr w:rsidR="005148EA" w:rsidRPr="008B4DA2" w:rsidTr="00BF0434">
        <w:trPr>
          <w:trHeight w:hRule="exact" w:val="369"/>
          <w:jc w:val="center"/>
        </w:trPr>
        <w:tc>
          <w:tcPr>
            <w:tcW w:w="1423" w:type="dxa"/>
          </w:tcPr>
          <w:p w:rsidR="005148EA" w:rsidRPr="008B4DA2" w:rsidRDefault="005148EA" w:rsidP="00BF0434">
            <w:pPr>
              <w:ind w:right="-29"/>
              <w:jc w:val="center"/>
              <w:rPr>
                <w:noProof/>
                <w:sz w:val="18"/>
                <w:szCs w:val="18"/>
              </w:rPr>
            </w:pPr>
            <w:r w:rsidRPr="008B4DA2">
              <w:rPr>
                <w:noProof/>
                <w:sz w:val="18"/>
              </w:rPr>
              <w:t>- Produkt</w:t>
            </w:r>
          </w:p>
        </w:tc>
        <w:tc>
          <w:tcPr>
            <w:tcW w:w="720" w:type="dxa"/>
          </w:tcPr>
          <w:p w:rsidR="005148EA" w:rsidRPr="008B4DA2" w:rsidRDefault="005148EA" w:rsidP="00BF0434">
            <w:pPr>
              <w:ind w:right="-29"/>
              <w:jc w:val="center"/>
              <w:rPr>
                <w:noProof/>
                <w:sz w:val="18"/>
                <w:szCs w:val="18"/>
              </w:rPr>
            </w:pPr>
          </w:p>
        </w:tc>
        <w:tc>
          <w:tcPr>
            <w:tcW w:w="701" w:type="dxa"/>
          </w:tcPr>
          <w:p w:rsidR="005148EA" w:rsidRPr="008B4DA2" w:rsidRDefault="005148EA" w:rsidP="00BF0434">
            <w:pPr>
              <w:ind w:right="-29"/>
              <w:jc w:val="center"/>
              <w:rPr>
                <w:noProof/>
                <w:sz w:val="18"/>
                <w:szCs w:val="18"/>
              </w:rPr>
            </w:pPr>
          </w:p>
        </w:tc>
        <w:tc>
          <w:tcPr>
            <w:tcW w:w="504" w:type="dxa"/>
          </w:tcPr>
          <w:p w:rsidR="005148EA" w:rsidRPr="008B4DA2" w:rsidRDefault="005148EA" w:rsidP="00BF0434">
            <w:pPr>
              <w:ind w:right="-29"/>
              <w:jc w:val="center"/>
              <w:rPr>
                <w:noProof/>
                <w:sz w:val="18"/>
                <w:szCs w:val="18"/>
              </w:rPr>
            </w:pPr>
          </w:p>
        </w:tc>
        <w:tc>
          <w:tcPr>
            <w:tcW w:w="720" w:type="dxa"/>
          </w:tcPr>
          <w:p w:rsidR="005148EA" w:rsidRPr="008B4DA2" w:rsidRDefault="005148EA" w:rsidP="00BF0434">
            <w:pPr>
              <w:ind w:right="-29"/>
              <w:jc w:val="center"/>
              <w:rPr>
                <w:noProof/>
                <w:sz w:val="18"/>
                <w:szCs w:val="18"/>
              </w:rPr>
            </w:pPr>
          </w:p>
        </w:tc>
        <w:tc>
          <w:tcPr>
            <w:tcW w:w="540" w:type="dxa"/>
          </w:tcPr>
          <w:p w:rsidR="005148EA" w:rsidRPr="008B4DA2" w:rsidRDefault="005148EA" w:rsidP="00BF0434">
            <w:pPr>
              <w:ind w:right="-29"/>
              <w:jc w:val="center"/>
              <w:rPr>
                <w:noProof/>
                <w:sz w:val="18"/>
                <w:szCs w:val="18"/>
              </w:rPr>
            </w:pPr>
          </w:p>
        </w:tc>
        <w:tc>
          <w:tcPr>
            <w:tcW w:w="720" w:type="dxa"/>
          </w:tcPr>
          <w:p w:rsidR="005148EA" w:rsidRPr="008B4DA2" w:rsidRDefault="005148EA" w:rsidP="00BF0434">
            <w:pPr>
              <w:ind w:right="-29"/>
              <w:jc w:val="center"/>
              <w:rPr>
                <w:noProof/>
                <w:sz w:val="18"/>
                <w:szCs w:val="18"/>
              </w:rPr>
            </w:pPr>
          </w:p>
        </w:tc>
        <w:tc>
          <w:tcPr>
            <w:tcW w:w="720" w:type="dxa"/>
          </w:tcPr>
          <w:p w:rsidR="005148EA" w:rsidRPr="008B4DA2" w:rsidRDefault="005148EA" w:rsidP="00BF0434">
            <w:pPr>
              <w:ind w:right="-29"/>
              <w:jc w:val="center"/>
              <w:rPr>
                <w:noProof/>
                <w:sz w:val="18"/>
                <w:szCs w:val="18"/>
              </w:rPr>
            </w:pPr>
          </w:p>
        </w:tc>
        <w:tc>
          <w:tcPr>
            <w:tcW w:w="720" w:type="dxa"/>
          </w:tcPr>
          <w:p w:rsidR="005148EA" w:rsidRPr="008B4DA2" w:rsidRDefault="005148EA" w:rsidP="00BF0434">
            <w:pPr>
              <w:ind w:right="-29"/>
              <w:jc w:val="center"/>
              <w:rPr>
                <w:noProof/>
                <w:sz w:val="18"/>
                <w:szCs w:val="18"/>
              </w:rPr>
            </w:pPr>
          </w:p>
        </w:tc>
        <w:tc>
          <w:tcPr>
            <w:tcW w:w="900" w:type="dxa"/>
          </w:tcPr>
          <w:p w:rsidR="005148EA" w:rsidRPr="008B4DA2" w:rsidRDefault="005148EA" w:rsidP="00BF0434">
            <w:pPr>
              <w:ind w:right="-29"/>
              <w:jc w:val="center"/>
              <w:rPr>
                <w:noProof/>
                <w:sz w:val="18"/>
                <w:szCs w:val="18"/>
              </w:rPr>
            </w:pPr>
          </w:p>
        </w:tc>
        <w:tc>
          <w:tcPr>
            <w:tcW w:w="720" w:type="dxa"/>
            <w:gridSpan w:val="2"/>
          </w:tcPr>
          <w:p w:rsidR="005148EA" w:rsidRPr="008B4DA2" w:rsidRDefault="005148EA" w:rsidP="00BF0434">
            <w:pPr>
              <w:ind w:right="-29"/>
              <w:jc w:val="center"/>
              <w:rPr>
                <w:noProof/>
                <w:sz w:val="18"/>
                <w:szCs w:val="18"/>
              </w:rPr>
            </w:pPr>
          </w:p>
        </w:tc>
        <w:tc>
          <w:tcPr>
            <w:tcW w:w="540" w:type="dxa"/>
          </w:tcPr>
          <w:p w:rsidR="005148EA" w:rsidRPr="008B4DA2" w:rsidRDefault="005148EA" w:rsidP="00BF0434">
            <w:pPr>
              <w:ind w:right="-29"/>
              <w:jc w:val="center"/>
              <w:rPr>
                <w:noProof/>
                <w:sz w:val="18"/>
                <w:szCs w:val="18"/>
              </w:rPr>
            </w:pPr>
          </w:p>
        </w:tc>
        <w:tc>
          <w:tcPr>
            <w:tcW w:w="648" w:type="dxa"/>
          </w:tcPr>
          <w:p w:rsidR="005148EA" w:rsidRPr="008B4DA2" w:rsidRDefault="005148EA" w:rsidP="00BF0434">
            <w:pPr>
              <w:ind w:right="-29"/>
              <w:jc w:val="center"/>
              <w:rPr>
                <w:noProof/>
                <w:sz w:val="18"/>
                <w:szCs w:val="18"/>
              </w:rPr>
            </w:pPr>
          </w:p>
        </w:tc>
        <w:tc>
          <w:tcPr>
            <w:tcW w:w="432" w:type="dxa"/>
          </w:tcPr>
          <w:p w:rsidR="005148EA" w:rsidRPr="008B4DA2" w:rsidRDefault="005148EA" w:rsidP="00BF0434">
            <w:pPr>
              <w:ind w:right="-29"/>
              <w:jc w:val="center"/>
              <w:rPr>
                <w:noProof/>
                <w:sz w:val="18"/>
                <w:szCs w:val="18"/>
              </w:rPr>
            </w:pPr>
          </w:p>
        </w:tc>
        <w:tc>
          <w:tcPr>
            <w:tcW w:w="720" w:type="dxa"/>
          </w:tcPr>
          <w:p w:rsidR="005148EA" w:rsidRPr="008B4DA2" w:rsidRDefault="005148EA" w:rsidP="00BF0434">
            <w:pPr>
              <w:ind w:right="-29"/>
              <w:jc w:val="center"/>
              <w:rPr>
                <w:noProof/>
                <w:sz w:val="18"/>
                <w:szCs w:val="18"/>
              </w:rPr>
            </w:pPr>
          </w:p>
        </w:tc>
        <w:tc>
          <w:tcPr>
            <w:tcW w:w="540" w:type="dxa"/>
          </w:tcPr>
          <w:p w:rsidR="005148EA" w:rsidRPr="008B4DA2" w:rsidRDefault="005148EA" w:rsidP="00BF0434">
            <w:pPr>
              <w:ind w:right="-29"/>
              <w:jc w:val="center"/>
              <w:rPr>
                <w:noProof/>
                <w:sz w:val="18"/>
                <w:szCs w:val="18"/>
              </w:rPr>
            </w:pPr>
          </w:p>
        </w:tc>
        <w:tc>
          <w:tcPr>
            <w:tcW w:w="720" w:type="dxa"/>
          </w:tcPr>
          <w:p w:rsidR="005148EA" w:rsidRPr="008B4DA2" w:rsidRDefault="005148EA" w:rsidP="00BF0434">
            <w:pPr>
              <w:ind w:right="-29"/>
              <w:jc w:val="center"/>
              <w:rPr>
                <w:noProof/>
                <w:sz w:val="18"/>
                <w:szCs w:val="18"/>
              </w:rPr>
            </w:pPr>
          </w:p>
        </w:tc>
        <w:tc>
          <w:tcPr>
            <w:tcW w:w="720" w:type="dxa"/>
          </w:tcPr>
          <w:p w:rsidR="005148EA" w:rsidRPr="008B4DA2" w:rsidRDefault="005148EA" w:rsidP="00BF0434">
            <w:pPr>
              <w:ind w:right="-29"/>
              <w:jc w:val="center"/>
              <w:rPr>
                <w:noProof/>
                <w:sz w:val="18"/>
                <w:szCs w:val="18"/>
              </w:rPr>
            </w:pPr>
          </w:p>
        </w:tc>
        <w:tc>
          <w:tcPr>
            <w:tcW w:w="900" w:type="dxa"/>
          </w:tcPr>
          <w:p w:rsidR="005148EA" w:rsidRPr="008B4DA2" w:rsidRDefault="005148EA" w:rsidP="00BF0434">
            <w:pPr>
              <w:ind w:right="-29"/>
              <w:jc w:val="center"/>
              <w:rPr>
                <w:noProof/>
                <w:sz w:val="18"/>
                <w:szCs w:val="18"/>
              </w:rPr>
            </w:pPr>
          </w:p>
        </w:tc>
      </w:tr>
      <w:tr w:rsidR="005148EA" w:rsidRPr="008B4DA2" w:rsidTr="00BF0434">
        <w:trPr>
          <w:jc w:val="center"/>
        </w:trPr>
        <w:tc>
          <w:tcPr>
            <w:tcW w:w="2844" w:type="dxa"/>
            <w:gridSpan w:val="3"/>
            <w:tcBorders>
              <w:bottom w:val="single" w:sz="12" w:space="0" w:color="auto"/>
            </w:tcBorders>
            <w:vAlign w:val="center"/>
          </w:tcPr>
          <w:p w:rsidR="005148EA" w:rsidRPr="008B4DA2" w:rsidRDefault="005148EA" w:rsidP="00BF0434">
            <w:pPr>
              <w:jc w:val="center"/>
              <w:rPr>
                <w:noProof/>
                <w:sz w:val="18"/>
                <w:szCs w:val="18"/>
              </w:rPr>
            </w:pPr>
            <w:r w:rsidRPr="008B4DA2">
              <w:rPr>
                <w:noProof/>
                <w:sz w:val="18"/>
              </w:rPr>
              <w:t xml:space="preserve">Cel szczegółowy </w:t>
            </w:r>
            <w:r w:rsidRPr="00B83C93">
              <w:rPr>
                <w:noProof/>
                <w:sz w:val="18"/>
              </w:rPr>
              <w:t>nr</w:t>
            </w:r>
            <w:r w:rsidR="00B83C93" w:rsidRPr="00B83C93">
              <w:rPr>
                <w:noProof/>
                <w:sz w:val="18"/>
              </w:rPr>
              <w:t> </w:t>
            </w:r>
            <w:r w:rsidRPr="00B83C93">
              <w:rPr>
                <w:noProof/>
                <w:sz w:val="18"/>
              </w:rPr>
              <w:t>2</w:t>
            </w:r>
            <w:r w:rsidRPr="008B4DA2">
              <w:rPr>
                <w:noProof/>
                <w:sz w:val="18"/>
              </w:rPr>
              <w:t xml:space="preserve"> – suma cząstkowa</w:t>
            </w:r>
          </w:p>
        </w:tc>
        <w:tc>
          <w:tcPr>
            <w:tcW w:w="504" w:type="dxa"/>
            <w:tcBorders>
              <w:bottom w:val="single" w:sz="12" w:space="0" w:color="auto"/>
            </w:tcBorders>
          </w:tcPr>
          <w:p w:rsidR="005148EA" w:rsidRPr="008B4DA2" w:rsidRDefault="005148EA" w:rsidP="00BF0434">
            <w:pPr>
              <w:ind w:right="-29"/>
              <w:jc w:val="center"/>
              <w:rPr>
                <w:noProof/>
                <w:sz w:val="18"/>
                <w:szCs w:val="18"/>
              </w:rPr>
            </w:pPr>
          </w:p>
        </w:tc>
        <w:tc>
          <w:tcPr>
            <w:tcW w:w="720" w:type="dxa"/>
            <w:tcBorders>
              <w:bottom w:val="single" w:sz="12" w:space="0" w:color="auto"/>
            </w:tcBorders>
          </w:tcPr>
          <w:p w:rsidR="005148EA" w:rsidRPr="008B4DA2" w:rsidRDefault="005148EA" w:rsidP="00BF0434">
            <w:pPr>
              <w:ind w:right="-29"/>
              <w:jc w:val="center"/>
              <w:rPr>
                <w:noProof/>
                <w:sz w:val="18"/>
                <w:szCs w:val="18"/>
              </w:rPr>
            </w:pPr>
          </w:p>
        </w:tc>
        <w:tc>
          <w:tcPr>
            <w:tcW w:w="540" w:type="dxa"/>
            <w:tcBorders>
              <w:bottom w:val="single" w:sz="12" w:space="0" w:color="auto"/>
            </w:tcBorders>
          </w:tcPr>
          <w:p w:rsidR="005148EA" w:rsidRPr="008B4DA2" w:rsidRDefault="005148EA" w:rsidP="00BF0434">
            <w:pPr>
              <w:ind w:right="-29"/>
              <w:jc w:val="center"/>
              <w:rPr>
                <w:noProof/>
                <w:sz w:val="18"/>
                <w:szCs w:val="18"/>
              </w:rPr>
            </w:pPr>
          </w:p>
        </w:tc>
        <w:tc>
          <w:tcPr>
            <w:tcW w:w="720" w:type="dxa"/>
            <w:tcBorders>
              <w:bottom w:val="single" w:sz="12" w:space="0" w:color="auto"/>
            </w:tcBorders>
          </w:tcPr>
          <w:p w:rsidR="005148EA" w:rsidRPr="008B4DA2" w:rsidRDefault="005148EA" w:rsidP="00BF0434">
            <w:pPr>
              <w:ind w:right="-29"/>
              <w:jc w:val="center"/>
              <w:rPr>
                <w:noProof/>
                <w:sz w:val="18"/>
                <w:szCs w:val="18"/>
              </w:rPr>
            </w:pPr>
          </w:p>
        </w:tc>
        <w:tc>
          <w:tcPr>
            <w:tcW w:w="720" w:type="dxa"/>
            <w:tcBorders>
              <w:bottom w:val="single" w:sz="12" w:space="0" w:color="auto"/>
            </w:tcBorders>
          </w:tcPr>
          <w:p w:rsidR="005148EA" w:rsidRPr="008B4DA2" w:rsidRDefault="005148EA" w:rsidP="00BF0434">
            <w:pPr>
              <w:ind w:right="-29"/>
              <w:jc w:val="center"/>
              <w:rPr>
                <w:noProof/>
                <w:sz w:val="18"/>
                <w:szCs w:val="18"/>
              </w:rPr>
            </w:pPr>
          </w:p>
        </w:tc>
        <w:tc>
          <w:tcPr>
            <w:tcW w:w="720" w:type="dxa"/>
            <w:tcBorders>
              <w:bottom w:val="single" w:sz="12" w:space="0" w:color="auto"/>
            </w:tcBorders>
          </w:tcPr>
          <w:p w:rsidR="005148EA" w:rsidRPr="008B4DA2" w:rsidRDefault="005148EA" w:rsidP="00BF0434">
            <w:pPr>
              <w:ind w:right="-29"/>
              <w:jc w:val="center"/>
              <w:rPr>
                <w:noProof/>
                <w:sz w:val="18"/>
                <w:szCs w:val="18"/>
              </w:rPr>
            </w:pPr>
          </w:p>
        </w:tc>
        <w:tc>
          <w:tcPr>
            <w:tcW w:w="951" w:type="dxa"/>
            <w:gridSpan w:val="2"/>
            <w:tcBorders>
              <w:bottom w:val="single" w:sz="12" w:space="0" w:color="auto"/>
            </w:tcBorders>
          </w:tcPr>
          <w:p w:rsidR="005148EA" w:rsidRPr="008B4DA2" w:rsidRDefault="005148EA" w:rsidP="00BF0434">
            <w:pPr>
              <w:ind w:right="-29"/>
              <w:jc w:val="center"/>
              <w:rPr>
                <w:noProof/>
                <w:sz w:val="18"/>
                <w:szCs w:val="18"/>
              </w:rPr>
            </w:pPr>
          </w:p>
        </w:tc>
        <w:tc>
          <w:tcPr>
            <w:tcW w:w="669" w:type="dxa"/>
            <w:tcBorders>
              <w:bottom w:val="single" w:sz="12" w:space="0" w:color="auto"/>
            </w:tcBorders>
          </w:tcPr>
          <w:p w:rsidR="005148EA" w:rsidRPr="008B4DA2" w:rsidRDefault="005148EA" w:rsidP="00BF0434">
            <w:pPr>
              <w:ind w:right="-29"/>
              <w:jc w:val="center"/>
              <w:rPr>
                <w:noProof/>
                <w:sz w:val="18"/>
                <w:szCs w:val="18"/>
              </w:rPr>
            </w:pPr>
          </w:p>
        </w:tc>
        <w:tc>
          <w:tcPr>
            <w:tcW w:w="540" w:type="dxa"/>
            <w:tcBorders>
              <w:bottom w:val="single" w:sz="12" w:space="0" w:color="auto"/>
            </w:tcBorders>
          </w:tcPr>
          <w:p w:rsidR="005148EA" w:rsidRPr="008B4DA2" w:rsidRDefault="005148EA" w:rsidP="00BF0434">
            <w:pPr>
              <w:ind w:right="-29"/>
              <w:jc w:val="center"/>
              <w:rPr>
                <w:noProof/>
                <w:sz w:val="18"/>
                <w:szCs w:val="18"/>
              </w:rPr>
            </w:pPr>
          </w:p>
        </w:tc>
        <w:tc>
          <w:tcPr>
            <w:tcW w:w="648" w:type="dxa"/>
            <w:tcBorders>
              <w:bottom w:val="single" w:sz="12" w:space="0" w:color="auto"/>
            </w:tcBorders>
          </w:tcPr>
          <w:p w:rsidR="005148EA" w:rsidRPr="008B4DA2" w:rsidRDefault="005148EA" w:rsidP="00BF0434">
            <w:pPr>
              <w:ind w:right="-29"/>
              <w:jc w:val="center"/>
              <w:rPr>
                <w:noProof/>
                <w:sz w:val="18"/>
                <w:szCs w:val="18"/>
              </w:rPr>
            </w:pPr>
          </w:p>
        </w:tc>
        <w:tc>
          <w:tcPr>
            <w:tcW w:w="432" w:type="dxa"/>
            <w:tcBorders>
              <w:bottom w:val="single" w:sz="12" w:space="0" w:color="auto"/>
            </w:tcBorders>
          </w:tcPr>
          <w:p w:rsidR="005148EA" w:rsidRPr="008B4DA2" w:rsidRDefault="005148EA" w:rsidP="00BF0434">
            <w:pPr>
              <w:ind w:right="-29"/>
              <w:jc w:val="center"/>
              <w:rPr>
                <w:noProof/>
                <w:sz w:val="18"/>
                <w:szCs w:val="18"/>
              </w:rPr>
            </w:pPr>
          </w:p>
        </w:tc>
        <w:tc>
          <w:tcPr>
            <w:tcW w:w="720" w:type="dxa"/>
            <w:tcBorders>
              <w:bottom w:val="single" w:sz="12" w:space="0" w:color="auto"/>
            </w:tcBorders>
          </w:tcPr>
          <w:p w:rsidR="005148EA" w:rsidRPr="008B4DA2" w:rsidRDefault="005148EA" w:rsidP="00BF0434">
            <w:pPr>
              <w:ind w:right="-29"/>
              <w:jc w:val="center"/>
              <w:rPr>
                <w:noProof/>
                <w:sz w:val="18"/>
                <w:szCs w:val="18"/>
              </w:rPr>
            </w:pPr>
          </w:p>
        </w:tc>
        <w:tc>
          <w:tcPr>
            <w:tcW w:w="540" w:type="dxa"/>
            <w:tcBorders>
              <w:bottom w:val="single" w:sz="12" w:space="0" w:color="auto"/>
            </w:tcBorders>
          </w:tcPr>
          <w:p w:rsidR="005148EA" w:rsidRPr="008B4DA2" w:rsidRDefault="005148EA" w:rsidP="00BF0434">
            <w:pPr>
              <w:ind w:right="-29"/>
              <w:jc w:val="center"/>
              <w:rPr>
                <w:noProof/>
                <w:sz w:val="18"/>
                <w:szCs w:val="18"/>
              </w:rPr>
            </w:pPr>
          </w:p>
        </w:tc>
        <w:tc>
          <w:tcPr>
            <w:tcW w:w="720" w:type="dxa"/>
            <w:tcBorders>
              <w:bottom w:val="single" w:sz="12" w:space="0" w:color="auto"/>
            </w:tcBorders>
          </w:tcPr>
          <w:p w:rsidR="005148EA" w:rsidRPr="008B4DA2" w:rsidRDefault="005148EA" w:rsidP="00BF0434">
            <w:pPr>
              <w:ind w:right="-29"/>
              <w:jc w:val="center"/>
              <w:rPr>
                <w:noProof/>
                <w:sz w:val="18"/>
                <w:szCs w:val="18"/>
              </w:rPr>
            </w:pPr>
          </w:p>
        </w:tc>
        <w:tc>
          <w:tcPr>
            <w:tcW w:w="720" w:type="dxa"/>
            <w:tcBorders>
              <w:bottom w:val="single" w:sz="12" w:space="0" w:color="auto"/>
            </w:tcBorders>
          </w:tcPr>
          <w:p w:rsidR="005148EA" w:rsidRPr="008B4DA2" w:rsidRDefault="005148EA" w:rsidP="00BF0434">
            <w:pPr>
              <w:ind w:right="-29"/>
              <w:jc w:val="center"/>
              <w:rPr>
                <w:noProof/>
                <w:sz w:val="18"/>
                <w:szCs w:val="18"/>
              </w:rPr>
            </w:pPr>
          </w:p>
        </w:tc>
        <w:tc>
          <w:tcPr>
            <w:tcW w:w="900" w:type="dxa"/>
            <w:tcBorders>
              <w:bottom w:val="single" w:sz="12" w:space="0" w:color="auto"/>
            </w:tcBorders>
          </w:tcPr>
          <w:p w:rsidR="005148EA" w:rsidRPr="008B4DA2" w:rsidRDefault="005148EA" w:rsidP="00BF0434">
            <w:pPr>
              <w:ind w:right="-29"/>
              <w:jc w:val="center"/>
              <w:rPr>
                <w:noProof/>
                <w:sz w:val="18"/>
                <w:szCs w:val="18"/>
              </w:rPr>
            </w:pPr>
          </w:p>
        </w:tc>
      </w:tr>
      <w:tr w:rsidR="005148EA" w:rsidRPr="008B4DA2" w:rsidTr="00BF0434">
        <w:trPr>
          <w:jc w:val="center"/>
        </w:trPr>
        <w:tc>
          <w:tcPr>
            <w:tcW w:w="2844" w:type="dxa"/>
            <w:gridSpan w:val="3"/>
            <w:tcBorders>
              <w:top w:val="single" w:sz="12" w:space="0" w:color="auto"/>
              <w:left w:val="single" w:sz="12" w:space="0" w:color="auto"/>
              <w:bottom w:val="single" w:sz="12" w:space="0" w:color="auto"/>
            </w:tcBorders>
            <w:vAlign w:val="center"/>
          </w:tcPr>
          <w:p w:rsidR="005148EA" w:rsidRPr="008B4DA2" w:rsidRDefault="005148EA" w:rsidP="00BF0434">
            <w:pPr>
              <w:ind w:right="-29"/>
              <w:jc w:val="center"/>
              <w:rPr>
                <w:noProof/>
                <w:sz w:val="18"/>
                <w:szCs w:val="18"/>
              </w:rPr>
            </w:pPr>
            <w:r w:rsidRPr="008B4DA2">
              <w:rPr>
                <w:b/>
                <w:noProof/>
                <w:sz w:val="18"/>
              </w:rPr>
              <w:t>OGÓŁEM</w:t>
            </w:r>
          </w:p>
        </w:tc>
        <w:tc>
          <w:tcPr>
            <w:tcW w:w="504" w:type="dxa"/>
            <w:tcBorders>
              <w:top w:val="single" w:sz="12" w:space="0" w:color="auto"/>
              <w:bottom w:val="single" w:sz="12" w:space="0" w:color="auto"/>
            </w:tcBorders>
          </w:tcPr>
          <w:p w:rsidR="005148EA" w:rsidRPr="008B4DA2"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8B4DA2" w:rsidRDefault="005148EA" w:rsidP="00BF0434">
            <w:pPr>
              <w:spacing w:before="180" w:after="180"/>
              <w:ind w:right="-29"/>
              <w:jc w:val="center"/>
              <w:rPr>
                <w:noProof/>
                <w:sz w:val="18"/>
                <w:szCs w:val="18"/>
              </w:rPr>
            </w:pPr>
          </w:p>
        </w:tc>
        <w:tc>
          <w:tcPr>
            <w:tcW w:w="540" w:type="dxa"/>
            <w:tcBorders>
              <w:top w:val="single" w:sz="12" w:space="0" w:color="auto"/>
              <w:bottom w:val="single" w:sz="12" w:space="0" w:color="auto"/>
            </w:tcBorders>
          </w:tcPr>
          <w:p w:rsidR="005148EA" w:rsidRPr="008B4DA2"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8B4DA2"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8B4DA2"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8B4DA2" w:rsidRDefault="005148EA" w:rsidP="00BF0434">
            <w:pPr>
              <w:spacing w:before="180" w:after="180"/>
              <w:ind w:right="-29"/>
              <w:jc w:val="center"/>
              <w:rPr>
                <w:noProof/>
                <w:sz w:val="18"/>
                <w:szCs w:val="18"/>
              </w:rPr>
            </w:pPr>
          </w:p>
        </w:tc>
        <w:tc>
          <w:tcPr>
            <w:tcW w:w="900" w:type="dxa"/>
            <w:tcBorders>
              <w:top w:val="single" w:sz="12" w:space="0" w:color="auto"/>
              <w:bottom w:val="single" w:sz="12" w:space="0" w:color="auto"/>
            </w:tcBorders>
          </w:tcPr>
          <w:p w:rsidR="005148EA" w:rsidRPr="008B4DA2" w:rsidRDefault="005148EA" w:rsidP="00BF0434">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5148EA" w:rsidRPr="008B4DA2" w:rsidRDefault="005148EA" w:rsidP="00BF0434">
            <w:pPr>
              <w:spacing w:before="180" w:after="180"/>
              <w:ind w:right="-29"/>
              <w:jc w:val="center"/>
              <w:rPr>
                <w:noProof/>
                <w:sz w:val="18"/>
                <w:szCs w:val="18"/>
              </w:rPr>
            </w:pPr>
          </w:p>
        </w:tc>
        <w:tc>
          <w:tcPr>
            <w:tcW w:w="540" w:type="dxa"/>
            <w:tcBorders>
              <w:top w:val="single" w:sz="12" w:space="0" w:color="auto"/>
              <w:bottom w:val="single" w:sz="12" w:space="0" w:color="auto"/>
            </w:tcBorders>
          </w:tcPr>
          <w:p w:rsidR="005148EA" w:rsidRPr="008B4DA2" w:rsidRDefault="005148EA" w:rsidP="00BF0434">
            <w:pPr>
              <w:spacing w:before="180" w:after="180"/>
              <w:ind w:right="-29"/>
              <w:jc w:val="center"/>
              <w:rPr>
                <w:noProof/>
                <w:sz w:val="18"/>
                <w:szCs w:val="18"/>
              </w:rPr>
            </w:pPr>
          </w:p>
        </w:tc>
        <w:tc>
          <w:tcPr>
            <w:tcW w:w="648" w:type="dxa"/>
            <w:tcBorders>
              <w:top w:val="single" w:sz="12" w:space="0" w:color="auto"/>
              <w:bottom w:val="single" w:sz="12" w:space="0" w:color="auto"/>
            </w:tcBorders>
          </w:tcPr>
          <w:p w:rsidR="005148EA" w:rsidRPr="008B4DA2" w:rsidRDefault="005148EA" w:rsidP="00BF0434">
            <w:pPr>
              <w:spacing w:before="180" w:after="180"/>
              <w:ind w:right="-29"/>
              <w:jc w:val="center"/>
              <w:rPr>
                <w:noProof/>
                <w:sz w:val="18"/>
                <w:szCs w:val="18"/>
              </w:rPr>
            </w:pPr>
          </w:p>
        </w:tc>
        <w:tc>
          <w:tcPr>
            <w:tcW w:w="432" w:type="dxa"/>
            <w:tcBorders>
              <w:top w:val="single" w:sz="12" w:space="0" w:color="auto"/>
              <w:bottom w:val="single" w:sz="12" w:space="0" w:color="auto"/>
            </w:tcBorders>
          </w:tcPr>
          <w:p w:rsidR="005148EA" w:rsidRPr="008B4DA2"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8B4DA2" w:rsidRDefault="005148EA" w:rsidP="00BF0434">
            <w:pPr>
              <w:spacing w:before="180" w:after="180"/>
              <w:ind w:right="-29"/>
              <w:jc w:val="center"/>
              <w:rPr>
                <w:noProof/>
                <w:sz w:val="18"/>
                <w:szCs w:val="18"/>
              </w:rPr>
            </w:pPr>
          </w:p>
        </w:tc>
        <w:tc>
          <w:tcPr>
            <w:tcW w:w="540" w:type="dxa"/>
            <w:tcBorders>
              <w:top w:val="single" w:sz="12" w:space="0" w:color="auto"/>
              <w:bottom w:val="single" w:sz="12" w:space="0" w:color="auto"/>
            </w:tcBorders>
          </w:tcPr>
          <w:p w:rsidR="005148EA" w:rsidRPr="008B4DA2"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8B4DA2"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8B4DA2" w:rsidRDefault="005148EA" w:rsidP="00BF0434">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5148EA" w:rsidRPr="008B4DA2" w:rsidRDefault="005148EA" w:rsidP="00BF0434">
            <w:pPr>
              <w:spacing w:before="180" w:after="180"/>
              <w:ind w:right="-29"/>
              <w:jc w:val="center"/>
              <w:rPr>
                <w:noProof/>
                <w:sz w:val="18"/>
                <w:szCs w:val="18"/>
              </w:rPr>
            </w:pPr>
          </w:p>
        </w:tc>
      </w:tr>
    </w:tbl>
    <w:p w:rsidR="005148EA" w:rsidRPr="008B4DA2" w:rsidRDefault="005148EA" w:rsidP="005148EA">
      <w:pPr>
        <w:rPr>
          <w:noProof/>
        </w:rPr>
        <w:sectPr w:rsidR="005148EA" w:rsidRPr="008B4DA2" w:rsidSect="00D32FD5">
          <w:headerReference w:type="default" r:id="rId17"/>
          <w:footerReference w:type="default" r:id="rId18"/>
          <w:headerReference w:type="first" r:id="rId19"/>
          <w:footerReference w:type="first" r:id="rId20"/>
          <w:pgSz w:w="16840" w:h="11907" w:orient="landscape" w:code="9"/>
          <w:pgMar w:top="1134" w:right="1418" w:bottom="567" w:left="1418" w:header="709" w:footer="709" w:gutter="0"/>
          <w:cols w:space="708"/>
          <w:docGrid w:linePitch="360"/>
        </w:sectPr>
      </w:pPr>
    </w:p>
    <w:p w:rsidR="005148EA" w:rsidRPr="008B4DA2" w:rsidRDefault="005148EA" w:rsidP="005148EA">
      <w:pPr>
        <w:pStyle w:val="ManualHeading3"/>
        <w:rPr>
          <w:bCs/>
          <w:noProof/>
          <w:szCs w:val="24"/>
        </w:rPr>
      </w:pPr>
      <w:bookmarkStart w:id="68" w:name="_Toc514938055"/>
      <w:bookmarkStart w:id="69" w:name="_Toc520485054"/>
      <w:r w:rsidRPr="008B4DA2">
        <w:rPr>
          <w:noProof/>
        </w:rPr>
        <w:t>3.2.3.</w:t>
      </w:r>
      <w:r w:rsidRPr="008B4DA2">
        <w:rPr>
          <w:noProof/>
        </w:rPr>
        <w:tab/>
        <w:t>Podsumowanie szacunkowego wpływu na środki administracyjne</w:t>
      </w:r>
      <w:bookmarkEnd w:id="68"/>
      <w:bookmarkEnd w:id="69"/>
      <w:r w:rsidRPr="008B4DA2">
        <w:rPr>
          <w:noProof/>
        </w:rPr>
        <w:t xml:space="preserve"> </w:t>
      </w:r>
    </w:p>
    <w:p w:rsidR="005148EA" w:rsidRPr="008B4DA2" w:rsidRDefault="005148EA" w:rsidP="005148EA">
      <w:pPr>
        <w:pStyle w:val="ListDash1"/>
        <w:rPr>
          <w:noProof/>
        </w:rPr>
      </w:pPr>
      <w:r w:rsidRPr="008B4DA2">
        <w:rPr>
          <w:noProof/>
        </w:rPr>
        <w:t>X</w:t>
      </w:r>
      <w:r w:rsidRPr="008B4DA2">
        <w:rPr>
          <w:noProof/>
        </w:rPr>
        <w:tab/>
        <w:t>Wniosek/inicjatywa nie wiąże się</w:t>
      </w:r>
      <w:r w:rsidR="00B83C93" w:rsidRPr="008B4DA2">
        <w:rPr>
          <w:noProof/>
        </w:rPr>
        <w:t xml:space="preserve"> z</w:t>
      </w:r>
      <w:r w:rsidR="00B83C93">
        <w:rPr>
          <w:noProof/>
        </w:rPr>
        <w:t> </w:t>
      </w:r>
      <w:r w:rsidR="00B83C93" w:rsidRPr="008B4DA2">
        <w:rPr>
          <w:noProof/>
        </w:rPr>
        <w:t>kon</w:t>
      </w:r>
      <w:r w:rsidRPr="008B4DA2">
        <w:rPr>
          <w:noProof/>
        </w:rPr>
        <w:t xml:space="preserve">iecznością wykorzystania środków administracyjnych </w:t>
      </w:r>
    </w:p>
    <w:p w:rsidR="005148EA" w:rsidRPr="008B4DA2" w:rsidRDefault="005148EA" w:rsidP="005148EA">
      <w:pPr>
        <w:pStyle w:val="ListDash1"/>
        <w:rPr>
          <w:noProof/>
        </w:rPr>
      </w:pPr>
      <w:r w:rsidRPr="008B4DA2">
        <w:rPr>
          <w:rFonts w:ascii="Wingdings" w:hAnsi="Wingdings"/>
          <w:noProof/>
        </w:rPr>
        <w:t></w:t>
      </w:r>
      <w:r w:rsidRPr="008B4DA2">
        <w:rPr>
          <w:noProof/>
        </w:rPr>
        <w:tab/>
        <w:t>Wniosek/inicjatywa wiąże się</w:t>
      </w:r>
      <w:r w:rsidR="00B83C93" w:rsidRPr="008B4DA2">
        <w:rPr>
          <w:noProof/>
        </w:rPr>
        <w:t xml:space="preserve"> z</w:t>
      </w:r>
      <w:r w:rsidR="00B83C93">
        <w:rPr>
          <w:noProof/>
        </w:rPr>
        <w:t> </w:t>
      </w:r>
      <w:r w:rsidR="00B83C93" w:rsidRPr="008B4DA2">
        <w:rPr>
          <w:noProof/>
        </w:rPr>
        <w:t>kon</w:t>
      </w:r>
      <w:r w:rsidRPr="008B4DA2">
        <w:rPr>
          <w:noProof/>
        </w:rPr>
        <w:t>iecznością wykorzystania środków administracyjnych, jak określono poniżej:</w:t>
      </w:r>
    </w:p>
    <w:p w:rsidR="005148EA" w:rsidRPr="008B4DA2" w:rsidRDefault="005148EA" w:rsidP="005148EA">
      <w:pPr>
        <w:jc w:val="right"/>
        <w:rPr>
          <w:noProof/>
          <w:sz w:val="20"/>
        </w:rPr>
      </w:pPr>
      <w:r w:rsidRPr="008B4DA2">
        <w:rPr>
          <w:noProof/>
          <w:sz w:val="20"/>
        </w:rPr>
        <w:t>w mln EUR (do trzech miejsc po przecinku)</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517853" w:rsidRPr="008B4DA2" w:rsidTr="00BF0434">
        <w:trPr>
          <w:trHeight w:val="585"/>
        </w:trPr>
        <w:tc>
          <w:tcPr>
            <w:tcW w:w="1980" w:type="dxa"/>
          </w:tcPr>
          <w:p w:rsidR="005148EA" w:rsidRPr="008B4DA2" w:rsidRDefault="005148EA" w:rsidP="00BF0434">
            <w:pPr>
              <w:spacing w:before="60" w:after="60" w:line="200" w:lineRule="exact"/>
              <w:rPr>
                <w:noProof/>
                <w:sz w:val="16"/>
                <w:szCs w:val="16"/>
              </w:rPr>
            </w:pPr>
          </w:p>
        </w:tc>
        <w:tc>
          <w:tcPr>
            <w:tcW w:w="1080" w:type="dxa"/>
            <w:vAlign w:val="center"/>
          </w:tcPr>
          <w:p w:rsidR="005148EA" w:rsidRPr="008B4DA2" w:rsidRDefault="005148EA" w:rsidP="00BF0434">
            <w:pPr>
              <w:spacing w:before="60" w:after="60" w:line="200" w:lineRule="exact"/>
              <w:jc w:val="center"/>
              <w:rPr>
                <w:noProof/>
                <w:sz w:val="16"/>
                <w:szCs w:val="16"/>
              </w:rPr>
            </w:pPr>
            <w:r w:rsidRPr="008B4DA2">
              <w:rPr>
                <w:noProof/>
                <w:sz w:val="16"/>
              </w:rPr>
              <w:t>Rok</w:t>
            </w:r>
            <w:r w:rsidRPr="008B4DA2">
              <w:rPr>
                <w:noProof/>
              </w:rPr>
              <w:t xml:space="preserve"> </w:t>
            </w:r>
            <w:r w:rsidRPr="008B4DA2">
              <w:rPr>
                <w:noProof/>
              </w:rPr>
              <w:br/>
            </w:r>
            <w:r w:rsidRPr="008B4DA2">
              <w:rPr>
                <w:b/>
                <w:noProof/>
                <w:sz w:val="16"/>
              </w:rPr>
              <w:t xml:space="preserve">N </w:t>
            </w:r>
            <w:r w:rsidRPr="008B4DA2">
              <w:rPr>
                <w:rStyle w:val="FootnoteReference"/>
                <w:noProof/>
              </w:rPr>
              <w:footnoteReference w:id="86"/>
            </w:r>
          </w:p>
        </w:tc>
        <w:tc>
          <w:tcPr>
            <w:tcW w:w="1080" w:type="dxa"/>
            <w:vAlign w:val="center"/>
          </w:tcPr>
          <w:p w:rsidR="005148EA" w:rsidRPr="008B4DA2" w:rsidRDefault="005148EA" w:rsidP="00BF0434">
            <w:pPr>
              <w:spacing w:before="60" w:after="60" w:line="200" w:lineRule="exact"/>
              <w:jc w:val="center"/>
              <w:rPr>
                <w:noProof/>
                <w:sz w:val="16"/>
                <w:szCs w:val="16"/>
              </w:rPr>
            </w:pPr>
            <w:r w:rsidRPr="008B4DA2">
              <w:rPr>
                <w:noProof/>
                <w:sz w:val="16"/>
              </w:rPr>
              <w:t>Rok</w:t>
            </w:r>
            <w:r w:rsidRPr="008B4DA2">
              <w:rPr>
                <w:noProof/>
              </w:rPr>
              <w:t xml:space="preserve"> </w:t>
            </w:r>
            <w:r w:rsidRPr="008B4DA2">
              <w:rPr>
                <w:noProof/>
              </w:rPr>
              <w:br/>
            </w:r>
            <w:r w:rsidRPr="008B4DA2">
              <w:rPr>
                <w:b/>
                <w:noProof/>
                <w:sz w:val="16"/>
              </w:rPr>
              <w:t>N+1</w:t>
            </w:r>
          </w:p>
        </w:tc>
        <w:tc>
          <w:tcPr>
            <w:tcW w:w="1080" w:type="dxa"/>
            <w:vAlign w:val="center"/>
          </w:tcPr>
          <w:p w:rsidR="005148EA" w:rsidRPr="008B4DA2" w:rsidRDefault="005148EA" w:rsidP="00BF0434">
            <w:pPr>
              <w:spacing w:before="60" w:after="60" w:line="200" w:lineRule="exact"/>
              <w:jc w:val="center"/>
              <w:rPr>
                <w:noProof/>
                <w:sz w:val="16"/>
                <w:szCs w:val="16"/>
              </w:rPr>
            </w:pPr>
            <w:r w:rsidRPr="008B4DA2">
              <w:rPr>
                <w:noProof/>
                <w:sz w:val="16"/>
              </w:rPr>
              <w:t>Rok</w:t>
            </w:r>
            <w:r w:rsidRPr="008B4DA2">
              <w:rPr>
                <w:noProof/>
              </w:rPr>
              <w:t xml:space="preserve"> </w:t>
            </w:r>
            <w:r w:rsidRPr="008B4DA2">
              <w:rPr>
                <w:noProof/>
              </w:rPr>
              <w:br/>
            </w:r>
            <w:r w:rsidRPr="008B4DA2">
              <w:rPr>
                <w:b/>
                <w:noProof/>
                <w:sz w:val="16"/>
              </w:rPr>
              <w:t>N+2</w:t>
            </w:r>
          </w:p>
        </w:tc>
        <w:tc>
          <w:tcPr>
            <w:tcW w:w="1080" w:type="dxa"/>
            <w:vAlign w:val="center"/>
          </w:tcPr>
          <w:p w:rsidR="005148EA" w:rsidRPr="008B4DA2" w:rsidRDefault="005148EA" w:rsidP="00BF0434">
            <w:pPr>
              <w:spacing w:before="60" w:after="60" w:line="200" w:lineRule="exact"/>
              <w:jc w:val="center"/>
              <w:rPr>
                <w:noProof/>
                <w:sz w:val="16"/>
                <w:szCs w:val="16"/>
              </w:rPr>
            </w:pPr>
            <w:r w:rsidRPr="008B4DA2">
              <w:rPr>
                <w:noProof/>
                <w:sz w:val="16"/>
              </w:rPr>
              <w:t>Rok</w:t>
            </w:r>
            <w:r w:rsidRPr="008B4DA2">
              <w:rPr>
                <w:noProof/>
              </w:rPr>
              <w:t xml:space="preserve"> </w:t>
            </w:r>
            <w:r w:rsidRPr="008B4DA2">
              <w:rPr>
                <w:noProof/>
              </w:rPr>
              <w:br/>
            </w:r>
            <w:r w:rsidRPr="008B4DA2">
              <w:rPr>
                <w:b/>
                <w:noProof/>
                <w:sz w:val="16"/>
              </w:rPr>
              <w:t>N+3</w:t>
            </w:r>
          </w:p>
        </w:tc>
        <w:tc>
          <w:tcPr>
            <w:tcW w:w="3240" w:type="dxa"/>
            <w:vAlign w:val="center"/>
          </w:tcPr>
          <w:p w:rsidR="005148EA" w:rsidRPr="008B4DA2" w:rsidRDefault="005148EA" w:rsidP="00BF0434">
            <w:pPr>
              <w:spacing w:line="200" w:lineRule="exact"/>
              <w:jc w:val="center"/>
              <w:rPr>
                <w:b/>
                <w:noProof/>
                <w:sz w:val="16"/>
                <w:szCs w:val="16"/>
              </w:rPr>
            </w:pPr>
            <w:r w:rsidRPr="008B4DA2">
              <w:rPr>
                <w:noProof/>
                <w:sz w:val="16"/>
              </w:rPr>
              <w:t xml:space="preserve">Wprowadzić taką liczbę kolumn dla poszczególnych lat, jaka jest niezbędna, by odzwierciedlić cały okres wpływu (por. </w:t>
            </w:r>
            <w:r w:rsidRPr="00B83C93">
              <w:rPr>
                <w:noProof/>
                <w:sz w:val="16"/>
              </w:rPr>
              <w:t>pkt</w:t>
            </w:r>
            <w:r w:rsidR="00B83C93" w:rsidRPr="00B83C93">
              <w:rPr>
                <w:noProof/>
                <w:sz w:val="16"/>
              </w:rPr>
              <w:t> </w:t>
            </w:r>
            <w:r w:rsidRPr="00B83C93">
              <w:rPr>
                <w:noProof/>
                <w:sz w:val="16"/>
              </w:rPr>
              <w:t>1</w:t>
            </w:r>
            <w:r w:rsidRPr="008B4DA2">
              <w:rPr>
                <w:noProof/>
                <w:sz w:val="16"/>
              </w:rPr>
              <w:t>.6)</w:t>
            </w:r>
          </w:p>
        </w:tc>
        <w:tc>
          <w:tcPr>
            <w:tcW w:w="1080" w:type="dxa"/>
            <w:vAlign w:val="center"/>
          </w:tcPr>
          <w:p w:rsidR="005148EA" w:rsidRPr="008B4DA2" w:rsidRDefault="005148EA" w:rsidP="00BF0434">
            <w:pPr>
              <w:spacing w:before="60" w:after="60" w:line="200" w:lineRule="exact"/>
              <w:jc w:val="center"/>
              <w:rPr>
                <w:b/>
                <w:noProof/>
                <w:sz w:val="16"/>
                <w:szCs w:val="16"/>
              </w:rPr>
            </w:pPr>
            <w:r w:rsidRPr="008B4DA2">
              <w:rPr>
                <w:b/>
                <w:noProof/>
                <w:sz w:val="16"/>
              </w:rPr>
              <w:t>OGÓŁEM</w:t>
            </w:r>
          </w:p>
        </w:tc>
      </w:tr>
    </w:tbl>
    <w:p w:rsidR="005148EA" w:rsidRPr="008B4DA2" w:rsidRDefault="005148EA" w:rsidP="005148E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417F5" w:rsidRPr="008B4DA2" w:rsidTr="00BF0434">
        <w:trPr>
          <w:trHeight w:val="585"/>
        </w:trPr>
        <w:tc>
          <w:tcPr>
            <w:tcW w:w="1980" w:type="dxa"/>
            <w:shd w:val="clear" w:color="auto" w:fill="CCCCCC"/>
            <w:vAlign w:val="center"/>
          </w:tcPr>
          <w:p w:rsidR="005148EA" w:rsidRPr="008B4DA2" w:rsidRDefault="005148EA" w:rsidP="00BF0434">
            <w:pPr>
              <w:spacing w:before="60" w:after="60" w:line="200" w:lineRule="exact"/>
              <w:jc w:val="center"/>
              <w:rPr>
                <w:b/>
                <w:noProof/>
                <w:sz w:val="16"/>
                <w:szCs w:val="16"/>
              </w:rPr>
            </w:pPr>
            <w:r w:rsidRPr="008B4DA2">
              <w:rPr>
                <w:b/>
                <w:noProof/>
                <w:sz w:val="16"/>
              </w:rPr>
              <w:t>DZIAŁ 7</w:t>
            </w:r>
            <w:r w:rsidRPr="008B4DA2">
              <w:rPr>
                <w:noProof/>
              </w:rPr>
              <w:t xml:space="preserve"> </w:t>
            </w:r>
            <w:r w:rsidRPr="008B4DA2">
              <w:rPr>
                <w:noProof/>
              </w:rPr>
              <w:br/>
            </w:r>
            <w:r w:rsidRPr="008B4DA2">
              <w:rPr>
                <w:b/>
                <w:noProof/>
                <w:sz w:val="16"/>
              </w:rPr>
              <w:t>wieloletnich ram finansowych</w:t>
            </w: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b/>
                <w:noProof/>
                <w:sz w:val="16"/>
                <w:szCs w:val="16"/>
              </w:rPr>
            </w:pPr>
          </w:p>
        </w:tc>
        <w:tc>
          <w:tcPr>
            <w:tcW w:w="1080" w:type="dxa"/>
            <w:vAlign w:val="center"/>
          </w:tcPr>
          <w:p w:rsidR="005148EA" w:rsidRPr="008B4DA2" w:rsidRDefault="005148EA" w:rsidP="00BF0434">
            <w:pPr>
              <w:spacing w:before="60" w:after="60" w:line="200" w:lineRule="exact"/>
              <w:jc w:val="right"/>
              <w:rPr>
                <w:b/>
                <w:noProof/>
                <w:sz w:val="16"/>
                <w:szCs w:val="16"/>
              </w:rPr>
            </w:pPr>
          </w:p>
        </w:tc>
      </w:tr>
      <w:tr w:rsidR="00517853" w:rsidRPr="008B4DA2" w:rsidTr="00BF0434">
        <w:trPr>
          <w:trHeight w:val="585"/>
        </w:trPr>
        <w:tc>
          <w:tcPr>
            <w:tcW w:w="1980" w:type="dxa"/>
            <w:vAlign w:val="center"/>
          </w:tcPr>
          <w:p w:rsidR="005148EA" w:rsidRPr="008B4DA2" w:rsidRDefault="005148EA" w:rsidP="00BF0434">
            <w:pPr>
              <w:spacing w:before="60" w:after="60" w:line="200" w:lineRule="exact"/>
              <w:ind w:left="72"/>
              <w:jc w:val="left"/>
              <w:rPr>
                <w:noProof/>
                <w:sz w:val="16"/>
                <w:szCs w:val="16"/>
              </w:rPr>
            </w:pPr>
            <w:r w:rsidRPr="008B4DA2">
              <w:rPr>
                <w:noProof/>
                <w:sz w:val="16"/>
              </w:rPr>
              <w:t xml:space="preserve">Zasoby ludzkie </w:t>
            </w: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b/>
                <w:noProof/>
                <w:sz w:val="16"/>
                <w:szCs w:val="16"/>
              </w:rPr>
            </w:pPr>
          </w:p>
        </w:tc>
        <w:tc>
          <w:tcPr>
            <w:tcW w:w="1080" w:type="dxa"/>
            <w:vAlign w:val="center"/>
          </w:tcPr>
          <w:p w:rsidR="005148EA" w:rsidRPr="008B4DA2" w:rsidRDefault="005148EA" w:rsidP="00BF0434">
            <w:pPr>
              <w:spacing w:before="60" w:after="60" w:line="200" w:lineRule="exact"/>
              <w:jc w:val="right"/>
              <w:rPr>
                <w:b/>
                <w:noProof/>
                <w:sz w:val="16"/>
                <w:szCs w:val="16"/>
              </w:rPr>
            </w:pPr>
          </w:p>
        </w:tc>
      </w:tr>
      <w:tr w:rsidR="00517853" w:rsidRPr="008B4DA2" w:rsidTr="00BF0434">
        <w:trPr>
          <w:trHeight w:val="585"/>
        </w:trPr>
        <w:tc>
          <w:tcPr>
            <w:tcW w:w="1980" w:type="dxa"/>
            <w:vAlign w:val="center"/>
          </w:tcPr>
          <w:p w:rsidR="005148EA" w:rsidRPr="008B4DA2" w:rsidRDefault="005148EA" w:rsidP="00BF0434">
            <w:pPr>
              <w:spacing w:before="60" w:after="60" w:line="200" w:lineRule="exact"/>
              <w:ind w:left="72"/>
              <w:jc w:val="left"/>
              <w:rPr>
                <w:noProof/>
                <w:sz w:val="16"/>
                <w:szCs w:val="16"/>
              </w:rPr>
            </w:pPr>
            <w:r w:rsidRPr="008B4DA2">
              <w:rPr>
                <w:noProof/>
                <w:sz w:val="16"/>
              </w:rPr>
              <w:t xml:space="preserve">Pozostałe wydatki administracyjne </w:t>
            </w: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b/>
                <w:noProof/>
                <w:sz w:val="16"/>
                <w:szCs w:val="16"/>
              </w:rPr>
            </w:pPr>
          </w:p>
        </w:tc>
        <w:tc>
          <w:tcPr>
            <w:tcW w:w="1080" w:type="dxa"/>
            <w:vAlign w:val="center"/>
          </w:tcPr>
          <w:p w:rsidR="005148EA" w:rsidRPr="008B4DA2" w:rsidRDefault="005148EA" w:rsidP="00BF0434">
            <w:pPr>
              <w:spacing w:before="60" w:after="60" w:line="200" w:lineRule="exact"/>
              <w:jc w:val="right"/>
              <w:rPr>
                <w:b/>
                <w:noProof/>
                <w:sz w:val="16"/>
                <w:szCs w:val="16"/>
              </w:rPr>
            </w:pPr>
          </w:p>
        </w:tc>
      </w:tr>
      <w:tr w:rsidR="000417F5" w:rsidRPr="008B4DA2" w:rsidTr="00BF0434">
        <w:trPr>
          <w:trHeight w:val="585"/>
        </w:trPr>
        <w:tc>
          <w:tcPr>
            <w:tcW w:w="1980" w:type="dxa"/>
            <w:shd w:val="clear" w:color="auto" w:fill="CCCCCC"/>
            <w:vAlign w:val="center"/>
          </w:tcPr>
          <w:p w:rsidR="005148EA" w:rsidRPr="008B4DA2" w:rsidRDefault="005148EA" w:rsidP="00BF0434">
            <w:pPr>
              <w:spacing w:before="60" w:after="60" w:line="200" w:lineRule="exact"/>
              <w:jc w:val="center"/>
              <w:rPr>
                <w:b/>
                <w:noProof/>
                <w:sz w:val="16"/>
                <w:szCs w:val="16"/>
              </w:rPr>
            </w:pPr>
            <w:r w:rsidRPr="008B4DA2">
              <w:rPr>
                <w:b/>
                <w:noProof/>
                <w:sz w:val="16"/>
              </w:rPr>
              <w:t>Suma cząstkowa DZIAŁU 7</w:t>
            </w:r>
            <w:r w:rsidRPr="008B4DA2">
              <w:rPr>
                <w:noProof/>
              </w:rPr>
              <w:t xml:space="preserve"> </w:t>
            </w:r>
            <w:r w:rsidRPr="008B4DA2">
              <w:rPr>
                <w:noProof/>
              </w:rPr>
              <w:br/>
            </w:r>
            <w:r w:rsidRPr="008B4DA2">
              <w:rPr>
                <w:b/>
                <w:noProof/>
                <w:sz w:val="16"/>
              </w:rPr>
              <w:t xml:space="preserve">wieloletnich ram finansowych </w:t>
            </w: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b/>
                <w:noProof/>
                <w:sz w:val="16"/>
                <w:szCs w:val="16"/>
              </w:rPr>
            </w:pPr>
          </w:p>
        </w:tc>
        <w:tc>
          <w:tcPr>
            <w:tcW w:w="1080" w:type="dxa"/>
            <w:vAlign w:val="center"/>
          </w:tcPr>
          <w:p w:rsidR="005148EA" w:rsidRPr="008B4DA2" w:rsidRDefault="005148EA" w:rsidP="00BF0434">
            <w:pPr>
              <w:spacing w:before="60" w:after="60" w:line="200" w:lineRule="exact"/>
              <w:jc w:val="right"/>
              <w:rPr>
                <w:b/>
                <w:noProof/>
                <w:sz w:val="16"/>
                <w:szCs w:val="16"/>
              </w:rPr>
            </w:pPr>
          </w:p>
        </w:tc>
      </w:tr>
    </w:tbl>
    <w:p w:rsidR="005148EA" w:rsidRPr="008B4DA2" w:rsidRDefault="005148EA" w:rsidP="005148E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417F5" w:rsidRPr="008B4DA2" w:rsidTr="00BF0434">
        <w:trPr>
          <w:trHeight w:val="585"/>
        </w:trPr>
        <w:tc>
          <w:tcPr>
            <w:tcW w:w="1980" w:type="dxa"/>
            <w:shd w:val="clear" w:color="auto" w:fill="CCCCCC"/>
            <w:vAlign w:val="center"/>
          </w:tcPr>
          <w:p w:rsidR="005148EA" w:rsidRPr="008B4DA2" w:rsidRDefault="005148EA" w:rsidP="00BF0434">
            <w:pPr>
              <w:spacing w:before="60" w:after="60" w:line="200" w:lineRule="exact"/>
              <w:jc w:val="center"/>
              <w:rPr>
                <w:noProof/>
                <w:sz w:val="16"/>
                <w:szCs w:val="16"/>
              </w:rPr>
            </w:pPr>
            <w:r w:rsidRPr="008B4DA2">
              <w:rPr>
                <w:b/>
                <w:noProof/>
                <w:sz w:val="16"/>
              </w:rPr>
              <w:t>Poza DZIAŁEM 7</w:t>
            </w:r>
            <w:r w:rsidRPr="008B4DA2">
              <w:rPr>
                <w:rStyle w:val="FootnoteReference"/>
                <w:noProof/>
              </w:rPr>
              <w:footnoteReference w:id="87"/>
            </w:r>
            <w:r w:rsidRPr="008B4DA2">
              <w:rPr>
                <w:noProof/>
              </w:rPr>
              <w:t xml:space="preserve"> </w:t>
            </w:r>
            <w:r w:rsidRPr="008B4DA2">
              <w:rPr>
                <w:noProof/>
              </w:rPr>
              <w:br/>
            </w:r>
            <w:r w:rsidRPr="008B4DA2">
              <w:rPr>
                <w:b/>
                <w:noProof/>
                <w:sz w:val="16"/>
              </w:rPr>
              <w:t xml:space="preserve">wieloletnich ram finansowych </w:t>
            </w:r>
          </w:p>
          <w:p w:rsidR="005148EA" w:rsidRPr="008B4DA2" w:rsidRDefault="005148EA" w:rsidP="00BF0434">
            <w:pPr>
              <w:spacing w:before="0" w:after="0" w:line="200" w:lineRule="exact"/>
              <w:jc w:val="center"/>
              <w:rPr>
                <w:b/>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b/>
                <w:noProof/>
                <w:sz w:val="16"/>
                <w:szCs w:val="16"/>
              </w:rPr>
            </w:pPr>
          </w:p>
        </w:tc>
        <w:tc>
          <w:tcPr>
            <w:tcW w:w="1080" w:type="dxa"/>
            <w:vAlign w:val="center"/>
          </w:tcPr>
          <w:p w:rsidR="005148EA" w:rsidRPr="008B4DA2" w:rsidRDefault="005148EA" w:rsidP="00BF0434">
            <w:pPr>
              <w:spacing w:before="60" w:after="60" w:line="200" w:lineRule="exact"/>
              <w:jc w:val="right"/>
              <w:rPr>
                <w:b/>
                <w:noProof/>
                <w:sz w:val="16"/>
                <w:szCs w:val="16"/>
              </w:rPr>
            </w:pPr>
          </w:p>
        </w:tc>
      </w:tr>
      <w:tr w:rsidR="00517853" w:rsidRPr="008B4DA2" w:rsidTr="00BF0434">
        <w:trPr>
          <w:trHeight w:val="585"/>
        </w:trPr>
        <w:tc>
          <w:tcPr>
            <w:tcW w:w="1980" w:type="dxa"/>
            <w:vAlign w:val="center"/>
          </w:tcPr>
          <w:p w:rsidR="005148EA" w:rsidRPr="008B4DA2" w:rsidRDefault="005148EA" w:rsidP="00BF0434">
            <w:pPr>
              <w:spacing w:before="60" w:after="60" w:line="200" w:lineRule="exact"/>
              <w:ind w:left="72"/>
              <w:jc w:val="left"/>
              <w:rPr>
                <w:noProof/>
                <w:sz w:val="16"/>
                <w:szCs w:val="16"/>
              </w:rPr>
            </w:pPr>
            <w:r w:rsidRPr="008B4DA2">
              <w:rPr>
                <w:noProof/>
                <w:sz w:val="16"/>
              </w:rPr>
              <w:t xml:space="preserve">Zasoby ludzkie </w:t>
            </w: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b/>
                <w:noProof/>
                <w:sz w:val="16"/>
                <w:szCs w:val="16"/>
              </w:rPr>
            </w:pPr>
          </w:p>
        </w:tc>
        <w:tc>
          <w:tcPr>
            <w:tcW w:w="1080" w:type="dxa"/>
            <w:vAlign w:val="center"/>
          </w:tcPr>
          <w:p w:rsidR="005148EA" w:rsidRPr="008B4DA2" w:rsidRDefault="005148EA" w:rsidP="00BF0434">
            <w:pPr>
              <w:spacing w:before="60" w:after="60" w:line="200" w:lineRule="exact"/>
              <w:jc w:val="right"/>
              <w:rPr>
                <w:b/>
                <w:noProof/>
                <w:sz w:val="16"/>
                <w:szCs w:val="16"/>
              </w:rPr>
            </w:pPr>
          </w:p>
        </w:tc>
      </w:tr>
      <w:tr w:rsidR="00517853" w:rsidRPr="008B4DA2" w:rsidTr="00BF0434">
        <w:trPr>
          <w:trHeight w:val="585"/>
        </w:trPr>
        <w:tc>
          <w:tcPr>
            <w:tcW w:w="1980" w:type="dxa"/>
            <w:vAlign w:val="center"/>
          </w:tcPr>
          <w:p w:rsidR="005148EA" w:rsidRPr="008B4DA2" w:rsidRDefault="005148EA" w:rsidP="00BF0434">
            <w:pPr>
              <w:spacing w:before="60" w:after="60" w:line="200" w:lineRule="exact"/>
              <w:ind w:left="72"/>
              <w:jc w:val="left"/>
              <w:rPr>
                <w:noProof/>
                <w:sz w:val="16"/>
                <w:szCs w:val="16"/>
              </w:rPr>
            </w:pPr>
            <w:r w:rsidRPr="008B4DA2">
              <w:rPr>
                <w:noProof/>
                <w:sz w:val="16"/>
              </w:rPr>
              <w:t xml:space="preserve">Pozostałe wydatki </w:t>
            </w:r>
            <w:r w:rsidRPr="008B4DA2">
              <w:rPr>
                <w:noProof/>
              </w:rPr>
              <w:br/>
            </w:r>
            <w:r w:rsidRPr="008B4DA2">
              <w:rPr>
                <w:noProof/>
                <w:sz w:val="16"/>
              </w:rPr>
              <w:t>o charakterze administracyjnym</w:t>
            </w: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b/>
                <w:noProof/>
                <w:sz w:val="16"/>
                <w:szCs w:val="16"/>
              </w:rPr>
            </w:pPr>
          </w:p>
        </w:tc>
        <w:tc>
          <w:tcPr>
            <w:tcW w:w="1080" w:type="dxa"/>
            <w:vAlign w:val="center"/>
          </w:tcPr>
          <w:p w:rsidR="005148EA" w:rsidRPr="008B4DA2" w:rsidRDefault="005148EA" w:rsidP="00BF0434">
            <w:pPr>
              <w:spacing w:before="60" w:after="60" w:line="200" w:lineRule="exact"/>
              <w:jc w:val="right"/>
              <w:rPr>
                <w:b/>
                <w:noProof/>
                <w:sz w:val="16"/>
                <w:szCs w:val="16"/>
              </w:rPr>
            </w:pPr>
          </w:p>
        </w:tc>
      </w:tr>
      <w:tr w:rsidR="000417F5" w:rsidRPr="008B4DA2" w:rsidTr="00BF0434">
        <w:trPr>
          <w:trHeight w:val="585"/>
        </w:trPr>
        <w:tc>
          <w:tcPr>
            <w:tcW w:w="1980" w:type="dxa"/>
            <w:shd w:val="clear" w:color="auto" w:fill="CCCCCC"/>
            <w:vAlign w:val="center"/>
          </w:tcPr>
          <w:p w:rsidR="005148EA" w:rsidRPr="008B4DA2" w:rsidRDefault="005148EA" w:rsidP="00193E69">
            <w:pPr>
              <w:spacing w:before="60" w:after="60" w:line="200" w:lineRule="exact"/>
              <w:jc w:val="center"/>
              <w:rPr>
                <w:b/>
                <w:noProof/>
                <w:sz w:val="16"/>
                <w:szCs w:val="16"/>
              </w:rPr>
            </w:pPr>
            <w:r w:rsidRPr="008B4DA2">
              <w:rPr>
                <w:b/>
                <w:noProof/>
                <w:sz w:val="16"/>
              </w:rPr>
              <w:t xml:space="preserve">Suma cząstkowa </w:t>
            </w:r>
            <w:r w:rsidRPr="008B4DA2">
              <w:rPr>
                <w:noProof/>
              </w:rPr>
              <w:br/>
            </w:r>
            <w:r w:rsidRPr="008B4DA2">
              <w:rPr>
                <w:b/>
                <w:noProof/>
                <w:sz w:val="16"/>
              </w:rPr>
              <w:t>poza DZIAŁEM 7</w:t>
            </w:r>
            <w:r w:rsidRPr="008B4DA2">
              <w:rPr>
                <w:noProof/>
              </w:rPr>
              <w:t xml:space="preserve"> </w:t>
            </w:r>
            <w:r w:rsidRPr="008B4DA2">
              <w:rPr>
                <w:noProof/>
              </w:rPr>
              <w:br/>
            </w:r>
            <w:r w:rsidRPr="008B4DA2">
              <w:rPr>
                <w:b/>
                <w:noProof/>
                <w:sz w:val="16"/>
              </w:rPr>
              <w:t xml:space="preserve">wieloletnich ram finansowych </w:t>
            </w: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noProof/>
                <w:sz w:val="16"/>
                <w:szCs w:val="16"/>
              </w:rPr>
            </w:pPr>
          </w:p>
        </w:tc>
        <w:tc>
          <w:tcPr>
            <w:tcW w:w="1080" w:type="dxa"/>
            <w:vAlign w:val="center"/>
          </w:tcPr>
          <w:p w:rsidR="005148EA" w:rsidRPr="008B4DA2" w:rsidRDefault="005148EA" w:rsidP="00BF0434">
            <w:pPr>
              <w:spacing w:before="60" w:after="60" w:line="200" w:lineRule="exact"/>
              <w:jc w:val="right"/>
              <w:rPr>
                <w:b/>
                <w:noProof/>
                <w:sz w:val="16"/>
                <w:szCs w:val="16"/>
              </w:rPr>
            </w:pPr>
          </w:p>
        </w:tc>
        <w:tc>
          <w:tcPr>
            <w:tcW w:w="1080" w:type="dxa"/>
            <w:vAlign w:val="center"/>
          </w:tcPr>
          <w:p w:rsidR="005148EA" w:rsidRPr="008B4DA2" w:rsidRDefault="005148EA" w:rsidP="00BF0434">
            <w:pPr>
              <w:spacing w:before="60" w:after="60" w:line="200" w:lineRule="exact"/>
              <w:jc w:val="right"/>
              <w:rPr>
                <w:b/>
                <w:noProof/>
                <w:sz w:val="16"/>
                <w:szCs w:val="16"/>
              </w:rPr>
            </w:pPr>
          </w:p>
        </w:tc>
      </w:tr>
    </w:tbl>
    <w:p w:rsidR="005148EA" w:rsidRPr="008B4DA2" w:rsidRDefault="005148EA" w:rsidP="005148EA">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01B8A" w:rsidRPr="008B4DA2" w:rsidTr="00BF0434">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5148EA" w:rsidRPr="008B4DA2" w:rsidRDefault="005148EA" w:rsidP="00BF0434">
            <w:pPr>
              <w:spacing w:before="60" w:after="60" w:line="200" w:lineRule="exact"/>
              <w:jc w:val="center"/>
              <w:rPr>
                <w:noProof/>
                <w:sz w:val="16"/>
                <w:szCs w:val="16"/>
              </w:rPr>
            </w:pPr>
            <w:r w:rsidRPr="008B4DA2">
              <w:rPr>
                <w:b/>
                <w:noProof/>
                <w:sz w:val="16"/>
              </w:rPr>
              <w:t>OGÓŁEM</w:t>
            </w: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8B4DA2"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8B4DA2"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8B4DA2"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8B4DA2"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8B4DA2"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8B4DA2"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8B4DA2"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5148EA" w:rsidRPr="008B4DA2" w:rsidRDefault="005148EA" w:rsidP="00BF0434">
            <w:pPr>
              <w:spacing w:before="60" w:after="60" w:line="200" w:lineRule="exact"/>
              <w:jc w:val="right"/>
              <w:rPr>
                <w:b/>
                <w:noProof/>
                <w:sz w:val="16"/>
                <w:szCs w:val="16"/>
              </w:rPr>
            </w:pPr>
          </w:p>
        </w:tc>
      </w:tr>
    </w:tbl>
    <w:p w:rsidR="005148EA" w:rsidRPr="008B4DA2" w:rsidRDefault="005148EA" w:rsidP="005148EA">
      <w:pPr>
        <w:rPr>
          <w:noProof/>
          <w:sz w:val="18"/>
        </w:rPr>
      </w:pPr>
      <w:r w:rsidRPr="008B4DA2">
        <w:rPr>
          <w:noProof/>
          <w:sz w:val="18"/>
        </w:rPr>
        <w:t>Potrzeby</w:t>
      </w:r>
      <w:r w:rsidR="00B83C93" w:rsidRPr="008B4DA2">
        <w:rPr>
          <w:noProof/>
          <w:sz w:val="18"/>
        </w:rPr>
        <w:t xml:space="preserve"> w</w:t>
      </w:r>
      <w:r w:rsidR="00B83C93">
        <w:rPr>
          <w:noProof/>
          <w:sz w:val="18"/>
        </w:rPr>
        <w:t> </w:t>
      </w:r>
      <w:r w:rsidR="00B83C93" w:rsidRPr="008B4DA2">
        <w:rPr>
          <w:noProof/>
          <w:sz w:val="18"/>
        </w:rPr>
        <w:t>zak</w:t>
      </w:r>
      <w:r w:rsidRPr="008B4DA2">
        <w:rPr>
          <w:noProof/>
          <w:sz w:val="18"/>
        </w:rPr>
        <w:t>resie środków na zasoby ludzkie</w:t>
      </w:r>
      <w:r w:rsidR="00B83C93" w:rsidRPr="008B4DA2">
        <w:rPr>
          <w:noProof/>
          <w:sz w:val="18"/>
        </w:rPr>
        <w:t xml:space="preserve"> i</w:t>
      </w:r>
      <w:r w:rsidR="00B83C93">
        <w:rPr>
          <w:noProof/>
          <w:sz w:val="18"/>
        </w:rPr>
        <w:t> </w:t>
      </w:r>
      <w:r w:rsidR="00B83C93" w:rsidRPr="008B4DA2">
        <w:rPr>
          <w:noProof/>
          <w:sz w:val="18"/>
        </w:rPr>
        <w:t>inn</w:t>
      </w:r>
      <w:r w:rsidRPr="008B4DA2">
        <w:rPr>
          <w:noProof/>
          <w:sz w:val="18"/>
        </w:rPr>
        <w:t>e wydatki</w:t>
      </w:r>
      <w:r w:rsidR="00B83C93" w:rsidRPr="008B4DA2">
        <w:rPr>
          <w:noProof/>
          <w:sz w:val="18"/>
        </w:rPr>
        <w:t xml:space="preserve"> o</w:t>
      </w:r>
      <w:r w:rsidR="00B83C93">
        <w:rPr>
          <w:noProof/>
          <w:sz w:val="18"/>
        </w:rPr>
        <w:t> </w:t>
      </w:r>
      <w:r w:rsidR="00B83C93" w:rsidRPr="008B4DA2">
        <w:rPr>
          <w:noProof/>
          <w:sz w:val="18"/>
        </w:rPr>
        <w:t>cha</w:t>
      </w:r>
      <w:r w:rsidRPr="008B4DA2">
        <w:rPr>
          <w:noProof/>
          <w:sz w:val="18"/>
        </w:rPr>
        <w:t>rakterze administracyjnym zostaną pokryte</w:t>
      </w:r>
      <w:r w:rsidR="00B83C93" w:rsidRPr="008B4DA2">
        <w:rPr>
          <w:noProof/>
          <w:sz w:val="18"/>
        </w:rPr>
        <w:t xml:space="preserve"> z</w:t>
      </w:r>
      <w:r w:rsidR="00B83C93">
        <w:rPr>
          <w:noProof/>
          <w:sz w:val="18"/>
        </w:rPr>
        <w:t> </w:t>
      </w:r>
      <w:r w:rsidR="00B83C93" w:rsidRPr="008B4DA2">
        <w:rPr>
          <w:noProof/>
          <w:sz w:val="18"/>
        </w:rPr>
        <w:t>zas</w:t>
      </w:r>
      <w:r w:rsidRPr="008B4DA2">
        <w:rPr>
          <w:noProof/>
          <w:sz w:val="18"/>
        </w:rPr>
        <w:t>obów dyrekcji generalnej już przydzielonych na zarządzanie tym działaniem lub przesuniętych</w:t>
      </w:r>
      <w:r w:rsidR="00B83C93" w:rsidRPr="008B4DA2">
        <w:rPr>
          <w:noProof/>
          <w:sz w:val="18"/>
        </w:rPr>
        <w:t xml:space="preserve"> w</w:t>
      </w:r>
      <w:r w:rsidR="00B83C93">
        <w:rPr>
          <w:noProof/>
          <w:sz w:val="18"/>
        </w:rPr>
        <w:t> </w:t>
      </w:r>
      <w:r w:rsidR="00B83C93" w:rsidRPr="008B4DA2">
        <w:rPr>
          <w:noProof/>
          <w:sz w:val="18"/>
        </w:rPr>
        <w:t>ram</w:t>
      </w:r>
      <w:r w:rsidRPr="008B4DA2">
        <w:rPr>
          <w:noProof/>
          <w:sz w:val="18"/>
        </w:rPr>
        <w:t>ach dyrekcji generalnej, uzupełnionych</w:t>
      </w:r>
      <w:r w:rsidR="00B83C93" w:rsidRPr="008B4DA2">
        <w:rPr>
          <w:noProof/>
          <w:sz w:val="18"/>
        </w:rPr>
        <w:t xml:space="preserve"> w</w:t>
      </w:r>
      <w:r w:rsidR="00B83C93">
        <w:rPr>
          <w:noProof/>
          <w:sz w:val="18"/>
        </w:rPr>
        <w:t> </w:t>
      </w:r>
      <w:r w:rsidR="00B83C93" w:rsidRPr="008B4DA2">
        <w:rPr>
          <w:noProof/>
          <w:sz w:val="18"/>
        </w:rPr>
        <w:t>raz</w:t>
      </w:r>
      <w:r w:rsidRPr="008B4DA2">
        <w:rPr>
          <w:noProof/>
          <w:sz w:val="18"/>
        </w:rPr>
        <w:t>ie potrzeby wszelkimi dodatkowymi zasobami, które mogą zostać przydzielone zarządzającej dyrekcji generalnej</w:t>
      </w:r>
      <w:r w:rsidR="00B83C93" w:rsidRPr="008B4DA2">
        <w:rPr>
          <w:noProof/>
          <w:sz w:val="18"/>
        </w:rPr>
        <w:t xml:space="preserve"> w</w:t>
      </w:r>
      <w:r w:rsidR="00B83C93">
        <w:rPr>
          <w:noProof/>
          <w:sz w:val="18"/>
        </w:rPr>
        <w:t> </w:t>
      </w:r>
      <w:r w:rsidR="00B83C93" w:rsidRPr="008B4DA2">
        <w:rPr>
          <w:noProof/>
          <w:sz w:val="18"/>
        </w:rPr>
        <w:t>ram</w:t>
      </w:r>
      <w:r w:rsidRPr="008B4DA2">
        <w:rPr>
          <w:noProof/>
          <w:sz w:val="18"/>
        </w:rPr>
        <w:t>ach procedury rocznego przydziału środków oraz</w:t>
      </w:r>
      <w:r w:rsidR="00B83C93" w:rsidRPr="008B4DA2">
        <w:rPr>
          <w:noProof/>
          <w:sz w:val="18"/>
        </w:rPr>
        <w:t xml:space="preserve"> w</w:t>
      </w:r>
      <w:r w:rsidR="00B83C93">
        <w:rPr>
          <w:noProof/>
          <w:sz w:val="18"/>
        </w:rPr>
        <w:t> </w:t>
      </w:r>
      <w:r w:rsidR="00B83C93" w:rsidRPr="008B4DA2">
        <w:rPr>
          <w:noProof/>
          <w:sz w:val="18"/>
        </w:rPr>
        <w:t>świ</w:t>
      </w:r>
      <w:r w:rsidRPr="008B4DA2">
        <w:rPr>
          <w:noProof/>
          <w:sz w:val="18"/>
        </w:rPr>
        <w:t>etle istniejących ograniczeń budżetowych.</w:t>
      </w:r>
    </w:p>
    <w:p w:rsidR="005148EA" w:rsidRPr="008B4DA2" w:rsidRDefault="005148EA" w:rsidP="005148EA">
      <w:pPr>
        <w:rPr>
          <w:noProof/>
          <w:sz w:val="18"/>
        </w:rPr>
        <w:sectPr w:rsidR="005148EA" w:rsidRPr="008B4DA2" w:rsidSect="00D32FD5">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rsidR="005148EA" w:rsidRPr="008B4DA2" w:rsidRDefault="005148EA" w:rsidP="005148EA">
      <w:pPr>
        <w:pStyle w:val="ManualHeading4"/>
        <w:rPr>
          <w:bCs/>
          <w:noProof/>
          <w:szCs w:val="24"/>
        </w:rPr>
      </w:pPr>
      <w:r w:rsidRPr="008B4DA2">
        <w:rPr>
          <w:noProof/>
        </w:rPr>
        <w:t>3.2.3.1.</w:t>
      </w:r>
      <w:r w:rsidRPr="008B4DA2">
        <w:rPr>
          <w:noProof/>
        </w:rPr>
        <w:tab/>
        <w:t xml:space="preserve">Szacowane zapotrzebowanie na zasoby ludzkie </w:t>
      </w:r>
    </w:p>
    <w:p w:rsidR="005148EA" w:rsidRPr="008B4DA2" w:rsidRDefault="005148EA" w:rsidP="005148EA">
      <w:pPr>
        <w:pStyle w:val="ListDash1"/>
        <w:rPr>
          <w:noProof/>
        </w:rPr>
      </w:pPr>
      <w:r w:rsidRPr="008B4DA2">
        <w:rPr>
          <w:noProof/>
        </w:rPr>
        <w:tab/>
        <w:t>Wniosek/inicjatywa nie wiąże się</w:t>
      </w:r>
      <w:r w:rsidR="00B83C93" w:rsidRPr="008B4DA2">
        <w:rPr>
          <w:noProof/>
        </w:rPr>
        <w:t xml:space="preserve"> z</w:t>
      </w:r>
      <w:r w:rsidR="00B83C93">
        <w:rPr>
          <w:noProof/>
        </w:rPr>
        <w:t> </w:t>
      </w:r>
      <w:r w:rsidR="00B83C93" w:rsidRPr="008B4DA2">
        <w:rPr>
          <w:noProof/>
        </w:rPr>
        <w:t>kon</w:t>
      </w:r>
      <w:r w:rsidRPr="008B4DA2">
        <w:rPr>
          <w:noProof/>
        </w:rPr>
        <w:t xml:space="preserve">iecznością wykorzystania zasobów ludzkich. </w:t>
      </w:r>
    </w:p>
    <w:p w:rsidR="005148EA" w:rsidRPr="008B4DA2" w:rsidRDefault="005148EA" w:rsidP="005148EA">
      <w:pPr>
        <w:pStyle w:val="ListDash1"/>
        <w:rPr>
          <w:noProof/>
        </w:rPr>
      </w:pPr>
      <w:r w:rsidRPr="008B4DA2">
        <w:rPr>
          <w:rFonts w:ascii="Wingdings" w:hAnsi="Wingdings"/>
          <w:noProof/>
        </w:rPr>
        <w:t></w:t>
      </w:r>
      <w:r w:rsidRPr="008B4DA2">
        <w:rPr>
          <w:noProof/>
        </w:rPr>
        <w:tab/>
        <w:t>Wniosek/inicjatywa wiąże się</w:t>
      </w:r>
      <w:r w:rsidR="00B83C93" w:rsidRPr="008B4DA2">
        <w:rPr>
          <w:noProof/>
        </w:rPr>
        <w:t xml:space="preserve"> z</w:t>
      </w:r>
      <w:r w:rsidR="00B83C93">
        <w:rPr>
          <w:noProof/>
        </w:rPr>
        <w:t> </w:t>
      </w:r>
      <w:r w:rsidR="00B83C93" w:rsidRPr="008B4DA2">
        <w:rPr>
          <w:noProof/>
        </w:rPr>
        <w:t>kon</w:t>
      </w:r>
      <w:r w:rsidRPr="008B4DA2">
        <w:rPr>
          <w:noProof/>
        </w:rPr>
        <w:t>iecznością wykorzystania zasobów ludzkich, jak określono poniżej:</w:t>
      </w:r>
    </w:p>
    <w:p w:rsidR="005148EA" w:rsidRPr="008B4DA2" w:rsidRDefault="005148EA" w:rsidP="005148EA">
      <w:pPr>
        <w:spacing w:after="60"/>
        <w:jc w:val="right"/>
        <w:rPr>
          <w:i/>
          <w:noProof/>
          <w:sz w:val="20"/>
        </w:rPr>
      </w:pPr>
      <w:r w:rsidRPr="008B4DA2">
        <w:rPr>
          <w:i/>
          <w:noProof/>
          <w:sz w:val="20"/>
        </w:rPr>
        <w:t>Wartości szacunkowe należy wyrazić</w:t>
      </w:r>
      <w:r w:rsidR="00B83C93" w:rsidRPr="008B4DA2">
        <w:rPr>
          <w:i/>
          <w:noProof/>
          <w:sz w:val="20"/>
        </w:rPr>
        <w:t xml:space="preserve"> w</w:t>
      </w:r>
      <w:r w:rsidR="00B83C93">
        <w:rPr>
          <w:i/>
          <w:noProof/>
          <w:sz w:val="20"/>
        </w:rPr>
        <w:t> </w:t>
      </w:r>
      <w:r w:rsidR="00B83C93" w:rsidRPr="008B4DA2">
        <w:rPr>
          <w:i/>
          <w:noProof/>
          <w:sz w:val="20"/>
        </w:rPr>
        <w:t>ekw</w:t>
      </w:r>
      <w:r w:rsidRPr="008B4DA2">
        <w:rPr>
          <w:i/>
          <w:noProof/>
          <w:sz w:val="20"/>
        </w:rPr>
        <w:t>iwalentach pełnego czasu pracy</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5148EA" w:rsidRPr="008B4DA2" w:rsidTr="00BF0434">
        <w:trPr>
          <w:gridBefore w:val="1"/>
          <w:wBefore w:w="15" w:type="dxa"/>
          <w:trHeight w:val="289"/>
          <w:jc w:val="center"/>
        </w:trPr>
        <w:tc>
          <w:tcPr>
            <w:tcW w:w="4754" w:type="dxa"/>
            <w:gridSpan w:val="2"/>
            <w:shd w:val="clear" w:color="auto" w:fill="auto"/>
          </w:tcPr>
          <w:p w:rsidR="005148EA" w:rsidRPr="008B4DA2" w:rsidRDefault="005148EA" w:rsidP="00BF0434">
            <w:pPr>
              <w:pStyle w:val="Text1"/>
              <w:spacing w:before="40" w:after="40"/>
              <w:ind w:left="0"/>
              <w:jc w:val="center"/>
              <w:rPr>
                <w:i/>
                <w:noProof/>
                <w:sz w:val="16"/>
                <w:szCs w:val="16"/>
              </w:rPr>
            </w:pPr>
          </w:p>
        </w:tc>
        <w:tc>
          <w:tcPr>
            <w:tcW w:w="731" w:type="dxa"/>
            <w:shd w:val="clear" w:color="auto" w:fill="auto"/>
            <w:vAlign w:val="center"/>
          </w:tcPr>
          <w:p w:rsidR="005148EA" w:rsidRPr="008B4DA2" w:rsidRDefault="005148EA" w:rsidP="00BF0434">
            <w:pPr>
              <w:spacing w:before="20" w:after="20"/>
              <w:jc w:val="center"/>
              <w:rPr>
                <w:noProof/>
                <w:sz w:val="16"/>
                <w:szCs w:val="16"/>
              </w:rPr>
            </w:pPr>
            <w:r w:rsidRPr="008B4DA2">
              <w:rPr>
                <w:noProof/>
                <w:sz w:val="16"/>
              </w:rPr>
              <w:t>Rok</w:t>
            </w:r>
            <w:r w:rsidRPr="008B4DA2">
              <w:rPr>
                <w:noProof/>
              </w:rPr>
              <w:t xml:space="preserve"> </w:t>
            </w:r>
            <w:r w:rsidRPr="008B4DA2">
              <w:rPr>
                <w:noProof/>
              </w:rPr>
              <w:br/>
            </w:r>
            <w:r w:rsidRPr="008B4DA2">
              <w:rPr>
                <w:b/>
                <w:noProof/>
                <w:sz w:val="16"/>
              </w:rPr>
              <w:t>N</w:t>
            </w:r>
          </w:p>
        </w:tc>
        <w:tc>
          <w:tcPr>
            <w:tcW w:w="731" w:type="dxa"/>
            <w:shd w:val="clear" w:color="auto" w:fill="auto"/>
            <w:vAlign w:val="center"/>
          </w:tcPr>
          <w:p w:rsidR="005148EA" w:rsidRPr="008B4DA2" w:rsidRDefault="005148EA" w:rsidP="00BF0434">
            <w:pPr>
              <w:spacing w:before="20" w:after="20"/>
              <w:jc w:val="center"/>
              <w:rPr>
                <w:noProof/>
                <w:sz w:val="16"/>
                <w:szCs w:val="16"/>
              </w:rPr>
            </w:pPr>
            <w:r w:rsidRPr="008B4DA2">
              <w:rPr>
                <w:noProof/>
                <w:sz w:val="16"/>
              </w:rPr>
              <w:t>Rok</w:t>
            </w:r>
            <w:r w:rsidRPr="008B4DA2">
              <w:rPr>
                <w:noProof/>
              </w:rPr>
              <w:t xml:space="preserve"> </w:t>
            </w:r>
            <w:r w:rsidRPr="008B4DA2">
              <w:rPr>
                <w:noProof/>
              </w:rPr>
              <w:br/>
            </w:r>
            <w:r w:rsidRPr="008B4DA2">
              <w:rPr>
                <w:b/>
                <w:noProof/>
                <w:sz w:val="16"/>
              </w:rPr>
              <w:t>N+1</w:t>
            </w:r>
          </w:p>
        </w:tc>
        <w:tc>
          <w:tcPr>
            <w:tcW w:w="731" w:type="dxa"/>
            <w:shd w:val="clear" w:color="auto" w:fill="auto"/>
            <w:vAlign w:val="center"/>
          </w:tcPr>
          <w:p w:rsidR="005148EA" w:rsidRPr="008B4DA2" w:rsidRDefault="005148EA" w:rsidP="00BF0434">
            <w:pPr>
              <w:spacing w:before="20" w:after="20"/>
              <w:jc w:val="center"/>
              <w:rPr>
                <w:noProof/>
                <w:sz w:val="16"/>
                <w:szCs w:val="16"/>
              </w:rPr>
            </w:pPr>
            <w:r w:rsidRPr="008B4DA2">
              <w:rPr>
                <w:noProof/>
                <w:sz w:val="16"/>
              </w:rPr>
              <w:t xml:space="preserve">Rok </w:t>
            </w:r>
            <w:r w:rsidRPr="008B4DA2">
              <w:rPr>
                <w:b/>
                <w:noProof/>
                <w:sz w:val="16"/>
              </w:rPr>
              <w:t>N+2</w:t>
            </w:r>
          </w:p>
        </w:tc>
        <w:tc>
          <w:tcPr>
            <w:tcW w:w="731" w:type="dxa"/>
            <w:shd w:val="clear" w:color="auto" w:fill="auto"/>
            <w:vAlign w:val="center"/>
          </w:tcPr>
          <w:p w:rsidR="005148EA" w:rsidRPr="008B4DA2" w:rsidRDefault="005148EA" w:rsidP="00BF0434">
            <w:pPr>
              <w:spacing w:before="20" w:after="20"/>
              <w:jc w:val="center"/>
              <w:rPr>
                <w:noProof/>
                <w:sz w:val="16"/>
                <w:szCs w:val="16"/>
              </w:rPr>
            </w:pPr>
            <w:r w:rsidRPr="008B4DA2">
              <w:rPr>
                <w:noProof/>
                <w:sz w:val="16"/>
              </w:rPr>
              <w:t xml:space="preserve">Rok </w:t>
            </w:r>
            <w:r w:rsidRPr="008B4DA2">
              <w:rPr>
                <w:b/>
                <w:noProof/>
                <w:sz w:val="16"/>
              </w:rPr>
              <w:t>N+3</w:t>
            </w:r>
          </w:p>
        </w:tc>
        <w:tc>
          <w:tcPr>
            <w:tcW w:w="2193" w:type="dxa"/>
            <w:gridSpan w:val="3"/>
            <w:shd w:val="clear" w:color="auto" w:fill="auto"/>
            <w:vAlign w:val="center"/>
          </w:tcPr>
          <w:p w:rsidR="005148EA" w:rsidRPr="008B4DA2" w:rsidRDefault="005148EA" w:rsidP="00BF0434">
            <w:pPr>
              <w:jc w:val="center"/>
              <w:rPr>
                <w:b/>
                <w:noProof/>
                <w:sz w:val="16"/>
                <w:szCs w:val="16"/>
              </w:rPr>
            </w:pPr>
            <w:r w:rsidRPr="008B4DA2">
              <w:rPr>
                <w:noProof/>
                <w:sz w:val="16"/>
              </w:rPr>
              <w:t xml:space="preserve">Wprowadzić taką liczbę kolumn dla poszczególnych lat, jaka jest niezbędna, by odzwierciedlić cały okres wpływu (por. </w:t>
            </w:r>
            <w:r w:rsidRPr="00B83C93">
              <w:rPr>
                <w:noProof/>
                <w:sz w:val="16"/>
              </w:rPr>
              <w:t>pkt</w:t>
            </w:r>
            <w:r w:rsidR="00B83C93" w:rsidRPr="00B83C93">
              <w:rPr>
                <w:noProof/>
                <w:sz w:val="16"/>
              </w:rPr>
              <w:t> </w:t>
            </w:r>
            <w:r w:rsidRPr="00B83C93">
              <w:rPr>
                <w:noProof/>
                <w:sz w:val="16"/>
              </w:rPr>
              <w:t>1</w:t>
            </w:r>
            <w:r w:rsidRPr="008B4DA2">
              <w:rPr>
                <w:noProof/>
                <w:sz w:val="16"/>
              </w:rPr>
              <w:t>.6)</w:t>
            </w:r>
          </w:p>
        </w:tc>
      </w:tr>
      <w:tr w:rsidR="005148EA" w:rsidRPr="008B4DA2" w:rsidTr="00BF0434">
        <w:trPr>
          <w:gridBefore w:val="1"/>
          <w:wBefore w:w="15" w:type="dxa"/>
          <w:trHeight w:val="289"/>
          <w:jc w:val="center"/>
        </w:trPr>
        <w:tc>
          <w:tcPr>
            <w:tcW w:w="9871" w:type="dxa"/>
            <w:gridSpan w:val="9"/>
            <w:shd w:val="clear" w:color="auto" w:fill="auto"/>
          </w:tcPr>
          <w:p w:rsidR="005148EA" w:rsidRPr="008B4DA2" w:rsidRDefault="005148EA" w:rsidP="00BF0434">
            <w:pPr>
              <w:jc w:val="left"/>
              <w:rPr>
                <w:noProof/>
                <w:sz w:val="16"/>
                <w:szCs w:val="16"/>
              </w:rPr>
            </w:pPr>
            <w:r w:rsidRPr="008B4DA2">
              <w:rPr>
                <w:rFonts w:ascii="Wingdings" w:hAnsi="Wingdings"/>
                <w:b/>
                <w:noProof/>
                <w:sz w:val="16"/>
              </w:rPr>
              <w:t>□</w:t>
            </w:r>
            <w:r w:rsidRPr="008B4DA2">
              <w:rPr>
                <w:b/>
                <w:noProof/>
                <w:sz w:val="16"/>
              </w:rPr>
              <w:t xml:space="preserve"> Stanowiska przewidziane</w:t>
            </w:r>
            <w:r w:rsidR="00B83C93" w:rsidRPr="008B4DA2">
              <w:rPr>
                <w:b/>
                <w:noProof/>
                <w:sz w:val="16"/>
              </w:rPr>
              <w:t xml:space="preserve"> w</w:t>
            </w:r>
            <w:r w:rsidR="00B83C93">
              <w:rPr>
                <w:b/>
                <w:noProof/>
                <w:sz w:val="16"/>
              </w:rPr>
              <w:t> </w:t>
            </w:r>
            <w:r w:rsidR="00B83C93" w:rsidRPr="008B4DA2">
              <w:rPr>
                <w:b/>
                <w:noProof/>
                <w:sz w:val="16"/>
              </w:rPr>
              <w:t>pla</w:t>
            </w:r>
            <w:r w:rsidRPr="008B4DA2">
              <w:rPr>
                <w:b/>
                <w:noProof/>
                <w:sz w:val="16"/>
              </w:rPr>
              <w:t>nie zatrudnienia (stanowiska urzędników</w:t>
            </w:r>
            <w:r w:rsidR="00B83C93" w:rsidRPr="008B4DA2">
              <w:rPr>
                <w:b/>
                <w:noProof/>
                <w:sz w:val="16"/>
              </w:rPr>
              <w:t xml:space="preserve"> i</w:t>
            </w:r>
            <w:r w:rsidR="00B83C93">
              <w:rPr>
                <w:b/>
                <w:noProof/>
                <w:sz w:val="16"/>
              </w:rPr>
              <w:t> </w:t>
            </w:r>
            <w:r w:rsidR="00B83C93" w:rsidRPr="008B4DA2">
              <w:rPr>
                <w:b/>
                <w:noProof/>
                <w:sz w:val="16"/>
              </w:rPr>
              <w:t>pra</w:t>
            </w:r>
            <w:r w:rsidRPr="008B4DA2">
              <w:rPr>
                <w:b/>
                <w:noProof/>
                <w:sz w:val="16"/>
              </w:rPr>
              <w:t>cowników zatrudnionych na czas określony)</w:t>
            </w:r>
          </w:p>
        </w:tc>
      </w:tr>
      <w:tr w:rsidR="005148EA" w:rsidRPr="008B4DA2" w:rsidTr="00BF0434">
        <w:trPr>
          <w:gridBefore w:val="1"/>
          <w:wBefore w:w="15" w:type="dxa"/>
          <w:trHeight w:val="289"/>
          <w:jc w:val="center"/>
        </w:trPr>
        <w:tc>
          <w:tcPr>
            <w:tcW w:w="4754" w:type="dxa"/>
            <w:gridSpan w:val="2"/>
            <w:shd w:val="clear" w:color="auto" w:fill="auto"/>
            <w:vAlign w:val="center"/>
          </w:tcPr>
          <w:p w:rsidR="005148EA" w:rsidRPr="008B4DA2" w:rsidRDefault="005148EA" w:rsidP="00BF0434">
            <w:pPr>
              <w:pStyle w:val="Text1"/>
              <w:spacing w:beforeLines="20" w:before="48" w:afterLines="20" w:after="48"/>
              <w:ind w:left="134"/>
              <w:jc w:val="left"/>
              <w:rPr>
                <w:b/>
                <w:noProof/>
                <w:sz w:val="16"/>
                <w:szCs w:val="16"/>
              </w:rPr>
            </w:pPr>
            <w:r w:rsidRPr="008B4DA2">
              <w:rPr>
                <w:noProof/>
                <w:sz w:val="16"/>
              </w:rPr>
              <w:t>20 01 02 01</w:t>
            </w:r>
            <w:r w:rsidRPr="008B4DA2">
              <w:rPr>
                <w:rFonts w:ascii="Arial Narrow" w:hAnsi="Arial Narrow"/>
                <w:noProof/>
                <w:color w:val="000000"/>
                <w:sz w:val="20"/>
              </w:rPr>
              <w:t xml:space="preserve"> </w:t>
            </w:r>
            <w:r w:rsidRPr="008B4DA2">
              <w:rPr>
                <w:noProof/>
                <w:sz w:val="16"/>
              </w:rPr>
              <w:t>(w centrali</w:t>
            </w:r>
            <w:r w:rsidR="00B83C93" w:rsidRPr="008B4DA2">
              <w:rPr>
                <w:noProof/>
                <w:sz w:val="16"/>
              </w:rPr>
              <w:t xml:space="preserve"> i</w:t>
            </w:r>
            <w:r w:rsidR="00B83C93">
              <w:rPr>
                <w:noProof/>
                <w:sz w:val="16"/>
              </w:rPr>
              <w:t> </w:t>
            </w:r>
            <w:r w:rsidR="00B83C93" w:rsidRPr="008B4DA2">
              <w:rPr>
                <w:noProof/>
                <w:sz w:val="16"/>
              </w:rPr>
              <w:t>w</w:t>
            </w:r>
            <w:r w:rsidR="00B83C93">
              <w:rPr>
                <w:noProof/>
                <w:sz w:val="16"/>
              </w:rPr>
              <w:t> </w:t>
            </w:r>
            <w:r w:rsidR="00B83C93" w:rsidRPr="008B4DA2">
              <w:rPr>
                <w:noProof/>
                <w:sz w:val="16"/>
              </w:rPr>
              <w:t>biu</w:t>
            </w:r>
            <w:r w:rsidRPr="008B4DA2">
              <w:rPr>
                <w:noProof/>
                <w:sz w:val="16"/>
              </w:rPr>
              <w:t>rach przedstawicielstw Komisji)</w:t>
            </w: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r>
      <w:tr w:rsidR="005148EA" w:rsidRPr="008B4DA2" w:rsidTr="00BF0434">
        <w:trPr>
          <w:gridBefore w:val="1"/>
          <w:wBefore w:w="15" w:type="dxa"/>
          <w:trHeight w:val="289"/>
          <w:jc w:val="center"/>
        </w:trPr>
        <w:tc>
          <w:tcPr>
            <w:tcW w:w="4754" w:type="dxa"/>
            <w:gridSpan w:val="2"/>
            <w:shd w:val="clear" w:color="auto" w:fill="auto"/>
            <w:vAlign w:val="center"/>
          </w:tcPr>
          <w:p w:rsidR="005148EA" w:rsidRPr="008B4DA2" w:rsidRDefault="005148EA" w:rsidP="00BF0434">
            <w:pPr>
              <w:pStyle w:val="Text1"/>
              <w:spacing w:beforeLines="20" w:before="48" w:afterLines="20" w:after="48"/>
              <w:ind w:left="134"/>
              <w:jc w:val="left"/>
              <w:rPr>
                <w:noProof/>
                <w:sz w:val="16"/>
              </w:rPr>
            </w:pPr>
            <w:r w:rsidRPr="008B4DA2">
              <w:rPr>
                <w:noProof/>
                <w:sz w:val="16"/>
              </w:rPr>
              <w:t>20 01 02 03 (w delegaturach)</w:t>
            </w: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r>
      <w:tr w:rsidR="005148EA" w:rsidRPr="008B4DA2" w:rsidTr="00BF0434">
        <w:trPr>
          <w:gridBefore w:val="1"/>
          <w:wBefore w:w="15" w:type="dxa"/>
          <w:trHeight w:val="289"/>
          <w:jc w:val="center"/>
        </w:trPr>
        <w:tc>
          <w:tcPr>
            <w:tcW w:w="4754" w:type="dxa"/>
            <w:gridSpan w:val="2"/>
            <w:shd w:val="clear" w:color="auto" w:fill="auto"/>
            <w:vAlign w:val="center"/>
          </w:tcPr>
          <w:p w:rsidR="005148EA" w:rsidRPr="008B4DA2" w:rsidRDefault="005148EA" w:rsidP="00BF0434">
            <w:pPr>
              <w:pStyle w:val="Text1"/>
              <w:spacing w:beforeLines="20" w:before="48" w:afterLines="20" w:after="48"/>
              <w:ind w:left="134"/>
              <w:jc w:val="left"/>
              <w:rPr>
                <w:noProof/>
                <w:sz w:val="16"/>
                <w:szCs w:val="16"/>
              </w:rPr>
            </w:pPr>
            <w:r w:rsidRPr="008B4DA2">
              <w:rPr>
                <w:noProof/>
                <w:sz w:val="16"/>
              </w:rPr>
              <w:t>01 01 01 0</w:t>
            </w:r>
            <w:r w:rsidRPr="00B83C93">
              <w:rPr>
                <w:noProof/>
                <w:sz w:val="16"/>
              </w:rPr>
              <w:t>1</w:t>
            </w:r>
            <w:r w:rsidR="00B83C93" w:rsidRPr="00B83C93">
              <w:rPr>
                <w:rFonts w:ascii="Arial Narrow" w:hAnsi="Arial Narrow"/>
                <w:noProof/>
                <w:color w:val="000000"/>
                <w:sz w:val="20"/>
              </w:rPr>
              <w:t xml:space="preserve"> </w:t>
            </w:r>
            <w:r w:rsidRPr="00B83C93">
              <w:rPr>
                <w:noProof/>
                <w:sz w:val="16"/>
              </w:rPr>
              <w:t>(</w:t>
            </w:r>
            <w:r w:rsidRPr="008B4DA2">
              <w:rPr>
                <w:noProof/>
                <w:sz w:val="16"/>
              </w:rPr>
              <w:t>pośrednie badania naukowe)</w:t>
            </w: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r>
      <w:tr w:rsidR="005148EA" w:rsidRPr="008B4DA2" w:rsidTr="00BF0434">
        <w:trPr>
          <w:gridBefore w:val="1"/>
          <w:wBefore w:w="15" w:type="dxa"/>
          <w:trHeight w:val="289"/>
          <w:jc w:val="center"/>
        </w:trPr>
        <w:tc>
          <w:tcPr>
            <w:tcW w:w="4754" w:type="dxa"/>
            <w:gridSpan w:val="2"/>
            <w:shd w:val="clear" w:color="auto" w:fill="auto"/>
            <w:vAlign w:val="center"/>
          </w:tcPr>
          <w:p w:rsidR="005148EA" w:rsidRPr="008B4DA2" w:rsidRDefault="005148EA" w:rsidP="00BF0434">
            <w:pPr>
              <w:pStyle w:val="Text1"/>
              <w:spacing w:beforeLines="20" w:before="48" w:afterLines="20" w:after="48"/>
              <w:ind w:left="134"/>
              <w:jc w:val="left"/>
              <w:rPr>
                <w:noProof/>
                <w:sz w:val="16"/>
                <w:szCs w:val="16"/>
              </w:rPr>
            </w:pPr>
            <w:r w:rsidRPr="008B4DA2">
              <w:rPr>
                <w:noProof/>
                <w:sz w:val="16"/>
              </w:rPr>
              <w:t xml:space="preserve"> 01 01 01 11 (bezpośrednie badania naukowe)</w:t>
            </w: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r>
      <w:tr w:rsidR="005148EA" w:rsidRPr="008B4DA2" w:rsidTr="00BF0434">
        <w:trPr>
          <w:gridBefore w:val="1"/>
          <w:wBefore w:w="15" w:type="dxa"/>
          <w:trHeight w:val="289"/>
          <w:jc w:val="center"/>
        </w:trPr>
        <w:tc>
          <w:tcPr>
            <w:tcW w:w="4754" w:type="dxa"/>
            <w:gridSpan w:val="2"/>
            <w:shd w:val="clear" w:color="auto" w:fill="auto"/>
            <w:vAlign w:val="center"/>
          </w:tcPr>
          <w:p w:rsidR="005148EA" w:rsidRPr="008B4DA2" w:rsidRDefault="005148EA" w:rsidP="00BF0434">
            <w:pPr>
              <w:pStyle w:val="Text1"/>
              <w:spacing w:beforeLines="20" w:before="48" w:afterLines="20" w:after="48"/>
              <w:ind w:left="134"/>
              <w:jc w:val="left"/>
              <w:rPr>
                <w:noProof/>
                <w:sz w:val="16"/>
              </w:rPr>
            </w:pPr>
            <w:r w:rsidRPr="008B4DA2">
              <w:rPr>
                <w:noProof/>
                <w:sz w:val="16"/>
              </w:rPr>
              <w:t>Inna linia budżetowa (określić)</w:t>
            </w: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r>
      <w:tr w:rsidR="005148EA" w:rsidRPr="008B4DA2" w:rsidTr="00BF0434">
        <w:trPr>
          <w:trHeight w:val="248"/>
          <w:jc w:val="center"/>
        </w:trPr>
        <w:tc>
          <w:tcPr>
            <w:tcW w:w="9886" w:type="dxa"/>
            <w:gridSpan w:val="10"/>
            <w:shd w:val="clear" w:color="auto" w:fill="auto"/>
            <w:vAlign w:val="center"/>
          </w:tcPr>
          <w:p w:rsidR="005148EA" w:rsidRPr="008B4DA2" w:rsidRDefault="005148EA" w:rsidP="00BF0434">
            <w:pPr>
              <w:pStyle w:val="Text1"/>
              <w:spacing w:before="60" w:after="60"/>
              <w:ind w:left="0"/>
              <w:jc w:val="left"/>
              <w:rPr>
                <w:b/>
                <w:noProof/>
                <w:sz w:val="16"/>
                <w:szCs w:val="16"/>
              </w:rPr>
            </w:pPr>
            <w:r w:rsidRPr="008B4DA2">
              <w:rPr>
                <w:rFonts w:ascii="Wingdings" w:hAnsi="Wingdings"/>
                <w:b/>
                <w:noProof/>
                <w:sz w:val="16"/>
              </w:rPr>
              <w:t>□</w:t>
            </w:r>
            <w:r w:rsidRPr="008B4DA2">
              <w:rPr>
                <w:b/>
                <w:noProof/>
                <w:sz w:val="16"/>
              </w:rPr>
              <w:t xml:space="preserve"> Personel zewnętrzny (w ekwiwalentach pełnego czasu pracy: EPC)</w:t>
            </w:r>
            <w:r w:rsidRPr="008B4DA2">
              <w:rPr>
                <w:rStyle w:val="FootnoteReference"/>
                <w:noProof/>
              </w:rPr>
              <w:footnoteReference w:id="88"/>
            </w:r>
          </w:p>
          <w:p w:rsidR="005148EA" w:rsidRPr="008B4DA2" w:rsidRDefault="005148EA" w:rsidP="00BF0434">
            <w:pPr>
              <w:pStyle w:val="Text1"/>
              <w:spacing w:before="0" w:after="0"/>
              <w:ind w:left="0"/>
              <w:jc w:val="left"/>
              <w:rPr>
                <w:noProof/>
                <w:sz w:val="16"/>
                <w:szCs w:val="16"/>
              </w:rPr>
            </w:pPr>
          </w:p>
        </w:tc>
      </w:tr>
      <w:tr w:rsidR="005148EA" w:rsidRPr="008B4DA2" w:rsidTr="00BF0434">
        <w:trPr>
          <w:gridBefore w:val="1"/>
          <w:wBefore w:w="15" w:type="dxa"/>
          <w:trHeight w:val="289"/>
          <w:jc w:val="center"/>
        </w:trPr>
        <w:tc>
          <w:tcPr>
            <w:tcW w:w="4754" w:type="dxa"/>
            <w:gridSpan w:val="2"/>
            <w:shd w:val="clear" w:color="auto" w:fill="auto"/>
            <w:vAlign w:val="center"/>
          </w:tcPr>
          <w:p w:rsidR="005148EA" w:rsidRPr="008B4DA2" w:rsidRDefault="005148EA" w:rsidP="00BF0434">
            <w:pPr>
              <w:pStyle w:val="Text1"/>
              <w:spacing w:beforeLines="20" w:before="48" w:afterLines="20" w:after="48"/>
              <w:ind w:left="136"/>
              <w:jc w:val="left"/>
              <w:rPr>
                <w:b/>
                <w:noProof/>
                <w:sz w:val="16"/>
                <w:szCs w:val="16"/>
              </w:rPr>
            </w:pPr>
            <w:r w:rsidRPr="008B4DA2">
              <w:rPr>
                <w:noProof/>
                <w:sz w:val="16"/>
              </w:rPr>
              <w:t>20 02 01</w:t>
            </w:r>
            <w:r w:rsidRPr="008B4DA2">
              <w:rPr>
                <w:rFonts w:ascii="Arial Narrow" w:hAnsi="Arial Narrow"/>
                <w:noProof/>
                <w:color w:val="000000"/>
                <w:sz w:val="20"/>
              </w:rPr>
              <w:t xml:space="preserve"> </w:t>
            </w:r>
            <w:r w:rsidRPr="008B4DA2">
              <w:rPr>
                <w:noProof/>
                <w:sz w:val="16"/>
              </w:rPr>
              <w:t>(CA, SNE, INT</w:t>
            </w:r>
            <w:r w:rsidR="00B83C93" w:rsidRPr="008B4DA2">
              <w:rPr>
                <w:noProof/>
                <w:sz w:val="16"/>
              </w:rPr>
              <w:t xml:space="preserve"> z</w:t>
            </w:r>
            <w:r w:rsidR="00B83C93">
              <w:rPr>
                <w:noProof/>
                <w:sz w:val="16"/>
              </w:rPr>
              <w:t> </w:t>
            </w:r>
            <w:r w:rsidR="00B83C93" w:rsidRPr="008B4DA2">
              <w:rPr>
                <w:noProof/>
                <w:sz w:val="16"/>
              </w:rPr>
              <w:t>glo</w:t>
            </w:r>
            <w:r w:rsidRPr="008B4DA2">
              <w:rPr>
                <w:noProof/>
                <w:sz w:val="16"/>
              </w:rPr>
              <w:t>balnej koperty finansowej)</w:t>
            </w: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r>
      <w:tr w:rsidR="005148EA" w:rsidRPr="008B4DA2" w:rsidTr="00BF0434">
        <w:trPr>
          <w:gridBefore w:val="1"/>
          <w:wBefore w:w="15" w:type="dxa"/>
          <w:trHeight w:val="289"/>
          <w:jc w:val="center"/>
        </w:trPr>
        <w:tc>
          <w:tcPr>
            <w:tcW w:w="4754" w:type="dxa"/>
            <w:gridSpan w:val="2"/>
            <w:shd w:val="clear" w:color="auto" w:fill="auto"/>
            <w:vAlign w:val="center"/>
          </w:tcPr>
          <w:p w:rsidR="005148EA" w:rsidRPr="008B4DA2" w:rsidRDefault="005148EA" w:rsidP="00BF0434">
            <w:pPr>
              <w:pStyle w:val="Text1"/>
              <w:spacing w:beforeLines="20" w:before="48" w:afterLines="20" w:after="48"/>
              <w:ind w:left="136"/>
              <w:jc w:val="left"/>
              <w:rPr>
                <w:noProof/>
                <w:sz w:val="16"/>
              </w:rPr>
            </w:pPr>
            <w:r w:rsidRPr="008B4DA2">
              <w:rPr>
                <w:noProof/>
                <w:sz w:val="16"/>
              </w:rPr>
              <w:t>20 02 03 (CA, LA, SNE, INT i JPD</w:t>
            </w:r>
            <w:r w:rsidR="00B83C93" w:rsidRPr="008B4DA2">
              <w:rPr>
                <w:noProof/>
                <w:sz w:val="16"/>
              </w:rPr>
              <w:t xml:space="preserve"> w</w:t>
            </w:r>
            <w:r w:rsidR="00B83C93">
              <w:rPr>
                <w:noProof/>
                <w:sz w:val="16"/>
              </w:rPr>
              <w:t> </w:t>
            </w:r>
            <w:r w:rsidR="00B83C93" w:rsidRPr="008B4DA2">
              <w:rPr>
                <w:noProof/>
                <w:sz w:val="16"/>
              </w:rPr>
              <w:t>del</w:t>
            </w:r>
            <w:r w:rsidRPr="008B4DA2">
              <w:rPr>
                <w:noProof/>
                <w:sz w:val="16"/>
              </w:rPr>
              <w:t>egaturach)</w:t>
            </w: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r>
      <w:tr w:rsidR="005148EA" w:rsidRPr="008B4DA2" w:rsidTr="00BF0434">
        <w:trPr>
          <w:gridBefore w:val="1"/>
          <w:wBefore w:w="15" w:type="dxa"/>
          <w:trHeight w:val="289"/>
          <w:jc w:val="center"/>
        </w:trPr>
        <w:tc>
          <w:tcPr>
            <w:tcW w:w="2376" w:type="dxa"/>
            <w:vMerge w:val="restart"/>
            <w:shd w:val="clear" w:color="auto" w:fill="auto"/>
            <w:vAlign w:val="center"/>
          </w:tcPr>
          <w:p w:rsidR="005148EA" w:rsidRPr="008B4DA2" w:rsidRDefault="005148EA" w:rsidP="00BF0434">
            <w:pPr>
              <w:pStyle w:val="Text1"/>
              <w:spacing w:beforeLines="20" w:before="48" w:afterLines="20" w:after="48"/>
              <w:ind w:left="136"/>
              <w:jc w:val="left"/>
              <w:rPr>
                <w:b/>
                <w:noProof/>
                <w:sz w:val="16"/>
                <w:szCs w:val="16"/>
              </w:rPr>
            </w:pPr>
            <w:r w:rsidRPr="008B4DA2">
              <w:rPr>
                <w:b/>
                <w:noProof/>
                <w:sz w:val="16"/>
              </w:rPr>
              <w:t>XX</w:t>
            </w:r>
            <w:r w:rsidRPr="008B4DA2">
              <w:rPr>
                <w:noProof/>
                <w:sz w:val="16"/>
              </w:rPr>
              <w:t xml:space="preserve"> 0</w:t>
            </w:r>
            <w:r w:rsidRPr="00B83C93">
              <w:rPr>
                <w:noProof/>
                <w:sz w:val="16"/>
              </w:rPr>
              <w:t>1</w:t>
            </w:r>
            <w:r w:rsidR="00B83C93" w:rsidRPr="00B83C93">
              <w:rPr>
                <w:noProof/>
                <w:sz w:val="16"/>
              </w:rPr>
              <w:t xml:space="preserve"> </w:t>
            </w:r>
            <w:r w:rsidRPr="00B83C93">
              <w:rPr>
                <w:noProof/>
                <w:sz w:val="16"/>
              </w:rPr>
              <w:t>x</w:t>
            </w:r>
            <w:r w:rsidRPr="008B4DA2">
              <w:rPr>
                <w:noProof/>
                <w:sz w:val="16"/>
              </w:rPr>
              <w:t xml:space="preserve">x </w:t>
            </w:r>
            <w:r w:rsidRPr="008B4DA2">
              <w:rPr>
                <w:b/>
                <w:noProof/>
                <w:sz w:val="16"/>
              </w:rPr>
              <w:t>yy z</w:t>
            </w:r>
            <w:r w:rsidRPr="00B83C93">
              <w:rPr>
                <w:b/>
                <w:noProof/>
                <w:sz w:val="16"/>
              </w:rPr>
              <w:t>z</w:t>
            </w:r>
            <w:r w:rsidR="00B83C93" w:rsidRPr="00B83C93">
              <w:rPr>
                <w:b/>
                <w:noProof/>
                <w:sz w:val="16"/>
              </w:rPr>
              <w:t xml:space="preserve"> </w:t>
            </w:r>
            <w:r w:rsidRPr="00B83C93">
              <w:rPr>
                <w:rStyle w:val="FootnoteReference"/>
                <w:noProof/>
              </w:rPr>
              <w:footnoteReference w:id="89"/>
            </w:r>
          </w:p>
          <w:p w:rsidR="005148EA" w:rsidRPr="008B4DA2" w:rsidRDefault="005148EA" w:rsidP="00BF0434">
            <w:pPr>
              <w:pStyle w:val="Text1"/>
              <w:spacing w:beforeLines="20" w:before="48" w:afterLines="20" w:after="48"/>
              <w:ind w:left="136"/>
              <w:jc w:val="left"/>
              <w:rPr>
                <w:b/>
                <w:noProof/>
                <w:sz w:val="16"/>
                <w:szCs w:val="16"/>
              </w:rPr>
            </w:pPr>
          </w:p>
        </w:tc>
        <w:tc>
          <w:tcPr>
            <w:tcW w:w="2378" w:type="dxa"/>
            <w:shd w:val="clear" w:color="auto" w:fill="auto"/>
            <w:vAlign w:val="center"/>
          </w:tcPr>
          <w:p w:rsidR="005148EA" w:rsidRPr="008B4DA2" w:rsidRDefault="005148EA" w:rsidP="00BF0434">
            <w:pPr>
              <w:pStyle w:val="Text1"/>
              <w:spacing w:beforeLines="20" w:before="48" w:afterLines="20" w:after="48"/>
              <w:ind w:left="136"/>
              <w:jc w:val="left"/>
              <w:rPr>
                <w:b/>
                <w:noProof/>
                <w:sz w:val="16"/>
                <w:szCs w:val="16"/>
              </w:rPr>
            </w:pPr>
            <w:r w:rsidRPr="008B4DA2">
              <w:rPr>
                <w:noProof/>
                <w:sz w:val="16"/>
              </w:rPr>
              <w:t>-</w:t>
            </w:r>
            <w:r w:rsidR="00B83C93" w:rsidRPr="008B4DA2">
              <w:rPr>
                <w:noProof/>
                <w:sz w:val="16"/>
              </w:rPr>
              <w:t xml:space="preserve"> w</w:t>
            </w:r>
            <w:r w:rsidR="00B83C93">
              <w:rPr>
                <w:noProof/>
                <w:sz w:val="16"/>
              </w:rPr>
              <w:t> </w:t>
            </w:r>
            <w:r w:rsidR="00B83C93" w:rsidRPr="008B4DA2">
              <w:rPr>
                <w:noProof/>
                <w:sz w:val="16"/>
              </w:rPr>
              <w:t>cen</w:t>
            </w:r>
            <w:r w:rsidRPr="008B4DA2">
              <w:rPr>
                <w:noProof/>
                <w:sz w:val="16"/>
              </w:rPr>
              <w:t>trali</w:t>
            </w:r>
          </w:p>
          <w:p w:rsidR="005148EA" w:rsidRPr="008B4DA2" w:rsidRDefault="005148EA" w:rsidP="00BF0434">
            <w:pPr>
              <w:pStyle w:val="Text1"/>
              <w:spacing w:beforeLines="20" w:before="48" w:afterLines="20" w:after="48"/>
              <w:ind w:left="136"/>
              <w:jc w:val="left"/>
              <w:rPr>
                <w:b/>
                <w:noProof/>
                <w:sz w:val="16"/>
                <w:szCs w:val="16"/>
              </w:rPr>
            </w:pPr>
          </w:p>
        </w:tc>
        <w:tc>
          <w:tcPr>
            <w:tcW w:w="731" w:type="dxa"/>
            <w:shd w:val="clear" w:color="auto" w:fill="auto"/>
            <w:vAlign w:val="center"/>
          </w:tcPr>
          <w:p w:rsidR="005148EA" w:rsidRPr="008B4DA2" w:rsidRDefault="005148EA" w:rsidP="00BF0434">
            <w:pPr>
              <w:pStyle w:val="Text1"/>
              <w:spacing w:beforeLines="20" w:before="48" w:afterLines="20" w:after="48"/>
              <w:ind w:left="0"/>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r>
      <w:tr w:rsidR="005148EA" w:rsidRPr="008B4DA2" w:rsidTr="00BF0434">
        <w:trPr>
          <w:gridBefore w:val="1"/>
          <w:wBefore w:w="15" w:type="dxa"/>
          <w:trHeight w:val="289"/>
          <w:jc w:val="center"/>
        </w:trPr>
        <w:tc>
          <w:tcPr>
            <w:tcW w:w="2376" w:type="dxa"/>
            <w:vMerge/>
            <w:shd w:val="clear" w:color="auto" w:fill="auto"/>
            <w:vAlign w:val="center"/>
          </w:tcPr>
          <w:p w:rsidR="005148EA" w:rsidRPr="008B4DA2" w:rsidRDefault="005148EA" w:rsidP="00BF0434">
            <w:pPr>
              <w:pStyle w:val="Text1"/>
              <w:spacing w:beforeLines="20" w:before="48" w:afterLines="20" w:after="48"/>
              <w:ind w:left="136"/>
              <w:jc w:val="left"/>
              <w:rPr>
                <w:b/>
                <w:noProof/>
                <w:sz w:val="16"/>
                <w:szCs w:val="16"/>
              </w:rPr>
            </w:pPr>
          </w:p>
        </w:tc>
        <w:tc>
          <w:tcPr>
            <w:tcW w:w="2378" w:type="dxa"/>
            <w:shd w:val="clear" w:color="auto" w:fill="auto"/>
            <w:vAlign w:val="center"/>
          </w:tcPr>
          <w:p w:rsidR="005148EA" w:rsidRPr="008B4DA2" w:rsidRDefault="005148EA" w:rsidP="00BF0434">
            <w:pPr>
              <w:pStyle w:val="Text1"/>
              <w:spacing w:beforeLines="20" w:before="48" w:afterLines="20" w:after="48"/>
              <w:ind w:left="136"/>
              <w:jc w:val="left"/>
              <w:rPr>
                <w:b/>
                <w:noProof/>
                <w:sz w:val="16"/>
                <w:szCs w:val="16"/>
              </w:rPr>
            </w:pPr>
            <w:r w:rsidRPr="008B4DA2">
              <w:rPr>
                <w:noProof/>
                <w:sz w:val="16"/>
              </w:rPr>
              <w:t>-</w:t>
            </w:r>
            <w:r w:rsidR="00B83C93" w:rsidRPr="008B4DA2">
              <w:rPr>
                <w:noProof/>
                <w:sz w:val="16"/>
              </w:rPr>
              <w:t xml:space="preserve"> w</w:t>
            </w:r>
            <w:r w:rsidR="00B83C93">
              <w:rPr>
                <w:noProof/>
                <w:sz w:val="16"/>
              </w:rPr>
              <w:t> </w:t>
            </w:r>
            <w:r w:rsidR="00B83C93" w:rsidRPr="008B4DA2">
              <w:rPr>
                <w:noProof/>
                <w:sz w:val="16"/>
              </w:rPr>
              <w:t>del</w:t>
            </w:r>
            <w:r w:rsidRPr="008B4DA2">
              <w:rPr>
                <w:noProof/>
                <w:sz w:val="16"/>
              </w:rPr>
              <w:t xml:space="preserve">egaturach </w:t>
            </w:r>
          </w:p>
        </w:tc>
        <w:tc>
          <w:tcPr>
            <w:tcW w:w="731" w:type="dxa"/>
            <w:shd w:val="clear" w:color="auto" w:fill="auto"/>
            <w:vAlign w:val="center"/>
          </w:tcPr>
          <w:p w:rsidR="005148EA" w:rsidRPr="008B4DA2" w:rsidRDefault="005148EA" w:rsidP="00BF0434">
            <w:pPr>
              <w:pStyle w:val="Text1"/>
              <w:spacing w:beforeLines="20" w:before="48" w:afterLines="20" w:after="48"/>
              <w:ind w:left="0"/>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r>
      <w:tr w:rsidR="005148EA" w:rsidRPr="008B4DA2" w:rsidTr="00BF0434">
        <w:trPr>
          <w:gridBefore w:val="1"/>
          <w:wBefore w:w="15" w:type="dxa"/>
          <w:trHeight w:val="289"/>
          <w:jc w:val="center"/>
        </w:trPr>
        <w:tc>
          <w:tcPr>
            <w:tcW w:w="4754" w:type="dxa"/>
            <w:gridSpan w:val="2"/>
            <w:shd w:val="clear" w:color="auto" w:fill="auto"/>
            <w:vAlign w:val="center"/>
          </w:tcPr>
          <w:p w:rsidR="005148EA" w:rsidRPr="008B4DA2" w:rsidRDefault="005148EA" w:rsidP="00BF0434">
            <w:pPr>
              <w:pStyle w:val="Text1"/>
              <w:spacing w:beforeLines="20" w:before="48" w:afterLines="20" w:after="48"/>
              <w:ind w:left="136"/>
              <w:jc w:val="left"/>
              <w:rPr>
                <w:noProof/>
                <w:sz w:val="16"/>
                <w:szCs w:val="16"/>
              </w:rPr>
            </w:pPr>
            <w:r w:rsidRPr="008B4DA2">
              <w:rPr>
                <w:noProof/>
                <w:sz w:val="16"/>
              </w:rPr>
              <w:t>01 01 01 02</w:t>
            </w:r>
            <w:r w:rsidRPr="008B4DA2">
              <w:rPr>
                <w:rFonts w:ascii="Arial Narrow" w:hAnsi="Arial Narrow"/>
                <w:noProof/>
                <w:color w:val="000000"/>
                <w:sz w:val="20"/>
              </w:rPr>
              <w:t xml:space="preserve"> </w:t>
            </w:r>
            <w:r w:rsidRPr="008B4DA2">
              <w:rPr>
                <w:noProof/>
                <w:sz w:val="16"/>
              </w:rPr>
              <w:t>(CA, SNE, INT – pośrednie badania naukowe)</w:t>
            </w: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r>
      <w:tr w:rsidR="005148EA" w:rsidRPr="008B4DA2" w:rsidTr="00BF0434">
        <w:trPr>
          <w:gridBefore w:val="1"/>
          <w:wBefore w:w="15" w:type="dxa"/>
          <w:trHeight w:val="289"/>
          <w:jc w:val="center"/>
        </w:trPr>
        <w:tc>
          <w:tcPr>
            <w:tcW w:w="4754" w:type="dxa"/>
            <w:gridSpan w:val="2"/>
            <w:shd w:val="clear" w:color="auto" w:fill="auto"/>
            <w:vAlign w:val="center"/>
          </w:tcPr>
          <w:p w:rsidR="005148EA" w:rsidRPr="008B4DA2" w:rsidRDefault="005148EA" w:rsidP="00BF0434">
            <w:pPr>
              <w:pStyle w:val="Text1"/>
              <w:spacing w:beforeLines="20" w:before="48" w:afterLines="20" w:after="48"/>
              <w:ind w:left="136"/>
              <w:jc w:val="left"/>
              <w:rPr>
                <w:noProof/>
                <w:color w:val="FF0000"/>
                <w:sz w:val="16"/>
                <w:szCs w:val="16"/>
              </w:rPr>
            </w:pPr>
            <w:r w:rsidRPr="008B4DA2">
              <w:rPr>
                <w:noProof/>
                <w:sz w:val="16"/>
              </w:rPr>
              <w:t xml:space="preserve"> 01 01 01 12 (CA, INT, SNE – bezpośrednie badania naukowe)</w:t>
            </w: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r>
      <w:tr w:rsidR="005148EA" w:rsidRPr="008B4DA2" w:rsidTr="00BF0434">
        <w:trPr>
          <w:gridBefore w:val="1"/>
          <w:wBefore w:w="15" w:type="dxa"/>
          <w:trHeight w:val="289"/>
          <w:jc w:val="center"/>
        </w:trPr>
        <w:tc>
          <w:tcPr>
            <w:tcW w:w="4754" w:type="dxa"/>
            <w:gridSpan w:val="2"/>
            <w:shd w:val="clear" w:color="auto" w:fill="auto"/>
            <w:vAlign w:val="center"/>
          </w:tcPr>
          <w:p w:rsidR="005148EA" w:rsidRPr="008B4DA2" w:rsidRDefault="005148EA" w:rsidP="00BF0434">
            <w:pPr>
              <w:pStyle w:val="Text1"/>
              <w:spacing w:beforeLines="20" w:before="48" w:afterLines="20" w:after="48"/>
              <w:ind w:left="136"/>
              <w:jc w:val="left"/>
              <w:rPr>
                <w:noProof/>
                <w:sz w:val="16"/>
              </w:rPr>
            </w:pPr>
            <w:r w:rsidRPr="008B4DA2">
              <w:rPr>
                <w:noProof/>
                <w:sz w:val="16"/>
              </w:rPr>
              <w:t>Inna linia budżetowa (określić)</w:t>
            </w: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8B4DA2" w:rsidRDefault="005148EA" w:rsidP="00BF0434">
            <w:pPr>
              <w:spacing w:beforeLines="20" w:before="48" w:afterLines="20" w:after="48"/>
              <w:jc w:val="center"/>
              <w:rPr>
                <w:noProof/>
                <w:sz w:val="16"/>
                <w:szCs w:val="16"/>
              </w:rPr>
            </w:pPr>
          </w:p>
        </w:tc>
      </w:tr>
      <w:tr w:rsidR="005148EA" w:rsidRPr="008B4DA2" w:rsidTr="00BF0434">
        <w:trPr>
          <w:gridBefore w:val="1"/>
          <w:wBefore w:w="15" w:type="dxa"/>
          <w:trHeight w:val="289"/>
          <w:jc w:val="center"/>
        </w:trPr>
        <w:tc>
          <w:tcPr>
            <w:tcW w:w="4754" w:type="dxa"/>
            <w:gridSpan w:val="2"/>
            <w:tcBorders>
              <w:top w:val="double" w:sz="4" w:space="0" w:color="auto"/>
            </w:tcBorders>
            <w:shd w:val="clear" w:color="auto" w:fill="auto"/>
            <w:vAlign w:val="center"/>
          </w:tcPr>
          <w:p w:rsidR="005148EA" w:rsidRPr="008B4DA2" w:rsidRDefault="005148EA" w:rsidP="00BF0434">
            <w:pPr>
              <w:pStyle w:val="Text1"/>
              <w:spacing w:beforeLines="20" w:before="48" w:afterLines="20" w:after="48"/>
              <w:ind w:left="136"/>
              <w:jc w:val="left"/>
              <w:rPr>
                <w:noProof/>
                <w:sz w:val="16"/>
                <w:szCs w:val="16"/>
              </w:rPr>
            </w:pPr>
            <w:r w:rsidRPr="008B4DA2">
              <w:rPr>
                <w:b/>
                <w:noProof/>
                <w:sz w:val="16"/>
              </w:rPr>
              <w:t>OGÓŁEM</w:t>
            </w:r>
          </w:p>
        </w:tc>
        <w:tc>
          <w:tcPr>
            <w:tcW w:w="731" w:type="dxa"/>
            <w:tcBorders>
              <w:top w:val="double" w:sz="4" w:space="0" w:color="auto"/>
            </w:tcBorders>
            <w:shd w:val="clear" w:color="auto" w:fill="auto"/>
            <w:vAlign w:val="center"/>
          </w:tcPr>
          <w:p w:rsidR="005148EA" w:rsidRPr="008B4DA2"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8B4DA2"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8B4DA2"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8B4DA2"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8B4DA2"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8B4DA2"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8B4DA2" w:rsidRDefault="005148EA" w:rsidP="00BF0434">
            <w:pPr>
              <w:spacing w:beforeLines="20" w:before="48" w:afterLines="20" w:after="48"/>
              <w:jc w:val="center"/>
              <w:rPr>
                <w:b/>
                <w:noProof/>
                <w:sz w:val="16"/>
                <w:szCs w:val="16"/>
              </w:rPr>
            </w:pPr>
          </w:p>
        </w:tc>
      </w:tr>
    </w:tbl>
    <w:p w:rsidR="005148EA" w:rsidRPr="008B4DA2" w:rsidRDefault="005148EA" w:rsidP="005148EA">
      <w:pPr>
        <w:pStyle w:val="Text1"/>
        <w:spacing w:before="60" w:after="60"/>
        <w:ind w:left="851"/>
        <w:rPr>
          <w:noProof/>
          <w:sz w:val="18"/>
          <w:szCs w:val="18"/>
        </w:rPr>
      </w:pPr>
      <w:r w:rsidRPr="008B4DA2">
        <w:rPr>
          <w:b/>
          <w:noProof/>
          <w:sz w:val="18"/>
        </w:rPr>
        <w:t>XX</w:t>
      </w:r>
      <w:r w:rsidRPr="008B4DA2">
        <w:rPr>
          <w:noProof/>
          <w:sz w:val="18"/>
        </w:rPr>
        <w:t xml:space="preserve"> oznacza odpowiedni obszar polityki lub odpowiedni tytuł</w:t>
      </w:r>
      <w:r w:rsidR="00B83C93" w:rsidRPr="008B4DA2">
        <w:rPr>
          <w:noProof/>
          <w:sz w:val="18"/>
        </w:rPr>
        <w:t xml:space="preserve"> w</w:t>
      </w:r>
      <w:r w:rsidR="00B83C93">
        <w:rPr>
          <w:noProof/>
          <w:sz w:val="18"/>
        </w:rPr>
        <w:t> </w:t>
      </w:r>
      <w:r w:rsidR="00B83C93" w:rsidRPr="008B4DA2">
        <w:rPr>
          <w:noProof/>
          <w:sz w:val="18"/>
        </w:rPr>
        <w:t>bud</w:t>
      </w:r>
      <w:r w:rsidRPr="008B4DA2">
        <w:rPr>
          <w:noProof/>
          <w:sz w:val="18"/>
        </w:rPr>
        <w:t>żecie.</w:t>
      </w:r>
    </w:p>
    <w:p w:rsidR="005148EA" w:rsidRPr="008B4DA2" w:rsidRDefault="005148EA" w:rsidP="005148EA">
      <w:pPr>
        <w:pStyle w:val="Text1"/>
        <w:rPr>
          <w:noProof/>
          <w:sz w:val="18"/>
          <w:szCs w:val="18"/>
        </w:rPr>
      </w:pPr>
      <w:r w:rsidRPr="008B4DA2">
        <w:rPr>
          <w:noProof/>
          <w:sz w:val="18"/>
        </w:rPr>
        <w:t>Potrzeby</w:t>
      </w:r>
      <w:r w:rsidR="00B83C93" w:rsidRPr="008B4DA2">
        <w:rPr>
          <w:noProof/>
          <w:sz w:val="18"/>
        </w:rPr>
        <w:t xml:space="preserve"> w</w:t>
      </w:r>
      <w:r w:rsidR="00B83C93">
        <w:rPr>
          <w:noProof/>
          <w:sz w:val="18"/>
        </w:rPr>
        <w:t> </w:t>
      </w:r>
      <w:r w:rsidR="00B83C93" w:rsidRPr="008B4DA2">
        <w:rPr>
          <w:noProof/>
          <w:sz w:val="18"/>
        </w:rPr>
        <w:t>zak</w:t>
      </w:r>
      <w:r w:rsidRPr="008B4DA2">
        <w:rPr>
          <w:noProof/>
          <w:sz w:val="18"/>
        </w:rPr>
        <w:t>resie zasobów ludzkich zostaną pokryte</w:t>
      </w:r>
      <w:r w:rsidR="00B83C93" w:rsidRPr="008B4DA2">
        <w:rPr>
          <w:noProof/>
          <w:sz w:val="18"/>
        </w:rPr>
        <w:t xml:space="preserve"> z</w:t>
      </w:r>
      <w:r w:rsidR="00B83C93">
        <w:rPr>
          <w:noProof/>
          <w:sz w:val="18"/>
        </w:rPr>
        <w:t> </w:t>
      </w:r>
      <w:r w:rsidR="00B83C93" w:rsidRPr="008B4DA2">
        <w:rPr>
          <w:noProof/>
          <w:sz w:val="18"/>
        </w:rPr>
        <w:t>zas</w:t>
      </w:r>
      <w:r w:rsidRPr="008B4DA2">
        <w:rPr>
          <w:noProof/>
          <w:sz w:val="18"/>
        </w:rPr>
        <w:t>obów dyrekcji generalnej już przydzielonych na zarządzanie tym działaniem lub przesuniętych</w:t>
      </w:r>
      <w:r w:rsidR="00B83C93" w:rsidRPr="008B4DA2">
        <w:rPr>
          <w:noProof/>
          <w:sz w:val="18"/>
        </w:rPr>
        <w:t xml:space="preserve"> w</w:t>
      </w:r>
      <w:r w:rsidR="00B83C93">
        <w:rPr>
          <w:noProof/>
          <w:sz w:val="18"/>
        </w:rPr>
        <w:t> </w:t>
      </w:r>
      <w:r w:rsidR="00B83C93" w:rsidRPr="008B4DA2">
        <w:rPr>
          <w:noProof/>
          <w:sz w:val="18"/>
        </w:rPr>
        <w:t>ram</w:t>
      </w:r>
      <w:r w:rsidRPr="008B4DA2">
        <w:rPr>
          <w:noProof/>
          <w:sz w:val="18"/>
        </w:rPr>
        <w:t>ach dyrekcji generalnej, uzupełnionych</w:t>
      </w:r>
      <w:r w:rsidR="00B83C93" w:rsidRPr="008B4DA2">
        <w:rPr>
          <w:noProof/>
          <w:sz w:val="18"/>
        </w:rPr>
        <w:t xml:space="preserve"> w</w:t>
      </w:r>
      <w:r w:rsidR="00B83C93">
        <w:rPr>
          <w:noProof/>
          <w:sz w:val="18"/>
        </w:rPr>
        <w:t> </w:t>
      </w:r>
      <w:r w:rsidR="00B83C93" w:rsidRPr="008B4DA2">
        <w:rPr>
          <w:noProof/>
          <w:sz w:val="18"/>
        </w:rPr>
        <w:t>raz</w:t>
      </w:r>
      <w:r w:rsidRPr="008B4DA2">
        <w:rPr>
          <w:noProof/>
          <w:sz w:val="18"/>
        </w:rPr>
        <w:t>ie potrzeby wszelkimi dodatkowymi zasobami, które mogą zostać przydzielone zarządzającej dyrekcji generalnej</w:t>
      </w:r>
      <w:r w:rsidR="00B83C93" w:rsidRPr="008B4DA2">
        <w:rPr>
          <w:noProof/>
          <w:sz w:val="18"/>
        </w:rPr>
        <w:t xml:space="preserve"> w</w:t>
      </w:r>
      <w:r w:rsidR="00B83C93">
        <w:rPr>
          <w:noProof/>
          <w:sz w:val="18"/>
        </w:rPr>
        <w:t> </w:t>
      </w:r>
      <w:r w:rsidR="00B83C93" w:rsidRPr="008B4DA2">
        <w:rPr>
          <w:noProof/>
          <w:sz w:val="18"/>
        </w:rPr>
        <w:t>ram</w:t>
      </w:r>
      <w:r w:rsidRPr="008B4DA2">
        <w:rPr>
          <w:noProof/>
          <w:sz w:val="18"/>
        </w:rPr>
        <w:t>ach procedury rocznego przydziału środków oraz</w:t>
      </w:r>
      <w:r w:rsidR="00B83C93" w:rsidRPr="008B4DA2">
        <w:rPr>
          <w:noProof/>
          <w:sz w:val="18"/>
        </w:rPr>
        <w:t xml:space="preserve"> w</w:t>
      </w:r>
      <w:r w:rsidR="00B83C93">
        <w:rPr>
          <w:noProof/>
          <w:sz w:val="18"/>
        </w:rPr>
        <w:t> </w:t>
      </w:r>
      <w:r w:rsidR="00B83C93" w:rsidRPr="008B4DA2">
        <w:rPr>
          <w:noProof/>
          <w:sz w:val="18"/>
        </w:rPr>
        <w:t>świ</w:t>
      </w:r>
      <w:r w:rsidRPr="008B4DA2">
        <w:rPr>
          <w:noProof/>
          <w:sz w:val="18"/>
        </w:rPr>
        <w:t>etle istniejących ograniczeń budżetowych.</w:t>
      </w:r>
    </w:p>
    <w:p w:rsidR="005148EA" w:rsidRPr="008B4DA2" w:rsidRDefault="005148EA" w:rsidP="005148EA">
      <w:pPr>
        <w:rPr>
          <w:noProof/>
          <w:sz w:val="20"/>
        </w:rPr>
      </w:pPr>
      <w:r w:rsidRPr="008B4DA2">
        <w:rPr>
          <w:noProof/>
          <w:sz w:val="20"/>
        </w:rPr>
        <w:t>Opis zadań do wykonania: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5148EA" w:rsidRPr="008B4DA2" w:rsidTr="00BF0434">
        <w:tc>
          <w:tcPr>
            <w:tcW w:w="3240" w:type="dxa"/>
          </w:tcPr>
          <w:p w:rsidR="005148EA" w:rsidRPr="008B4DA2" w:rsidRDefault="005148EA" w:rsidP="00BF0434">
            <w:pPr>
              <w:rPr>
                <w:noProof/>
                <w:sz w:val="20"/>
              </w:rPr>
            </w:pPr>
            <w:r w:rsidRPr="008B4DA2">
              <w:rPr>
                <w:noProof/>
                <w:sz w:val="20"/>
              </w:rPr>
              <w:t>Urzędnicy</w:t>
            </w:r>
            <w:r w:rsidR="00B83C93" w:rsidRPr="008B4DA2">
              <w:rPr>
                <w:noProof/>
                <w:sz w:val="20"/>
              </w:rPr>
              <w:t xml:space="preserve"> i</w:t>
            </w:r>
            <w:r w:rsidR="00B83C93">
              <w:rPr>
                <w:noProof/>
                <w:sz w:val="20"/>
              </w:rPr>
              <w:t> </w:t>
            </w:r>
            <w:r w:rsidR="00B83C93" w:rsidRPr="008B4DA2">
              <w:rPr>
                <w:noProof/>
                <w:sz w:val="20"/>
              </w:rPr>
              <w:t>pra</w:t>
            </w:r>
            <w:r w:rsidRPr="008B4DA2">
              <w:rPr>
                <w:noProof/>
                <w:sz w:val="20"/>
              </w:rPr>
              <w:t>cownicy zatrudnieni na czas określony</w:t>
            </w:r>
          </w:p>
        </w:tc>
        <w:tc>
          <w:tcPr>
            <w:tcW w:w="7200" w:type="dxa"/>
          </w:tcPr>
          <w:p w:rsidR="005148EA" w:rsidRPr="008B4DA2" w:rsidRDefault="005148EA" w:rsidP="00BF0434">
            <w:pPr>
              <w:rPr>
                <w:noProof/>
                <w:sz w:val="20"/>
              </w:rPr>
            </w:pPr>
          </w:p>
        </w:tc>
      </w:tr>
      <w:tr w:rsidR="005148EA" w:rsidRPr="008B4DA2" w:rsidTr="00BF0434">
        <w:tc>
          <w:tcPr>
            <w:tcW w:w="3240" w:type="dxa"/>
          </w:tcPr>
          <w:p w:rsidR="005148EA" w:rsidRPr="008B4DA2" w:rsidRDefault="005148EA" w:rsidP="00BF0434">
            <w:pPr>
              <w:spacing w:before="60" w:after="60"/>
              <w:rPr>
                <w:noProof/>
                <w:sz w:val="20"/>
              </w:rPr>
            </w:pPr>
            <w:r w:rsidRPr="008B4DA2">
              <w:rPr>
                <w:noProof/>
                <w:sz w:val="20"/>
              </w:rPr>
              <w:t>Personel zewnętrzny</w:t>
            </w:r>
          </w:p>
        </w:tc>
        <w:tc>
          <w:tcPr>
            <w:tcW w:w="7200" w:type="dxa"/>
          </w:tcPr>
          <w:p w:rsidR="005148EA" w:rsidRPr="008B4DA2" w:rsidRDefault="005148EA" w:rsidP="00BF0434">
            <w:pPr>
              <w:rPr>
                <w:noProof/>
                <w:sz w:val="20"/>
              </w:rPr>
            </w:pPr>
          </w:p>
        </w:tc>
      </w:tr>
    </w:tbl>
    <w:p w:rsidR="005148EA" w:rsidRPr="008B4DA2" w:rsidRDefault="005148EA" w:rsidP="005148EA">
      <w:pPr>
        <w:rPr>
          <w:noProof/>
        </w:rPr>
        <w:sectPr w:rsidR="005148EA" w:rsidRPr="008B4DA2" w:rsidSect="00D32FD5">
          <w:pgSz w:w="11907" w:h="16840"/>
          <w:pgMar w:top="1134" w:right="1418" w:bottom="1134" w:left="1418" w:header="709" w:footer="709" w:gutter="0"/>
          <w:cols w:space="708"/>
          <w:docGrid w:linePitch="360"/>
        </w:sectPr>
      </w:pPr>
    </w:p>
    <w:p w:rsidR="005148EA" w:rsidRPr="008B4DA2" w:rsidRDefault="005148EA" w:rsidP="005148EA">
      <w:pPr>
        <w:pStyle w:val="ManualHeading3"/>
        <w:rPr>
          <w:noProof/>
        </w:rPr>
      </w:pPr>
      <w:bookmarkStart w:id="70" w:name="_Toc514938056"/>
      <w:bookmarkStart w:id="71" w:name="_Toc520485055"/>
      <w:r w:rsidRPr="008B4DA2">
        <w:rPr>
          <w:noProof/>
        </w:rPr>
        <w:t>3.2.4.</w:t>
      </w:r>
      <w:r w:rsidRPr="008B4DA2">
        <w:rPr>
          <w:noProof/>
        </w:rPr>
        <w:tab/>
        <w:t>Zgodność</w:t>
      </w:r>
      <w:r w:rsidR="00B83C93" w:rsidRPr="008B4DA2">
        <w:rPr>
          <w:noProof/>
        </w:rPr>
        <w:t xml:space="preserve"> z</w:t>
      </w:r>
      <w:r w:rsidR="00B83C93">
        <w:rPr>
          <w:noProof/>
        </w:rPr>
        <w:t> </w:t>
      </w:r>
      <w:r w:rsidR="00B83C93" w:rsidRPr="008B4DA2">
        <w:rPr>
          <w:noProof/>
        </w:rPr>
        <w:t>obo</w:t>
      </w:r>
      <w:r w:rsidRPr="008B4DA2">
        <w:rPr>
          <w:noProof/>
        </w:rPr>
        <w:t>wiązującymi wieloletnimi ramami finansowymi</w:t>
      </w:r>
      <w:bookmarkEnd w:id="70"/>
      <w:bookmarkEnd w:id="71"/>
      <w:r w:rsidRPr="008B4DA2">
        <w:rPr>
          <w:noProof/>
        </w:rPr>
        <w:t xml:space="preserve"> </w:t>
      </w:r>
    </w:p>
    <w:p w:rsidR="005148EA" w:rsidRPr="008B4DA2" w:rsidRDefault="005148EA" w:rsidP="005148EA">
      <w:pPr>
        <w:pStyle w:val="Text1"/>
        <w:rPr>
          <w:noProof/>
        </w:rPr>
      </w:pPr>
      <w:r w:rsidRPr="008B4DA2">
        <w:rPr>
          <w:noProof/>
        </w:rPr>
        <w:t>Wniosek/inicjatywa:</w:t>
      </w:r>
    </w:p>
    <w:p w:rsidR="005148EA" w:rsidRPr="008B4DA2" w:rsidRDefault="005148EA" w:rsidP="005148EA">
      <w:pPr>
        <w:pStyle w:val="ListDash1"/>
        <w:rPr>
          <w:noProof/>
        </w:rPr>
      </w:pPr>
      <w:r w:rsidRPr="008B4DA2">
        <w:rPr>
          <w:b/>
          <w:noProof/>
          <w:bdr w:val="single" w:sz="4" w:space="0" w:color="auto" w:frame="1"/>
        </w:rPr>
        <w:t>X</w:t>
      </w:r>
      <w:r w:rsidRPr="008B4DA2">
        <w:rPr>
          <w:noProof/>
        </w:rPr>
        <w:tab/>
        <w:t>może zostać</w:t>
      </w:r>
      <w:r w:rsidR="00B83C93" w:rsidRPr="008B4DA2">
        <w:rPr>
          <w:noProof/>
        </w:rPr>
        <w:t xml:space="preserve"> w</w:t>
      </w:r>
      <w:r w:rsidR="00B83C93">
        <w:rPr>
          <w:noProof/>
        </w:rPr>
        <w:t> </w:t>
      </w:r>
      <w:r w:rsidR="00B83C93" w:rsidRPr="008B4DA2">
        <w:rPr>
          <w:noProof/>
        </w:rPr>
        <w:t>peł</w:t>
      </w:r>
      <w:r w:rsidRPr="008B4DA2">
        <w:rPr>
          <w:noProof/>
        </w:rPr>
        <w:t>ni sfinansowany(a) przez przegrupowanie środków</w:t>
      </w:r>
      <w:r w:rsidR="00B83C93" w:rsidRPr="008B4DA2">
        <w:rPr>
          <w:noProof/>
        </w:rPr>
        <w:t xml:space="preserve"> w</w:t>
      </w:r>
      <w:r w:rsidR="00B83C93">
        <w:rPr>
          <w:noProof/>
        </w:rPr>
        <w:t> </w:t>
      </w:r>
      <w:r w:rsidR="00B83C93" w:rsidRPr="008B4DA2">
        <w:rPr>
          <w:noProof/>
        </w:rPr>
        <w:t>ram</w:t>
      </w:r>
      <w:r w:rsidRPr="008B4DA2">
        <w:rPr>
          <w:noProof/>
        </w:rPr>
        <w:t>ach odpowiedniego działu wieloletnich ram finansowych (WRF).</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sz w:val="22"/>
        </w:rPr>
      </w:pPr>
      <w:r w:rsidRPr="008B4DA2">
        <w:rPr>
          <w:noProof/>
          <w:sz w:val="22"/>
        </w:rPr>
        <w:t>Kwoty potrzebne do sfinansowania projektu zostaną przesunięte</w:t>
      </w:r>
      <w:r w:rsidR="00B83C93" w:rsidRPr="008B4DA2">
        <w:rPr>
          <w:noProof/>
          <w:sz w:val="22"/>
        </w:rPr>
        <w:t xml:space="preserve"> z</w:t>
      </w:r>
      <w:r w:rsidR="00B83C93">
        <w:rPr>
          <w:noProof/>
          <w:sz w:val="22"/>
        </w:rPr>
        <w:t> </w:t>
      </w:r>
      <w:r w:rsidR="00B83C93" w:rsidRPr="008B4DA2">
        <w:rPr>
          <w:noProof/>
          <w:sz w:val="22"/>
        </w:rPr>
        <w:t>lin</w:t>
      </w:r>
      <w:r w:rsidRPr="008B4DA2">
        <w:rPr>
          <w:noProof/>
          <w:sz w:val="22"/>
        </w:rPr>
        <w:t>ii budżetowej 02.200401.</w:t>
      </w:r>
    </w:p>
    <w:p w:rsidR="005148EA" w:rsidRPr="008B4DA2" w:rsidRDefault="005148EA" w:rsidP="005148EA">
      <w:pPr>
        <w:pStyle w:val="ListDash1"/>
        <w:rPr>
          <w:noProof/>
        </w:rPr>
      </w:pPr>
      <w:r w:rsidRPr="008B4DA2">
        <w:rPr>
          <w:rFonts w:ascii="Wingdings" w:hAnsi="Wingdings"/>
          <w:noProof/>
        </w:rPr>
        <w:t></w:t>
      </w:r>
      <w:r w:rsidRPr="008B4DA2">
        <w:rPr>
          <w:noProof/>
        </w:rPr>
        <w:tab/>
        <w:t>wymaga zastosowania nieprzydzielonego marginesu środków</w:t>
      </w:r>
      <w:r w:rsidR="00B83C93" w:rsidRPr="008B4DA2">
        <w:rPr>
          <w:noProof/>
        </w:rPr>
        <w:t xml:space="preserve"> w</w:t>
      </w:r>
      <w:r w:rsidR="00B83C93">
        <w:rPr>
          <w:noProof/>
        </w:rPr>
        <w:t> </w:t>
      </w:r>
      <w:r w:rsidR="00B83C93" w:rsidRPr="008B4DA2">
        <w:rPr>
          <w:noProof/>
        </w:rPr>
        <w:t>ram</w:t>
      </w:r>
      <w:r w:rsidRPr="008B4DA2">
        <w:rPr>
          <w:noProof/>
        </w:rPr>
        <w:t>ach odpowiedniego działu WRF lub zastosowania specjalnych instrumentów zdefiniowanych</w:t>
      </w:r>
      <w:r w:rsidR="00B83C93" w:rsidRPr="008B4DA2">
        <w:rPr>
          <w:noProof/>
        </w:rPr>
        <w:t xml:space="preserve"> w</w:t>
      </w:r>
      <w:r w:rsidR="00B83C93">
        <w:rPr>
          <w:noProof/>
        </w:rPr>
        <w:t> </w:t>
      </w:r>
      <w:r w:rsidR="00B83C93" w:rsidRPr="008B4DA2">
        <w:rPr>
          <w:noProof/>
        </w:rPr>
        <w:t>roz</w:t>
      </w:r>
      <w:r w:rsidRPr="008B4DA2">
        <w:rPr>
          <w:noProof/>
        </w:rPr>
        <w:t>porządzeniu</w:t>
      </w:r>
      <w:r w:rsidR="00B83C93" w:rsidRPr="008B4DA2">
        <w:rPr>
          <w:noProof/>
        </w:rPr>
        <w:t xml:space="preserve"> w</w:t>
      </w:r>
      <w:r w:rsidR="00B83C93">
        <w:rPr>
          <w:noProof/>
        </w:rPr>
        <w:t> </w:t>
      </w:r>
      <w:r w:rsidR="00B83C93" w:rsidRPr="008B4DA2">
        <w:rPr>
          <w:noProof/>
        </w:rPr>
        <w:t>spr</w:t>
      </w:r>
      <w:r w:rsidRPr="008B4DA2">
        <w:rPr>
          <w:noProof/>
        </w:rPr>
        <w:t>awie WRF.</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sz w:val="20"/>
        </w:rPr>
      </w:pPr>
      <w:r w:rsidRPr="008B4DA2">
        <w:rPr>
          <w:noProof/>
          <w:sz w:val="20"/>
        </w:rPr>
        <w:t>Należy wyjaśnić, który wariant jest konieczny, określając działy</w:t>
      </w:r>
      <w:r w:rsidR="00B83C93" w:rsidRPr="008B4DA2">
        <w:rPr>
          <w:noProof/>
          <w:sz w:val="20"/>
        </w:rPr>
        <w:t xml:space="preserve"> i</w:t>
      </w:r>
      <w:r w:rsidR="00B83C93">
        <w:rPr>
          <w:noProof/>
          <w:sz w:val="20"/>
        </w:rPr>
        <w:t> </w:t>
      </w:r>
      <w:r w:rsidR="00B83C93" w:rsidRPr="008B4DA2">
        <w:rPr>
          <w:noProof/>
          <w:sz w:val="20"/>
        </w:rPr>
        <w:t>lin</w:t>
      </w:r>
      <w:r w:rsidRPr="008B4DA2">
        <w:rPr>
          <w:noProof/>
          <w:sz w:val="20"/>
        </w:rPr>
        <w:t>ie budżetowe, których ma dotyczyć, odpowiadające im kwoty oraz proponowane instrumenty, które należy zastosować.</w:t>
      </w:r>
    </w:p>
    <w:p w:rsidR="005148EA" w:rsidRPr="008B4DA2" w:rsidRDefault="005148EA" w:rsidP="005148EA">
      <w:pPr>
        <w:pStyle w:val="ListDash1"/>
        <w:rPr>
          <w:noProof/>
        </w:rPr>
      </w:pPr>
      <w:r w:rsidRPr="008B4DA2">
        <w:rPr>
          <w:rFonts w:ascii="Wingdings" w:hAnsi="Wingdings"/>
          <w:noProof/>
        </w:rPr>
        <w:t></w:t>
      </w:r>
      <w:r w:rsidRPr="008B4DA2">
        <w:rPr>
          <w:noProof/>
        </w:rPr>
        <w:tab/>
        <w:t>wymaga rewizji WRF.</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sz w:val="20"/>
        </w:rPr>
      </w:pPr>
      <w:r w:rsidRPr="008B4DA2">
        <w:rPr>
          <w:noProof/>
          <w:sz w:val="20"/>
        </w:rPr>
        <w:t>Należy wyjaśnić, który wariant jest konieczny, określając linie budżetowe, których ma on dotyczyć, oraz podając odpowiednie kwoty.</w:t>
      </w:r>
    </w:p>
    <w:p w:rsidR="005148EA" w:rsidRPr="008B4DA2" w:rsidRDefault="005148EA" w:rsidP="005148EA">
      <w:pPr>
        <w:pStyle w:val="ManualHeading3"/>
        <w:rPr>
          <w:bCs/>
          <w:noProof/>
          <w:szCs w:val="24"/>
        </w:rPr>
      </w:pPr>
      <w:bookmarkStart w:id="72" w:name="_Toc514938058"/>
      <w:bookmarkStart w:id="73" w:name="_Toc520485056"/>
      <w:r w:rsidRPr="008B4DA2">
        <w:rPr>
          <w:noProof/>
        </w:rPr>
        <w:t>3.2.5.</w:t>
      </w:r>
      <w:r w:rsidRPr="008B4DA2">
        <w:rPr>
          <w:noProof/>
        </w:rPr>
        <w:tab/>
        <w:t>Udział osób trzecich</w:t>
      </w:r>
      <w:r w:rsidR="00B83C93" w:rsidRPr="008B4DA2">
        <w:rPr>
          <w:noProof/>
        </w:rPr>
        <w:t xml:space="preserve"> w</w:t>
      </w:r>
      <w:r w:rsidR="00B83C93">
        <w:rPr>
          <w:noProof/>
        </w:rPr>
        <w:t> </w:t>
      </w:r>
      <w:r w:rsidR="00B83C93" w:rsidRPr="008B4DA2">
        <w:rPr>
          <w:noProof/>
        </w:rPr>
        <w:t>fin</w:t>
      </w:r>
      <w:r w:rsidRPr="008B4DA2">
        <w:rPr>
          <w:noProof/>
        </w:rPr>
        <w:t>ansowaniu</w:t>
      </w:r>
      <w:bookmarkEnd w:id="72"/>
      <w:bookmarkEnd w:id="73"/>
      <w:r w:rsidRPr="008B4DA2">
        <w:rPr>
          <w:noProof/>
        </w:rPr>
        <w:t xml:space="preserve"> </w:t>
      </w:r>
    </w:p>
    <w:p w:rsidR="005148EA" w:rsidRPr="008B4DA2" w:rsidRDefault="005148EA" w:rsidP="005148EA">
      <w:pPr>
        <w:pStyle w:val="Text1"/>
        <w:rPr>
          <w:noProof/>
        </w:rPr>
      </w:pPr>
      <w:r w:rsidRPr="008B4DA2">
        <w:rPr>
          <w:noProof/>
        </w:rPr>
        <w:t>Wniosek/inicjatywa:</w:t>
      </w:r>
    </w:p>
    <w:p w:rsidR="005148EA" w:rsidRPr="008B4DA2" w:rsidRDefault="005148EA" w:rsidP="005148EA">
      <w:pPr>
        <w:pStyle w:val="ListDash1"/>
        <w:rPr>
          <w:noProof/>
        </w:rPr>
      </w:pPr>
      <w:r w:rsidRPr="008B4DA2">
        <w:rPr>
          <w:b/>
          <w:noProof/>
          <w:bdr w:val="single" w:sz="4" w:space="0" w:color="auto" w:frame="1"/>
        </w:rPr>
        <w:t>X</w:t>
      </w:r>
      <w:r w:rsidRPr="008B4DA2">
        <w:rPr>
          <w:noProof/>
        </w:rPr>
        <w:t xml:space="preserve"> nie przewiduje współfinansowania ze strony osób trzecich</w:t>
      </w:r>
    </w:p>
    <w:p w:rsidR="005148EA" w:rsidRPr="008B4DA2" w:rsidRDefault="005148EA" w:rsidP="005148EA">
      <w:pPr>
        <w:pStyle w:val="ListDash1"/>
        <w:rPr>
          <w:noProof/>
        </w:rPr>
      </w:pPr>
      <w:r w:rsidRPr="008B4DA2">
        <w:rPr>
          <w:rFonts w:ascii="Wingdings" w:hAnsi="Wingdings"/>
          <w:noProof/>
        </w:rPr>
        <w:t></w:t>
      </w:r>
      <w:r w:rsidRPr="008B4DA2">
        <w:rPr>
          <w:noProof/>
        </w:rPr>
        <w:tab/>
        <w:t>przewiduje współfinansowanie ze strony osób trzecich szacowane zgodnie</w:t>
      </w:r>
      <w:r w:rsidR="00B83C93" w:rsidRPr="008B4DA2">
        <w:rPr>
          <w:noProof/>
        </w:rPr>
        <w:t xml:space="preserve"> z</w:t>
      </w:r>
      <w:r w:rsidR="00B83C93">
        <w:rPr>
          <w:noProof/>
        </w:rPr>
        <w:t> </w:t>
      </w:r>
      <w:r w:rsidR="00B83C93" w:rsidRPr="008B4DA2">
        <w:rPr>
          <w:noProof/>
        </w:rPr>
        <w:t>pon</w:t>
      </w:r>
      <w:r w:rsidRPr="008B4DA2">
        <w:rPr>
          <w:noProof/>
        </w:rPr>
        <w:t>iższymi szacunkami:</w:t>
      </w:r>
    </w:p>
    <w:p w:rsidR="005148EA" w:rsidRPr="008B4DA2" w:rsidRDefault="005148EA" w:rsidP="005148EA">
      <w:pPr>
        <w:jc w:val="right"/>
        <w:rPr>
          <w:noProof/>
          <w:sz w:val="20"/>
        </w:rPr>
      </w:pPr>
      <w:r w:rsidRPr="008B4DA2">
        <w:rPr>
          <w:noProof/>
          <w:sz w:val="20"/>
        </w:rPr>
        <w:t>środki</w:t>
      </w:r>
      <w:r w:rsidR="00B83C93" w:rsidRPr="008B4DA2">
        <w:rPr>
          <w:noProof/>
          <w:sz w:val="20"/>
        </w:rPr>
        <w:t xml:space="preserve"> w</w:t>
      </w:r>
      <w:r w:rsidR="00B83C93">
        <w:rPr>
          <w:noProof/>
          <w:sz w:val="20"/>
        </w:rPr>
        <w:t> </w:t>
      </w:r>
      <w:r w:rsidR="00B83C93" w:rsidRPr="008B4DA2">
        <w:rPr>
          <w:noProof/>
          <w:sz w:val="20"/>
        </w:rPr>
        <w:t>mln</w:t>
      </w:r>
      <w:r w:rsidRPr="008B4DA2">
        <w:rPr>
          <w:noProof/>
          <w:sz w:val="20"/>
        </w:rPr>
        <w:t xml:space="preserve"> EUR (do trzech miejsc po przecinku)</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4E303B" w:rsidRPr="008B4DA2" w:rsidTr="00BF0434">
        <w:trPr>
          <w:cantSplit/>
        </w:trPr>
        <w:tc>
          <w:tcPr>
            <w:tcW w:w="2340" w:type="dxa"/>
          </w:tcPr>
          <w:p w:rsidR="005148EA" w:rsidRPr="008B4DA2" w:rsidRDefault="005148EA" w:rsidP="00BF0434">
            <w:pPr>
              <w:spacing w:before="60" w:after="60"/>
              <w:rPr>
                <w:noProof/>
                <w:sz w:val="20"/>
              </w:rPr>
            </w:pPr>
          </w:p>
        </w:tc>
        <w:tc>
          <w:tcPr>
            <w:tcW w:w="964" w:type="dxa"/>
            <w:vAlign w:val="center"/>
          </w:tcPr>
          <w:p w:rsidR="005148EA" w:rsidRPr="008B4DA2" w:rsidRDefault="005148EA" w:rsidP="00BF0434">
            <w:pPr>
              <w:jc w:val="center"/>
              <w:rPr>
                <w:noProof/>
                <w:sz w:val="20"/>
              </w:rPr>
            </w:pPr>
            <w:r w:rsidRPr="008B4DA2">
              <w:rPr>
                <w:noProof/>
                <w:sz w:val="20"/>
              </w:rPr>
              <w:t>Rok</w:t>
            </w:r>
            <w:r w:rsidRPr="008B4DA2">
              <w:rPr>
                <w:noProof/>
              </w:rPr>
              <w:t xml:space="preserve"> </w:t>
            </w:r>
            <w:r w:rsidRPr="008B4DA2">
              <w:rPr>
                <w:noProof/>
              </w:rPr>
              <w:br/>
            </w:r>
            <w:r w:rsidRPr="008B4DA2">
              <w:rPr>
                <w:b/>
                <w:noProof/>
                <w:sz w:val="20"/>
              </w:rPr>
              <w:t>N</w:t>
            </w:r>
            <w:r w:rsidRPr="008B4DA2">
              <w:rPr>
                <w:rStyle w:val="FootnoteReference"/>
                <w:noProof/>
              </w:rPr>
              <w:footnoteReference w:id="90"/>
            </w:r>
          </w:p>
        </w:tc>
        <w:tc>
          <w:tcPr>
            <w:tcW w:w="964" w:type="dxa"/>
            <w:vAlign w:val="center"/>
          </w:tcPr>
          <w:p w:rsidR="005148EA" w:rsidRPr="008B4DA2" w:rsidRDefault="005148EA" w:rsidP="00BF0434">
            <w:pPr>
              <w:jc w:val="center"/>
              <w:rPr>
                <w:noProof/>
                <w:sz w:val="20"/>
              </w:rPr>
            </w:pPr>
            <w:r w:rsidRPr="008B4DA2">
              <w:rPr>
                <w:noProof/>
                <w:sz w:val="20"/>
              </w:rPr>
              <w:t>Rok</w:t>
            </w:r>
            <w:r w:rsidRPr="008B4DA2">
              <w:rPr>
                <w:noProof/>
              </w:rPr>
              <w:t xml:space="preserve"> </w:t>
            </w:r>
            <w:r w:rsidRPr="008B4DA2">
              <w:rPr>
                <w:noProof/>
              </w:rPr>
              <w:br/>
            </w:r>
            <w:r w:rsidRPr="008B4DA2">
              <w:rPr>
                <w:b/>
                <w:noProof/>
                <w:sz w:val="20"/>
              </w:rPr>
              <w:t>N+1</w:t>
            </w:r>
          </w:p>
        </w:tc>
        <w:tc>
          <w:tcPr>
            <w:tcW w:w="964" w:type="dxa"/>
            <w:vAlign w:val="center"/>
          </w:tcPr>
          <w:p w:rsidR="005148EA" w:rsidRPr="008B4DA2" w:rsidRDefault="005148EA" w:rsidP="00BF0434">
            <w:pPr>
              <w:jc w:val="center"/>
              <w:rPr>
                <w:noProof/>
                <w:sz w:val="20"/>
              </w:rPr>
            </w:pPr>
            <w:r w:rsidRPr="008B4DA2">
              <w:rPr>
                <w:noProof/>
                <w:sz w:val="20"/>
              </w:rPr>
              <w:t>Rok</w:t>
            </w:r>
            <w:r w:rsidRPr="008B4DA2">
              <w:rPr>
                <w:noProof/>
              </w:rPr>
              <w:t xml:space="preserve"> </w:t>
            </w:r>
            <w:r w:rsidRPr="008B4DA2">
              <w:rPr>
                <w:noProof/>
              </w:rPr>
              <w:br/>
            </w:r>
            <w:r w:rsidRPr="008B4DA2">
              <w:rPr>
                <w:b/>
                <w:noProof/>
                <w:sz w:val="20"/>
              </w:rPr>
              <w:t>N+2</w:t>
            </w:r>
          </w:p>
        </w:tc>
        <w:tc>
          <w:tcPr>
            <w:tcW w:w="964" w:type="dxa"/>
            <w:vAlign w:val="center"/>
          </w:tcPr>
          <w:p w:rsidR="005148EA" w:rsidRPr="008B4DA2" w:rsidRDefault="005148EA" w:rsidP="00BF0434">
            <w:pPr>
              <w:jc w:val="center"/>
              <w:rPr>
                <w:noProof/>
                <w:sz w:val="20"/>
              </w:rPr>
            </w:pPr>
            <w:r w:rsidRPr="008B4DA2">
              <w:rPr>
                <w:noProof/>
                <w:sz w:val="20"/>
              </w:rPr>
              <w:t>Rok</w:t>
            </w:r>
            <w:r w:rsidRPr="008B4DA2">
              <w:rPr>
                <w:noProof/>
              </w:rPr>
              <w:t xml:space="preserve"> </w:t>
            </w:r>
            <w:r w:rsidRPr="008B4DA2">
              <w:rPr>
                <w:noProof/>
              </w:rPr>
              <w:br/>
            </w:r>
            <w:r w:rsidRPr="008B4DA2">
              <w:rPr>
                <w:b/>
                <w:noProof/>
                <w:sz w:val="20"/>
              </w:rPr>
              <w:t>N+3</w:t>
            </w:r>
          </w:p>
        </w:tc>
        <w:tc>
          <w:tcPr>
            <w:tcW w:w="2892" w:type="dxa"/>
            <w:gridSpan w:val="3"/>
            <w:vAlign w:val="center"/>
          </w:tcPr>
          <w:p w:rsidR="005148EA" w:rsidRPr="008B4DA2" w:rsidRDefault="005148EA" w:rsidP="00BF0434">
            <w:pPr>
              <w:jc w:val="center"/>
              <w:rPr>
                <w:b/>
                <w:noProof/>
                <w:sz w:val="20"/>
              </w:rPr>
            </w:pPr>
            <w:r w:rsidRPr="008B4DA2">
              <w:rPr>
                <w:noProof/>
                <w:sz w:val="20"/>
              </w:rPr>
              <w:t xml:space="preserve">Wprowadzić taką liczbę kolumn dla poszczególnych lat, jaka jest niezbędna, by odzwierciedlić cały okres wpływu (por. </w:t>
            </w:r>
            <w:r w:rsidRPr="00B83C93">
              <w:rPr>
                <w:noProof/>
                <w:sz w:val="20"/>
              </w:rPr>
              <w:t>pkt</w:t>
            </w:r>
            <w:r w:rsidR="00B83C93" w:rsidRPr="00B83C93">
              <w:rPr>
                <w:noProof/>
                <w:sz w:val="20"/>
              </w:rPr>
              <w:t> </w:t>
            </w:r>
            <w:r w:rsidRPr="00B83C93">
              <w:rPr>
                <w:noProof/>
                <w:sz w:val="20"/>
              </w:rPr>
              <w:t>1</w:t>
            </w:r>
            <w:r w:rsidRPr="008B4DA2">
              <w:rPr>
                <w:noProof/>
                <w:sz w:val="20"/>
              </w:rPr>
              <w:t>.6)</w:t>
            </w:r>
          </w:p>
        </w:tc>
        <w:tc>
          <w:tcPr>
            <w:tcW w:w="1158" w:type="dxa"/>
            <w:vAlign w:val="center"/>
          </w:tcPr>
          <w:p w:rsidR="005148EA" w:rsidRPr="008B4DA2" w:rsidRDefault="005148EA" w:rsidP="00BF0434">
            <w:pPr>
              <w:spacing w:before="60" w:after="60"/>
              <w:jc w:val="center"/>
              <w:rPr>
                <w:noProof/>
                <w:sz w:val="20"/>
              </w:rPr>
            </w:pPr>
            <w:r w:rsidRPr="008B4DA2">
              <w:rPr>
                <w:noProof/>
                <w:sz w:val="20"/>
              </w:rPr>
              <w:t>Ogółem</w:t>
            </w:r>
          </w:p>
        </w:tc>
      </w:tr>
      <w:tr w:rsidR="004E303B" w:rsidRPr="008B4DA2" w:rsidTr="00BF0434">
        <w:trPr>
          <w:cantSplit/>
        </w:trPr>
        <w:tc>
          <w:tcPr>
            <w:tcW w:w="2340" w:type="dxa"/>
          </w:tcPr>
          <w:p w:rsidR="005148EA" w:rsidRPr="008B4DA2" w:rsidRDefault="005148EA" w:rsidP="00BF0434">
            <w:pPr>
              <w:rPr>
                <w:noProof/>
              </w:rPr>
            </w:pPr>
            <w:r w:rsidRPr="008B4DA2">
              <w:rPr>
                <w:noProof/>
                <w:sz w:val="20"/>
              </w:rPr>
              <w:t>Określić organ współfinansujący</w:t>
            </w:r>
            <w:r w:rsidRPr="008B4DA2">
              <w:rPr>
                <w:i/>
                <w:noProof/>
                <w:sz w:val="20"/>
              </w:rPr>
              <w:t xml:space="preserve"> </w:t>
            </w:r>
          </w:p>
        </w:tc>
        <w:tc>
          <w:tcPr>
            <w:tcW w:w="964" w:type="dxa"/>
            <w:vAlign w:val="center"/>
          </w:tcPr>
          <w:p w:rsidR="005148EA" w:rsidRPr="008B4DA2" w:rsidRDefault="005148EA" w:rsidP="00BF0434">
            <w:pPr>
              <w:spacing w:before="60" w:after="60"/>
              <w:jc w:val="center"/>
              <w:rPr>
                <w:noProof/>
                <w:sz w:val="20"/>
              </w:rPr>
            </w:pPr>
          </w:p>
        </w:tc>
        <w:tc>
          <w:tcPr>
            <w:tcW w:w="964" w:type="dxa"/>
            <w:vAlign w:val="center"/>
          </w:tcPr>
          <w:p w:rsidR="005148EA" w:rsidRPr="008B4DA2" w:rsidRDefault="005148EA" w:rsidP="00BF0434">
            <w:pPr>
              <w:spacing w:before="60" w:after="60"/>
              <w:jc w:val="center"/>
              <w:rPr>
                <w:noProof/>
                <w:sz w:val="20"/>
              </w:rPr>
            </w:pPr>
          </w:p>
        </w:tc>
        <w:tc>
          <w:tcPr>
            <w:tcW w:w="964" w:type="dxa"/>
            <w:vAlign w:val="center"/>
          </w:tcPr>
          <w:p w:rsidR="005148EA" w:rsidRPr="008B4DA2" w:rsidRDefault="005148EA" w:rsidP="00BF0434">
            <w:pPr>
              <w:spacing w:before="60" w:after="60"/>
              <w:jc w:val="center"/>
              <w:rPr>
                <w:noProof/>
                <w:sz w:val="20"/>
              </w:rPr>
            </w:pPr>
          </w:p>
        </w:tc>
        <w:tc>
          <w:tcPr>
            <w:tcW w:w="964" w:type="dxa"/>
            <w:vAlign w:val="center"/>
          </w:tcPr>
          <w:p w:rsidR="005148EA" w:rsidRPr="008B4DA2" w:rsidRDefault="005148EA" w:rsidP="00BF0434">
            <w:pPr>
              <w:spacing w:before="60" w:after="60"/>
              <w:jc w:val="center"/>
              <w:rPr>
                <w:noProof/>
                <w:sz w:val="20"/>
              </w:rPr>
            </w:pPr>
          </w:p>
        </w:tc>
        <w:tc>
          <w:tcPr>
            <w:tcW w:w="964" w:type="dxa"/>
            <w:vAlign w:val="center"/>
          </w:tcPr>
          <w:p w:rsidR="005148EA" w:rsidRPr="008B4DA2" w:rsidRDefault="005148EA" w:rsidP="00BF0434">
            <w:pPr>
              <w:spacing w:before="60" w:after="60"/>
              <w:jc w:val="center"/>
              <w:rPr>
                <w:noProof/>
                <w:sz w:val="20"/>
              </w:rPr>
            </w:pPr>
          </w:p>
        </w:tc>
        <w:tc>
          <w:tcPr>
            <w:tcW w:w="964" w:type="dxa"/>
            <w:vAlign w:val="center"/>
          </w:tcPr>
          <w:p w:rsidR="005148EA" w:rsidRPr="008B4DA2" w:rsidRDefault="005148EA" w:rsidP="00BF0434">
            <w:pPr>
              <w:spacing w:before="60" w:after="60"/>
              <w:jc w:val="center"/>
              <w:rPr>
                <w:noProof/>
                <w:sz w:val="20"/>
              </w:rPr>
            </w:pPr>
          </w:p>
        </w:tc>
        <w:tc>
          <w:tcPr>
            <w:tcW w:w="964" w:type="dxa"/>
            <w:vAlign w:val="center"/>
          </w:tcPr>
          <w:p w:rsidR="005148EA" w:rsidRPr="008B4DA2" w:rsidRDefault="005148EA" w:rsidP="00BF0434">
            <w:pPr>
              <w:spacing w:before="60" w:after="60"/>
              <w:jc w:val="center"/>
              <w:rPr>
                <w:noProof/>
                <w:sz w:val="20"/>
              </w:rPr>
            </w:pPr>
          </w:p>
        </w:tc>
        <w:tc>
          <w:tcPr>
            <w:tcW w:w="1158" w:type="dxa"/>
            <w:vAlign w:val="center"/>
          </w:tcPr>
          <w:p w:rsidR="005148EA" w:rsidRPr="008B4DA2" w:rsidRDefault="005148EA" w:rsidP="00BF0434">
            <w:pPr>
              <w:spacing w:before="60" w:after="60"/>
              <w:jc w:val="center"/>
              <w:rPr>
                <w:noProof/>
                <w:sz w:val="20"/>
              </w:rPr>
            </w:pPr>
          </w:p>
        </w:tc>
      </w:tr>
      <w:tr w:rsidR="004E303B" w:rsidRPr="008B4DA2" w:rsidTr="00BF0434">
        <w:trPr>
          <w:cantSplit/>
        </w:trPr>
        <w:tc>
          <w:tcPr>
            <w:tcW w:w="2340" w:type="dxa"/>
          </w:tcPr>
          <w:p w:rsidR="005148EA" w:rsidRPr="008B4DA2" w:rsidRDefault="005148EA" w:rsidP="00BF0434">
            <w:pPr>
              <w:spacing w:before="60" w:after="60"/>
              <w:jc w:val="left"/>
              <w:rPr>
                <w:noProof/>
                <w:sz w:val="20"/>
              </w:rPr>
            </w:pPr>
            <w:r w:rsidRPr="008B4DA2">
              <w:rPr>
                <w:noProof/>
                <w:sz w:val="20"/>
              </w:rPr>
              <w:t xml:space="preserve">OGÓŁEM środki objęte współfinansowaniem </w:t>
            </w:r>
          </w:p>
        </w:tc>
        <w:tc>
          <w:tcPr>
            <w:tcW w:w="964" w:type="dxa"/>
            <w:vAlign w:val="center"/>
          </w:tcPr>
          <w:p w:rsidR="005148EA" w:rsidRPr="008B4DA2" w:rsidRDefault="005148EA" w:rsidP="00BF0434">
            <w:pPr>
              <w:spacing w:before="60" w:after="60"/>
              <w:jc w:val="center"/>
              <w:rPr>
                <w:noProof/>
                <w:sz w:val="20"/>
              </w:rPr>
            </w:pPr>
          </w:p>
        </w:tc>
        <w:tc>
          <w:tcPr>
            <w:tcW w:w="964" w:type="dxa"/>
            <w:vAlign w:val="center"/>
          </w:tcPr>
          <w:p w:rsidR="005148EA" w:rsidRPr="008B4DA2" w:rsidRDefault="005148EA" w:rsidP="00BF0434">
            <w:pPr>
              <w:spacing w:before="60" w:after="60"/>
              <w:jc w:val="center"/>
              <w:rPr>
                <w:noProof/>
                <w:sz w:val="20"/>
              </w:rPr>
            </w:pPr>
          </w:p>
        </w:tc>
        <w:tc>
          <w:tcPr>
            <w:tcW w:w="964" w:type="dxa"/>
            <w:vAlign w:val="center"/>
          </w:tcPr>
          <w:p w:rsidR="005148EA" w:rsidRPr="008B4DA2" w:rsidRDefault="005148EA" w:rsidP="00BF0434">
            <w:pPr>
              <w:spacing w:before="60" w:after="60"/>
              <w:jc w:val="center"/>
              <w:rPr>
                <w:noProof/>
                <w:sz w:val="20"/>
              </w:rPr>
            </w:pPr>
          </w:p>
        </w:tc>
        <w:tc>
          <w:tcPr>
            <w:tcW w:w="964" w:type="dxa"/>
            <w:vAlign w:val="center"/>
          </w:tcPr>
          <w:p w:rsidR="005148EA" w:rsidRPr="008B4DA2" w:rsidRDefault="005148EA" w:rsidP="00BF0434">
            <w:pPr>
              <w:spacing w:before="60" w:after="60"/>
              <w:jc w:val="center"/>
              <w:rPr>
                <w:noProof/>
                <w:sz w:val="20"/>
              </w:rPr>
            </w:pPr>
          </w:p>
        </w:tc>
        <w:tc>
          <w:tcPr>
            <w:tcW w:w="964" w:type="dxa"/>
            <w:vAlign w:val="center"/>
          </w:tcPr>
          <w:p w:rsidR="005148EA" w:rsidRPr="008B4DA2" w:rsidRDefault="005148EA" w:rsidP="00BF0434">
            <w:pPr>
              <w:spacing w:before="60" w:after="60"/>
              <w:jc w:val="center"/>
              <w:rPr>
                <w:noProof/>
                <w:sz w:val="20"/>
              </w:rPr>
            </w:pPr>
          </w:p>
        </w:tc>
        <w:tc>
          <w:tcPr>
            <w:tcW w:w="964" w:type="dxa"/>
            <w:vAlign w:val="center"/>
          </w:tcPr>
          <w:p w:rsidR="005148EA" w:rsidRPr="008B4DA2" w:rsidRDefault="005148EA" w:rsidP="00BF0434">
            <w:pPr>
              <w:spacing w:before="60" w:after="60"/>
              <w:jc w:val="center"/>
              <w:rPr>
                <w:noProof/>
                <w:sz w:val="20"/>
              </w:rPr>
            </w:pPr>
          </w:p>
        </w:tc>
        <w:tc>
          <w:tcPr>
            <w:tcW w:w="964" w:type="dxa"/>
            <w:vAlign w:val="center"/>
          </w:tcPr>
          <w:p w:rsidR="005148EA" w:rsidRPr="008B4DA2" w:rsidRDefault="005148EA" w:rsidP="00BF0434">
            <w:pPr>
              <w:spacing w:before="60" w:after="60"/>
              <w:jc w:val="center"/>
              <w:rPr>
                <w:noProof/>
                <w:sz w:val="20"/>
              </w:rPr>
            </w:pPr>
          </w:p>
        </w:tc>
        <w:tc>
          <w:tcPr>
            <w:tcW w:w="1158" w:type="dxa"/>
            <w:vAlign w:val="center"/>
          </w:tcPr>
          <w:p w:rsidR="005148EA" w:rsidRPr="008B4DA2" w:rsidRDefault="005148EA" w:rsidP="00BF0434">
            <w:pPr>
              <w:spacing w:before="60" w:after="60"/>
              <w:jc w:val="center"/>
              <w:rPr>
                <w:noProof/>
                <w:sz w:val="20"/>
              </w:rPr>
            </w:pPr>
          </w:p>
        </w:tc>
      </w:tr>
    </w:tbl>
    <w:p w:rsidR="005148EA" w:rsidRPr="008B4DA2" w:rsidRDefault="005148EA" w:rsidP="005148EA">
      <w:pPr>
        <w:rPr>
          <w:noProof/>
        </w:rPr>
      </w:pPr>
      <w:r w:rsidRPr="008B4DA2">
        <w:rPr>
          <w:noProof/>
        </w:rPr>
        <w:t xml:space="preserve"> </w:t>
      </w:r>
      <w:r w:rsidRPr="008B4DA2">
        <w:rPr>
          <w:noProof/>
        </w:rPr>
        <w:br/>
      </w:r>
    </w:p>
    <w:p w:rsidR="005148EA" w:rsidRPr="008B4DA2" w:rsidRDefault="005148EA" w:rsidP="005148EA">
      <w:pPr>
        <w:pStyle w:val="ManualHeading2"/>
        <w:rPr>
          <w:bCs/>
          <w:noProof/>
          <w:szCs w:val="24"/>
        </w:rPr>
      </w:pPr>
      <w:r w:rsidRPr="008B4DA2">
        <w:rPr>
          <w:noProof/>
        </w:rPr>
        <w:br w:type="page"/>
      </w:r>
      <w:bookmarkStart w:id="74" w:name="_Toc514938059"/>
      <w:bookmarkStart w:id="75" w:name="_Toc520485057"/>
      <w:r w:rsidRPr="008B4DA2">
        <w:rPr>
          <w:noProof/>
        </w:rPr>
        <w:t>3.3.</w:t>
      </w:r>
      <w:r w:rsidRPr="008B4DA2">
        <w:rPr>
          <w:noProof/>
        </w:rPr>
        <w:tab/>
        <w:t>Szacunkowy wpływ na dochody</w:t>
      </w:r>
      <w:bookmarkEnd w:id="74"/>
      <w:bookmarkEnd w:id="75"/>
      <w:r w:rsidRPr="008B4DA2">
        <w:rPr>
          <w:noProof/>
        </w:rPr>
        <w:t xml:space="preserve"> </w:t>
      </w:r>
    </w:p>
    <w:p w:rsidR="005148EA" w:rsidRPr="008B4DA2" w:rsidRDefault="005148EA" w:rsidP="005148EA">
      <w:pPr>
        <w:pStyle w:val="ListDash1"/>
        <w:rPr>
          <w:noProof/>
        </w:rPr>
      </w:pPr>
      <w:r w:rsidRPr="008B4DA2">
        <w:rPr>
          <w:b/>
          <w:noProof/>
          <w:bdr w:val="single" w:sz="4" w:space="0" w:color="auto" w:frame="1"/>
        </w:rPr>
        <w:t>X</w:t>
      </w:r>
      <w:r w:rsidRPr="008B4DA2">
        <w:rPr>
          <w:noProof/>
        </w:rPr>
        <w:t xml:space="preserve"> Wniosek/inicjatywa nie ma wpływu finansowego na dochody.</w:t>
      </w:r>
    </w:p>
    <w:p w:rsidR="005148EA" w:rsidRPr="008B4DA2" w:rsidRDefault="005148EA" w:rsidP="005148EA">
      <w:pPr>
        <w:pStyle w:val="ListDash1"/>
        <w:rPr>
          <w:noProof/>
        </w:rPr>
      </w:pPr>
      <w:r w:rsidRPr="008B4DA2">
        <w:rPr>
          <w:rFonts w:ascii="Wingdings" w:hAnsi="Wingdings"/>
          <w:noProof/>
        </w:rPr>
        <w:t></w:t>
      </w:r>
      <w:r w:rsidRPr="008B4DA2">
        <w:rPr>
          <w:noProof/>
        </w:rPr>
        <w:tab/>
        <w:t>Wniosek/inicjatywa ma wpływ finansowy określony poniżej:</w:t>
      </w:r>
    </w:p>
    <w:p w:rsidR="005148EA" w:rsidRPr="008B4DA2" w:rsidRDefault="005148EA" w:rsidP="00EE42D9">
      <w:pPr>
        <w:pStyle w:val="ListNumberLevel3"/>
        <w:tabs>
          <w:tab w:val="clear" w:pos="2126"/>
        </w:tabs>
        <w:rPr>
          <w:noProof/>
        </w:rPr>
      </w:pPr>
      <w:r w:rsidRPr="008B4DA2">
        <w:rPr>
          <w:rFonts w:ascii="Wingdings" w:hAnsi="Wingdings"/>
          <w:noProof/>
        </w:rPr>
        <w:t></w:t>
      </w:r>
      <w:r w:rsidRPr="008B4DA2">
        <w:rPr>
          <w:noProof/>
        </w:rPr>
        <w:tab/>
        <w:t xml:space="preserve">wpływ na zasoby własne </w:t>
      </w:r>
    </w:p>
    <w:p w:rsidR="005148EA" w:rsidRPr="008B4DA2" w:rsidRDefault="005148EA" w:rsidP="00EE42D9">
      <w:pPr>
        <w:pStyle w:val="ListNumberLevel3"/>
        <w:tabs>
          <w:tab w:val="clear" w:pos="2126"/>
        </w:tabs>
        <w:rPr>
          <w:noProof/>
        </w:rPr>
      </w:pPr>
      <w:r w:rsidRPr="008B4DA2">
        <w:rPr>
          <w:rFonts w:ascii="Wingdings" w:hAnsi="Wingdings"/>
          <w:noProof/>
        </w:rPr>
        <w:t></w:t>
      </w:r>
      <w:r w:rsidRPr="008B4DA2">
        <w:rPr>
          <w:noProof/>
        </w:rPr>
        <w:tab/>
        <w:t>wpływ na dochody inne</w:t>
      </w:r>
    </w:p>
    <w:p w:rsidR="005148EA" w:rsidRPr="008B4DA2" w:rsidRDefault="005148EA" w:rsidP="00EE42D9">
      <w:pPr>
        <w:pStyle w:val="ListNumberLevel3"/>
        <w:tabs>
          <w:tab w:val="clear" w:pos="2126"/>
        </w:tabs>
        <w:rPr>
          <w:noProof/>
        </w:rPr>
      </w:pPr>
      <w:r w:rsidRPr="008B4DA2">
        <w:rPr>
          <w:noProof/>
        </w:rPr>
        <w:t xml:space="preserve">Wskazać, czy dochody są przypisane do linii budżetowej po stronie wydatków </w:t>
      </w:r>
      <w:r w:rsidRPr="008B4DA2">
        <w:rPr>
          <w:rFonts w:ascii="Wingdings" w:hAnsi="Wingdings"/>
          <w:noProof/>
        </w:rPr>
        <w:t></w:t>
      </w:r>
      <w:r w:rsidRPr="008B4DA2">
        <w:rPr>
          <w:noProof/>
        </w:rPr>
        <w:tab/>
      </w:r>
    </w:p>
    <w:p w:rsidR="005148EA" w:rsidRPr="008B4DA2" w:rsidRDefault="005148EA" w:rsidP="005148EA">
      <w:pPr>
        <w:ind w:left="4320"/>
        <w:rPr>
          <w:i/>
          <w:noProof/>
          <w:sz w:val="20"/>
        </w:rPr>
      </w:pPr>
      <w:r w:rsidRPr="008B4DA2">
        <w:rPr>
          <w:noProof/>
        </w:rPr>
        <w:t xml:space="preserve">    </w:t>
      </w:r>
      <w:r w:rsidR="00B83C93" w:rsidRPr="008B4DA2">
        <w:rPr>
          <w:noProof/>
        </w:rPr>
        <w:t xml:space="preserve"> w</w:t>
      </w:r>
      <w:r w:rsidR="00B83C93">
        <w:rPr>
          <w:noProof/>
        </w:rPr>
        <w:t> </w:t>
      </w:r>
      <w:r w:rsidR="00B83C93" w:rsidRPr="008B4DA2">
        <w:rPr>
          <w:noProof/>
        </w:rPr>
        <w:t>mln</w:t>
      </w:r>
      <w:r w:rsidRPr="008B4DA2">
        <w:rPr>
          <w:noProof/>
        </w:rPr>
        <w:t xml:space="preserve"> EUR (do trzech miejsc po przecinku)</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4E303B" w:rsidRPr="008B4DA2" w:rsidTr="00BF0434">
        <w:trPr>
          <w:trHeight w:val="388"/>
        </w:trPr>
        <w:tc>
          <w:tcPr>
            <w:tcW w:w="2144" w:type="dxa"/>
            <w:vMerge w:val="restart"/>
            <w:vAlign w:val="center"/>
          </w:tcPr>
          <w:p w:rsidR="005148EA" w:rsidRPr="008B4DA2" w:rsidRDefault="005148EA" w:rsidP="00BF0434">
            <w:pPr>
              <w:spacing w:before="40" w:after="40"/>
              <w:rPr>
                <w:noProof/>
                <w:sz w:val="18"/>
              </w:rPr>
            </w:pPr>
            <w:r w:rsidRPr="008B4DA2">
              <w:rPr>
                <w:noProof/>
                <w:sz w:val="18"/>
              </w:rPr>
              <w:t>Linia budżetowa po stronie dochodów</w:t>
            </w:r>
          </w:p>
        </w:tc>
        <w:tc>
          <w:tcPr>
            <w:tcW w:w="1325" w:type="dxa"/>
            <w:vMerge w:val="restart"/>
            <w:vAlign w:val="center"/>
          </w:tcPr>
          <w:p w:rsidR="005148EA" w:rsidRPr="008B4DA2" w:rsidRDefault="005148EA" w:rsidP="00BF0434">
            <w:pPr>
              <w:jc w:val="center"/>
              <w:rPr>
                <w:noProof/>
                <w:sz w:val="18"/>
              </w:rPr>
            </w:pPr>
            <w:r w:rsidRPr="008B4DA2">
              <w:rPr>
                <w:noProof/>
                <w:sz w:val="18"/>
              </w:rPr>
              <w:t>Środki zapisane</w:t>
            </w:r>
            <w:r w:rsidR="00B83C93" w:rsidRPr="008B4DA2">
              <w:rPr>
                <w:noProof/>
                <w:sz w:val="18"/>
              </w:rPr>
              <w:t xml:space="preserve"> w</w:t>
            </w:r>
            <w:r w:rsidR="00B83C93">
              <w:rPr>
                <w:noProof/>
                <w:sz w:val="18"/>
              </w:rPr>
              <w:t> </w:t>
            </w:r>
            <w:r w:rsidR="00B83C93" w:rsidRPr="008B4DA2">
              <w:rPr>
                <w:noProof/>
                <w:sz w:val="18"/>
              </w:rPr>
              <w:t>bud</w:t>
            </w:r>
            <w:r w:rsidRPr="008B4DA2">
              <w:rPr>
                <w:noProof/>
                <w:sz w:val="18"/>
              </w:rPr>
              <w:t>żecie na bieżący rok budżetowy</w:t>
            </w:r>
          </w:p>
        </w:tc>
        <w:tc>
          <w:tcPr>
            <w:tcW w:w="7151" w:type="dxa"/>
            <w:gridSpan w:val="7"/>
            <w:vAlign w:val="center"/>
          </w:tcPr>
          <w:p w:rsidR="005148EA" w:rsidRPr="008B4DA2" w:rsidRDefault="005148EA" w:rsidP="00BF0434">
            <w:pPr>
              <w:jc w:val="center"/>
              <w:rPr>
                <w:noProof/>
                <w:sz w:val="18"/>
              </w:rPr>
            </w:pPr>
            <w:r w:rsidRPr="008B4DA2">
              <w:rPr>
                <w:noProof/>
                <w:sz w:val="18"/>
              </w:rPr>
              <w:t>Wpływ wniosku/inicjatywy</w:t>
            </w:r>
            <w:r w:rsidRPr="008B4DA2">
              <w:rPr>
                <w:rStyle w:val="FootnoteReference"/>
                <w:noProof/>
              </w:rPr>
              <w:footnoteReference w:id="91"/>
            </w:r>
          </w:p>
        </w:tc>
      </w:tr>
      <w:tr w:rsidR="004E303B" w:rsidRPr="008B4DA2" w:rsidTr="00BF0434">
        <w:trPr>
          <w:trHeight w:val="388"/>
        </w:trPr>
        <w:tc>
          <w:tcPr>
            <w:tcW w:w="2144" w:type="dxa"/>
            <w:vMerge/>
          </w:tcPr>
          <w:p w:rsidR="005148EA" w:rsidRPr="008B4DA2" w:rsidRDefault="005148EA" w:rsidP="00BF0434">
            <w:pPr>
              <w:spacing w:before="40" w:after="40"/>
              <w:rPr>
                <w:noProof/>
                <w:sz w:val="18"/>
              </w:rPr>
            </w:pPr>
          </w:p>
        </w:tc>
        <w:tc>
          <w:tcPr>
            <w:tcW w:w="1325" w:type="dxa"/>
            <w:vMerge/>
          </w:tcPr>
          <w:p w:rsidR="005148EA" w:rsidRPr="008B4DA2" w:rsidRDefault="005148EA" w:rsidP="00BF0434">
            <w:pPr>
              <w:spacing w:beforeLines="40" w:before="96" w:afterLines="40" w:after="96"/>
              <w:rPr>
                <w:i/>
                <w:noProof/>
                <w:sz w:val="18"/>
              </w:rPr>
            </w:pPr>
          </w:p>
        </w:tc>
        <w:tc>
          <w:tcPr>
            <w:tcW w:w="1031" w:type="dxa"/>
            <w:vAlign w:val="center"/>
          </w:tcPr>
          <w:p w:rsidR="005148EA" w:rsidRPr="008B4DA2" w:rsidRDefault="005148EA" w:rsidP="00BF0434">
            <w:pPr>
              <w:jc w:val="center"/>
              <w:rPr>
                <w:noProof/>
                <w:sz w:val="18"/>
              </w:rPr>
            </w:pPr>
            <w:r w:rsidRPr="008B4DA2">
              <w:rPr>
                <w:noProof/>
                <w:sz w:val="18"/>
              </w:rPr>
              <w:t>Rok</w:t>
            </w:r>
            <w:r w:rsidRPr="008B4DA2">
              <w:rPr>
                <w:noProof/>
              </w:rPr>
              <w:t xml:space="preserve"> </w:t>
            </w:r>
            <w:r w:rsidRPr="008B4DA2">
              <w:rPr>
                <w:noProof/>
              </w:rPr>
              <w:br/>
            </w:r>
            <w:r w:rsidRPr="008B4DA2">
              <w:rPr>
                <w:b/>
                <w:noProof/>
                <w:sz w:val="18"/>
              </w:rPr>
              <w:t>N</w:t>
            </w:r>
          </w:p>
        </w:tc>
        <w:tc>
          <w:tcPr>
            <w:tcW w:w="900" w:type="dxa"/>
            <w:vAlign w:val="center"/>
          </w:tcPr>
          <w:p w:rsidR="005148EA" w:rsidRPr="008B4DA2" w:rsidRDefault="005148EA" w:rsidP="00BF0434">
            <w:pPr>
              <w:jc w:val="center"/>
              <w:rPr>
                <w:noProof/>
                <w:sz w:val="18"/>
              </w:rPr>
            </w:pPr>
            <w:r w:rsidRPr="008B4DA2">
              <w:rPr>
                <w:noProof/>
                <w:sz w:val="18"/>
              </w:rPr>
              <w:t>Rok</w:t>
            </w:r>
            <w:r w:rsidRPr="008B4DA2">
              <w:rPr>
                <w:noProof/>
              </w:rPr>
              <w:t xml:space="preserve"> </w:t>
            </w:r>
            <w:r w:rsidRPr="008B4DA2">
              <w:rPr>
                <w:noProof/>
              </w:rPr>
              <w:br/>
            </w:r>
            <w:r w:rsidRPr="008B4DA2">
              <w:rPr>
                <w:b/>
                <w:noProof/>
                <w:sz w:val="18"/>
              </w:rPr>
              <w:t>N+1</w:t>
            </w:r>
          </w:p>
        </w:tc>
        <w:tc>
          <w:tcPr>
            <w:tcW w:w="900" w:type="dxa"/>
            <w:vAlign w:val="center"/>
          </w:tcPr>
          <w:p w:rsidR="005148EA" w:rsidRPr="008B4DA2" w:rsidRDefault="005148EA" w:rsidP="00BF0434">
            <w:pPr>
              <w:jc w:val="center"/>
              <w:rPr>
                <w:noProof/>
                <w:sz w:val="18"/>
              </w:rPr>
            </w:pPr>
            <w:r w:rsidRPr="008B4DA2">
              <w:rPr>
                <w:noProof/>
                <w:sz w:val="18"/>
              </w:rPr>
              <w:t>Rok</w:t>
            </w:r>
            <w:r w:rsidRPr="008B4DA2">
              <w:rPr>
                <w:noProof/>
              </w:rPr>
              <w:t xml:space="preserve"> </w:t>
            </w:r>
            <w:r w:rsidRPr="008B4DA2">
              <w:rPr>
                <w:noProof/>
              </w:rPr>
              <w:br/>
            </w:r>
            <w:r w:rsidRPr="008B4DA2">
              <w:rPr>
                <w:b/>
                <w:noProof/>
                <w:sz w:val="18"/>
              </w:rPr>
              <w:t>N+2</w:t>
            </w:r>
          </w:p>
        </w:tc>
        <w:tc>
          <w:tcPr>
            <w:tcW w:w="1080" w:type="dxa"/>
            <w:vAlign w:val="center"/>
          </w:tcPr>
          <w:p w:rsidR="005148EA" w:rsidRPr="008B4DA2" w:rsidRDefault="005148EA" w:rsidP="00BF0434">
            <w:pPr>
              <w:jc w:val="center"/>
              <w:rPr>
                <w:noProof/>
                <w:sz w:val="18"/>
              </w:rPr>
            </w:pPr>
            <w:r w:rsidRPr="008B4DA2">
              <w:rPr>
                <w:noProof/>
                <w:sz w:val="18"/>
              </w:rPr>
              <w:t>Rok</w:t>
            </w:r>
            <w:r w:rsidRPr="008B4DA2">
              <w:rPr>
                <w:noProof/>
              </w:rPr>
              <w:t xml:space="preserve"> </w:t>
            </w:r>
            <w:r w:rsidRPr="008B4DA2">
              <w:rPr>
                <w:noProof/>
              </w:rPr>
              <w:br/>
            </w:r>
            <w:r w:rsidRPr="008B4DA2">
              <w:rPr>
                <w:b/>
                <w:noProof/>
                <w:sz w:val="18"/>
              </w:rPr>
              <w:t>N+3</w:t>
            </w:r>
          </w:p>
        </w:tc>
        <w:tc>
          <w:tcPr>
            <w:tcW w:w="3240" w:type="dxa"/>
            <w:gridSpan w:val="3"/>
            <w:vAlign w:val="center"/>
          </w:tcPr>
          <w:p w:rsidR="005148EA" w:rsidRPr="008B4DA2" w:rsidRDefault="005148EA" w:rsidP="00BF0434">
            <w:pPr>
              <w:jc w:val="center"/>
              <w:rPr>
                <w:b/>
                <w:noProof/>
                <w:sz w:val="18"/>
              </w:rPr>
            </w:pPr>
            <w:r w:rsidRPr="008B4DA2">
              <w:rPr>
                <w:noProof/>
                <w:sz w:val="18"/>
              </w:rPr>
              <w:t xml:space="preserve">Wprowadzić taką liczbę kolumn dla poszczególnych lat, jaka jest niezbędna, by odzwierciedlić cały okres wpływu (por. </w:t>
            </w:r>
            <w:r w:rsidRPr="00B83C93">
              <w:rPr>
                <w:noProof/>
                <w:sz w:val="18"/>
              </w:rPr>
              <w:t>pkt</w:t>
            </w:r>
            <w:r w:rsidR="00B83C93" w:rsidRPr="00B83C93">
              <w:rPr>
                <w:noProof/>
                <w:sz w:val="18"/>
              </w:rPr>
              <w:t> </w:t>
            </w:r>
            <w:r w:rsidRPr="00B83C93">
              <w:rPr>
                <w:noProof/>
                <w:sz w:val="18"/>
              </w:rPr>
              <w:t>1</w:t>
            </w:r>
            <w:r w:rsidRPr="008B4DA2">
              <w:rPr>
                <w:noProof/>
                <w:sz w:val="18"/>
              </w:rPr>
              <w:t>.6)</w:t>
            </w:r>
          </w:p>
        </w:tc>
      </w:tr>
      <w:tr w:rsidR="00517853" w:rsidRPr="008B4DA2" w:rsidTr="00BF0434">
        <w:trPr>
          <w:trHeight w:val="388"/>
        </w:trPr>
        <w:tc>
          <w:tcPr>
            <w:tcW w:w="2144" w:type="dxa"/>
            <w:vAlign w:val="center"/>
          </w:tcPr>
          <w:p w:rsidR="005148EA" w:rsidRPr="008B4DA2" w:rsidRDefault="005148EA" w:rsidP="00BF0434">
            <w:pPr>
              <w:spacing w:before="40" w:after="40"/>
              <w:rPr>
                <w:noProof/>
                <w:sz w:val="18"/>
              </w:rPr>
            </w:pPr>
            <w:r w:rsidRPr="008B4DA2">
              <w:rPr>
                <w:noProof/>
                <w:sz w:val="18"/>
              </w:rPr>
              <w:t>Artykuł …</w:t>
            </w:r>
          </w:p>
        </w:tc>
        <w:tc>
          <w:tcPr>
            <w:tcW w:w="1325" w:type="dxa"/>
          </w:tcPr>
          <w:p w:rsidR="005148EA" w:rsidRPr="008B4DA2" w:rsidRDefault="005148EA" w:rsidP="00BF0434">
            <w:pPr>
              <w:spacing w:beforeLines="40" w:before="96" w:afterLines="40" w:after="96"/>
              <w:jc w:val="center"/>
              <w:rPr>
                <w:i/>
                <w:noProof/>
                <w:sz w:val="18"/>
              </w:rPr>
            </w:pPr>
          </w:p>
        </w:tc>
        <w:tc>
          <w:tcPr>
            <w:tcW w:w="1031" w:type="dxa"/>
          </w:tcPr>
          <w:p w:rsidR="005148EA" w:rsidRPr="008B4DA2" w:rsidRDefault="005148EA" w:rsidP="00BF0434">
            <w:pPr>
              <w:spacing w:beforeLines="40" w:before="96" w:afterLines="40" w:after="96"/>
              <w:jc w:val="center"/>
              <w:rPr>
                <w:noProof/>
                <w:sz w:val="18"/>
              </w:rPr>
            </w:pPr>
          </w:p>
        </w:tc>
        <w:tc>
          <w:tcPr>
            <w:tcW w:w="900" w:type="dxa"/>
          </w:tcPr>
          <w:p w:rsidR="005148EA" w:rsidRPr="008B4DA2" w:rsidRDefault="005148EA" w:rsidP="00BF0434">
            <w:pPr>
              <w:spacing w:beforeLines="40" w:before="96" w:afterLines="40" w:after="96"/>
              <w:jc w:val="center"/>
              <w:rPr>
                <w:noProof/>
                <w:sz w:val="18"/>
              </w:rPr>
            </w:pPr>
          </w:p>
        </w:tc>
        <w:tc>
          <w:tcPr>
            <w:tcW w:w="900" w:type="dxa"/>
          </w:tcPr>
          <w:p w:rsidR="005148EA" w:rsidRPr="008B4DA2" w:rsidRDefault="005148EA" w:rsidP="00BF0434">
            <w:pPr>
              <w:spacing w:beforeLines="40" w:before="96" w:afterLines="40" w:after="96"/>
              <w:jc w:val="center"/>
              <w:rPr>
                <w:noProof/>
                <w:sz w:val="18"/>
              </w:rPr>
            </w:pPr>
          </w:p>
        </w:tc>
        <w:tc>
          <w:tcPr>
            <w:tcW w:w="1080" w:type="dxa"/>
          </w:tcPr>
          <w:p w:rsidR="005148EA" w:rsidRPr="008B4DA2" w:rsidRDefault="005148EA" w:rsidP="00BF0434">
            <w:pPr>
              <w:spacing w:beforeLines="40" w:before="96" w:afterLines="40" w:after="96"/>
              <w:jc w:val="center"/>
              <w:rPr>
                <w:noProof/>
                <w:sz w:val="18"/>
              </w:rPr>
            </w:pPr>
          </w:p>
        </w:tc>
        <w:tc>
          <w:tcPr>
            <w:tcW w:w="1080" w:type="dxa"/>
          </w:tcPr>
          <w:p w:rsidR="005148EA" w:rsidRPr="008B4DA2" w:rsidRDefault="005148EA" w:rsidP="00BF0434">
            <w:pPr>
              <w:spacing w:beforeLines="40" w:before="96" w:afterLines="40" w:after="96"/>
              <w:jc w:val="center"/>
              <w:rPr>
                <w:noProof/>
                <w:sz w:val="18"/>
              </w:rPr>
            </w:pPr>
          </w:p>
        </w:tc>
        <w:tc>
          <w:tcPr>
            <w:tcW w:w="1080" w:type="dxa"/>
          </w:tcPr>
          <w:p w:rsidR="005148EA" w:rsidRPr="008B4DA2" w:rsidRDefault="005148EA" w:rsidP="00BF0434">
            <w:pPr>
              <w:spacing w:beforeLines="40" w:before="96" w:afterLines="40" w:after="96"/>
              <w:jc w:val="center"/>
              <w:rPr>
                <w:noProof/>
                <w:sz w:val="18"/>
              </w:rPr>
            </w:pPr>
          </w:p>
        </w:tc>
        <w:tc>
          <w:tcPr>
            <w:tcW w:w="1080" w:type="dxa"/>
          </w:tcPr>
          <w:p w:rsidR="005148EA" w:rsidRPr="008B4DA2" w:rsidRDefault="005148EA" w:rsidP="00BF0434">
            <w:pPr>
              <w:spacing w:beforeLines="40" w:before="96" w:afterLines="40" w:after="96"/>
              <w:jc w:val="center"/>
              <w:rPr>
                <w:noProof/>
                <w:sz w:val="18"/>
              </w:rPr>
            </w:pPr>
          </w:p>
        </w:tc>
      </w:tr>
    </w:tbl>
    <w:p w:rsidR="005148EA" w:rsidRPr="008B4DA2" w:rsidRDefault="005148EA" w:rsidP="005148EA">
      <w:pPr>
        <w:pStyle w:val="Text1"/>
        <w:rPr>
          <w:noProof/>
          <w:sz w:val="20"/>
        </w:rPr>
      </w:pPr>
      <w:r w:rsidRPr="008B4DA2">
        <w:rPr>
          <w:noProof/>
          <w:sz w:val="20"/>
        </w:rPr>
        <w:t>W przypadku wpływu na dochody przeznaczone na określony cel należy wskazać linie budżetowe po stronie wydatków, które ten wpływ obejmie.</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p>
    <w:p w:rsidR="005148EA" w:rsidRPr="008B4DA2" w:rsidRDefault="005148EA" w:rsidP="005148EA">
      <w:pPr>
        <w:pStyle w:val="Text1"/>
        <w:rPr>
          <w:noProof/>
          <w:sz w:val="20"/>
        </w:rPr>
      </w:pPr>
      <w:r w:rsidRPr="008B4DA2">
        <w:rPr>
          <w:noProof/>
          <w:sz w:val="20"/>
        </w:rPr>
        <w:t>Pozostałe uwagi (np. metoda/wzór użyte do obliczenia wpływu na dochody albo inne informacje).</w:t>
      </w:r>
    </w:p>
    <w:p w:rsidR="005148EA" w:rsidRPr="008B4DA2" w:rsidRDefault="005148EA" w:rsidP="005148EA">
      <w:pPr>
        <w:pStyle w:val="Text1"/>
        <w:pBdr>
          <w:top w:val="single" w:sz="4" w:space="1" w:color="auto"/>
          <w:left w:val="single" w:sz="4" w:space="4" w:color="auto"/>
          <w:bottom w:val="single" w:sz="4" w:space="1" w:color="auto"/>
          <w:right w:val="single" w:sz="4" w:space="4" w:color="auto"/>
        </w:pBdr>
        <w:rPr>
          <w:noProof/>
        </w:rPr>
      </w:pPr>
    </w:p>
    <w:p w:rsidR="005148EA" w:rsidRPr="008B4DA2" w:rsidRDefault="005148EA" w:rsidP="005148EA">
      <w:pPr>
        <w:rPr>
          <w:noProof/>
        </w:rPr>
      </w:pPr>
    </w:p>
    <w:bookmarkEnd w:id="10"/>
    <w:bookmarkEnd w:id="11"/>
    <w:p w:rsidR="000C2036" w:rsidRPr="008B4DA2" w:rsidRDefault="000C2036" w:rsidP="000C2036">
      <w:pPr>
        <w:rPr>
          <w:noProof/>
        </w:rPr>
      </w:pPr>
    </w:p>
    <w:sectPr w:rsidR="000C2036" w:rsidRPr="008B4DA2" w:rsidSect="00D32FD5">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437" w:rsidRDefault="00C24437" w:rsidP="00DC2CA2">
      <w:pPr>
        <w:spacing w:before="0" w:after="0"/>
      </w:pPr>
      <w:r>
        <w:separator/>
      </w:r>
    </w:p>
  </w:endnote>
  <w:endnote w:type="continuationSeparator" w:id="0">
    <w:p w:rsidR="00C24437" w:rsidRDefault="00C24437" w:rsidP="00DC2CA2">
      <w:pPr>
        <w:spacing w:before="0" w:after="0"/>
      </w:pPr>
      <w:r>
        <w:continuationSeparator/>
      </w:r>
    </w:p>
  </w:endnote>
  <w:endnote w:type="continuationNotice" w:id="1">
    <w:p w:rsidR="00C24437" w:rsidRDefault="00C244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B9" w:rsidRPr="00D32FD5" w:rsidRDefault="00D32FD5" w:rsidP="00D32FD5">
    <w:pPr>
      <w:pStyle w:val="Footer"/>
      <w:rPr>
        <w:rFonts w:ascii="Arial" w:hAnsi="Arial" w:cs="Arial"/>
        <w:b/>
        <w:sz w:val="48"/>
      </w:rPr>
    </w:pPr>
    <w:r w:rsidRPr="00D32FD5">
      <w:rPr>
        <w:rFonts w:ascii="Arial" w:hAnsi="Arial" w:cs="Arial"/>
        <w:b/>
        <w:sz w:val="48"/>
      </w:rPr>
      <w:t>PL</w:t>
    </w:r>
    <w:r w:rsidRPr="00D32FD5">
      <w:rPr>
        <w:rFonts w:ascii="Arial" w:hAnsi="Arial" w:cs="Arial"/>
        <w:b/>
        <w:sz w:val="48"/>
      </w:rPr>
      <w:tab/>
    </w:r>
    <w:r w:rsidRPr="00D32FD5">
      <w:rPr>
        <w:rFonts w:ascii="Arial" w:hAnsi="Arial" w:cs="Arial"/>
        <w:b/>
        <w:sz w:val="48"/>
      </w:rPr>
      <w:tab/>
    </w:r>
    <w:r w:rsidRPr="00D32FD5">
      <w:tab/>
    </w:r>
    <w:r w:rsidRPr="00D32FD5">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D5" w:rsidRPr="00D32FD5" w:rsidRDefault="00D32FD5" w:rsidP="00D32FD5">
    <w:pPr>
      <w:pStyle w:val="Footer"/>
      <w:rPr>
        <w:rFonts w:ascii="Arial" w:hAnsi="Arial" w:cs="Arial"/>
        <w:b/>
        <w:sz w:val="48"/>
      </w:rPr>
    </w:pPr>
    <w:r w:rsidRPr="00D32FD5">
      <w:rPr>
        <w:rFonts w:ascii="Arial" w:hAnsi="Arial" w:cs="Arial"/>
        <w:b/>
        <w:sz w:val="48"/>
      </w:rPr>
      <w:t>PL</w:t>
    </w:r>
    <w:r w:rsidRPr="00D32FD5">
      <w:rPr>
        <w:rFonts w:ascii="Arial" w:hAnsi="Arial" w:cs="Arial"/>
        <w:b/>
        <w:sz w:val="48"/>
      </w:rPr>
      <w:tab/>
    </w:r>
    <w:r>
      <w:fldChar w:fldCharType="begin"/>
    </w:r>
    <w:r>
      <w:instrText xml:space="preserve"> PAGE  \* MERGEFORMAT </w:instrText>
    </w:r>
    <w:r>
      <w:fldChar w:fldCharType="separate"/>
    </w:r>
    <w:r w:rsidR="00ED0EE5">
      <w:rPr>
        <w:noProof/>
      </w:rPr>
      <w:t>50</w:t>
    </w:r>
    <w:r>
      <w:fldChar w:fldCharType="end"/>
    </w:r>
    <w:r>
      <w:tab/>
    </w:r>
    <w:r w:rsidRPr="00D32FD5">
      <w:tab/>
    </w:r>
    <w:r w:rsidRPr="00D32FD5">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D5" w:rsidRPr="00D32FD5" w:rsidRDefault="00D32FD5" w:rsidP="00D32F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D5" w:rsidRPr="00D32FD5" w:rsidRDefault="00D32FD5" w:rsidP="00D32FD5">
    <w:pPr>
      <w:pStyle w:val="FooterLandscape"/>
      <w:rPr>
        <w:rFonts w:ascii="Arial" w:hAnsi="Arial" w:cs="Arial"/>
        <w:b/>
        <w:sz w:val="48"/>
      </w:rPr>
    </w:pPr>
    <w:r w:rsidRPr="00D32FD5">
      <w:rPr>
        <w:rFonts w:ascii="Arial" w:hAnsi="Arial" w:cs="Arial"/>
        <w:b/>
        <w:sz w:val="48"/>
      </w:rPr>
      <w:t>PL</w:t>
    </w:r>
    <w:r w:rsidRPr="00D32FD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32FD5">
      <w:tab/>
    </w:r>
    <w:r w:rsidRPr="00D32FD5">
      <w:rPr>
        <w:rFonts w:ascii="Arial" w:hAnsi="Arial" w:cs="Arial"/>
        <w:b/>
        <w:sz w:val="48"/>
      </w:rPr>
      <w:t>PL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D5" w:rsidRPr="00D32FD5" w:rsidRDefault="00D32FD5" w:rsidP="00D32FD5">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437" w:rsidRPr="00D32FD5" w:rsidRDefault="00D32FD5" w:rsidP="00D32FD5">
    <w:pPr>
      <w:pStyle w:val="Footer"/>
      <w:rPr>
        <w:rFonts w:ascii="Arial" w:hAnsi="Arial" w:cs="Arial"/>
        <w:b/>
        <w:sz w:val="48"/>
      </w:rPr>
    </w:pPr>
    <w:r w:rsidRPr="00D32FD5">
      <w:rPr>
        <w:rFonts w:ascii="Arial" w:hAnsi="Arial" w:cs="Arial"/>
        <w:b/>
        <w:sz w:val="48"/>
      </w:rPr>
      <w:t>PL</w:t>
    </w:r>
    <w:r w:rsidRPr="00D32FD5">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D32FD5">
      <w:tab/>
    </w:r>
    <w:r w:rsidRPr="00D32FD5">
      <w:rPr>
        <w:rFonts w:ascii="Arial" w:hAnsi="Arial" w:cs="Arial"/>
        <w:b/>
        <w:sz w:val="48"/>
      </w:rPr>
      <w:t>PL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D5" w:rsidRPr="00D32FD5" w:rsidRDefault="00D32FD5" w:rsidP="00D32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437" w:rsidRDefault="00C24437" w:rsidP="00DC2CA2">
      <w:pPr>
        <w:spacing w:before="0" w:after="0"/>
      </w:pPr>
      <w:r>
        <w:separator/>
      </w:r>
    </w:p>
  </w:footnote>
  <w:footnote w:type="continuationSeparator" w:id="0">
    <w:p w:rsidR="00C24437" w:rsidRDefault="00C24437" w:rsidP="00DC2CA2">
      <w:pPr>
        <w:spacing w:before="0" w:after="0"/>
      </w:pPr>
      <w:r>
        <w:continuationSeparator/>
      </w:r>
    </w:p>
  </w:footnote>
  <w:footnote w:type="continuationNotice" w:id="1">
    <w:p w:rsidR="00C24437" w:rsidRDefault="00C24437">
      <w:pPr>
        <w:spacing w:before="0" w:after="0"/>
      </w:pPr>
    </w:p>
  </w:footnote>
  <w:footnote w:id="2">
    <w:p w:rsidR="00C24437" w:rsidRPr="008B4DA2" w:rsidRDefault="00C24437" w:rsidP="00BD67F9">
      <w:pPr>
        <w:pStyle w:val="FootnoteText"/>
        <w:rPr>
          <w:lang w:val="fr-BE"/>
        </w:rPr>
      </w:pPr>
      <w:r>
        <w:rPr>
          <w:rStyle w:val="FootnoteReference"/>
        </w:rPr>
        <w:footnoteRef/>
      </w:r>
      <w:r w:rsidRPr="008B4DA2">
        <w:rPr>
          <w:lang w:val="fr-BE"/>
        </w:rPr>
        <w:tab/>
        <w:t>Dz.U. L 375</w:t>
      </w:r>
      <w:r w:rsidR="00B83C93" w:rsidRPr="008B4DA2">
        <w:rPr>
          <w:lang w:val="fr-BE"/>
        </w:rPr>
        <w:t xml:space="preserve"> z</w:t>
      </w:r>
      <w:r w:rsidR="00B83C93">
        <w:rPr>
          <w:lang w:val="fr-BE"/>
        </w:rPr>
        <w:t> </w:t>
      </w:r>
      <w:r w:rsidR="00B83C93" w:rsidRPr="008B4DA2">
        <w:rPr>
          <w:lang w:val="fr-BE"/>
        </w:rPr>
        <w:t>3</w:t>
      </w:r>
      <w:r w:rsidRPr="008B4DA2">
        <w:rPr>
          <w:lang w:val="fr-BE"/>
        </w:rPr>
        <w:t xml:space="preserve">1.12.1980, s. 1. </w:t>
      </w:r>
      <w:hyperlink r:id="rId1" w:history="1">
        <w:r w:rsidRPr="008B4DA2">
          <w:rPr>
            <w:rStyle w:val="Hyperlink"/>
            <w:lang w:val="fr-BE"/>
          </w:rPr>
          <w:t>EUR-Lex - 31980L1263 - EN - EUR-Lex (europa.eu)</w:t>
        </w:r>
      </w:hyperlink>
    </w:p>
  </w:footnote>
  <w:footnote w:id="3">
    <w:p w:rsidR="00C24437" w:rsidRPr="008B4DA2" w:rsidRDefault="00C24437" w:rsidP="00BD67F9">
      <w:pPr>
        <w:pStyle w:val="FootnoteText"/>
        <w:rPr>
          <w:lang w:val="fr-BE"/>
        </w:rPr>
      </w:pPr>
      <w:r>
        <w:rPr>
          <w:rStyle w:val="FootnoteReference"/>
        </w:rPr>
        <w:footnoteRef/>
      </w:r>
      <w:r w:rsidRPr="008B4DA2">
        <w:rPr>
          <w:lang w:val="fr-BE"/>
        </w:rPr>
        <w:tab/>
        <w:t>Dz.U. L 237</w:t>
      </w:r>
      <w:r w:rsidR="00B83C93" w:rsidRPr="008B4DA2">
        <w:rPr>
          <w:lang w:val="fr-BE"/>
        </w:rPr>
        <w:t xml:space="preserve"> z</w:t>
      </w:r>
      <w:r w:rsidR="00B83C93">
        <w:rPr>
          <w:lang w:val="fr-BE"/>
        </w:rPr>
        <w:t> </w:t>
      </w:r>
      <w:r w:rsidR="00B83C93" w:rsidRPr="008B4DA2">
        <w:rPr>
          <w:lang w:val="fr-BE"/>
        </w:rPr>
        <w:t>2</w:t>
      </w:r>
      <w:r w:rsidRPr="008B4DA2">
        <w:rPr>
          <w:lang w:val="fr-BE"/>
        </w:rPr>
        <w:t xml:space="preserve">4.8.1991, s. 1. </w:t>
      </w:r>
      <w:hyperlink r:id="rId2" w:history="1">
        <w:r w:rsidRPr="008B4DA2">
          <w:rPr>
            <w:rStyle w:val="Hyperlink"/>
            <w:lang w:val="fr-BE"/>
          </w:rPr>
          <w:t>EUR-Lex - 31991L0439 - EN - EUR-Lex (europa.eu)</w:t>
        </w:r>
      </w:hyperlink>
    </w:p>
  </w:footnote>
  <w:footnote w:id="4">
    <w:p w:rsidR="00C24437" w:rsidRPr="008B4DA2" w:rsidRDefault="00C24437" w:rsidP="00BD67F9">
      <w:pPr>
        <w:pStyle w:val="FootnoteText"/>
        <w:rPr>
          <w:lang w:val="fr-BE"/>
        </w:rPr>
      </w:pPr>
      <w:r>
        <w:rPr>
          <w:rStyle w:val="FootnoteReference"/>
        </w:rPr>
        <w:footnoteRef/>
      </w:r>
      <w:r w:rsidRPr="008B4DA2">
        <w:rPr>
          <w:lang w:val="fr-BE"/>
        </w:rPr>
        <w:tab/>
        <w:t>Dz.U. L 403</w:t>
      </w:r>
      <w:r w:rsidR="00B83C93" w:rsidRPr="008B4DA2">
        <w:rPr>
          <w:lang w:val="fr-BE"/>
        </w:rPr>
        <w:t xml:space="preserve"> z</w:t>
      </w:r>
      <w:r w:rsidR="00B83C93">
        <w:rPr>
          <w:lang w:val="fr-BE"/>
        </w:rPr>
        <w:t> </w:t>
      </w:r>
      <w:r w:rsidR="00B83C93" w:rsidRPr="008B4DA2">
        <w:rPr>
          <w:lang w:val="fr-BE"/>
        </w:rPr>
        <w:t>3</w:t>
      </w:r>
      <w:r w:rsidRPr="008B4DA2">
        <w:rPr>
          <w:lang w:val="fr-BE"/>
        </w:rPr>
        <w:t xml:space="preserve">0.12.2006, s. 18. </w:t>
      </w:r>
      <w:hyperlink r:id="rId3" w:history="1">
        <w:r w:rsidRPr="008B4DA2">
          <w:rPr>
            <w:rStyle w:val="Hyperlink"/>
            <w:lang w:val="fr-BE"/>
          </w:rPr>
          <w:t>EUR-Lex - 02006L0126-20201101 - EN - EUR-Lex (europa.eu)</w:t>
        </w:r>
      </w:hyperlink>
    </w:p>
  </w:footnote>
  <w:footnote w:id="5">
    <w:p w:rsidR="00C24437" w:rsidRPr="008B4DA2" w:rsidRDefault="00C24437" w:rsidP="00BD67F9">
      <w:pPr>
        <w:pStyle w:val="FootnoteText"/>
      </w:pPr>
      <w:r>
        <w:rPr>
          <w:rStyle w:val="FootnoteReference"/>
        </w:rPr>
        <w:footnoteRef/>
      </w:r>
      <w:r w:rsidRPr="008B4DA2">
        <w:tab/>
        <w:t>W pierwszej dyrektywie</w:t>
      </w:r>
      <w:r w:rsidR="00B83C93" w:rsidRPr="008B4DA2">
        <w:t xml:space="preserve"> w</w:t>
      </w:r>
      <w:r w:rsidR="00B83C93">
        <w:t> </w:t>
      </w:r>
      <w:r w:rsidR="00B83C93" w:rsidRPr="008B4DA2">
        <w:t>spr</w:t>
      </w:r>
      <w:r w:rsidRPr="008B4DA2">
        <w:t>awie praw jazdy (dyrektywa 80/1263/EWG) wprowadzono pierwszy w UE zestaw przepisów dotyczących harmonizacji krajowych systemów praw jazdy,</w:t>
      </w:r>
      <w:r w:rsidR="00B83C93" w:rsidRPr="008B4DA2">
        <w:t xml:space="preserve"> w</w:t>
      </w:r>
      <w:r w:rsidR="00B83C93">
        <w:t> </w:t>
      </w:r>
      <w:r w:rsidR="00B83C93" w:rsidRPr="008B4DA2">
        <w:t>szc</w:t>
      </w:r>
      <w:r w:rsidRPr="008B4DA2">
        <w:t>zególności</w:t>
      </w:r>
      <w:r w:rsidR="00B83C93" w:rsidRPr="008B4DA2">
        <w:t xml:space="preserve"> w</w:t>
      </w:r>
      <w:r w:rsidR="00B83C93">
        <w:t> </w:t>
      </w:r>
      <w:r w:rsidR="00B83C93" w:rsidRPr="008B4DA2">
        <w:t>dro</w:t>
      </w:r>
      <w:r w:rsidRPr="008B4DA2">
        <w:t>dze wprowadzenia wspólnotowego wzoru prawa jazdy, wstępnego zdefiniowania kategorii pojazdów oraz określenia warunków, na jakich prawa jazdy mogą być wydawane lub wymieniane</w:t>
      </w:r>
      <w:r w:rsidR="00B83C93" w:rsidRPr="008B4DA2">
        <w:t xml:space="preserve"> w</w:t>
      </w:r>
      <w:r w:rsidR="00B83C93">
        <w:t> </w:t>
      </w:r>
      <w:r w:rsidR="00B83C93" w:rsidRPr="008B4DA2">
        <w:t>cał</w:t>
      </w:r>
      <w:r w:rsidRPr="008B4DA2">
        <w:t>ej UE. Przepisy te dopracowano</w:t>
      </w:r>
      <w:r w:rsidR="00B83C93" w:rsidRPr="008B4DA2">
        <w:t xml:space="preserve"> i</w:t>
      </w:r>
      <w:r w:rsidR="00B83C93">
        <w:t> </w:t>
      </w:r>
      <w:r w:rsidR="00B83C93" w:rsidRPr="008B4DA2">
        <w:t>roz</w:t>
      </w:r>
      <w:r w:rsidRPr="008B4DA2">
        <w:t>szerzono</w:t>
      </w:r>
      <w:r w:rsidR="00B83C93" w:rsidRPr="008B4DA2">
        <w:t xml:space="preserve"> w</w:t>
      </w:r>
      <w:r w:rsidR="00B83C93">
        <w:t> </w:t>
      </w:r>
      <w:r w:rsidR="00B83C93" w:rsidRPr="008B4DA2">
        <w:t>dru</w:t>
      </w:r>
      <w:r w:rsidRPr="008B4DA2">
        <w:t>giej dyrektywie</w:t>
      </w:r>
      <w:r w:rsidR="00B83C93" w:rsidRPr="008B4DA2">
        <w:t xml:space="preserve"> w</w:t>
      </w:r>
      <w:r w:rsidR="00B83C93">
        <w:t> </w:t>
      </w:r>
      <w:r w:rsidR="00B83C93" w:rsidRPr="008B4DA2">
        <w:t>spr</w:t>
      </w:r>
      <w:r w:rsidRPr="008B4DA2">
        <w:t>awie praw jazdy (dyrektywa 91/439/EWG). Co najważniejsze, ustanowiono wzajemne uznawanie praw jazdy wydawanych przez państwa członkowskie oraz wprowadzono wymogi</w:t>
      </w:r>
      <w:r w:rsidR="00B83C93" w:rsidRPr="008B4DA2">
        <w:t xml:space="preserve"> w</w:t>
      </w:r>
      <w:r w:rsidR="00B83C93">
        <w:t> </w:t>
      </w:r>
      <w:r w:rsidR="00B83C93" w:rsidRPr="008B4DA2">
        <w:t>zak</w:t>
      </w:r>
      <w:r w:rsidRPr="008B4DA2">
        <w:t>resie dolnej granicy wieku warunkującej możliwość uzyskania prawa jazdy. Trzecią dyrektywę</w:t>
      </w:r>
      <w:r w:rsidR="00B83C93" w:rsidRPr="008B4DA2">
        <w:t xml:space="preserve"> w</w:t>
      </w:r>
      <w:r w:rsidR="00B83C93">
        <w:t> </w:t>
      </w:r>
      <w:r w:rsidR="00B83C93" w:rsidRPr="008B4DA2">
        <w:t>spr</w:t>
      </w:r>
      <w:r w:rsidRPr="008B4DA2">
        <w:t>awie praw jazdy (dyrektywa 2006/126/WE) zatwierdzono</w:t>
      </w:r>
      <w:r w:rsidR="00B83C93" w:rsidRPr="008B4DA2">
        <w:t xml:space="preserve"> w</w:t>
      </w:r>
      <w:r w:rsidR="00B83C93">
        <w:t> </w:t>
      </w:r>
      <w:r w:rsidR="00B83C93" w:rsidRPr="008B4DA2">
        <w:t>gru</w:t>
      </w:r>
      <w:r w:rsidRPr="008B4DA2">
        <w:t>dniu 20</w:t>
      </w:r>
      <w:r w:rsidRPr="00B83C93">
        <w:t>06</w:t>
      </w:r>
      <w:r w:rsidR="00B83C93" w:rsidRPr="00B83C93">
        <w:t> </w:t>
      </w:r>
      <w:r w:rsidRPr="00B83C93">
        <w:t>r.</w:t>
      </w:r>
      <w:r w:rsidRPr="008B4DA2">
        <w:t>,</w:t>
      </w:r>
      <w:r w:rsidR="00B83C93" w:rsidRPr="008B4DA2">
        <w:t xml:space="preserve"> a</w:t>
      </w:r>
      <w:r w:rsidR="00B83C93">
        <w:t> </w:t>
      </w:r>
      <w:r w:rsidR="00B83C93" w:rsidRPr="008B4DA2">
        <w:t>w</w:t>
      </w:r>
      <w:r w:rsidR="00B83C93">
        <w:t> </w:t>
      </w:r>
      <w:r w:rsidR="00B83C93" w:rsidRPr="008B4DA2">
        <w:t>lat</w:t>
      </w:r>
      <w:r w:rsidRPr="008B4DA2">
        <w:t>ach 2009–2020 była ona zmieniana jedenaście razy, głównie</w:t>
      </w:r>
      <w:r w:rsidR="00B83C93" w:rsidRPr="008B4DA2">
        <w:t xml:space="preserve"> w</w:t>
      </w:r>
      <w:r w:rsidR="00B83C93">
        <w:t> </w:t>
      </w:r>
      <w:r w:rsidR="00B83C93" w:rsidRPr="008B4DA2">
        <w:t>cel</w:t>
      </w:r>
      <w:r w:rsidRPr="008B4DA2">
        <w:t>u poprawy harmonizacji wspólnych norm</w:t>
      </w:r>
      <w:r w:rsidR="00B83C93" w:rsidRPr="008B4DA2">
        <w:t xml:space="preserve"> i</w:t>
      </w:r>
      <w:r w:rsidR="00B83C93">
        <w:t> </w:t>
      </w:r>
      <w:r w:rsidR="00B83C93" w:rsidRPr="008B4DA2">
        <w:t>wym</w:t>
      </w:r>
      <w:r w:rsidRPr="008B4DA2">
        <w:t>ogów,</w:t>
      </w:r>
      <w:r w:rsidR="00B83C93" w:rsidRPr="008B4DA2">
        <w:t xml:space="preserve"> a</w:t>
      </w:r>
      <w:r w:rsidR="00B83C93">
        <w:t> </w:t>
      </w:r>
      <w:r w:rsidR="00B83C93" w:rsidRPr="008B4DA2">
        <w:t>tak</w:t>
      </w:r>
      <w:r w:rsidRPr="008B4DA2">
        <w:t>że dostosowania jej do rozwoju technologicznego.</w:t>
      </w:r>
    </w:p>
  </w:footnote>
  <w:footnote w:id="6">
    <w:p w:rsidR="00C24437" w:rsidRPr="008B4DA2" w:rsidRDefault="00C24437" w:rsidP="00BD67F9">
      <w:pPr>
        <w:pStyle w:val="FootnoteText"/>
      </w:pPr>
      <w:r>
        <w:rPr>
          <w:rStyle w:val="FootnoteReference"/>
        </w:rPr>
        <w:footnoteRef/>
      </w:r>
      <w:r w:rsidRPr="008B4DA2">
        <w:tab/>
        <w:t xml:space="preserve">Zob.: </w:t>
      </w:r>
      <w:r w:rsidRPr="008B4DA2">
        <w:br/>
      </w:r>
      <w:hyperlink r:id="rId4" w:history="1">
        <w:r w:rsidRPr="008B4DA2">
          <w:rPr>
            <w:rStyle w:val="Hyperlink"/>
          </w:rPr>
          <w:t>https://eumos.eu/wp-content/uploads/2017/07/Valletta_Declaration_on_Improving_Road_Safety.pdf</w:t>
        </w:r>
      </w:hyperlink>
      <w:r w:rsidRPr="008B4DA2">
        <w:t>;</w:t>
      </w:r>
      <w:r w:rsidR="00B83C93" w:rsidRPr="008B4DA2">
        <w:t xml:space="preserve"> w</w:t>
      </w:r>
      <w:r w:rsidR="00B83C93">
        <w:t> </w:t>
      </w:r>
      <w:r w:rsidR="00B83C93" w:rsidRPr="008B4DA2">
        <w:t>cze</w:t>
      </w:r>
      <w:r w:rsidRPr="008B4DA2">
        <w:t>rwcu 20</w:t>
      </w:r>
      <w:r w:rsidRPr="00B83C93">
        <w:t>17</w:t>
      </w:r>
      <w:r w:rsidR="00B83C93" w:rsidRPr="00B83C93">
        <w:t> </w:t>
      </w:r>
      <w:r w:rsidRPr="00B83C93">
        <w:t>r.</w:t>
      </w:r>
      <w:r w:rsidRPr="008B4DA2">
        <w:t xml:space="preserve"> Rada przyjęła konkluzje</w:t>
      </w:r>
      <w:r w:rsidR="00B83C93" w:rsidRPr="008B4DA2">
        <w:t xml:space="preserve"> w</w:t>
      </w:r>
      <w:r w:rsidR="00B83C93">
        <w:t> </w:t>
      </w:r>
      <w:r w:rsidR="00B83C93" w:rsidRPr="008B4DA2">
        <w:t>spr</w:t>
      </w:r>
      <w:r w:rsidRPr="008B4DA2">
        <w:t>awie bezpieczeństwa ruchu drogowego potwierdzające oświadczenie</w:t>
      </w:r>
      <w:r w:rsidR="00B83C93" w:rsidRPr="008B4DA2">
        <w:t xml:space="preserve"> z</w:t>
      </w:r>
      <w:r w:rsidR="00B83C93">
        <w:t> </w:t>
      </w:r>
      <w:r w:rsidR="00B83C93" w:rsidRPr="008B4DA2">
        <w:t>Val</w:t>
      </w:r>
      <w:r w:rsidRPr="008B4DA2">
        <w:t xml:space="preserve">letty (zob. </w:t>
      </w:r>
      <w:r w:rsidRPr="00B83C93">
        <w:t>dok.</w:t>
      </w:r>
      <w:r w:rsidR="00B83C93" w:rsidRPr="00B83C93">
        <w:t> </w:t>
      </w:r>
      <w:r w:rsidRPr="00B83C93">
        <w:t>9</w:t>
      </w:r>
      <w:r w:rsidRPr="008B4DA2">
        <w:t>994/17).</w:t>
      </w:r>
    </w:p>
  </w:footnote>
  <w:footnote w:id="7">
    <w:p w:rsidR="00C24437" w:rsidRPr="008B4DA2" w:rsidRDefault="00C24437" w:rsidP="00BD67F9">
      <w:pPr>
        <w:pStyle w:val="FootnoteText"/>
      </w:pPr>
      <w:r>
        <w:rPr>
          <w:rStyle w:val="FootnoteReference"/>
        </w:rPr>
        <w:footnoteRef/>
      </w:r>
      <w:r w:rsidRPr="008B4DA2">
        <w:tab/>
        <w:t>Załącznik I do COM(2018) 293 final (Europa</w:t>
      </w:r>
      <w:r w:rsidR="00B83C93" w:rsidRPr="008B4DA2">
        <w:t xml:space="preserve"> w</w:t>
      </w:r>
      <w:r w:rsidR="00B83C93">
        <w:t> </w:t>
      </w:r>
      <w:r w:rsidR="00B83C93" w:rsidRPr="008B4DA2">
        <w:t>ruc</w:t>
      </w:r>
      <w:r w:rsidRPr="008B4DA2">
        <w:t>hu. Zrównoważona mobilność dla Europy: bezpieczna, połączona</w:t>
      </w:r>
      <w:r w:rsidR="00B83C93" w:rsidRPr="008B4DA2">
        <w:t xml:space="preserve"> i</w:t>
      </w:r>
      <w:r w:rsidR="00B83C93">
        <w:t> </w:t>
      </w:r>
      <w:r w:rsidR="00B83C93" w:rsidRPr="008B4DA2">
        <w:t>eko</w:t>
      </w:r>
      <w:r w:rsidRPr="008B4DA2">
        <w:t xml:space="preserve">logiczna); </w:t>
      </w:r>
      <w:hyperlink r:id="rId5" w:history="1">
        <w:r w:rsidRPr="008B4DA2">
          <w:rPr>
            <w:rStyle w:val="Hyperlink"/>
          </w:rPr>
          <w:t>EUR-Lex - 52018DC0293 - EN - EUR-Lex (europa.eu)</w:t>
        </w:r>
      </w:hyperlink>
    </w:p>
  </w:footnote>
  <w:footnote w:id="8">
    <w:p w:rsidR="00C24437" w:rsidRPr="00DF5519" w:rsidRDefault="00C24437" w:rsidP="00BD67F9">
      <w:pPr>
        <w:pStyle w:val="FootnoteText"/>
        <w:rPr>
          <w:lang w:val="en-US"/>
        </w:rPr>
      </w:pPr>
      <w:r>
        <w:rPr>
          <w:rStyle w:val="FootnoteReference"/>
        </w:rPr>
        <w:footnoteRef/>
      </w:r>
      <w:r w:rsidRPr="00DF5519">
        <w:rPr>
          <w:lang w:val="en-US"/>
        </w:rPr>
        <w:tab/>
        <w:t xml:space="preserve">SWD(2019) 283 final. </w:t>
      </w:r>
      <w:hyperlink r:id="rId6" w:history="1">
        <w:r w:rsidRPr="00DF5519">
          <w:rPr>
            <w:rStyle w:val="Hyperlink"/>
            <w:lang w:val="en-US"/>
          </w:rPr>
          <w:t>https://transport.ec.europa.eu/system/files/2021-10/SWD2190283.pdf</w:t>
        </w:r>
      </w:hyperlink>
      <w:r w:rsidRPr="00DF5519">
        <w:rPr>
          <w:lang w:val="en-US"/>
        </w:rPr>
        <w:t xml:space="preserve"> </w:t>
      </w:r>
    </w:p>
  </w:footnote>
  <w:footnote w:id="9">
    <w:p w:rsidR="00C24437" w:rsidRPr="008B4DA2" w:rsidRDefault="00C24437" w:rsidP="00BD67F9">
      <w:pPr>
        <w:pStyle w:val="FootnoteText"/>
        <w:rPr>
          <w:lang w:val="fr-BE"/>
        </w:rPr>
      </w:pPr>
      <w:r>
        <w:rPr>
          <w:rStyle w:val="FootnoteReference"/>
        </w:rPr>
        <w:footnoteRef/>
      </w:r>
      <w:r w:rsidRPr="008B4DA2">
        <w:rPr>
          <w:lang w:val="fr-BE"/>
        </w:rPr>
        <w:tab/>
        <w:t xml:space="preserve">COM(2020) 789 final. </w:t>
      </w:r>
      <w:hyperlink r:id="rId7" w:history="1">
        <w:r w:rsidRPr="008B4DA2">
          <w:rPr>
            <w:rStyle w:val="Hyperlink"/>
            <w:lang w:val="fr-BE"/>
          </w:rPr>
          <w:t>EUR-Lex - 52020DC0789 - PL - EUR-Lex (europa.eu)</w:t>
        </w:r>
      </w:hyperlink>
    </w:p>
  </w:footnote>
  <w:footnote w:id="10">
    <w:p w:rsidR="00C24437" w:rsidRPr="008B4DA2" w:rsidRDefault="00C24437" w:rsidP="00BD67F9">
      <w:pPr>
        <w:pStyle w:val="FootnoteText"/>
      </w:pPr>
      <w:r>
        <w:rPr>
          <w:rStyle w:val="FootnoteReference"/>
        </w:rPr>
        <w:footnoteRef/>
      </w:r>
      <w:r w:rsidRPr="008B4DA2">
        <w:tab/>
        <w:t>P9_TA(2021)0407</w:t>
      </w:r>
      <w:r w:rsidR="00193E69">
        <w:t>.</w:t>
      </w:r>
      <w:r w:rsidRPr="008B4DA2">
        <w:t xml:space="preserve"> </w:t>
      </w:r>
      <w:hyperlink r:id="rId8" w:history="1">
        <w:r w:rsidRPr="008B4DA2">
          <w:rPr>
            <w:rStyle w:val="Hyperlink"/>
          </w:rPr>
          <w:t>https://www.europarl.europa.eu/doceo/document/TA-9-2021-0407_EN.pdf</w:t>
        </w:r>
      </w:hyperlink>
      <w:r w:rsidRPr="008B4DA2">
        <w:t xml:space="preserve"> </w:t>
      </w:r>
    </w:p>
  </w:footnote>
  <w:footnote w:id="11">
    <w:p w:rsidR="00C24437" w:rsidRPr="008B4DA2" w:rsidRDefault="00C24437" w:rsidP="00BD67F9">
      <w:pPr>
        <w:pStyle w:val="FootnoteText"/>
        <w:rPr>
          <w:lang w:val="fr-BE"/>
        </w:rPr>
      </w:pPr>
      <w:r>
        <w:rPr>
          <w:rStyle w:val="FootnoteReference"/>
        </w:rPr>
        <w:footnoteRef/>
      </w:r>
      <w:r w:rsidRPr="008B4DA2">
        <w:rPr>
          <w:lang w:val="fr-BE"/>
        </w:rPr>
        <w:tab/>
        <w:t xml:space="preserve">COM(2021) 645 final. </w:t>
      </w:r>
      <w:hyperlink r:id="rId9" w:history="1">
        <w:r w:rsidRPr="008B4DA2">
          <w:rPr>
            <w:rStyle w:val="Hyperlink"/>
            <w:lang w:val="fr-BE"/>
          </w:rPr>
          <w:t>EUR-Lex - 52021DC0645 - PL - EUR-Lex (europa.eu)</w:t>
        </w:r>
      </w:hyperlink>
    </w:p>
  </w:footnote>
  <w:footnote w:id="12">
    <w:p w:rsidR="00C24437" w:rsidRPr="008B4DA2" w:rsidRDefault="00C24437" w:rsidP="00BD67F9">
      <w:pPr>
        <w:pStyle w:val="FootnoteText"/>
      </w:pPr>
      <w:r>
        <w:rPr>
          <w:rStyle w:val="FootnoteReference"/>
        </w:rPr>
        <w:footnoteRef/>
      </w:r>
      <w:r w:rsidRPr="008B4DA2">
        <w:tab/>
        <w:t xml:space="preserve">SWD(2021) 305 final. </w:t>
      </w:r>
      <w:hyperlink r:id="rId10" w:history="1">
        <w:r w:rsidRPr="008B4DA2">
          <w:rPr>
            <w:rStyle w:val="Hyperlink"/>
          </w:rPr>
          <w:t>Better regulation [Lepsze stanowienie prawa] (europa.eu)</w:t>
        </w:r>
      </w:hyperlink>
    </w:p>
  </w:footnote>
  <w:footnote w:id="13">
    <w:p w:rsidR="00C24437" w:rsidRPr="00DF5519" w:rsidRDefault="00C24437" w:rsidP="00BD67F9">
      <w:pPr>
        <w:pStyle w:val="FootnoteText"/>
        <w:rPr>
          <w:lang w:val="en-US"/>
        </w:rPr>
      </w:pPr>
      <w:r>
        <w:rPr>
          <w:rStyle w:val="FootnoteReference"/>
        </w:rPr>
        <w:footnoteRef/>
      </w:r>
      <w:r w:rsidRPr="00DF5519">
        <w:rPr>
          <w:lang w:val="en-US"/>
        </w:rPr>
        <w:tab/>
        <w:t>SWD(2023) 128 final.</w:t>
      </w:r>
    </w:p>
  </w:footnote>
  <w:footnote w:id="14">
    <w:p w:rsidR="00C24437" w:rsidRPr="00DF5519" w:rsidRDefault="00C24437" w:rsidP="00BD67F9">
      <w:pPr>
        <w:pStyle w:val="FootnoteText"/>
        <w:rPr>
          <w:lang w:val="en-US"/>
        </w:rPr>
      </w:pPr>
      <w:r>
        <w:rPr>
          <w:rStyle w:val="FootnoteReference"/>
        </w:rPr>
        <w:footnoteRef/>
      </w:r>
      <w:r w:rsidRPr="00DF5519">
        <w:rPr>
          <w:lang w:val="en-US"/>
        </w:rPr>
        <w:tab/>
        <w:t xml:space="preserve">SWD(2022) 17 final. </w:t>
      </w:r>
      <w:hyperlink r:id="rId11" w:history="1">
        <w:r w:rsidRPr="00DF5519">
          <w:rPr>
            <w:rStyle w:val="Hyperlink"/>
            <w:lang w:val="en-US"/>
          </w:rPr>
          <w:t>EUR-Lex - 52022SC0017 - PL - EUR-Lex (europa.eu)</w:t>
        </w:r>
      </w:hyperlink>
    </w:p>
  </w:footnote>
  <w:footnote w:id="15">
    <w:p w:rsidR="00C24437" w:rsidRPr="008B4DA2" w:rsidRDefault="00C24437" w:rsidP="00BD67F9">
      <w:pPr>
        <w:pStyle w:val="FootnoteText"/>
      </w:pPr>
      <w:r>
        <w:rPr>
          <w:rStyle w:val="FootnoteReference"/>
        </w:rPr>
        <w:footnoteRef/>
      </w:r>
      <w:r w:rsidRPr="008B4DA2">
        <w:tab/>
        <w:t>Już dostępne (Hiszpania, Dania, Grecja, Polska, Portugalia)</w:t>
      </w:r>
      <w:r w:rsidR="00B83C93" w:rsidRPr="008B4DA2">
        <w:t xml:space="preserve"> i</w:t>
      </w:r>
      <w:r w:rsidR="00B83C93">
        <w:t> </w:t>
      </w:r>
      <w:r w:rsidR="00B83C93" w:rsidRPr="008B4DA2">
        <w:t>roz</w:t>
      </w:r>
      <w:r w:rsidRPr="008B4DA2">
        <w:t>ważane (Austria, Belgia, Cypr, Estonia, Finlandia, Niemcy, Irlandia, Włochy, Litwa, Luksemburg, Niderlandy, Szwecja) według informacji pochodzących</w:t>
      </w:r>
      <w:r w:rsidR="00B83C93" w:rsidRPr="008B4DA2">
        <w:t xml:space="preserve"> z</w:t>
      </w:r>
      <w:r w:rsidR="00B83C93">
        <w:t> </w:t>
      </w:r>
      <w:r w:rsidR="00B83C93" w:rsidRPr="008B4DA2">
        <w:t>nie</w:t>
      </w:r>
      <w:r w:rsidRPr="008B4DA2">
        <w:t xml:space="preserve">formalnego dokumentu EKG ONZ </w:t>
      </w:r>
      <w:r w:rsidRPr="00B83C93">
        <w:t>nr</w:t>
      </w:r>
      <w:r w:rsidR="00B83C93" w:rsidRPr="00B83C93">
        <w:t> </w:t>
      </w:r>
      <w:r w:rsidRPr="00B83C93">
        <w:t>1</w:t>
      </w:r>
      <w:r w:rsidRPr="008B4DA2">
        <w:t>0</w:t>
      </w:r>
      <w:r w:rsidR="00B83C93" w:rsidRPr="008B4DA2">
        <w:t xml:space="preserve"> z</w:t>
      </w:r>
      <w:r w:rsidR="00B83C93">
        <w:t> </w:t>
      </w:r>
      <w:r w:rsidR="00B83C93" w:rsidRPr="008B4DA2">
        <w:t>dni</w:t>
      </w:r>
      <w:r w:rsidRPr="008B4DA2">
        <w:t>a 13 września 20</w:t>
      </w:r>
      <w:r w:rsidRPr="00B83C93">
        <w:t>22</w:t>
      </w:r>
      <w:r w:rsidR="00B83C93" w:rsidRPr="00B83C93">
        <w:t> </w:t>
      </w:r>
      <w:r w:rsidRPr="00B83C93">
        <w:t>r.</w:t>
      </w:r>
      <w:r w:rsidR="00B83C93" w:rsidRPr="008B4DA2">
        <w:t xml:space="preserve"> i</w:t>
      </w:r>
      <w:r w:rsidR="00B83C93">
        <w:t> </w:t>
      </w:r>
      <w:r w:rsidR="00B83C93" w:rsidRPr="008B4DA2">
        <w:t>dzi</w:t>
      </w:r>
      <w:r w:rsidRPr="008B4DA2">
        <w:t xml:space="preserve">ałań konsultacyjnych. </w:t>
      </w:r>
    </w:p>
  </w:footnote>
  <w:footnote w:id="16">
    <w:p w:rsidR="00C24437" w:rsidRPr="008B4DA2" w:rsidRDefault="00C24437" w:rsidP="00BD67F9">
      <w:pPr>
        <w:pStyle w:val="FootnoteText"/>
      </w:pPr>
      <w:r>
        <w:rPr>
          <w:rStyle w:val="FootnoteReference"/>
        </w:rPr>
        <w:footnoteRef/>
      </w:r>
      <w:r w:rsidRPr="008B4DA2">
        <w:tab/>
      </w:r>
      <w:hyperlink r:id="rId12" w:anchor="goal_section" w:history="1">
        <w:r w:rsidRPr="008B4DA2">
          <w:rPr>
            <w:rStyle w:val="Hyperlink"/>
          </w:rPr>
          <w:t>https://sdgs.un.org/#goal_section</w:t>
        </w:r>
      </w:hyperlink>
    </w:p>
  </w:footnote>
  <w:footnote w:id="17">
    <w:p w:rsidR="00C24437" w:rsidRPr="008B4DA2" w:rsidRDefault="00C24437" w:rsidP="00BD67F9">
      <w:pPr>
        <w:pStyle w:val="FootnoteText"/>
        <w:rPr>
          <w:sz w:val="16"/>
          <w:szCs w:val="16"/>
        </w:rPr>
      </w:pPr>
      <w:r>
        <w:rPr>
          <w:rStyle w:val="FootnoteReference"/>
        </w:rPr>
        <w:footnoteRef/>
      </w:r>
      <w:r w:rsidRPr="008B4DA2">
        <w:tab/>
        <w:t>Cel 11</w:t>
      </w:r>
      <w:r w:rsidR="00B83C93" w:rsidRPr="008B4DA2">
        <w:t xml:space="preserve"> i</w:t>
      </w:r>
      <w:r w:rsidR="00B83C93">
        <w:t> </w:t>
      </w:r>
      <w:r w:rsidR="00B83C93" w:rsidRPr="008B4DA2">
        <w:rPr>
          <w:bdr w:val="nil"/>
        </w:rPr>
        <w:t>zad</w:t>
      </w:r>
      <w:r w:rsidRPr="008B4DA2">
        <w:rPr>
          <w:bdr w:val="nil"/>
        </w:rPr>
        <w:t>anie 11.2 Agendy ONZ na rzecz zrównoważonego rozwoju 2030 (</w:t>
      </w:r>
      <w:hyperlink r:id="rId13" w:history="1">
        <w:r w:rsidRPr="008B4DA2">
          <w:rPr>
            <w:rStyle w:val="Hyperlink"/>
            <w:bdr w:val="nil"/>
          </w:rPr>
          <w:t>https://sdgs.un.org/2030agenda</w:t>
        </w:r>
      </w:hyperlink>
      <w:r w:rsidRPr="008B4DA2">
        <w:rPr>
          <w:bdr w:val="nil"/>
        </w:rPr>
        <w:t>)</w:t>
      </w:r>
    </w:p>
  </w:footnote>
  <w:footnote w:id="18">
    <w:p w:rsidR="00C24437" w:rsidRPr="008B4DA2" w:rsidRDefault="00C24437" w:rsidP="00BD67F9">
      <w:pPr>
        <w:pStyle w:val="FootnoteText"/>
      </w:pPr>
      <w:r>
        <w:rPr>
          <w:rStyle w:val="FootnoteReference"/>
        </w:rPr>
        <w:footnoteRef/>
      </w:r>
      <w:r w:rsidRPr="008B4DA2">
        <w:tab/>
        <w:t>Rozporządzenie Parlamentu Europejskiego</w:t>
      </w:r>
      <w:r w:rsidR="00B83C93" w:rsidRPr="008B4DA2">
        <w:t xml:space="preserve"> i</w:t>
      </w:r>
      <w:r w:rsidR="00B83C93">
        <w:t> </w:t>
      </w:r>
      <w:r w:rsidR="00B83C93" w:rsidRPr="008B4DA2">
        <w:t>Rad</w:t>
      </w:r>
      <w:r w:rsidRPr="008B4DA2">
        <w:t>y (UE) 2021/1119</w:t>
      </w:r>
      <w:r w:rsidR="00B83C93" w:rsidRPr="008B4DA2">
        <w:t xml:space="preserve"> z</w:t>
      </w:r>
      <w:r w:rsidR="00B83C93">
        <w:t> </w:t>
      </w:r>
      <w:r w:rsidR="00B83C93" w:rsidRPr="008B4DA2">
        <w:t>dni</w:t>
      </w:r>
      <w:r w:rsidRPr="008B4DA2">
        <w:t>a 30 czerwca 20</w:t>
      </w:r>
      <w:r w:rsidRPr="00B83C93">
        <w:t>21</w:t>
      </w:r>
      <w:r w:rsidR="00B83C93" w:rsidRPr="00B83C93">
        <w:t> </w:t>
      </w:r>
      <w:r w:rsidRPr="00B83C93">
        <w:t>r.</w:t>
      </w:r>
      <w:r w:rsidR="00B83C93" w:rsidRPr="008B4DA2">
        <w:t xml:space="preserve"> w</w:t>
      </w:r>
      <w:r w:rsidR="00B83C93">
        <w:t> </w:t>
      </w:r>
      <w:r w:rsidR="00B83C93" w:rsidRPr="008B4DA2">
        <w:t>spr</w:t>
      </w:r>
      <w:r w:rsidRPr="008B4DA2">
        <w:t>awie ustanowienia ram na potrzeby osiągnięcia neutralności klimatycznej</w:t>
      </w:r>
      <w:r w:rsidR="00B83C93" w:rsidRPr="008B4DA2">
        <w:t xml:space="preserve"> i</w:t>
      </w:r>
      <w:r w:rsidR="00B83C93">
        <w:t> </w:t>
      </w:r>
      <w:r w:rsidR="00B83C93" w:rsidRPr="008B4DA2">
        <w:t>zmi</w:t>
      </w:r>
      <w:r w:rsidRPr="008B4DA2">
        <w:t>any rozporządzeń (WE) nr 401/2009 i (UE) 2018/1999 (Europejskie prawo</w:t>
      </w:r>
      <w:r w:rsidR="00B83C93" w:rsidRPr="008B4DA2">
        <w:t xml:space="preserve"> o</w:t>
      </w:r>
      <w:r w:rsidR="00B83C93">
        <w:t> </w:t>
      </w:r>
      <w:r w:rsidR="00B83C93" w:rsidRPr="008B4DA2">
        <w:t>kli</w:t>
      </w:r>
      <w:r w:rsidRPr="008B4DA2">
        <w:t>macie) (Dz.U. L 243</w:t>
      </w:r>
      <w:r w:rsidR="00B83C93" w:rsidRPr="008B4DA2">
        <w:t xml:space="preserve"> z</w:t>
      </w:r>
      <w:r w:rsidR="00B83C93">
        <w:t> </w:t>
      </w:r>
      <w:r w:rsidR="00B83C93" w:rsidRPr="008B4DA2">
        <w:t>9</w:t>
      </w:r>
      <w:r w:rsidRPr="008B4DA2">
        <w:t xml:space="preserve">.7.2021, s. 1) </w:t>
      </w:r>
      <w:hyperlink r:id="rId14" w:history="1">
        <w:r w:rsidRPr="008B4DA2">
          <w:rPr>
            <w:rStyle w:val="Hyperlink"/>
          </w:rPr>
          <w:t>EUR-Lex - 32018R1724 - EN - EUR-Lex (europa.eu)</w:t>
        </w:r>
      </w:hyperlink>
    </w:p>
  </w:footnote>
  <w:footnote w:id="19">
    <w:p w:rsidR="00C24437" w:rsidRPr="008B4DA2" w:rsidRDefault="00C24437" w:rsidP="00BD67F9">
      <w:pPr>
        <w:pStyle w:val="FootnoteText"/>
        <w:rPr>
          <w:lang w:val="fr-BE"/>
        </w:rPr>
      </w:pPr>
      <w:r>
        <w:rPr>
          <w:rStyle w:val="FootnoteReference"/>
        </w:rPr>
        <w:footnoteRef/>
      </w:r>
      <w:r w:rsidRPr="008B4DA2">
        <w:rPr>
          <w:lang w:val="fr-BE"/>
        </w:rPr>
        <w:tab/>
        <w:t xml:space="preserve">COM(2021) 400 final. </w:t>
      </w:r>
      <w:hyperlink r:id="rId15" w:history="1">
        <w:r w:rsidRPr="008B4DA2">
          <w:rPr>
            <w:rStyle w:val="Hyperlink"/>
            <w:lang w:val="fr-BE"/>
          </w:rPr>
          <w:t>EUR-Lex - 52021DC0400 - PL - EUR-Lex (europa.eu)</w:t>
        </w:r>
      </w:hyperlink>
    </w:p>
  </w:footnote>
  <w:footnote w:id="20">
    <w:p w:rsidR="00C24437" w:rsidRPr="008B4DA2" w:rsidRDefault="00C24437" w:rsidP="00BD67F9">
      <w:pPr>
        <w:pStyle w:val="FootnoteText"/>
      </w:pPr>
      <w:r>
        <w:rPr>
          <w:rStyle w:val="FootnoteReference"/>
        </w:rPr>
        <w:footnoteRef/>
      </w:r>
      <w:r w:rsidRPr="008B4DA2">
        <w:tab/>
        <w:t>Rozporządzenie Parlamentu Europejskiego</w:t>
      </w:r>
      <w:r w:rsidR="00B83C93" w:rsidRPr="008B4DA2">
        <w:t xml:space="preserve"> i</w:t>
      </w:r>
      <w:r w:rsidR="00B83C93">
        <w:t> </w:t>
      </w:r>
      <w:r w:rsidR="00B83C93" w:rsidRPr="008B4DA2">
        <w:t>Rad</w:t>
      </w:r>
      <w:r w:rsidRPr="008B4DA2">
        <w:t>y (UE) 2018/1724</w:t>
      </w:r>
      <w:r w:rsidR="00B83C93" w:rsidRPr="008B4DA2">
        <w:t xml:space="preserve"> z</w:t>
      </w:r>
      <w:r w:rsidR="00B83C93">
        <w:t> </w:t>
      </w:r>
      <w:r w:rsidR="00B83C93" w:rsidRPr="008B4DA2">
        <w:t>dni</w:t>
      </w:r>
      <w:r w:rsidRPr="008B4DA2">
        <w:t>a 2 października 20</w:t>
      </w:r>
      <w:r w:rsidRPr="00B83C93">
        <w:t>18</w:t>
      </w:r>
      <w:r w:rsidR="00B83C93" w:rsidRPr="00B83C93">
        <w:t> </w:t>
      </w:r>
      <w:r w:rsidRPr="00B83C93">
        <w:t>r.</w:t>
      </w:r>
      <w:r w:rsidR="00B83C93" w:rsidRPr="008B4DA2">
        <w:t xml:space="preserve"> w</w:t>
      </w:r>
      <w:r w:rsidR="00B83C93">
        <w:t> </w:t>
      </w:r>
      <w:r w:rsidR="00B83C93" w:rsidRPr="008B4DA2">
        <w:t>spr</w:t>
      </w:r>
      <w:r w:rsidRPr="008B4DA2">
        <w:t>awie utworzenia jednolitego portalu cyfrowego</w:t>
      </w:r>
      <w:r w:rsidR="00B83C93" w:rsidRPr="008B4DA2">
        <w:t xml:space="preserve"> w</w:t>
      </w:r>
      <w:r w:rsidR="00B83C93">
        <w:t> </w:t>
      </w:r>
      <w:r w:rsidR="00B83C93" w:rsidRPr="008B4DA2">
        <w:t>cel</w:t>
      </w:r>
      <w:r w:rsidRPr="008B4DA2">
        <w:t>u zapewnienia dostępu do informacji, procedur oraz usług wsparcia</w:t>
      </w:r>
      <w:r w:rsidR="00B83C93" w:rsidRPr="008B4DA2">
        <w:t xml:space="preserve"> i</w:t>
      </w:r>
      <w:r w:rsidR="00B83C93">
        <w:t> </w:t>
      </w:r>
      <w:r w:rsidR="00B83C93" w:rsidRPr="008B4DA2">
        <w:t>roz</w:t>
      </w:r>
      <w:r w:rsidRPr="008B4DA2">
        <w:t>wiązywania problemów,</w:t>
      </w:r>
      <w:r w:rsidR="00B83C93" w:rsidRPr="008B4DA2">
        <w:t xml:space="preserve"> a</w:t>
      </w:r>
      <w:r w:rsidR="00B83C93">
        <w:t> </w:t>
      </w:r>
      <w:r w:rsidR="00B83C93" w:rsidRPr="008B4DA2">
        <w:t>tak</w:t>
      </w:r>
      <w:r w:rsidRPr="008B4DA2">
        <w:t>że zmieniające rozporządzenie (UE) nr 1024/2012 (Dz.U. L 295</w:t>
      </w:r>
      <w:r w:rsidR="00B83C93" w:rsidRPr="008B4DA2">
        <w:t xml:space="preserve"> z</w:t>
      </w:r>
      <w:r w:rsidR="00B83C93">
        <w:t> </w:t>
      </w:r>
      <w:r w:rsidR="00B83C93" w:rsidRPr="008B4DA2">
        <w:t>2</w:t>
      </w:r>
      <w:r w:rsidRPr="008B4DA2">
        <w:t>1.11.2018, s. 1)</w:t>
      </w:r>
      <w:r w:rsidR="001F6AB5">
        <w:t>.</w:t>
      </w:r>
      <w:r w:rsidRPr="008B4DA2">
        <w:t xml:space="preserve"> </w:t>
      </w:r>
      <w:hyperlink r:id="rId16" w:history="1">
        <w:r w:rsidRPr="008B4DA2">
          <w:rPr>
            <w:rStyle w:val="Hyperlink"/>
          </w:rPr>
          <w:t>EUR-Lex - 32018R1724 - EN - EUR-Lex (europa.eu)</w:t>
        </w:r>
      </w:hyperlink>
    </w:p>
  </w:footnote>
  <w:footnote w:id="21">
    <w:p w:rsidR="00C24437" w:rsidRPr="008B4DA2" w:rsidRDefault="00C24437">
      <w:pPr>
        <w:pStyle w:val="FootnoteText"/>
      </w:pPr>
      <w:r>
        <w:rPr>
          <w:rStyle w:val="FootnoteReference"/>
        </w:rPr>
        <w:footnoteRef/>
      </w:r>
      <w:r w:rsidRPr="008B4DA2">
        <w:tab/>
        <w:t>Konwencja ONZ</w:t>
      </w:r>
      <w:r w:rsidR="00B83C93" w:rsidRPr="008B4DA2">
        <w:t xml:space="preserve"> o</w:t>
      </w:r>
      <w:r w:rsidR="00B83C93">
        <w:t> </w:t>
      </w:r>
      <w:r w:rsidR="00B83C93" w:rsidRPr="008B4DA2">
        <w:t>pra</w:t>
      </w:r>
      <w:r w:rsidRPr="008B4DA2">
        <w:t>wach osób niepełnosprawnych</w:t>
      </w:r>
      <w:r w:rsidR="00B83C93" w:rsidRPr="008B4DA2">
        <w:t xml:space="preserve"> z</w:t>
      </w:r>
      <w:r w:rsidR="00B83C93">
        <w:t> </w:t>
      </w:r>
      <w:r w:rsidR="00B83C93" w:rsidRPr="008B4DA2">
        <w:t>dni</w:t>
      </w:r>
      <w:r w:rsidRPr="008B4DA2">
        <w:t>a 13 grudnia 20</w:t>
      </w:r>
      <w:r w:rsidRPr="00B83C93">
        <w:t>06</w:t>
      </w:r>
      <w:r w:rsidR="00B83C93" w:rsidRPr="00B83C93">
        <w:t> </w:t>
      </w:r>
      <w:r w:rsidRPr="00B83C93">
        <w:t>r.</w:t>
      </w:r>
      <w:r w:rsidRPr="008B4DA2">
        <w:t xml:space="preserve">, której UE jest stroną </w:t>
      </w:r>
      <w:r w:rsidRPr="00B83C93">
        <w:t>od</w:t>
      </w:r>
      <w:r w:rsidR="00B83C93" w:rsidRPr="00B83C93">
        <w:t> </w:t>
      </w:r>
      <w:r w:rsidRPr="00B83C93">
        <w:t>2</w:t>
      </w:r>
      <w:r w:rsidRPr="008B4DA2">
        <w:t>1 stycznia 20</w:t>
      </w:r>
      <w:r w:rsidRPr="00B83C93">
        <w:t>11</w:t>
      </w:r>
      <w:r w:rsidR="00B83C93" w:rsidRPr="00B83C93">
        <w:t> </w:t>
      </w:r>
      <w:r w:rsidRPr="00B83C93">
        <w:t>r.</w:t>
      </w:r>
    </w:p>
  </w:footnote>
  <w:footnote w:id="22">
    <w:p w:rsidR="00C24437" w:rsidRPr="008B4DA2" w:rsidRDefault="00C24437" w:rsidP="00BD67F9">
      <w:pPr>
        <w:pStyle w:val="FootnoteText"/>
        <w:rPr>
          <w:lang w:val="fr-BE"/>
        </w:rPr>
      </w:pPr>
      <w:r>
        <w:rPr>
          <w:rStyle w:val="FootnoteReference"/>
        </w:rPr>
        <w:footnoteRef/>
      </w:r>
      <w:r w:rsidRPr="008B4DA2">
        <w:rPr>
          <w:lang w:val="fr-BE"/>
        </w:rPr>
        <w:tab/>
        <w:t>COM(2023) 126 final.</w:t>
      </w:r>
    </w:p>
  </w:footnote>
  <w:footnote w:id="23">
    <w:p w:rsidR="00C24437" w:rsidRPr="008B4DA2" w:rsidRDefault="00C24437" w:rsidP="00BD67F9">
      <w:pPr>
        <w:pStyle w:val="FootnoteText"/>
        <w:rPr>
          <w:lang w:val="fr-BE"/>
        </w:rPr>
      </w:pPr>
      <w:r>
        <w:rPr>
          <w:rStyle w:val="FootnoteReference"/>
        </w:rPr>
        <w:footnoteRef/>
      </w:r>
      <w:r w:rsidRPr="008B4DA2">
        <w:rPr>
          <w:lang w:val="fr-BE"/>
        </w:rPr>
        <w:tab/>
        <w:t>Dz.U. L 68</w:t>
      </w:r>
      <w:r w:rsidR="00B83C93" w:rsidRPr="008B4DA2">
        <w:rPr>
          <w:lang w:val="fr-BE"/>
        </w:rPr>
        <w:t xml:space="preserve"> z</w:t>
      </w:r>
      <w:r w:rsidR="00B83C93">
        <w:rPr>
          <w:lang w:val="fr-BE"/>
        </w:rPr>
        <w:t> </w:t>
      </w:r>
      <w:r w:rsidR="00B83C93" w:rsidRPr="008B4DA2">
        <w:rPr>
          <w:lang w:val="fr-BE"/>
        </w:rPr>
        <w:t>1</w:t>
      </w:r>
      <w:r w:rsidRPr="008B4DA2">
        <w:rPr>
          <w:lang w:val="fr-BE"/>
        </w:rPr>
        <w:t xml:space="preserve">3.3.2015, s. 9. </w:t>
      </w:r>
      <w:hyperlink r:id="rId17" w:history="1">
        <w:r w:rsidRPr="008B4DA2">
          <w:rPr>
            <w:rStyle w:val="Hyperlink"/>
            <w:lang w:val="fr-BE"/>
          </w:rPr>
          <w:t>EUR-Lex - 32015L0413 - EN - EUR-Lex (europa.eu)</w:t>
        </w:r>
      </w:hyperlink>
    </w:p>
  </w:footnote>
  <w:footnote w:id="24">
    <w:p w:rsidR="00C24437" w:rsidRPr="008B4DA2" w:rsidRDefault="00C24437">
      <w:pPr>
        <w:pStyle w:val="FootnoteText"/>
        <w:rPr>
          <w:lang w:val="fr-BE"/>
        </w:rPr>
      </w:pPr>
      <w:r>
        <w:rPr>
          <w:rStyle w:val="FootnoteReference"/>
        </w:rPr>
        <w:footnoteRef/>
      </w:r>
      <w:r w:rsidRPr="008B4DA2">
        <w:rPr>
          <w:lang w:val="fr-BE"/>
        </w:rPr>
        <w:tab/>
        <w:t>COM(2023) 128 final.</w:t>
      </w:r>
    </w:p>
  </w:footnote>
  <w:footnote w:id="25">
    <w:p w:rsidR="00C24437" w:rsidRPr="008B4DA2" w:rsidRDefault="00C24437" w:rsidP="00A22607">
      <w:pPr>
        <w:pStyle w:val="FootnoteText"/>
        <w:rPr>
          <w:sz w:val="16"/>
          <w:szCs w:val="16"/>
          <w:lang w:val="fr-BE"/>
        </w:rPr>
      </w:pPr>
      <w:r>
        <w:rPr>
          <w:rStyle w:val="FootnoteReference"/>
        </w:rPr>
        <w:footnoteRef/>
      </w:r>
      <w:r w:rsidRPr="008B4DA2">
        <w:rPr>
          <w:lang w:val="fr-BE"/>
        </w:rPr>
        <w:tab/>
      </w:r>
      <w:r w:rsidRPr="008B4DA2">
        <w:rPr>
          <w:rStyle w:val="Emphasis"/>
          <w:i w:val="0"/>
          <w:shd w:val="clear" w:color="auto" w:fill="FFFFFF"/>
          <w:lang w:val="fr-BE"/>
        </w:rPr>
        <w:t>Dz.U. L 330</w:t>
      </w:r>
      <w:r w:rsidR="00B83C93" w:rsidRPr="008B4DA2">
        <w:rPr>
          <w:rStyle w:val="Emphasis"/>
          <w:i w:val="0"/>
          <w:shd w:val="clear" w:color="auto" w:fill="FFFFFF"/>
          <w:lang w:val="fr-BE"/>
        </w:rPr>
        <w:t xml:space="preserve"> z</w:t>
      </w:r>
      <w:r w:rsidR="00B83C93">
        <w:rPr>
          <w:rStyle w:val="Emphasis"/>
          <w:i w:val="0"/>
          <w:shd w:val="clear" w:color="auto" w:fill="FFFFFF"/>
          <w:lang w:val="fr-BE"/>
        </w:rPr>
        <w:t> </w:t>
      </w:r>
      <w:r w:rsidR="00B83C93" w:rsidRPr="008B4DA2">
        <w:rPr>
          <w:rStyle w:val="Emphasis"/>
          <w:i w:val="0"/>
          <w:shd w:val="clear" w:color="auto" w:fill="FFFFFF"/>
          <w:lang w:val="fr-BE"/>
        </w:rPr>
        <w:t>2</w:t>
      </w:r>
      <w:r w:rsidRPr="008B4DA2">
        <w:rPr>
          <w:rStyle w:val="Emphasis"/>
          <w:i w:val="0"/>
          <w:shd w:val="clear" w:color="auto" w:fill="FFFFFF"/>
          <w:lang w:val="fr-BE"/>
        </w:rPr>
        <w:t>3.12.2022, s. 46.</w:t>
      </w:r>
      <w:r w:rsidR="002D4312">
        <w:rPr>
          <w:rStyle w:val="Emphasis"/>
          <w:i w:val="0"/>
          <w:shd w:val="clear" w:color="auto" w:fill="FFFFFF"/>
          <w:lang w:val="fr-BE"/>
        </w:rPr>
        <w:t xml:space="preserve"> </w:t>
      </w:r>
      <w:hyperlink r:id="rId18" w:history="1">
        <w:r w:rsidRPr="008B4DA2">
          <w:rPr>
            <w:rStyle w:val="Hyperlink"/>
            <w:lang w:val="fr-BE"/>
          </w:rPr>
          <w:t>EUR-Lex - 32022L2561 - EN - EUR-Lex (europa.eu)</w:t>
        </w:r>
      </w:hyperlink>
      <w:r w:rsidRPr="008B4DA2">
        <w:rPr>
          <w:sz w:val="16"/>
          <w:lang w:val="fr-BE"/>
        </w:rPr>
        <w:t xml:space="preserve"> </w:t>
      </w:r>
    </w:p>
  </w:footnote>
  <w:footnote w:id="26">
    <w:p w:rsidR="00C24437" w:rsidRPr="008B4DA2" w:rsidRDefault="00C24437" w:rsidP="00BD67F9">
      <w:pPr>
        <w:pStyle w:val="FootnoteText"/>
      </w:pPr>
      <w:r>
        <w:rPr>
          <w:rStyle w:val="FootnoteReference"/>
        </w:rPr>
        <w:footnoteRef/>
      </w:r>
      <w:r w:rsidRPr="008B4DA2">
        <w:tab/>
        <w:t>W której ustanawia się szczególne przepisy dotyczące kwalifikacji</w:t>
      </w:r>
      <w:r w:rsidR="00B83C93" w:rsidRPr="008B4DA2">
        <w:t xml:space="preserve"> i</w:t>
      </w:r>
      <w:r w:rsidR="00B83C93">
        <w:t> </w:t>
      </w:r>
      <w:r w:rsidR="00B83C93" w:rsidRPr="008B4DA2">
        <w:t>szk</w:t>
      </w:r>
      <w:r w:rsidRPr="008B4DA2">
        <w:t>olenia kierowców zawodowych tych pojazdów.</w:t>
      </w:r>
    </w:p>
  </w:footnote>
  <w:footnote w:id="27">
    <w:p w:rsidR="00C24437" w:rsidRPr="008B4DA2" w:rsidRDefault="00C24437">
      <w:pPr>
        <w:pStyle w:val="FootnoteText"/>
      </w:pPr>
      <w:r>
        <w:rPr>
          <w:rStyle w:val="FootnoteReference"/>
        </w:rPr>
        <w:footnoteRef/>
      </w:r>
      <w:r w:rsidRPr="008B4DA2">
        <w:tab/>
        <w:t>Zapewniającą ułatwienia</w:t>
      </w:r>
      <w:r w:rsidR="00B83C93" w:rsidRPr="008B4DA2">
        <w:t xml:space="preserve"> w</w:t>
      </w:r>
      <w:r w:rsidR="00B83C93">
        <w:t> </w:t>
      </w:r>
      <w:r w:rsidR="00B83C93" w:rsidRPr="008B4DA2">
        <w:t>zak</w:t>
      </w:r>
      <w:r w:rsidRPr="008B4DA2">
        <w:t>resie wymiany informacji między państwami członkowskimi</w:t>
      </w:r>
      <w:r w:rsidR="00B83C93" w:rsidRPr="008B4DA2">
        <w:t xml:space="preserve"> w</w:t>
      </w:r>
      <w:r w:rsidR="00B83C93">
        <w:t> </w:t>
      </w:r>
      <w:r w:rsidR="00B83C93" w:rsidRPr="008B4DA2">
        <w:t>prz</w:t>
      </w:r>
      <w:r w:rsidRPr="008B4DA2">
        <w:t>ypadku przestępstw lub wykroczeń przeciwko bezpieczeństwu ruchu drogowego popełnionych przez kierujących pojazdami zarejestrowanymi</w:t>
      </w:r>
      <w:r w:rsidR="00B83C93" w:rsidRPr="008B4DA2">
        <w:t xml:space="preserve"> w</w:t>
      </w:r>
      <w:r w:rsidR="00B83C93">
        <w:t> </w:t>
      </w:r>
      <w:r w:rsidR="00B83C93" w:rsidRPr="008B4DA2">
        <w:t>inn</w:t>
      </w:r>
      <w:r w:rsidRPr="008B4DA2">
        <w:t>ym państwie członkowskim.</w:t>
      </w:r>
    </w:p>
  </w:footnote>
  <w:footnote w:id="28">
    <w:p w:rsidR="00C24437" w:rsidRPr="00DF5519" w:rsidRDefault="00C24437" w:rsidP="00967C13">
      <w:pPr>
        <w:pStyle w:val="FootnoteText"/>
      </w:pPr>
      <w:r>
        <w:rPr>
          <w:rStyle w:val="FootnoteReference"/>
        </w:rPr>
        <w:footnoteRef/>
      </w:r>
      <w:r w:rsidRPr="002D4312">
        <w:tab/>
      </w:r>
      <w:r w:rsidRPr="002D4312">
        <w:rPr>
          <w:rStyle w:val="FootnoteReference"/>
          <w:vertAlign w:val="baseline"/>
        </w:rPr>
        <w:t>Rozporządzenie Parlamentu Europejskiego</w:t>
      </w:r>
      <w:r w:rsidR="00B83C93" w:rsidRPr="002D4312">
        <w:rPr>
          <w:rStyle w:val="FootnoteReference"/>
          <w:vertAlign w:val="baseline"/>
        </w:rPr>
        <w:t xml:space="preserve"> i</w:t>
      </w:r>
      <w:r w:rsidR="00B83C93">
        <w:rPr>
          <w:rStyle w:val="FootnoteReference"/>
          <w:vertAlign w:val="baseline"/>
        </w:rPr>
        <w:t> </w:t>
      </w:r>
      <w:r w:rsidR="00B83C93" w:rsidRPr="002D4312">
        <w:rPr>
          <w:rStyle w:val="FootnoteReference"/>
          <w:vertAlign w:val="baseline"/>
        </w:rPr>
        <w:t>Rad</w:t>
      </w:r>
      <w:r w:rsidRPr="002D4312">
        <w:rPr>
          <w:rStyle w:val="FootnoteReference"/>
          <w:vertAlign w:val="baseline"/>
        </w:rPr>
        <w:t>y (UE) 2019/2144</w:t>
      </w:r>
      <w:r w:rsidR="00B83C93" w:rsidRPr="002D4312">
        <w:rPr>
          <w:rStyle w:val="FootnoteReference"/>
          <w:vertAlign w:val="baseline"/>
        </w:rPr>
        <w:t xml:space="preserve"> z</w:t>
      </w:r>
      <w:r w:rsidR="00B83C93">
        <w:rPr>
          <w:rStyle w:val="FootnoteReference"/>
          <w:vertAlign w:val="baseline"/>
        </w:rPr>
        <w:t> </w:t>
      </w:r>
      <w:r w:rsidR="00B83C93" w:rsidRPr="002D4312">
        <w:rPr>
          <w:rStyle w:val="FootnoteReference"/>
          <w:vertAlign w:val="baseline"/>
        </w:rPr>
        <w:t>dni</w:t>
      </w:r>
      <w:r w:rsidRPr="002D4312">
        <w:rPr>
          <w:rStyle w:val="FootnoteReference"/>
          <w:vertAlign w:val="baseline"/>
        </w:rPr>
        <w:t>a 27 listopada 20</w:t>
      </w:r>
      <w:r w:rsidRPr="00B83C93">
        <w:rPr>
          <w:rStyle w:val="FootnoteReference"/>
          <w:vertAlign w:val="baseline"/>
        </w:rPr>
        <w:t>19</w:t>
      </w:r>
      <w:r w:rsidR="00B83C93" w:rsidRPr="00B83C93">
        <w:rPr>
          <w:rStyle w:val="FootnoteReference"/>
          <w:vertAlign w:val="baseline"/>
        </w:rPr>
        <w:t> </w:t>
      </w:r>
      <w:r w:rsidRPr="00B83C93">
        <w:rPr>
          <w:rStyle w:val="FootnoteReference"/>
          <w:vertAlign w:val="baseline"/>
        </w:rPr>
        <w:t>r.</w:t>
      </w:r>
      <w:r w:rsidR="00B83C93" w:rsidRPr="002D4312">
        <w:rPr>
          <w:rStyle w:val="FootnoteReference"/>
          <w:vertAlign w:val="baseline"/>
        </w:rPr>
        <w:t xml:space="preserve"> w</w:t>
      </w:r>
      <w:r w:rsidR="00B83C93">
        <w:rPr>
          <w:rStyle w:val="FootnoteReference"/>
          <w:vertAlign w:val="baseline"/>
        </w:rPr>
        <w:t> </w:t>
      </w:r>
      <w:r w:rsidR="00B83C93" w:rsidRPr="002D4312">
        <w:rPr>
          <w:rStyle w:val="FootnoteReference"/>
          <w:vertAlign w:val="baseline"/>
        </w:rPr>
        <w:t>spr</w:t>
      </w:r>
      <w:r w:rsidRPr="002D4312">
        <w:rPr>
          <w:rStyle w:val="FootnoteReference"/>
          <w:vertAlign w:val="baseline"/>
        </w:rPr>
        <w:t>awie wymogów dotyczących homologacji typu pojazdów silnikowych</w:t>
      </w:r>
      <w:r w:rsidR="00B83C93" w:rsidRPr="002D4312">
        <w:rPr>
          <w:rStyle w:val="FootnoteReference"/>
          <w:vertAlign w:val="baseline"/>
        </w:rPr>
        <w:t xml:space="preserve"> i</w:t>
      </w:r>
      <w:r w:rsidR="00B83C93">
        <w:rPr>
          <w:rStyle w:val="FootnoteReference"/>
          <w:vertAlign w:val="baseline"/>
        </w:rPr>
        <w:t> </w:t>
      </w:r>
      <w:r w:rsidR="00B83C93" w:rsidRPr="002D4312">
        <w:rPr>
          <w:rStyle w:val="FootnoteReference"/>
          <w:vertAlign w:val="baseline"/>
        </w:rPr>
        <w:t>ich</w:t>
      </w:r>
      <w:r w:rsidRPr="002D4312">
        <w:rPr>
          <w:rStyle w:val="FootnoteReference"/>
          <w:vertAlign w:val="baseline"/>
        </w:rPr>
        <w:t xml:space="preserve"> przyczep oraz układów, komponentów</w:t>
      </w:r>
      <w:r w:rsidR="00B83C93" w:rsidRPr="002D4312">
        <w:rPr>
          <w:rStyle w:val="FootnoteReference"/>
          <w:vertAlign w:val="baseline"/>
        </w:rPr>
        <w:t xml:space="preserve"> i</w:t>
      </w:r>
      <w:r w:rsidR="00B83C93">
        <w:rPr>
          <w:rStyle w:val="FootnoteReference"/>
          <w:vertAlign w:val="baseline"/>
        </w:rPr>
        <w:t> </w:t>
      </w:r>
      <w:r w:rsidR="00B83C93" w:rsidRPr="002D4312">
        <w:rPr>
          <w:rStyle w:val="FootnoteReference"/>
          <w:vertAlign w:val="baseline"/>
        </w:rPr>
        <w:t>odd</w:t>
      </w:r>
      <w:r w:rsidRPr="002D4312">
        <w:rPr>
          <w:rStyle w:val="FootnoteReference"/>
          <w:vertAlign w:val="baseline"/>
        </w:rPr>
        <w:t>zielnych zespołów technicznych przeznaczonych do tych pojazdów,</w:t>
      </w:r>
      <w:r w:rsidR="00B83C93" w:rsidRPr="002D4312">
        <w:rPr>
          <w:rStyle w:val="FootnoteReference"/>
          <w:vertAlign w:val="baseline"/>
        </w:rPr>
        <w:t xml:space="preserve"> w</w:t>
      </w:r>
      <w:r w:rsidR="00B83C93">
        <w:rPr>
          <w:rStyle w:val="FootnoteReference"/>
          <w:vertAlign w:val="baseline"/>
        </w:rPr>
        <w:t> </w:t>
      </w:r>
      <w:r w:rsidR="00B83C93" w:rsidRPr="002D4312">
        <w:rPr>
          <w:rStyle w:val="FootnoteReference"/>
          <w:vertAlign w:val="baseline"/>
        </w:rPr>
        <w:t>odn</w:t>
      </w:r>
      <w:r w:rsidRPr="002D4312">
        <w:rPr>
          <w:rStyle w:val="FootnoteReference"/>
          <w:vertAlign w:val="baseline"/>
        </w:rPr>
        <w:t>iesieniu do ich ogólnego bezpieczeństwa oraz ochrony osób znajdujących się</w:t>
      </w:r>
      <w:r w:rsidR="00B83C93" w:rsidRPr="002D4312">
        <w:rPr>
          <w:rStyle w:val="FootnoteReference"/>
          <w:vertAlign w:val="baseline"/>
        </w:rPr>
        <w:t xml:space="preserve"> w</w:t>
      </w:r>
      <w:r w:rsidR="00B83C93">
        <w:rPr>
          <w:rStyle w:val="FootnoteReference"/>
          <w:vertAlign w:val="baseline"/>
        </w:rPr>
        <w:t> </w:t>
      </w:r>
      <w:r w:rsidR="00B83C93" w:rsidRPr="002D4312">
        <w:rPr>
          <w:rStyle w:val="FootnoteReference"/>
          <w:vertAlign w:val="baseline"/>
        </w:rPr>
        <w:t>poj</w:t>
      </w:r>
      <w:r w:rsidRPr="002D4312">
        <w:rPr>
          <w:rStyle w:val="FootnoteReference"/>
          <w:vertAlign w:val="baseline"/>
        </w:rPr>
        <w:t>eździe</w:t>
      </w:r>
      <w:r w:rsidR="00B83C93" w:rsidRPr="002D4312">
        <w:rPr>
          <w:rStyle w:val="FootnoteReference"/>
          <w:vertAlign w:val="baseline"/>
        </w:rPr>
        <w:t xml:space="preserve"> i</w:t>
      </w:r>
      <w:r w:rsidR="00B83C93">
        <w:rPr>
          <w:rStyle w:val="FootnoteReference"/>
          <w:vertAlign w:val="baseline"/>
        </w:rPr>
        <w:t> </w:t>
      </w:r>
      <w:r w:rsidR="00B83C93" w:rsidRPr="002D4312">
        <w:rPr>
          <w:rStyle w:val="FootnoteReference"/>
          <w:vertAlign w:val="baseline"/>
        </w:rPr>
        <w:t>nie</w:t>
      </w:r>
      <w:r w:rsidRPr="002D4312">
        <w:rPr>
          <w:rStyle w:val="FootnoteReference"/>
          <w:vertAlign w:val="baseline"/>
        </w:rPr>
        <w:t>chronionych uczestników ruchu drogowego (Dz.U. L 325</w:t>
      </w:r>
      <w:r w:rsidR="00B83C93" w:rsidRPr="002D4312">
        <w:rPr>
          <w:rStyle w:val="FootnoteReference"/>
          <w:vertAlign w:val="baseline"/>
        </w:rPr>
        <w:t xml:space="preserve"> z</w:t>
      </w:r>
      <w:r w:rsidR="00B83C93">
        <w:rPr>
          <w:rStyle w:val="FootnoteReference"/>
          <w:vertAlign w:val="baseline"/>
        </w:rPr>
        <w:t> </w:t>
      </w:r>
      <w:r w:rsidR="00B83C93" w:rsidRPr="002D4312">
        <w:rPr>
          <w:rStyle w:val="FootnoteReference"/>
          <w:vertAlign w:val="baseline"/>
        </w:rPr>
        <w:t>1</w:t>
      </w:r>
      <w:r w:rsidRPr="002D4312">
        <w:rPr>
          <w:rStyle w:val="FootnoteReference"/>
          <w:vertAlign w:val="baseline"/>
        </w:rPr>
        <w:t>6.12.2019, s. 1)</w:t>
      </w:r>
      <w:r w:rsidR="002D4312" w:rsidRPr="002D4312">
        <w:t>.</w:t>
      </w:r>
      <w:r w:rsidRPr="002D4312">
        <w:t xml:space="preserve"> </w:t>
      </w:r>
      <w:hyperlink r:id="rId19" w:history="1">
        <w:r w:rsidRPr="00DF5519">
          <w:rPr>
            <w:rStyle w:val="Hyperlink"/>
          </w:rPr>
          <w:t>EUR-Lex - 02019R2144-20220905 - EN - EUR-Lex (europa.eu)</w:t>
        </w:r>
      </w:hyperlink>
    </w:p>
  </w:footnote>
  <w:footnote w:id="29">
    <w:p w:rsidR="00C24437" w:rsidRPr="008B4DA2" w:rsidRDefault="00C24437">
      <w:pPr>
        <w:pStyle w:val="FootnoteText"/>
      </w:pPr>
      <w:r>
        <w:rPr>
          <w:rStyle w:val="FootnoteReference"/>
        </w:rPr>
        <w:footnoteRef/>
      </w:r>
      <w:r w:rsidRPr="008B4DA2">
        <w:tab/>
        <w:t>W którym przewiduje się obowiązkowe wyposażenie nowych pojazdów</w:t>
      </w:r>
      <w:r w:rsidR="00B83C93" w:rsidRPr="008B4DA2">
        <w:t xml:space="preserve"> w</w:t>
      </w:r>
      <w:r w:rsidR="00B83C93">
        <w:t> </w:t>
      </w:r>
      <w:r w:rsidR="00B83C93" w:rsidRPr="008B4DA2">
        <w:t>zaa</w:t>
      </w:r>
      <w:r w:rsidRPr="008B4DA2">
        <w:t>wansowane funkcje bezpieczeństwa.</w:t>
      </w:r>
    </w:p>
  </w:footnote>
  <w:footnote w:id="30">
    <w:p w:rsidR="00C24437" w:rsidRPr="00DF5519" w:rsidRDefault="00C24437" w:rsidP="00BD67F9">
      <w:pPr>
        <w:pStyle w:val="FootnoteText"/>
        <w:rPr>
          <w:lang w:val="en-US"/>
        </w:rPr>
      </w:pPr>
      <w:r>
        <w:rPr>
          <w:rStyle w:val="FootnoteReference"/>
        </w:rPr>
        <w:footnoteRef/>
      </w:r>
      <w:r w:rsidRPr="00DF5519">
        <w:rPr>
          <w:lang w:val="en-US"/>
        </w:rPr>
        <w:tab/>
        <w:t xml:space="preserve">SWD(2019) 283 final. </w:t>
      </w:r>
      <w:hyperlink r:id="rId20" w:history="1">
        <w:r w:rsidRPr="00DF5519">
          <w:rPr>
            <w:rStyle w:val="Hyperlink"/>
            <w:lang w:val="en-US"/>
          </w:rPr>
          <w:t>https://transport.ec.europa.eu/system/files/2021-10/SWD2190283.pdf</w:t>
        </w:r>
      </w:hyperlink>
      <w:r w:rsidRPr="00DF5519">
        <w:rPr>
          <w:lang w:val="en-US"/>
        </w:rPr>
        <w:t xml:space="preserve"> </w:t>
      </w:r>
    </w:p>
  </w:footnote>
  <w:footnote w:id="31">
    <w:p w:rsidR="00C24437" w:rsidRPr="008B4DA2" w:rsidRDefault="00C24437" w:rsidP="00BD67F9">
      <w:pPr>
        <w:pStyle w:val="FootnoteText"/>
        <w:rPr>
          <w:lang w:val="fr-BE"/>
        </w:rPr>
      </w:pPr>
      <w:r>
        <w:rPr>
          <w:rStyle w:val="FootnoteReference"/>
        </w:rPr>
        <w:footnoteRef/>
      </w:r>
      <w:r w:rsidRPr="008B4DA2">
        <w:rPr>
          <w:lang w:val="fr-BE"/>
        </w:rPr>
        <w:tab/>
        <w:t>Dz.U. L 235</w:t>
      </w:r>
      <w:r w:rsidR="00B83C93" w:rsidRPr="008B4DA2">
        <w:rPr>
          <w:lang w:val="fr-BE"/>
        </w:rPr>
        <w:t xml:space="preserve"> z</w:t>
      </w:r>
      <w:r w:rsidR="00B83C93">
        <w:rPr>
          <w:lang w:val="fr-BE"/>
        </w:rPr>
        <w:t> </w:t>
      </w:r>
      <w:r w:rsidR="00B83C93" w:rsidRPr="008B4DA2">
        <w:rPr>
          <w:lang w:val="fr-BE"/>
        </w:rPr>
        <w:t>1</w:t>
      </w:r>
      <w:r w:rsidRPr="008B4DA2">
        <w:rPr>
          <w:lang w:val="fr-BE"/>
        </w:rPr>
        <w:t xml:space="preserve">7.9.1996, s. 59. </w:t>
      </w:r>
      <w:hyperlink r:id="rId21" w:history="1">
        <w:r w:rsidRPr="008B4DA2">
          <w:rPr>
            <w:rStyle w:val="Hyperlink"/>
            <w:lang w:val="fr-BE"/>
          </w:rPr>
          <w:t>EUR-Lex - 01996L0053-20190814 - EN - EUR-Lex (europa.eu)</w:t>
        </w:r>
      </w:hyperlink>
    </w:p>
  </w:footnote>
  <w:footnote w:id="32">
    <w:p w:rsidR="00C24437" w:rsidRPr="008B4DA2" w:rsidRDefault="00C24437" w:rsidP="00BD67F9">
      <w:pPr>
        <w:pStyle w:val="FootnoteText"/>
        <w:rPr>
          <w:vertAlign w:val="subscript"/>
          <w:lang w:val="fr-BE"/>
        </w:rPr>
      </w:pPr>
      <w:r>
        <w:rPr>
          <w:rStyle w:val="FootnoteReference"/>
        </w:rPr>
        <w:footnoteRef/>
      </w:r>
      <w:r w:rsidRPr="008B4DA2">
        <w:rPr>
          <w:lang w:val="fr-BE"/>
        </w:rPr>
        <w:tab/>
        <w:t>Dz.U. L 60</w:t>
      </w:r>
      <w:r w:rsidR="00B83C93" w:rsidRPr="008B4DA2">
        <w:rPr>
          <w:lang w:val="fr-BE"/>
        </w:rPr>
        <w:t xml:space="preserve"> z</w:t>
      </w:r>
      <w:r w:rsidR="00B83C93">
        <w:rPr>
          <w:lang w:val="fr-BE"/>
        </w:rPr>
        <w:t> </w:t>
      </w:r>
      <w:r w:rsidR="00B83C93" w:rsidRPr="008B4DA2">
        <w:rPr>
          <w:lang w:val="fr-BE"/>
        </w:rPr>
        <w:t>2</w:t>
      </w:r>
      <w:r w:rsidRPr="008B4DA2">
        <w:rPr>
          <w:lang w:val="fr-BE"/>
        </w:rPr>
        <w:t xml:space="preserve">.3.2013, s. 52. </w:t>
      </w:r>
      <w:hyperlink r:id="rId22" w:history="1">
        <w:r w:rsidRPr="008B4DA2">
          <w:rPr>
            <w:rStyle w:val="Hyperlink"/>
            <w:lang w:val="fr-BE"/>
          </w:rPr>
          <w:t>EUR-Lex - 02013R0168-20201114 - EN - EUR-Lex (europa.eu)</w:t>
        </w:r>
      </w:hyperlink>
    </w:p>
  </w:footnote>
  <w:footnote w:id="33">
    <w:p w:rsidR="00C24437" w:rsidRPr="008B4DA2" w:rsidRDefault="00C24437" w:rsidP="00BD67F9">
      <w:pPr>
        <w:pStyle w:val="FootnoteText"/>
        <w:rPr>
          <w:lang w:val="fr-BE"/>
        </w:rPr>
      </w:pPr>
      <w:r>
        <w:rPr>
          <w:rStyle w:val="FootnoteReference"/>
        </w:rPr>
        <w:footnoteRef/>
      </w:r>
      <w:r w:rsidRPr="008B4DA2">
        <w:rPr>
          <w:lang w:val="fr-BE"/>
        </w:rPr>
        <w:tab/>
        <w:t>Dz.U. L 330</w:t>
      </w:r>
      <w:r w:rsidR="00B83C93" w:rsidRPr="008B4DA2">
        <w:rPr>
          <w:lang w:val="fr-BE"/>
        </w:rPr>
        <w:t xml:space="preserve"> z</w:t>
      </w:r>
      <w:r w:rsidR="00B83C93">
        <w:rPr>
          <w:lang w:val="fr-BE"/>
        </w:rPr>
        <w:t> </w:t>
      </w:r>
      <w:r w:rsidR="00B83C93" w:rsidRPr="008B4DA2">
        <w:rPr>
          <w:lang w:val="fr-BE"/>
        </w:rPr>
        <w:t>2</w:t>
      </w:r>
      <w:r w:rsidRPr="008B4DA2">
        <w:rPr>
          <w:lang w:val="fr-BE"/>
        </w:rPr>
        <w:t>3.12.2022, s. 46.</w:t>
      </w:r>
      <w:r w:rsidR="00EB45D9">
        <w:rPr>
          <w:lang w:val="fr-BE"/>
        </w:rPr>
        <w:t xml:space="preserve"> </w:t>
      </w:r>
      <w:hyperlink r:id="rId23" w:history="1">
        <w:r w:rsidRPr="008B4DA2">
          <w:rPr>
            <w:rStyle w:val="Hyperlink"/>
            <w:lang w:val="fr-BE"/>
          </w:rPr>
          <w:t>EUR-Lex - 32022L2561 - EN - EUR-Lex (europa.eu)</w:t>
        </w:r>
      </w:hyperlink>
    </w:p>
  </w:footnote>
  <w:footnote w:id="34">
    <w:p w:rsidR="00C24437" w:rsidRPr="008B4DA2" w:rsidRDefault="00C24437" w:rsidP="00BD67F9">
      <w:pPr>
        <w:pStyle w:val="FootnoteText"/>
        <w:rPr>
          <w:lang w:val="fr-BE"/>
        </w:rPr>
      </w:pPr>
      <w:r>
        <w:rPr>
          <w:rStyle w:val="FootnoteReference"/>
        </w:rPr>
        <w:footnoteRef/>
      </w:r>
      <w:r w:rsidRPr="008B4DA2">
        <w:rPr>
          <w:lang w:val="fr-BE"/>
        </w:rPr>
        <w:tab/>
        <w:t>Dz.U. L 119</w:t>
      </w:r>
      <w:r w:rsidR="00B83C93" w:rsidRPr="008B4DA2">
        <w:rPr>
          <w:lang w:val="fr-BE"/>
        </w:rPr>
        <w:t xml:space="preserve"> z</w:t>
      </w:r>
      <w:r w:rsidR="00B83C93">
        <w:rPr>
          <w:lang w:val="fr-BE"/>
        </w:rPr>
        <w:t> </w:t>
      </w:r>
      <w:r w:rsidR="00B83C93" w:rsidRPr="008B4DA2">
        <w:rPr>
          <w:lang w:val="fr-BE"/>
        </w:rPr>
        <w:t>4</w:t>
      </w:r>
      <w:r w:rsidRPr="008B4DA2">
        <w:rPr>
          <w:lang w:val="fr-BE"/>
        </w:rPr>
        <w:t xml:space="preserve">.5.2016, s. 1. </w:t>
      </w:r>
      <w:hyperlink r:id="rId24" w:history="1">
        <w:r w:rsidRPr="008B4DA2">
          <w:rPr>
            <w:rStyle w:val="Hyperlink"/>
            <w:lang w:val="fr-BE"/>
          </w:rPr>
          <w:t>EUR-Lex - 32016R0679 - EN - EUR-Lex (europa.eu)</w:t>
        </w:r>
      </w:hyperlink>
    </w:p>
  </w:footnote>
  <w:footnote w:id="35">
    <w:p w:rsidR="00C24437" w:rsidRPr="008B4DA2" w:rsidRDefault="00C24437" w:rsidP="00BD67F9">
      <w:pPr>
        <w:spacing w:before="0" w:after="0"/>
        <w:rPr>
          <w:sz w:val="20"/>
          <w:szCs w:val="20"/>
          <w:lang w:val="fr-BE"/>
        </w:rPr>
      </w:pPr>
      <w:r>
        <w:rPr>
          <w:rStyle w:val="FootnoteReference"/>
        </w:rPr>
        <w:footnoteRef/>
      </w:r>
      <w:r w:rsidRPr="008B4DA2">
        <w:rPr>
          <w:lang w:val="fr-BE"/>
        </w:rPr>
        <w:tab/>
      </w:r>
      <w:r w:rsidRPr="008B4DA2">
        <w:rPr>
          <w:sz w:val="20"/>
          <w:lang w:val="fr-BE"/>
        </w:rPr>
        <w:t xml:space="preserve">COM(2021) 281 final. </w:t>
      </w:r>
      <w:hyperlink r:id="rId25" w:history="1">
        <w:r w:rsidRPr="008B4DA2">
          <w:rPr>
            <w:rStyle w:val="Hyperlink"/>
            <w:sz w:val="20"/>
            <w:lang w:val="fr-BE"/>
          </w:rPr>
          <w:t>EUR-Lex - 52021PC0281 - PL - EUR-Lex (europa.eu)</w:t>
        </w:r>
      </w:hyperlink>
    </w:p>
  </w:footnote>
  <w:footnote w:id="36">
    <w:p w:rsidR="00C24437" w:rsidRPr="008B4DA2" w:rsidRDefault="00C24437" w:rsidP="00BD67F9">
      <w:pPr>
        <w:pStyle w:val="FootnoteText"/>
        <w:rPr>
          <w:lang w:val="fr-BE"/>
        </w:rPr>
      </w:pPr>
      <w:r>
        <w:rPr>
          <w:rStyle w:val="FootnoteReference"/>
        </w:rPr>
        <w:footnoteRef/>
      </w:r>
      <w:r w:rsidRPr="008B4DA2">
        <w:tab/>
        <w:t>Rozporządzenie Parlamentu Europejskiego</w:t>
      </w:r>
      <w:r w:rsidR="00B83C93" w:rsidRPr="008B4DA2">
        <w:t xml:space="preserve"> i</w:t>
      </w:r>
      <w:r w:rsidR="00B83C93">
        <w:t> </w:t>
      </w:r>
      <w:r w:rsidR="00B83C93" w:rsidRPr="008B4DA2">
        <w:t>Rad</w:t>
      </w:r>
      <w:r w:rsidRPr="008B4DA2">
        <w:t xml:space="preserve">y (UE) </w:t>
      </w:r>
      <w:r w:rsidRPr="00B83C93">
        <w:t>nr</w:t>
      </w:r>
      <w:r w:rsidR="00B83C93" w:rsidRPr="00B83C93">
        <w:t> </w:t>
      </w:r>
      <w:r w:rsidRPr="00B83C93">
        <w:t>9</w:t>
      </w:r>
      <w:r w:rsidRPr="008B4DA2">
        <w:t>10/2014</w:t>
      </w:r>
      <w:r w:rsidR="00B83C93" w:rsidRPr="008B4DA2">
        <w:t xml:space="preserve"> z</w:t>
      </w:r>
      <w:r w:rsidR="00B83C93">
        <w:t> </w:t>
      </w:r>
      <w:r w:rsidR="00B83C93" w:rsidRPr="008B4DA2">
        <w:t>dni</w:t>
      </w:r>
      <w:r w:rsidRPr="008B4DA2">
        <w:t>a 23 lipca 20</w:t>
      </w:r>
      <w:r w:rsidRPr="00B83C93">
        <w:t>14</w:t>
      </w:r>
      <w:r w:rsidR="00B83C93" w:rsidRPr="00B83C93">
        <w:t> </w:t>
      </w:r>
      <w:r w:rsidRPr="00B83C93">
        <w:t>r.</w:t>
      </w:r>
      <w:r w:rsidR="00B83C93" w:rsidRPr="008B4DA2">
        <w:t xml:space="preserve"> w</w:t>
      </w:r>
      <w:r w:rsidR="00B83C93">
        <w:t> </w:t>
      </w:r>
      <w:r w:rsidR="00B83C93" w:rsidRPr="008B4DA2">
        <w:t>spr</w:t>
      </w:r>
      <w:r w:rsidRPr="008B4DA2">
        <w:t>awie identyfikacji elektronicznej</w:t>
      </w:r>
      <w:r w:rsidR="00B83C93" w:rsidRPr="008B4DA2">
        <w:t xml:space="preserve"> i</w:t>
      </w:r>
      <w:r w:rsidR="00B83C93">
        <w:t> </w:t>
      </w:r>
      <w:r w:rsidR="00B83C93" w:rsidRPr="008B4DA2">
        <w:t>usł</w:t>
      </w:r>
      <w:r w:rsidRPr="008B4DA2">
        <w:t>ug zaufania</w:t>
      </w:r>
      <w:r w:rsidR="00B83C93" w:rsidRPr="008B4DA2">
        <w:t xml:space="preserve"> w</w:t>
      </w:r>
      <w:r w:rsidR="00B83C93">
        <w:t> </w:t>
      </w:r>
      <w:r w:rsidR="00B83C93" w:rsidRPr="008B4DA2">
        <w:t>odn</w:t>
      </w:r>
      <w:r w:rsidRPr="008B4DA2">
        <w:t>iesieniu do transakcji elektronicznych na rynku wewnętrznym, Dz.U. L 257</w:t>
      </w:r>
      <w:r w:rsidR="00B83C93" w:rsidRPr="008B4DA2">
        <w:t xml:space="preserve"> z</w:t>
      </w:r>
      <w:r w:rsidR="00B83C93">
        <w:t> </w:t>
      </w:r>
      <w:r w:rsidR="00B83C93" w:rsidRPr="008B4DA2">
        <w:t>2</w:t>
      </w:r>
      <w:r w:rsidRPr="008B4DA2">
        <w:t xml:space="preserve">8.8.2014, s. 73. </w:t>
      </w:r>
      <w:hyperlink r:id="rId26" w:history="1">
        <w:r w:rsidRPr="008B4DA2">
          <w:rPr>
            <w:rStyle w:val="Hyperlink"/>
            <w:lang w:val="fr-BE"/>
          </w:rPr>
          <w:t>EUR-Lex - 32014R0910 - EN - EUR-Lex (europa.eu)</w:t>
        </w:r>
      </w:hyperlink>
    </w:p>
  </w:footnote>
  <w:footnote w:id="37">
    <w:p w:rsidR="00C24437" w:rsidRPr="008B4DA2" w:rsidRDefault="00C24437" w:rsidP="00BD67F9">
      <w:pPr>
        <w:pStyle w:val="FootnoteText"/>
        <w:rPr>
          <w:lang w:val="fr-BE"/>
        </w:rPr>
      </w:pPr>
      <w:r>
        <w:rPr>
          <w:rStyle w:val="FootnoteReference"/>
        </w:rPr>
        <w:footnoteRef/>
      </w:r>
      <w:r w:rsidRPr="008B4DA2">
        <w:rPr>
          <w:lang w:val="fr-BE"/>
        </w:rPr>
        <w:tab/>
        <w:t>Dz.U. C 115</w:t>
      </w:r>
      <w:r w:rsidR="00B83C93" w:rsidRPr="008B4DA2">
        <w:rPr>
          <w:lang w:val="fr-BE"/>
        </w:rPr>
        <w:t xml:space="preserve"> z</w:t>
      </w:r>
      <w:r w:rsidR="00B83C93">
        <w:rPr>
          <w:lang w:val="fr-BE"/>
        </w:rPr>
        <w:t> </w:t>
      </w:r>
      <w:r w:rsidR="00B83C93" w:rsidRPr="008B4DA2">
        <w:rPr>
          <w:lang w:val="fr-BE"/>
        </w:rPr>
        <w:t>9</w:t>
      </w:r>
      <w:r w:rsidRPr="008B4DA2">
        <w:rPr>
          <w:lang w:val="fr-BE"/>
        </w:rPr>
        <w:t xml:space="preserve">.5.2008, s. 85. </w:t>
      </w:r>
      <w:hyperlink r:id="rId27" w:history="1">
        <w:r w:rsidRPr="008B4DA2">
          <w:rPr>
            <w:rStyle w:val="Hyperlink"/>
            <w:lang w:val="fr-BE"/>
          </w:rPr>
          <w:t>EUR-Lex - 12008E091 - EN - EUR-Lex (europa.eu)</w:t>
        </w:r>
      </w:hyperlink>
    </w:p>
  </w:footnote>
  <w:footnote w:id="38">
    <w:p w:rsidR="00C24437" w:rsidRPr="008B4DA2" w:rsidRDefault="00C24437" w:rsidP="00BD67F9">
      <w:pPr>
        <w:pStyle w:val="FootnoteText"/>
        <w:rPr>
          <w:lang w:val="fr-BE"/>
        </w:rPr>
      </w:pPr>
      <w:r>
        <w:rPr>
          <w:rStyle w:val="FootnoteReference"/>
        </w:rPr>
        <w:footnoteRef/>
      </w:r>
      <w:r w:rsidRPr="008B4DA2">
        <w:rPr>
          <w:lang w:val="fr-BE"/>
        </w:rPr>
        <w:tab/>
        <w:t>Hiszpania, Malta, Cypr</w:t>
      </w:r>
      <w:r w:rsidR="00B83C93" w:rsidRPr="008B4DA2">
        <w:rPr>
          <w:lang w:val="fr-BE"/>
        </w:rPr>
        <w:t xml:space="preserve"> i</w:t>
      </w:r>
      <w:r w:rsidR="00B83C93">
        <w:rPr>
          <w:lang w:val="fr-BE"/>
        </w:rPr>
        <w:t> </w:t>
      </w:r>
      <w:r w:rsidR="00B83C93" w:rsidRPr="008B4DA2">
        <w:rPr>
          <w:lang w:val="fr-BE"/>
        </w:rPr>
        <w:t>Irl</w:t>
      </w:r>
      <w:r w:rsidRPr="008B4DA2">
        <w:rPr>
          <w:lang w:val="fr-BE"/>
        </w:rPr>
        <w:t>andia.</w:t>
      </w:r>
    </w:p>
  </w:footnote>
  <w:footnote w:id="39">
    <w:p w:rsidR="00C24437" w:rsidRPr="008B4DA2" w:rsidRDefault="00C24437" w:rsidP="00BD67F9">
      <w:pPr>
        <w:pStyle w:val="FootnoteText"/>
      </w:pPr>
      <w:r>
        <w:rPr>
          <w:rStyle w:val="FootnoteReference"/>
        </w:rPr>
        <w:footnoteRef/>
      </w:r>
      <w:r w:rsidRPr="008B4DA2">
        <w:tab/>
        <w:t>Konwencja</w:t>
      </w:r>
      <w:r w:rsidR="00B83C93" w:rsidRPr="008B4DA2">
        <w:t xml:space="preserve"> o</w:t>
      </w:r>
      <w:r w:rsidR="00B83C93">
        <w:t> </w:t>
      </w:r>
      <w:r w:rsidR="00B83C93" w:rsidRPr="008B4DA2">
        <w:t>ruc</w:t>
      </w:r>
      <w:r w:rsidRPr="008B4DA2">
        <w:t>hu drogowym, sporządzona</w:t>
      </w:r>
      <w:r w:rsidR="00B83C93" w:rsidRPr="008B4DA2">
        <w:t xml:space="preserve"> w</w:t>
      </w:r>
      <w:r w:rsidR="00B83C93">
        <w:t> </w:t>
      </w:r>
      <w:r w:rsidR="00B83C93" w:rsidRPr="008B4DA2">
        <w:t>Wie</w:t>
      </w:r>
      <w:r w:rsidRPr="008B4DA2">
        <w:t>dniu dnia 8 listopada 19</w:t>
      </w:r>
      <w:r w:rsidRPr="00B83C93">
        <w:t>68</w:t>
      </w:r>
      <w:r w:rsidR="00B83C93" w:rsidRPr="00B83C93">
        <w:t> </w:t>
      </w:r>
      <w:r w:rsidRPr="00B83C93">
        <w:t>r.</w:t>
      </w:r>
    </w:p>
  </w:footnote>
  <w:footnote w:id="40">
    <w:p w:rsidR="00C24437" w:rsidRPr="008B4DA2" w:rsidRDefault="00C24437" w:rsidP="00BD67F9">
      <w:pPr>
        <w:pStyle w:val="FootnoteText"/>
        <w:rPr>
          <w:lang w:val="fr-BE"/>
        </w:rPr>
      </w:pPr>
      <w:r>
        <w:rPr>
          <w:rStyle w:val="FootnoteReference"/>
        </w:rPr>
        <w:footnoteRef/>
      </w:r>
      <w:r w:rsidRPr="008B4DA2">
        <w:rPr>
          <w:lang w:val="fr-BE"/>
        </w:rPr>
        <w:tab/>
        <w:t xml:space="preserve">SWD(2022) 17 final. </w:t>
      </w:r>
    </w:p>
  </w:footnote>
  <w:footnote w:id="41">
    <w:p w:rsidR="00C24437" w:rsidRPr="008B4DA2" w:rsidRDefault="00C24437" w:rsidP="00BD67F9">
      <w:pPr>
        <w:pStyle w:val="FootnoteText"/>
        <w:rPr>
          <w:lang w:val="fr-BE"/>
        </w:rPr>
      </w:pPr>
      <w:r>
        <w:rPr>
          <w:rStyle w:val="FootnoteReference"/>
        </w:rPr>
        <w:footnoteRef/>
      </w:r>
      <w:r w:rsidRPr="008B4DA2">
        <w:rPr>
          <w:lang w:val="fr-BE"/>
        </w:rPr>
        <w:tab/>
        <w:t>Dz.U. L 68</w:t>
      </w:r>
      <w:r w:rsidR="00B83C93" w:rsidRPr="008B4DA2">
        <w:rPr>
          <w:lang w:val="fr-BE"/>
        </w:rPr>
        <w:t xml:space="preserve"> z</w:t>
      </w:r>
      <w:r w:rsidR="00B83C93">
        <w:rPr>
          <w:lang w:val="fr-BE"/>
        </w:rPr>
        <w:t> </w:t>
      </w:r>
      <w:r w:rsidR="00B83C93" w:rsidRPr="008B4DA2">
        <w:rPr>
          <w:lang w:val="fr-BE"/>
        </w:rPr>
        <w:t>1</w:t>
      </w:r>
      <w:r w:rsidRPr="008B4DA2">
        <w:rPr>
          <w:lang w:val="fr-BE"/>
        </w:rPr>
        <w:t xml:space="preserve">3.3.2015, s. 9. </w:t>
      </w:r>
      <w:hyperlink r:id="rId28" w:history="1">
        <w:r w:rsidRPr="008B4DA2">
          <w:rPr>
            <w:rStyle w:val="Hyperlink"/>
            <w:lang w:val="fr-BE"/>
          </w:rPr>
          <w:t>EUR-Lex - 32015L0413 - EN - EUR-Lex (europa.eu)</w:t>
        </w:r>
      </w:hyperlink>
    </w:p>
  </w:footnote>
  <w:footnote w:id="42">
    <w:p w:rsidR="00C24437" w:rsidRPr="008B4DA2" w:rsidRDefault="00C24437" w:rsidP="00BD67F9">
      <w:pPr>
        <w:pStyle w:val="FootnoteText"/>
        <w:rPr>
          <w:sz w:val="16"/>
          <w:szCs w:val="16"/>
          <w:lang w:val="fr-BE"/>
        </w:rPr>
      </w:pPr>
      <w:r>
        <w:rPr>
          <w:rStyle w:val="FootnoteReference"/>
        </w:rPr>
        <w:footnoteRef/>
      </w:r>
      <w:r w:rsidRPr="008B4DA2">
        <w:rPr>
          <w:lang w:val="fr-BE"/>
        </w:rPr>
        <w:tab/>
        <w:t>Dz.U. L 325</w:t>
      </w:r>
      <w:r w:rsidR="00B83C93" w:rsidRPr="008B4DA2">
        <w:rPr>
          <w:lang w:val="fr-BE"/>
        </w:rPr>
        <w:t xml:space="preserve"> z</w:t>
      </w:r>
      <w:r w:rsidR="00B83C93">
        <w:rPr>
          <w:lang w:val="fr-BE"/>
        </w:rPr>
        <w:t> </w:t>
      </w:r>
      <w:r w:rsidR="00B83C93" w:rsidRPr="008B4DA2">
        <w:rPr>
          <w:lang w:val="fr-BE"/>
        </w:rPr>
        <w:t>1</w:t>
      </w:r>
      <w:r w:rsidRPr="008B4DA2">
        <w:rPr>
          <w:lang w:val="fr-BE"/>
        </w:rPr>
        <w:t xml:space="preserve">6.12.2019, s. 1 </w:t>
      </w:r>
      <w:hyperlink r:id="rId29" w:history="1">
        <w:r w:rsidRPr="008B4DA2">
          <w:rPr>
            <w:rStyle w:val="Hyperlink"/>
            <w:lang w:val="fr-BE"/>
          </w:rPr>
          <w:t>EUR-Lex-32019R2144 - EN - EUR-Lex (europa.eu)</w:t>
        </w:r>
      </w:hyperlink>
    </w:p>
  </w:footnote>
  <w:footnote w:id="43">
    <w:p w:rsidR="00C24437" w:rsidRPr="00DF5519" w:rsidRDefault="00C24437" w:rsidP="00BD67F9">
      <w:pPr>
        <w:pStyle w:val="FootnoteText"/>
        <w:rPr>
          <w:lang w:val="en-US"/>
        </w:rPr>
      </w:pPr>
      <w:r>
        <w:rPr>
          <w:rStyle w:val="FootnoteReference"/>
        </w:rPr>
        <w:footnoteRef/>
      </w:r>
      <w:r w:rsidRPr="00DF5519">
        <w:rPr>
          <w:lang w:val="en-US"/>
        </w:rPr>
        <w:tab/>
        <w:t>SWD(2023) 128 final.</w:t>
      </w:r>
    </w:p>
  </w:footnote>
  <w:footnote w:id="44">
    <w:p w:rsidR="00C24437" w:rsidRPr="00DF5519" w:rsidRDefault="00C24437" w:rsidP="00BD67F9">
      <w:pPr>
        <w:pStyle w:val="FootnoteText"/>
        <w:rPr>
          <w:lang w:val="en-US"/>
        </w:rPr>
      </w:pPr>
      <w:r>
        <w:rPr>
          <w:rStyle w:val="FootnoteReference"/>
        </w:rPr>
        <w:footnoteRef/>
      </w:r>
      <w:r w:rsidRPr="00DF5519">
        <w:rPr>
          <w:lang w:val="en-US"/>
        </w:rPr>
        <w:tab/>
        <w:t>RSB/RM/cdd – rsb(2022)7907617</w:t>
      </w:r>
    </w:p>
  </w:footnote>
  <w:footnote w:id="45">
    <w:p w:rsidR="00C24437" w:rsidRPr="008B4DA2" w:rsidRDefault="00C24437" w:rsidP="00BD67F9">
      <w:pPr>
        <w:pStyle w:val="FootnoteText"/>
      </w:pPr>
      <w:r>
        <w:rPr>
          <w:rStyle w:val="FootnoteReference"/>
        </w:rPr>
        <w:footnoteRef/>
      </w:r>
      <w:r w:rsidRPr="008B4DA2">
        <w:tab/>
        <w:t>Jeżeli dana osoba jest na przykład uprawniona do kierowania lekkim motocyklem, posiadając prawo jazdy kategorii B</w:t>
      </w:r>
      <w:r w:rsidR="00B83C93" w:rsidRPr="008B4DA2">
        <w:t xml:space="preserve"> w</w:t>
      </w:r>
      <w:r w:rsidR="00B83C93">
        <w:t> </w:t>
      </w:r>
      <w:r w:rsidR="00B83C93" w:rsidRPr="008B4DA2">
        <w:t>swo</w:t>
      </w:r>
      <w:r w:rsidRPr="008B4DA2">
        <w:t>im kraju zamieszkania, będzie mogła kierować takim pojazdem</w:t>
      </w:r>
      <w:r w:rsidR="00B83C93" w:rsidRPr="008B4DA2">
        <w:t xml:space="preserve"> w</w:t>
      </w:r>
      <w:r w:rsidR="00B83C93">
        <w:t> </w:t>
      </w:r>
      <w:r w:rsidR="00B83C93" w:rsidRPr="008B4DA2">
        <w:t>każ</w:t>
      </w:r>
      <w:r w:rsidRPr="008B4DA2">
        <w:t>dym innym państwie członkowskim, które zastosowało tę samą fakultatywną równoważność.</w:t>
      </w:r>
    </w:p>
  </w:footnote>
  <w:footnote w:id="46">
    <w:p w:rsidR="00C24437" w:rsidRPr="008B4DA2" w:rsidRDefault="00C24437" w:rsidP="00BD67F9">
      <w:pPr>
        <w:pStyle w:val="FootnoteText"/>
        <w:rPr>
          <w:lang w:val="fr-BE"/>
        </w:rPr>
      </w:pPr>
      <w:r>
        <w:rPr>
          <w:rStyle w:val="FootnoteReference"/>
        </w:rPr>
        <w:footnoteRef/>
      </w:r>
      <w:r w:rsidRPr="008B4DA2">
        <w:rPr>
          <w:lang w:val="fr-BE"/>
        </w:rPr>
        <w:tab/>
        <w:t>COM (2021) 118 final.</w:t>
      </w:r>
      <w:r w:rsidR="00EB45D9">
        <w:rPr>
          <w:lang w:val="fr-BE"/>
        </w:rPr>
        <w:t xml:space="preserve"> </w:t>
      </w:r>
      <w:hyperlink r:id="rId30" w:history="1">
        <w:r w:rsidRPr="008B4DA2">
          <w:rPr>
            <w:rStyle w:val="Hyperlink"/>
            <w:lang w:val="fr-BE"/>
          </w:rPr>
          <w:t>EUR-Lex - 52021DC0118 - PL - EUR-Lex (europa.eu)</w:t>
        </w:r>
      </w:hyperlink>
    </w:p>
  </w:footnote>
  <w:footnote w:id="47">
    <w:p w:rsidR="00C24437" w:rsidRPr="008B4DA2" w:rsidRDefault="00C24437" w:rsidP="00BD67F9">
      <w:pPr>
        <w:pStyle w:val="FootnoteText"/>
        <w:rPr>
          <w:lang w:val="fr-BE"/>
        </w:rPr>
      </w:pPr>
      <w:r>
        <w:rPr>
          <w:rStyle w:val="FootnoteReference"/>
        </w:rPr>
        <w:footnoteRef/>
      </w:r>
      <w:r w:rsidRPr="008B4DA2">
        <w:rPr>
          <w:lang w:val="fr-BE"/>
        </w:rPr>
        <w:tab/>
        <w:t>COM (2021) 645 final.</w:t>
      </w:r>
      <w:r w:rsidR="00EB45D9">
        <w:rPr>
          <w:lang w:val="fr-BE"/>
        </w:rPr>
        <w:t xml:space="preserve"> </w:t>
      </w:r>
      <w:hyperlink r:id="rId31" w:history="1">
        <w:r w:rsidRPr="008B4DA2">
          <w:rPr>
            <w:rStyle w:val="Hyperlink"/>
            <w:lang w:val="fr-BE"/>
          </w:rPr>
          <w:t>EUR-Lex - 52021DC0645 - PL - EUR-Lex (europa.eu)</w:t>
        </w:r>
      </w:hyperlink>
    </w:p>
  </w:footnote>
  <w:footnote w:id="48">
    <w:p w:rsidR="00C24437" w:rsidRPr="008B4DA2" w:rsidRDefault="00C24437" w:rsidP="00BD67F9">
      <w:pPr>
        <w:pStyle w:val="FootnoteText"/>
      </w:pPr>
      <w:r>
        <w:rPr>
          <w:rStyle w:val="FootnoteReference"/>
        </w:rPr>
        <w:footnoteRef/>
      </w:r>
      <w:r w:rsidRPr="008B4DA2">
        <w:tab/>
        <w:t>Dz.U. L 55</w:t>
      </w:r>
      <w:r w:rsidR="00B83C93" w:rsidRPr="008B4DA2">
        <w:t xml:space="preserve"> z</w:t>
      </w:r>
      <w:r w:rsidR="00B83C93">
        <w:t> </w:t>
      </w:r>
      <w:r w:rsidR="00B83C93" w:rsidRPr="008B4DA2">
        <w:t>2</w:t>
      </w:r>
      <w:r w:rsidRPr="008B4DA2">
        <w:t>8.2.2011, s. 13.</w:t>
      </w:r>
    </w:p>
  </w:footnote>
  <w:footnote w:id="49">
    <w:p w:rsidR="00C24437" w:rsidRPr="008B4DA2" w:rsidRDefault="00C24437" w:rsidP="00BD67F9">
      <w:pPr>
        <w:pStyle w:val="FootnoteText"/>
      </w:pPr>
      <w:r>
        <w:rPr>
          <w:rStyle w:val="FootnoteReference"/>
        </w:rPr>
        <w:footnoteRef/>
      </w:r>
      <w:r w:rsidRPr="008B4DA2">
        <w:tab/>
        <w:t>Dz.U. L 295</w:t>
      </w:r>
      <w:r w:rsidR="00B83C93" w:rsidRPr="008B4DA2">
        <w:t xml:space="preserve"> z</w:t>
      </w:r>
      <w:r w:rsidR="00B83C93">
        <w:t> </w:t>
      </w:r>
      <w:r w:rsidR="00B83C93" w:rsidRPr="008B4DA2">
        <w:t>2</w:t>
      </w:r>
      <w:r w:rsidRPr="008B4DA2">
        <w:t>1.11.2018, s. 1.</w:t>
      </w:r>
    </w:p>
  </w:footnote>
  <w:footnote w:id="50">
    <w:p w:rsidR="00C24437" w:rsidRPr="008B4DA2" w:rsidRDefault="00C24437" w:rsidP="00BD67F9">
      <w:pPr>
        <w:pStyle w:val="FootnoteText"/>
      </w:pPr>
      <w:r>
        <w:rPr>
          <w:rStyle w:val="FootnoteReference"/>
        </w:rPr>
        <w:footnoteRef/>
      </w:r>
      <w:r w:rsidRPr="008B4DA2">
        <w:tab/>
        <w:t>Dz.U. C 369</w:t>
      </w:r>
      <w:r w:rsidR="00B83C93" w:rsidRPr="008B4DA2">
        <w:t xml:space="preserve"> z</w:t>
      </w:r>
      <w:r w:rsidR="00B83C93">
        <w:t> </w:t>
      </w:r>
      <w:r w:rsidR="00B83C93" w:rsidRPr="008B4DA2">
        <w:t>1</w:t>
      </w:r>
      <w:r w:rsidRPr="008B4DA2">
        <w:t>7.12.2011, s. 14.</w:t>
      </w:r>
    </w:p>
  </w:footnote>
  <w:footnote w:id="51">
    <w:p w:rsidR="008229C6" w:rsidRDefault="00C24437" w:rsidP="00BD67F9">
      <w:pPr>
        <w:pStyle w:val="FootnoteText"/>
      </w:pPr>
      <w:r>
        <w:rPr>
          <w:rStyle w:val="FootnoteReference"/>
        </w:rPr>
        <w:footnoteRef/>
      </w:r>
      <w:r w:rsidRPr="008B4DA2">
        <w:tab/>
        <w:t>Dz.U. L 120</w:t>
      </w:r>
      <w:r w:rsidR="00B83C93" w:rsidRPr="008B4DA2">
        <w:t xml:space="preserve"> z</w:t>
      </w:r>
      <w:r w:rsidR="00B83C93">
        <w:t> </w:t>
      </w:r>
      <w:r w:rsidR="00B83C93" w:rsidRPr="008B4DA2">
        <w:t>5</w:t>
      </w:r>
      <w:r w:rsidRPr="008B4DA2">
        <w:t>.5.2012, s. 1.</w:t>
      </w:r>
    </w:p>
    <w:p w:rsidR="00C24437" w:rsidRPr="00BD7A9B" w:rsidRDefault="000319BC" w:rsidP="008229C6">
      <w:pPr>
        <w:pStyle w:val="FootnoteText"/>
        <w:ind w:firstLine="0"/>
      </w:pPr>
      <w:hyperlink r:id="rId32" w:history="1">
        <w:r w:rsidR="00C24437">
          <w:rPr>
            <w:rStyle w:val="Hyperlink"/>
          </w:rPr>
          <w:t>https://eur-lex.europa.eu/legal-content/PL/TXT/?uri=CELEX%3A32012R0383</w:t>
        </w:r>
      </w:hyperlink>
    </w:p>
  </w:footnote>
  <w:footnote w:id="52">
    <w:p w:rsidR="00C24437" w:rsidRPr="008B4DA2" w:rsidRDefault="00C24437" w:rsidP="00BD67F9">
      <w:pPr>
        <w:pStyle w:val="FootnoteText"/>
      </w:pPr>
      <w:r>
        <w:rPr>
          <w:rStyle w:val="FootnoteReference"/>
        </w:rPr>
        <w:footnoteRef/>
      </w:r>
      <w:r w:rsidRPr="008B4DA2">
        <w:tab/>
        <w:t>Dz.U. C […] z […], s. […].</w:t>
      </w:r>
    </w:p>
  </w:footnote>
  <w:footnote w:id="53">
    <w:p w:rsidR="00C24437" w:rsidRPr="008B4DA2" w:rsidRDefault="00C24437" w:rsidP="00BD67F9">
      <w:pPr>
        <w:pStyle w:val="FootnoteText"/>
      </w:pPr>
      <w:r>
        <w:rPr>
          <w:rStyle w:val="FootnoteReference"/>
        </w:rPr>
        <w:footnoteRef/>
      </w:r>
      <w:r w:rsidRPr="008B4DA2">
        <w:tab/>
        <w:t>Dz.U. C […] z […], s. […].</w:t>
      </w:r>
    </w:p>
  </w:footnote>
  <w:footnote w:id="54">
    <w:p w:rsidR="00C24437" w:rsidRPr="008B4DA2" w:rsidRDefault="00C24437" w:rsidP="00BD67F9">
      <w:pPr>
        <w:pStyle w:val="FootnoteText"/>
      </w:pPr>
      <w:r>
        <w:rPr>
          <w:rStyle w:val="FootnoteReference"/>
        </w:rPr>
        <w:footnoteRef/>
      </w:r>
      <w:r w:rsidRPr="008B4DA2">
        <w:tab/>
        <w:t>Rozporządzenie Parlamentu Europejskiego</w:t>
      </w:r>
      <w:r w:rsidR="00B83C93" w:rsidRPr="008B4DA2">
        <w:t xml:space="preserve"> i</w:t>
      </w:r>
      <w:r w:rsidR="00B83C93">
        <w:t> </w:t>
      </w:r>
      <w:r w:rsidR="00B83C93" w:rsidRPr="008B4DA2">
        <w:t>Rad</w:t>
      </w:r>
      <w:r w:rsidRPr="008B4DA2">
        <w:t>y (UE) 2016/679</w:t>
      </w:r>
      <w:r w:rsidR="00B83C93" w:rsidRPr="008B4DA2">
        <w:t xml:space="preserve"> z</w:t>
      </w:r>
      <w:r w:rsidR="00B83C93">
        <w:t> </w:t>
      </w:r>
      <w:r w:rsidR="00B83C93" w:rsidRPr="008B4DA2">
        <w:t>dni</w:t>
      </w:r>
      <w:r w:rsidRPr="008B4DA2">
        <w:t>a 27 kwietnia 2016 r.</w:t>
      </w:r>
      <w:r w:rsidR="00B83C93" w:rsidRPr="008B4DA2">
        <w:t xml:space="preserve"> w</w:t>
      </w:r>
      <w:r w:rsidR="00B83C93">
        <w:t> </w:t>
      </w:r>
      <w:r w:rsidR="00B83C93" w:rsidRPr="008B4DA2">
        <w:t>spr</w:t>
      </w:r>
      <w:r w:rsidRPr="008B4DA2">
        <w:t>awie ochrony osób fizycznych</w:t>
      </w:r>
      <w:r w:rsidR="00B83C93" w:rsidRPr="008B4DA2">
        <w:t xml:space="preserve"> w</w:t>
      </w:r>
      <w:r w:rsidR="00B83C93">
        <w:t> </w:t>
      </w:r>
      <w:r w:rsidR="00B83C93" w:rsidRPr="008B4DA2">
        <w:t>zwi</w:t>
      </w:r>
      <w:r w:rsidRPr="008B4DA2">
        <w:t>ązku</w:t>
      </w:r>
      <w:r w:rsidR="00B83C93" w:rsidRPr="008B4DA2">
        <w:t xml:space="preserve"> z</w:t>
      </w:r>
      <w:r w:rsidR="00B83C93">
        <w:t> </w:t>
      </w:r>
      <w:r w:rsidR="00B83C93" w:rsidRPr="008B4DA2">
        <w:t>prz</w:t>
      </w:r>
      <w:r w:rsidRPr="008B4DA2">
        <w:t>etwarzaniem danych osobowych</w:t>
      </w:r>
      <w:r w:rsidR="00B83C93" w:rsidRPr="008B4DA2">
        <w:t xml:space="preserve"> i</w:t>
      </w:r>
      <w:r w:rsidR="00B83C93">
        <w:t> </w:t>
      </w:r>
      <w:r w:rsidR="00B83C93" w:rsidRPr="008B4DA2">
        <w:t>w</w:t>
      </w:r>
      <w:r w:rsidR="00B83C93">
        <w:t> </w:t>
      </w:r>
      <w:r w:rsidR="00B83C93" w:rsidRPr="008B4DA2">
        <w:t>spr</w:t>
      </w:r>
      <w:r w:rsidRPr="008B4DA2">
        <w:t>awie swobodnego przepływu takich danych oraz uchylenia dyrektywy 95/46/WE (Dz.U. L 119</w:t>
      </w:r>
      <w:r w:rsidR="00B83C93" w:rsidRPr="008B4DA2">
        <w:t xml:space="preserve"> z</w:t>
      </w:r>
      <w:r w:rsidR="00B83C93">
        <w:t> </w:t>
      </w:r>
      <w:r w:rsidR="00B83C93" w:rsidRPr="008B4DA2">
        <w:t>4</w:t>
      </w:r>
      <w:r w:rsidRPr="008B4DA2">
        <w:t>.5.2016, s. 1).</w:t>
      </w:r>
    </w:p>
  </w:footnote>
  <w:footnote w:id="55">
    <w:p w:rsidR="00C24437" w:rsidRPr="008B4DA2" w:rsidRDefault="00C24437" w:rsidP="00BD67F9">
      <w:pPr>
        <w:pStyle w:val="FootnoteText"/>
      </w:pPr>
      <w:r>
        <w:rPr>
          <w:rStyle w:val="FootnoteReference"/>
        </w:rPr>
        <w:footnoteRef/>
      </w:r>
      <w:r w:rsidRPr="008B4DA2">
        <w:tab/>
        <w:t>Dyrektywa 2006/126/WE Parlamentu Europejskiego</w:t>
      </w:r>
      <w:r w:rsidR="00B83C93" w:rsidRPr="008B4DA2">
        <w:t xml:space="preserve"> i</w:t>
      </w:r>
      <w:r w:rsidR="00B83C93">
        <w:t> </w:t>
      </w:r>
      <w:r w:rsidR="00B83C93" w:rsidRPr="008B4DA2">
        <w:t>Rad</w:t>
      </w:r>
      <w:r w:rsidRPr="008B4DA2">
        <w:t>y</w:t>
      </w:r>
      <w:r w:rsidR="00B83C93" w:rsidRPr="008B4DA2">
        <w:t xml:space="preserve"> z</w:t>
      </w:r>
      <w:r w:rsidR="00B83C93">
        <w:t> </w:t>
      </w:r>
      <w:r w:rsidR="00B83C93" w:rsidRPr="008B4DA2">
        <w:t>dni</w:t>
      </w:r>
      <w:r w:rsidRPr="008B4DA2">
        <w:t>a 20 grudnia 20</w:t>
      </w:r>
      <w:r w:rsidRPr="00B83C93">
        <w:t>06</w:t>
      </w:r>
      <w:r w:rsidR="00B83C93" w:rsidRPr="00B83C93">
        <w:t> </w:t>
      </w:r>
      <w:r w:rsidRPr="00B83C93">
        <w:t>r.</w:t>
      </w:r>
      <w:r w:rsidR="00B83C93" w:rsidRPr="008B4DA2">
        <w:t xml:space="preserve"> w</w:t>
      </w:r>
      <w:r w:rsidR="00B83C93">
        <w:t> </w:t>
      </w:r>
      <w:r w:rsidR="00B83C93" w:rsidRPr="008B4DA2">
        <w:t>spr</w:t>
      </w:r>
      <w:r w:rsidRPr="008B4DA2">
        <w:t>awie praw jazdy (Dz.U. L 403</w:t>
      </w:r>
      <w:r w:rsidR="00B83C93" w:rsidRPr="008B4DA2">
        <w:t xml:space="preserve"> z</w:t>
      </w:r>
      <w:r w:rsidR="00B83C93">
        <w:t> </w:t>
      </w:r>
      <w:r w:rsidR="00B83C93" w:rsidRPr="008B4DA2">
        <w:t>3</w:t>
      </w:r>
      <w:r w:rsidRPr="008B4DA2">
        <w:t>0.12.2006, s. 18).</w:t>
      </w:r>
    </w:p>
  </w:footnote>
  <w:footnote w:id="56">
    <w:p w:rsidR="00C24437" w:rsidRPr="008B4DA2" w:rsidRDefault="00C24437" w:rsidP="00BD67F9">
      <w:pPr>
        <w:pStyle w:val="FootnoteText"/>
      </w:pPr>
      <w:r>
        <w:rPr>
          <w:rStyle w:val="FootnoteReference"/>
        </w:rPr>
        <w:footnoteRef/>
      </w:r>
      <w:r w:rsidRPr="008B4DA2">
        <w:tab/>
        <w:t>Rozporządzenie Parlamentu Europejskiego</w:t>
      </w:r>
      <w:r w:rsidR="00B83C93" w:rsidRPr="008B4DA2">
        <w:t xml:space="preserve"> i</w:t>
      </w:r>
      <w:r w:rsidR="00B83C93">
        <w:t> </w:t>
      </w:r>
      <w:r w:rsidR="00B83C93" w:rsidRPr="008B4DA2">
        <w:t>Rad</w:t>
      </w:r>
      <w:r w:rsidRPr="008B4DA2">
        <w:t>y (UE) 2018/1724</w:t>
      </w:r>
      <w:r w:rsidR="00B83C93" w:rsidRPr="008B4DA2">
        <w:t xml:space="preserve"> z</w:t>
      </w:r>
      <w:r w:rsidR="00B83C93">
        <w:t> </w:t>
      </w:r>
      <w:r w:rsidR="00B83C93" w:rsidRPr="008B4DA2">
        <w:t>dni</w:t>
      </w:r>
      <w:r w:rsidRPr="008B4DA2">
        <w:t>a 2 października 20</w:t>
      </w:r>
      <w:r w:rsidRPr="00B83C93">
        <w:t>18</w:t>
      </w:r>
      <w:r w:rsidR="00B83C93" w:rsidRPr="00B83C93">
        <w:t> </w:t>
      </w:r>
      <w:r w:rsidRPr="00B83C93">
        <w:t>r.</w:t>
      </w:r>
      <w:r w:rsidR="00B83C93" w:rsidRPr="008B4DA2">
        <w:t xml:space="preserve"> w</w:t>
      </w:r>
      <w:r w:rsidR="00B83C93">
        <w:t> </w:t>
      </w:r>
      <w:r w:rsidR="00B83C93" w:rsidRPr="008B4DA2">
        <w:t>spr</w:t>
      </w:r>
      <w:r w:rsidRPr="008B4DA2">
        <w:t>awie utworzenia jednolitego portalu cyfrowego</w:t>
      </w:r>
      <w:r w:rsidR="00B83C93" w:rsidRPr="008B4DA2">
        <w:t xml:space="preserve"> w</w:t>
      </w:r>
      <w:r w:rsidR="00B83C93">
        <w:t> </w:t>
      </w:r>
      <w:r w:rsidR="00B83C93" w:rsidRPr="008B4DA2">
        <w:t>cel</w:t>
      </w:r>
      <w:r w:rsidRPr="008B4DA2">
        <w:t>u zapewnienia dostępu do informacji, procedur oraz usług wsparcia</w:t>
      </w:r>
      <w:r w:rsidR="00B83C93" w:rsidRPr="008B4DA2">
        <w:t xml:space="preserve"> i</w:t>
      </w:r>
      <w:r w:rsidR="00B83C93">
        <w:t> </w:t>
      </w:r>
      <w:r w:rsidR="00B83C93" w:rsidRPr="008B4DA2">
        <w:t>roz</w:t>
      </w:r>
      <w:r w:rsidRPr="008B4DA2">
        <w:t>wiązywania problemów,</w:t>
      </w:r>
      <w:r w:rsidR="00B83C93" w:rsidRPr="008B4DA2">
        <w:t xml:space="preserve"> a</w:t>
      </w:r>
      <w:r w:rsidR="00B83C93">
        <w:t> </w:t>
      </w:r>
      <w:r w:rsidR="00B83C93" w:rsidRPr="008B4DA2">
        <w:t>tak</w:t>
      </w:r>
      <w:r w:rsidRPr="008B4DA2">
        <w:t xml:space="preserve">że zmieniające rozporządzenie (UE) </w:t>
      </w:r>
      <w:r w:rsidRPr="00B83C93">
        <w:t>nr</w:t>
      </w:r>
      <w:r w:rsidR="00B83C93" w:rsidRPr="00B83C93">
        <w:t> </w:t>
      </w:r>
      <w:r w:rsidRPr="00B83C93">
        <w:t>1</w:t>
      </w:r>
      <w:r w:rsidRPr="008B4DA2">
        <w:t>024/2012 (Dz.U. L 295</w:t>
      </w:r>
      <w:r w:rsidR="00B83C93" w:rsidRPr="008B4DA2">
        <w:t xml:space="preserve"> z</w:t>
      </w:r>
      <w:r w:rsidR="00B83C93">
        <w:t> </w:t>
      </w:r>
      <w:r w:rsidR="00B83C93" w:rsidRPr="008B4DA2">
        <w:t>2</w:t>
      </w:r>
      <w:r w:rsidRPr="008B4DA2">
        <w:t>1.11.2018, s. 1).</w:t>
      </w:r>
    </w:p>
  </w:footnote>
  <w:footnote w:id="57">
    <w:p w:rsidR="00C24437" w:rsidRPr="008B4DA2" w:rsidRDefault="00C24437" w:rsidP="00BD67F9">
      <w:pPr>
        <w:pStyle w:val="FootnoteText"/>
      </w:pPr>
      <w:r>
        <w:rPr>
          <w:rStyle w:val="FootnoteReference"/>
        </w:rPr>
        <w:footnoteRef/>
      </w:r>
      <w:r w:rsidRPr="008B4DA2">
        <w:tab/>
        <w:t>Dz.U. L 123</w:t>
      </w:r>
      <w:r w:rsidR="00B83C93" w:rsidRPr="008B4DA2">
        <w:t xml:space="preserve"> z</w:t>
      </w:r>
      <w:r w:rsidR="00B83C93">
        <w:t> </w:t>
      </w:r>
      <w:r w:rsidR="00B83C93" w:rsidRPr="008B4DA2">
        <w:t>1</w:t>
      </w:r>
      <w:r w:rsidRPr="008B4DA2">
        <w:t>2.5.2016, s. 1.</w:t>
      </w:r>
    </w:p>
  </w:footnote>
  <w:footnote w:id="58">
    <w:p w:rsidR="00C24437" w:rsidRPr="008B4DA2" w:rsidRDefault="00C24437" w:rsidP="00BD67F9">
      <w:pPr>
        <w:pStyle w:val="FootnoteText"/>
      </w:pPr>
      <w:r>
        <w:rPr>
          <w:rStyle w:val="FootnoteReference"/>
        </w:rPr>
        <w:footnoteRef/>
      </w:r>
      <w:r w:rsidRPr="008B4DA2">
        <w:tab/>
        <w:t>Rozporządzenie Parlamentu Europejskiego</w:t>
      </w:r>
      <w:r w:rsidR="00B83C93" w:rsidRPr="008B4DA2">
        <w:t xml:space="preserve"> i</w:t>
      </w:r>
      <w:r w:rsidR="00B83C93">
        <w:t> </w:t>
      </w:r>
      <w:r w:rsidR="00B83C93" w:rsidRPr="008B4DA2">
        <w:t>Rad</w:t>
      </w:r>
      <w:r w:rsidRPr="008B4DA2">
        <w:t xml:space="preserve">y (UE) </w:t>
      </w:r>
      <w:r w:rsidRPr="00B83C93">
        <w:t>nr</w:t>
      </w:r>
      <w:r w:rsidR="00B83C93" w:rsidRPr="00B83C93">
        <w:t> </w:t>
      </w:r>
      <w:r w:rsidRPr="00B83C93">
        <w:t>1</w:t>
      </w:r>
      <w:r w:rsidRPr="008B4DA2">
        <w:t>82/2011</w:t>
      </w:r>
      <w:r w:rsidR="00B83C93" w:rsidRPr="008B4DA2">
        <w:t xml:space="preserve"> z</w:t>
      </w:r>
      <w:r w:rsidR="00B83C93">
        <w:t> </w:t>
      </w:r>
      <w:r w:rsidR="00B83C93" w:rsidRPr="008B4DA2">
        <w:t>dni</w:t>
      </w:r>
      <w:r w:rsidRPr="008B4DA2">
        <w:t>a 16 lutego 20</w:t>
      </w:r>
      <w:r w:rsidRPr="00B83C93">
        <w:t>11</w:t>
      </w:r>
      <w:r w:rsidR="00B83C93" w:rsidRPr="00B83C93">
        <w:t> </w:t>
      </w:r>
      <w:r w:rsidRPr="00B83C93">
        <w:t>r.</w:t>
      </w:r>
      <w:r w:rsidRPr="008B4DA2">
        <w:t xml:space="preserve"> ustanawiające przepisy</w:t>
      </w:r>
      <w:r w:rsidR="00B83C93" w:rsidRPr="008B4DA2">
        <w:t xml:space="preserve"> i</w:t>
      </w:r>
      <w:r w:rsidR="00B83C93">
        <w:t> </w:t>
      </w:r>
      <w:r w:rsidR="00B83C93" w:rsidRPr="008B4DA2">
        <w:t>zas</w:t>
      </w:r>
      <w:r w:rsidRPr="008B4DA2">
        <w:t>ady ogólne dotyczące trybu kontroli przez państwa członkowskie wykonywania uprawnień wykonawczych przez Komisję (Dz.U. L 55</w:t>
      </w:r>
      <w:r w:rsidR="00B83C93" w:rsidRPr="008B4DA2">
        <w:t xml:space="preserve"> z</w:t>
      </w:r>
      <w:r w:rsidR="00B83C93">
        <w:t> </w:t>
      </w:r>
      <w:r w:rsidR="00B83C93" w:rsidRPr="008B4DA2">
        <w:t>2</w:t>
      </w:r>
      <w:r w:rsidRPr="008B4DA2">
        <w:t>8.2.2011, s. 13).</w:t>
      </w:r>
    </w:p>
  </w:footnote>
  <w:footnote w:id="59">
    <w:p w:rsidR="00C24437" w:rsidRPr="008B4DA2" w:rsidRDefault="00C24437" w:rsidP="00BD67F9">
      <w:pPr>
        <w:pStyle w:val="FootnoteText"/>
      </w:pPr>
      <w:r>
        <w:rPr>
          <w:rStyle w:val="FootnoteReference"/>
        </w:rPr>
        <w:footnoteRef/>
      </w:r>
      <w:r w:rsidRPr="008B4DA2">
        <w:tab/>
        <w:t>Dyrektywa Parlamentu Europejskiego</w:t>
      </w:r>
      <w:r w:rsidR="00B83C93" w:rsidRPr="008B4DA2">
        <w:t xml:space="preserve"> i</w:t>
      </w:r>
      <w:r w:rsidR="00B83C93">
        <w:t> </w:t>
      </w:r>
      <w:r w:rsidR="00B83C93" w:rsidRPr="008B4DA2">
        <w:t>Rad</w:t>
      </w:r>
      <w:r w:rsidRPr="008B4DA2">
        <w:t>y (UE) 2022/2561</w:t>
      </w:r>
      <w:r w:rsidR="00B83C93" w:rsidRPr="008B4DA2">
        <w:t xml:space="preserve"> z</w:t>
      </w:r>
      <w:r w:rsidR="00B83C93">
        <w:t> </w:t>
      </w:r>
      <w:r w:rsidR="00B83C93" w:rsidRPr="008B4DA2">
        <w:t>dni</w:t>
      </w:r>
      <w:r w:rsidRPr="008B4DA2">
        <w:t>a 14 grudnia 20</w:t>
      </w:r>
      <w:r w:rsidRPr="00B83C93">
        <w:t>22</w:t>
      </w:r>
      <w:r w:rsidR="00B83C93" w:rsidRPr="00B83C93">
        <w:t> </w:t>
      </w:r>
      <w:r w:rsidRPr="00B83C93">
        <w:t>r.</w:t>
      </w:r>
      <w:r w:rsidR="00B83C93" w:rsidRPr="008B4DA2">
        <w:t xml:space="preserve"> w</w:t>
      </w:r>
      <w:r w:rsidR="00B83C93">
        <w:t> </w:t>
      </w:r>
      <w:r w:rsidR="00B83C93" w:rsidRPr="008B4DA2">
        <w:t>spr</w:t>
      </w:r>
      <w:r w:rsidRPr="008B4DA2">
        <w:t>awie wstępnej kwalifikacji</w:t>
      </w:r>
      <w:r w:rsidR="00B83C93" w:rsidRPr="008B4DA2">
        <w:t xml:space="preserve"> i</w:t>
      </w:r>
      <w:r w:rsidR="00B83C93">
        <w:t> </w:t>
      </w:r>
      <w:r w:rsidR="00B83C93" w:rsidRPr="008B4DA2">
        <w:t>okr</w:t>
      </w:r>
      <w:r w:rsidRPr="008B4DA2">
        <w:t>esowego szkolenia kierowców niektórych pojazdów drogowych do przewozu rzeczy lub osób (Dz.U. L 330</w:t>
      </w:r>
      <w:r w:rsidR="00B83C93" w:rsidRPr="008B4DA2">
        <w:t xml:space="preserve"> z</w:t>
      </w:r>
      <w:r w:rsidR="00B83C93">
        <w:t> </w:t>
      </w:r>
      <w:r w:rsidR="00B83C93" w:rsidRPr="008B4DA2">
        <w:t>2</w:t>
      </w:r>
      <w:r w:rsidRPr="008B4DA2">
        <w:t>3.12.2022, s. 46).</w:t>
      </w:r>
    </w:p>
  </w:footnote>
  <w:footnote w:id="60">
    <w:p w:rsidR="00C24437" w:rsidRPr="008B4DA2" w:rsidRDefault="00C24437" w:rsidP="00BD67F9">
      <w:pPr>
        <w:pStyle w:val="FootnoteText"/>
      </w:pPr>
      <w:r>
        <w:rPr>
          <w:rStyle w:val="FootnoteReference"/>
        </w:rPr>
        <w:footnoteRef/>
      </w:r>
      <w:r w:rsidRPr="008B4DA2">
        <w:tab/>
        <w:t xml:space="preserve">Rozporządzenie Komisji (UE) </w:t>
      </w:r>
      <w:r w:rsidRPr="00B83C93">
        <w:t>nr</w:t>
      </w:r>
      <w:r w:rsidR="00B83C93" w:rsidRPr="00B83C93">
        <w:t> </w:t>
      </w:r>
      <w:r w:rsidRPr="00B83C93">
        <w:t>3</w:t>
      </w:r>
      <w:r w:rsidRPr="008B4DA2">
        <w:t>83/2012</w:t>
      </w:r>
      <w:r w:rsidR="00B83C93" w:rsidRPr="008B4DA2">
        <w:t xml:space="preserve"> z</w:t>
      </w:r>
      <w:r w:rsidR="00B83C93">
        <w:t> </w:t>
      </w:r>
      <w:r w:rsidR="00B83C93" w:rsidRPr="008B4DA2">
        <w:t>dni</w:t>
      </w:r>
      <w:r w:rsidRPr="008B4DA2">
        <w:t>a 4 maja 20</w:t>
      </w:r>
      <w:r w:rsidRPr="00B83C93">
        <w:t>12</w:t>
      </w:r>
      <w:r w:rsidR="00B83C93" w:rsidRPr="00B83C93">
        <w:t> </w:t>
      </w:r>
      <w:r w:rsidRPr="00B83C93">
        <w:t>r.</w:t>
      </w:r>
      <w:r w:rsidRPr="008B4DA2">
        <w:t xml:space="preserve"> określające wymagania techniczne wobec praw jazdy zawierających elektroniczny nośnik informacji (mikroprocesor) (Dz.U. L 120</w:t>
      </w:r>
      <w:r w:rsidR="00B83C93" w:rsidRPr="008B4DA2">
        <w:t xml:space="preserve"> z</w:t>
      </w:r>
      <w:r w:rsidR="00B83C93">
        <w:t> </w:t>
      </w:r>
      <w:r w:rsidR="00B83C93" w:rsidRPr="008B4DA2">
        <w:t>5</w:t>
      </w:r>
      <w:r w:rsidRPr="008B4DA2">
        <w:t>.5.2012, s. 1).</w:t>
      </w:r>
    </w:p>
  </w:footnote>
  <w:footnote w:id="61">
    <w:p w:rsidR="00C24437" w:rsidRPr="008B4DA2" w:rsidRDefault="00C24437" w:rsidP="00BD67F9">
      <w:pPr>
        <w:pStyle w:val="FootnoteText"/>
      </w:pPr>
      <w:r>
        <w:rPr>
          <w:rStyle w:val="FootnoteReference"/>
        </w:rPr>
        <w:footnoteRef/>
      </w:r>
      <w:r w:rsidRPr="008B4DA2">
        <w:tab/>
        <w:t>Dz.U. C 369</w:t>
      </w:r>
      <w:r w:rsidR="00B83C93" w:rsidRPr="008B4DA2">
        <w:t xml:space="preserve"> z</w:t>
      </w:r>
      <w:r w:rsidR="00B83C93">
        <w:t> </w:t>
      </w:r>
      <w:r w:rsidR="00B83C93" w:rsidRPr="008B4DA2">
        <w:t>1</w:t>
      </w:r>
      <w:r w:rsidRPr="008B4DA2">
        <w:t>7.12.2011, s. 14.</w:t>
      </w:r>
    </w:p>
  </w:footnote>
  <w:footnote w:id="62">
    <w:p w:rsidR="00C24437" w:rsidRPr="008B4DA2" w:rsidRDefault="00C24437" w:rsidP="00BD67F9">
      <w:pPr>
        <w:pStyle w:val="FootnoteText"/>
      </w:pPr>
      <w:r>
        <w:rPr>
          <w:rStyle w:val="FootnoteReference"/>
        </w:rPr>
        <w:footnoteRef/>
      </w:r>
      <w:r w:rsidRPr="008B4DA2">
        <w:tab/>
        <w:t>Rozporządzenie Parlamentu Europejskiego</w:t>
      </w:r>
      <w:r w:rsidR="00B83C93" w:rsidRPr="008B4DA2">
        <w:t xml:space="preserve"> i</w:t>
      </w:r>
      <w:r w:rsidR="00B83C93">
        <w:t> </w:t>
      </w:r>
      <w:r w:rsidR="00B83C93" w:rsidRPr="008B4DA2">
        <w:t>Rad</w:t>
      </w:r>
      <w:r w:rsidRPr="008B4DA2">
        <w:t>y (UE) nr 168/2013</w:t>
      </w:r>
      <w:r w:rsidR="00B83C93" w:rsidRPr="008B4DA2">
        <w:t xml:space="preserve"> z</w:t>
      </w:r>
      <w:r w:rsidR="00B83C93">
        <w:t> </w:t>
      </w:r>
      <w:r w:rsidR="00B83C93" w:rsidRPr="008B4DA2">
        <w:t>dni</w:t>
      </w:r>
      <w:r w:rsidRPr="008B4DA2">
        <w:t>a 15 stycznia 2013 r.</w:t>
      </w:r>
      <w:r w:rsidR="00B83C93" w:rsidRPr="008B4DA2">
        <w:t xml:space="preserve"> w</w:t>
      </w:r>
      <w:r w:rsidR="00B83C93">
        <w:t> </w:t>
      </w:r>
      <w:r w:rsidR="00B83C93" w:rsidRPr="008B4DA2">
        <w:t>spr</w:t>
      </w:r>
      <w:r w:rsidRPr="008B4DA2">
        <w:t>awie homologacji</w:t>
      </w:r>
      <w:r w:rsidR="00B83C93" w:rsidRPr="008B4DA2">
        <w:t xml:space="preserve"> i</w:t>
      </w:r>
      <w:r w:rsidR="00B83C93">
        <w:t> </w:t>
      </w:r>
      <w:r w:rsidR="00B83C93" w:rsidRPr="008B4DA2">
        <w:t>nad</w:t>
      </w:r>
      <w:r w:rsidRPr="008B4DA2">
        <w:t>zoru rynku pojazdów dwu- lub trzykołowych oraz czterokołowców (Dz.U. L 60</w:t>
      </w:r>
      <w:r w:rsidR="00B83C93" w:rsidRPr="008B4DA2">
        <w:t xml:space="preserve"> z</w:t>
      </w:r>
      <w:r w:rsidR="00B83C93">
        <w:t> </w:t>
      </w:r>
      <w:r w:rsidR="00B83C93" w:rsidRPr="008B4DA2">
        <w:t>2</w:t>
      </w:r>
      <w:r w:rsidRPr="008B4DA2">
        <w:t>.3.2013, s. 52).</w:t>
      </w:r>
    </w:p>
  </w:footnote>
  <w:footnote w:id="63">
    <w:p w:rsidR="00C24437" w:rsidRPr="008B4DA2" w:rsidRDefault="00C24437" w:rsidP="00BD67F9">
      <w:pPr>
        <w:pStyle w:val="FootnoteText"/>
      </w:pPr>
      <w:r>
        <w:rPr>
          <w:rStyle w:val="FootnoteReference"/>
        </w:rPr>
        <w:footnoteRef/>
      </w:r>
      <w:r w:rsidRPr="008B4DA2">
        <w:tab/>
        <w:t>Rozporządzenie Parlamentu Europejskiego</w:t>
      </w:r>
      <w:r w:rsidR="00B83C93" w:rsidRPr="008B4DA2">
        <w:t xml:space="preserve"> i</w:t>
      </w:r>
      <w:r w:rsidR="00B83C93">
        <w:t> </w:t>
      </w:r>
      <w:r w:rsidR="00B83C93" w:rsidRPr="008B4DA2">
        <w:t>Rad</w:t>
      </w:r>
      <w:r w:rsidRPr="008B4DA2">
        <w:t xml:space="preserve">y (UE) </w:t>
      </w:r>
      <w:r w:rsidRPr="00B83C93">
        <w:t>nr</w:t>
      </w:r>
      <w:r w:rsidR="00B83C93" w:rsidRPr="00B83C93">
        <w:t> </w:t>
      </w:r>
      <w:r w:rsidRPr="00B83C93">
        <w:t>9</w:t>
      </w:r>
      <w:r w:rsidRPr="008B4DA2">
        <w:t>10/2014</w:t>
      </w:r>
      <w:r w:rsidR="00B83C93" w:rsidRPr="008B4DA2">
        <w:t xml:space="preserve"> z</w:t>
      </w:r>
      <w:r w:rsidR="00B83C93">
        <w:t> </w:t>
      </w:r>
      <w:r w:rsidR="00B83C93" w:rsidRPr="008B4DA2">
        <w:t>dni</w:t>
      </w:r>
      <w:r w:rsidRPr="008B4DA2">
        <w:t>a 23 lipca 20</w:t>
      </w:r>
      <w:r w:rsidRPr="00B83C93">
        <w:t>14</w:t>
      </w:r>
      <w:r w:rsidR="00B83C93" w:rsidRPr="00B83C93">
        <w:t> </w:t>
      </w:r>
      <w:r w:rsidRPr="00B83C93">
        <w:t>r.</w:t>
      </w:r>
      <w:r w:rsidR="00B83C93" w:rsidRPr="008B4DA2">
        <w:t xml:space="preserve"> w</w:t>
      </w:r>
      <w:r w:rsidR="00B83C93">
        <w:t> </w:t>
      </w:r>
      <w:r w:rsidR="00B83C93" w:rsidRPr="008B4DA2">
        <w:t>spr</w:t>
      </w:r>
      <w:r w:rsidRPr="008B4DA2">
        <w:t>awie identyfikacji elektronicznej</w:t>
      </w:r>
      <w:r w:rsidR="00B83C93" w:rsidRPr="008B4DA2">
        <w:t xml:space="preserve"> i</w:t>
      </w:r>
      <w:r w:rsidR="00B83C93">
        <w:t> </w:t>
      </w:r>
      <w:r w:rsidR="00B83C93" w:rsidRPr="008B4DA2">
        <w:t>usł</w:t>
      </w:r>
      <w:r w:rsidRPr="008B4DA2">
        <w:t>ug zaufania</w:t>
      </w:r>
      <w:r w:rsidR="00B83C93" w:rsidRPr="008B4DA2">
        <w:t xml:space="preserve"> w</w:t>
      </w:r>
      <w:r w:rsidR="00B83C93">
        <w:t> </w:t>
      </w:r>
      <w:r w:rsidR="00B83C93" w:rsidRPr="008B4DA2">
        <w:t>odn</w:t>
      </w:r>
      <w:r w:rsidRPr="008B4DA2">
        <w:t>iesieniu do transakcji elektronicznych na rynku wewnętrznym (Dz.U. L 257</w:t>
      </w:r>
      <w:r w:rsidR="00B83C93" w:rsidRPr="008B4DA2">
        <w:t xml:space="preserve"> z</w:t>
      </w:r>
      <w:r w:rsidR="00B83C93">
        <w:t> </w:t>
      </w:r>
      <w:r w:rsidR="00B83C93" w:rsidRPr="008B4DA2">
        <w:t>2</w:t>
      </w:r>
      <w:r w:rsidRPr="008B4DA2">
        <w:t>8.8.2014, s. 73).</w:t>
      </w:r>
    </w:p>
  </w:footnote>
  <w:footnote w:id="64">
    <w:p w:rsidR="00C24437" w:rsidRPr="008B4DA2" w:rsidRDefault="00C24437" w:rsidP="00BD67F9">
      <w:pPr>
        <w:pStyle w:val="FootnoteText"/>
        <w:contextualSpacing/>
      </w:pPr>
      <w:r>
        <w:rPr>
          <w:rStyle w:val="FootnoteReference"/>
        </w:rPr>
        <w:footnoteRef/>
      </w:r>
      <w:r w:rsidRPr="008B4DA2">
        <w:tab/>
      </w:r>
      <w:r w:rsidRPr="008B4DA2">
        <w:rPr>
          <w:shd w:val="clear" w:color="auto" w:fill="FFFFFF"/>
        </w:rPr>
        <w:t>Dyrektywa Rady 96/53/WE</w:t>
      </w:r>
      <w:r w:rsidR="00B83C93" w:rsidRPr="008B4DA2">
        <w:rPr>
          <w:shd w:val="clear" w:color="auto" w:fill="FFFFFF"/>
        </w:rPr>
        <w:t xml:space="preserve"> z</w:t>
      </w:r>
      <w:r w:rsidR="00B83C93">
        <w:rPr>
          <w:shd w:val="clear" w:color="auto" w:fill="FFFFFF"/>
        </w:rPr>
        <w:t> </w:t>
      </w:r>
      <w:r w:rsidR="00B83C93" w:rsidRPr="008B4DA2">
        <w:rPr>
          <w:shd w:val="clear" w:color="auto" w:fill="FFFFFF"/>
        </w:rPr>
        <w:t>dni</w:t>
      </w:r>
      <w:r w:rsidRPr="008B4DA2">
        <w:rPr>
          <w:shd w:val="clear" w:color="auto" w:fill="FFFFFF"/>
        </w:rPr>
        <w:t>a 25 lipca 19</w:t>
      </w:r>
      <w:r w:rsidRPr="00B83C93">
        <w:rPr>
          <w:shd w:val="clear" w:color="auto" w:fill="FFFFFF"/>
        </w:rPr>
        <w:t>96</w:t>
      </w:r>
      <w:r w:rsidR="00B83C93" w:rsidRPr="00B83C93">
        <w:rPr>
          <w:shd w:val="clear" w:color="auto" w:fill="FFFFFF"/>
        </w:rPr>
        <w:t> </w:t>
      </w:r>
      <w:r w:rsidRPr="00B83C93">
        <w:rPr>
          <w:shd w:val="clear" w:color="auto" w:fill="FFFFFF"/>
        </w:rPr>
        <w:t>r.</w:t>
      </w:r>
      <w:r w:rsidRPr="008B4DA2">
        <w:rPr>
          <w:shd w:val="clear" w:color="auto" w:fill="FFFFFF"/>
        </w:rPr>
        <w:t xml:space="preserve"> ustanawiająca dla niektórych pojazdów drogowych poruszających się na terytorium Wspólnoty maksymalne dopuszczalne wymiary</w:t>
      </w:r>
      <w:r w:rsidR="00B83C93" w:rsidRPr="008B4DA2">
        <w:rPr>
          <w:shd w:val="clear" w:color="auto" w:fill="FFFFFF"/>
        </w:rPr>
        <w:t xml:space="preserve"> w</w:t>
      </w:r>
      <w:r w:rsidR="00B83C93">
        <w:rPr>
          <w:shd w:val="clear" w:color="auto" w:fill="FFFFFF"/>
        </w:rPr>
        <w:t> </w:t>
      </w:r>
      <w:r w:rsidR="00B83C93" w:rsidRPr="008B4DA2">
        <w:rPr>
          <w:shd w:val="clear" w:color="auto" w:fill="FFFFFF"/>
        </w:rPr>
        <w:t>ruc</w:t>
      </w:r>
      <w:r w:rsidRPr="008B4DA2">
        <w:rPr>
          <w:shd w:val="clear" w:color="auto" w:fill="FFFFFF"/>
        </w:rPr>
        <w:t>hu krajowym</w:t>
      </w:r>
      <w:r w:rsidR="00B83C93" w:rsidRPr="008B4DA2">
        <w:rPr>
          <w:shd w:val="clear" w:color="auto" w:fill="FFFFFF"/>
        </w:rPr>
        <w:t xml:space="preserve"> i</w:t>
      </w:r>
      <w:r w:rsidR="00B83C93">
        <w:rPr>
          <w:shd w:val="clear" w:color="auto" w:fill="FFFFFF"/>
        </w:rPr>
        <w:t> </w:t>
      </w:r>
      <w:r w:rsidR="00B83C93" w:rsidRPr="008B4DA2">
        <w:rPr>
          <w:shd w:val="clear" w:color="auto" w:fill="FFFFFF"/>
        </w:rPr>
        <w:t>mię</w:t>
      </w:r>
      <w:r w:rsidRPr="008B4DA2">
        <w:rPr>
          <w:shd w:val="clear" w:color="auto" w:fill="FFFFFF"/>
        </w:rPr>
        <w:t>dzynarodowym oraz maksymalne dopuszczalne obciążenia</w:t>
      </w:r>
      <w:r w:rsidR="00B83C93" w:rsidRPr="008B4DA2">
        <w:rPr>
          <w:shd w:val="clear" w:color="auto" w:fill="FFFFFF"/>
        </w:rPr>
        <w:t xml:space="preserve"> w</w:t>
      </w:r>
      <w:r w:rsidR="00B83C93">
        <w:rPr>
          <w:shd w:val="clear" w:color="auto" w:fill="FFFFFF"/>
        </w:rPr>
        <w:t> </w:t>
      </w:r>
      <w:r w:rsidR="00B83C93" w:rsidRPr="008B4DA2">
        <w:rPr>
          <w:shd w:val="clear" w:color="auto" w:fill="FFFFFF"/>
        </w:rPr>
        <w:t>ruc</w:t>
      </w:r>
      <w:r w:rsidRPr="008B4DA2">
        <w:rPr>
          <w:shd w:val="clear" w:color="auto" w:fill="FFFFFF"/>
        </w:rPr>
        <w:t xml:space="preserve">hu międzynarodowym </w:t>
      </w:r>
      <w:r w:rsidRPr="008B4DA2">
        <w:t>(Dz.U. L 235</w:t>
      </w:r>
      <w:r w:rsidR="00B83C93" w:rsidRPr="008B4DA2">
        <w:t xml:space="preserve"> z</w:t>
      </w:r>
      <w:r w:rsidR="00B83C93">
        <w:t> </w:t>
      </w:r>
      <w:r w:rsidR="00B83C93" w:rsidRPr="008B4DA2">
        <w:t>1</w:t>
      </w:r>
      <w:r w:rsidRPr="008B4DA2">
        <w:t>7.9.1996, s. 59).</w:t>
      </w:r>
    </w:p>
  </w:footnote>
  <w:footnote w:id="65">
    <w:p w:rsidR="00C24437" w:rsidRPr="008B4DA2" w:rsidRDefault="00C24437" w:rsidP="00BD67F9">
      <w:pPr>
        <w:pStyle w:val="FootnoteText"/>
      </w:pPr>
      <w:r>
        <w:rPr>
          <w:rStyle w:val="FootnoteReference"/>
        </w:rPr>
        <w:footnoteRef/>
      </w:r>
      <w:r w:rsidRPr="008B4DA2">
        <w:tab/>
        <w:t>Decyzja Komisji (UE) 2016/1945</w:t>
      </w:r>
      <w:r w:rsidR="00B83C93" w:rsidRPr="008B4DA2">
        <w:t xml:space="preserve"> </w:t>
      </w:r>
      <w:r w:rsidR="00B83C93" w:rsidRPr="008B4DA2">
        <w:rPr>
          <w:rStyle w:val="normaltextrun"/>
        </w:rPr>
        <w:t>z</w:t>
      </w:r>
      <w:r w:rsidR="00B83C93">
        <w:t> </w:t>
      </w:r>
      <w:r w:rsidR="00B83C93" w:rsidRPr="008B4DA2">
        <w:rPr>
          <w:rStyle w:val="normaltextrun"/>
        </w:rPr>
        <w:t>dni</w:t>
      </w:r>
      <w:r w:rsidRPr="008B4DA2">
        <w:rPr>
          <w:rStyle w:val="normaltextrun"/>
        </w:rPr>
        <w:t>a 14 października 20</w:t>
      </w:r>
      <w:r w:rsidRPr="00B83C93">
        <w:rPr>
          <w:rStyle w:val="normaltextrun"/>
        </w:rPr>
        <w:t>16</w:t>
      </w:r>
      <w:r w:rsidR="00B83C93" w:rsidRPr="00B83C93">
        <w:rPr>
          <w:rStyle w:val="normaltextrun"/>
        </w:rPr>
        <w:t> </w:t>
      </w:r>
      <w:r w:rsidRPr="00B83C93">
        <w:rPr>
          <w:rStyle w:val="normaltextrun"/>
        </w:rPr>
        <w:t>r.</w:t>
      </w:r>
      <w:r w:rsidR="00B83C93" w:rsidRPr="008B4DA2">
        <w:rPr>
          <w:rStyle w:val="normaltextrun"/>
        </w:rPr>
        <w:t xml:space="preserve"> w</w:t>
      </w:r>
      <w:r w:rsidR="00B83C93">
        <w:rPr>
          <w:rStyle w:val="normaltextrun"/>
        </w:rPr>
        <w:t> </w:t>
      </w:r>
      <w:r w:rsidR="00B83C93" w:rsidRPr="008B4DA2">
        <w:rPr>
          <w:rStyle w:val="normaltextrun"/>
        </w:rPr>
        <w:t>spr</w:t>
      </w:r>
      <w:r w:rsidRPr="008B4DA2">
        <w:rPr>
          <w:rStyle w:val="normaltextrun"/>
        </w:rPr>
        <w:t>awie równoważności kategorii praw jazdy (Dz.U. L 302</w:t>
      </w:r>
      <w:r w:rsidR="00B83C93" w:rsidRPr="008B4DA2">
        <w:rPr>
          <w:rStyle w:val="normaltextrun"/>
        </w:rPr>
        <w:t xml:space="preserve"> z</w:t>
      </w:r>
      <w:r w:rsidR="00B83C93">
        <w:rPr>
          <w:rStyle w:val="normaltextrun"/>
        </w:rPr>
        <w:t> </w:t>
      </w:r>
      <w:r w:rsidR="00B83C93" w:rsidRPr="008B4DA2">
        <w:rPr>
          <w:rStyle w:val="normaltextrun"/>
        </w:rPr>
        <w:t>9</w:t>
      </w:r>
      <w:r w:rsidRPr="008B4DA2">
        <w:rPr>
          <w:rStyle w:val="normaltextrun"/>
        </w:rPr>
        <w:t>.11.2016, s. 62).</w:t>
      </w:r>
    </w:p>
  </w:footnote>
  <w:footnote w:id="66">
    <w:p w:rsidR="00C24437" w:rsidRPr="008B4DA2" w:rsidRDefault="00C24437" w:rsidP="00BD67F9">
      <w:pPr>
        <w:pStyle w:val="FootnoteText"/>
      </w:pPr>
      <w:r>
        <w:rPr>
          <w:rStyle w:val="FootnoteReference"/>
        </w:rPr>
        <w:footnoteRef/>
      </w:r>
      <w:r w:rsidRPr="008B4DA2">
        <w:tab/>
      </w:r>
      <w:r w:rsidRPr="008B4DA2">
        <w:rPr>
          <w:shd w:val="clear" w:color="auto" w:fill="FFFFFF"/>
        </w:rPr>
        <w:t>Dyrektywa Parlamentu Europejskiego</w:t>
      </w:r>
      <w:r w:rsidR="00B83C93" w:rsidRPr="008B4DA2">
        <w:rPr>
          <w:shd w:val="clear" w:color="auto" w:fill="FFFFFF"/>
        </w:rPr>
        <w:t xml:space="preserve"> i</w:t>
      </w:r>
      <w:r w:rsidR="00B83C93">
        <w:rPr>
          <w:shd w:val="clear" w:color="auto" w:fill="FFFFFF"/>
        </w:rPr>
        <w:t> </w:t>
      </w:r>
      <w:r w:rsidR="00B83C93" w:rsidRPr="008B4DA2">
        <w:rPr>
          <w:shd w:val="clear" w:color="auto" w:fill="FFFFFF"/>
        </w:rPr>
        <w:t>Rad</w:t>
      </w:r>
      <w:r w:rsidRPr="008B4DA2">
        <w:rPr>
          <w:shd w:val="clear" w:color="auto" w:fill="FFFFFF"/>
        </w:rPr>
        <w:t>y (UE) 2015/413</w:t>
      </w:r>
      <w:r w:rsidR="00B83C93" w:rsidRPr="008B4DA2">
        <w:rPr>
          <w:shd w:val="clear" w:color="auto" w:fill="FFFFFF"/>
        </w:rPr>
        <w:t xml:space="preserve"> z</w:t>
      </w:r>
      <w:r w:rsidR="00B83C93">
        <w:rPr>
          <w:shd w:val="clear" w:color="auto" w:fill="FFFFFF"/>
        </w:rPr>
        <w:t> </w:t>
      </w:r>
      <w:r w:rsidR="00B83C93" w:rsidRPr="008B4DA2">
        <w:rPr>
          <w:shd w:val="clear" w:color="auto" w:fill="FFFFFF"/>
        </w:rPr>
        <w:t>dni</w:t>
      </w:r>
      <w:r w:rsidRPr="008B4DA2">
        <w:rPr>
          <w:shd w:val="clear" w:color="auto" w:fill="FFFFFF"/>
        </w:rPr>
        <w:t>a 11 marca 20</w:t>
      </w:r>
      <w:r w:rsidRPr="00B83C93">
        <w:rPr>
          <w:shd w:val="clear" w:color="auto" w:fill="FFFFFF"/>
        </w:rPr>
        <w:t>15</w:t>
      </w:r>
      <w:r w:rsidR="00B83C93" w:rsidRPr="00B83C93">
        <w:rPr>
          <w:shd w:val="clear" w:color="auto" w:fill="FFFFFF"/>
        </w:rPr>
        <w:t> </w:t>
      </w:r>
      <w:r w:rsidRPr="00B83C93">
        <w:rPr>
          <w:shd w:val="clear" w:color="auto" w:fill="FFFFFF"/>
        </w:rPr>
        <w:t>r.</w:t>
      </w:r>
      <w:r w:rsidR="00B83C93" w:rsidRPr="008B4DA2">
        <w:rPr>
          <w:shd w:val="clear" w:color="auto" w:fill="FFFFFF"/>
        </w:rPr>
        <w:t xml:space="preserve"> w</w:t>
      </w:r>
      <w:r w:rsidR="00B83C93">
        <w:rPr>
          <w:shd w:val="clear" w:color="auto" w:fill="FFFFFF"/>
        </w:rPr>
        <w:t> </w:t>
      </w:r>
      <w:r w:rsidR="00B83C93" w:rsidRPr="008B4DA2">
        <w:rPr>
          <w:shd w:val="clear" w:color="auto" w:fill="FFFFFF"/>
        </w:rPr>
        <w:t>spr</w:t>
      </w:r>
      <w:r w:rsidRPr="008B4DA2">
        <w:rPr>
          <w:shd w:val="clear" w:color="auto" w:fill="FFFFFF"/>
        </w:rPr>
        <w:t>awie ułatwień</w:t>
      </w:r>
      <w:r w:rsidR="00B83C93" w:rsidRPr="008B4DA2">
        <w:rPr>
          <w:shd w:val="clear" w:color="auto" w:fill="FFFFFF"/>
        </w:rPr>
        <w:t xml:space="preserve"> w</w:t>
      </w:r>
      <w:r w:rsidR="00B83C93">
        <w:rPr>
          <w:shd w:val="clear" w:color="auto" w:fill="FFFFFF"/>
        </w:rPr>
        <w:t> </w:t>
      </w:r>
      <w:r w:rsidR="00B83C93" w:rsidRPr="008B4DA2">
        <w:rPr>
          <w:shd w:val="clear" w:color="auto" w:fill="FFFFFF"/>
        </w:rPr>
        <w:t>zak</w:t>
      </w:r>
      <w:r w:rsidRPr="008B4DA2">
        <w:rPr>
          <w:shd w:val="clear" w:color="auto" w:fill="FFFFFF"/>
        </w:rPr>
        <w:t>resie transgranicznej wymiany informacji dotyczących przestępstw lub wykroczeń przeciwko bezpieczeństwu ruchu drogowego (Dz.U. L 68</w:t>
      </w:r>
      <w:r w:rsidR="00B83C93" w:rsidRPr="008B4DA2">
        <w:rPr>
          <w:shd w:val="clear" w:color="auto" w:fill="FFFFFF"/>
        </w:rPr>
        <w:t xml:space="preserve"> z</w:t>
      </w:r>
      <w:r w:rsidR="00B83C93">
        <w:rPr>
          <w:shd w:val="clear" w:color="auto" w:fill="FFFFFF"/>
        </w:rPr>
        <w:t> </w:t>
      </w:r>
      <w:r w:rsidR="00B83C93" w:rsidRPr="008B4DA2">
        <w:rPr>
          <w:shd w:val="clear" w:color="auto" w:fill="FFFFFF"/>
        </w:rPr>
        <w:t>1</w:t>
      </w:r>
      <w:r w:rsidRPr="008B4DA2">
        <w:rPr>
          <w:shd w:val="clear" w:color="auto" w:fill="FFFFFF"/>
        </w:rPr>
        <w:t>3.3.2015, s. 9).</w:t>
      </w:r>
    </w:p>
  </w:footnote>
  <w:footnote w:id="67">
    <w:p w:rsidR="00C24437" w:rsidRPr="008B4DA2" w:rsidRDefault="00C24437" w:rsidP="005148EA">
      <w:pPr>
        <w:pStyle w:val="FootnoteText"/>
        <w:rPr>
          <w:szCs w:val="24"/>
        </w:rPr>
      </w:pPr>
      <w:r>
        <w:rPr>
          <w:rStyle w:val="FootnoteReference"/>
        </w:rPr>
        <w:footnoteRef/>
      </w:r>
      <w:r w:rsidRPr="008B4DA2">
        <w:tab/>
        <w:t>O którym mowa</w:t>
      </w:r>
      <w:r w:rsidR="00B83C93" w:rsidRPr="008B4DA2">
        <w:t xml:space="preserve"> w</w:t>
      </w:r>
      <w:r w:rsidR="00B83C93">
        <w:t> </w:t>
      </w:r>
      <w:r w:rsidR="00B83C93" w:rsidRPr="00B83C93">
        <w:t>art</w:t>
      </w:r>
      <w:r w:rsidRPr="00B83C93">
        <w:t>.</w:t>
      </w:r>
      <w:r w:rsidR="00B83C93" w:rsidRPr="00B83C93">
        <w:t> </w:t>
      </w:r>
      <w:r w:rsidRPr="00B83C93">
        <w:t>5</w:t>
      </w:r>
      <w:r w:rsidRPr="008B4DA2">
        <w:t xml:space="preserve">8 </w:t>
      </w:r>
      <w:r w:rsidRPr="00B83C93">
        <w:t>ust.</w:t>
      </w:r>
      <w:r w:rsidR="00B83C93" w:rsidRPr="00B83C93">
        <w:t> </w:t>
      </w:r>
      <w:r w:rsidRPr="00B83C93">
        <w:t>2</w:t>
      </w:r>
      <w:r w:rsidRPr="008B4DA2">
        <w:t xml:space="preserve"> </w:t>
      </w:r>
      <w:r w:rsidRPr="00B83C93">
        <w:t>lit.</w:t>
      </w:r>
      <w:r w:rsidR="00B83C93" w:rsidRPr="00B83C93">
        <w:t> </w:t>
      </w:r>
      <w:r w:rsidRPr="00B83C93">
        <w:t>a)</w:t>
      </w:r>
      <w:r w:rsidRPr="008B4DA2">
        <w:t xml:space="preserve"> lub b) rozporządzenia finansowego.</w:t>
      </w:r>
    </w:p>
  </w:footnote>
  <w:footnote w:id="68">
    <w:p w:rsidR="00C24437" w:rsidRPr="008B4DA2" w:rsidRDefault="00C24437" w:rsidP="005148EA">
      <w:pPr>
        <w:pStyle w:val="FootnoteText"/>
      </w:pPr>
      <w:r>
        <w:rPr>
          <w:rStyle w:val="FootnoteReference"/>
        </w:rPr>
        <w:footnoteRef/>
      </w:r>
      <w:r w:rsidRPr="008B4DA2">
        <w:tab/>
        <w:t>W pierwszej dyrektywie</w:t>
      </w:r>
      <w:r w:rsidR="00B83C93" w:rsidRPr="008B4DA2">
        <w:t xml:space="preserve"> w</w:t>
      </w:r>
      <w:r w:rsidR="00B83C93">
        <w:t> </w:t>
      </w:r>
      <w:r w:rsidR="00B83C93" w:rsidRPr="008B4DA2">
        <w:t>spr</w:t>
      </w:r>
      <w:r w:rsidRPr="008B4DA2">
        <w:t>awie praw jazdy (dyrektywa 80/1263/EWG) wprowadzono pierwszy w UE zestaw przepisów dotyczących harmonizacji krajowych systemów praw jazdy,</w:t>
      </w:r>
      <w:r w:rsidR="00B83C93" w:rsidRPr="008B4DA2">
        <w:t xml:space="preserve"> w</w:t>
      </w:r>
      <w:r w:rsidR="00B83C93">
        <w:t> </w:t>
      </w:r>
      <w:r w:rsidR="00B83C93" w:rsidRPr="008B4DA2">
        <w:t>szc</w:t>
      </w:r>
      <w:r w:rsidRPr="008B4DA2">
        <w:t>zególności</w:t>
      </w:r>
      <w:r w:rsidR="00B83C93" w:rsidRPr="008B4DA2">
        <w:t xml:space="preserve"> w</w:t>
      </w:r>
      <w:r w:rsidR="00B83C93">
        <w:t> </w:t>
      </w:r>
      <w:r w:rsidR="00B83C93" w:rsidRPr="008B4DA2">
        <w:t>dro</w:t>
      </w:r>
      <w:r w:rsidRPr="008B4DA2">
        <w:t>dze wprowadzenia wspólnotowego wzoru prawa jazdy, wstępnego zdefiniowania kategorii pojazdów oraz określenia warunków, na jakich prawa jazdy mogą być wydawane lub wymieniane</w:t>
      </w:r>
      <w:r w:rsidR="00B83C93" w:rsidRPr="008B4DA2">
        <w:t xml:space="preserve"> w</w:t>
      </w:r>
      <w:r w:rsidR="00B83C93">
        <w:t> </w:t>
      </w:r>
      <w:r w:rsidR="00B83C93" w:rsidRPr="008B4DA2">
        <w:t>cał</w:t>
      </w:r>
      <w:r w:rsidRPr="008B4DA2">
        <w:t>ej UE. Przepisy te dopracowano</w:t>
      </w:r>
      <w:r w:rsidR="00B83C93" w:rsidRPr="008B4DA2">
        <w:t xml:space="preserve"> i</w:t>
      </w:r>
      <w:r w:rsidR="00B83C93">
        <w:t> </w:t>
      </w:r>
      <w:r w:rsidR="00B83C93" w:rsidRPr="008B4DA2">
        <w:t>roz</w:t>
      </w:r>
      <w:r w:rsidRPr="008B4DA2">
        <w:t>szerzono</w:t>
      </w:r>
      <w:r w:rsidR="00B83C93" w:rsidRPr="008B4DA2">
        <w:t xml:space="preserve"> w</w:t>
      </w:r>
      <w:r w:rsidR="00B83C93">
        <w:t> </w:t>
      </w:r>
      <w:r w:rsidR="00B83C93" w:rsidRPr="008B4DA2">
        <w:t>dru</w:t>
      </w:r>
      <w:r w:rsidRPr="008B4DA2">
        <w:t>giej dyrektywie</w:t>
      </w:r>
      <w:r w:rsidR="00B83C93" w:rsidRPr="008B4DA2">
        <w:t xml:space="preserve"> w</w:t>
      </w:r>
      <w:r w:rsidR="00B83C93">
        <w:t> </w:t>
      </w:r>
      <w:r w:rsidR="00B83C93" w:rsidRPr="008B4DA2">
        <w:t>spr</w:t>
      </w:r>
      <w:r w:rsidRPr="008B4DA2">
        <w:t>awie praw jazdy (dyrektywa 91/439/EWG). Co najważniejsze, ustanowiono wzajemne uznawanie praw jazdy wydawanych przez państwa członkowskie oraz wprowadzono wymogi</w:t>
      </w:r>
      <w:r w:rsidR="00B83C93" w:rsidRPr="008B4DA2">
        <w:t xml:space="preserve"> w</w:t>
      </w:r>
      <w:r w:rsidR="00B83C93">
        <w:t> </w:t>
      </w:r>
      <w:r w:rsidR="00B83C93" w:rsidRPr="008B4DA2">
        <w:t>zak</w:t>
      </w:r>
      <w:r w:rsidRPr="008B4DA2">
        <w:t>resie dolnej granicy wieku warunkującej możliwość uzyskania prawa jazdy. Dyrektywę 2006/126/WE zatwierdzono</w:t>
      </w:r>
      <w:r w:rsidR="00B83C93" w:rsidRPr="008B4DA2">
        <w:t xml:space="preserve"> w</w:t>
      </w:r>
      <w:r w:rsidR="00B83C93">
        <w:t> </w:t>
      </w:r>
      <w:r w:rsidR="00B83C93" w:rsidRPr="008B4DA2">
        <w:t>gru</w:t>
      </w:r>
      <w:r w:rsidRPr="008B4DA2">
        <w:t>dniu 20</w:t>
      </w:r>
      <w:r w:rsidRPr="00B83C93">
        <w:t>06</w:t>
      </w:r>
      <w:r w:rsidR="00B83C93" w:rsidRPr="00B83C93">
        <w:t> </w:t>
      </w:r>
      <w:r w:rsidRPr="00B83C93">
        <w:t>r.</w:t>
      </w:r>
      <w:r w:rsidRPr="008B4DA2">
        <w:t>,</w:t>
      </w:r>
      <w:r w:rsidR="00B83C93" w:rsidRPr="008B4DA2">
        <w:t xml:space="preserve"> a</w:t>
      </w:r>
      <w:r w:rsidR="00B83C93">
        <w:t> </w:t>
      </w:r>
      <w:r w:rsidR="00B83C93" w:rsidRPr="008B4DA2">
        <w:t>w</w:t>
      </w:r>
      <w:r w:rsidR="00B83C93">
        <w:t> </w:t>
      </w:r>
      <w:r w:rsidR="00B83C93" w:rsidRPr="008B4DA2">
        <w:t>lat</w:t>
      </w:r>
      <w:r w:rsidRPr="008B4DA2">
        <w:t>ach 2009–2020 była ona zmieniana jedenaście razy, głównie</w:t>
      </w:r>
      <w:r w:rsidR="00B83C93" w:rsidRPr="008B4DA2">
        <w:t xml:space="preserve"> w</w:t>
      </w:r>
      <w:r w:rsidR="00B83C93">
        <w:t> </w:t>
      </w:r>
      <w:r w:rsidR="00B83C93" w:rsidRPr="008B4DA2">
        <w:t>cel</w:t>
      </w:r>
      <w:r w:rsidRPr="008B4DA2">
        <w:t>u poprawy harmonizacji wspólnych norm</w:t>
      </w:r>
      <w:r w:rsidR="00B83C93" w:rsidRPr="008B4DA2">
        <w:t xml:space="preserve"> i</w:t>
      </w:r>
      <w:r w:rsidR="00B83C93">
        <w:t> </w:t>
      </w:r>
      <w:r w:rsidR="00B83C93" w:rsidRPr="008B4DA2">
        <w:t>wym</w:t>
      </w:r>
      <w:r w:rsidRPr="008B4DA2">
        <w:t>ogów,</w:t>
      </w:r>
      <w:r w:rsidR="00B83C93" w:rsidRPr="008B4DA2">
        <w:t xml:space="preserve"> a</w:t>
      </w:r>
      <w:r w:rsidR="00B83C93">
        <w:t> </w:t>
      </w:r>
      <w:r w:rsidR="00B83C93" w:rsidRPr="008B4DA2">
        <w:t>tak</w:t>
      </w:r>
      <w:r w:rsidRPr="008B4DA2">
        <w:t>że dostosowania jej do rozwoju technologicznego.</w:t>
      </w:r>
    </w:p>
    <w:p w:rsidR="00C24437" w:rsidRPr="008B4DA2" w:rsidRDefault="00C24437" w:rsidP="005148EA">
      <w:pPr>
        <w:pStyle w:val="FootnoteText"/>
      </w:pPr>
    </w:p>
  </w:footnote>
  <w:footnote w:id="69">
    <w:p w:rsidR="00C24437" w:rsidRPr="008B4DA2" w:rsidRDefault="00C24437" w:rsidP="005148EA">
      <w:pPr>
        <w:spacing w:before="0" w:after="0"/>
        <w:rPr>
          <w:sz w:val="20"/>
          <w:szCs w:val="20"/>
          <w:vertAlign w:val="subscript"/>
        </w:rPr>
      </w:pPr>
      <w:r>
        <w:rPr>
          <w:rStyle w:val="FootnoteReference"/>
        </w:rPr>
        <w:footnoteRef/>
      </w:r>
      <w:r w:rsidRPr="008B4DA2">
        <w:tab/>
      </w:r>
      <w:r w:rsidRPr="008B4DA2">
        <w:rPr>
          <w:sz w:val="20"/>
        </w:rPr>
        <w:t>Dz.U. L 60</w:t>
      </w:r>
      <w:r w:rsidR="00B83C93" w:rsidRPr="008B4DA2">
        <w:rPr>
          <w:sz w:val="20"/>
        </w:rPr>
        <w:t xml:space="preserve"> z</w:t>
      </w:r>
      <w:r w:rsidR="00B83C93">
        <w:rPr>
          <w:sz w:val="20"/>
        </w:rPr>
        <w:t> </w:t>
      </w:r>
      <w:r w:rsidR="00B83C93" w:rsidRPr="008B4DA2">
        <w:rPr>
          <w:sz w:val="20"/>
        </w:rPr>
        <w:t>2</w:t>
      </w:r>
      <w:r w:rsidRPr="008B4DA2">
        <w:rPr>
          <w:sz w:val="20"/>
        </w:rPr>
        <w:t>.3.2013, s. 52.</w:t>
      </w:r>
    </w:p>
  </w:footnote>
  <w:footnote w:id="70">
    <w:p w:rsidR="00C24437" w:rsidRPr="008B4DA2" w:rsidRDefault="00C24437" w:rsidP="005148EA">
      <w:pPr>
        <w:pStyle w:val="FootnoteText"/>
      </w:pPr>
      <w:r>
        <w:rPr>
          <w:rStyle w:val="FootnoteReference"/>
        </w:rPr>
        <w:footnoteRef/>
      </w:r>
      <w:r w:rsidRPr="008B4DA2">
        <w:tab/>
      </w:r>
      <w:hyperlink r:id="rId33" w:history="1">
        <w:r w:rsidRPr="008B4DA2">
          <w:rPr>
            <w:rStyle w:val="Hyperlink"/>
          </w:rPr>
          <w:t>https://eur-lex.europa.eu/legal-content/PL/TXT/?uri=CELEX:01996L0053-20190814</w:t>
        </w:r>
      </w:hyperlink>
      <w:r w:rsidRPr="008B4DA2">
        <w:t>; Dz.U. L 235</w:t>
      </w:r>
      <w:r w:rsidR="00B83C93" w:rsidRPr="008B4DA2">
        <w:t xml:space="preserve"> z</w:t>
      </w:r>
      <w:r w:rsidR="00B83C93">
        <w:t> </w:t>
      </w:r>
      <w:r w:rsidR="00B83C93" w:rsidRPr="008B4DA2">
        <w:t>1</w:t>
      </w:r>
      <w:r w:rsidRPr="008B4DA2">
        <w:t>7.9.1996, s. 59.</w:t>
      </w:r>
    </w:p>
  </w:footnote>
  <w:footnote w:id="71">
    <w:p w:rsidR="00C24437" w:rsidRPr="008B4DA2" w:rsidRDefault="00C24437" w:rsidP="005148EA">
      <w:pPr>
        <w:pStyle w:val="FootnoteText"/>
      </w:pPr>
      <w:r>
        <w:rPr>
          <w:rStyle w:val="FootnoteReference"/>
        </w:rPr>
        <w:footnoteRef/>
      </w:r>
      <w:r w:rsidRPr="008B4DA2">
        <w:tab/>
      </w:r>
      <w:hyperlink r:id="rId34" w:history="1">
        <w:r w:rsidRPr="008B4DA2">
          <w:rPr>
            <w:rStyle w:val="Hyperlink"/>
          </w:rPr>
          <w:t>https://eur-lex.europa.eu/legal-content/PL/TXT/?uri=CELEX:02003L0059-20190726</w:t>
        </w:r>
      </w:hyperlink>
      <w:r w:rsidRPr="008B4DA2">
        <w:t>; Dz.U. L 226</w:t>
      </w:r>
      <w:r w:rsidR="00B83C93" w:rsidRPr="008B4DA2">
        <w:t xml:space="preserve"> z</w:t>
      </w:r>
      <w:r w:rsidR="00B83C93">
        <w:t> </w:t>
      </w:r>
      <w:r w:rsidR="00B83C93" w:rsidRPr="008B4DA2">
        <w:t>1</w:t>
      </w:r>
      <w:r w:rsidRPr="008B4DA2">
        <w:t>0.9.2003, s. 4.</w:t>
      </w:r>
    </w:p>
  </w:footnote>
  <w:footnote w:id="72">
    <w:p w:rsidR="00C24437" w:rsidRPr="008B4DA2" w:rsidRDefault="00C24437" w:rsidP="005148EA">
      <w:pPr>
        <w:pStyle w:val="FootnoteText"/>
      </w:pPr>
      <w:r>
        <w:rPr>
          <w:rStyle w:val="FootnoteReference"/>
        </w:rPr>
        <w:footnoteRef/>
      </w:r>
      <w:r w:rsidRPr="008B4DA2">
        <w:tab/>
      </w:r>
      <w:hyperlink r:id="rId35" w:history="1">
        <w:r w:rsidRPr="008B4DA2">
          <w:rPr>
            <w:rStyle w:val="Hyperlink"/>
          </w:rPr>
          <w:t>https://eur-lex.europa.eu/legal-content/pl/TXT/?uri=CELEX:32018R1725</w:t>
        </w:r>
      </w:hyperlink>
      <w:r w:rsidRPr="008B4DA2">
        <w:t>; Dz.U. L 295</w:t>
      </w:r>
      <w:r w:rsidR="00B83C93" w:rsidRPr="008B4DA2">
        <w:t xml:space="preserve"> z</w:t>
      </w:r>
      <w:r w:rsidR="00B83C93">
        <w:t> </w:t>
      </w:r>
      <w:r w:rsidR="00B83C93" w:rsidRPr="008B4DA2">
        <w:t>2</w:t>
      </w:r>
      <w:r w:rsidRPr="008B4DA2">
        <w:t>1.11.2018, s. 39.</w:t>
      </w:r>
    </w:p>
  </w:footnote>
  <w:footnote w:id="73">
    <w:p w:rsidR="00C24437" w:rsidRPr="008B4DA2" w:rsidRDefault="00C24437" w:rsidP="005148EA">
      <w:pPr>
        <w:pStyle w:val="FootnoteText"/>
      </w:pPr>
      <w:r>
        <w:rPr>
          <w:rStyle w:val="FootnoteReference"/>
        </w:rPr>
        <w:footnoteRef/>
      </w:r>
      <w:r w:rsidRPr="008B4DA2">
        <w:tab/>
      </w:r>
      <w:hyperlink r:id="rId36" w:history="1">
        <w:r w:rsidRPr="008B4DA2">
          <w:rPr>
            <w:rStyle w:val="Hyperlink"/>
          </w:rPr>
          <w:t>https://eur-lex.europa.eu/legal-content/PL/TXT/?uri=CELEX:02016R0679-20160504</w:t>
        </w:r>
      </w:hyperlink>
      <w:r w:rsidRPr="008B4DA2">
        <w:t>; Dz.U. L 119</w:t>
      </w:r>
      <w:r w:rsidR="00B83C93" w:rsidRPr="008B4DA2">
        <w:t xml:space="preserve"> z</w:t>
      </w:r>
      <w:r w:rsidR="00B83C93">
        <w:t> </w:t>
      </w:r>
      <w:r w:rsidR="00B83C93" w:rsidRPr="008B4DA2">
        <w:t>4</w:t>
      </w:r>
      <w:r w:rsidRPr="008B4DA2">
        <w:t>.5.2016, s. 1.</w:t>
      </w:r>
    </w:p>
  </w:footnote>
  <w:footnote w:id="74">
    <w:p w:rsidR="00C24437" w:rsidRPr="008B4DA2" w:rsidRDefault="00C24437" w:rsidP="005148EA">
      <w:pPr>
        <w:pStyle w:val="FootnoteText"/>
      </w:pPr>
      <w:r>
        <w:rPr>
          <w:rStyle w:val="FootnoteReference"/>
        </w:rPr>
        <w:footnoteRef/>
      </w:r>
      <w:r w:rsidRPr="008B4DA2">
        <w:tab/>
        <w:t>Dyrektywa Parlamentu Europejskiego</w:t>
      </w:r>
      <w:r w:rsidR="00B83C93" w:rsidRPr="008B4DA2">
        <w:t xml:space="preserve"> i</w:t>
      </w:r>
      <w:r w:rsidR="00B83C93">
        <w:t> </w:t>
      </w:r>
      <w:r w:rsidR="00B83C93" w:rsidRPr="008B4DA2">
        <w:t>Rad</w:t>
      </w:r>
      <w:r w:rsidRPr="008B4DA2">
        <w:t>y (UE) 2016/680</w:t>
      </w:r>
      <w:r w:rsidR="00B83C93" w:rsidRPr="008B4DA2">
        <w:t xml:space="preserve"> z</w:t>
      </w:r>
      <w:r w:rsidR="00B83C93">
        <w:t> </w:t>
      </w:r>
      <w:r w:rsidR="00B83C93" w:rsidRPr="008B4DA2">
        <w:t>dni</w:t>
      </w:r>
      <w:r w:rsidRPr="008B4DA2">
        <w:t>a 27 kwietnia 2016 r.</w:t>
      </w:r>
      <w:r w:rsidR="00B83C93" w:rsidRPr="008B4DA2">
        <w:t xml:space="preserve"> w</w:t>
      </w:r>
      <w:r w:rsidR="00B83C93">
        <w:t> </w:t>
      </w:r>
      <w:r w:rsidR="00B83C93" w:rsidRPr="008B4DA2">
        <w:t>spr</w:t>
      </w:r>
      <w:r w:rsidRPr="008B4DA2">
        <w:t>awie ochrony osób fizycznych</w:t>
      </w:r>
      <w:r w:rsidR="00B83C93" w:rsidRPr="008B4DA2">
        <w:t xml:space="preserve"> w</w:t>
      </w:r>
      <w:r w:rsidR="00B83C93">
        <w:t> </w:t>
      </w:r>
      <w:r w:rsidR="00B83C93" w:rsidRPr="008B4DA2">
        <w:t>zwi</w:t>
      </w:r>
      <w:r w:rsidRPr="008B4DA2">
        <w:t>ązku</w:t>
      </w:r>
      <w:r w:rsidR="00B83C93" w:rsidRPr="008B4DA2">
        <w:t xml:space="preserve"> z</w:t>
      </w:r>
      <w:r w:rsidR="00B83C93">
        <w:t> </w:t>
      </w:r>
      <w:r w:rsidR="00B83C93" w:rsidRPr="008B4DA2">
        <w:t>prz</w:t>
      </w:r>
      <w:r w:rsidRPr="008B4DA2">
        <w:t>etwarzaniem danych osobowych przez właściwe organy do celów zapobiegania przestępczości, prowadzenia postępowań przygotowawczych, wykrywania</w:t>
      </w:r>
      <w:r w:rsidR="00B83C93" w:rsidRPr="008B4DA2">
        <w:t xml:space="preserve"> i</w:t>
      </w:r>
      <w:r w:rsidR="00B83C93">
        <w:t> </w:t>
      </w:r>
      <w:r w:rsidR="00B83C93" w:rsidRPr="008B4DA2">
        <w:t>ści</w:t>
      </w:r>
      <w:r w:rsidRPr="008B4DA2">
        <w:t>gania czynów zabronionych</w:t>
      </w:r>
      <w:r w:rsidR="00B83C93" w:rsidRPr="008B4DA2">
        <w:t xml:space="preserve"> i</w:t>
      </w:r>
      <w:r w:rsidR="00B83C93">
        <w:t> </w:t>
      </w:r>
      <w:r w:rsidR="00B83C93" w:rsidRPr="008B4DA2">
        <w:t>wyk</w:t>
      </w:r>
      <w:r w:rsidRPr="008B4DA2">
        <w:t>onywania kar, oraz</w:t>
      </w:r>
      <w:r w:rsidR="00B83C93" w:rsidRPr="008B4DA2">
        <w:t xml:space="preserve"> w</w:t>
      </w:r>
      <w:r w:rsidR="00B83C93">
        <w:t> </w:t>
      </w:r>
      <w:r w:rsidR="00B83C93" w:rsidRPr="008B4DA2">
        <w:t>spr</w:t>
      </w:r>
      <w:r w:rsidRPr="008B4DA2">
        <w:t xml:space="preserve">awie swobodnego przepływu takich danych, </w:t>
      </w:r>
      <w:r w:rsidRPr="008B4DA2">
        <w:rPr>
          <w:color w:val="333333"/>
        </w:rPr>
        <w:t>Dz.U. L 119</w:t>
      </w:r>
      <w:r w:rsidR="00B83C93" w:rsidRPr="008B4DA2">
        <w:rPr>
          <w:color w:val="333333"/>
        </w:rPr>
        <w:t xml:space="preserve"> z</w:t>
      </w:r>
      <w:r w:rsidR="00B83C93">
        <w:rPr>
          <w:color w:val="333333"/>
        </w:rPr>
        <w:t> </w:t>
      </w:r>
      <w:r w:rsidR="00B83C93" w:rsidRPr="008B4DA2">
        <w:rPr>
          <w:color w:val="333333"/>
        </w:rPr>
        <w:t>4</w:t>
      </w:r>
      <w:r w:rsidRPr="008B4DA2">
        <w:rPr>
          <w:color w:val="333333"/>
        </w:rPr>
        <w:t>.5.2016, s. 89</w:t>
      </w:r>
      <w:r w:rsidRPr="008B4DA2">
        <w:t>.</w:t>
      </w:r>
    </w:p>
  </w:footnote>
  <w:footnote w:id="75">
    <w:p w:rsidR="00C24437" w:rsidRPr="008B4DA2" w:rsidRDefault="00C24437" w:rsidP="005148EA">
      <w:pPr>
        <w:spacing w:before="0" w:after="0"/>
        <w:rPr>
          <w:sz w:val="20"/>
          <w:szCs w:val="20"/>
        </w:rPr>
      </w:pPr>
      <w:r>
        <w:rPr>
          <w:rStyle w:val="FootnoteReference"/>
        </w:rPr>
        <w:footnoteRef/>
      </w:r>
      <w:r w:rsidRPr="008B4DA2">
        <w:tab/>
      </w:r>
      <w:hyperlink r:id="rId37" w:history="1">
        <w:r w:rsidRPr="008B4DA2">
          <w:rPr>
            <w:rStyle w:val="Hyperlink"/>
            <w:sz w:val="20"/>
          </w:rPr>
          <w:t>https://eur-lex.europa.eu/legal-content/PL/ALL/?uri=COM%3A2021%3A281%3AFIN</w:t>
        </w:r>
      </w:hyperlink>
      <w:r w:rsidRPr="008B4DA2">
        <w:rPr>
          <w:sz w:val="20"/>
        </w:rPr>
        <w:t xml:space="preserve"> </w:t>
      </w:r>
    </w:p>
  </w:footnote>
  <w:footnote w:id="76">
    <w:p w:rsidR="00C24437" w:rsidRPr="008B4DA2" w:rsidRDefault="00C24437" w:rsidP="005148EA">
      <w:pPr>
        <w:pStyle w:val="FootnoteText"/>
      </w:pPr>
      <w:r>
        <w:rPr>
          <w:rStyle w:val="FootnoteReference"/>
        </w:rPr>
        <w:footnoteRef/>
      </w:r>
      <w:r w:rsidRPr="008B4DA2">
        <w:tab/>
        <w:t>Rozporządzenie Parlamentu Europejskiego</w:t>
      </w:r>
      <w:r w:rsidR="00B83C93" w:rsidRPr="008B4DA2">
        <w:t xml:space="preserve"> i</w:t>
      </w:r>
      <w:r w:rsidR="00B83C93">
        <w:t> </w:t>
      </w:r>
      <w:r w:rsidR="00B83C93" w:rsidRPr="008B4DA2">
        <w:t>Rad</w:t>
      </w:r>
      <w:r w:rsidRPr="008B4DA2">
        <w:t xml:space="preserve">y (UE) </w:t>
      </w:r>
      <w:r w:rsidRPr="00B83C93">
        <w:t>nr</w:t>
      </w:r>
      <w:r w:rsidR="00B83C93" w:rsidRPr="00B83C93">
        <w:t> </w:t>
      </w:r>
      <w:r w:rsidRPr="00B83C93">
        <w:t>9</w:t>
      </w:r>
      <w:r w:rsidRPr="008B4DA2">
        <w:t>10/2014</w:t>
      </w:r>
      <w:r w:rsidR="00B83C93" w:rsidRPr="008B4DA2">
        <w:t xml:space="preserve"> z</w:t>
      </w:r>
      <w:r w:rsidR="00B83C93">
        <w:t> </w:t>
      </w:r>
      <w:r w:rsidR="00B83C93" w:rsidRPr="008B4DA2">
        <w:t>dni</w:t>
      </w:r>
      <w:r w:rsidRPr="008B4DA2">
        <w:t>a 23 lipca 20</w:t>
      </w:r>
      <w:r w:rsidRPr="00B83C93">
        <w:t>14</w:t>
      </w:r>
      <w:r w:rsidR="00B83C93" w:rsidRPr="00B83C93">
        <w:t> </w:t>
      </w:r>
      <w:r w:rsidRPr="00B83C93">
        <w:t>r.</w:t>
      </w:r>
      <w:r w:rsidR="00B83C93" w:rsidRPr="008B4DA2">
        <w:t xml:space="preserve"> w</w:t>
      </w:r>
      <w:r w:rsidR="00B83C93">
        <w:t> </w:t>
      </w:r>
      <w:r w:rsidR="00B83C93" w:rsidRPr="008B4DA2">
        <w:t>spr</w:t>
      </w:r>
      <w:r w:rsidRPr="008B4DA2">
        <w:t>awie identyfikacji elektronicznej</w:t>
      </w:r>
      <w:r w:rsidR="00B83C93" w:rsidRPr="008B4DA2">
        <w:t xml:space="preserve"> i</w:t>
      </w:r>
      <w:r w:rsidR="00B83C93">
        <w:t> </w:t>
      </w:r>
      <w:r w:rsidR="00B83C93" w:rsidRPr="008B4DA2">
        <w:t>usł</w:t>
      </w:r>
      <w:r w:rsidRPr="008B4DA2">
        <w:t>ug zaufania</w:t>
      </w:r>
      <w:r w:rsidR="00B83C93" w:rsidRPr="008B4DA2">
        <w:t xml:space="preserve"> w</w:t>
      </w:r>
      <w:r w:rsidR="00B83C93">
        <w:t> </w:t>
      </w:r>
      <w:r w:rsidR="00B83C93" w:rsidRPr="008B4DA2">
        <w:t>odn</w:t>
      </w:r>
      <w:r w:rsidRPr="008B4DA2">
        <w:t>iesieniu do transakcji elektronicznych na rynku wewnętrznym, Dz.U. L 257</w:t>
      </w:r>
      <w:r w:rsidR="00B83C93" w:rsidRPr="008B4DA2">
        <w:t xml:space="preserve"> z</w:t>
      </w:r>
      <w:r w:rsidR="00B83C93">
        <w:t> </w:t>
      </w:r>
      <w:r w:rsidR="00B83C93" w:rsidRPr="008B4DA2">
        <w:t>2</w:t>
      </w:r>
      <w:r w:rsidRPr="008B4DA2">
        <w:t>8.8.2014, s. 73.</w:t>
      </w:r>
    </w:p>
  </w:footnote>
  <w:footnote w:id="77">
    <w:p w:rsidR="00C24437" w:rsidRPr="008B4DA2" w:rsidRDefault="00C24437" w:rsidP="005148EA">
      <w:pPr>
        <w:pStyle w:val="FootnoteText"/>
        <w:jc w:val="left"/>
        <w:rPr>
          <w:szCs w:val="24"/>
        </w:rPr>
      </w:pPr>
      <w:r>
        <w:rPr>
          <w:rStyle w:val="FootnoteReference"/>
        </w:rPr>
        <w:footnoteRef/>
      </w:r>
      <w:r w:rsidRPr="008B4DA2">
        <w:tab/>
        <w:t xml:space="preserve">Szczegóły dotyczące metod wykonania budżetu oraz odniesienia do rozporządzenia finansowego znajdują się na stronie BUDGpedia: </w:t>
      </w:r>
      <w:hyperlink r:id="rId38" w:history="1">
        <w:r w:rsidRPr="008B4DA2">
          <w:rPr>
            <w:rStyle w:val="Hyperlink"/>
          </w:rPr>
          <w:t>https://myintracomm.ec.europa.eu/corp/budget/financial-rules/budget-implementation/Pages/implementation-methods.aspx</w:t>
        </w:r>
      </w:hyperlink>
    </w:p>
  </w:footnote>
  <w:footnote w:id="78">
    <w:p w:rsidR="00C24437" w:rsidRPr="008B4DA2" w:rsidRDefault="00C24437" w:rsidP="005148EA">
      <w:pPr>
        <w:pStyle w:val="FootnoteText"/>
        <w:rPr>
          <w:szCs w:val="24"/>
        </w:rPr>
      </w:pPr>
      <w:r>
        <w:rPr>
          <w:rStyle w:val="FootnoteReference"/>
        </w:rPr>
        <w:footnoteRef/>
      </w:r>
      <w:r w:rsidRPr="008B4DA2">
        <w:tab/>
        <w:t>Środki zróżnicowane/środki niezróżnicowane.</w:t>
      </w:r>
    </w:p>
  </w:footnote>
  <w:footnote w:id="79">
    <w:p w:rsidR="00C24437" w:rsidRPr="008B4DA2" w:rsidRDefault="00C24437" w:rsidP="005148EA">
      <w:pPr>
        <w:pStyle w:val="FootnoteText"/>
        <w:rPr>
          <w:szCs w:val="24"/>
        </w:rPr>
      </w:pPr>
      <w:r>
        <w:rPr>
          <w:rStyle w:val="FootnoteReference"/>
        </w:rPr>
        <w:footnoteRef/>
      </w:r>
      <w:r w:rsidRPr="008B4DA2">
        <w:tab/>
        <w:t xml:space="preserve">EFTA: Europejskie Stowarzyszenie Wolnego Handlu </w:t>
      </w:r>
    </w:p>
  </w:footnote>
  <w:footnote w:id="80">
    <w:p w:rsidR="00C24437" w:rsidRPr="008B4DA2" w:rsidRDefault="00C24437" w:rsidP="005148EA">
      <w:pPr>
        <w:pStyle w:val="FootnoteText"/>
        <w:rPr>
          <w:szCs w:val="24"/>
        </w:rPr>
      </w:pPr>
      <w:r>
        <w:rPr>
          <w:rStyle w:val="FootnoteReference"/>
        </w:rPr>
        <w:footnoteRef/>
      </w:r>
      <w:r w:rsidRPr="008B4DA2">
        <w:tab/>
        <w:t>Kraje kandydujące oraz</w:t>
      </w:r>
      <w:r w:rsidR="00B83C93" w:rsidRPr="008B4DA2">
        <w:t xml:space="preserve"> w</w:t>
      </w:r>
      <w:r w:rsidR="00B83C93">
        <w:t> </w:t>
      </w:r>
      <w:r w:rsidR="00B83C93" w:rsidRPr="008B4DA2">
        <w:t>sto</w:t>
      </w:r>
      <w:r w:rsidRPr="008B4DA2">
        <w:t>sownych przypadkach potencjalne kraje kandydujące Bałkanów Zachodnich.</w:t>
      </w:r>
    </w:p>
  </w:footnote>
  <w:footnote w:id="81">
    <w:p w:rsidR="00C24437" w:rsidRPr="008B4DA2" w:rsidRDefault="00C24437" w:rsidP="005148EA">
      <w:pPr>
        <w:pStyle w:val="FootnoteText"/>
        <w:rPr>
          <w:sz w:val="18"/>
          <w:szCs w:val="18"/>
        </w:rPr>
      </w:pPr>
      <w:r>
        <w:rPr>
          <w:rStyle w:val="FootnoteReference"/>
        </w:rPr>
        <w:footnoteRef/>
      </w:r>
      <w:r w:rsidRPr="008B4DA2">
        <w:tab/>
      </w:r>
      <w:r w:rsidRPr="008B4DA2">
        <w:rPr>
          <w:sz w:val="18"/>
        </w:rPr>
        <w:t>Zgodnie</w:t>
      </w:r>
      <w:r w:rsidR="00B83C93" w:rsidRPr="008B4DA2">
        <w:rPr>
          <w:sz w:val="18"/>
        </w:rPr>
        <w:t xml:space="preserve"> z</w:t>
      </w:r>
      <w:r w:rsidR="00B83C93">
        <w:rPr>
          <w:sz w:val="18"/>
        </w:rPr>
        <w:t> </w:t>
      </w:r>
      <w:r w:rsidR="00B83C93" w:rsidRPr="008B4DA2">
        <w:rPr>
          <w:sz w:val="18"/>
        </w:rPr>
        <w:t>ofi</w:t>
      </w:r>
      <w:r w:rsidRPr="008B4DA2">
        <w:rPr>
          <w:sz w:val="18"/>
        </w:rPr>
        <w:t>cjalną nomenklaturą budżetową.</w:t>
      </w:r>
    </w:p>
  </w:footnote>
  <w:footnote w:id="82">
    <w:p w:rsidR="00C24437" w:rsidRPr="008B4DA2" w:rsidRDefault="00C24437" w:rsidP="005148EA">
      <w:pPr>
        <w:pStyle w:val="FootnoteText"/>
        <w:rPr>
          <w:szCs w:val="24"/>
        </w:rPr>
      </w:pPr>
      <w:r>
        <w:rPr>
          <w:rStyle w:val="FootnoteReference"/>
        </w:rPr>
        <w:footnoteRef/>
      </w:r>
      <w:r w:rsidRPr="008B4DA2">
        <w:tab/>
      </w:r>
      <w:r w:rsidRPr="008B4DA2">
        <w:rPr>
          <w:sz w:val="18"/>
        </w:rPr>
        <w:t>Wsparcie techniczne lub administracyjne oraz wydatki na wsparcie realizacji programów lub działań UE (dawne linie „BA”), pośrednie badania naukowe, bezpośrednie badania naukowe.</w:t>
      </w:r>
    </w:p>
  </w:footnote>
  <w:footnote w:id="83">
    <w:p w:rsidR="00C24437" w:rsidRPr="008B4DA2" w:rsidRDefault="00C24437" w:rsidP="005148EA">
      <w:pPr>
        <w:pStyle w:val="FootnoteText"/>
        <w:rPr>
          <w:szCs w:val="24"/>
        </w:rPr>
      </w:pPr>
      <w:r>
        <w:rPr>
          <w:rStyle w:val="FootnoteReference"/>
        </w:rPr>
        <w:footnoteRef/>
      </w:r>
      <w:r w:rsidRPr="008B4DA2">
        <w:tab/>
      </w:r>
      <w:r w:rsidRPr="008B4DA2">
        <w:rPr>
          <w:sz w:val="18"/>
        </w:rPr>
        <w:t>Rok N jest rokiem,</w:t>
      </w:r>
      <w:r w:rsidR="00B83C93" w:rsidRPr="008B4DA2">
        <w:rPr>
          <w:sz w:val="18"/>
        </w:rPr>
        <w:t xml:space="preserve"> w</w:t>
      </w:r>
      <w:r w:rsidR="00B83C93">
        <w:rPr>
          <w:sz w:val="18"/>
        </w:rPr>
        <w:t> </w:t>
      </w:r>
      <w:r w:rsidR="00B83C93" w:rsidRPr="008B4DA2">
        <w:rPr>
          <w:sz w:val="18"/>
        </w:rPr>
        <w:t>któ</w:t>
      </w:r>
      <w:r w:rsidRPr="008B4DA2">
        <w:rPr>
          <w:sz w:val="18"/>
        </w:rPr>
        <w:t>rym rozpoczyna się realizację wniosku/inicjatywy. „N” należy zastąpić oczekiwanym pierwszym rokiem realizacji (np.: 2021). Tak samo należy postąpić dla kolejnych lat.</w:t>
      </w:r>
    </w:p>
  </w:footnote>
  <w:footnote w:id="84">
    <w:p w:rsidR="00C24437" w:rsidRPr="008B4DA2" w:rsidRDefault="00C24437" w:rsidP="005148EA">
      <w:pPr>
        <w:pStyle w:val="FootnoteText"/>
        <w:rPr>
          <w:szCs w:val="24"/>
        </w:rPr>
      </w:pPr>
      <w:r>
        <w:rPr>
          <w:rStyle w:val="FootnoteReference"/>
        </w:rPr>
        <w:footnoteRef/>
      </w:r>
      <w:r w:rsidRPr="008B4DA2">
        <w:tab/>
        <w:t>Produkty odnoszą się do produktów</w:t>
      </w:r>
      <w:r w:rsidR="00B83C93" w:rsidRPr="008B4DA2">
        <w:t xml:space="preserve"> i</w:t>
      </w:r>
      <w:r w:rsidR="00B83C93">
        <w:t> </w:t>
      </w:r>
      <w:r w:rsidR="00B83C93" w:rsidRPr="008B4DA2">
        <w:t>usł</w:t>
      </w:r>
      <w:r w:rsidRPr="008B4DA2">
        <w:t>ug, które zostaną zapewnione (np. liczba sfinansowanych wymian studentów, liczba kilometrów zbudowanych dróg itp.).</w:t>
      </w:r>
    </w:p>
  </w:footnote>
  <w:footnote w:id="85">
    <w:p w:rsidR="00C24437" w:rsidRPr="008B4DA2" w:rsidRDefault="00C24437" w:rsidP="005148EA">
      <w:pPr>
        <w:pStyle w:val="FootnoteText"/>
        <w:rPr>
          <w:szCs w:val="24"/>
        </w:rPr>
      </w:pPr>
      <w:r>
        <w:rPr>
          <w:rStyle w:val="FootnoteReference"/>
        </w:rPr>
        <w:footnoteRef/>
      </w:r>
      <w:r w:rsidRPr="008B4DA2">
        <w:tab/>
        <w:t>Zgodnie</w:t>
      </w:r>
      <w:r w:rsidR="00B83C93" w:rsidRPr="008B4DA2">
        <w:t xml:space="preserve"> z</w:t>
      </w:r>
      <w:r w:rsidR="00B83C93">
        <w:t> </w:t>
      </w:r>
      <w:r w:rsidR="00B83C93" w:rsidRPr="008B4DA2">
        <w:t>opi</w:t>
      </w:r>
      <w:r w:rsidRPr="008B4DA2">
        <w:t>sem</w:t>
      </w:r>
      <w:r w:rsidR="00B83C93" w:rsidRPr="008B4DA2">
        <w:t xml:space="preserve"> w</w:t>
      </w:r>
      <w:r w:rsidR="00B83C93">
        <w:t> </w:t>
      </w:r>
      <w:r w:rsidR="00B83C93" w:rsidRPr="00B83C93">
        <w:t>pkt </w:t>
      </w:r>
      <w:r w:rsidRPr="00B83C93">
        <w:t>1</w:t>
      </w:r>
      <w:r w:rsidRPr="008B4DA2">
        <w:t xml:space="preserve">.4.2. „Cel(e) szczegółowy(e) …”. </w:t>
      </w:r>
    </w:p>
  </w:footnote>
  <w:footnote w:id="86">
    <w:p w:rsidR="00C24437" w:rsidRPr="008B4DA2" w:rsidRDefault="00C24437" w:rsidP="005148EA">
      <w:pPr>
        <w:pStyle w:val="FootnoteText"/>
        <w:rPr>
          <w:sz w:val="18"/>
          <w:szCs w:val="18"/>
        </w:rPr>
      </w:pPr>
      <w:r>
        <w:rPr>
          <w:rStyle w:val="FootnoteReference"/>
        </w:rPr>
        <w:footnoteRef/>
      </w:r>
      <w:r w:rsidRPr="008B4DA2">
        <w:tab/>
      </w:r>
      <w:r w:rsidRPr="008B4DA2">
        <w:rPr>
          <w:sz w:val="18"/>
        </w:rPr>
        <w:t>Rok N jest rokiem,</w:t>
      </w:r>
      <w:r w:rsidR="00B83C93" w:rsidRPr="008B4DA2">
        <w:rPr>
          <w:sz w:val="18"/>
        </w:rPr>
        <w:t xml:space="preserve"> w</w:t>
      </w:r>
      <w:r w:rsidR="00B83C93">
        <w:rPr>
          <w:sz w:val="18"/>
        </w:rPr>
        <w:t> </w:t>
      </w:r>
      <w:r w:rsidR="00B83C93" w:rsidRPr="008B4DA2">
        <w:rPr>
          <w:sz w:val="18"/>
        </w:rPr>
        <w:t>któ</w:t>
      </w:r>
      <w:r w:rsidRPr="008B4DA2">
        <w:rPr>
          <w:sz w:val="18"/>
        </w:rPr>
        <w:t>rym rozpoczyna się realizację wniosku/inicjatywy. „N” należy zastąpić oczekiwanym pierwszym rokiem realizacji (np.: 2021). Tak samo należy postąpić dla kolejnych lat.</w:t>
      </w:r>
    </w:p>
  </w:footnote>
  <w:footnote w:id="87">
    <w:p w:rsidR="00C24437" w:rsidRPr="008B4DA2" w:rsidRDefault="00C24437" w:rsidP="005148EA">
      <w:pPr>
        <w:pStyle w:val="FootnoteText"/>
        <w:rPr>
          <w:szCs w:val="24"/>
        </w:rPr>
      </w:pPr>
      <w:r>
        <w:rPr>
          <w:rStyle w:val="FootnoteReference"/>
        </w:rPr>
        <w:footnoteRef/>
      </w:r>
      <w:r w:rsidRPr="008B4DA2">
        <w:tab/>
      </w:r>
      <w:r w:rsidRPr="008B4DA2">
        <w:rPr>
          <w:sz w:val="18"/>
        </w:rPr>
        <w:t>Wsparcie techniczne lub administracyjne oraz wydatki na wsparcie realizacji programów lub działań UE (dawne linie „BA”), pośrednie badania naukowe, bezpośrednie badania naukowe.</w:t>
      </w:r>
    </w:p>
  </w:footnote>
  <w:footnote w:id="88">
    <w:p w:rsidR="00C24437" w:rsidRPr="008B4DA2" w:rsidRDefault="00C24437" w:rsidP="005148EA">
      <w:pPr>
        <w:pStyle w:val="FootnoteText"/>
        <w:rPr>
          <w:szCs w:val="24"/>
        </w:rPr>
      </w:pPr>
      <w:r>
        <w:rPr>
          <w:rStyle w:val="FootnoteReference"/>
        </w:rPr>
        <w:footnoteRef/>
      </w:r>
      <w:r w:rsidRPr="008B4DA2">
        <w:tab/>
        <w:t>CA = personel kontraktowy; LA = personel miejscowy; SNE = oddelegowany ekspert krajowy; INT = personel tymczasowy; JPD = młodszy specjalista</w:t>
      </w:r>
      <w:r w:rsidR="00B83C93" w:rsidRPr="008B4DA2">
        <w:t xml:space="preserve"> w</w:t>
      </w:r>
      <w:r w:rsidR="00B83C93">
        <w:t> </w:t>
      </w:r>
      <w:r w:rsidR="00B83C93" w:rsidRPr="008B4DA2">
        <w:t>del</w:t>
      </w:r>
      <w:r w:rsidRPr="008B4DA2">
        <w:t xml:space="preserve">egaturze. </w:t>
      </w:r>
    </w:p>
  </w:footnote>
  <w:footnote w:id="89">
    <w:p w:rsidR="00C24437" w:rsidRPr="008B4DA2" w:rsidRDefault="00C24437" w:rsidP="005148EA">
      <w:pPr>
        <w:pStyle w:val="FootnoteText"/>
        <w:rPr>
          <w:szCs w:val="24"/>
        </w:rPr>
      </w:pPr>
      <w:r>
        <w:rPr>
          <w:rStyle w:val="FootnoteReference"/>
        </w:rPr>
        <w:footnoteRef/>
      </w:r>
      <w:r w:rsidRPr="008B4DA2">
        <w:tab/>
        <w:t>W ramach podpułapu na personel zewnętrzny ze środków operacyjnych (dawne linie „BA”).</w:t>
      </w:r>
    </w:p>
  </w:footnote>
  <w:footnote w:id="90">
    <w:p w:rsidR="00C24437" w:rsidRPr="008B4DA2" w:rsidRDefault="00C24437" w:rsidP="005148EA">
      <w:pPr>
        <w:pStyle w:val="FootnoteText"/>
      </w:pPr>
      <w:r>
        <w:rPr>
          <w:rStyle w:val="FootnoteReference"/>
        </w:rPr>
        <w:footnoteRef/>
      </w:r>
      <w:r w:rsidRPr="008B4DA2">
        <w:tab/>
        <w:t>Rok N jest rokiem,</w:t>
      </w:r>
      <w:r w:rsidR="00B83C93" w:rsidRPr="008B4DA2">
        <w:t xml:space="preserve"> w</w:t>
      </w:r>
      <w:r w:rsidR="00B83C93">
        <w:t> </w:t>
      </w:r>
      <w:r w:rsidR="00B83C93" w:rsidRPr="008B4DA2">
        <w:t>któ</w:t>
      </w:r>
      <w:r w:rsidRPr="008B4DA2">
        <w:t>rym rozpoczyna się realizację wniosku/inicjatywy. „N” należy zastąpić oczekiwanym pierwszym rokiem realizacji (np.: 2021). Tak samo należy postąpić dla kolejnych lat.</w:t>
      </w:r>
    </w:p>
  </w:footnote>
  <w:footnote w:id="91">
    <w:p w:rsidR="00C24437" w:rsidRPr="008B4DA2" w:rsidRDefault="00C24437" w:rsidP="005148EA">
      <w:pPr>
        <w:pStyle w:val="FootnoteText"/>
        <w:rPr>
          <w:szCs w:val="24"/>
        </w:rPr>
      </w:pPr>
      <w:r>
        <w:rPr>
          <w:rStyle w:val="FootnoteReference"/>
        </w:rPr>
        <w:footnoteRef/>
      </w:r>
      <w:r w:rsidRPr="008B4DA2">
        <w:tab/>
        <w:t>W przypadku tradycyjnych zasobów własnych (opłaty celne, opłaty wyrównawcze od cukru) należy wskazać kwoty netto, tzn. kwoty brutto po odliczeniu 20 % na poczet kosztów poboru.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D5" w:rsidRPr="00D32FD5" w:rsidRDefault="00D32FD5" w:rsidP="00D32FD5">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D5" w:rsidRPr="00D32FD5" w:rsidRDefault="00D32FD5" w:rsidP="00D32FD5">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437" w:rsidRPr="001B1795" w:rsidRDefault="00C24437" w:rsidP="00D32F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D5" w:rsidRPr="00D32FD5" w:rsidRDefault="00D32FD5" w:rsidP="00D32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Pp"/>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067D6F"/>
    <w:multiLevelType w:val="hybridMultilevel"/>
    <w:tmpl w:val="D9C4DD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7"/>
  </w:num>
  <w:num w:numId="7">
    <w:abstractNumId w:val="23"/>
  </w:num>
  <w:num w:numId="8">
    <w:abstractNumId w:val="28"/>
  </w:num>
  <w:num w:numId="9">
    <w:abstractNumId w:val="29"/>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6"/>
    <w:lvlOverride w:ilvl="0">
      <w:startOverride w:val="1"/>
    </w:lvlOverride>
  </w:num>
  <w:num w:numId="17">
    <w:abstractNumId w:val="24"/>
  </w:num>
  <w:num w:numId="18">
    <w:abstractNumId w:val="14"/>
    <w:lvlOverride w:ilvl="0">
      <w:startOverride w:val="1"/>
    </w:lvlOverride>
  </w:num>
  <w:num w:numId="19">
    <w:abstractNumId w:val="22"/>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21"/>
    <w:lvlOverride w:ilvl="0">
      <w:startOverride w:val="1"/>
    </w:lvlOverride>
  </w:num>
  <w:num w:numId="23">
    <w:abstractNumId w:val="11"/>
  </w:num>
  <w:num w:numId="24">
    <w:abstractNumId w:val="26"/>
  </w:num>
  <w:num w:numId="25">
    <w:abstractNumId w:val="6"/>
  </w:num>
  <w:num w:numId="26">
    <w:abstractNumId w:val="12"/>
  </w:num>
  <w:num w:numId="27">
    <w:abstractNumId w:val="13"/>
  </w:num>
  <w:num w:numId="28">
    <w:abstractNumId w:val="4"/>
  </w:num>
  <w:num w:numId="29">
    <w:abstractNumId w:val="25"/>
  </w:num>
  <w:num w:numId="30">
    <w:abstractNumId w:val="3"/>
  </w:num>
  <w:num w:numId="31">
    <w:abstractNumId w:val="14"/>
  </w:num>
  <w:num w:numId="32">
    <w:abstractNumId w:val="20"/>
  </w:num>
  <w:num w:numId="33">
    <w:abstractNumId w:val="21"/>
  </w:num>
  <w:num w:numId="34">
    <w:abstractNumId w:val="5"/>
  </w:num>
  <w:num w:numId="35">
    <w:abstractNumId w:val="18"/>
  </w:num>
  <w:num w:numId="3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nl-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fr-FR" w:vendorID="64" w:dllVersion="6" w:nlCheck="1" w:checkStyle="0"/>
  <w:activeWritingStyle w:appName="MSWord" w:lang="en-IE" w:vendorID="64" w:dllVersion="6" w:nlCheck="1" w:checkStyle="1"/>
  <w:activeWritingStyle w:appName="MSWord" w:lang="es-ES"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activeWritingStyle w:appName="MSWord" w:lang="nl-BE" w:vendorID="64" w:dllVersion="0" w:nlCheck="1" w:checkStyle="0"/>
  <w:activeWritingStyle w:appName="MSWord" w:lang="pt-PT" w:vendorID="64" w:dllVersion="0" w:nlCheck="1" w:checkStyle="0"/>
  <w:activeWritingStyle w:appName="MSWord" w:lang="fr-FR" w:vendorID="64" w:dllVersion="0" w:nlCheck="1" w:checkStyle="0"/>
  <w:activeWritingStyle w:appName="MSWord" w:lang="es-ES"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s-ES" w:vendorID="64" w:dllVersion="131078" w:nlCheck="1" w:checkStyle="0"/>
  <w:activeWritingStyle w:appName="MSWord" w:lang="nl-BE" w:vendorID="64" w:dllVersion="131078" w:nlCheck="1" w:checkStyle="0"/>
  <w:activeWritingStyle w:appName="MSWord" w:lang="fr-FR"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4-05 14:19:4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2DE4F127-71B7-49C9-8ABB-B03148C72865"/>
    <w:docVar w:name="LW_COVERPAGE_TYPE" w:val="1"/>
    <w:docVar w:name="LW_CROSSREFERENCE" w:val="{SEC(2023) 350 final} - {SWD(2023) 128 final} - {SWD(2023) 129 final}"/>
    <w:docVar w:name="LW_DocType" w:val="COM"/>
    <w:docVar w:name="LW_EMISSION" w:val="1.3.2023"/>
    <w:docVar w:name="LW_EMISSION_ISODATE" w:val="2023-03-01"/>
    <w:docVar w:name="LW_EMISSION_LOCATION" w:val="BRX"/>
    <w:docVar w:name="LW_EMISSION_PREFIX" w:val="Bruksela, dnia "/>
    <w:docVar w:name="LW_EMISSION_SUFFIX" w:val=" r."/>
    <w:docVar w:name="LW_ID_DOCMODEL" w:val="SJ-024"/>
    <w:docVar w:name="LW_ID_DOCSIGNATURE" w:val="SJ-024"/>
    <w:docVar w:name="LW_ID_DOCSTRUCTURE" w:val="COM/PL/ORG"/>
    <w:docVar w:name="LW_ID_DOCTYPE" w:val="SJ-024"/>
    <w:docVar w:name="LW_ID_STATUT" w:val="SJ-024"/>
    <w:docVar w:name="LW_INSERT_EXP.MOTIFS.NEW" w:val="1"/>
    <w:docVar w:name="LW_INTERETEEE.CP" w:val="(Tekst mający znaczenie dla EOG)"/>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053"/>
    <w:docVar w:name="LW_REF.II.NEW.CP_YEAR" w:val="2023"/>
    <w:docVar w:name="LW_REF.INST.NEW" w:val="COM"/>
    <w:docVar w:name="LW_REF.INST.NEW_ADOPTED" w:val="final"/>
    <w:docVar w:name="LW_REF.INST.NEW_TEXT" w:val="(2023) 1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w sprawie praw jazdy, zmieniająca dyrektywę Parlamentu Europejskiego i Rady (UE) 2022/2561 i rozporządzenie Parlamentu Europejskiego i Rady (UE) 2018/1724 oraz uchylająca dyrektywę 2006/126/WE Parlamentu Europejskiego i Rady i rozporządzenie Komisji (UE) nr 383/2012 _x000b_"/>
    <w:docVar w:name="LW_TYPE.DOC.CP" w:val="DYREKTYWA PARLAMENTU EUROPEJSKIEGO I RADY"/>
    <w:docVar w:name="LwApiVersions" w:val="LW4CoDe 1.23.2.0; LW 8.0, Build 20211117"/>
  </w:docVars>
  <w:rsids>
    <w:rsidRoot w:val="00DC2CA2"/>
    <w:rsid w:val="000005C5"/>
    <w:rsid w:val="00000F9B"/>
    <w:rsid w:val="0000131C"/>
    <w:rsid w:val="00003107"/>
    <w:rsid w:val="00007E14"/>
    <w:rsid w:val="00013E6D"/>
    <w:rsid w:val="00027685"/>
    <w:rsid w:val="000307F1"/>
    <w:rsid w:val="00031DC5"/>
    <w:rsid w:val="0003310A"/>
    <w:rsid w:val="000417F5"/>
    <w:rsid w:val="00041801"/>
    <w:rsid w:val="000458CE"/>
    <w:rsid w:val="00051402"/>
    <w:rsid w:val="000529C2"/>
    <w:rsid w:val="000535E1"/>
    <w:rsid w:val="00054E00"/>
    <w:rsid w:val="00060958"/>
    <w:rsid w:val="000610EC"/>
    <w:rsid w:val="0006318A"/>
    <w:rsid w:val="00064C6B"/>
    <w:rsid w:val="000677E0"/>
    <w:rsid w:val="0007084B"/>
    <w:rsid w:val="00074686"/>
    <w:rsid w:val="00083BEC"/>
    <w:rsid w:val="0008679C"/>
    <w:rsid w:val="00087E2A"/>
    <w:rsid w:val="000A7823"/>
    <w:rsid w:val="000B34E8"/>
    <w:rsid w:val="000C2036"/>
    <w:rsid w:val="000C76F1"/>
    <w:rsid w:val="000D6304"/>
    <w:rsid w:val="000E0B4B"/>
    <w:rsid w:val="000F1DAD"/>
    <w:rsid w:val="000F25F6"/>
    <w:rsid w:val="000F66B3"/>
    <w:rsid w:val="00100B86"/>
    <w:rsid w:val="001065F5"/>
    <w:rsid w:val="0010768C"/>
    <w:rsid w:val="001238EF"/>
    <w:rsid w:val="0012788E"/>
    <w:rsid w:val="001404F6"/>
    <w:rsid w:val="00146F8A"/>
    <w:rsid w:val="001477B2"/>
    <w:rsid w:val="00151548"/>
    <w:rsid w:val="00151D44"/>
    <w:rsid w:val="001557F9"/>
    <w:rsid w:val="00163CF4"/>
    <w:rsid w:val="001676E3"/>
    <w:rsid w:val="00172B0A"/>
    <w:rsid w:val="001807A7"/>
    <w:rsid w:val="00181212"/>
    <w:rsid w:val="00181220"/>
    <w:rsid w:val="00181B9C"/>
    <w:rsid w:val="0018201C"/>
    <w:rsid w:val="00184DFE"/>
    <w:rsid w:val="00193E69"/>
    <w:rsid w:val="00197613"/>
    <w:rsid w:val="001A0585"/>
    <w:rsid w:val="001A21F2"/>
    <w:rsid w:val="001B1795"/>
    <w:rsid w:val="001C40F4"/>
    <w:rsid w:val="001D195F"/>
    <w:rsid w:val="001E1D4C"/>
    <w:rsid w:val="001E4213"/>
    <w:rsid w:val="001F0F97"/>
    <w:rsid w:val="001F2994"/>
    <w:rsid w:val="001F6AB5"/>
    <w:rsid w:val="00201B8A"/>
    <w:rsid w:val="00202347"/>
    <w:rsid w:val="00202B21"/>
    <w:rsid w:val="00204F29"/>
    <w:rsid w:val="002164DB"/>
    <w:rsid w:val="00224563"/>
    <w:rsid w:val="002274AA"/>
    <w:rsid w:val="00233142"/>
    <w:rsid w:val="00233DC7"/>
    <w:rsid w:val="00234FF5"/>
    <w:rsid w:val="002351F5"/>
    <w:rsid w:val="00247779"/>
    <w:rsid w:val="0025293C"/>
    <w:rsid w:val="00262259"/>
    <w:rsid w:val="0027271D"/>
    <w:rsid w:val="0028043E"/>
    <w:rsid w:val="00285BEE"/>
    <w:rsid w:val="00291234"/>
    <w:rsid w:val="0029533F"/>
    <w:rsid w:val="002A3758"/>
    <w:rsid w:val="002A3D8E"/>
    <w:rsid w:val="002A4E36"/>
    <w:rsid w:val="002A7619"/>
    <w:rsid w:val="002B0575"/>
    <w:rsid w:val="002B30AF"/>
    <w:rsid w:val="002B3AF5"/>
    <w:rsid w:val="002B7A4E"/>
    <w:rsid w:val="002C3387"/>
    <w:rsid w:val="002D4312"/>
    <w:rsid w:val="002D653A"/>
    <w:rsid w:val="002E25EF"/>
    <w:rsid w:val="002E4FBC"/>
    <w:rsid w:val="002E761A"/>
    <w:rsid w:val="002F14AF"/>
    <w:rsid w:val="00305ED3"/>
    <w:rsid w:val="003079B5"/>
    <w:rsid w:val="00310399"/>
    <w:rsid w:val="00311DA1"/>
    <w:rsid w:val="00311E05"/>
    <w:rsid w:val="003167F3"/>
    <w:rsid w:val="003176DF"/>
    <w:rsid w:val="00331A9C"/>
    <w:rsid w:val="0033344A"/>
    <w:rsid w:val="00334263"/>
    <w:rsid w:val="00351A11"/>
    <w:rsid w:val="00361D66"/>
    <w:rsid w:val="003721BF"/>
    <w:rsid w:val="003723CD"/>
    <w:rsid w:val="00376B80"/>
    <w:rsid w:val="00380A10"/>
    <w:rsid w:val="00380A6C"/>
    <w:rsid w:val="0038213F"/>
    <w:rsid w:val="00384F34"/>
    <w:rsid w:val="00394827"/>
    <w:rsid w:val="003A025F"/>
    <w:rsid w:val="003B1CD9"/>
    <w:rsid w:val="003B31B8"/>
    <w:rsid w:val="003B5CF2"/>
    <w:rsid w:val="003B6DCD"/>
    <w:rsid w:val="003B6EC9"/>
    <w:rsid w:val="003C5849"/>
    <w:rsid w:val="003D7E61"/>
    <w:rsid w:val="003E1826"/>
    <w:rsid w:val="003E33F3"/>
    <w:rsid w:val="003F2D27"/>
    <w:rsid w:val="003F3624"/>
    <w:rsid w:val="003F3BEA"/>
    <w:rsid w:val="003F66E2"/>
    <w:rsid w:val="00400DC6"/>
    <w:rsid w:val="0040186B"/>
    <w:rsid w:val="00404093"/>
    <w:rsid w:val="0041032C"/>
    <w:rsid w:val="00424EC3"/>
    <w:rsid w:val="0042557A"/>
    <w:rsid w:val="0042648E"/>
    <w:rsid w:val="0043038F"/>
    <w:rsid w:val="0043677F"/>
    <w:rsid w:val="0044670A"/>
    <w:rsid w:val="0044792C"/>
    <w:rsid w:val="00460E6F"/>
    <w:rsid w:val="00463E5C"/>
    <w:rsid w:val="00466672"/>
    <w:rsid w:val="00472C5B"/>
    <w:rsid w:val="00474961"/>
    <w:rsid w:val="004800E8"/>
    <w:rsid w:val="004813BD"/>
    <w:rsid w:val="004841B1"/>
    <w:rsid w:val="00485ECA"/>
    <w:rsid w:val="00491190"/>
    <w:rsid w:val="00491778"/>
    <w:rsid w:val="004936D2"/>
    <w:rsid w:val="004A6F64"/>
    <w:rsid w:val="004B054E"/>
    <w:rsid w:val="004B779C"/>
    <w:rsid w:val="004C0649"/>
    <w:rsid w:val="004D6486"/>
    <w:rsid w:val="004E303B"/>
    <w:rsid w:val="004E50D5"/>
    <w:rsid w:val="004E57AB"/>
    <w:rsid w:val="004E6D4F"/>
    <w:rsid w:val="00502A3A"/>
    <w:rsid w:val="0050442A"/>
    <w:rsid w:val="00506F78"/>
    <w:rsid w:val="005116FB"/>
    <w:rsid w:val="00511BAE"/>
    <w:rsid w:val="00514859"/>
    <w:rsid w:val="005148EA"/>
    <w:rsid w:val="00516A51"/>
    <w:rsid w:val="00517853"/>
    <w:rsid w:val="0053173F"/>
    <w:rsid w:val="00534015"/>
    <w:rsid w:val="00535F87"/>
    <w:rsid w:val="00535FFD"/>
    <w:rsid w:val="0054044A"/>
    <w:rsid w:val="00543FBB"/>
    <w:rsid w:val="00553F9C"/>
    <w:rsid w:val="00557D3E"/>
    <w:rsid w:val="00564D86"/>
    <w:rsid w:val="00573B04"/>
    <w:rsid w:val="005801F5"/>
    <w:rsid w:val="005807BB"/>
    <w:rsid w:val="00581137"/>
    <w:rsid w:val="00583376"/>
    <w:rsid w:val="00587A4A"/>
    <w:rsid w:val="0059283E"/>
    <w:rsid w:val="00594E00"/>
    <w:rsid w:val="005A2868"/>
    <w:rsid w:val="005A2AAC"/>
    <w:rsid w:val="005B1EB6"/>
    <w:rsid w:val="005B245D"/>
    <w:rsid w:val="005B2A2F"/>
    <w:rsid w:val="005C1F99"/>
    <w:rsid w:val="005C20E5"/>
    <w:rsid w:val="005C5F2D"/>
    <w:rsid w:val="005D3F4B"/>
    <w:rsid w:val="005E1E57"/>
    <w:rsid w:val="005E340F"/>
    <w:rsid w:val="005E4378"/>
    <w:rsid w:val="005E7B6D"/>
    <w:rsid w:val="005F0539"/>
    <w:rsid w:val="00604D9C"/>
    <w:rsid w:val="00605147"/>
    <w:rsid w:val="00607AC2"/>
    <w:rsid w:val="0061609F"/>
    <w:rsid w:val="00616204"/>
    <w:rsid w:val="00623F56"/>
    <w:rsid w:val="00627609"/>
    <w:rsid w:val="006414FE"/>
    <w:rsid w:val="00655AFA"/>
    <w:rsid w:val="00664564"/>
    <w:rsid w:val="00675606"/>
    <w:rsid w:val="00695295"/>
    <w:rsid w:val="00695A1B"/>
    <w:rsid w:val="006A6B71"/>
    <w:rsid w:val="006B2F2B"/>
    <w:rsid w:val="006B76D6"/>
    <w:rsid w:val="006C179F"/>
    <w:rsid w:val="006C7339"/>
    <w:rsid w:val="006D5B50"/>
    <w:rsid w:val="006E3ADF"/>
    <w:rsid w:val="006E4835"/>
    <w:rsid w:val="007023FD"/>
    <w:rsid w:val="00722046"/>
    <w:rsid w:val="00726433"/>
    <w:rsid w:val="00726AF2"/>
    <w:rsid w:val="0074188F"/>
    <w:rsid w:val="0074257F"/>
    <w:rsid w:val="007428BF"/>
    <w:rsid w:val="0074367D"/>
    <w:rsid w:val="00746554"/>
    <w:rsid w:val="007555C4"/>
    <w:rsid w:val="007574B9"/>
    <w:rsid w:val="007625E8"/>
    <w:rsid w:val="00773331"/>
    <w:rsid w:val="0077348B"/>
    <w:rsid w:val="00774F09"/>
    <w:rsid w:val="00783230"/>
    <w:rsid w:val="00783BB7"/>
    <w:rsid w:val="007932EF"/>
    <w:rsid w:val="007977D1"/>
    <w:rsid w:val="007978E7"/>
    <w:rsid w:val="007A4A92"/>
    <w:rsid w:val="007B7C5D"/>
    <w:rsid w:val="007C18AE"/>
    <w:rsid w:val="007C3CA7"/>
    <w:rsid w:val="007C7874"/>
    <w:rsid w:val="007D405C"/>
    <w:rsid w:val="007E05B0"/>
    <w:rsid w:val="007F3471"/>
    <w:rsid w:val="007F4838"/>
    <w:rsid w:val="007F5A7D"/>
    <w:rsid w:val="00800317"/>
    <w:rsid w:val="00803DB7"/>
    <w:rsid w:val="00806EA6"/>
    <w:rsid w:val="008076CD"/>
    <w:rsid w:val="00813237"/>
    <w:rsid w:val="008229C6"/>
    <w:rsid w:val="008331BE"/>
    <w:rsid w:val="008335B0"/>
    <w:rsid w:val="00837A0B"/>
    <w:rsid w:val="008606F5"/>
    <w:rsid w:val="008674D7"/>
    <w:rsid w:val="00871428"/>
    <w:rsid w:val="008721F0"/>
    <w:rsid w:val="00874D22"/>
    <w:rsid w:val="008834AE"/>
    <w:rsid w:val="008A2914"/>
    <w:rsid w:val="008A4108"/>
    <w:rsid w:val="008A718B"/>
    <w:rsid w:val="008B2543"/>
    <w:rsid w:val="008B28EF"/>
    <w:rsid w:val="008B4DA2"/>
    <w:rsid w:val="008D3414"/>
    <w:rsid w:val="008E4D8E"/>
    <w:rsid w:val="008F05E8"/>
    <w:rsid w:val="008F3A97"/>
    <w:rsid w:val="00902D9A"/>
    <w:rsid w:val="0090615A"/>
    <w:rsid w:val="00906806"/>
    <w:rsid w:val="009069CA"/>
    <w:rsid w:val="00923A4E"/>
    <w:rsid w:val="00926C36"/>
    <w:rsid w:val="0093154A"/>
    <w:rsid w:val="009466D8"/>
    <w:rsid w:val="00946EF8"/>
    <w:rsid w:val="00953FB2"/>
    <w:rsid w:val="00957009"/>
    <w:rsid w:val="00957DD3"/>
    <w:rsid w:val="009623E4"/>
    <w:rsid w:val="00964C22"/>
    <w:rsid w:val="00967C13"/>
    <w:rsid w:val="00983ED8"/>
    <w:rsid w:val="009843C4"/>
    <w:rsid w:val="00986A6D"/>
    <w:rsid w:val="00990B81"/>
    <w:rsid w:val="0099194C"/>
    <w:rsid w:val="009A130A"/>
    <w:rsid w:val="009A33D5"/>
    <w:rsid w:val="009A3905"/>
    <w:rsid w:val="009A3B42"/>
    <w:rsid w:val="009A4E76"/>
    <w:rsid w:val="009A5821"/>
    <w:rsid w:val="009B5FFE"/>
    <w:rsid w:val="009B62BE"/>
    <w:rsid w:val="009B785D"/>
    <w:rsid w:val="009C3DAA"/>
    <w:rsid w:val="009C7766"/>
    <w:rsid w:val="009D1ADF"/>
    <w:rsid w:val="009D3B42"/>
    <w:rsid w:val="009E04A9"/>
    <w:rsid w:val="009E4749"/>
    <w:rsid w:val="009E7D91"/>
    <w:rsid w:val="009F3935"/>
    <w:rsid w:val="009F3CF9"/>
    <w:rsid w:val="00A22090"/>
    <w:rsid w:val="00A22607"/>
    <w:rsid w:val="00A22FE2"/>
    <w:rsid w:val="00A26B77"/>
    <w:rsid w:val="00A27C4E"/>
    <w:rsid w:val="00A34DBD"/>
    <w:rsid w:val="00A407A6"/>
    <w:rsid w:val="00A40D80"/>
    <w:rsid w:val="00A44162"/>
    <w:rsid w:val="00A5216F"/>
    <w:rsid w:val="00A57A7C"/>
    <w:rsid w:val="00A6113D"/>
    <w:rsid w:val="00A6156D"/>
    <w:rsid w:val="00A651FB"/>
    <w:rsid w:val="00A670E1"/>
    <w:rsid w:val="00A70122"/>
    <w:rsid w:val="00A73D20"/>
    <w:rsid w:val="00A74DD8"/>
    <w:rsid w:val="00A75823"/>
    <w:rsid w:val="00A81944"/>
    <w:rsid w:val="00A85E05"/>
    <w:rsid w:val="00A90490"/>
    <w:rsid w:val="00AA3257"/>
    <w:rsid w:val="00AA4CE8"/>
    <w:rsid w:val="00AB1DF3"/>
    <w:rsid w:val="00AB3319"/>
    <w:rsid w:val="00AB51BC"/>
    <w:rsid w:val="00AD4654"/>
    <w:rsid w:val="00AD477C"/>
    <w:rsid w:val="00AD6031"/>
    <w:rsid w:val="00AE27EA"/>
    <w:rsid w:val="00AE2C26"/>
    <w:rsid w:val="00AE3242"/>
    <w:rsid w:val="00AF40A3"/>
    <w:rsid w:val="00AF63D9"/>
    <w:rsid w:val="00B04B1C"/>
    <w:rsid w:val="00B064F8"/>
    <w:rsid w:val="00B12B40"/>
    <w:rsid w:val="00B135A8"/>
    <w:rsid w:val="00B15137"/>
    <w:rsid w:val="00B21431"/>
    <w:rsid w:val="00B31BD3"/>
    <w:rsid w:val="00B5791F"/>
    <w:rsid w:val="00B60C4A"/>
    <w:rsid w:val="00B653E9"/>
    <w:rsid w:val="00B7077D"/>
    <w:rsid w:val="00B71205"/>
    <w:rsid w:val="00B73B7C"/>
    <w:rsid w:val="00B83C93"/>
    <w:rsid w:val="00B853F7"/>
    <w:rsid w:val="00B8743F"/>
    <w:rsid w:val="00BA4BDF"/>
    <w:rsid w:val="00BB0396"/>
    <w:rsid w:val="00BB0D85"/>
    <w:rsid w:val="00BB3844"/>
    <w:rsid w:val="00BB59EB"/>
    <w:rsid w:val="00BB6DD3"/>
    <w:rsid w:val="00BB7599"/>
    <w:rsid w:val="00BB79A3"/>
    <w:rsid w:val="00BC3264"/>
    <w:rsid w:val="00BC6FE7"/>
    <w:rsid w:val="00BD12B8"/>
    <w:rsid w:val="00BD15D3"/>
    <w:rsid w:val="00BD67F9"/>
    <w:rsid w:val="00BD7798"/>
    <w:rsid w:val="00BF0434"/>
    <w:rsid w:val="00BF20B3"/>
    <w:rsid w:val="00BF4C6A"/>
    <w:rsid w:val="00BF7DD9"/>
    <w:rsid w:val="00C02F4D"/>
    <w:rsid w:val="00C12301"/>
    <w:rsid w:val="00C15E53"/>
    <w:rsid w:val="00C2336E"/>
    <w:rsid w:val="00C24437"/>
    <w:rsid w:val="00C24C24"/>
    <w:rsid w:val="00C4032E"/>
    <w:rsid w:val="00C439C0"/>
    <w:rsid w:val="00C573FC"/>
    <w:rsid w:val="00C574B4"/>
    <w:rsid w:val="00C7033E"/>
    <w:rsid w:val="00C7115D"/>
    <w:rsid w:val="00C739BA"/>
    <w:rsid w:val="00C858AC"/>
    <w:rsid w:val="00C85B7D"/>
    <w:rsid w:val="00C87525"/>
    <w:rsid w:val="00C95531"/>
    <w:rsid w:val="00C9626B"/>
    <w:rsid w:val="00CA1CF2"/>
    <w:rsid w:val="00CA2F8C"/>
    <w:rsid w:val="00CA3327"/>
    <w:rsid w:val="00CB01FD"/>
    <w:rsid w:val="00CB32F6"/>
    <w:rsid w:val="00CB5FCC"/>
    <w:rsid w:val="00CC3C2A"/>
    <w:rsid w:val="00CD29FA"/>
    <w:rsid w:val="00CD2E3C"/>
    <w:rsid w:val="00CD56B2"/>
    <w:rsid w:val="00CE2F44"/>
    <w:rsid w:val="00CE3CF7"/>
    <w:rsid w:val="00CE5574"/>
    <w:rsid w:val="00CF0271"/>
    <w:rsid w:val="00CF1141"/>
    <w:rsid w:val="00CF482D"/>
    <w:rsid w:val="00D01F30"/>
    <w:rsid w:val="00D02990"/>
    <w:rsid w:val="00D0579C"/>
    <w:rsid w:val="00D05AAA"/>
    <w:rsid w:val="00D13FB9"/>
    <w:rsid w:val="00D174A0"/>
    <w:rsid w:val="00D20381"/>
    <w:rsid w:val="00D327A8"/>
    <w:rsid w:val="00D32FD5"/>
    <w:rsid w:val="00D35790"/>
    <w:rsid w:val="00D441B0"/>
    <w:rsid w:val="00D44A8A"/>
    <w:rsid w:val="00D46E8E"/>
    <w:rsid w:val="00D55874"/>
    <w:rsid w:val="00D6499E"/>
    <w:rsid w:val="00D651AD"/>
    <w:rsid w:val="00D70380"/>
    <w:rsid w:val="00D76641"/>
    <w:rsid w:val="00D826BC"/>
    <w:rsid w:val="00D93A70"/>
    <w:rsid w:val="00DA1F3A"/>
    <w:rsid w:val="00DB3384"/>
    <w:rsid w:val="00DB5CF9"/>
    <w:rsid w:val="00DB744D"/>
    <w:rsid w:val="00DC09E9"/>
    <w:rsid w:val="00DC1A7A"/>
    <w:rsid w:val="00DC2CA2"/>
    <w:rsid w:val="00DC4970"/>
    <w:rsid w:val="00DC6F90"/>
    <w:rsid w:val="00DC7CDB"/>
    <w:rsid w:val="00DD2037"/>
    <w:rsid w:val="00DD3B33"/>
    <w:rsid w:val="00DD611A"/>
    <w:rsid w:val="00DE1431"/>
    <w:rsid w:val="00DE1513"/>
    <w:rsid w:val="00DE3A05"/>
    <w:rsid w:val="00DE3F46"/>
    <w:rsid w:val="00DE699B"/>
    <w:rsid w:val="00DF5519"/>
    <w:rsid w:val="00DF60AC"/>
    <w:rsid w:val="00DF69D0"/>
    <w:rsid w:val="00E00981"/>
    <w:rsid w:val="00E0487C"/>
    <w:rsid w:val="00E060D8"/>
    <w:rsid w:val="00E10DA8"/>
    <w:rsid w:val="00E12633"/>
    <w:rsid w:val="00E13215"/>
    <w:rsid w:val="00E20BD2"/>
    <w:rsid w:val="00E22622"/>
    <w:rsid w:val="00E37D45"/>
    <w:rsid w:val="00E41F03"/>
    <w:rsid w:val="00E42B72"/>
    <w:rsid w:val="00E444CD"/>
    <w:rsid w:val="00E50146"/>
    <w:rsid w:val="00E51C1A"/>
    <w:rsid w:val="00E52B4E"/>
    <w:rsid w:val="00E530B0"/>
    <w:rsid w:val="00E72954"/>
    <w:rsid w:val="00E7624D"/>
    <w:rsid w:val="00E81145"/>
    <w:rsid w:val="00E83769"/>
    <w:rsid w:val="00E85320"/>
    <w:rsid w:val="00E90DD0"/>
    <w:rsid w:val="00E9144C"/>
    <w:rsid w:val="00E9416A"/>
    <w:rsid w:val="00E9655C"/>
    <w:rsid w:val="00EA1460"/>
    <w:rsid w:val="00EA454C"/>
    <w:rsid w:val="00EA60AD"/>
    <w:rsid w:val="00EA7136"/>
    <w:rsid w:val="00EB2DCB"/>
    <w:rsid w:val="00EB45D9"/>
    <w:rsid w:val="00EB6295"/>
    <w:rsid w:val="00EC6F41"/>
    <w:rsid w:val="00ED0EE5"/>
    <w:rsid w:val="00ED10CC"/>
    <w:rsid w:val="00ED2A9A"/>
    <w:rsid w:val="00ED5318"/>
    <w:rsid w:val="00EE1C4D"/>
    <w:rsid w:val="00EE42D9"/>
    <w:rsid w:val="00EF048C"/>
    <w:rsid w:val="00EF212D"/>
    <w:rsid w:val="00EF4E1D"/>
    <w:rsid w:val="00F114FE"/>
    <w:rsid w:val="00F165AE"/>
    <w:rsid w:val="00F17AA3"/>
    <w:rsid w:val="00F224AE"/>
    <w:rsid w:val="00F33066"/>
    <w:rsid w:val="00F3357A"/>
    <w:rsid w:val="00F36A0C"/>
    <w:rsid w:val="00F36ACC"/>
    <w:rsid w:val="00F37B22"/>
    <w:rsid w:val="00F42D4D"/>
    <w:rsid w:val="00F4420A"/>
    <w:rsid w:val="00F74AEB"/>
    <w:rsid w:val="00F75E65"/>
    <w:rsid w:val="00F8059A"/>
    <w:rsid w:val="00F856F8"/>
    <w:rsid w:val="00F85850"/>
    <w:rsid w:val="00F87F0E"/>
    <w:rsid w:val="00F92C40"/>
    <w:rsid w:val="00F9464A"/>
    <w:rsid w:val="00FA2823"/>
    <w:rsid w:val="00FA6AFB"/>
    <w:rsid w:val="00FB1EB0"/>
    <w:rsid w:val="00FB22BE"/>
    <w:rsid w:val="00FB2BD9"/>
    <w:rsid w:val="00FB2CF7"/>
    <w:rsid w:val="00FC38F8"/>
    <w:rsid w:val="00FC3DFB"/>
    <w:rsid w:val="00FD1218"/>
    <w:rsid w:val="00FD31E6"/>
    <w:rsid w:val="00FD6C7B"/>
    <w:rsid w:val="00FE1E82"/>
    <w:rsid w:val="00FE1F61"/>
    <w:rsid w:val="4C6F903F"/>
    <w:rsid w:val="58C84E8E"/>
    <w:rsid w:val="6F55A1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790FB8AD-F43A-49C5-B848-4EB2C3A9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paragraph" w:styleId="Heading8">
    <w:name w:val="heading 8"/>
    <w:basedOn w:val="Normal"/>
    <w:next w:val="Normal"/>
    <w:link w:val="Heading8Char"/>
    <w:uiPriority w:val="9"/>
    <w:unhideWhenUsed/>
    <w:qFormat/>
    <w:rsid w:val="00957DD3"/>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957DD3"/>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CHeadingChar">
    <w:name w:val="TOC Heading Char"/>
    <w:uiPriority w:val="39"/>
    <w:rsid w:val="00DC2CA2"/>
    <w:rPr>
      <w:rFonts w:ascii="Times New Roman" w:hAnsi="Times New Roman" w:cs="Times New Roman"/>
      <w:b/>
      <w:sz w:val="28"/>
      <w:lang w:val="pl-PL"/>
    </w:rPr>
  </w:style>
  <w:style w:type="character" w:styleId="Hyperlink">
    <w:name w:val="Hyperlink"/>
    <w:rsid w:val="00DC2CA2"/>
    <w:rPr>
      <w:color w:val="0000FF"/>
      <w:u w:val="single"/>
      <w:shd w:val="clear" w:color="auto" w:fill="auto"/>
    </w:rPr>
  </w:style>
  <w:style w:type="paragraph" w:styleId="ListBullet4">
    <w:name w:val="List Bullet 4"/>
    <w:basedOn w:val="Normal"/>
    <w:uiPriority w:val="99"/>
    <w:rsid w:val="00DC2CA2"/>
    <w:pPr>
      <w:numPr>
        <w:numId w:val="2"/>
      </w:numPr>
    </w:pPr>
    <w:rPr>
      <w:rFonts w:eastAsia="Times New Roman"/>
      <w:lang w:eastAsia="de-DE"/>
    </w:rPr>
  </w:style>
  <w:style w:type="paragraph" w:styleId="ListNumber">
    <w:name w:val="List Number"/>
    <w:basedOn w:val="Normal"/>
    <w:uiPriority w:val="99"/>
    <w:rsid w:val="00DC2CA2"/>
    <w:pPr>
      <w:numPr>
        <w:numId w:val="6"/>
      </w:numPr>
    </w:pPr>
    <w:rPr>
      <w:rFonts w:eastAsia="Times New Roman"/>
      <w:lang w:eastAsia="de-DE"/>
    </w:rPr>
  </w:style>
  <w:style w:type="paragraph" w:customStyle="1" w:styleId="ListBullet1">
    <w:name w:val="List Bullet 1"/>
    <w:basedOn w:val="Normal"/>
    <w:rsid w:val="00DC2CA2"/>
    <w:pPr>
      <w:numPr>
        <w:numId w:val="1"/>
      </w:numPr>
    </w:pPr>
    <w:rPr>
      <w:rFonts w:eastAsia="Times New Roman"/>
      <w:lang w:eastAsia="de-DE"/>
    </w:rPr>
  </w:style>
  <w:style w:type="paragraph" w:customStyle="1" w:styleId="ListDash">
    <w:name w:val="List Dash"/>
    <w:basedOn w:val="Normal"/>
    <w:rsid w:val="00DC2CA2"/>
    <w:pPr>
      <w:numPr>
        <w:numId w:val="3"/>
      </w:numPr>
    </w:pPr>
    <w:rPr>
      <w:rFonts w:eastAsia="Times New Roman"/>
      <w:lang w:eastAsia="de-DE"/>
    </w:rPr>
  </w:style>
  <w:style w:type="paragraph" w:customStyle="1" w:styleId="ListDash1">
    <w:name w:val="List Dash 1"/>
    <w:basedOn w:val="Normal"/>
    <w:rsid w:val="00DC2CA2"/>
    <w:pPr>
      <w:numPr>
        <w:numId w:val="4"/>
      </w:numPr>
    </w:pPr>
    <w:rPr>
      <w:rFonts w:eastAsia="Times New Roman"/>
      <w:lang w:eastAsia="de-DE"/>
    </w:rPr>
  </w:style>
  <w:style w:type="paragraph" w:customStyle="1" w:styleId="ListDash2">
    <w:name w:val="List Dash 2"/>
    <w:basedOn w:val="Normal"/>
    <w:rsid w:val="00DC2CA2"/>
    <w:pPr>
      <w:numPr>
        <w:numId w:val="5"/>
      </w:numPr>
    </w:pPr>
    <w:rPr>
      <w:rFonts w:eastAsia="Times New Roman"/>
      <w:lang w:eastAsia="de-DE"/>
    </w:rPr>
  </w:style>
  <w:style w:type="paragraph" w:customStyle="1" w:styleId="ListNumberLevel2">
    <w:name w:val="List Number (Level 2)"/>
    <w:basedOn w:val="Normal"/>
    <w:rsid w:val="00DC2CA2"/>
    <w:pPr>
      <w:numPr>
        <w:ilvl w:val="1"/>
        <w:numId w:val="6"/>
      </w:numPr>
    </w:pPr>
    <w:rPr>
      <w:rFonts w:eastAsia="Times New Roman"/>
      <w:lang w:eastAsia="de-DE"/>
    </w:rPr>
  </w:style>
  <w:style w:type="paragraph" w:customStyle="1" w:styleId="ListNumberLevel3">
    <w:name w:val="List Number (Level 3)"/>
    <w:basedOn w:val="Normal"/>
    <w:rsid w:val="00DC2CA2"/>
    <w:pPr>
      <w:tabs>
        <w:tab w:val="num" w:pos="2126"/>
      </w:tabs>
      <w:ind w:left="2126" w:hanging="709"/>
    </w:pPr>
    <w:rPr>
      <w:rFonts w:eastAsia="Times New Roman"/>
      <w:lang w:eastAsia="de-DE"/>
    </w:rPr>
  </w:style>
  <w:style w:type="paragraph" w:customStyle="1" w:styleId="ListNumberLevel4">
    <w:name w:val="List Number (Level 4)"/>
    <w:basedOn w:val="Normal"/>
    <w:rsid w:val="00DC2CA2"/>
    <w:pPr>
      <w:tabs>
        <w:tab w:val="num" w:pos="2835"/>
      </w:tabs>
      <w:ind w:left="2835" w:hanging="709"/>
    </w:pPr>
    <w:rPr>
      <w:rFonts w:eastAsia="Times New Roman"/>
      <w:lang w:eastAsia="de-DE"/>
    </w:rPr>
  </w:style>
  <w:style w:type="table" w:styleId="TableGrid">
    <w:name w:val="Table Grid"/>
    <w:basedOn w:val="TableNormal"/>
    <w:uiPriority w:val="59"/>
    <w:rsid w:val="00DC2CA2"/>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DC2CA2"/>
    <w:pPr>
      <w:numPr>
        <w:numId w:val="7"/>
      </w:numPr>
    </w:pPr>
    <w:rPr>
      <w:rFonts w:eastAsia="Times New Roman"/>
      <w:lang w:eastAsia="en-GB"/>
    </w:rPr>
  </w:style>
  <w:style w:type="paragraph" w:styleId="ListBullet2">
    <w:name w:val="List Bullet 2"/>
    <w:basedOn w:val="Normal"/>
    <w:uiPriority w:val="99"/>
    <w:rsid w:val="00DC2CA2"/>
    <w:pPr>
      <w:numPr>
        <w:numId w:val="8"/>
      </w:numPr>
    </w:pPr>
    <w:rPr>
      <w:rFonts w:eastAsia="Times New Roman"/>
      <w:lang w:eastAsia="en-GB"/>
    </w:rPr>
  </w:style>
  <w:style w:type="paragraph" w:styleId="ListBullet3">
    <w:name w:val="List Bullet 3"/>
    <w:basedOn w:val="Normal"/>
    <w:uiPriority w:val="99"/>
    <w:rsid w:val="00DC2CA2"/>
    <w:pPr>
      <w:numPr>
        <w:numId w:val="9"/>
      </w:numPr>
    </w:pPr>
    <w:rPr>
      <w:rFonts w:eastAsia="Times New Roman"/>
      <w:lang w:eastAsia="en-GB"/>
    </w:rPr>
  </w:style>
  <w:style w:type="paragraph" w:styleId="ListNumber2">
    <w:name w:val="List Number 2"/>
    <w:basedOn w:val="Normal"/>
    <w:uiPriority w:val="99"/>
    <w:rsid w:val="00DC2CA2"/>
    <w:pPr>
      <w:numPr>
        <w:numId w:val="13"/>
      </w:numPr>
    </w:pPr>
    <w:rPr>
      <w:rFonts w:eastAsia="Times New Roman"/>
      <w:lang w:eastAsia="en-GB"/>
    </w:rPr>
  </w:style>
  <w:style w:type="paragraph" w:styleId="ListNumber3">
    <w:name w:val="List Number 3"/>
    <w:basedOn w:val="Normal"/>
    <w:uiPriority w:val="99"/>
    <w:rsid w:val="00DC2CA2"/>
    <w:pPr>
      <w:numPr>
        <w:numId w:val="14"/>
      </w:numPr>
    </w:pPr>
    <w:rPr>
      <w:rFonts w:eastAsia="Times New Roman"/>
      <w:lang w:eastAsia="en-GB"/>
    </w:rPr>
  </w:style>
  <w:style w:type="paragraph" w:styleId="ListNumber4">
    <w:name w:val="List Number 4"/>
    <w:basedOn w:val="Normal"/>
    <w:uiPriority w:val="99"/>
    <w:rsid w:val="00DC2CA2"/>
    <w:pPr>
      <w:numPr>
        <w:numId w:val="15"/>
      </w:numPr>
    </w:pPr>
    <w:rPr>
      <w:rFonts w:eastAsia="Times New Roman"/>
      <w:lang w:eastAsia="en-GB"/>
    </w:rPr>
  </w:style>
  <w:style w:type="paragraph" w:customStyle="1" w:styleId="ListDash3">
    <w:name w:val="List Dash 3"/>
    <w:basedOn w:val="Normal"/>
    <w:rsid w:val="00DC2CA2"/>
    <w:pPr>
      <w:numPr>
        <w:numId w:val="10"/>
      </w:numPr>
    </w:pPr>
    <w:rPr>
      <w:rFonts w:eastAsia="Times New Roman"/>
      <w:lang w:eastAsia="en-GB"/>
    </w:rPr>
  </w:style>
  <w:style w:type="paragraph" w:customStyle="1" w:styleId="ListDash4">
    <w:name w:val="List Dash 4"/>
    <w:basedOn w:val="Normal"/>
    <w:rsid w:val="00DC2CA2"/>
    <w:pPr>
      <w:numPr>
        <w:numId w:val="11"/>
      </w:numPr>
    </w:pPr>
    <w:rPr>
      <w:rFonts w:eastAsia="Times New Roman"/>
      <w:lang w:eastAsia="en-GB"/>
    </w:rPr>
  </w:style>
  <w:style w:type="paragraph" w:customStyle="1" w:styleId="ListNumber1">
    <w:name w:val="List Number 1"/>
    <w:basedOn w:val="Text1"/>
    <w:rsid w:val="00DC2CA2"/>
    <w:pPr>
      <w:numPr>
        <w:numId w:val="12"/>
      </w:numPr>
    </w:pPr>
    <w:rPr>
      <w:rFonts w:eastAsia="Times New Roman"/>
      <w:lang w:eastAsia="en-GB"/>
    </w:rPr>
  </w:style>
  <w:style w:type="paragraph" w:customStyle="1" w:styleId="ListNumber1Level2">
    <w:name w:val="List Number 1 (Level 2)"/>
    <w:basedOn w:val="Text1"/>
    <w:rsid w:val="00DC2CA2"/>
    <w:pPr>
      <w:tabs>
        <w:tab w:val="num" w:pos="2268"/>
      </w:tabs>
      <w:ind w:left="2268" w:hanging="708"/>
    </w:pPr>
    <w:rPr>
      <w:rFonts w:eastAsia="Times New Roman"/>
      <w:lang w:eastAsia="en-GB"/>
    </w:rPr>
  </w:style>
  <w:style w:type="paragraph" w:customStyle="1" w:styleId="ListNumber2Level2">
    <w:name w:val="List Number 2 (Level 2)"/>
    <w:basedOn w:val="Text2"/>
    <w:rsid w:val="00DC2CA2"/>
    <w:pPr>
      <w:numPr>
        <w:ilvl w:val="1"/>
        <w:numId w:val="13"/>
      </w:numPr>
    </w:pPr>
    <w:rPr>
      <w:rFonts w:eastAsia="Times New Roman"/>
      <w:lang w:eastAsia="en-GB"/>
    </w:rPr>
  </w:style>
  <w:style w:type="paragraph" w:customStyle="1" w:styleId="ListNumber3Level2">
    <w:name w:val="List Number 3 (Level 2)"/>
    <w:basedOn w:val="Text3"/>
    <w:rsid w:val="00DC2CA2"/>
    <w:pPr>
      <w:numPr>
        <w:ilvl w:val="1"/>
        <w:numId w:val="14"/>
      </w:numPr>
    </w:pPr>
    <w:rPr>
      <w:rFonts w:eastAsia="Times New Roman"/>
      <w:lang w:eastAsia="en-GB"/>
    </w:rPr>
  </w:style>
  <w:style w:type="paragraph" w:customStyle="1" w:styleId="ListNumber4Level2">
    <w:name w:val="List Number 4 (Level 2)"/>
    <w:basedOn w:val="Text4"/>
    <w:rsid w:val="00DC2CA2"/>
    <w:pPr>
      <w:numPr>
        <w:ilvl w:val="1"/>
        <w:numId w:val="15"/>
      </w:numPr>
    </w:pPr>
    <w:rPr>
      <w:rFonts w:eastAsia="Times New Roman"/>
      <w:lang w:eastAsia="en-GB"/>
    </w:rPr>
  </w:style>
  <w:style w:type="paragraph" w:customStyle="1" w:styleId="ListNumber1Level3">
    <w:name w:val="List Number 1 (Level 3)"/>
    <w:basedOn w:val="Text1"/>
    <w:rsid w:val="00DC2CA2"/>
    <w:pPr>
      <w:numPr>
        <w:ilvl w:val="2"/>
        <w:numId w:val="12"/>
      </w:numPr>
    </w:pPr>
    <w:rPr>
      <w:rFonts w:eastAsia="Times New Roman"/>
      <w:lang w:eastAsia="en-GB"/>
    </w:rPr>
  </w:style>
  <w:style w:type="paragraph" w:customStyle="1" w:styleId="ListNumber2Level3">
    <w:name w:val="List Number 2 (Level 3)"/>
    <w:basedOn w:val="Text2"/>
    <w:rsid w:val="00DC2CA2"/>
    <w:pPr>
      <w:numPr>
        <w:ilvl w:val="2"/>
        <w:numId w:val="13"/>
      </w:numPr>
    </w:pPr>
    <w:rPr>
      <w:rFonts w:eastAsia="Times New Roman"/>
      <w:lang w:eastAsia="en-GB"/>
    </w:rPr>
  </w:style>
  <w:style w:type="paragraph" w:customStyle="1" w:styleId="ListNumber3Level3">
    <w:name w:val="List Number 3 (Level 3)"/>
    <w:basedOn w:val="Text3"/>
    <w:rsid w:val="00DC2CA2"/>
    <w:pPr>
      <w:numPr>
        <w:ilvl w:val="2"/>
        <w:numId w:val="14"/>
      </w:numPr>
    </w:pPr>
    <w:rPr>
      <w:rFonts w:eastAsia="Times New Roman"/>
      <w:lang w:eastAsia="en-GB"/>
    </w:rPr>
  </w:style>
  <w:style w:type="paragraph" w:customStyle="1" w:styleId="ListNumber4Level3">
    <w:name w:val="List Number 4 (Level 3)"/>
    <w:basedOn w:val="Text4"/>
    <w:rsid w:val="00DC2CA2"/>
    <w:pPr>
      <w:numPr>
        <w:ilvl w:val="2"/>
        <w:numId w:val="15"/>
      </w:numPr>
    </w:pPr>
    <w:rPr>
      <w:rFonts w:eastAsia="Times New Roman"/>
      <w:lang w:eastAsia="en-GB"/>
    </w:rPr>
  </w:style>
  <w:style w:type="paragraph" w:customStyle="1" w:styleId="ListNumber1Level4">
    <w:name w:val="List Number 1 (Level 4)"/>
    <w:basedOn w:val="Text1"/>
    <w:rsid w:val="00DC2CA2"/>
    <w:pPr>
      <w:numPr>
        <w:ilvl w:val="3"/>
        <w:numId w:val="12"/>
      </w:numPr>
    </w:pPr>
    <w:rPr>
      <w:rFonts w:eastAsia="Times New Roman"/>
      <w:lang w:eastAsia="en-GB"/>
    </w:rPr>
  </w:style>
  <w:style w:type="paragraph" w:customStyle="1" w:styleId="ListNumber2Level4">
    <w:name w:val="List Number 2 (Level 4)"/>
    <w:basedOn w:val="Text2"/>
    <w:rsid w:val="00DC2CA2"/>
    <w:pPr>
      <w:numPr>
        <w:ilvl w:val="3"/>
        <w:numId w:val="13"/>
      </w:numPr>
    </w:pPr>
    <w:rPr>
      <w:rFonts w:eastAsia="Times New Roman"/>
      <w:lang w:eastAsia="en-GB"/>
    </w:rPr>
  </w:style>
  <w:style w:type="paragraph" w:customStyle="1" w:styleId="ListNumber3Level4">
    <w:name w:val="List Number 3 (Level 4)"/>
    <w:basedOn w:val="Text3"/>
    <w:rsid w:val="00DC2CA2"/>
    <w:pPr>
      <w:numPr>
        <w:ilvl w:val="3"/>
        <w:numId w:val="14"/>
      </w:numPr>
    </w:pPr>
    <w:rPr>
      <w:rFonts w:eastAsia="Times New Roman"/>
      <w:lang w:eastAsia="en-GB"/>
    </w:rPr>
  </w:style>
  <w:style w:type="paragraph" w:customStyle="1" w:styleId="ListNumber4Level4">
    <w:name w:val="List Number 4 (Level 4)"/>
    <w:basedOn w:val="Text4"/>
    <w:rsid w:val="00DC2CA2"/>
    <w:pPr>
      <w:numPr>
        <w:ilvl w:val="3"/>
        <w:numId w:val="15"/>
      </w:numPr>
    </w:pPr>
    <w:rPr>
      <w:rFonts w:eastAsia="Times New Roman"/>
      <w:lang w:eastAsia="en-GB"/>
    </w:rPr>
  </w:style>
  <w:style w:type="paragraph" w:customStyle="1" w:styleId="Annexetitreacte">
    <w:name w:val="Annexe titre (acte)"/>
    <w:basedOn w:val="Normal"/>
    <w:next w:val="Normal"/>
    <w:rsid w:val="00DC2CA2"/>
    <w:pPr>
      <w:jc w:val="center"/>
    </w:pPr>
    <w:rPr>
      <w:rFonts w:eastAsia="Times New Roman"/>
      <w:b/>
      <w:u w:val="single"/>
      <w:lang w:eastAsia="en-GB"/>
    </w:rPr>
  </w:style>
  <w:style w:type="paragraph" w:customStyle="1" w:styleId="Annexetitreexposglobal">
    <w:name w:val="Annexe titre (exposé global)"/>
    <w:basedOn w:val="Normal"/>
    <w:next w:val="Normal"/>
    <w:rsid w:val="00DC2CA2"/>
    <w:pPr>
      <w:jc w:val="center"/>
    </w:pPr>
    <w:rPr>
      <w:rFonts w:eastAsia="Times New Roman"/>
      <w:b/>
      <w:u w:val="single"/>
      <w:lang w:eastAsia="en-GB"/>
    </w:rPr>
  </w:style>
  <w:style w:type="paragraph" w:customStyle="1" w:styleId="Annexetitrefichefinacte">
    <w:name w:val="Annexe titre (fiche fin. acte)"/>
    <w:basedOn w:val="Normal"/>
    <w:next w:val="Normal"/>
    <w:rsid w:val="00DC2CA2"/>
    <w:pPr>
      <w:jc w:val="center"/>
    </w:pPr>
    <w:rPr>
      <w:rFonts w:eastAsia="Times New Roman"/>
      <w:b/>
      <w:u w:val="single"/>
      <w:lang w:eastAsia="en-GB"/>
    </w:rPr>
  </w:style>
  <w:style w:type="paragraph" w:customStyle="1" w:styleId="Annexetitrefichefinglobale">
    <w:name w:val="Annexe titre (fiche fin. globale)"/>
    <w:basedOn w:val="Normal"/>
    <w:next w:val="Normal"/>
    <w:rsid w:val="00DC2CA2"/>
    <w:pPr>
      <w:jc w:val="center"/>
    </w:pPr>
    <w:rPr>
      <w:rFonts w:eastAsia="Times New Roman"/>
      <w:b/>
      <w:u w:val="single"/>
      <w:lang w:eastAsia="en-GB"/>
    </w:rPr>
  </w:style>
  <w:style w:type="paragraph" w:customStyle="1" w:styleId="Annexetitreglobale">
    <w:name w:val="Annexe titre (globale)"/>
    <w:basedOn w:val="Normal"/>
    <w:next w:val="Normal"/>
    <w:rsid w:val="00DC2CA2"/>
    <w:pPr>
      <w:jc w:val="center"/>
    </w:pPr>
    <w:rPr>
      <w:rFonts w:eastAsia="Times New Roman"/>
      <w:b/>
      <w:u w:val="single"/>
      <w:lang w:eastAsia="en-GB"/>
    </w:rPr>
  </w:style>
  <w:style w:type="paragraph" w:customStyle="1" w:styleId="Exposdesmotifstitreglobal">
    <w:name w:val="Exposé des motifs titre (global)"/>
    <w:basedOn w:val="Normal"/>
    <w:next w:val="Normal"/>
    <w:rsid w:val="00DC2CA2"/>
    <w:pPr>
      <w:jc w:val="center"/>
    </w:pPr>
    <w:rPr>
      <w:rFonts w:eastAsia="Times New Roman"/>
      <w:b/>
      <w:u w:val="single"/>
      <w:lang w:eastAsia="en-GB"/>
    </w:rPr>
  </w:style>
  <w:style w:type="paragraph" w:customStyle="1" w:styleId="Langueoriginale">
    <w:name w:val="Langue originale"/>
    <w:basedOn w:val="Normal"/>
    <w:rsid w:val="00DC2CA2"/>
    <w:pPr>
      <w:spacing w:before="360"/>
      <w:jc w:val="center"/>
    </w:pPr>
    <w:rPr>
      <w:rFonts w:eastAsia="Times New Roman"/>
      <w:caps/>
      <w:lang w:eastAsia="en-GB"/>
    </w:rPr>
  </w:style>
  <w:style w:type="paragraph" w:customStyle="1" w:styleId="Phrasefinale">
    <w:name w:val="Phrase finale"/>
    <w:basedOn w:val="Normal"/>
    <w:next w:val="Normal"/>
    <w:rsid w:val="00DC2CA2"/>
    <w:pPr>
      <w:spacing w:before="360" w:after="0"/>
      <w:jc w:val="center"/>
    </w:pPr>
    <w:rPr>
      <w:rFonts w:eastAsia="Times New Roman"/>
      <w:lang w:eastAsia="en-GB"/>
    </w:rPr>
  </w:style>
  <w:style w:type="paragraph" w:customStyle="1" w:styleId="Prliminairetitre">
    <w:name w:val="Préliminaire titre"/>
    <w:basedOn w:val="Normal"/>
    <w:next w:val="Normal"/>
    <w:rsid w:val="00DC2CA2"/>
    <w:pPr>
      <w:spacing w:before="360" w:after="360"/>
      <w:jc w:val="center"/>
    </w:pPr>
    <w:rPr>
      <w:rFonts w:eastAsia="Times New Roman"/>
      <w:b/>
      <w:lang w:eastAsia="en-GB"/>
    </w:rPr>
  </w:style>
  <w:style w:type="paragraph" w:customStyle="1" w:styleId="Prliminairetype">
    <w:name w:val="Préliminaire type"/>
    <w:basedOn w:val="Normal"/>
    <w:next w:val="Normal"/>
    <w:rsid w:val="00DC2CA2"/>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DC2CA2"/>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DC2CA2"/>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DC2CA2"/>
    <w:pPr>
      <w:spacing w:before="0" w:after="0"/>
      <w:ind w:left="5103"/>
      <w:jc w:val="left"/>
    </w:pPr>
    <w:rPr>
      <w:rFonts w:eastAsia="Times New Roman"/>
      <w:lang w:eastAsia="en-GB"/>
    </w:rPr>
  </w:style>
  <w:style w:type="paragraph" w:customStyle="1" w:styleId="Sous-titreobjetprliminaire">
    <w:name w:val="Sous-titre objet (préliminaire)"/>
    <w:basedOn w:val="Normal"/>
    <w:rsid w:val="00DC2CA2"/>
    <w:pPr>
      <w:spacing w:before="0" w:after="0"/>
      <w:jc w:val="center"/>
    </w:pPr>
    <w:rPr>
      <w:rFonts w:eastAsia="Times New Roman"/>
      <w:b/>
      <w:lang w:eastAsia="en-GB"/>
    </w:rPr>
  </w:style>
  <w:style w:type="paragraph" w:customStyle="1" w:styleId="Statutprliminaire">
    <w:name w:val="Statut (préliminaire)"/>
    <w:basedOn w:val="Normal"/>
    <w:next w:val="Normal"/>
    <w:rsid w:val="00DC2CA2"/>
    <w:pPr>
      <w:spacing w:before="360" w:after="0"/>
      <w:jc w:val="center"/>
    </w:pPr>
    <w:rPr>
      <w:rFonts w:eastAsia="Times New Roman"/>
      <w:lang w:eastAsia="en-GB"/>
    </w:rPr>
  </w:style>
  <w:style w:type="paragraph" w:customStyle="1" w:styleId="Titreobjetprliminaire">
    <w:name w:val="Titre objet (préliminaire)"/>
    <w:basedOn w:val="Normal"/>
    <w:next w:val="Normal"/>
    <w:rsid w:val="00DC2CA2"/>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DC2CA2"/>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DC2CA2"/>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DC2CA2"/>
    <w:pPr>
      <w:jc w:val="center"/>
    </w:pPr>
    <w:rPr>
      <w:rFonts w:eastAsia="Times New Roman"/>
      <w:b/>
      <w:u w:val="single"/>
      <w:lang w:eastAsia="en-GB"/>
    </w:rPr>
  </w:style>
  <w:style w:type="paragraph" w:customStyle="1" w:styleId="Fichefinanciretravailtitre">
    <w:name w:val="Fiche financière (travail) titre"/>
    <w:basedOn w:val="Normal"/>
    <w:next w:val="Normal"/>
    <w:rsid w:val="00DC2CA2"/>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DC2CA2"/>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DC2CA2"/>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DC2CA2"/>
    <w:pPr>
      <w:jc w:val="center"/>
    </w:pPr>
    <w:rPr>
      <w:rFonts w:eastAsia="Times New Roman"/>
      <w:b/>
      <w:u w:val="single"/>
      <w:lang w:eastAsia="en-GB"/>
    </w:rPr>
  </w:style>
  <w:style w:type="character" w:styleId="CommentReference">
    <w:name w:val="annotation reference"/>
    <w:uiPriority w:val="99"/>
    <w:rsid w:val="00DC2CA2"/>
    <w:rPr>
      <w:rFonts w:cs="Times New Roman"/>
      <w:sz w:val="16"/>
      <w:szCs w:val="16"/>
    </w:rPr>
  </w:style>
  <w:style w:type="paragraph" w:styleId="CommentText">
    <w:name w:val="annotation text"/>
    <w:basedOn w:val="Normal"/>
    <w:link w:val="CommentTextChar"/>
    <w:uiPriority w:val="99"/>
    <w:rsid w:val="00DC2CA2"/>
    <w:rPr>
      <w:rFonts w:eastAsia="Times New Roman"/>
      <w:sz w:val="20"/>
      <w:szCs w:val="20"/>
      <w:lang w:eastAsia="en-GB"/>
    </w:rPr>
  </w:style>
  <w:style w:type="character" w:customStyle="1" w:styleId="CommentTextChar">
    <w:name w:val="Comment Text Char"/>
    <w:basedOn w:val="DefaultParagraphFont"/>
    <w:link w:val="CommentText"/>
    <w:uiPriority w:val="99"/>
    <w:rsid w:val="00DC2CA2"/>
    <w:rPr>
      <w:rFonts w:ascii="Times New Roman" w:eastAsia="Times New Roman" w:hAnsi="Times New Roman" w:cs="Times New Roman"/>
      <w:sz w:val="20"/>
      <w:szCs w:val="20"/>
      <w:lang w:val="pl-PL" w:eastAsia="en-GB"/>
    </w:rPr>
  </w:style>
  <w:style w:type="paragraph" w:styleId="CommentSubject">
    <w:name w:val="annotation subject"/>
    <w:basedOn w:val="CommentText"/>
    <w:next w:val="CommentText"/>
    <w:link w:val="CommentSubjectChar"/>
    <w:uiPriority w:val="99"/>
    <w:rsid w:val="00DC2CA2"/>
    <w:rPr>
      <w:b/>
      <w:bCs/>
    </w:rPr>
  </w:style>
  <w:style w:type="character" w:customStyle="1" w:styleId="CommentSubjectChar">
    <w:name w:val="Comment Subject Char"/>
    <w:basedOn w:val="CommentTextChar"/>
    <w:link w:val="CommentSubject"/>
    <w:uiPriority w:val="99"/>
    <w:rsid w:val="00DC2CA2"/>
    <w:rPr>
      <w:rFonts w:ascii="Times New Roman" w:eastAsia="Times New Roman" w:hAnsi="Times New Roman" w:cs="Times New Roman"/>
      <w:b/>
      <w:bCs/>
      <w:sz w:val="20"/>
      <w:szCs w:val="20"/>
      <w:lang w:val="pl-PL" w:eastAsia="en-GB"/>
    </w:rPr>
  </w:style>
  <w:style w:type="paragraph" w:styleId="BalloonText">
    <w:name w:val="Balloon Text"/>
    <w:basedOn w:val="Normal"/>
    <w:link w:val="BalloonTextChar"/>
    <w:uiPriority w:val="99"/>
    <w:rsid w:val="00DC2CA2"/>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DC2CA2"/>
    <w:rPr>
      <w:rFonts w:ascii="Tahoma" w:eastAsia="Times New Roman" w:hAnsi="Tahoma" w:cs="Tahoma"/>
      <w:sz w:val="16"/>
      <w:szCs w:val="16"/>
      <w:lang w:val="pl-PL" w:eastAsia="en-GB"/>
    </w:rPr>
  </w:style>
  <w:style w:type="paragraph" w:styleId="Caption">
    <w:name w:val="caption"/>
    <w:basedOn w:val="Normal"/>
    <w:next w:val="Normal"/>
    <w:uiPriority w:val="35"/>
    <w:qFormat/>
    <w:rsid w:val="00DC2CA2"/>
    <w:rPr>
      <w:rFonts w:eastAsia="Times New Roman"/>
      <w:b/>
      <w:bCs/>
      <w:sz w:val="20"/>
      <w:szCs w:val="20"/>
      <w:lang w:eastAsia="en-GB"/>
    </w:rPr>
  </w:style>
  <w:style w:type="paragraph" w:styleId="TableofFigures">
    <w:name w:val="table of figures"/>
    <w:basedOn w:val="Normal"/>
    <w:next w:val="Normal"/>
    <w:uiPriority w:val="99"/>
    <w:rsid w:val="00DC2CA2"/>
    <w:rPr>
      <w:rFonts w:eastAsia="Times New Roman"/>
      <w:lang w:eastAsia="en-GB"/>
    </w:rPr>
  </w:style>
  <w:style w:type="character" w:styleId="PageNumber">
    <w:name w:val="page number"/>
    <w:rsid w:val="00DC2CA2"/>
  </w:style>
  <w:style w:type="character" w:customStyle="1" w:styleId="tw4winMark">
    <w:name w:val="tw4winMark"/>
    <w:rsid w:val="00DC2CA2"/>
    <w:rPr>
      <w:vanish/>
      <w:color w:val="800080"/>
      <w:vertAlign w:val="subscript"/>
    </w:rPr>
  </w:style>
  <w:style w:type="character" w:styleId="FollowedHyperlink">
    <w:name w:val="FollowedHyperlink"/>
    <w:uiPriority w:val="99"/>
    <w:rsid w:val="00DC2CA2"/>
    <w:rPr>
      <w:color w:val="800080"/>
      <w:u w:val="single"/>
    </w:rPr>
  </w:style>
  <w:style w:type="paragraph" w:customStyle="1" w:styleId="Sous-titreobjet">
    <w:name w:val="Sous-titre objet"/>
    <w:basedOn w:val="Normal"/>
    <w:rsid w:val="00DC2CA2"/>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DC2CA2"/>
  </w:style>
  <w:style w:type="paragraph" w:styleId="Revision">
    <w:name w:val="Revision"/>
    <w:hidden/>
    <w:uiPriority w:val="99"/>
    <w:semiHidden/>
    <w:rsid w:val="00DC2CA2"/>
    <w:rPr>
      <w:rFonts w:ascii="Calibri" w:eastAsia="Calibri" w:hAnsi="Calibri" w:cs="Times New Roman"/>
      <w:sz w:val="24"/>
      <w:lang w:eastAsia="en-GB"/>
    </w:rPr>
  </w:style>
  <w:style w:type="paragraph" w:customStyle="1" w:styleId="FooterCoverPage">
    <w:name w:val="Footer Cover Page"/>
    <w:basedOn w:val="Normal"/>
    <w:link w:val="FooterCoverPageChar"/>
    <w:rsid w:val="00DC2CA2"/>
    <w:pPr>
      <w:tabs>
        <w:tab w:val="center" w:pos="4535"/>
        <w:tab w:val="right" w:pos="9071"/>
        <w:tab w:val="right" w:pos="9921"/>
      </w:tabs>
      <w:spacing w:before="360" w:after="0"/>
      <w:ind w:left="-850" w:right="-850"/>
      <w:jc w:val="left"/>
    </w:pPr>
    <w:rPr>
      <w:rFonts w:eastAsia="Calibri"/>
      <w:lang w:eastAsia="en-GB"/>
    </w:rPr>
  </w:style>
  <w:style w:type="character" w:customStyle="1" w:styleId="FooterCoverPageChar">
    <w:name w:val="Footer Cover Page Char"/>
    <w:link w:val="FooterCoverPage"/>
    <w:rsid w:val="00DC2CA2"/>
    <w:rPr>
      <w:rFonts w:ascii="Times New Roman" w:eastAsia="Calibri" w:hAnsi="Times New Roman" w:cs="Times New Roman"/>
      <w:sz w:val="24"/>
      <w:lang w:val="pl-PL" w:eastAsia="en-GB"/>
    </w:rPr>
  </w:style>
  <w:style w:type="paragraph" w:customStyle="1" w:styleId="HeaderCoverPage">
    <w:name w:val="Header Cover Page"/>
    <w:basedOn w:val="Normal"/>
    <w:link w:val="HeaderCoverPageChar"/>
    <w:rsid w:val="00DC2CA2"/>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DC2CA2"/>
    <w:rPr>
      <w:rFonts w:ascii="Times New Roman" w:eastAsia="Calibri" w:hAnsi="Times New Roman" w:cs="Times New Roman"/>
      <w:sz w:val="24"/>
      <w:lang w:val="pl-PL" w:eastAsia="en-GB"/>
    </w:rPr>
  </w:style>
  <w:style w:type="character" w:customStyle="1" w:styleId="FooterSensitivityChar">
    <w:name w:val="Footer Sensitivity Char"/>
    <w:rsid w:val="00DC2CA2"/>
    <w:rPr>
      <w:rFonts w:ascii="Times New Roman" w:hAnsi="Times New Roman" w:cs="Times New Roman"/>
      <w:b/>
      <w:sz w:val="32"/>
      <w:lang w:val="pl-PL"/>
    </w:rPr>
  </w:style>
  <w:style w:type="character" w:customStyle="1" w:styleId="HeaderSensitivityChar">
    <w:name w:val="Header Sensitivity Char"/>
    <w:rsid w:val="00DC2CA2"/>
    <w:rPr>
      <w:rFonts w:ascii="Times New Roman" w:hAnsi="Times New Roman" w:cs="Times New Roman"/>
      <w:b/>
      <w:sz w:val="32"/>
      <w:lang w:val="pl-PL"/>
    </w:rPr>
  </w:style>
  <w:style w:type="character" w:customStyle="1" w:styleId="HeaderSensitivityRightChar">
    <w:name w:val="Header Sensitivity Right Char"/>
    <w:rsid w:val="00DC2CA2"/>
    <w:rPr>
      <w:rFonts w:ascii="Times New Roman" w:hAnsi="Times New Roman" w:cs="Times New Roman"/>
      <w:sz w:val="28"/>
      <w:lang w:val="pl-PL"/>
    </w:rPr>
  </w:style>
  <w:style w:type="character" w:customStyle="1" w:styleId="normaltextrun">
    <w:name w:val="normaltextrun"/>
    <w:basedOn w:val="DefaultParagraphFont"/>
    <w:rsid w:val="00DC2CA2"/>
  </w:style>
  <w:style w:type="character" w:customStyle="1" w:styleId="eop">
    <w:name w:val="eop"/>
    <w:basedOn w:val="DefaultParagraphFont"/>
    <w:rsid w:val="00DC2CA2"/>
  </w:style>
  <w:style w:type="paragraph" w:customStyle="1" w:styleId="paragraph">
    <w:name w:val="paragraph"/>
    <w:basedOn w:val="Normal"/>
    <w:uiPriority w:val="1"/>
    <w:rsid w:val="00DC2CA2"/>
    <w:pPr>
      <w:spacing w:before="100" w:beforeAutospacing="1" w:after="100" w:afterAutospacing="1"/>
      <w:jc w:val="left"/>
    </w:pPr>
    <w:rPr>
      <w:rFonts w:eastAsia="Times New Roman"/>
      <w:szCs w:val="24"/>
      <w:lang w:eastAsia="en-IE"/>
    </w:rPr>
  </w:style>
  <w:style w:type="character" w:customStyle="1" w:styleId="superscript">
    <w:name w:val="superscript"/>
    <w:basedOn w:val="DefaultParagraphFont"/>
    <w:rsid w:val="00DC2CA2"/>
  </w:style>
  <w:style w:type="character" w:customStyle="1" w:styleId="Corpsdutexte5">
    <w:name w:val="Corps du texte5"/>
    <w:uiPriority w:val="99"/>
    <w:rsid w:val="00DC2CA2"/>
    <w:rPr>
      <w:rFonts w:ascii="Arial" w:hAnsi="Arial" w:cs="Arial"/>
      <w:color w:val="1A171C"/>
      <w:sz w:val="16"/>
      <w:szCs w:val="16"/>
      <w:shd w:val="clear" w:color="auto" w:fill="FFFFFF"/>
    </w:rPr>
  </w:style>
  <w:style w:type="paragraph" w:styleId="ListParagraph">
    <w:name w:val="List Paragraph"/>
    <w:aliases w:val="Normal bullet 2,Bullet list,Numbered List,List Paragraph1,1st level - Bullet List Paragraph,Lettre d'introduction,Paragrafo elenco,Paragraph,Bullet EY,List Paragraph11,Normal bullet 21,List Paragraph111,Bullet list1,Bullet point 1,Dot pt"/>
    <w:basedOn w:val="Normal"/>
    <w:link w:val="ListParagraphChar"/>
    <w:uiPriority w:val="34"/>
    <w:qFormat/>
    <w:rsid w:val="00DC2CA2"/>
    <w:pPr>
      <w:spacing w:before="0" w:after="200" w:line="276" w:lineRule="auto"/>
      <w:ind w:left="720"/>
      <w:contextualSpacing/>
      <w:jc w:val="left"/>
    </w:pPr>
    <w:rPr>
      <w:rFonts w:ascii="Calibri" w:eastAsia="Times New Roman" w:hAnsi="Calibri"/>
      <w:sz w:val="22"/>
      <w:lang w:eastAsia="en-GB"/>
    </w:rPr>
  </w:style>
  <w:style w:type="character" w:customStyle="1" w:styleId="ListParagraphChar">
    <w:name w:val="List Paragraph Char"/>
    <w:aliases w:val="Normal bullet 2 Char,Bullet list Char,Numbered List Char,List Paragraph1 Char,1st level - Bullet List Paragraph Char,Lettre d'introduction Char,Paragrafo elenco Char,Paragraph Char,Bullet EY Char,List Paragraph11 Char,Dot pt Char"/>
    <w:link w:val="ListParagraph"/>
    <w:uiPriority w:val="34"/>
    <w:qFormat/>
    <w:locked/>
    <w:rsid w:val="00DC2CA2"/>
    <w:rPr>
      <w:rFonts w:ascii="Calibri" w:eastAsia="Times New Roman" w:hAnsi="Calibri" w:cs="Times New Roman"/>
      <w:lang w:val="pl-PL" w:eastAsia="en-GB"/>
    </w:rPr>
  </w:style>
  <w:style w:type="character" w:customStyle="1" w:styleId="Heading8Char">
    <w:name w:val="Heading 8 Char"/>
    <w:basedOn w:val="DefaultParagraphFont"/>
    <w:link w:val="Heading8"/>
    <w:uiPriority w:val="9"/>
    <w:rsid w:val="00957DD3"/>
    <w:rPr>
      <w:rFonts w:asciiTheme="majorHAnsi" w:eastAsiaTheme="majorEastAsia" w:hAnsiTheme="majorHAnsi" w:cstheme="majorBidi"/>
      <w:color w:val="272727"/>
      <w:sz w:val="21"/>
      <w:szCs w:val="21"/>
      <w:lang w:val="pl-PL"/>
    </w:rPr>
  </w:style>
  <w:style w:type="character" w:customStyle="1" w:styleId="Heading9Char">
    <w:name w:val="Heading 9 Char"/>
    <w:basedOn w:val="DefaultParagraphFont"/>
    <w:link w:val="Heading9"/>
    <w:uiPriority w:val="9"/>
    <w:rsid w:val="00957DD3"/>
    <w:rPr>
      <w:rFonts w:asciiTheme="majorHAnsi" w:eastAsiaTheme="majorEastAsia" w:hAnsiTheme="majorHAnsi" w:cstheme="majorBidi"/>
      <w:i/>
      <w:iCs/>
      <w:color w:val="272727"/>
      <w:sz w:val="21"/>
      <w:szCs w:val="21"/>
      <w:lang w:val="pl-PL"/>
    </w:rPr>
  </w:style>
  <w:style w:type="character" w:styleId="Emphasis">
    <w:name w:val="Emphasis"/>
    <w:basedOn w:val="DefaultParagraphFont"/>
    <w:uiPriority w:val="20"/>
    <w:qFormat/>
    <w:rsid w:val="00957DD3"/>
    <w:rPr>
      <w:i/>
      <w:iCs/>
    </w:rPr>
  </w:style>
  <w:style w:type="character" w:styleId="Strong">
    <w:name w:val="Strong"/>
    <w:basedOn w:val="DefaultParagraphFont"/>
    <w:uiPriority w:val="22"/>
    <w:qFormat/>
    <w:rsid w:val="00957DD3"/>
    <w:rPr>
      <w:b/>
      <w:bCs/>
    </w:rPr>
  </w:style>
  <w:style w:type="paragraph" w:customStyle="1" w:styleId="Body">
    <w:name w:val="Body"/>
    <w:basedOn w:val="Normal"/>
    <w:link w:val="BodyChar"/>
    <w:uiPriority w:val="1"/>
    <w:qFormat/>
    <w:rsid w:val="00957DD3"/>
    <w:pPr>
      <w:spacing w:before="0" w:after="240"/>
      <w:jc w:val="left"/>
    </w:pPr>
    <w:rPr>
      <w:rFonts w:ascii="Verdana" w:eastAsia="Times New Roman" w:hAnsi="Verdana"/>
      <w:sz w:val="18"/>
      <w:szCs w:val="18"/>
    </w:rPr>
  </w:style>
  <w:style w:type="character" w:customStyle="1" w:styleId="BodyChar">
    <w:name w:val="Body Char"/>
    <w:link w:val="Body"/>
    <w:uiPriority w:val="1"/>
    <w:rsid w:val="00957DD3"/>
    <w:rPr>
      <w:rFonts w:ascii="Verdana" w:eastAsia="Times New Roman" w:hAnsi="Verdana" w:cs="Times New Roman"/>
      <w:sz w:val="18"/>
      <w:szCs w:val="18"/>
      <w:lang w:val="pl-PL"/>
    </w:rPr>
  </w:style>
  <w:style w:type="paragraph" w:customStyle="1" w:styleId="Footnotesymbol">
    <w:name w:val="Footnote symbol"/>
    <w:basedOn w:val="Normal"/>
    <w:uiPriority w:val="99"/>
    <w:qFormat/>
    <w:rsid w:val="00957DD3"/>
    <w:pPr>
      <w:spacing w:before="0" w:after="160"/>
    </w:pPr>
    <w:rPr>
      <w:vertAlign w:val="superscript"/>
    </w:rPr>
  </w:style>
  <w:style w:type="character" w:customStyle="1" w:styleId="Hyperlink0">
    <w:name w:val="Hyperlink.0"/>
    <w:basedOn w:val="DefaultParagraphFont"/>
    <w:rsid w:val="00957DD3"/>
    <w:rPr>
      <w:color w:val="0000FF"/>
      <w:sz w:val="16"/>
      <w:szCs w:val="16"/>
      <w:u w:val="single" w:color="0000FF"/>
      <w14:textOutline w14:w="0" w14:cap="rnd" w14:cmpd="sng" w14:algn="ctr">
        <w14:noFill/>
        <w14:prstDash w14:val="solid"/>
        <w14:bevel/>
      </w14:textOutline>
    </w:rPr>
  </w:style>
  <w:style w:type="character" w:customStyle="1" w:styleId="Hyperlink3">
    <w:name w:val="Hyperlink.3"/>
    <w:basedOn w:val="DefaultParagraphFont"/>
    <w:rsid w:val="00957DD3"/>
    <w:rPr>
      <w:color w:val="0000FF"/>
      <w:sz w:val="16"/>
      <w:szCs w:val="16"/>
      <w:u w:val="single" w:color="0000FF"/>
      <w14:textOutline w14:w="0" w14:cap="rnd" w14:cmpd="sng" w14:algn="ctr">
        <w14:noFill/>
        <w14:prstDash w14:val="solid"/>
        <w14:bevel/>
      </w14:textOutline>
    </w:rPr>
  </w:style>
  <w:style w:type="paragraph" w:customStyle="1" w:styleId="bodytext">
    <w:name w:val="bodytext"/>
    <w:basedOn w:val="Normal"/>
    <w:uiPriority w:val="1"/>
    <w:rsid w:val="00957DD3"/>
    <w:pPr>
      <w:spacing w:beforeAutospacing="1" w:afterAutospacing="1"/>
      <w:jc w:val="left"/>
    </w:pPr>
    <w:rPr>
      <w:rFonts w:eastAsia="Times New Roman"/>
      <w:lang w:eastAsia="en-GB"/>
    </w:rPr>
  </w:style>
  <w:style w:type="paragraph" w:customStyle="1" w:styleId="LegalNumPar">
    <w:name w:val="LegalNumPar"/>
    <w:basedOn w:val="Normal"/>
    <w:link w:val="LegalNumParChar"/>
    <w:uiPriority w:val="1"/>
    <w:qFormat/>
    <w:rsid w:val="00957DD3"/>
    <w:pPr>
      <w:spacing w:before="0"/>
    </w:pPr>
    <w:rPr>
      <w:rFonts w:eastAsia="Times New Roman"/>
      <w:lang w:eastAsia="en-GB"/>
    </w:rPr>
  </w:style>
  <w:style w:type="character" w:customStyle="1" w:styleId="LegalNumParChar">
    <w:name w:val="LegalNumPar Char"/>
    <w:basedOn w:val="DefaultParagraphFont"/>
    <w:link w:val="LegalNumPar"/>
    <w:uiPriority w:val="1"/>
    <w:rsid w:val="00957DD3"/>
    <w:rPr>
      <w:rFonts w:ascii="Times New Roman" w:eastAsia="Times New Roman" w:hAnsi="Times New Roman" w:cs="Times New Roman"/>
      <w:sz w:val="24"/>
      <w:lang w:val="pl-PL" w:eastAsia="en-GB"/>
    </w:rPr>
  </w:style>
  <w:style w:type="paragraph" w:styleId="NoSpacing">
    <w:name w:val="No Spacing"/>
    <w:uiPriority w:val="1"/>
    <w:qFormat/>
    <w:rsid w:val="00957DD3"/>
    <w:pPr>
      <w:spacing w:after="0" w:line="240" w:lineRule="auto"/>
      <w:jc w:val="both"/>
    </w:pPr>
    <w:rPr>
      <w:rFonts w:ascii="Times New Roman" w:hAnsi="Times New Roman" w:cs="Times New Roman"/>
      <w:sz w:val="24"/>
    </w:rPr>
  </w:style>
  <w:style w:type="paragraph" w:styleId="NormalWeb">
    <w:name w:val="Normal (Web)"/>
    <w:basedOn w:val="Normal"/>
    <w:uiPriority w:val="99"/>
    <w:semiHidden/>
    <w:unhideWhenUsed/>
    <w:rsid w:val="00957DD3"/>
  </w:style>
  <w:style w:type="character" w:customStyle="1" w:styleId="ui-provider">
    <w:name w:val="ui-provider"/>
    <w:basedOn w:val="DefaultParagraphFont"/>
    <w:rsid w:val="00957DD3"/>
  </w:style>
  <w:style w:type="paragraph" w:styleId="Title">
    <w:name w:val="Title"/>
    <w:basedOn w:val="Normal"/>
    <w:next w:val="Normal"/>
    <w:link w:val="TitleChar"/>
    <w:uiPriority w:val="10"/>
    <w:qFormat/>
    <w:rsid w:val="00957DD3"/>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957DD3"/>
    <w:rPr>
      <w:rFonts w:asciiTheme="majorHAnsi" w:eastAsiaTheme="majorEastAsia" w:hAnsiTheme="majorHAnsi" w:cstheme="majorBidi"/>
      <w:sz w:val="56"/>
      <w:szCs w:val="56"/>
      <w:lang w:val="pl-PL"/>
    </w:rPr>
  </w:style>
  <w:style w:type="paragraph" w:styleId="Subtitle">
    <w:name w:val="Subtitle"/>
    <w:basedOn w:val="Normal"/>
    <w:next w:val="Normal"/>
    <w:link w:val="SubtitleChar"/>
    <w:uiPriority w:val="11"/>
    <w:qFormat/>
    <w:rsid w:val="00957DD3"/>
    <w:rPr>
      <w:rFonts w:eastAsiaTheme="minorEastAsia"/>
      <w:color w:val="5A5A5A"/>
    </w:rPr>
  </w:style>
  <w:style w:type="character" w:customStyle="1" w:styleId="SubtitleChar">
    <w:name w:val="Subtitle Char"/>
    <w:basedOn w:val="DefaultParagraphFont"/>
    <w:link w:val="Subtitle"/>
    <w:uiPriority w:val="11"/>
    <w:rsid w:val="00957DD3"/>
    <w:rPr>
      <w:rFonts w:ascii="Times New Roman" w:eastAsiaTheme="minorEastAsia" w:hAnsi="Times New Roman" w:cs="Times New Roman"/>
      <w:color w:val="5A5A5A"/>
      <w:sz w:val="24"/>
      <w:lang w:val="pl-PL"/>
    </w:rPr>
  </w:style>
  <w:style w:type="paragraph" w:styleId="Quote">
    <w:name w:val="Quote"/>
    <w:basedOn w:val="Normal"/>
    <w:next w:val="Normal"/>
    <w:link w:val="QuoteChar"/>
    <w:uiPriority w:val="29"/>
    <w:qFormat/>
    <w:rsid w:val="00957DD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57DD3"/>
    <w:rPr>
      <w:rFonts w:ascii="Times New Roman" w:hAnsi="Times New Roman" w:cs="Times New Roman"/>
      <w:i/>
      <w:iCs/>
      <w:color w:val="404040" w:themeColor="text1" w:themeTint="BF"/>
      <w:sz w:val="24"/>
      <w:lang w:val="pl-PL"/>
    </w:rPr>
  </w:style>
  <w:style w:type="paragraph" w:styleId="IntenseQuote">
    <w:name w:val="Intense Quote"/>
    <w:basedOn w:val="Normal"/>
    <w:next w:val="Normal"/>
    <w:link w:val="IntenseQuoteChar"/>
    <w:uiPriority w:val="30"/>
    <w:qFormat/>
    <w:rsid w:val="00957DD3"/>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57DD3"/>
    <w:rPr>
      <w:rFonts w:ascii="Times New Roman" w:hAnsi="Times New Roman" w:cs="Times New Roman"/>
      <w:i/>
      <w:iCs/>
      <w:color w:val="4F81BD" w:themeColor="accent1"/>
      <w:sz w:val="24"/>
      <w:lang w:val="pl-PL"/>
    </w:rPr>
  </w:style>
  <w:style w:type="paragraph" w:styleId="EndnoteText">
    <w:name w:val="endnote text"/>
    <w:basedOn w:val="Normal"/>
    <w:link w:val="EndnoteTextChar"/>
    <w:uiPriority w:val="99"/>
    <w:semiHidden/>
    <w:unhideWhenUsed/>
    <w:rsid w:val="00957DD3"/>
    <w:pPr>
      <w:spacing w:after="0"/>
    </w:pPr>
    <w:rPr>
      <w:sz w:val="20"/>
      <w:szCs w:val="20"/>
    </w:rPr>
  </w:style>
  <w:style w:type="character" w:customStyle="1" w:styleId="EndnoteTextChar">
    <w:name w:val="Endnote Text Char"/>
    <w:basedOn w:val="DefaultParagraphFont"/>
    <w:link w:val="EndnoteText"/>
    <w:uiPriority w:val="99"/>
    <w:semiHidden/>
    <w:rsid w:val="00957DD3"/>
    <w:rPr>
      <w:rFonts w:ascii="Times New Roman" w:hAnsi="Times New Roman" w:cs="Times New Roman"/>
      <w:sz w:val="20"/>
      <w:szCs w:val="20"/>
      <w:lang w:val="pl-PL"/>
    </w:rPr>
  </w:style>
  <w:style w:type="character" w:customStyle="1" w:styleId="UnresolvedMention1">
    <w:name w:val="Unresolved Mention1"/>
    <w:basedOn w:val="DefaultParagraphFont"/>
    <w:uiPriority w:val="99"/>
    <w:semiHidden/>
    <w:unhideWhenUsed/>
    <w:rsid w:val="00957DD3"/>
    <w:rPr>
      <w:color w:val="605E5C"/>
      <w:shd w:val="clear" w:color="auto" w:fill="E1DFDD"/>
    </w:rPr>
  </w:style>
  <w:style w:type="paragraph" w:customStyle="1" w:styleId="Pp">
    <w:name w:val="Pp"/>
    <w:basedOn w:val="Point0letter"/>
    <w:rsid w:val="00957DD3"/>
    <w:pPr>
      <w:numPr>
        <w:numId w:val="19"/>
      </w:numPr>
    </w:pPr>
  </w:style>
  <w:style w:type="character" w:customStyle="1" w:styleId="UnresolvedMention10">
    <w:name w:val="Unresolved Mention10"/>
    <w:basedOn w:val="DefaultParagraphFont"/>
    <w:uiPriority w:val="99"/>
    <w:semiHidden/>
    <w:unhideWhenUsed/>
    <w:rsid w:val="00BD67F9"/>
    <w:rPr>
      <w:color w:val="605E5C"/>
      <w:shd w:val="clear" w:color="auto" w:fill="E1DFDD"/>
    </w:rPr>
  </w:style>
  <w:style w:type="character" w:customStyle="1" w:styleId="findhit">
    <w:name w:val="findhit"/>
    <w:basedOn w:val="DefaultParagraphFont"/>
    <w:rsid w:val="00BD67F9"/>
  </w:style>
  <w:style w:type="paragraph" w:customStyle="1" w:styleId="li">
    <w:name w:val="li"/>
    <w:basedOn w:val="Normal"/>
    <w:rsid w:val="00BD67F9"/>
    <w:pPr>
      <w:spacing w:before="100" w:beforeAutospacing="1" w:after="100" w:afterAutospacing="1"/>
      <w:jc w:val="left"/>
    </w:pPr>
    <w:rPr>
      <w:szCs w:val="24"/>
      <w:lang w:eastAsia="en-IE"/>
    </w:rPr>
  </w:style>
  <w:style w:type="paragraph" w:styleId="Header">
    <w:name w:val="header"/>
    <w:basedOn w:val="Normal"/>
    <w:link w:val="HeaderChar"/>
    <w:uiPriority w:val="99"/>
    <w:unhideWhenUsed/>
    <w:rsid w:val="00D32FD5"/>
    <w:pPr>
      <w:tabs>
        <w:tab w:val="center" w:pos="4535"/>
        <w:tab w:val="right" w:pos="9071"/>
      </w:tabs>
      <w:spacing w:before="0"/>
    </w:pPr>
  </w:style>
  <w:style w:type="character" w:customStyle="1" w:styleId="HeaderChar">
    <w:name w:val="Header Char"/>
    <w:basedOn w:val="DefaultParagraphFont"/>
    <w:link w:val="Header"/>
    <w:uiPriority w:val="99"/>
    <w:rsid w:val="00D32FD5"/>
    <w:rPr>
      <w:rFonts w:ascii="Times New Roman" w:hAnsi="Times New Roman" w:cs="Times New Roman"/>
      <w:sz w:val="24"/>
      <w:lang w:val="pl-PL"/>
    </w:rPr>
  </w:style>
  <w:style w:type="paragraph" w:styleId="Footer">
    <w:name w:val="footer"/>
    <w:basedOn w:val="Normal"/>
    <w:link w:val="FooterChar"/>
    <w:uiPriority w:val="99"/>
    <w:unhideWhenUsed/>
    <w:rsid w:val="00D32FD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32FD5"/>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pl-P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pl-P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D32FD5"/>
    <w:pPr>
      <w:tabs>
        <w:tab w:val="center" w:pos="7285"/>
        <w:tab w:val="right" w:pos="14003"/>
      </w:tabs>
      <w:spacing w:before="0"/>
    </w:pPr>
  </w:style>
  <w:style w:type="paragraph" w:customStyle="1" w:styleId="FooterLandscape">
    <w:name w:val="FooterLandscape"/>
    <w:basedOn w:val="Normal"/>
    <w:rsid w:val="00D32FD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32FD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32FD5"/>
    <w:pPr>
      <w:spacing w:before="0"/>
      <w:jc w:val="right"/>
    </w:pPr>
    <w:rPr>
      <w:sz w:val="28"/>
    </w:rPr>
  </w:style>
  <w:style w:type="paragraph" w:customStyle="1" w:styleId="FooterSensitivity">
    <w:name w:val="Footer Sensitivity"/>
    <w:basedOn w:val="Normal"/>
    <w:rsid w:val="00D32FD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tabs>
        <w:tab w:val="num" w:pos="850"/>
      </w:tabs>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1A21F2"/>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3750">
      <w:bodyDiv w:val="1"/>
      <w:marLeft w:val="0"/>
      <w:marRight w:val="0"/>
      <w:marTop w:val="0"/>
      <w:marBottom w:val="0"/>
      <w:divBdr>
        <w:top w:val="none" w:sz="0" w:space="0" w:color="auto"/>
        <w:left w:val="none" w:sz="0" w:space="0" w:color="auto"/>
        <w:bottom w:val="none" w:sz="0" w:space="0" w:color="auto"/>
        <w:right w:val="none" w:sz="0" w:space="0" w:color="auto"/>
      </w:divBdr>
    </w:div>
    <w:div w:id="265037664">
      <w:bodyDiv w:val="1"/>
      <w:marLeft w:val="0"/>
      <w:marRight w:val="0"/>
      <w:marTop w:val="0"/>
      <w:marBottom w:val="0"/>
      <w:divBdr>
        <w:top w:val="none" w:sz="0" w:space="0" w:color="auto"/>
        <w:left w:val="none" w:sz="0" w:space="0" w:color="auto"/>
        <w:bottom w:val="none" w:sz="0" w:space="0" w:color="auto"/>
        <w:right w:val="none" w:sz="0" w:space="0" w:color="auto"/>
      </w:divBdr>
    </w:div>
    <w:div w:id="667682489">
      <w:bodyDiv w:val="1"/>
      <w:marLeft w:val="0"/>
      <w:marRight w:val="0"/>
      <w:marTop w:val="0"/>
      <w:marBottom w:val="0"/>
      <w:divBdr>
        <w:top w:val="none" w:sz="0" w:space="0" w:color="auto"/>
        <w:left w:val="none" w:sz="0" w:space="0" w:color="auto"/>
        <w:bottom w:val="none" w:sz="0" w:space="0" w:color="auto"/>
        <w:right w:val="none" w:sz="0" w:space="0" w:color="auto"/>
      </w:divBdr>
    </w:div>
    <w:div w:id="914051323">
      <w:bodyDiv w:val="1"/>
      <w:marLeft w:val="0"/>
      <w:marRight w:val="0"/>
      <w:marTop w:val="0"/>
      <w:marBottom w:val="0"/>
      <w:divBdr>
        <w:top w:val="none" w:sz="0" w:space="0" w:color="auto"/>
        <w:left w:val="none" w:sz="0" w:space="0" w:color="auto"/>
        <w:bottom w:val="none" w:sz="0" w:space="0" w:color="auto"/>
        <w:right w:val="none" w:sz="0" w:space="0" w:color="auto"/>
      </w:divBdr>
    </w:div>
    <w:div w:id="1003433831">
      <w:bodyDiv w:val="1"/>
      <w:marLeft w:val="0"/>
      <w:marRight w:val="0"/>
      <w:marTop w:val="0"/>
      <w:marBottom w:val="0"/>
      <w:divBdr>
        <w:top w:val="none" w:sz="0" w:space="0" w:color="auto"/>
        <w:left w:val="none" w:sz="0" w:space="0" w:color="auto"/>
        <w:bottom w:val="none" w:sz="0" w:space="0" w:color="auto"/>
        <w:right w:val="none" w:sz="0" w:space="0" w:color="auto"/>
      </w:divBdr>
    </w:div>
    <w:div w:id="203071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strategy/priorities-2019-2024/european-green-deal_pl"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corp/budget/financial-rules/legal-framework/internal-rules/Documents/2022-5-legislative-financial-statement-annex-en.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doceo/document/TA-9-2021-0407_EN.pdf" TargetMode="External"/><Relationship Id="rId13" Type="http://schemas.openxmlformats.org/officeDocument/2006/relationships/hyperlink" Target="https://sdgs.un.org/2030agenda" TargetMode="External"/><Relationship Id="rId18" Type="http://schemas.openxmlformats.org/officeDocument/2006/relationships/hyperlink" Target="https://eur-lex.europa.eu/eli/dir/2022/2561/oj" TargetMode="External"/><Relationship Id="rId26" Type="http://schemas.openxmlformats.org/officeDocument/2006/relationships/hyperlink" Target="https://eur-lex.europa.eu/legal-content/PL/TXT/?uri=CELEX%3A32014R0910" TargetMode="External"/><Relationship Id="rId3" Type="http://schemas.openxmlformats.org/officeDocument/2006/relationships/hyperlink" Target="https://eur-lex.europa.eu/legal-content/PL/TXT/?uri=CELEX%3A02006L0126-20201101" TargetMode="External"/><Relationship Id="rId21" Type="http://schemas.openxmlformats.org/officeDocument/2006/relationships/hyperlink" Target="https://eur-lex.europa.eu/legal-content/PL/TXT/?uri=CELEX%3A01996L0053-20190814" TargetMode="External"/><Relationship Id="rId34" Type="http://schemas.openxmlformats.org/officeDocument/2006/relationships/hyperlink" Target="https://eur-lex.europa.eu/legal-content/EN/TXT/?uri=CELEX%3A02003L0059-20190726" TargetMode="External"/><Relationship Id="rId7" Type="http://schemas.openxmlformats.org/officeDocument/2006/relationships/hyperlink" Target="https://eur-lex.europa.eu/legal-content/PL/TXT/?uri=CELEX%3A52020DC0789" TargetMode="External"/><Relationship Id="rId12" Type="http://schemas.openxmlformats.org/officeDocument/2006/relationships/hyperlink" Target="https://sdgs.un.org/" TargetMode="External"/><Relationship Id="rId17" Type="http://schemas.openxmlformats.org/officeDocument/2006/relationships/hyperlink" Target="https://eur-lex.europa.eu/legal-content/PL/TXT/?qid=1427192018025&amp;uri=CELEX:32015L0413" TargetMode="External"/><Relationship Id="rId25" Type="http://schemas.openxmlformats.org/officeDocument/2006/relationships/hyperlink" Target="https://eur-lex.europa.eu/legal-content/PL/ALL/?uri=COM%3A2021%3A281%3AFIN" TargetMode="External"/><Relationship Id="rId33" Type="http://schemas.openxmlformats.org/officeDocument/2006/relationships/hyperlink" Target="https://eur-lex.europa.eu/legal-content/PL/TXT/?uri=CELEX%3A01996L0053-20190814" TargetMode="External"/><Relationship Id="rId38" Type="http://schemas.openxmlformats.org/officeDocument/2006/relationships/hyperlink" Target="https://myintracomm.ec.europa.eu/corp/budget/financial-rules/budget-implementation/Pages/implementation-methods.aspx" TargetMode="External"/><Relationship Id="rId2" Type="http://schemas.openxmlformats.org/officeDocument/2006/relationships/hyperlink" Target="https://eur-lex.europa.eu/legal-content/PL/TXT/?uri=CELEX%3A31991L0439&amp;qid=1677534992535" TargetMode="External"/><Relationship Id="rId16" Type="http://schemas.openxmlformats.org/officeDocument/2006/relationships/hyperlink" Target="https://eur-lex.europa.eu/legal-content/PL/TXT/?uri=CELEX%3A32018R1724&amp;qid=1677534548690" TargetMode="External"/><Relationship Id="rId20" Type="http://schemas.openxmlformats.org/officeDocument/2006/relationships/hyperlink" Target="https://transport.ec.europa.eu/system/files/2021-10/SWD2190283.pdf" TargetMode="External"/><Relationship Id="rId29" Type="http://schemas.openxmlformats.org/officeDocument/2006/relationships/hyperlink" Target="https://eur-lex.europa.eu/legal-content/PL/TXT/?uri=CELEX%3A32019R2144" TargetMode="External"/><Relationship Id="rId1" Type="http://schemas.openxmlformats.org/officeDocument/2006/relationships/hyperlink" Target="https://eur-lex.europa.eu/legal-content/EN/TXT/?uri=CELEX%3A31980L1263&amp;qid=1677534933325" TargetMode="External"/><Relationship Id="rId6" Type="http://schemas.openxmlformats.org/officeDocument/2006/relationships/hyperlink" Target="https://transport.ec.europa.eu/system/files/2021-10/SWD2190283.pdf" TargetMode="External"/><Relationship Id="rId11" Type="http://schemas.openxmlformats.org/officeDocument/2006/relationships/hyperlink" Target="https://eur-lex.europa.eu/legal-content/EN/TXT/?uri=CELEX%3A52022SC0017" TargetMode="External"/><Relationship Id="rId24" Type="http://schemas.openxmlformats.org/officeDocument/2006/relationships/hyperlink" Target="https://eur-lex.europa.eu/legal-content/PL/TXT/?uri=CELEX%3A32016R0679&amp;qid=1677528276460" TargetMode="External"/><Relationship Id="rId32" Type="http://schemas.openxmlformats.org/officeDocument/2006/relationships/hyperlink" Target="https://eur-lex.europa.eu/legal-content/PL/TXT/?uri=CELEX%3A32012R0383" TargetMode="External"/><Relationship Id="rId37" Type="http://schemas.openxmlformats.org/officeDocument/2006/relationships/hyperlink" Target="https://eur-lex.europa.eu/legal-content/PL/ALL/?uri=COM%3A2021%3A281%3AFIN" TargetMode="External"/><Relationship Id="rId5" Type="http://schemas.openxmlformats.org/officeDocument/2006/relationships/hyperlink" Target="https://eur-lex.europa.eu/legal-content/PL/TXT/?uri=CELEX%3A52018DC0293" TargetMode="External"/><Relationship Id="rId15" Type="http://schemas.openxmlformats.org/officeDocument/2006/relationships/hyperlink" Target="https://eur-lex.europa.eu/legal-content/PL/TXT/?fromTab=ALL&amp;from=EN&amp;uri=CELEX%3A52021DC0400" TargetMode="External"/><Relationship Id="rId23" Type="http://schemas.openxmlformats.org/officeDocument/2006/relationships/hyperlink" Target="https://eur-lex.europa.eu/legal-content/PL/TXT/?uri=CELEX%3A32022L2561" TargetMode="External"/><Relationship Id="rId28" Type="http://schemas.openxmlformats.org/officeDocument/2006/relationships/hyperlink" Target="https://eur-lex.europa.eu/legal-content/PL/TXT/?uri=CELEX:32015L0413" TargetMode="External"/><Relationship Id="rId36" Type="http://schemas.openxmlformats.org/officeDocument/2006/relationships/hyperlink" Target="https://eur-lex.europa.eu/legal-content/PL/TXT/?uri=CELEX%3A02016R0679-20160504" TargetMode="External"/><Relationship Id="rId10" Type="http://schemas.openxmlformats.org/officeDocument/2006/relationships/hyperlink" Target="https://commission.europa.eu/law/law-making-process/planning-and-proposing-law/better-regulation_pl" TargetMode="External"/><Relationship Id="rId19" Type="http://schemas.openxmlformats.org/officeDocument/2006/relationships/hyperlink" Target="https://eur-lex.europa.eu/legal-content/PL/TXT/?uri=CELEX%3A02019R2144-20220905&amp;qid=1677529780271" TargetMode="External"/><Relationship Id="rId31" Type="http://schemas.openxmlformats.org/officeDocument/2006/relationships/hyperlink" Target="https://eur-lex.europa.eu/legal-content/PL/TXT/?uri=CELEX:52021DC0645" TargetMode="External"/><Relationship Id="rId4" Type="http://schemas.openxmlformats.org/officeDocument/2006/relationships/hyperlink" Target="https://eumos.eu/wp-content/uploads/2017/07/Valletta_Declaration_on_Improving_Road_Safety.pdf" TargetMode="External"/><Relationship Id="rId9" Type="http://schemas.openxmlformats.org/officeDocument/2006/relationships/hyperlink" Target="https://eur-lex.europa.eu/legal-content/PL/TXT/?uri=CELEX:52021DC0645" TargetMode="External"/><Relationship Id="rId14" Type="http://schemas.openxmlformats.org/officeDocument/2006/relationships/hyperlink" Target="https://eur-lex.europa.eu/legal-content/PL/TXT/?uri=CELEX%3A32018R1724&amp;qid=1677534548690" TargetMode="External"/><Relationship Id="rId22" Type="http://schemas.openxmlformats.org/officeDocument/2006/relationships/hyperlink" Target="https://eur-lex.europa.eu/legal-content/PL/TXT/?uri=CELEX%3A02013R0168-20201114" TargetMode="External"/><Relationship Id="rId27" Type="http://schemas.openxmlformats.org/officeDocument/2006/relationships/hyperlink" Target="https://eur-lex.europa.eu/legal-content/PL/TXT/?uri=CELEX%3A12008E091" TargetMode="External"/><Relationship Id="rId30" Type="http://schemas.openxmlformats.org/officeDocument/2006/relationships/hyperlink" Target="https://eur-lex.europa.eu/legal-content/PL/TXT/?uri=CELEX%3A52021DC0118" TargetMode="External"/><Relationship Id="rId35" Type="http://schemas.openxmlformats.org/officeDocument/2006/relationships/hyperlink" Target="https://eur-lex.europa.eu/legal-content/pl/TXT/?uri=CELEX%3A32018R17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8F24F2D4E8140A461B5DCD99F9D2E" ma:contentTypeVersion="14" ma:contentTypeDescription="Create a new document." ma:contentTypeScope="" ma:versionID="7d99b06e8e5924ed443560364624b25b">
  <xsd:schema xmlns:xsd="http://www.w3.org/2001/XMLSchema" xmlns:xs="http://www.w3.org/2001/XMLSchema" xmlns:p="http://schemas.microsoft.com/office/2006/metadata/properties" xmlns:ns2="a5835c61-ca2e-49ee-8dca-a76e9f0344a3" xmlns:ns3="ba7bd860-1739-4001-af8a-147771a6eb05" targetNamespace="http://schemas.microsoft.com/office/2006/metadata/properties" ma:root="true" ma:fieldsID="56c70748acbb1ddcae3ee786a9422e3c" ns2:_="" ns3:_="">
    <xsd:import namespace="a5835c61-ca2e-49ee-8dca-a76e9f0344a3"/>
    <xsd:import namespace="ba7bd860-1739-4001-af8a-147771a6e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5c61-ca2e-49ee-8dca-a76e9f034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bd860-1739-4001-af8a-147771a6e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5c74af-aff0-46b1-b28f-24e3911f6a77}" ma:internalName="TaxCatchAll" ma:showField="CatchAllData" ma:web="ba7bd860-1739-4001-af8a-147771a6e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7bd860-1739-4001-af8a-147771a6eb05" xsi:nil="true"/>
    <lcf76f155ced4ddcb4097134ff3c332f xmlns="a5835c61-ca2e-49ee-8dca-a76e9f0344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255FB-4C17-4690-9775-14EF63205D57}">
  <ds:schemaRefs>
    <ds:schemaRef ds:uri="http://schemas.microsoft.com/sharepoint/v3/contenttype/forms"/>
  </ds:schemaRefs>
</ds:datastoreItem>
</file>

<file path=customXml/itemProps2.xml><?xml version="1.0" encoding="utf-8"?>
<ds:datastoreItem xmlns:ds="http://schemas.openxmlformats.org/officeDocument/2006/customXml" ds:itemID="{05AC1979-36E4-4058-B0A0-F5D1EC68F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5c61-ca2e-49ee-8dca-a76e9f0344a3"/>
    <ds:schemaRef ds:uri="ba7bd860-1739-4001-af8a-147771a6e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6DEFB-848B-4C33-BE29-9550A200A152}">
  <ds:schemaRefs>
    <ds:schemaRef ds:uri="http://purl.org/dc/terms/"/>
    <ds:schemaRef ds:uri="http://schemas.openxmlformats.org/package/2006/metadata/core-properties"/>
    <ds:schemaRef ds:uri="ba7bd860-1739-4001-af8a-147771a6eb05"/>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a5835c61-ca2e-49ee-8dca-a76e9f0344a3"/>
    <ds:schemaRef ds:uri="http://www.w3.org/XML/1998/namespace"/>
  </ds:schemaRefs>
</ds:datastoreItem>
</file>

<file path=customXml/itemProps4.xml><?xml version="1.0" encoding="utf-8"?>
<ds:datastoreItem xmlns:ds="http://schemas.openxmlformats.org/officeDocument/2006/customXml" ds:itemID="{371A5C7A-EC3D-4CCA-B993-CAA513D1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149</TotalTime>
  <Pages>71</Pages>
  <Words>22657</Words>
  <Characters>147501</Characters>
  <Application>Microsoft Office Word</Application>
  <DocSecurity>0</DocSecurity>
  <Lines>3430</Lines>
  <Paragraphs>1126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169032</CharactersWithSpaces>
  <SharedDoc>false</SharedDoc>
  <HLinks>
    <vt:vector size="150" baseType="variant">
      <vt:variant>
        <vt:i4>6815844</vt:i4>
      </vt:variant>
      <vt:variant>
        <vt:i4>3</vt:i4>
      </vt:variant>
      <vt:variant>
        <vt:i4>0</vt:i4>
      </vt:variant>
      <vt:variant>
        <vt:i4>5</vt:i4>
      </vt:variant>
      <vt:variant>
        <vt:lpwstr>https://myintracomm.ec.europa.eu/corp/budget/financial-rules/legal-framework/internal-rules/Documents/2022-5-legislative-financial-statement-annex-en.docx</vt:lpwstr>
      </vt:variant>
      <vt:variant>
        <vt:lpwstr/>
      </vt:variant>
      <vt:variant>
        <vt:i4>6225983</vt:i4>
      </vt:variant>
      <vt:variant>
        <vt:i4>0</vt:i4>
      </vt:variant>
      <vt:variant>
        <vt:i4>0</vt:i4>
      </vt:variant>
      <vt:variant>
        <vt:i4>5</vt:i4>
      </vt:variant>
      <vt:variant>
        <vt:lpwstr>https://ec.europa.eu/info/strategy/priorities-2019-2024/european-green-deal_en</vt:lpwstr>
      </vt:variant>
      <vt:variant>
        <vt:lpwstr/>
      </vt:variant>
      <vt:variant>
        <vt:i4>262150</vt:i4>
      </vt:variant>
      <vt:variant>
        <vt:i4>66</vt:i4>
      </vt:variant>
      <vt:variant>
        <vt:i4>0</vt:i4>
      </vt:variant>
      <vt:variant>
        <vt:i4>5</vt:i4>
      </vt:variant>
      <vt:variant>
        <vt:lpwstr>https://myintracomm.ec.europa.eu/corp/budget/financial-rules/budget-implementation/Pages/implementation-methods.aspx</vt:lpwstr>
      </vt:variant>
      <vt:variant>
        <vt:lpwstr/>
      </vt:variant>
      <vt:variant>
        <vt:i4>7471229</vt:i4>
      </vt:variant>
      <vt:variant>
        <vt:i4>63</vt:i4>
      </vt:variant>
      <vt:variant>
        <vt:i4>0</vt:i4>
      </vt:variant>
      <vt:variant>
        <vt:i4>5</vt:i4>
      </vt:variant>
      <vt:variant>
        <vt:lpwstr>https://eur-lex.europa.eu/legal-content/EN/ALL/?uri=COM%3A2021%3A281%3AFIN</vt:lpwstr>
      </vt:variant>
      <vt:variant>
        <vt:lpwstr/>
      </vt:variant>
      <vt:variant>
        <vt:i4>6750318</vt:i4>
      </vt:variant>
      <vt:variant>
        <vt:i4>60</vt:i4>
      </vt:variant>
      <vt:variant>
        <vt:i4>0</vt:i4>
      </vt:variant>
      <vt:variant>
        <vt:i4>5</vt:i4>
      </vt:variant>
      <vt:variant>
        <vt:lpwstr>https://eur-lex.europa.eu/legal-content/EN/TXT/?uri=CELEX%3A02016R0679-20160504</vt:lpwstr>
      </vt:variant>
      <vt:variant>
        <vt:lpwstr/>
      </vt:variant>
      <vt:variant>
        <vt:i4>6881401</vt:i4>
      </vt:variant>
      <vt:variant>
        <vt:i4>57</vt:i4>
      </vt:variant>
      <vt:variant>
        <vt:i4>0</vt:i4>
      </vt:variant>
      <vt:variant>
        <vt:i4>5</vt:i4>
      </vt:variant>
      <vt:variant>
        <vt:lpwstr>https://eur-lex.europa.eu/legal-content/en/TXT/?uri=CELEX%3A32018R1725</vt:lpwstr>
      </vt:variant>
      <vt:variant>
        <vt:lpwstr/>
      </vt:variant>
      <vt:variant>
        <vt:i4>8126564</vt:i4>
      </vt:variant>
      <vt:variant>
        <vt:i4>54</vt:i4>
      </vt:variant>
      <vt:variant>
        <vt:i4>0</vt:i4>
      </vt:variant>
      <vt:variant>
        <vt:i4>5</vt:i4>
      </vt:variant>
      <vt:variant>
        <vt:lpwstr>https://eur-lex.europa.eu/legal-content/EN/TXT/?uri=CELEX%3A02003L0059-20190726</vt:lpwstr>
      </vt:variant>
      <vt:variant>
        <vt:lpwstr/>
      </vt:variant>
      <vt:variant>
        <vt:i4>8323175</vt:i4>
      </vt:variant>
      <vt:variant>
        <vt:i4>51</vt:i4>
      </vt:variant>
      <vt:variant>
        <vt:i4>0</vt:i4>
      </vt:variant>
      <vt:variant>
        <vt:i4>5</vt:i4>
      </vt:variant>
      <vt:variant>
        <vt:lpwstr>https://eur-lex.europa.eu/legal-content/EN/TXT/?uri=CELEX%3A01996L0053-20190814</vt:lpwstr>
      </vt:variant>
      <vt:variant>
        <vt:lpwstr/>
      </vt:variant>
      <vt:variant>
        <vt:i4>7012472</vt:i4>
      </vt:variant>
      <vt:variant>
        <vt:i4>48</vt:i4>
      </vt:variant>
      <vt:variant>
        <vt:i4>0</vt:i4>
      </vt:variant>
      <vt:variant>
        <vt:i4>5</vt:i4>
      </vt:variant>
      <vt:variant>
        <vt:lpwstr>https://eur-lex.europa.eu/legal-content/EN/TXT/?uri=CELEX%3A32012R0383</vt:lpwstr>
      </vt:variant>
      <vt:variant>
        <vt:lpwstr/>
      </vt:variant>
      <vt:variant>
        <vt:i4>7209085</vt:i4>
      </vt:variant>
      <vt:variant>
        <vt:i4>45</vt:i4>
      </vt:variant>
      <vt:variant>
        <vt:i4>0</vt:i4>
      </vt:variant>
      <vt:variant>
        <vt:i4>5</vt:i4>
      </vt:variant>
      <vt:variant>
        <vt:lpwstr>https://eur-lex.europa.eu/legal-content/en/TXT/?uri=CELEX%3A32019R2144</vt:lpwstr>
      </vt:variant>
      <vt:variant>
        <vt:lpwstr/>
      </vt:variant>
      <vt:variant>
        <vt:i4>786501</vt:i4>
      </vt:variant>
      <vt:variant>
        <vt:i4>42</vt:i4>
      </vt:variant>
      <vt:variant>
        <vt:i4>0</vt:i4>
      </vt:variant>
      <vt:variant>
        <vt:i4>5</vt:i4>
      </vt:variant>
      <vt:variant>
        <vt:lpwstr>https://eur-lex.europa.eu/legal-content/EN/TXT/?uri=CELEX:32015L0413</vt:lpwstr>
      </vt:variant>
      <vt:variant>
        <vt:lpwstr/>
      </vt:variant>
      <vt:variant>
        <vt:i4>4456520</vt:i4>
      </vt:variant>
      <vt:variant>
        <vt:i4>39</vt:i4>
      </vt:variant>
      <vt:variant>
        <vt:i4>0</vt:i4>
      </vt:variant>
      <vt:variant>
        <vt:i4>5</vt:i4>
      </vt:variant>
      <vt:variant>
        <vt:lpwstr>https://eur-lex.europa.eu/legal-content/EN/TXT/?uri=CELEX%3A12008E091</vt:lpwstr>
      </vt:variant>
      <vt:variant>
        <vt:lpwstr/>
      </vt:variant>
      <vt:variant>
        <vt:i4>7471229</vt:i4>
      </vt:variant>
      <vt:variant>
        <vt:i4>36</vt:i4>
      </vt:variant>
      <vt:variant>
        <vt:i4>0</vt:i4>
      </vt:variant>
      <vt:variant>
        <vt:i4>5</vt:i4>
      </vt:variant>
      <vt:variant>
        <vt:lpwstr>https://eur-lex.europa.eu/legal-content/EN/ALL/?uri=COM%3A2021%3A281%3AFIN</vt:lpwstr>
      </vt:variant>
      <vt:variant>
        <vt:lpwstr/>
      </vt:variant>
      <vt:variant>
        <vt:i4>6750318</vt:i4>
      </vt:variant>
      <vt:variant>
        <vt:i4>33</vt:i4>
      </vt:variant>
      <vt:variant>
        <vt:i4>0</vt:i4>
      </vt:variant>
      <vt:variant>
        <vt:i4>5</vt:i4>
      </vt:variant>
      <vt:variant>
        <vt:lpwstr>https://eur-lex.europa.eu/legal-content/EN/TXT/?uri=CELEX%3A02016R0679-20160504</vt:lpwstr>
      </vt:variant>
      <vt:variant>
        <vt:lpwstr/>
      </vt:variant>
      <vt:variant>
        <vt:i4>7471220</vt:i4>
      </vt:variant>
      <vt:variant>
        <vt:i4>30</vt:i4>
      </vt:variant>
      <vt:variant>
        <vt:i4>0</vt:i4>
      </vt:variant>
      <vt:variant>
        <vt:i4>5</vt:i4>
      </vt:variant>
      <vt:variant>
        <vt:lpwstr>https://eur-lex.europa.eu/legal-content/en/TXT/?uri=CELEX%3A32022L2561</vt:lpwstr>
      </vt:variant>
      <vt:variant>
        <vt:lpwstr/>
      </vt:variant>
      <vt:variant>
        <vt:i4>8323175</vt:i4>
      </vt:variant>
      <vt:variant>
        <vt:i4>27</vt:i4>
      </vt:variant>
      <vt:variant>
        <vt:i4>0</vt:i4>
      </vt:variant>
      <vt:variant>
        <vt:i4>5</vt:i4>
      </vt:variant>
      <vt:variant>
        <vt:lpwstr>https://eur-lex.europa.eu/legal-content/EN/TXT/?uri=CELEX%3A01996L0053-20190814</vt:lpwstr>
      </vt:variant>
      <vt:variant>
        <vt:lpwstr/>
      </vt:variant>
      <vt:variant>
        <vt:i4>8126564</vt:i4>
      </vt:variant>
      <vt:variant>
        <vt:i4>24</vt:i4>
      </vt:variant>
      <vt:variant>
        <vt:i4>0</vt:i4>
      </vt:variant>
      <vt:variant>
        <vt:i4>5</vt:i4>
      </vt:variant>
      <vt:variant>
        <vt:lpwstr>https://eur-lex.europa.eu/legal-content/EN/TXT/?uri=CELEX%3A02003L0059-20190726</vt:lpwstr>
      </vt:variant>
      <vt:variant>
        <vt:lpwstr/>
      </vt:variant>
      <vt:variant>
        <vt:i4>7209085</vt:i4>
      </vt:variant>
      <vt:variant>
        <vt:i4>21</vt:i4>
      </vt:variant>
      <vt:variant>
        <vt:i4>0</vt:i4>
      </vt:variant>
      <vt:variant>
        <vt:i4>5</vt:i4>
      </vt:variant>
      <vt:variant>
        <vt:lpwstr>https://eur-lex.europa.eu/legal-content/en/TXT/?uri=CELEX%3A32019R2144</vt:lpwstr>
      </vt:variant>
      <vt:variant>
        <vt:lpwstr/>
      </vt:variant>
      <vt:variant>
        <vt:i4>7667745</vt:i4>
      </vt:variant>
      <vt:variant>
        <vt:i4>18</vt:i4>
      </vt:variant>
      <vt:variant>
        <vt:i4>0</vt:i4>
      </vt:variant>
      <vt:variant>
        <vt:i4>5</vt:i4>
      </vt:variant>
      <vt:variant>
        <vt:lpwstr>https://eur-lex.europa.eu/eli/dir/2022/2561/oj</vt:lpwstr>
      </vt:variant>
      <vt:variant>
        <vt:lpwstr/>
      </vt:variant>
      <vt:variant>
        <vt:i4>8257636</vt:i4>
      </vt:variant>
      <vt:variant>
        <vt:i4>15</vt:i4>
      </vt:variant>
      <vt:variant>
        <vt:i4>0</vt:i4>
      </vt:variant>
      <vt:variant>
        <vt:i4>5</vt:i4>
      </vt:variant>
      <vt:variant>
        <vt:lpwstr>https://eur-lex.europa.eu/legal-content/EN/TXT/?qid=1427192018025&amp;uri=CELEX:32015L0413</vt:lpwstr>
      </vt:variant>
      <vt:variant>
        <vt:lpwstr/>
      </vt:variant>
      <vt:variant>
        <vt:i4>6422551</vt:i4>
      </vt:variant>
      <vt:variant>
        <vt:i4>12</vt:i4>
      </vt:variant>
      <vt:variant>
        <vt:i4>0</vt:i4>
      </vt:variant>
      <vt:variant>
        <vt:i4>5</vt:i4>
      </vt:variant>
      <vt:variant>
        <vt:lpwstr>https://environment.ec.europa.eu/strategy/zero-pollution-action-plan_en</vt:lpwstr>
      </vt:variant>
      <vt:variant>
        <vt:lpwstr/>
      </vt:variant>
      <vt:variant>
        <vt:i4>1310779</vt:i4>
      </vt:variant>
      <vt:variant>
        <vt:i4>9</vt:i4>
      </vt:variant>
      <vt:variant>
        <vt:i4>0</vt:i4>
      </vt:variant>
      <vt:variant>
        <vt:i4>5</vt:i4>
      </vt:variant>
      <vt:variant>
        <vt:lpwstr>https://sdgs.un.org/</vt:lpwstr>
      </vt:variant>
      <vt:variant>
        <vt:lpwstr>goal_section</vt:lpwstr>
      </vt:variant>
      <vt:variant>
        <vt:i4>7471133</vt:i4>
      </vt:variant>
      <vt:variant>
        <vt:i4>6</vt:i4>
      </vt:variant>
      <vt:variant>
        <vt:i4>0</vt:i4>
      </vt:variant>
      <vt:variant>
        <vt:i4>5</vt:i4>
      </vt:variant>
      <vt:variant>
        <vt:lpwstr>https://commission.europa.eu/law/law-making-process/planning-and-proposing-law/better-regulation_en</vt:lpwstr>
      </vt:variant>
      <vt:variant>
        <vt:lpwstr/>
      </vt:variant>
      <vt:variant>
        <vt:i4>7929936</vt:i4>
      </vt:variant>
      <vt:variant>
        <vt:i4>3</vt:i4>
      </vt:variant>
      <vt:variant>
        <vt:i4>0</vt:i4>
      </vt:variant>
      <vt:variant>
        <vt:i4>5</vt:i4>
      </vt:variant>
      <vt:variant>
        <vt:lpwstr>https://www.europarl.europa.eu/doceo/document/TA-9-2021-0407_EN.pdf</vt:lpwstr>
      </vt:variant>
      <vt:variant>
        <vt:lpwstr/>
      </vt:variant>
      <vt:variant>
        <vt:i4>4980785</vt:i4>
      </vt:variant>
      <vt:variant>
        <vt:i4>0</vt:i4>
      </vt:variant>
      <vt:variant>
        <vt:i4>0</vt:i4>
      </vt:variant>
      <vt:variant>
        <vt:i4>5</vt:i4>
      </vt:variant>
      <vt:variant>
        <vt:lpwstr>https://eumos.eu/wp-content/uploads/2017/07/Valletta_Declaration_on_Improving_Road_Safety.pdf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90</cp:revision>
  <cp:lastPrinted>2023-02-27T18:58:00Z</cp:lastPrinted>
  <dcterms:created xsi:type="dcterms:W3CDTF">2023-03-22T13:14:00Z</dcterms:created>
  <dcterms:modified xsi:type="dcterms:W3CDTF">2023-04-05T12:19:00Z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20230124</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0x0101008B18F24F2D4E8140A461B5DCD99F9D2E</vt:lpwstr>
  </property>
  <property fmtid="{D5CDD505-2E9C-101B-9397-08002B2CF9AE}" pid="11" name="MSIP_Label_6bd9ddd1-4d20-43f6-abfa-fc3c07406f94_Enabled">
    <vt:lpwstr>true</vt:lpwstr>
  </property>
  <property fmtid="{D5CDD505-2E9C-101B-9397-08002B2CF9AE}" pid="12" name="MSIP_Label_6bd9ddd1-4d20-43f6-abfa-fc3c07406f94_SetDate">
    <vt:lpwstr>2023-02-23T14:25:40Z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5e47884d-cd10-4502-b31e-0c47e9a44109</vt:lpwstr>
  </property>
  <property fmtid="{D5CDD505-2E9C-101B-9397-08002B2CF9AE}" pid="17" name="MSIP_Label_6bd9ddd1-4d20-43f6-abfa-fc3c07406f94_ContentBits">
    <vt:lpwstr>0</vt:lpwstr>
  </property>
  <property fmtid="{D5CDD505-2E9C-101B-9397-08002B2CF9AE}" pid="18" name="MediaServiceImageTags">
    <vt:lpwstr/>
  </property>
  <property fmtid="{D5CDD505-2E9C-101B-9397-08002B2CF9AE}" pid="19" name="DQCStatus">
    <vt:lpwstr>Green (DQC version 03)</vt:lpwstr>
  </property>
</Properties>
</file>