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92A2" w14:textId="4E8EEEA8" w:rsidR="008A315E" w:rsidRPr="002F45D6" w:rsidRDefault="00203085" w:rsidP="00203085">
      <w:pPr>
        <w:pStyle w:val="Pagedecouverture"/>
        <w:rPr>
          <w:noProof/>
        </w:rPr>
      </w:pPr>
      <w:bookmarkStart w:id="0" w:name="LW_BM_COVERPAGE"/>
      <w:r>
        <w:rPr>
          <w:noProof/>
        </w:rPr>
        <w:pict w14:anchorId="75F70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D384881-40F9-4ED0-9018-E059826C4873" style="width:455.25pt;height:351.75pt">
            <v:imagedata r:id="rId8" o:title=""/>
          </v:shape>
        </w:pict>
      </w:r>
    </w:p>
    <w:bookmarkEnd w:id="0"/>
    <w:p w14:paraId="70059EA1" w14:textId="77777777" w:rsidR="008A315E" w:rsidRPr="002F45D6" w:rsidRDefault="008A315E" w:rsidP="008A315E">
      <w:pPr>
        <w:rPr>
          <w:noProof/>
        </w:rPr>
        <w:sectPr w:rsidR="008A315E" w:rsidRPr="002F45D6" w:rsidSect="0020308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8B3B716" w14:textId="3FC83A30" w:rsidR="00C5555E" w:rsidRPr="002F45D6" w:rsidRDefault="00C5555E" w:rsidP="00EB3DAF">
      <w:pPr>
        <w:pStyle w:val="ListParagraph"/>
        <w:numPr>
          <w:ilvl w:val="0"/>
          <w:numId w:val="32"/>
        </w:numPr>
        <w:spacing w:before="120"/>
        <w:ind w:left="567" w:hanging="567"/>
        <w:jc w:val="both"/>
        <w:rPr>
          <w:rFonts w:ascii="Times New Roman" w:hAnsi="Times New Roman" w:cs="Times New Roman"/>
          <w:b/>
          <w:noProof/>
          <w:sz w:val="24"/>
        </w:rPr>
      </w:pPr>
      <w:bookmarkStart w:id="1" w:name="_GoBack"/>
      <w:bookmarkEnd w:id="1"/>
      <w:r w:rsidRPr="002F45D6">
        <w:rPr>
          <w:rFonts w:ascii="Times New Roman" w:hAnsi="Times New Roman"/>
          <w:b/>
          <w:noProof/>
          <w:sz w:val="24"/>
        </w:rPr>
        <w:lastRenderedPageBreak/>
        <w:t xml:space="preserve">Wprowadzenie </w:t>
      </w:r>
    </w:p>
    <w:p w14:paraId="3346C4C8" w14:textId="7125BA0A" w:rsidR="00DD026E" w:rsidRPr="002F45D6" w:rsidRDefault="002858F0" w:rsidP="2FD7A655">
      <w:pPr>
        <w:spacing w:before="120"/>
        <w:jc w:val="both"/>
        <w:rPr>
          <w:rFonts w:ascii="Times New Roman" w:hAnsi="Times New Roman" w:cs="Times New Roman"/>
          <w:noProof/>
          <w:sz w:val="24"/>
          <w:szCs w:val="24"/>
        </w:rPr>
      </w:pPr>
      <w:r w:rsidRPr="002F45D6">
        <w:rPr>
          <w:rFonts w:ascii="Times New Roman" w:hAnsi="Times New Roman"/>
          <w:noProof/>
          <w:sz w:val="24"/>
        </w:rPr>
        <w:t>UE rozpoczęła ambitną przebudowę struktury przemysłowej</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Eur</w:t>
      </w:r>
      <w:r w:rsidRPr="002F45D6">
        <w:rPr>
          <w:rFonts w:ascii="Times New Roman" w:hAnsi="Times New Roman"/>
          <w:noProof/>
          <w:sz w:val="24"/>
        </w:rPr>
        <w:t>opie, której celem jest realizacja ekologicznej</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cyf</w:t>
      </w:r>
      <w:r w:rsidRPr="002F45D6">
        <w:rPr>
          <w:rFonts w:ascii="Times New Roman" w:hAnsi="Times New Roman"/>
          <w:noProof/>
          <w:sz w:val="24"/>
        </w:rPr>
        <w:t>rowej transformacji. Zapewnienie bezpiecznych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wnoważonych dostaw surowców krytycznych jest jednym</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głó</w:t>
      </w:r>
      <w:r w:rsidRPr="002F45D6">
        <w:rPr>
          <w:rFonts w:ascii="Times New Roman" w:hAnsi="Times New Roman"/>
          <w:noProof/>
          <w:sz w:val="24"/>
        </w:rPr>
        <w:t>wnych priorytetów politycznych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tej dwojakiej transformacji. Ma to również zasadnicze znaczenie dla zwiększenia zdolności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bezpieczeństwa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sek</w:t>
      </w:r>
      <w:r w:rsidRPr="002F45D6">
        <w:rPr>
          <w:rFonts w:ascii="Times New Roman" w:hAnsi="Times New Roman"/>
          <w:noProof/>
          <w:sz w:val="24"/>
        </w:rPr>
        <w:t>torze obrony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sek</w:t>
      </w:r>
      <w:r w:rsidRPr="002F45D6">
        <w:rPr>
          <w:rFonts w:ascii="Times New Roman" w:hAnsi="Times New Roman"/>
          <w:noProof/>
          <w:sz w:val="24"/>
        </w:rPr>
        <w:t>torze kosmicznym</w:t>
      </w:r>
      <w:r w:rsidRPr="002F45D6">
        <w:rPr>
          <w:rStyle w:val="FootnoteReference"/>
          <w:rFonts w:ascii="Times New Roman" w:hAnsi="Times New Roman"/>
          <w:noProof/>
          <w:sz w:val="24"/>
          <w:szCs w:val="24"/>
        </w:rPr>
        <w:footnoteReference w:id="2"/>
      </w:r>
      <w:r w:rsidRPr="002F45D6">
        <w:rPr>
          <w:rFonts w:ascii="Times New Roman" w:hAnsi="Times New Roman"/>
          <w:noProof/>
          <w:sz w:val="24"/>
        </w:rPr>
        <w:t xml:space="preserve">. </w:t>
      </w:r>
    </w:p>
    <w:p w14:paraId="4FF0E993" w14:textId="46360B95" w:rsidR="00BB0256" w:rsidRPr="002F45D6" w:rsidRDefault="00E540CB" w:rsidP="00762ACE">
      <w:pPr>
        <w:spacing w:before="120"/>
        <w:jc w:val="both"/>
        <w:rPr>
          <w:rFonts w:ascii="Times New Roman" w:hAnsi="Times New Roman" w:cs="Times New Roman"/>
          <w:bCs/>
          <w:noProof/>
          <w:sz w:val="24"/>
        </w:rPr>
      </w:pPr>
      <w:r w:rsidRPr="002F45D6">
        <w:rPr>
          <w:rFonts w:ascii="Times New Roman" w:hAnsi="Times New Roman"/>
          <w:noProof/>
          <w:sz w:val="24"/>
        </w:rPr>
        <w:t>W opublikowanym przez Komisję badaniu perspektywicznym oceniono przyszłe potrzeby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surowców krytycznych oraz potencjalne wąskie gardła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cuchu dostaw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klu</w:t>
      </w:r>
      <w:r w:rsidRPr="002F45D6">
        <w:rPr>
          <w:rFonts w:ascii="Times New Roman" w:hAnsi="Times New Roman"/>
          <w:noProof/>
          <w:sz w:val="24"/>
        </w:rPr>
        <w:t>czowych technologiach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sek</w:t>
      </w:r>
      <w:r w:rsidRPr="002F45D6">
        <w:rPr>
          <w:rFonts w:ascii="Times New Roman" w:hAnsi="Times New Roman"/>
          <w:noProof/>
          <w:sz w:val="24"/>
        </w:rPr>
        <w:t>torach strategicznych. Prognozuje się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nim</w:t>
      </w:r>
      <w:r w:rsidRPr="002F45D6">
        <w:rPr>
          <w:rFonts w:ascii="Times New Roman" w:hAnsi="Times New Roman"/>
          <w:noProof/>
          <w:sz w:val="24"/>
        </w:rPr>
        <w:t xml:space="preserve"> </w:t>
      </w:r>
      <w:r w:rsidRPr="002F45D6">
        <w:rPr>
          <w:rFonts w:ascii="Times New Roman" w:hAnsi="Times New Roman"/>
          <w:b/>
          <w:noProof/>
          <w:sz w:val="24"/>
        </w:rPr>
        <w:t>bezprecedensowy wzrost popytu na kluczowe surowce niezbędne do realizacji dwojakiej transformacji</w:t>
      </w:r>
      <w:r w:rsidRPr="002F45D6">
        <w:rPr>
          <w:rFonts w:ascii="Times New Roman" w:hAnsi="Times New Roman"/>
          <w:noProof/>
          <w:sz w:val="24"/>
        </w:rPr>
        <w:t>. Przykładowo, jeśli chodzi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ląd</w:t>
      </w:r>
      <w:r w:rsidRPr="002F45D6">
        <w:rPr>
          <w:rFonts w:ascii="Times New Roman" w:hAnsi="Times New Roman"/>
          <w:noProof/>
          <w:sz w:val="24"/>
        </w:rPr>
        <w:t>owe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mor</w:t>
      </w:r>
      <w:r w:rsidRPr="002F45D6">
        <w:rPr>
          <w:rFonts w:ascii="Times New Roman" w:hAnsi="Times New Roman"/>
          <w:noProof/>
          <w:sz w:val="24"/>
        </w:rPr>
        <w:t>skie turbiny wiatrowe, oczekuje się, że zapotrzebowanie na metale ziem rzadkich wzrośnie 4,5-krotnie do</w:t>
      </w:r>
      <w:r w:rsidR="002F45D6" w:rsidRPr="002F45D6">
        <w:rPr>
          <w:rFonts w:ascii="Times New Roman" w:hAnsi="Times New Roman"/>
          <w:noProof/>
          <w:sz w:val="24"/>
        </w:rPr>
        <w:t> </w:t>
      </w:r>
      <w:r w:rsidRPr="002F45D6">
        <w:rPr>
          <w:rFonts w:ascii="Times New Roman" w:hAnsi="Times New Roman"/>
          <w:noProof/>
          <w:sz w:val="24"/>
        </w:rPr>
        <w:t>2030</w:t>
      </w:r>
      <w:r w:rsidR="002F45D6" w:rsidRPr="002F45D6">
        <w:rPr>
          <w:rFonts w:ascii="Times New Roman" w:hAnsi="Times New Roman"/>
          <w:noProof/>
          <w:sz w:val="24"/>
        </w:rPr>
        <w:t> </w:t>
      </w:r>
      <w:r w:rsidRPr="002F45D6">
        <w:rPr>
          <w:rFonts w:ascii="Times New Roman" w:hAnsi="Times New Roman"/>
          <w:noProof/>
          <w:sz w:val="24"/>
        </w:rPr>
        <w:t>r.</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5</w:t>
      </w:r>
      <w:r w:rsidRPr="002F45D6">
        <w:rPr>
          <w:rFonts w:ascii="Times New Roman" w:hAnsi="Times New Roman"/>
          <w:noProof/>
          <w:sz w:val="24"/>
        </w:rPr>
        <w:t>,5-krotnie do</w:t>
      </w:r>
      <w:r w:rsidR="002F45D6" w:rsidRPr="002F45D6">
        <w:rPr>
          <w:rFonts w:ascii="Times New Roman" w:hAnsi="Times New Roman"/>
          <w:noProof/>
          <w:sz w:val="24"/>
        </w:rPr>
        <w:t> </w:t>
      </w:r>
      <w:r w:rsidRPr="002F45D6">
        <w:rPr>
          <w:rFonts w:ascii="Times New Roman" w:hAnsi="Times New Roman"/>
          <w:noProof/>
          <w:sz w:val="24"/>
        </w:rPr>
        <w:t>2050</w:t>
      </w:r>
      <w:r w:rsidR="002F45D6" w:rsidRPr="002F45D6">
        <w:rPr>
          <w:rFonts w:ascii="Times New Roman" w:hAnsi="Times New Roman"/>
          <w:noProof/>
          <w:sz w:val="24"/>
        </w:rPr>
        <w:t> </w:t>
      </w:r>
      <w:r w:rsidRPr="002F45D6">
        <w:rPr>
          <w:rFonts w:ascii="Times New Roman" w:hAnsi="Times New Roman"/>
          <w:noProof/>
          <w:sz w:val="24"/>
        </w:rPr>
        <w:t>r</w:t>
      </w:r>
      <w:r w:rsidR="002F45D6" w:rsidRPr="002F45D6">
        <w:rPr>
          <w:rFonts w:ascii="Times New Roman" w:hAnsi="Times New Roman"/>
          <w:noProof/>
          <w:sz w:val="24"/>
        </w:rPr>
        <w:t>. Z</w:t>
      </w:r>
      <w:r w:rsidR="002F45D6">
        <w:rPr>
          <w:rFonts w:ascii="Times New Roman" w:hAnsi="Times New Roman"/>
          <w:noProof/>
          <w:sz w:val="24"/>
        </w:rPr>
        <w:t> </w:t>
      </w:r>
      <w:r w:rsidR="002F45D6" w:rsidRPr="002F45D6">
        <w:rPr>
          <w:rFonts w:ascii="Times New Roman" w:hAnsi="Times New Roman"/>
          <w:noProof/>
          <w:sz w:val="24"/>
        </w:rPr>
        <w:t>kol</w:t>
      </w:r>
      <w:r w:rsidRPr="002F45D6">
        <w:rPr>
          <w:rFonts w:ascii="Times New Roman" w:hAnsi="Times New Roman"/>
          <w:noProof/>
          <w:sz w:val="24"/>
        </w:rPr>
        <w:t>ei popyt na lit do akumulatorów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nas</w:t>
      </w:r>
      <w:r w:rsidRPr="002F45D6">
        <w:rPr>
          <w:rFonts w:ascii="Times New Roman" w:hAnsi="Times New Roman"/>
          <w:noProof/>
          <w:sz w:val="24"/>
        </w:rPr>
        <w:t>zych pojazdach elektrycznych ma wzrosnąć 11-krotnie do</w:t>
      </w:r>
      <w:r w:rsidR="002F45D6" w:rsidRPr="002F45D6">
        <w:rPr>
          <w:rFonts w:ascii="Times New Roman" w:hAnsi="Times New Roman"/>
          <w:noProof/>
          <w:sz w:val="24"/>
        </w:rPr>
        <w:t> </w:t>
      </w:r>
      <w:r w:rsidRPr="002F45D6">
        <w:rPr>
          <w:rFonts w:ascii="Times New Roman" w:hAnsi="Times New Roman"/>
          <w:noProof/>
          <w:sz w:val="24"/>
        </w:rPr>
        <w:t>2030</w:t>
      </w:r>
      <w:r w:rsidR="002F45D6" w:rsidRPr="002F45D6">
        <w:rPr>
          <w:rFonts w:ascii="Times New Roman" w:hAnsi="Times New Roman"/>
          <w:noProof/>
          <w:sz w:val="24"/>
        </w:rPr>
        <w:t> </w:t>
      </w:r>
      <w:r w:rsidRPr="002F45D6">
        <w:rPr>
          <w:rFonts w:ascii="Times New Roman" w:hAnsi="Times New Roman"/>
          <w:noProof/>
          <w:sz w:val="24"/>
        </w:rPr>
        <w:t>r.</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1</w:t>
      </w:r>
      <w:r w:rsidRPr="002F45D6">
        <w:rPr>
          <w:rFonts w:ascii="Times New Roman" w:hAnsi="Times New Roman"/>
          <w:noProof/>
          <w:sz w:val="24"/>
        </w:rPr>
        <w:t>7-krotnie do</w:t>
      </w:r>
      <w:r w:rsidR="002F45D6" w:rsidRPr="002F45D6">
        <w:rPr>
          <w:rFonts w:ascii="Times New Roman" w:hAnsi="Times New Roman"/>
          <w:noProof/>
          <w:sz w:val="24"/>
        </w:rPr>
        <w:t> </w:t>
      </w:r>
      <w:r w:rsidRPr="002F45D6">
        <w:rPr>
          <w:rFonts w:ascii="Times New Roman" w:hAnsi="Times New Roman"/>
          <w:noProof/>
          <w:sz w:val="24"/>
        </w:rPr>
        <w:t>2050</w:t>
      </w:r>
      <w:r w:rsidR="002F45D6" w:rsidRPr="002F45D6">
        <w:rPr>
          <w:rFonts w:ascii="Times New Roman" w:hAnsi="Times New Roman"/>
          <w:noProof/>
          <w:sz w:val="24"/>
        </w:rPr>
        <w:t> </w:t>
      </w:r>
      <w:r w:rsidRPr="002F45D6">
        <w:rPr>
          <w:rFonts w:ascii="Times New Roman" w:hAnsi="Times New Roman"/>
          <w:noProof/>
          <w:sz w:val="24"/>
        </w:rPr>
        <w:t>r. Analiza ujawnia również silne uzależnienie UE od wąskiego grona dostawców wszystkich strategicznych technologii na różnych etapach łańcucha dostaw,</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ypadku niektórych technologii – nawet od całego łańcucha wartości.</w:t>
      </w:r>
    </w:p>
    <w:p w14:paraId="4BFF3E23" w14:textId="3DA512C0" w:rsidR="00F23788" w:rsidRPr="002F45D6" w:rsidRDefault="00F23788" w:rsidP="00F23788">
      <w:pPr>
        <w:spacing w:before="120"/>
        <w:jc w:val="both"/>
        <w:rPr>
          <w:rFonts w:ascii="Times New Roman" w:hAnsi="Times New Roman" w:cs="Times New Roman"/>
          <w:bCs/>
          <w:noProof/>
          <w:sz w:val="24"/>
        </w:rPr>
      </w:pPr>
      <w:r w:rsidRPr="002F45D6">
        <w:rPr>
          <w:rFonts w:ascii="Times New Roman" w:hAnsi="Times New Roman"/>
          <w:noProof/>
          <w:sz w:val="24"/>
        </w:rPr>
        <w:t>Popyt na surowce krytyczne jest najwyższy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his</w:t>
      </w:r>
      <w:r w:rsidRPr="002F45D6">
        <w:rPr>
          <w:rFonts w:ascii="Times New Roman" w:hAnsi="Times New Roman"/>
          <w:noProof/>
          <w:sz w:val="24"/>
        </w:rPr>
        <w:t>torii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moż</w:t>
      </w:r>
      <w:r w:rsidRPr="002F45D6">
        <w:rPr>
          <w:rFonts w:ascii="Times New Roman" w:hAnsi="Times New Roman"/>
          <w:noProof/>
          <w:sz w:val="24"/>
        </w:rPr>
        <w:t>e wzrosnąć dziesięciokrotnie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kol</w:t>
      </w:r>
      <w:r w:rsidRPr="002F45D6">
        <w:rPr>
          <w:rFonts w:ascii="Times New Roman" w:hAnsi="Times New Roman"/>
          <w:noProof/>
          <w:sz w:val="24"/>
        </w:rPr>
        <w:t>ejnej dekadzie,</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pod</w:t>
      </w:r>
      <w:r w:rsidRPr="002F45D6">
        <w:rPr>
          <w:rFonts w:ascii="Times New Roman" w:hAnsi="Times New Roman"/>
          <w:noProof/>
          <w:sz w:val="24"/>
        </w:rPr>
        <w:t>aż stoi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obl</w:t>
      </w:r>
      <w:r w:rsidRPr="002F45D6">
        <w:rPr>
          <w:rFonts w:ascii="Times New Roman" w:hAnsi="Times New Roman"/>
          <w:noProof/>
          <w:sz w:val="24"/>
        </w:rPr>
        <w:t>iczu większych zagrożeń</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wyz</w:t>
      </w:r>
      <w:r w:rsidRPr="002F45D6">
        <w:rPr>
          <w:rFonts w:ascii="Times New Roman" w:hAnsi="Times New Roman"/>
          <w:noProof/>
          <w:sz w:val="24"/>
        </w:rPr>
        <w:t>wań geopolitycznych, środowiskowych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spo</w:t>
      </w:r>
      <w:r w:rsidRPr="002F45D6">
        <w:rPr>
          <w:rFonts w:ascii="Times New Roman" w:hAnsi="Times New Roman"/>
          <w:noProof/>
          <w:sz w:val="24"/>
        </w:rPr>
        <w:t xml:space="preserve">łecznych. </w:t>
      </w:r>
    </w:p>
    <w:p w14:paraId="76F65F97" w14:textId="6F0D99A2" w:rsidR="00DB16AC" w:rsidRPr="002F45D6" w:rsidRDefault="00912F17" w:rsidP="2FD7A655">
      <w:pPr>
        <w:spacing w:before="120"/>
        <w:jc w:val="both"/>
        <w:rPr>
          <w:rFonts w:ascii="Times New Roman" w:hAnsi="Times New Roman" w:cs="Times New Roman"/>
          <w:noProof/>
          <w:sz w:val="24"/>
          <w:szCs w:val="24"/>
        </w:rPr>
      </w:pPr>
      <w:r w:rsidRPr="002F45D6">
        <w:rPr>
          <w:rFonts w:ascii="Times New Roman" w:hAnsi="Times New Roman"/>
          <w:noProof/>
          <w:sz w:val="24"/>
        </w:rPr>
        <w:t>Przemysł surowców krytycznych ma złożony charakter</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nie</w:t>
      </w:r>
      <w:r w:rsidRPr="002F45D6">
        <w:rPr>
          <w:rFonts w:ascii="Times New Roman" w:hAnsi="Times New Roman"/>
          <w:noProof/>
          <w:sz w:val="24"/>
        </w:rPr>
        <w:t xml:space="preserve">które rodzaje projektów uznaje się za </w:t>
      </w:r>
      <w:r w:rsidRPr="002F45D6">
        <w:rPr>
          <w:rFonts w:ascii="Times New Roman" w:hAnsi="Times New Roman"/>
          <w:b/>
          <w:noProof/>
          <w:sz w:val="24"/>
        </w:rPr>
        <w:t>inwestycje wysokiego ryzyka</w:t>
      </w:r>
      <w:r w:rsidRPr="002F45D6">
        <w:rPr>
          <w:rFonts w:ascii="Times New Roman" w:hAnsi="Times New Roman"/>
          <w:noProof/>
          <w:sz w:val="24"/>
        </w:rPr>
        <w:t>,</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 projekty na etapie poszukiwania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wyd</w:t>
      </w:r>
      <w:r w:rsidRPr="002F45D6">
        <w:rPr>
          <w:rFonts w:ascii="Times New Roman" w:hAnsi="Times New Roman"/>
          <w:noProof/>
          <w:sz w:val="24"/>
        </w:rPr>
        <w:t>obycia. Oprócz czynników geologicznych rynek charakteryzuje się wysokimi barierami wejścia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wys</w:t>
      </w:r>
      <w:r w:rsidRPr="002F45D6">
        <w:rPr>
          <w:rFonts w:ascii="Times New Roman" w:hAnsi="Times New Roman"/>
          <w:noProof/>
          <w:sz w:val="24"/>
        </w:rPr>
        <w:t>okimi kosztami kapitałowymi oraz związanym</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ryzykiem. Długotrwałe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nie</w:t>
      </w:r>
      <w:r w:rsidRPr="002F45D6">
        <w:rPr>
          <w:rFonts w:ascii="Times New Roman" w:hAnsi="Times New Roman"/>
          <w:noProof/>
          <w:sz w:val="24"/>
        </w:rPr>
        <w:t>pewne procedury wydawania pozwoleń są istotnym czynnikiem zniechęcającym do inwestycji. Między rozpoczęciem projektu</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udo</w:t>
      </w:r>
      <w:r w:rsidRPr="002F45D6">
        <w:rPr>
          <w:rFonts w:ascii="Times New Roman" w:hAnsi="Times New Roman"/>
          <w:noProof/>
          <w:sz w:val="24"/>
        </w:rPr>
        <w:t>stępnieniem surowców na rynku może upłynąć dużo czasu.</w:t>
      </w:r>
    </w:p>
    <w:p w14:paraId="226F8DBF" w14:textId="1FA80AAF" w:rsidR="002858F0" w:rsidRPr="002F45D6" w:rsidRDefault="007E7C9F" w:rsidP="2FD7A655">
      <w:pPr>
        <w:spacing w:before="120"/>
        <w:jc w:val="both"/>
        <w:rPr>
          <w:rFonts w:ascii="Times New Roman" w:hAnsi="Times New Roman" w:cs="Times New Roman"/>
          <w:noProof/>
          <w:sz w:val="24"/>
          <w:szCs w:val="24"/>
        </w:rPr>
      </w:pPr>
      <w:r w:rsidRPr="002F45D6">
        <w:rPr>
          <w:rFonts w:ascii="Times New Roman" w:hAnsi="Times New Roman"/>
          <w:noProof/>
          <w:sz w:val="24"/>
        </w:rPr>
        <w:t>W przypadku większości surowców krytycznych produkcja opiera się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duż</w:t>
      </w:r>
      <w:r w:rsidRPr="002F45D6">
        <w:rPr>
          <w:rFonts w:ascii="Times New Roman" w:hAnsi="Times New Roman"/>
          <w:noProof/>
          <w:sz w:val="24"/>
        </w:rPr>
        <w:t>ej mierze na kilku dostawcach, a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zna</w:t>
      </w:r>
      <w:r w:rsidRPr="002F45D6">
        <w:rPr>
          <w:rFonts w:ascii="Times New Roman" w:hAnsi="Times New Roman"/>
          <w:noProof/>
          <w:sz w:val="24"/>
        </w:rPr>
        <w:t>cznym stopniu korzysta</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 xml:space="preserve">ywozu. </w:t>
      </w:r>
      <w:r w:rsidRPr="002F45D6">
        <w:rPr>
          <w:rFonts w:ascii="Times New Roman" w:hAnsi="Times New Roman"/>
          <w:b/>
          <w:noProof/>
          <w:sz w:val="24"/>
        </w:rPr>
        <w:t>Nadmierne uzależnienie od indywidualnych dostawców</w:t>
      </w:r>
      <w:r w:rsidRPr="002F45D6">
        <w:rPr>
          <w:rFonts w:ascii="Times New Roman" w:hAnsi="Times New Roman"/>
          <w:noProof/>
          <w:sz w:val="24"/>
        </w:rPr>
        <w:t xml:space="preserve"> może zakłócić cały łańcuch dostaw, zwłaszcza że ograniczenia wywozowe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inn</w:t>
      </w:r>
      <w:r w:rsidRPr="002F45D6">
        <w:rPr>
          <w:rFonts w:ascii="Times New Roman" w:hAnsi="Times New Roman"/>
          <w:noProof/>
          <w:sz w:val="24"/>
        </w:rPr>
        <w:t>e środki ograniczające handel są coraz powszechniej stosowane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zwi</w:t>
      </w:r>
      <w:r w:rsidRPr="002F45D6">
        <w:rPr>
          <w:rFonts w:ascii="Times New Roman" w:hAnsi="Times New Roman"/>
          <w:noProof/>
          <w:sz w:val="24"/>
        </w:rPr>
        <w:t>ązku</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ros</w:t>
      </w:r>
      <w:r w:rsidRPr="002F45D6">
        <w:rPr>
          <w:rFonts w:ascii="Times New Roman" w:hAnsi="Times New Roman"/>
          <w:noProof/>
          <w:sz w:val="24"/>
        </w:rPr>
        <w:t>nącą konkurencją na świecie. Nielegalna agresja Rosji na Ukrainę pokazała,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jak</w:t>
      </w:r>
      <w:r w:rsidRPr="002F45D6">
        <w:rPr>
          <w:rFonts w:ascii="Times New Roman" w:hAnsi="Times New Roman"/>
          <w:noProof/>
          <w:sz w:val="24"/>
        </w:rPr>
        <w:t>i sposób niewiarygodni dostawcy mogą wykorzystywać takie zależności na swoją korzyść</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uży</w:t>
      </w:r>
      <w:r w:rsidRPr="002F45D6">
        <w:rPr>
          <w:rFonts w:ascii="Times New Roman" w:hAnsi="Times New Roman"/>
          <w:noProof/>
          <w:sz w:val="24"/>
        </w:rPr>
        <w:t xml:space="preserve">wać ich jako narzędzia walki. </w:t>
      </w:r>
    </w:p>
    <w:p w14:paraId="0FC2D619" w14:textId="74FB099F" w:rsidR="006D2309" w:rsidRPr="002F45D6" w:rsidRDefault="00A05D7B" w:rsidP="00EB3DAF">
      <w:pPr>
        <w:spacing w:before="120"/>
        <w:jc w:val="both"/>
        <w:rPr>
          <w:rFonts w:ascii="Times New Roman" w:hAnsi="Times New Roman" w:cs="Times New Roman"/>
          <w:noProof/>
          <w:sz w:val="24"/>
        </w:rPr>
      </w:pPr>
      <w:r w:rsidRPr="002F45D6">
        <w:rPr>
          <w:rFonts w:ascii="Times New Roman" w:hAnsi="Times New Roman"/>
          <w:b/>
          <w:noProof/>
          <w:sz w:val="24"/>
        </w:rPr>
        <w:t>UE nie stoi</w:t>
      </w:r>
      <w:r w:rsidR="002F45D6" w:rsidRPr="002F45D6">
        <w:rPr>
          <w:rFonts w:ascii="Times New Roman" w:hAnsi="Times New Roman"/>
          <w:b/>
          <w:noProof/>
          <w:sz w:val="24"/>
        </w:rPr>
        <w:t xml:space="preserve"> w</w:t>
      </w:r>
      <w:r w:rsidR="002F45D6">
        <w:rPr>
          <w:rFonts w:ascii="Times New Roman" w:hAnsi="Times New Roman"/>
          <w:b/>
          <w:noProof/>
          <w:sz w:val="24"/>
        </w:rPr>
        <w:t> </w:t>
      </w:r>
      <w:r w:rsidR="002F45D6" w:rsidRPr="002F45D6">
        <w:rPr>
          <w:rFonts w:ascii="Times New Roman" w:hAnsi="Times New Roman"/>
          <w:b/>
          <w:noProof/>
          <w:sz w:val="24"/>
        </w:rPr>
        <w:t>obl</w:t>
      </w:r>
      <w:r w:rsidRPr="002F45D6">
        <w:rPr>
          <w:rFonts w:ascii="Times New Roman" w:hAnsi="Times New Roman"/>
          <w:b/>
          <w:noProof/>
          <w:sz w:val="24"/>
        </w:rPr>
        <w:t>iczu tych wyzwań sama</w:t>
      </w:r>
      <w:r w:rsidRPr="002F45D6">
        <w:rPr>
          <w:rFonts w:ascii="Times New Roman" w:hAnsi="Times New Roman"/>
          <w:noProof/>
          <w:sz w:val="24"/>
        </w:rPr>
        <w:t>. Dążenie do gospodarki neutralnej emisyjnie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cyf</w:t>
      </w:r>
      <w:r w:rsidRPr="002F45D6">
        <w:rPr>
          <w:rFonts w:ascii="Times New Roman" w:hAnsi="Times New Roman"/>
          <w:noProof/>
          <w:sz w:val="24"/>
        </w:rPr>
        <w:t>rowej leży we wspólnym interesie społeczności międzynarodowej. Kraje takie jak Chiny, Japonia, Stany Zjednoczone czy Korea Południowa podjęły kroki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u zabezpieczenia dostaw, przetwarzania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raf</w:t>
      </w:r>
      <w:r w:rsidRPr="002F45D6">
        <w:rPr>
          <w:rFonts w:ascii="Times New Roman" w:hAnsi="Times New Roman"/>
          <w:noProof/>
          <w:sz w:val="24"/>
        </w:rPr>
        <w:t>inacji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u ograniczenia swoich strategicznych zależności. Kraje produkujące surowce krytyczne, bogate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oby, również próbują przyciągnąć partnerów,</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któ</w:t>
      </w:r>
      <w:r w:rsidRPr="002F45D6">
        <w:rPr>
          <w:rFonts w:ascii="Times New Roman" w:hAnsi="Times New Roman"/>
          <w:noProof/>
          <w:sz w:val="24"/>
        </w:rPr>
        <w:t>rymi mogą współpracować na miejscu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wijaniu swoich łańcuchów wartości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spo</w:t>
      </w:r>
      <w:r w:rsidRPr="002F45D6">
        <w:rPr>
          <w:rFonts w:ascii="Times New Roman" w:hAnsi="Times New Roman"/>
          <w:noProof/>
          <w:sz w:val="24"/>
        </w:rPr>
        <w:t xml:space="preserve">sób zrównoważony. </w:t>
      </w:r>
    </w:p>
    <w:p w14:paraId="0F05BF38" w14:textId="016C9329" w:rsidR="00C22194" w:rsidRPr="002F45D6" w:rsidRDefault="004C7760" w:rsidP="001D2BCE">
      <w:pPr>
        <w:spacing w:before="120"/>
        <w:jc w:val="both"/>
        <w:rPr>
          <w:rFonts w:ascii="Times New Roman" w:hAnsi="Times New Roman" w:cs="Times New Roman"/>
          <w:noProof/>
          <w:sz w:val="24"/>
          <w:szCs w:val="24"/>
        </w:rPr>
      </w:pPr>
      <w:r w:rsidRPr="002F45D6">
        <w:rPr>
          <w:rFonts w:ascii="Times New Roman" w:hAnsi="Times New Roman"/>
          <w:noProof/>
          <w:sz w:val="24"/>
        </w:rPr>
        <w:t>W ramach inicjatywy Komisji na rzecz surowców</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2</w:t>
      </w:r>
      <w:r w:rsidRPr="002F45D6">
        <w:rPr>
          <w:rFonts w:ascii="Times New Roman" w:hAnsi="Times New Roman"/>
          <w:noProof/>
          <w:sz w:val="24"/>
        </w:rPr>
        <w:t>008</w:t>
      </w:r>
      <w:r w:rsidR="002F45D6" w:rsidRPr="002F45D6">
        <w:rPr>
          <w:rFonts w:ascii="Times New Roman" w:hAnsi="Times New Roman"/>
          <w:noProof/>
          <w:sz w:val="24"/>
        </w:rPr>
        <w:t> </w:t>
      </w:r>
      <w:r w:rsidRPr="002F45D6">
        <w:rPr>
          <w:rFonts w:ascii="Times New Roman" w:hAnsi="Times New Roman"/>
          <w:noProof/>
          <w:sz w:val="24"/>
        </w:rPr>
        <w:t>r.</w:t>
      </w:r>
      <w:r w:rsidRPr="002F45D6">
        <w:rPr>
          <w:rStyle w:val="FootnoteReference"/>
          <w:rFonts w:ascii="Times New Roman" w:hAnsi="Times New Roman" w:cs="Times New Roman"/>
          <w:noProof/>
          <w:sz w:val="24"/>
        </w:rPr>
        <w:footnoteReference w:id="3"/>
      </w:r>
      <w:r w:rsidRPr="002F45D6">
        <w:rPr>
          <w:rFonts w:ascii="Times New Roman" w:hAnsi="Times New Roman"/>
          <w:noProof/>
          <w:sz w:val="24"/>
        </w:rPr>
        <w:t xml:space="preserve"> określono już strategię rozwiązania kwestii dostępu do surowców w UE. Na jej podstawie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pla</w:t>
      </w:r>
      <w:r w:rsidRPr="002F45D6">
        <w:rPr>
          <w:rFonts w:ascii="Times New Roman" w:hAnsi="Times New Roman"/>
          <w:noProof/>
          <w:sz w:val="24"/>
        </w:rPr>
        <w:t>nie działania</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2</w:t>
      </w:r>
      <w:r w:rsidRPr="002F45D6">
        <w:rPr>
          <w:rFonts w:ascii="Times New Roman" w:hAnsi="Times New Roman"/>
          <w:noProof/>
          <w:sz w:val="24"/>
        </w:rPr>
        <w:t>020</w:t>
      </w:r>
      <w:r w:rsidR="002F45D6" w:rsidRPr="002F45D6">
        <w:rPr>
          <w:rFonts w:ascii="Times New Roman" w:hAnsi="Times New Roman"/>
          <w:noProof/>
          <w:sz w:val="24"/>
        </w:rPr>
        <w:t> </w:t>
      </w:r>
      <w:r w:rsidRPr="002F45D6">
        <w:rPr>
          <w:rFonts w:ascii="Times New Roman" w:hAnsi="Times New Roman"/>
          <w:noProof/>
          <w:sz w:val="24"/>
        </w:rPr>
        <w:t>r.</w:t>
      </w:r>
      <w:r w:rsidRPr="002F45D6">
        <w:rPr>
          <w:rStyle w:val="FootnoteReference"/>
          <w:rFonts w:ascii="Times New Roman" w:hAnsi="Times New Roman" w:cs="Times New Roman"/>
          <w:noProof/>
          <w:sz w:val="24"/>
        </w:rPr>
        <w:footnoteReference w:id="4"/>
      </w:r>
      <w:r w:rsidRPr="002F45D6">
        <w:rPr>
          <w:rFonts w:ascii="Times New Roman" w:hAnsi="Times New Roman"/>
          <w:noProof/>
          <w:sz w:val="24"/>
        </w:rPr>
        <w:t xml:space="preserve"> przedstawiono konkretne kroki mające na celu zwiększenie odporności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otw</w:t>
      </w:r>
      <w:r w:rsidRPr="002F45D6">
        <w:rPr>
          <w:rFonts w:ascii="Times New Roman" w:hAnsi="Times New Roman"/>
          <w:noProof/>
          <w:sz w:val="24"/>
        </w:rPr>
        <w:t>artej strategicznej autonomii UE</w:t>
      </w:r>
      <w:r w:rsidRPr="002F45D6">
        <w:rPr>
          <w:rStyle w:val="FootnoteReference"/>
          <w:rFonts w:ascii="Times New Roman" w:hAnsi="Times New Roman" w:cs="Times New Roman"/>
          <w:noProof/>
          <w:sz w:val="24"/>
        </w:rPr>
        <w:footnoteReference w:id="5"/>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pla</w:t>
      </w:r>
      <w:r w:rsidRPr="002F45D6">
        <w:rPr>
          <w:rFonts w:ascii="Times New Roman" w:hAnsi="Times New Roman"/>
          <w:noProof/>
          <w:sz w:val="24"/>
        </w:rPr>
        <w:t>nie REPowerEU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zewnętrznej strategii energetycznej UE zaproponowano konkretne działania mające zapewnić dostęp do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u przyspieszenia transformacji energetycznej</w:t>
      </w:r>
      <w:r w:rsidRPr="002F45D6">
        <w:rPr>
          <w:rStyle w:val="FootnoteReference"/>
          <w:rFonts w:ascii="Times New Roman" w:hAnsi="Times New Roman" w:cs="Times New Roman"/>
          <w:noProof/>
          <w:sz w:val="24"/>
        </w:rPr>
        <w:footnoteReference w:id="6"/>
      </w:r>
      <w:r w:rsidRPr="002F45D6">
        <w:rPr>
          <w:rFonts w:ascii="Times New Roman" w:hAnsi="Times New Roman"/>
          <w:noProof/>
          <w:sz w:val="24"/>
        </w:rPr>
        <w:t xml:space="preserve">. </w:t>
      </w:r>
    </w:p>
    <w:p w14:paraId="4FEAF5A7" w14:textId="1E483ADE" w:rsidR="00F23788" w:rsidRPr="002F45D6" w:rsidRDefault="006D4CC6" w:rsidP="000E35B7">
      <w:pPr>
        <w:spacing w:before="120"/>
        <w:jc w:val="both"/>
        <w:rPr>
          <w:rFonts w:ascii="Times New Roman" w:hAnsi="Times New Roman"/>
          <w:noProof/>
          <w:sz w:val="24"/>
          <w:szCs w:val="24"/>
        </w:rPr>
      </w:pPr>
      <w:r w:rsidRPr="002F45D6">
        <w:rPr>
          <w:rFonts w:ascii="Times New Roman" w:hAnsi="Times New Roman"/>
          <w:b/>
          <w:noProof/>
          <w:sz w:val="24"/>
        </w:rPr>
        <w:t>Sytuacja uległa jednak zmianie</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mus</w:t>
      </w:r>
      <w:r w:rsidRPr="002F45D6">
        <w:rPr>
          <w:rFonts w:ascii="Times New Roman" w:hAnsi="Times New Roman"/>
          <w:b/>
          <w:noProof/>
          <w:sz w:val="24"/>
        </w:rPr>
        <w:t>imy zrobić jeszcze więcej</w:t>
      </w:r>
      <w:r w:rsidRPr="002F45D6">
        <w:rPr>
          <w:rFonts w:ascii="Times New Roman" w:hAnsi="Times New Roman"/>
          <w:noProof/>
          <w:sz w:val="24"/>
        </w:rPr>
        <w:t>. Komisja proponuje więc dziś kompleksowe podejście, które zwiększy skalę dostaw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yspieszy dostawy surowców pierwotnych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wtó</w:t>
      </w:r>
      <w:r w:rsidRPr="002F45D6">
        <w:rPr>
          <w:rFonts w:ascii="Times New Roman" w:hAnsi="Times New Roman"/>
          <w:noProof/>
          <w:sz w:val="24"/>
        </w:rPr>
        <w:t>rnych do UE. Dzięki wzmocnieniu strategii międzynarodowej będziemy współpracować</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nas</w:t>
      </w:r>
      <w:r w:rsidRPr="002F45D6">
        <w:rPr>
          <w:rFonts w:ascii="Times New Roman" w:hAnsi="Times New Roman"/>
          <w:noProof/>
          <w:sz w:val="24"/>
        </w:rPr>
        <w:t>zymi partnerami, aby zdywersyfikować</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zin</w:t>
      </w:r>
      <w:r w:rsidRPr="002F45D6">
        <w:rPr>
          <w:rFonts w:ascii="Times New Roman" w:hAnsi="Times New Roman"/>
          <w:noProof/>
          <w:sz w:val="24"/>
        </w:rPr>
        <w:t>tegrować zrównoważone łańcuchy dostaw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war</w:t>
      </w:r>
      <w:r w:rsidRPr="002F45D6">
        <w:rPr>
          <w:rFonts w:ascii="Times New Roman" w:hAnsi="Times New Roman"/>
          <w:noProof/>
          <w:sz w:val="24"/>
        </w:rPr>
        <w:t>tości. Budując wzajemnie korzystne długoterminowe stosunki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kra</w:t>
      </w:r>
      <w:r w:rsidRPr="002F45D6">
        <w:rPr>
          <w:rFonts w:ascii="Times New Roman" w:hAnsi="Times New Roman"/>
          <w:noProof/>
          <w:sz w:val="24"/>
        </w:rPr>
        <w:t>jami bogatymi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 xml:space="preserve">oby, UE będzie dążyć do zawierania </w:t>
      </w:r>
      <w:r w:rsidRPr="002F45D6">
        <w:rPr>
          <w:rFonts w:ascii="Times New Roman" w:hAnsi="Times New Roman"/>
          <w:b/>
          <w:noProof/>
          <w:sz w:val="24"/>
        </w:rPr>
        <w:t>partnerstw korzystnych dla obu stron, które są uzupełnieniem strategii Global Gateway</w:t>
      </w:r>
      <w:r w:rsidRPr="002F45D6">
        <w:rPr>
          <w:rFonts w:ascii="Times New Roman" w:hAnsi="Times New Roman"/>
          <w:noProof/>
          <w:sz w:val="24"/>
        </w:rPr>
        <w:t>. Partnerstwa te powinny przyczyniać się do dywersyfikacji łańcucha dostaw surowców do UE, ale również powinny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im samym stopniu zwiększyć zrównoważony charakter</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war</w:t>
      </w:r>
      <w:r w:rsidRPr="002F45D6">
        <w:rPr>
          <w:rFonts w:ascii="Times New Roman" w:hAnsi="Times New Roman"/>
          <w:noProof/>
          <w:sz w:val="24"/>
        </w:rPr>
        <w:t>tość dodaną produkcji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tyc</w:t>
      </w:r>
      <w:r w:rsidRPr="002F45D6">
        <w:rPr>
          <w:rFonts w:ascii="Times New Roman" w:hAnsi="Times New Roman"/>
          <w:noProof/>
          <w:sz w:val="24"/>
        </w:rPr>
        <w:t>h bogatych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oby, rozwijających się</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wsc</w:t>
      </w:r>
      <w:r w:rsidRPr="002F45D6">
        <w:rPr>
          <w:rFonts w:ascii="Times New Roman" w:hAnsi="Times New Roman"/>
          <w:noProof/>
          <w:sz w:val="24"/>
        </w:rPr>
        <w:t xml:space="preserve">hodzących krajach. </w:t>
      </w:r>
    </w:p>
    <w:p w14:paraId="3942567A" w14:textId="1E465A1B" w:rsidR="00762ACE" w:rsidRPr="002F45D6" w:rsidRDefault="002858F0" w:rsidP="2FD7A655">
      <w:pPr>
        <w:spacing w:before="120"/>
        <w:jc w:val="both"/>
        <w:rPr>
          <w:rFonts w:ascii="Times New Roman" w:hAnsi="Times New Roman" w:cs="Times New Roman"/>
          <w:noProof/>
          <w:sz w:val="24"/>
        </w:rPr>
      </w:pPr>
      <w:r w:rsidRPr="002F45D6">
        <w:rPr>
          <w:rFonts w:ascii="Times New Roman" w:hAnsi="Times New Roman"/>
          <w:b/>
          <w:noProof/>
          <w:sz w:val="24"/>
        </w:rPr>
        <w:t>UE powinna jak najlepiej wykorzystać swoje zasoby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wijać działania związane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pos</w:t>
      </w:r>
      <w:r w:rsidRPr="002F45D6">
        <w:rPr>
          <w:rFonts w:ascii="Times New Roman" w:hAnsi="Times New Roman"/>
          <w:noProof/>
          <w:sz w:val="24"/>
        </w:rPr>
        <w:t>zukiwaniem, wydobyciem, rafinacją, przetwarzaniem</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rec</w:t>
      </w:r>
      <w:r w:rsidRPr="002F45D6">
        <w:rPr>
          <w:rFonts w:ascii="Times New Roman" w:hAnsi="Times New Roman"/>
          <w:noProof/>
          <w:sz w:val="24"/>
        </w:rPr>
        <w:t>yklingiem na własnym terenie, przy pełnym poszanowaniu naszych ekosystemów środowiskowych. Umożliwi to Europie zwiększenie zdolności przemysłowych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spo</w:t>
      </w:r>
      <w:r w:rsidRPr="002F45D6">
        <w:rPr>
          <w:rFonts w:ascii="Times New Roman" w:hAnsi="Times New Roman"/>
          <w:noProof/>
          <w:sz w:val="24"/>
        </w:rPr>
        <w:t>sób otwarty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yjazny dla handlu,</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zac</w:t>
      </w:r>
      <w:r w:rsidRPr="002F45D6">
        <w:rPr>
          <w:rFonts w:ascii="Times New Roman" w:hAnsi="Times New Roman"/>
          <w:noProof/>
          <w:sz w:val="24"/>
        </w:rPr>
        <w:t>howaniem wysokich standardów środowiskowych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spo</w:t>
      </w:r>
      <w:r w:rsidRPr="002F45D6">
        <w:rPr>
          <w:rFonts w:ascii="Times New Roman" w:hAnsi="Times New Roman"/>
          <w:noProof/>
          <w:sz w:val="24"/>
        </w:rPr>
        <w:t>łecznych, przy równoczesnym tworzeniu wysokiej jakości miejsc pracy, pobudzaniu wzrostu gospodarczego</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zwi</w:t>
      </w:r>
      <w:r w:rsidRPr="002F45D6">
        <w:rPr>
          <w:rFonts w:ascii="Times New Roman" w:hAnsi="Times New Roman"/>
          <w:noProof/>
          <w:sz w:val="24"/>
        </w:rPr>
        <w:t xml:space="preserve">ększeniu naszej otwartej strategicznej autonomii. </w:t>
      </w:r>
    </w:p>
    <w:p w14:paraId="4620FD46" w14:textId="3ED6D4FC" w:rsidR="00762ACE" w:rsidRPr="002F45D6" w:rsidRDefault="00BB0256" w:rsidP="2FD7A655">
      <w:pPr>
        <w:spacing w:before="120"/>
        <w:jc w:val="both"/>
        <w:rPr>
          <w:rFonts w:ascii="Times New Roman" w:hAnsi="Times New Roman" w:cs="Times New Roman"/>
          <w:noProof/>
          <w:sz w:val="24"/>
          <w:szCs w:val="24"/>
        </w:rPr>
      </w:pPr>
      <w:r w:rsidRPr="002F45D6">
        <w:rPr>
          <w:rFonts w:ascii="Times New Roman" w:hAnsi="Times New Roman"/>
          <w:noProof/>
          <w:sz w:val="24"/>
        </w:rPr>
        <w:t>Zgodnie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Pla</w:t>
      </w:r>
      <w:r w:rsidRPr="002F45D6">
        <w:rPr>
          <w:rFonts w:ascii="Times New Roman" w:hAnsi="Times New Roman"/>
          <w:noProof/>
          <w:sz w:val="24"/>
        </w:rPr>
        <w:t>nem działania dotyczącym gospodarki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obi</w:t>
      </w:r>
      <w:r w:rsidRPr="002F45D6">
        <w:rPr>
          <w:rFonts w:ascii="Times New Roman" w:hAnsi="Times New Roman"/>
          <w:noProof/>
          <w:sz w:val="24"/>
        </w:rPr>
        <w:t>egu zamkniętym</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2</w:t>
      </w:r>
      <w:r w:rsidRPr="002F45D6">
        <w:rPr>
          <w:rFonts w:ascii="Times New Roman" w:hAnsi="Times New Roman"/>
          <w:noProof/>
          <w:sz w:val="24"/>
        </w:rPr>
        <w:t>020</w:t>
      </w:r>
      <w:r w:rsidR="002F45D6" w:rsidRPr="002F45D6">
        <w:rPr>
          <w:rFonts w:ascii="Times New Roman" w:hAnsi="Times New Roman"/>
          <w:noProof/>
          <w:sz w:val="24"/>
        </w:rPr>
        <w:t> </w:t>
      </w:r>
      <w:r w:rsidRPr="002F45D6">
        <w:rPr>
          <w:rFonts w:ascii="Times New Roman" w:hAnsi="Times New Roman"/>
          <w:noProof/>
          <w:sz w:val="24"/>
        </w:rPr>
        <w:t>r.</w:t>
      </w:r>
      <w:r w:rsidRPr="002F45D6">
        <w:rPr>
          <w:rStyle w:val="FootnoteReference"/>
          <w:rFonts w:ascii="Times New Roman" w:hAnsi="Times New Roman"/>
          <w:noProof/>
          <w:sz w:val="24"/>
        </w:rPr>
        <w:footnoteReference w:id="7"/>
      </w:r>
      <w:r w:rsidRPr="002F45D6">
        <w:rPr>
          <w:rFonts w:ascii="Times New Roman" w:hAnsi="Times New Roman"/>
          <w:noProof/>
          <w:sz w:val="24"/>
        </w:rPr>
        <w:t xml:space="preserve"> UE nasila działania na rzecz poprawy zasobooszczędności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ejścia od gospodarki linearnej do gospodarki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obi</w:t>
      </w:r>
      <w:r w:rsidRPr="002F45D6">
        <w:rPr>
          <w:rFonts w:ascii="Times New Roman" w:hAnsi="Times New Roman"/>
          <w:noProof/>
          <w:sz w:val="24"/>
        </w:rPr>
        <w:t>egu zamkniętym, koncentrując się przy tym na ekoprojekcie, recyklingu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tępowaniu surowców, tak aby produkty były jak najbardziej zasobooszczędne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ene</w:t>
      </w:r>
      <w:r w:rsidRPr="002F45D6">
        <w:rPr>
          <w:rFonts w:ascii="Times New Roman" w:hAnsi="Times New Roman"/>
          <w:noProof/>
          <w:sz w:val="24"/>
        </w:rPr>
        <w:t>rgooszczędne. Pomoże to zmniejszyć zapotrzebowanie na surowce krytyczne bez negatywnego wpływu na dostępność, jakość</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ystępność cenową produktów oraz umożliwi recykling</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pon</w:t>
      </w:r>
      <w:r w:rsidRPr="002F45D6">
        <w:rPr>
          <w:rFonts w:ascii="Times New Roman" w:hAnsi="Times New Roman"/>
          <w:noProof/>
          <w:sz w:val="24"/>
        </w:rPr>
        <w:t>owne wykorzystanie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now</w:t>
      </w:r>
      <w:r w:rsidRPr="002F45D6">
        <w:rPr>
          <w:rFonts w:ascii="Times New Roman" w:hAnsi="Times New Roman"/>
          <w:noProof/>
          <w:sz w:val="24"/>
        </w:rPr>
        <w:t>ych produktach.</w:t>
      </w:r>
    </w:p>
    <w:p w14:paraId="265077D4" w14:textId="7E3C6BC4" w:rsidR="002858F0" w:rsidRPr="002F45D6" w:rsidRDefault="00D30325" w:rsidP="2FD7A655">
      <w:pPr>
        <w:spacing w:before="120"/>
        <w:jc w:val="both"/>
        <w:rPr>
          <w:rFonts w:ascii="Times New Roman" w:hAnsi="Times New Roman" w:cs="Times New Roman"/>
          <w:noProof/>
          <w:sz w:val="24"/>
          <w:szCs w:val="24"/>
        </w:rPr>
      </w:pPr>
      <w:r w:rsidRPr="002F45D6">
        <w:rPr>
          <w:rFonts w:ascii="Times New Roman" w:hAnsi="Times New Roman"/>
          <w:noProof/>
          <w:sz w:val="24"/>
        </w:rPr>
        <w:t>Jednak UE nigdy nie będzie samowystarczalna pod względem zaopatrzenia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owce krytyczne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będ</w:t>
      </w:r>
      <w:r w:rsidRPr="002F45D6">
        <w:rPr>
          <w:rFonts w:ascii="Times New Roman" w:hAnsi="Times New Roman"/>
          <w:noProof/>
          <w:sz w:val="24"/>
        </w:rPr>
        <w:t xml:space="preserve">zie nadal polegać na przywozie większości zużywanych surowców. </w:t>
      </w:r>
    </w:p>
    <w:p w14:paraId="3867EB34" w14:textId="30F42762" w:rsidR="00197D6B" w:rsidRPr="002F45D6" w:rsidRDefault="002858F0" w:rsidP="00197D6B">
      <w:pPr>
        <w:spacing w:before="120"/>
        <w:jc w:val="both"/>
        <w:rPr>
          <w:rFonts w:ascii="Times New Roman" w:hAnsi="Times New Roman" w:cs="Times New Roman"/>
          <w:noProof/>
          <w:sz w:val="24"/>
          <w:szCs w:val="24"/>
        </w:rPr>
      </w:pPr>
      <w:r w:rsidRPr="002F45D6">
        <w:rPr>
          <w:rFonts w:ascii="Times New Roman" w:hAnsi="Times New Roman"/>
          <w:noProof/>
          <w:sz w:val="24"/>
        </w:rPr>
        <w:t>W związku</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UE musi wzmocnić swoje </w:t>
      </w:r>
      <w:r w:rsidRPr="002F45D6">
        <w:rPr>
          <w:rFonts w:ascii="Times New Roman" w:hAnsi="Times New Roman"/>
          <w:b/>
          <w:noProof/>
          <w:sz w:val="24"/>
        </w:rPr>
        <w:t>globalne zaangażowanie</w:t>
      </w:r>
      <w:r w:rsidRPr="002F45D6">
        <w:rPr>
          <w:rFonts w:ascii="Times New Roman" w:hAnsi="Times New Roman"/>
          <w:noProof/>
          <w:sz w:val="24"/>
        </w:rPr>
        <w:t>, aby rozwijać</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dyw</w:t>
      </w:r>
      <w:r w:rsidRPr="002F45D6">
        <w:rPr>
          <w:rFonts w:ascii="Times New Roman" w:hAnsi="Times New Roman"/>
          <w:noProof/>
          <w:sz w:val="24"/>
        </w:rPr>
        <w:t>ersyfikować inwestycje, produkcję</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han</w:t>
      </w:r>
      <w:r w:rsidRPr="002F45D6">
        <w:rPr>
          <w:rFonts w:ascii="Times New Roman" w:hAnsi="Times New Roman"/>
          <w:noProof/>
          <w:sz w:val="24"/>
        </w:rPr>
        <w:t>del</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wia</w:t>
      </w:r>
      <w:r w:rsidRPr="002F45D6">
        <w:rPr>
          <w:rFonts w:ascii="Times New Roman" w:hAnsi="Times New Roman"/>
          <w:noProof/>
          <w:sz w:val="24"/>
        </w:rPr>
        <w:t>rygodnymi partnerami,</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jed</w:t>
      </w:r>
      <w:r w:rsidRPr="002F45D6">
        <w:rPr>
          <w:rFonts w:ascii="Times New Roman" w:hAnsi="Times New Roman"/>
          <w:noProof/>
          <w:sz w:val="24"/>
        </w:rPr>
        <w:t>nocześnie działać na rzecz zmniejszenia zależności od wysokiej koncentracji dostaw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wye</w:t>
      </w:r>
      <w:r w:rsidRPr="002F45D6">
        <w:rPr>
          <w:rFonts w:ascii="Times New Roman" w:hAnsi="Times New Roman"/>
          <w:noProof/>
          <w:sz w:val="24"/>
        </w:rPr>
        <w:t>liminowania wynikających</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teg</w:t>
      </w:r>
      <w:r w:rsidRPr="002F45D6">
        <w:rPr>
          <w:rFonts w:ascii="Times New Roman" w:hAnsi="Times New Roman"/>
          <w:noProof/>
          <w:sz w:val="24"/>
        </w:rPr>
        <w:t>o słabych punktów. UE będzie realizować te cele we współpracy</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stwami trzecimi, budując wzajemnie korzystne partnerstwa umożliwiające tym państwom wspieranie ich własnego rozwoju gospodarczego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wnoważony sposób,</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jed</w:t>
      </w:r>
      <w:r w:rsidRPr="002F45D6">
        <w:rPr>
          <w:rFonts w:ascii="Times New Roman" w:hAnsi="Times New Roman"/>
          <w:noProof/>
          <w:sz w:val="24"/>
        </w:rPr>
        <w:t>nocześnie tworząc bezpieczne, odporne, przystępne cenowo</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wys</w:t>
      </w:r>
      <w:r w:rsidRPr="002F45D6">
        <w:rPr>
          <w:rFonts w:ascii="Times New Roman" w:hAnsi="Times New Roman"/>
          <w:noProof/>
          <w:sz w:val="24"/>
        </w:rPr>
        <w:t>tarczająco zróżnicowane łańcuchy wartości dla UE. Leży to również</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int</w:t>
      </w:r>
      <w:r w:rsidRPr="002F45D6">
        <w:rPr>
          <w:rFonts w:ascii="Times New Roman" w:hAnsi="Times New Roman"/>
          <w:noProof/>
          <w:sz w:val="24"/>
        </w:rPr>
        <w:t>eresie partnerów UE, ponieważ zwiększa wartość dodaną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par</w:t>
      </w:r>
      <w:r w:rsidRPr="002F45D6">
        <w:rPr>
          <w:rFonts w:ascii="Times New Roman" w:hAnsi="Times New Roman"/>
          <w:noProof/>
          <w:sz w:val="24"/>
        </w:rPr>
        <w:t>tnerstwie. Przykładowo,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ypadku zakłóceń</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kra</w:t>
      </w:r>
      <w:r w:rsidRPr="002F45D6">
        <w:rPr>
          <w:rFonts w:ascii="Times New Roman" w:hAnsi="Times New Roman"/>
          <w:noProof/>
          <w:sz w:val="24"/>
        </w:rPr>
        <w:t>jach partnerskich zwiększone zdolności UE pozwoliłyby jej lepiej wspierać kraje partnerskie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łag</w:t>
      </w:r>
      <w:r w:rsidRPr="002F45D6">
        <w:rPr>
          <w:rFonts w:ascii="Times New Roman" w:hAnsi="Times New Roman"/>
          <w:noProof/>
          <w:sz w:val="24"/>
        </w:rPr>
        <w:t>odzić globalne problemy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dos</w:t>
      </w:r>
      <w:r w:rsidRPr="002F45D6">
        <w:rPr>
          <w:rFonts w:ascii="Times New Roman" w:hAnsi="Times New Roman"/>
          <w:noProof/>
          <w:sz w:val="24"/>
        </w:rPr>
        <w:t>tawach.</w:t>
      </w:r>
    </w:p>
    <w:p w14:paraId="63892DE3" w14:textId="4935B44C" w:rsidR="002858F0" w:rsidRPr="002F45D6" w:rsidRDefault="002858F0" w:rsidP="002858F0">
      <w:pPr>
        <w:spacing w:before="120"/>
        <w:jc w:val="both"/>
        <w:rPr>
          <w:rFonts w:ascii="Times New Roman" w:hAnsi="Times New Roman" w:cs="Times New Roman"/>
          <w:noProof/>
          <w:sz w:val="24"/>
        </w:rPr>
      </w:pPr>
      <w:r w:rsidRPr="002F45D6">
        <w:rPr>
          <w:rFonts w:ascii="Times New Roman" w:hAnsi="Times New Roman"/>
          <w:noProof/>
          <w:sz w:val="24"/>
        </w:rPr>
        <w:t>Nasze inicjatywy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surowców krytycznych odzwierciedlają te ambicje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opi</w:t>
      </w:r>
      <w:r w:rsidRPr="002F45D6">
        <w:rPr>
          <w:rFonts w:ascii="Times New Roman" w:hAnsi="Times New Roman"/>
          <w:noProof/>
          <w:sz w:val="24"/>
        </w:rPr>
        <w:t xml:space="preserve">erają się na trzech filarach, które wzajemnie się wspierają: </w:t>
      </w:r>
    </w:p>
    <w:p w14:paraId="20B2385B" w14:textId="11CC1277" w:rsidR="002858F0" w:rsidRPr="002F45D6" w:rsidRDefault="00C66847" w:rsidP="002858F0">
      <w:pPr>
        <w:pStyle w:val="ListParagraph"/>
        <w:numPr>
          <w:ilvl w:val="0"/>
          <w:numId w:val="38"/>
        </w:numPr>
        <w:ind w:left="425" w:hanging="357"/>
        <w:contextualSpacing w:val="0"/>
        <w:jc w:val="both"/>
        <w:rPr>
          <w:rFonts w:ascii="Times New Roman" w:hAnsi="Times New Roman"/>
          <w:noProof/>
          <w:sz w:val="24"/>
        </w:rPr>
      </w:pPr>
      <w:r w:rsidRPr="002F45D6">
        <w:rPr>
          <w:rFonts w:ascii="Times New Roman" w:hAnsi="Times New Roman"/>
          <w:b/>
          <w:noProof/>
          <w:sz w:val="24"/>
        </w:rPr>
        <w:t>Rozwój łańcucha wartości surowców krytycznych w UE</w:t>
      </w:r>
    </w:p>
    <w:p w14:paraId="7028BB32" w14:textId="642BACD4" w:rsidR="002858F0" w:rsidRPr="002F45D6" w:rsidRDefault="002858F0" w:rsidP="002858F0">
      <w:pPr>
        <w:pStyle w:val="ListParagraph"/>
        <w:numPr>
          <w:ilvl w:val="0"/>
          <w:numId w:val="38"/>
        </w:numPr>
        <w:ind w:left="425" w:hanging="357"/>
        <w:contextualSpacing w:val="0"/>
        <w:jc w:val="both"/>
        <w:rPr>
          <w:rFonts w:ascii="Times New Roman" w:hAnsi="Times New Roman" w:cs="Times New Roman"/>
          <w:noProof/>
          <w:sz w:val="24"/>
        </w:rPr>
      </w:pPr>
      <w:bookmarkStart w:id="2" w:name="_Hlk128065896"/>
      <w:r w:rsidRPr="002F45D6">
        <w:rPr>
          <w:rFonts w:ascii="Times New Roman" w:hAnsi="Times New Roman"/>
          <w:b/>
          <w:noProof/>
          <w:sz w:val="24"/>
        </w:rPr>
        <w:t>Większa dywersyfikacja dostaw</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par</w:t>
      </w:r>
      <w:r w:rsidRPr="002F45D6">
        <w:rPr>
          <w:rFonts w:ascii="Times New Roman" w:hAnsi="Times New Roman"/>
          <w:b/>
          <w:noProof/>
          <w:sz w:val="24"/>
        </w:rPr>
        <w:t>tnerstwa przynoszące obopólne korzyści we wspieraniu produkcji globalnej</w:t>
      </w:r>
      <w:bookmarkEnd w:id="2"/>
      <w:r w:rsidRPr="002F45D6">
        <w:rPr>
          <w:rFonts w:ascii="Times New Roman" w:hAnsi="Times New Roman"/>
          <w:b/>
          <w:noProof/>
          <w:sz w:val="24"/>
        </w:rPr>
        <w:t xml:space="preserve"> </w:t>
      </w:r>
    </w:p>
    <w:p w14:paraId="67F0C30A" w14:textId="2EA12018" w:rsidR="006B4006" w:rsidRPr="002F45D6" w:rsidRDefault="006B4006" w:rsidP="00EE4F1A">
      <w:pPr>
        <w:pStyle w:val="ListParagraph"/>
        <w:numPr>
          <w:ilvl w:val="0"/>
          <w:numId w:val="38"/>
        </w:numPr>
        <w:spacing w:after="240"/>
        <w:ind w:left="432"/>
        <w:contextualSpacing w:val="0"/>
        <w:rPr>
          <w:rFonts w:ascii="Times New Roman" w:hAnsi="Times New Roman" w:cs="Times New Roman"/>
          <w:noProof/>
          <w:sz w:val="24"/>
        </w:rPr>
      </w:pPr>
      <w:r w:rsidRPr="002F45D6">
        <w:rPr>
          <w:rFonts w:ascii="Times New Roman" w:hAnsi="Times New Roman"/>
          <w:b/>
          <w:noProof/>
          <w:sz w:val="24"/>
        </w:rPr>
        <w:t>Wspieranie zrównoważoności dostaw</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pro</w:t>
      </w:r>
      <w:r w:rsidRPr="002F45D6">
        <w:rPr>
          <w:rFonts w:ascii="Times New Roman" w:hAnsi="Times New Roman"/>
          <w:b/>
          <w:noProof/>
          <w:sz w:val="24"/>
        </w:rPr>
        <w:t>mowanie obiegu zamkniętego</w:t>
      </w:r>
    </w:p>
    <w:p w14:paraId="7A75D95B" w14:textId="5CED0C90" w:rsidR="00041024" w:rsidRPr="002F45D6" w:rsidRDefault="00C66847" w:rsidP="00AA458A">
      <w:pPr>
        <w:pStyle w:val="ListParagraph"/>
        <w:numPr>
          <w:ilvl w:val="0"/>
          <w:numId w:val="32"/>
        </w:numPr>
        <w:spacing w:before="480"/>
        <w:contextualSpacing w:val="0"/>
        <w:jc w:val="both"/>
        <w:rPr>
          <w:rFonts w:ascii="Times New Roman" w:hAnsi="Times New Roman" w:cs="Times New Roman"/>
          <w:b/>
          <w:noProof/>
          <w:sz w:val="24"/>
        </w:rPr>
      </w:pPr>
      <w:r w:rsidRPr="002F45D6">
        <w:rPr>
          <w:rFonts w:ascii="Times New Roman" w:hAnsi="Times New Roman"/>
          <w:b/>
          <w:noProof/>
          <w:sz w:val="24"/>
        </w:rPr>
        <w:t>Rozwój łańcucha wartości surowców krytycznych w UE</w:t>
      </w:r>
    </w:p>
    <w:p w14:paraId="0E4CEC69" w14:textId="77777777" w:rsidR="00C12578" w:rsidRPr="002F45D6" w:rsidRDefault="003F4CEA" w:rsidP="00AD3D56">
      <w:pPr>
        <w:spacing w:before="120"/>
        <w:jc w:val="both"/>
        <w:rPr>
          <w:rFonts w:ascii="Times New Roman" w:hAnsi="Times New Roman" w:cs="Times New Roman"/>
          <w:b/>
          <w:i/>
          <w:iCs/>
          <w:noProof/>
          <w:sz w:val="24"/>
          <w:szCs w:val="24"/>
        </w:rPr>
      </w:pPr>
      <w:r w:rsidRPr="002F45D6">
        <w:rPr>
          <w:rFonts w:ascii="Times New Roman" w:hAnsi="Times New Roman"/>
          <w:b/>
          <w:i/>
          <w:noProof/>
          <w:sz w:val="24"/>
        </w:rPr>
        <w:t xml:space="preserve">II.1. A. Rozporządzenie dotyczące surowców krytycznych </w:t>
      </w:r>
    </w:p>
    <w:p w14:paraId="6F0E5E75" w14:textId="3F50C0AA" w:rsidR="002E6139" w:rsidRPr="002F45D6" w:rsidRDefault="00D73638" w:rsidP="002E6139">
      <w:pPr>
        <w:spacing w:before="120"/>
        <w:jc w:val="both"/>
        <w:rPr>
          <w:rFonts w:ascii="Times New Roman" w:hAnsi="Times New Roman" w:cs="Times New Roman"/>
          <w:bCs/>
          <w:noProof/>
          <w:sz w:val="24"/>
        </w:rPr>
      </w:pPr>
      <w:r w:rsidRPr="002F45D6">
        <w:rPr>
          <w:rFonts w:ascii="Times New Roman" w:hAnsi="Times New Roman"/>
          <w:noProof/>
          <w:color w:val="000000" w:themeColor="text1"/>
          <w:sz w:val="24"/>
        </w:rPr>
        <w:t xml:space="preserve">W proponowanym </w:t>
      </w:r>
      <w:r w:rsidRPr="002F45D6">
        <w:rPr>
          <w:rFonts w:ascii="Times New Roman" w:hAnsi="Times New Roman"/>
          <w:b/>
          <w:noProof/>
          <w:color w:val="000000" w:themeColor="text1"/>
          <w:sz w:val="24"/>
        </w:rPr>
        <w:t>rozporządzeniu</w:t>
      </w:r>
      <w:r w:rsidRPr="002F45D6">
        <w:rPr>
          <w:rStyle w:val="FootnoteReference"/>
          <w:rFonts w:ascii="Times New Roman" w:eastAsia="Times New Roman" w:hAnsi="Times New Roman" w:cs="Times New Roman"/>
          <w:b/>
          <w:bCs/>
          <w:noProof/>
          <w:color w:val="000000" w:themeColor="text1"/>
          <w:sz w:val="24"/>
          <w:szCs w:val="24"/>
        </w:rPr>
        <w:footnoteReference w:id="8"/>
      </w:r>
      <w:r w:rsidRPr="002F45D6">
        <w:rPr>
          <w:rFonts w:ascii="Times New Roman" w:hAnsi="Times New Roman"/>
          <w:noProof/>
          <w:color w:val="000000" w:themeColor="text1"/>
          <w:sz w:val="24"/>
        </w:rPr>
        <w:t xml:space="preserve"> wskazano ogólny cel, jakim jest zapewnienie UE dostępu do bezpiecznych</w:t>
      </w:r>
      <w:r w:rsidR="002F45D6" w:rsidRPr="002F45D6">
        <w:rPr>
          <w:rFonts w:ascii="Times New Roman" w:hAnsi="Times New Roman"/>
          <w:noProof/>
          <w:color w:val="000000" w:themeColor="text1"/>
          <w:sz w:val="24"/>
        </w:rPr>
        <w:t xml:space="preserve"> i</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zró</w:t>
      </w:r>
      <w:r w:rsidRPr="002F45D6">
        <w:rPr>
          <w:rFonts w:ascii="Times New Roman" w:hAnsi="Times New Roman"/>
          <w:noProof/>
          <w:color w:val="000000" w:themeColor="text1"/>
          <w:sz w:val="24"/>
        </w:rPr>
        <w:t>wnoważonych dostaw surowców krytycznych. Przewidziano</w:t>
      </w:r>
      <w:r w:rsidR="002F45D6" w:rsidRPr="002F45D6">
        <w:rPr>
          <w:rFonts w:ascii="Times New Roman" w:hAnsi="Times New Roman"/>
          <w:noProof/>
          <w:color w:val="000000" w:themeColor="text1"/>
          <w:sz w:val="24"/>
        </w:rPr>
        <w:t xml:space="preserve"> 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nim</w:t>
      </w:r>
      <w:r w:rsidRPr="002F45D6">
        <w:rPr>
          <w:rFonts w:ascii="Times New Roman" w:hAnsi="Times New Roman"/>
          <w:noProof/>
          <w:color w:val="000000" w:themeColor="text1"/>
          <w:sz w:val="24"/>
        </w:rPr>
        <w:t xml:space="preserve"> również środki mające wzmocnić zdolności UE</w:t>
      </w:r>
      <w:r w:rsidR="002F45D6" w:rsidRPr="002F45D6">
        <w:rPr>
          <w:rFonts w:ascii="Times New Roman" w:hAnsi="Times New Roman"/>
          <w:noProof/>
          <w:color w:val="000000" w:themeColor="text1"/>
          <w:sz w:val="24"/>
        </w:rPr>
        <w:t xml:space="preserve"> 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cał</w:t>
      </w:r>
      <w:r w:rsidRPr="002F45D6">
        <w:rPr>
          <w:rFonts w:ascii="Times New Roman" w:hAnsi="Times New Roman"/>
          <w:noProof/>
          <w:color w:val="000000" w:themeColor="text1"/>
          <w:sz w:val="24"/>
        </w:rPr>
        <w:t>ym łańcuchu wartości. Środki określone</w:t>
      </w:r>
      <w:r w:rsidR="002F45D6" w:rsidRPr="002F45D6">
        <w:rPr>
          <w:rFonts w:ascii="Times New Roman" w:hAnsi="Times New Roman"/>
          <w:noProof/>
          <w:color w:val="000000" w:themeColor="text1"/>
          <w:sz w:val="24"/>
        </w:rPr>
        <w:t xml:space="preserve"> 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roz</w:t>
      </w:r>
      <w:r w:rsidRPr="002F45D6">
        <w:rPr>
          <w:rFonts w:ascii="Times New Roman" w:hAnsi="Times New Roman"/>
          <w:noProof/>
          <w:color w:val="000000" w:themeColor="text1"/>
          <w:sz w:val="24"/>
        </w:rPr>
        <w:t>porządzeniu powinny koncentrować się na najistotniejszych surowcach,</w:t>
      </w:r>
      <w:r w:rsidR="002F45D6" w:rsidRPr="002F45D6">
        <w:rPr>
          <w:rFonts w:ascii="Times New Roman" w:hAnsi="Times New Roman"/>
          <w:noProof/>
          <w:color w:val="000000" w:themeColor="text1"/>
          <w:sz w:val="24"/>
        </w:rPr>
        <w:t xml:space="preserve"> 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zwi</w:t>
      </w:r>
      <w:r w:rsidRPr="002F45D6">
        <w:rPr>
          <w:rFonts w:ascii="Times New Roman" w:hAnsi="Times New Roman"/>
          <w:noProof/>
          <w:color w:val="000000" w:themeColor="text1"/>
          <w:sz w:val="24"/>
        </w:rPr>
        <w:t>ązku</w:t>
      </w:r>
      <w:r w:rsidR="002F45D6" w:rsidRPr="002F45D6">
        <w:rPr>
          <w:rFonts w:ascii="Times New Roman" w:hAnsi="Times New Roman"/>
          <w:noProof/>
          <w:color w:val="000000" w:themeColor="text1"/>
          <w:sz w:val="24"/>
        </w:rPr>
        <w:t xml:space="preserve"> z</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czy</w:t>
      </w:r>
      <w:r w:rsidRPr="002F45D6">
        <w:rPr>
          <w:rFonts w:ascii="Times New Roman" w:hAnsi="Times New Roman"/>
          <w:noProof/>
          <w:color w:val="000000" w:themeColor="text1"/>
          <w:sz w:val="24"/>
        </w:rPr>
        <w:t xml:space="preserve">m stworzono wykaz surowców strategicznych. </w:t>
      </w:r>
      <w:r w:rsidRPr="002F45D6">
        <w:rPr>
          <w:rFonts w:ascii="Times New Roman" w:hAnsi="Times New Roman"/>
          <w:noProof/>
          <w:sz w:val="24"/>
        </w:rPr>
        <w:t>Rozporządzenie zawiera środki obejmujące cały łańcuch wartości, tak aby do</w:t>
      </w:r>
      <w:r w:rsidR="002F45D6" w:rsidRPr="002F45D6">
        <w:rPr>
          <w:rFonts w:ascii="Times New Roman" w:hAnsi="Times New Roman"/>
          <w:noProof/>
          <w:sz w:val="24"/>
        </w:rPr>
        <w:t> </w:t>
      </w:r>
      <w:r w:rsidRPr="002F45D6">
        <w:rPr>
          <w:rFonts w:ascii="Times New Roman" w:hAnsi="Times New Roman"/>
          <w:noProof/>
          <w:sz w:val="24"/>
        </w:rPr>
        <w:t>2030</w:t>
      </w:r>
      <w:r w:rsidR="002F45D6" w:rsidRPr="002F45D6">
        <w:rPr>
          <w:rFonts w:ascii="Times New Roman" w:hAnsi="Times New Roman"/>
          <w:noProof/>
          <w:sz w:val="24"/>
        </w:rPr>
        <w:t> </w:t>
      </w:r>
      <w:r w:rsidRPr="002F45D6">
        <w:rPr>
          <w:rFonts w:ascii="Times New Roman" w:hAnsi="Times New Roman"/>
          <w:noProof/>
          <w:sz w:val="24"/>
        </w:rPr>
        <w:t>r. zdolności UE mogły zbliżyć się do co najmniej 10 % unijnego zapotrzebowania na surowce strategiczne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górnictwa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wyd</w:t>
      </w:r>
      <w:r w:rsidRPr="002F45D6">
        <w:rPr>
          <w:rFonts w:ascii="Times New Roman" w:hAnsi="Times New Roman"/>
          <w:noProof/>
          <w:sz w:val="24"/>
        </w:rPr>
        <w:t>obycia (jeżeli pozwalają na to unijne rezerwy), co najmniej 40 %</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przetwarzania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raf</w:t>
      </w:r>
      <w:r w:rsidRPr="002F45D6">
        <w:rPr>
          <w:rFonts w:ascii="Times New Roman" w:hAnsi="Times New Roman"/>
          <w:noProof/>
          <w:sz w:val="24"/>
        </w:rPr>
        <w:t>inacji oraz co najmniej 15 %</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recyklingu.</w:t>
      </w:r>
      <w:r w:rsidR="002F45D6" w:rsidRPr="002F45D6">
        <w:rPr>
          <w:rFonts w:ascii="Times New Roman" w:hAnsi="Times New Roman"/>
          <w:noProof/>
          <w:sz w:val="24"/>
        </w:rPr>
        <w:t xml:space="preserve"> </w:t>
      </w:r>
      <w:r w:rsidRPr="002F45D6">
        <w:rPr>
          <w:rFonts w:ascii="Times New Roman" w:hAnsi="Times New Roman"/>
          <w:noProof/>
          <w:sz w:val="24"/>
        </w:rPr>
        <w:t>Jeżeli wartości te zostaną osiągnięte, pomoże to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zna</w:t>
      </w:r>
      <w:r w:rsidRPr="002F45D6">
        <w:rPr>
          <w:rFonts w:ascii="Times New Roman" w:hAnsi="Times New Roman"/>
          <w:noProof/>
          <w:sz w:val="24"/>
        </w:rPr>
        <w:t>cznym stopniu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nie</w:t>
      </w:r>
      <w:r w:rsidRPr="002F45D6">
        <w:rPr>
          <w:rFonts w:ascii="Times New Roman" w:hAnsi="Times New Roman"/>
          <w:noProof/>
          <w:sz w:val="24"/>
        </w:rPr>
        <w:t>zbędnej dywersyfikacji, tak aby do</w:t>
      </w:r>
      <w:r w:rsidR="002F45D6" w:rsidRPr="002F45D6">
        <w:rPr>
          <w:rFonts w:ascii="Times New Roman" w:hAnsi="Times New Roman"/>
          <w:noProof/>
          <w:sz w:val="24"/>
        </w:rPr>
        <w:t> </w:t>
      </w:r>
      <w:r w:rsidRPr="002F45D6">
        <w:rPr>
          <w:rFonts w:ascii="Times New Roman" w:hAnsi="Times New Roman"/>
          <w:noProof/>
          <w:sz w:val="24"/>
        </w:rPr>
        <w:t>2030</w:t>
      </w:r>
      <w:r w:rsidR="002F45D6" w:rsidRPr="002F45D6">
        <w:rPr>
          <w:rFonts w:ascii="Times New Roman" w:hAnsi="Times New Roman"/>
          <w:noProof/>
          <w:sz w:val="24"/>
        </w:rPr>
        <w:t> </w:t>
      </w:r>
      <w:r w:rsidRPr="002F45D6">
        <w:rPr>
          <w:rFonts w:ascii="Times New Roman" w:hAnsi="Times New Roman"/>
          <w:noProof/>
          <w:sz w:val="24"/>
        </w:rPr>
        <w:t>r.</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jed</w:t>
      </w:r>
      <w:r w:rsidRPr="002F45D6">
        <w:rPr>
          <w:rFonts w:ascii="Times New Roman" w:hAnsi="Times New Roman"/>
          <w:noProof/>
          <w:sz w:val="24"/>
        </w:rPr>
        <w:t>nego państwa trzeciego pochodziło nie więcej niż 65 % rocznego zużycia każdego ze strategicznych surowców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Uni</w:t>
      </w:r>
      <w:r w:rsidRPr="002F45D6">
        <w:rPr>
          <w:rFonts w:ascii="Times New Roman" w:hAnsi="Times New Roman"/>
          <w:noProof/>
          <w:sz w:val="24"/>
        </w:rPr>
        <w:t>i na dowolnym etapie przetwarzania.</w:t>
      </w:r>
    </w:p>
    <w:p w14:paraId="1B84C8D0" w14:textId="75ED40BD" w:rsidR="00D73638" w:rsidRPr="002F45D6" w:rsidRDefault="00B60672" w:rsidP="00D73638">
      <w:pPr>
        <w:spacing w:line="257" w:lineRule="auto"/>
        <w:jc w:val="both"/>
        <w:rPr>
          <w:rFonts w:ascii="Times New Roman" w:eastAsia="Times New Roman" w:hAnsi="Times New Roman" w:cs="Times New Roman"/>
          <w:noProof/>
          <w:color w:val="000000" w:themeColor="text1"/>
          <w:sz w:val="24"/>
          <w:szCs w:val="24"/>
        </w:rPr>
      </w:pPr>
      <w:r w:rsidRPr="002F45D6">
        <w:rPr>
          <w:rFonts w:ascii="Times New Roman" w:hAnsi="Times New Roman"/>
          <w:noProof/>
          <w:color w:val="000000" w:themeColor="text1"/>
          <w:sz w:val="24"/>
        </w:rPr>
        <w:t xml:space="preserve">Proponowane wykazy </w:t>
      </w:r>
      <w:r w:rsidRPr="002F45D6">
        <w:rPr>
          <w:rFonts w:ascii="Times New Roman" w:hAnsi="Times New Roman"/>
          <w:b/>
          <w:noProof/>
          <w:color w:val="000000" w:themeColor="text1"/>
          <w:sz w:val="24"/>
        </w:rPr>
        <w:t>surowców krytycznych</w:t>
      </w:r>
      <w:r w:rsidR="002F45D6" w:rsidRPr="002F45D6">
        <w:rPr>
          <w:rFonts w:ascii="Times New Roman" w:hAnsi="Times New Roman"/>
          <w:b/>
          <w:noProof/>
          <w:color w:val="000000" w:themeColor="text1"/>
          <w:sz w:val="24"/>
        </w:rPr>
        <w:t xml:space="preserve"> i</w:t>
      </w:r>
      <w:r w:rsidR="002F45D6">
        <w:rPr>
          <w:rFonts w:ascii="Times New Roman" w:hAnsi="Times New Roman"/>
          <w:b/>
          <w:noProof/>
          <w:color w:val="000000" w:themeColor="text1"/>
          <w:sz w:val="24"/>
        </w:rPr>
        <w:t> </w:t>
      </w:r>
      <w:r w:rsidR="002F45D6" w:rsidRPr="002F45D6">
        <w:rPr>
          <w:rFonts w:ascii="Times New Roman" w:hAnsi="Times New Roman"/>
          <w:b/>
          <w:noProof/>
          <w:color w:val="000000" w:themeColor="text1"/>
          <w:sz w:val="24"/>
        </w:rPr>
        <w:t>str</w:t>
      </w:r>
      <w:r w:rsidRPr="002F45D6">
        <w:rPr>
          <w:rFonts w:ascii="Times New Roman" w:hAnsi="Times New Roman"/>
          <w:b/>
          <w:noProof/>
          <w:color w:val="000000" w:themeColor="text1"/>
          <w:sz w:val="24"/>
        </w:rPr>
        <w:t>ategicznych</w:t>
      </w:r>
      <w:r w:rsidRPr="002F45D6">
        <w:rPr>
          <w:rStyle w:val="FootnoteReference"/>
          <w:rFonts w:ascii="Times New Roman" w:eastAsia="Times New Roman" w:hAnsi="Times New Roman" w:cs="Times New Roman"/>
          <w:b/>
          <w:bCs/>
          <w:noProof/>
          <w:color w:val="000000" w:themeColor="text1"/>
          <w:sz w:val="24"/>
          <w:szCs w:val="24"/>
        </w:rPr>
        <w:footnoteReference w:id="9"/>
      </w:r>
      <w:r w:rsidRPr="002F45D6">
        <w:rPr>
          <w:rFonts w:ascii="Times New Roman" w:hAnsi="Times New Roman"/>
          <w:noProof/>
          <w:color w:val="000000" w:themeColor="text1"/>
          <w:sz w:val="24"/>
        </w:rPr>
        <w:t xml:space="preserve"> załączone do rozporządzenia będą poddawane przeglądowi</w:t>
      </w:r>
      <w:r w:rsidR="002F45D6" w:rsidRPr="002F45D6">
        <w:rPr>
          <w:rFonts w:ascii="Times New Roman" w:hAnsi="Times New Roman"/>
          <w:noProof/>
          <w:color w:val="000000" w:themeColor="text1"/>
          <w:sz w:val="24"/>
        </w:rPr>
        <w:t xml:space="preserve"> i</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raz</w:t>
      </w:r>
      <w:r w:rsidRPr="002F45D6">
        <w:rPr>
          <w:rFonts w:ascii="Times New Roman" w:hAnsi="Times New Roman"/>
          <w:noProof/>
          <w:color w:val="000000" w:themeColor="text1"/>
          <w:sz w:val="24"/>
        </w:rPr>
        <w:t>ie potrzeby aktualizowane co najmniej co cztery lata. Wykazy te będą wyznacznikiem dla działań UE. Pierwszym krokiem</w:t>
      </w:r>
      <w:r w:rsidR="002F45D6" w:rsidRPr="002F45D6">
        <w:rPr>
          <w:rFonts w:ascii="Times New Roman" w:hAnsi="Times New Roman"/>
          <w:noProof/>
          <w:color w:val="000000" w:themeColor="text1"/>
          <w:sz w:val="24"/>
        </w:rPr>
        <w:t xml:space="preserve"> 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roz</w:t>
      </w:r>
      <w:r w:rsidRPr="002F45D6">
        <w:rPr>
          <w:rFonts w:ascii="Times New Roman" w:hAnsi="Times New Roman"/>
          <w:noProof/>
          <w:color w:val="000000" w:themeColor="text1"/>
          <w:sz w:val="24"/>
        </w:rPr>
        <w:t>woju wewnętrznego potencjału UE jest lepsze zrozumienie dostępności zasobów przez opracowywanie programów poszukiwawczych w UE co najmniej raz na</w:t>
      </w:r>
      <w:r w:rsidR="002F45D6" w:rsidRPr="002F45D6">
        <w:rPr>
          <w:rFonts w:ascii="Times New Roman" w:hAnsi="Times New Roman"/>
          <w:noProof/>
          <w:color w:val="000000" w:themeColor="text1"/>
          <w:sz w:val="24"/>
        </w:rPr>
        <w:t> </w:t>
      </w:r>
      <w:r w:rsidRPr="002F45D6">
        <w:rPr>
          <w:rFonts w:ascii="Times New Roman" w:hAnsi="Times New Roman"/>
          <w:noProof/>
          <w:color w:val="000000" w:themeColor="text1"/>
          <w:sz w:val="24"/>
        </w:rPr>
        <w:t>5 lat</w:t>
      </w:r>
      <w:r w:rsidR="002F45D6" w:rsidRPr="002F45D6">
        <w:rPr>
          <w:rFonts w:ascii="Times New Roman" w:hAnsi="Times New Roman"/>
          <w:noProof/>
          <w:color w:val="000000" w:themeColor="text1"/>
          <w:sz w:val="24"/>
        </w:rPr>
        <w:t xml:space="preserve"> i</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akt</w:t>
      </w:r>
      <w:r w:rsidRPr="002F45D6">
        <w:rPr>
          <w:rFonts w:ascii="Times New Roman" w:hAnsi="Times New Roman"/>
          <w:noProof/>
          <w:color w:val="000000" w:themeColor="text1"/>
          <w:sz w:val="24"/>
        </w:rPr>
        <w:t xml:space="preserve">ualizowanie wiedzy geologicznej. </w:t>
      </w:r>
    </w:p>
    <w:p w14:paraId="50188EE8" w14:textId="2824ED22" w:rsidR="00D73638" w:rsidRPr="002F45D6" w:rsidRDefault="00D73638" w:rsidP="00D73638">
      <w:pPr>
        <w:spacing w:before="120"/>
        <w:jc w:val="both"/>
        <w:rPr>
          <w:rFonts w:ascii="Times New Roman" w:eastAsia="Times New Roman" w:hAnsi="Times New Roman" w:cs="Times New Roman"/>
          <w:noProof/>
          <w:color w:val="000000" w:themeColor="text1"/>
          <w:sz w:val="24"/>
          <w:szCs w:val="24"/>
        </w:rPr>
      </w:pPr>
      <w:r w:rsidRPr="002F45D6">
        <w:rPr>
          <w:rFonts w:ascii="Times New Roman" w:hAnsi="Times New Roman"/>
          <w:noProof/>
          <w:color w:val="000000" w:themeColor="text1"/>
          <w:sz w:val="24"/>
        </w:rPr>
        <w:t>Strategiczny łańcuch wartości surowców UE zostanie wzmocniony przez wybór</w:t>
      </w:r>
      <w:r w:rsidR="002F45D6" w:rsidRPr="002F45D6">
        <w:rPr>
          <w:rFonts w:ascii="Times New Roman" w:hAnsi="Times New Roman"/>
          <w:noProof/>
          <w:color w:val="000000" w:themeColor="text1"/>
          <w:sz w:val="24"/>
        </w:rPr>
        <w:t xml:space="preserve"> i</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rea</w:t>
      </w:r>
      <w:r w:rsidRPr="002F45D6">
        <w:rPr>
          <w:rFonts w:ascii="Times New Roman" w:hAnsi="Times New Roman"/>
          <w:noProof/>
          <w:color w:val="000000" w:themeColor="text1"/>
          <w:sz w:val="24"/>
        </w:rPr>
        <w:t xml:space="preserve">lizację </w:t>
      </w:r>
      <w:r w:rsidRPr="002F45D6">
        <w:rPr>
          <w:rFonts w:ascii="Times New Roman" w:hAnsi="Times New Roman"/>
          <w:b/>
          <w:noProof/>
          <w:color w:val="000000" w:themeColor="text1"/>
          <w:sz w:val="24"/>
        </w:rPr>
        <w:t>projektów strategicznych</w:t>
      </w:r>
      <w:r w:rsidRPr="002F45D6">
        <w:rPr>
          <w:rFonts w:ascii="Times New Roman" w:hAnsi="Times New Roman"/>
          <w:noProof/>
          <w:color w:val="000000" w:themeColor="text1"/>
          <w:sz w:val="24"/>
        </w:rPr>
        <w:t>, które obejmą cały łańcuch wartości,</w:t>
      </w:r>
      <w:r w:rsidR="002F45D6" w:rsidRPr="002F45D6">
        <w:rPr>
          <w:rFonts w:ascii="Times New Roman" w:hAnsi="Times New Roman"/>
          <w:noProof/>
          <w:color w:val="000000" w:themeColor="text1"/>
          <w:sz w:val="24"/>
        </w:rPr>
        <w:t xml:space="preserve"> 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tym</w:t>
      </w:r>
      <w:r w:rsidRPr="002F45D6">
        <w:rPr>
          <w:rFonts w:ascii="Times New Roman" w:hAnsi="Times New Roman"/>
          <w:noProof/>
          <w:color w:val="000000" w:themeColor="text1"/>
          <w:sz w:val="24"/>
        </w:rPr>
        <w:t xml:space="preserve"> recykling,</w:t>
      </w:r>
      <w:r w:rsidR="002F45D6" w:rsidRPr="002F45D6">
        <w:rPr>
          <w:rFonts w:ascii="Times New Roman" w:hAnsi="Times New Roman"/>
          <w:noProof/>
          <w:color w:val="000000" w:themeColor="text1"/>
          <w:sz w:val="24"/>
        </w:rPr>
        <w:t xml:space="preserve"> i</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któ</w:t>
      </w:r>
      <w:r w:rsidRPr="002F45D6">
        <w:rPr>
          <w:rFonts w:ascii="Times New Roman" w:hAnsi="Times New Roman"/>
          <w:noProof/>
          <w:color w:val="000000" w:themeColor="text1"/>
          <w:sz w:val="24"/>
        </w:rPr>
        <w:t>re przyczynią się do zwiększenia zdolności UE. Projekty strategiczne skorzystają</w:t>
      </w:r>
      <w:r w:rsidR="002F45D6" w:rsidRPr="002F45D6">
        <w:rPr>
          <w:rFonts w:ascii="Times New Roman" w:hAnsi="Times New Roman"/>
          <w:noProof/>
          <w:color w:val="000000" w:themeColor="text1"/>
          <w:sz w:val="24"/>
        </w:rPr>
        <w:t xml:space="preserve"> 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szc</w:t>
      </w:r>
      <w:r w:rsidRPr="002F45D6">
        <w:rPr>
          <w:rFonts w:ascii="Times New Roman" w:hAnsi="Times New Roman"/>
          <w:noProof/>
          <w:color w:val="000000" w:themeColor="text1"/>
          <w:sz w:val="24"/>
        </w:rPr>
        <w:t>zególności</w:t>
      </w:r>
      <w:r w:rsidR="002F45D6" w:rsidRPr="002F45D6">
        <w:rPr>
          <w:rFonts w:ascii="Times New Roman" w:hAnsi="Times New Roman"/>
          <w:noProof/>
          <w:color w:val="000000" w:themeColor="text1"/>
          <w:sz w:val="24"/>
        </w:rPr>
        <w:t xml:space="preserve"> z</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usp</w:t>
      </w:r>
      <w:r w:rsidRPr="002F45D6">
        <w:rPr>
          <w:rFonts w:ascii="Times New Roman" w:hAnsi="Times New Roman"/>
          <w:noProof/>
          <w:color w:val="000000" w:themeColor="text1"/>
          <w:sz w:val="24"/>
        </w:rPr>
        <w:t>rawnienia procedur wydawania pozwoleń</w:t>
      </w:r>
      <w:r w:rsidRPr="002F45D6">
        <w:rPr>
          <w:rFonts w:ascii="Times New Roman" w:hAnsi="Times New Roman"/>
          <w:b/>
          <w:noProof/>
          <w:color w:val="000000" w:themeColor="text1"/>
          <w:sz w:val="24"/>
        </w:rPr>
        <w:t>.</w:t>
      </w:r>
      <w:r w:rsidRPr="002F45D6">
        <w:rPr>
          <w:rFonts w:ascii="Times New Roman" w:hAnsi="Times New Roman"/>
          <w:noProof/>
          <w:color w:val="000000" w:themeColor="text1"/>
          <w:sz w:val="24"/>
        </w:rPr>
        <w:t xml:space="preserve"> Projekty strategiczne mogą również być prowadzone</w:t>
      </w:r>
      <w:r w:rsidR="002F45D6" w:rsidRPr="002F45D6">
        <w:rPr>
          <w:rFonts w:ascii="Times New Roman" w:hAnsi="Times New Roman"/>
          <w:noProof/>
          <w:color w:val="000000" w:themeColor="text1"/>
          <w:sz w:val="24"/>
        </w:rPr>
        <w:t xml:space="preserve"> 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pań</w:t>
      </w:r>
      <w:r w:rsidRPr="002F45D6">
        <w:rPr>
          <w:rFonts w:ascii="Times New Roman" w:hAnsi="Times New Roman"/>
          <w:noProof/>
          <w:color w:val="000000" w:themeColor="text1"/>
          <w:sz w:val="24"/>
        </w:rPr>
        <w:t xml:space="preserve">stwach trzecich. </w:t>
      </w:r>
    </w:p>
    <w:p w14:paraId="381DA967" w14:textId="625B8703" w:rsidR="000918E4" w:rsidRPr="002F45D6" w:rsidRDefault="000918E4" w:rsidP="000918E4">
      <w:pPr>
        <w:spacing w:before="120"/>
        <w:jc w:val="both"/>
        <w:rPr>
          <w:rFonts w:ascii="Times New Roman" w:hAnsi="Times New Roman"/>
          <w:noProof/>
          <w:sz w:val="24"/>
        </w:rPr>
      </w:pPr>
      <w:r w:rsidRPr="002F45D6">
        <w:rPr>
          <w:rFonts w:ascii="Times New Roman" w:hAnsi="Times New Roman"/>
          <w:noProof/>
          <w:sz w:val="24"/>
        </w:rPr>
        <w:t>Niektóre państwa członkowskie dokonały już przeglądu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mod</w:t>
      </w:r>
      <w:r w:rsidRPr="002F45D6">
        <w:rPr>
          <w:rFonts w:ascii="Times New Roman" w:hAnsi="Times New Roman"/>
          <w:noProof/>
          <w:sz w:val="24"/>
        </w:rPr>
        <w:t xml:space="preserve">ernizacji swoich </w:t>
      </w:r>
      <w:r w:rsidRPr="002F45D6">
        <w:rPr>
          <w:rFonts w:ascii="Times New Roman" w:hAnsi="Times New Roman"/>
          <w:b/>
          <w:noProof/>
          <w:sz w:val="24"/>
        </w:rPr>
        <w:t>ram dotyczących wydawania pozwoleń</w:t>
      </w:r>
      <w:r w:rsidRPr="002F45D6">
        <w:rPr>
          <w:rFonts w:ascii="Times New Roman" w:hAnsi="Times New Roman"/>
          <w:noProof/>
          <w:sz w:val="24"/>
        </w:rPr>
        <w:t>, surowców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gór</w:t>
      </w:r>
      <w:r w:rsidRPr="002F45D6">
        <w:rPr>
          <w:rFonts w:ascii="Times New Roman" w:hAnsi="Times New Roman"/>
          <w:noProof/>
          <w:sz w:val="24"/>
        </w:rPr>
        <w:t>nictwa. Komisja zachęca wszystkie państwa członkowskie do oceny, czy ich ramy krajowe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reg</w:t>
      </w:r>
      <w:r w:rsidRPr="002F45D6">
        <w:rPr>
          <w:rFonts w:ascii="Times New Roman" w:hAnsi="Times New Roman"/>
          <w:noProof/>
          <w:sz w:val="24"/>
        </w:rPr>
        <w:t>ionalne wymagają aktualizacji, aby wspierać bezpieczny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wnoważony łańcuch wartości surowców krytycznych. Państwa członkowskie zachęca się również do usprawnienia procedury zezwoleń dla innych niż strategiczne projektów dotyczących surowców krytycznych. Wzywa się również państwa członkowskie do przyjęcia krajowych programów mających na celu poprawę obiegu zamkniętego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cuchach wartości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przez odzyskiwanie surowców krytycznych</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odp</w:t>
      </w:r>
      <w:r w:rsidRPr="002F45D6">
        <w:rPr>
          <w:rFonts w:ascii="Times New Roman" w:hAnsi="Times New Roman"/>
          <w:noProof/>
          <w:sz w:val="24"/>
        </w:rPr>
        <w:t>adów wydobywczych.</w:t>
      </w:r>
    </w:p>
    <w:p w14:paraId="253F5205" w14:textId="3008DD4E" w:rsidR="003665D8" w:rsidRPr="002F45D6" w:rsidRDefault="00E80054" w:rsidP="00E80054">
      <w:pPr>
        <w:spacing w:before="120"/>
        <w:jc w:val="both"/>
        <w:rPr>
          <w:rFonts w:ascii="Times New Roman" w:hAnsi="Times New Roman" w:cs="Times New Roman"/>
          <w:noProof/>
          <w:sz w:val="24"/>
          <w:szCs w:val="24"/>
        </w:rPr>
      </w:pPr>
      <w:r w:rsidRPr="002F45D6">
        <w:rPr>
          <w:rFonts w:ascii="Times New Roman" w:hAnsi="Times New Roman"/>
          <w:noProof/>
          <w:sz w:val="24"/>
        </w:rPr>
        <w:t xml:space="preserve">Państwa członkowskie mogą również prowadzić działania polegające na </w:t>
      </w:r>
      <w:r w:rsidRPr="002F45D6">
        <w:rPr>
          <w:rFonts w:ascii="Times New Roman" w:hAnsi="Times New Roman"/>
          <w:b/>
          <w:noProof/>
          <w:sz w:val="24"/>
        </w:rPr>
        <w:t>podnoszeniu kwalifikacji</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szk</w:t>
      </w:r>
      <w:r w:rsidRPr="002F45D6">
        <w:rPr>
          <w:rFonts w:ascii="Times New Roman" w:hAnsi="Times New Roman"/>
          <w:b/>
          <w:noProof/>
          <w:sz w:val="24"/>
        </w:rPr>
        <w:t>oleniu personelu administracyjnego</w:t>
      </w:r>
      <w:r w:rsidRPr="002F45D6">
        <w:rPr>
          <w:rFonts w:ascii="Times New Roman" w:hAnsi="Times New Roman"/>
          <w:noProof/>
          <w:sz w:val="24"/>
        </w:rPr>
        <w:t xml:space="preserve"> na potrzeby usprawniania procedur wydawania pozwoleń, wykorzystując przy tym możliwości wsparcia z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zdolności administracyjnych, takie jak Instrument Wsparcia Technicznego</w:t>
      </w:r>
      <w:r w:rsidRPr="002F45D6">
        <w:rPr>
          <w:rStyle w:val="FootnoteReference"/>
          <w:rFonts w:ascii="Times New Roman" w:hAnsi="Times New Roman" w:cs="Times New Roman"/>
          <w:noProof/>
          <w:sz w:val="24"/>
          <w:szCs w:val="24"/>
        </w:rPr>
        <w:footnoteReference w:id="10"/>
      </w:r>
      <w:r w:rsidRPr="002F45D6">
        <w:rPr>
          <w:rFonts w:ascii="Times New Roman" w:hAnsi="Times New Roman"/>
          <w:noProof/>
          <w:sz w:val="24"/>
        </w:rPr>
        <w:t>. Rozważyć można również inne środki służące poprawie zdolności administracyjnych, takie jak narzędzia cyfrowe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usp</w:t>
      </w:r>
      <w:r w:rsidRPr="002F45D6">
        <w:rPr>
          <w:rFonts w:ascii="Times New Roman" w:hAnsi="Times New Roman"/>
          <w:noProof/>
          <w:sz w:val="24"/>
        </w:rPr>
        <w:t>rawnienie przepływu zadań. Państwa członkowskie mogłyby rozważyć utworzenie dobrowolnych platform dla organów wydających pozwolenia, które służyłyby ułatwieniu wymiany informacji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naj</w:t>
      </w:r>
      <w:r w:rsidRPr="002F45D6">
        <w:rPr>
          <w:rFonts w:ascii="Times New Roman" w:hAnsi="Times New Roman"/>
          <w:noProof/>
          <w:sz w:val="24"/>
        </w:rPr>
        <w:t xml:space="preserve">lepszych praktykach lub wsparciu technicznemu. </w:t>
      </w:r>
    </w:p>
    <w:p w14:paraId="47CBA7C5" w14:textId="588B8871" w:rsidR="00E80054" w:rsidRPr="002F45D6" w:rsidRDefault="00BF70E6" w:rsidP="000918E4">
      <w:pPr>
        <w:spacing w:before="120"/>
        <w:jc w:val="both"/>
        <w:rPr>
          <w:rFonts w:ascii="Times New Roman" w:hAnsi="Times New Roman" w:cs="Times New Roman"/>
          <w:noProof/>
          <w:sz w:val="24"/>
          <w:szCs w:val="24"/>
        </w:rPr>
      </w:pPr>
      <w:r w:rsidRPr="002F45D6">
        <w:rPr>
          <w:rFonts w:ascii="Times New Roman" w:hAnsi="Times New Roman"/>
          <w:noProof/>
          <w:sz w:val="24"/>
        </w:rPr>
        <w:t>Konieczne są dalsze wysiłki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 xml:space="preserve">u rozwiązania problemów związanych ze </w:t>
      </w:r>
      <w:r w:rsidRPr="002F45D6">
        <w:rPr>
          <w:rFonts w:ascii="Times New Roman" w:hAnsi="Times New Roman"/>
          <w:b/>
          <w:noProof/>
          <w:sz w:val="24"/>
        </w:rPr>
        <w:t>świadomością</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akc</w:t>
      </w:r>
      <w:r w:rsidRPr="002F45D6">
        <w:rPr>
          <w:rFonts w:ascii="Times New Roman" w:hAnsi="Times New Roman"/>
          <w:b/>
          <w:noProof/>
          <w:sz w:val="24"/>
        </w:rPr>
        <w:t>eptacją społeczną</w:t>
      </w:r>
      <w:r w:rsidRPr="002F45D6">
        <w:rPr>
          <w:rFonts w:ascii="Times New Roman" w:hAnsi="Times New Roman"/>
          <w:noProof/>
          <w:sz w:val="24"/>
        </w:rPr>
        <w:t>. Skuteczne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kom</w:t>
      </w:r>
      <w:r w:rsidRPr="002F45D6">
        <w:rPr>
          <w:rFonts w:ascii="Times New Roman" w:hAnsi="Times New Roman"/>
          <w:noProof/>
          <w:sz w:val="24"/>
        </w:rPr>
        <w:t>pleksowe procesy konsultacji społecznych oraz przejrzysta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cią</w:t>
      </w:r>
      <w:r w:rsidRPr="002F45D6">
        <w:rPr>
          <w:rFonts w:ascii="Times New Roman" w:hAnsi="Times New Roman"/>
          <w:noProof/>
          <w:sz w:val="24"/>
        </w:rPr>
        <w:t>gła komunikacja</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zai</w:t>
      </w:r>
      <w:r w:rsidRPr="002F45D6">
        <w:rPr>
          <w:rFonts w:ascii="Times New Roman" w:hAnsi="Times New Roman"/>
          <w:noProof/>
          <w:sz w:val="24"/>
        </w:rPr>
        <w:t>nteresowanymi stronami,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sto</w:t>
      </w:r>
      <w:r w:rsidRPr="002F45D6">
        <w:rPr>
          <w:rFonts w:ascii="Times New Roman" w:hAnsi="Times New Roman"/>
          <w:noProof/>
          <w:sz w:val="24"/>
        </w:rPr>
        <w:t>sownych przypadkach również</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lud</w:t>
      </w:r>
      <w:r w:rsidRPr="002F45D6">
        <w:rPr>
          <w:rFonts w:ascii="Times New Roman" w:hAnsi="Times New Roman"/>
          <w:noProof/>
          <w:sz w:val="24"/>
        </w:rPr>
        <w:t>nością rdzenną</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w:t>
      </w:r>
      <w:r w:rsidR="002F45D6">
        <w:rPr>
          <w:rFonts w:ascii="Times New Roman" w:hAnsi="Times New Roman"/>
          <w:noProof/>
          <w:sz w:val="24"/>
        </w:rPr>
        <w:t> </w:t>
      </w:r>
      <w:r w:rsidR="002F45D6" w:rsidRPr="002F45D6">
        <w:rPr>
          <w:rFonts w:ascii="Times New Roman" w:hAnsi="Times New Roman"/>
          <w:noProof/>
          <w:sz w:val="24"/>
        </w:rPr>
        <w:t>ogó</w:t>
      </w:r>
      <w:r w:rsidRPr="002F45D6">
        <w:rPr>
          <w:rFonts w:ascii="Times New Roman" w:hAnsi="Times New Roman"/>
          <w:noProof/>
          <w:sz w:val="24"/>
        </w:rPr>
        <w:t>łem społeczeństwa, mogą przyczynić się do sprostania tym wyzwaniom.</w:t>
      </w:r>
    </w:p>
    <w:p w14:paraId="592F2EB9" w14:textId="4C2A13EA" w:rsidR="00D73638" w:rsidRPr="002F45D6" w:rsidRDefault="00B60672" w:rsidP="00D73638">
      <w:pPr>
        <w:spacing w:line="257" w:lineRule="auto"/>
        <w:jc w:val="both"/>
        <w:rPr>
          <w:rFonts w:ascii="Times New Roman" w:eastAsia="Times New Roman" w:hAnsi="Times New Roman" w:cs="Times New Roman"/>
          <w:noProof/>
          <w:color w:val="000000" w:themeColor="text1"/>
          <w:sz w:val="24"/>
          <w:szCs w:val="24"/>
        </w:rPr>
      </w:pPr>
      <w:r w:rsidRPr="002F45D6">
        <w:rPr>
          <w:rFonts w:ascii="Times New Roman" w:hAnsi="Times New Roman"/>
          <w:noProof/>
          <w:color w:val="000000" w:themeColor="text1"/>
          <w:sz w:val="24"/>
        </w:rPr>
        <w:t xml:space="preserve">Rozporządzenie ustanawia również mechanizm koordynacji </w:t>
      </w:r>
      <w:r w:rsidRPr="002F45D6">
        <w:rPr>
          <w:rFonts w:ascii="Times New Roman" w:hAnsi="Times New Roman"/>
          <w:b/>
          <w:noProof/>
          <w:color w:val="000000" w:themeColor="text1"/>
          <w:sz w:val="24"/>
        </w:rPr>
        <w:t>monitorowania</w:t>
      </w:r>
      <w:r w:rsidRPr="002F45D6">
        <w:rPr>
          <w:rFonts w:ascii="Times New Roman" w:hAnsi="Times New Roman"/>
          <w:noProof/>
          <w:color w:val="000000" w:themeColor="text1"/>
          <w:sz w:val="24"/>
        </w:rPr>
        <w:t xml:space="preserve"> łańcuchów dostaw surowców krytycznych. Komisja wraz</w:t>
      </w:r>
      <w:r w:rsidR="002F45D6" w:rsidRPr="002F45D6">
        <w:rPr>
          <w:rFonts w:ascii="Times New Roman" w:hAnsi="Times New Roman"/>
          <w:noProof/>
          <w:color w:val="000000" w:themeColor="text1"/>
          <w:sz w:val="24"/>
        </w:rPr>
        <w:t xml:space="preserve"> z</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pań</w:t>
      </w:r>
      <w:r w:rsidRPr="002F45D6">
        <w:rPr>
          <w:rFonts w:ascii="Times New Roman" w:hAnsi="Times New Roman"/>
          <w:noProof/>
          <w:color w:val="000000" w:themeColor="text1"/>
          <w:sz w:val="24"/>
        </w:rPr>
        <w:t xml:space="preserve">stwami członkowskimi przeprowadzi </w:t>
      </w:r>
      <w:r w:rsidRPr="002F45D6">
        <w:rPr>
          <w:rFonts w:ascii="Times New Roman" w:hAnsi="Times New Roman"/>
          <w:b/>
          <w:noProof/>
          <w:color w:val="000000" w:themeColor="text1"/>
          <w:sz w:val="24"/>
        </w:rPr>
        <w:t>testy warunków skrajnych</w:t>
      </w:r>
      <w:r w:rsidRPr="002F45D6">
        <w:rPr>
          <w:rFonts w:ascii="Times New Roman" w:hAnsi="Times New Roman"/>
          <w:noProof/>
          <w:color w:val="000000" w:themeColor="text1"/>
          <w:sz w:val="24"/>
        </w:rPr>
        <w:t xml:space="preserve"> dotyczące strategicznych łańcuchów dostaw surowców. </w:t>
      </w:r>
    </w:p>
    <w:p w14:paraId="02206440" w14:textId="55038D60" w:rsidR="00D73638" w:rsidRPr="002F45D6" w:rsidRDefault="00D73638" w:rsidP="00D73638">
      <w:pPr>
        <w:spacing w:line="257" w:lineRule="auto"/>
        <w:jc w:val="both"/>
        <w:rPr>
          <w:rFonts w:ascii="Times New Roman" w:eastAsia="Times New Roman" w:hAnsi="Times New Roman" w:cs="Times New Roman"/>
          <w:noProof/>
          <w:color w:val="000000" w:themeColor="text1"/>
          <w:sz w:val="24"/>
          <w:szCs w:val="24"/>
        </w:rPr>
      </w:pPr>
      <w:r w:rsidRPr="002F45D6">
        <w:rPr>
          <w:rFonts w:ascii="Times New Roman" w:hAnsi="Times New Roman"/>
          <w:noProof/>
          <w:color w:val="000000" w:themeColor="text1"/>
          <w:sz w:val="24"/>
        </w:rPr>
        <w:t xml:space="preserve">W rozporządzeniu przewidziano środki mające </w:t>
      </w:r>
      <w:r w:rsidRPr="002F45D6">
        <w:rPr>
          <w:rFonts w:ascii="Times New Roman" w:hAnsi="Times New Roman"/>
          <w:b/>
          <w:noProof/>
          <w:color w:val="000000" w:themeColor="text1"/>
          <w:sz w:val="24"/>
        </w:rPr>
        <w:t>ograniczyć ryzyko dotyczące dostaw</w:t>
      </w:r>
      <w:r w:rsidRPr="002F45D6">
        <w:rPr>
          <w:rFonts w:ascii="Times New Roman" w:hAnsi="Times New Roman"/>
          <w:noProof/>
          <w:color w:val="000000" w:themeColor="text1"/>
          <w:sz w:val="24"/>
        </w:rPr>
        <w:t>, które mogłoby mieć wpływ na prawidłowe funkcjonowanie jednolitego rynku,</w:t>
      </w:r>
      <w:r w:rsidR="002F45D6" w:rsidRPr="002F45D6">
        <w:rPr>
          <w:rFonts w:ascii="Times New Roman" w:hAnsi="Times New Roman"/>
          <w:noProof/>
          <w:color w:val="000000" w:themeColor="text1"/>
          <w:sz w:val="24"/>
        </w:rPr>
        <w:t xml:space="preserve"> w</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tym</w:t>
      </w:r>
      <w:r w:rsidRPr="002F45D6">
        <w:rPr>
          <w:rFonts w:ascii="Times New Roman" w:hAnsi="Times New Roman"/>
          <w:noProof/>
          <w:color w:val="000000" w:themeColor="text1"/>
          <w:sz w:val="24"/>
        </w:rPr>
        <w:t xml:space="preserve"> przez koordynację </w:t>
      </w:r>
      <w:r w:rsidRPr="002F45D6">
        <w:rPr>
          <w:rFonts w:ascii="Times New Roman" w:hAnsi="Times New Roman"/>
          <w:b/>
          <w:noProof/>
          <w:color w:val="000000" w:themeColor="text1"/>
          <w:sz w:val="24"/>
        </w:rPr>
        <w:t>strategicznych zapasów surowców strategicznych</w:t>
      </w:r>
      <w:r w:rsidR="002F45D6" w:rsidRPr="002F45D6">
        <w:rPr>
          <w:rFonts w:ascii="Times New Roman" w:hAnsi="Times New Roman"/>
          <w:noProof/>
          <w:color w:val="000000" w:themeColor="text1"/>
          <w:sz w:val="24"/>
        </w:rPr>
        <w:t xml:space="preserve"> i</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uła</w:t>
      </w:r>
      <w:r w:rsidRPr="002F45D6">
        <w:rPr>
          <w:rFonts w:ascii="Times New Roman" w:hAnsi="Times New Roman"/>
          <w:noProof/>
          <w:color w:val="000000" w:themeColor="text1"/>
          <w:sz w:val="24"/>
        </w:rPr>
        <w:t>twienia dla unijnych przedsiębiorstw, na przykład wspólne zakupy surowców strategicznych. Proces ten będzie ściśle skoordynowany</w:t>
      </w:r>
      <w:r w:rsidR="002F45D6" w:rsidRPr="002F45D6">
        <w:rPr>
          <w:rFonts w:ascii="Times New Roman" w:hAnsi="Times New Roman"/>
          <w:noProof/>
          <w:color w:val="000000" w:themeColor="text1"/>
          <w:sz w:val="24"/>
        </w:rPr>
        <w:t xml:space="preserve"> z</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ana</w:t>
      </w:r>
      <w:r w:rsidRPr="002F45D6">
        <w:rPr>
          <w:rFonts w:ascii="Times New Roman" w:hAnsi="Times New Roman"/>
          <w:noProof/>
          <w:color w:val="000000" w:themeColor="text1"/>
          <w:sz w:val="24"/>
        </w:rPr>
        <w:t>lizami prognostycznymi</w:t>
      </w:r>
      <w:r w:rsidR="002F45D6" w:rsidRPr="002F45D6">
        <w:rPr>
          <w:rFonts w:ascii="Times New Roman" w:hAnsi="Times New Roman"/>
          <w:noProof/>
          <w:color w:val="000000" w:themeColor="text1"/>
          <w:sz w:val="24"/>
        </w:rPr>
        <w:t xml:space="preserve"> i</w:t>
      </w:r>
      <w:r w:rsidR="002F45D6">
        <w:rPr>
          <w:rFonts w:ascii="Times New Roman" w:hAnsi="Times New Roman"/>
          <w:noProof/>
          <w:color w:val="000000" w:themeColor="text1"/>
          <w:sz w:val="24"/>
        </w:rPr>
        <w:t> </w:t>
      </w:r>
      <w:r w:rsidR="002F45D6" w:rsidRPr="002F45D6">
        <w:rPr>
          <w:rFonts w:ascii="Times New Roman" w:hAnsi="Times New Roman"/>
          <w:noProof/>
          <w:color w:val="000000" w:themeColor="text1"/>
          <w:sz w:val="24"/>
        </w:rPr>
        <w:t>szc</w:t>
      </w:r>
      <w:r w:rsidRPr="002F45D6">
        <w:rPr>
          <w:rFonts w:ascii="Times New Roman" w:hAnsi="Times New Roman"/>
          <w:noProof/>
          <w:color w:val="000000" w:themeColor="text1"/>
          <w:sz w:val="24"/>
        </w:rPr>
        <w:t>zegółowymi ocenami łańcucha dostaw technologii przeprowadzanymi przez Komisję.</w:t>
      </w:r>
    </w:p>
    <w:p w14:paraId="58CFCD40" w14:textId="3599DA7B" w:rsidR="00BF70E6" w:rsidRPr="002F45D6" w:rsidRDefault="00D73638" w:rsidP="00AD3D56">
      <w:pPr>
        <w:jc w:val="both"/>
        <w:rPr>
          <w:rFonts w:ascii="Times New Roman" w:hAnsi="Times New Roman"/>
          <w:noProof/>
          <w:u w:val="single"/>
        </w:rPr>
      </w:pPr>
      <w:r w:rsidRPr="002F45D6">
        <w:rPr>
          <w:rFonts w:ascii="Times New Roman" w:hAnsi="Times New Roman"/>
          <w:b/>
          <w:noProof/>
          <w:sz w:val="24"/>
        </w:rPr>
        <w:t>Rada</w:t>
      </w:r>
      <w:r w:rsidRPr="002F45D6">
        <w:rPr>
          <w:rFonts w:ascii="Times New Roman" w:hAnsi="Times New Roman"/>
          <w:noProof/>
          <w:sz w:val="24"/>
        </w:rPr>
        <w:t>, skupiająca najlepszą wiedzę fachową Komisji Europejskiej</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 członkowskich, będzie odpowiedzialna za analizę</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mon</w:t>
      </w:r>
      <w:r w:rsidRPr="002F45D6">
        <w:rPr>
          <w:rFonts w:ascii="Times New Roman" w:hAnsi="Times New Roman"/>
          <w:noProof/>
          <w:sz w:val="24"/>
        </w:rPr>
        <w:t>itorowanie rynków, ocenę ryzyka, doradztwo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strategii łagodzenia ryzyka, pomoc</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rea</w:t>
      </w:r>
      <w:r w:rsidRPr="002F45D6">
        <w:rPr>
          <w:rFonts w:ascii="Times New Roman" w:hAnsi="Times New Roman"/>
          <w:noProof/>
          <w:sz w:val="24"/>
        </w:rPr>
        <w:t>lizacji projektów strategicznych, ułatwianie gromadzenia zapasów strategicznych oraz okresowe omawianie partnerstw strategicznych.</w:t>
      </w:r>
      <w:bookmarkStart w:id="3" w:name="_Hlk125982187"/>
      <w:bookmarkStart w:id="4" w:name="_Hlk125982246"/>
    </w:p>
    <w:p w14:paraId="101BA0B6" w14:textId="14FA802F" w:rsidR="002E051C" w:rsidRPr="002F45D6" w:rsidRDefault="00096E23" w:rsidP="0034292C">
      <w:pPr>
        <w:spacing w:before="120"/>
        <w:jc w:val="both"/>
        <w:rPr>
          <w:rFonts w:ascii="Times New Roman" w:hAnsi="Times New Roman" w:cs="Times New Roman"/>
          <w:b/>
          <w:bCs/>
          <w:noProof/>
          <w:sz w:val="24"/>
        </w:rPr>
      </w:pPr>
      <w:bookmarkStart w:id="5" w:name="_Hlk128463673"/>
      <w:r w:rsidRPr="002F45D6">
        <w:rPr>
          <w:rFonts w:ascii="Times New Roman" w:hAnsi="Times New Roman"/>
          <w:b/>
          <w:noProof/>
          <w:sz w:val="24"/>
        </w:rPr>
        <w:t>II.2 Wsparcie finansowe</w:t>
      </w:r>
    </w:p>
    <w:p w14:paraId="19EB1DC2" w14:textId="0A7B0D63" w:rsidR="00C84D70" w:rsidRPr="002F45D6" w:rsidRDefault="00C84D70" w:rsidP="00C84D70">
      <w:pPr>
        <w:spacing w:before="120"/>
        <w:jc w:val="both"/>
        <w:rPr>
          <w:rFonts w:ascii="Times New Roman" w:hAnsi="Times New Roman" w:cs="Times New Roman"/>
          <w:noProof/>
          <w:sz w:val="24"/>
          <w:szCs w:val="24"/>
        </w:rPr>
      </w:pPr>
      <w:bookmarkStart w:id="6" w:name="_Hlk128560998"/>
      <w:bookmarkStart w:id="7" w:name="_Hlk128121587"/>
      <w:r w:rsidRPr="002F45D6">
        <w:rPr>
          <w:rFonts w:ascii="Times New Roman" w:hAnsi="Times New Roman"/>
          <w:noProof/>
          <w:sz w:val="24"/>
        </w:rPr>
        <w:t xml:space="preserve">Projekty strategiczne będą również wymagały odpowiednich środków </w:t>
      </w:r>
      <w:r w:rsidRPr="002F45D6">
        <w:rPr>
          <w:rFonts w:ascii="Times New Roman" w:hAnsi="Times New Roman"/>
          <w:b/>
          <w:noProof/>
          <w:sz w:val="24"/>
        </w:rPr>
        <w:t>finansowych</w:t>
      </w:r>
      <w:r w:rsidRPr="002F45D6">
        <w:rPr>
          <w:rFonts w:ascii="Times New Roman" w:hAnsi="Times New Roman"/>
          <w:noProof/>
          <w:sz w:val="24"/>
        </w:rPr>
        <w:t>. Zgodnie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adami konkurencji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porządzeniu proponuje się, aby państwa członkowskie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Kom</w:t>
      </w:r>
      <w:r w:rsidRPr="002F45D6">
        <w:rPr>
          <w:rFonts w:ascii="Times New Roman" w:hAnsi="Times New Roman"/>
          <w:noProof/>
          <w:sz w:val="24"/>
        </w:rPr>
        <w:t>isja wspólnie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odp</w:t>
      </w:r>
      <w:r w:rsidRPr="002F45D6">
        <w:rPr>
          <w:rFonts w:ascii="Times New Roman" w:hAnsi="Times New Roman"/>
          <w:noProof/>
          <w:sz w:val="24"/>
        </w:rPr>
        <w:t>owiednimi instytucjami finansowymi omawiały prywatne źródła finansowania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wyk</w:t>
      </w:r>
      <w:r w:rsidRPr="002F45D6">
        <w:rPr>
          <w:rFonts w:ascii="Times New Roman" w:hAnsi="Times New Roman"/>
          <w:noProof/>
          <w:sz w:val="24"/>
        </w:rPr>
        <w:t>orzystanie istniejących instrumentów finansowych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fun</w:t>
      </w:r>
      <w:r w:rsidRPr="002F45D6">
        <w:rPr>
          <w:rFonts w:ascii="Times New Roman" w:hAnsi="Times New Roman"/>
          <w:noProof/>
          <w:sz w:val="24"/>
        </w:rPr>
        <w:t xml:space="preserve">duszy UE oraz ułatwiały zawieranie umów </w:t>
      </w:r>
      <w:r w:rsidRPr="002F45D6">
        <w:rPr>
          <w:rFonts w:ascii="Times New Roman" w:hAnsi="Times New Roman"/>
          <w:i/>
          <w:iCs/>
          <w:noProof/>
          <w:sz w:val="24"/>
        </w:rPr>
        <w:t>offtake</w:t>
      </w:r>
      <w:r w:rsidRPr="002F45D6">
        <w:rPr>
          <w:rFonts w:ascii="Times New Roman" w:hAnsi="Times New Roman"/>
          <w:noProof/>
          <w:sz w:val="24"/>
        </w:rPr>
        <w:t xml:space="preserve">. </w:t>
      </w:r>
    </w:p>
    <w:p w14:paraId="5CB0F501" w14:textId="5BC586C9" w:rsidR="00651C4A" w:rsidRPr="002F45D6" w:rsidRDefault="001C56BB" w:rsidP="00DB791B">
      <w:pPr>
        <w:spacing w:before="120"/>
        <w:jc w:val="both"/>
        <w:rPr>
          <w:rFonts w:ascii="Times New Roman" w:hAnsi="Times New Roman"/>
          <w:noProof/>
          <w:sz w:val="24"/>
        </w:rPr>
      </w:pPr>
      <w:r w:rsidRPr="002F45D6">
        <w:rPr>
          <w:rFonts w:ascii="Times New Roman" w:hAnsi="Times New Roman"/>
          <w:noProof/>
          <w:sz w:val="24"/>
        </w:rPr>
        <w:t>Komisja będzie współpracować</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par</w:t>
      </w:r>
      <w:r w:rsidRPr="002F45D6">
        <w:rPr>
          <w:rFonts w:ascii="Times New Roman" w:hAnsi="Times New Roman"/>
          <w:noProof/>
          <w:sz w:val="24"/>
        </w:rPr>
        <w:t xml:space="preserve">tnerami wykonawczymi </w:t>
      </w:r>
      <w:r w:rsidRPr="002F45D6">
        <w:rPr>
          <w:rFonts w:ascii="Times New Roman" w:hAnsi="Times New Roman"/>
          <w:b/>
          <w:noProof/>
          <w:sz w:val="24"/>
        </w:rPr>
        <w:t>InvestEU</w:t>
      </w:r>
      <w:r w:rsidRPr="002F45D6">
        <w:rPr>
          <w:rFonts w:ascii="Times New Roman" w:hAnsi="Times New Roman"/>
          <w:noProof/>
          <w:sz w:val="24"/>
        </w:rPr>
        <w:t>, poszukując sposobów na większe wsparcie dla inwestycji zgodnie ze wspólnymi celami określonymi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porządzeniu (UE) 2021/523</w:t>
      </w:r>
      <w:r w:rsidRPr="002F45D6">
        <w:rPr>
          <w:rFonts w:ascii="Times New Roman" w:hAnsi="Times New Roman" w:cs="Times New Roman"/>
          <w:noProof/>
          <w:sz w:val="24"/>
          <w:szCs w:val="24"/>
          <w:vertAlign w:val="superscript"/>
        </w:rPr>
        <w:footnoteReference w:id="11"/>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w:t>
      </w:r>
      <w:r w:rsidR="002F45D6">
        <w:rPr>
          <w:rFonts w:ascii="Times New Roman" w:hAnsi="Times New Roman"/>
          <w:noProof/>
          <w:sz w:val="24"/>
        </w:rPr>
        <w:t> </w:t>
      </w:r>
      <w:r w:rsidR="002F45D6" w:rsidRPr="002F45D6">
        <w:rPr>
          <w:rFonts w:ascii="Times New Roman" w:hAnsi="Times New Roman"/>
          <w:noProof/>
          <w:sz w:val="24"/>
        </w:rPr>
        <w:t>oma</w:t>
      </w:r>
      <w:r w:rsidRPr="002F45D6">
        <w:rPr>
          <w:rFonts w:ascii="Times New Roman" w:hAnsi="Times New Roman"/>
          <w:noProof/>
          <w:sz w:val="24"/>
        </w:rPr>
        <w:t>wianym rozporządzeniu, również przez tworzenie działań łączonych. Centrum Doradztwa InvestEU może pomóc</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ygotowaniu rentownych projektów. Kluczowe znaczenie mają prywatne inwestycje dokonywane przez przedsiębiorstwa, inwestorów finansowych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odb</w:t>
      </w:r>
      <w:r w:rsidRPr="002F45D6">
        <w:rPr>
          <w:rFonts w:ascii="Times New Roman" w:hAnsi="Times New Roman"/>
          <w:noProof/>
          <w:sz w:val="24"/>
        </w:rPr>
        <w:t>iorców.</w:t>
      </w:r>
      <w:bookmarkEnd w:id="6"/>
      <w:r w:rsidRPr="002F45D6">
        <w:rPr>
          <w:rFonts w:ascii="Times New Roman" w:hAnsi="Times New Roman"/>
          <w:noProof/>
          <w:sz w:val="24"/>
        </w:rPr>
        <w:t xml:space="preserve"> </w:t>
      </w:r>
    </w:p>
    <w:p w14:paraId="776E6704" w14:textId="073F2CDD" w:rsidR="00686640" w:rsidRPr="002F45D6" w:rsidRDefault="00403D3C" w:rsidP="00686640">
      <w:pPr>
        <w:spacing w:before="120"/>
        <w:jc w:val="both"/>
        <w:rPr>
          <w:rFonts w:ascii="Times New Roman" w:hAnsi="Times New Roman" w:cs="Times New Roman"/>
          <w:noProof/>
          <w:sz w:val="24"/>
          <w:szCs w:val="24"/>
        </w:rPr>
      </w:pPr>
      <w:r w:rsidRPr="002F45D6">
        <w:rPr>
          <w:rFonts w:ascii="Times New Roman" w:hAnsi="Times New Roman"/>
          <w:noProof/>
          <w:sz w:val="24"/>
        </w:rPr>
        <w:t xml:space="preserve">Na mocy </w:t>
      </w:r>
      <w:r w:rsidRPr="002F45D6">
        <w:rPr>
          <w:rFonts w:ascii="Times New Roman" w:hAnsi="Times New Roman"/>
          <w:b/>
          <w:noProof/>
          <w:sz w:val="24"/>
        </w:rPr>
        <w:t>rozporządzenia</w:t>
      </w:r>
      <w:r w:rsidR="002F45D6" w:rsidRPr="002F45D6">
        <w:rPr>
          <w:rFonts w:ascii="Times New Roman" w:hAnsi="Times New Roman"/>
          <w:b/>
          <w:noProof/>
          <w:sz w:val="24"/>
        </w:rPr>
        <w:t xml:space="preserve"> w</w:t>
      </w:r>
      <w:r w:rsidR="002F45D6">
        <w:rPr>
          <w:rFonts w:ascii="Times New Roman" w:hAnsi="Times New Roman"/>
          <w:b/>
          <w:noProof/>
          <w:sz w:val="24"/>
        </w:rPr>
        <w:t> </w:t>
      </w:r>
      <w:r w:rsidR="002F45D6" w:rsidRPr="002F45D6">
        <w:rPr>
          <w:rFonts w:ascii="Times New Roman" w:hAnsi="Times New Roman"/>
          <w:b/>
          <w:noProof/>
          <w:sz w:val="24"/>
        </w:rPr>
        <w:t>spr</w:t>
      </w:r>
      <w:r w:rsidRPr="002F45D6">
        <w:rPr>
          <w:rFonts w:ascii="Times New Roman" w:hAnsi="Times New Roman"/>
          <w:b/>
          <w:noProof/>
          <w:sz w:val="24"/>
        </w:rPr>
        <w:t>awie systematyki</w:t>
      </w:r>
      <w:r w:rsidRPr="002F45D6">
        <w:rPr>
          <w:rStyle w:val="FootnoteReference"/>
          <w:rFonts w:ascii="Times New Roman" w:hAnsi="Times New Roman" w:cs="Times New Roman"/>
          <w:noProof/>
          <w:sz w:val="24"/>
        </w:rPr>
        <w:footnoteReference w:id="12"/>
      </w:r>
      <w:r w:rsidRPr="002F45D6">
        <w:rPr>
          <w:rFonts w:ascii="Times New Roman" w:hAnsi="Times New Roman"/>
          <w:noProof/>
          <w:sz w:val="24"/>
        </w:rPr>
        <w:t xml:space="preserve"> Komisja jest uprawniona do sporządzenia wykazu rodzajów działalności zrównoważonej środowiskowo przez określenie technicznych kryteriów kwalifikacji dla każdego celu środowiskowego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dro</w:t>
      </w:r>
      <w:r w:rsidRPr="002F45D6">
        <w:rPr>
          <w:rFonts w:ascii="Times New Roman" w:hAnsi="Times New Roman"/>
          <w:noProof/>
          <w:sz w:val="24"/>
        </w:rPr>
        <w:t>dze aktów delegowanych</w:t>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działań następczych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zwi</w:t>
      </w:r>
      <w:r w:rsidRPr="002F45D6">
        <w:rPr>
          <w:rFonts w:ascii="Times New Roman" w:hAnsi="Times New Roman"/>
          <w:noProof/>
          <w:sz w:val="24"/>
        </w:rPr>
        <w:t>ązku</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pla</w:t>
      </w:r>
      <w:r w:rsidRPr="002F45D6">
        <w:rPr>
          <w:rFonts w:ascii="Times New Roman" w:hAnsi="Times New Roman"/>
          <w:noProof/>
          <w:sz w:val="24"/>
        </w:rPr>
        <w:t>nowanym aktem delegowanym dotyczącym środowiska, który obejmie recykling, Komisja zwróci się do platformy ds. zrównoważonego finansowania 2.0</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opr</w:t>
      </w:r>
      <w:r w:rsidRPr="002F45D6">
        <w:rPr>
          <w:rFonts w:ascii="Times New Roman" w:hAnsi="Times New Roman"/>
          <w:noProof/>
          <w:sz w:val="24"/>
        </w:rPr>
        <w:t>acowanie kryteriów systematyki dotyczących górnictwa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raf</w:t>
      </w:r>
      <w:r w:rsidRPr="002F45D6">
        <w:rPr>
          <w:rFonts w:ascii="Times New Roman" w:hAnsi="Times New Roman"/>
          <w:noProof/>
          <w:sz w:val="24"/>
        </w:rPr>
        <w:t>inacji,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opa</w:t>
      </w:r>
      <w:r w:rsidRPr="002F45D6">
        <w:rPr>
          <w:rFonts w:ascii="Times New Roman" w:hAnsi="Times New Roman"/>
          <w:noProof/>
          <w:sz w:val="24"/>
        </w:rPr>
        <w:t>rciu</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pra</w:t>
      </w:r>
      <w:r w:rsidRPr="002F45D6">
        <w:rPr>
          <w:rFonts w:ascii="Times New Roman" w:hAnsi="Times New Roman"/>
          <w:noProof/>
          <w:sz w:val="24"/>
        </w:rPr>
        <w:t>ce rozpoczęte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platformy 1.0; kryteria te zostaną następnie przeanalizowane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 xml:space="preserve">yjęte przez Komisję. </w:t>
      </w:r>
    </w:p>
    <w:bookmarkEnd w:id="7"/>
    <w:p w14:paraId="3B33E2C8" w14:textId="633EB29F" w:rsidR="0034292C" w:rsidRPr="002F45D6" w:rsidRDefault="00674B90" w:rsidP="00D9445A">
      <w:pPr>
        <w:spacing w:before="120"/>
        <w:jc w:val="both"/>
        <w:rPr>
          <w:rFonts w:ascii="Times New Roman" w:hAnsi="Times New Roman"/>
          <w:noProof/>
          <w:sz w:val="24"/>
        </w:rPr>
      </w:pPr>
      <w:r w:rsidRPr="002F45D6">
        <w:rPr>
          <w:rFonts w:ascii="Times New Roman" w:hAnsi="Times New Roman"/>
          <w:noProof/>
          <w:sz w:val="24"/>
        </w:rPr>
        <w:t>Samo finansowanie prywatne może nie być wystarczające – skuteczne wdrożenie projektów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cał</w:t>
      </w:r>
      <w:r w:rsidRPr="002F45D6">
        <w:rPr>
          <w:rFonts w:ascii="Times New Roman" w:hAnsi="Times New Roman"/>
          <w:noProof/>
          <w:sz w:val="24"/>
        </w:rPr>
        <w:t>ym łańcuchu wartości surowców krytycznych może wymagać wsparcia publicznego, również</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for</w:t>
      </w:r>
      <w:r w:rsidRPr="002F45D6">
        <w:rPr>
          <w:rFonts w:ascii="Times New Roman" w:hAnsi="Times New Roman"/>
          <w:noProof/>
          <w:sz w:val="24"/>
        </w:rPr>
        <w:t xml:space="preserve">mie </w:t>
      </w:r>
      <w:r w:rsidRPr="002F45D6">
        <w:rPr>
          <w:rFonts w:ascii="Times New Roman" w:hAnsi="Times New Roman"/>
          <w:b/>
          <w:noProof/>
          <w:sz w:val="24"/>
        </w:rPr>
        <w:t>pomocy państwa</w:t>
      </w:r>
      <w:r w:rsidRPr="002F45D6">
        <w:rPr>
          <w:rFonts w:ascii="Times New Roman" w:hAnsi="Times New Roman"/>
          <w:noProof/>
          <w:sz w:val="24"/>
        </w:rPr>
        <w:t>. Jeśli chodzi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oby krajowe, ramy pomocy państwa zapewniają szerokie możliwości przyciągnięcia inwestycji prywatnych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sku</w:t>
      </w:r>
      <w:r w:rsidRPr="002F45D6">
        <w:rPr>
          <w:rFonts w:ascii="Times New Roman" w:hAnsi="Times New Roman"/>
          <w:noProof/>
          <w:sz w:val="24"/>
        </w:rPr>
        <w:t>tecznego wdrożenia projektów dotyczących surowców krytycznych. Ponadto Komisja dostosowała niedawno zasady pomocy państwa, który mają dać państwom członkowskim większą elastyczność</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yznawaniu pomocy,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 w</w:t>
      </w:r>
      <w:r w:rsidR="002F45D6">
        <w:rPr>
          <w:rFonts w:ascii="Times New Roman" w:hAnsi="Times New Roman"/>
          <w:noProof/>
          <w:sz w:val="24"/>
        </w:rPr>
        <w:t> </w:t>
      </w:r>
      <w:r w:rsidR="002F45D6" w:rsidRPr="002F45D6">
        <w:rPr>
          <w:rFonts w:ascii="Times New Roman" w:hAnsi="Times New Roman"/>
          <w:noProof/>
          <w:sz w:val="24"/>
        </w:rPr>
        <w:t>odn</w:t>
      </w:r>
      <w:r w:rsidRPr="002F45D6">
        <w:rPr>
          <w:rFonts w:ascii="Times New Roman" w:hAnsi="Times New Roman"/>
          <w:noProof/>
          <w:sz w:val="24"/>
        </w:rPr>
        <w:t>iesieniu do produkcji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rec</w:t>
      </w:r>
      <w:r w:rsidRPr="002F45D6">
        <w:rPr>
          <w:rFonts w:ascii="Times New Roman" w:hAnsi="Times New Roman"/>
          <w:noProof/>
          <w:sz w:val="24"/>
        </w:rPr>
        <w:t>yklingu surowców krytycznych związanych</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naj</w:t>
      </w:r>
      <w:r w:rsidRPr="002F45D6">
        <w:rPr>
          <w:rFonts w:ascii="Times New Roman" w:hAnsi="Times New Roman"/>
          <w:noProof/>
          <w:sz w:val="24"/>
        </w:rPr>
        <w:t>ważniejszymi technologiami neutralnymi emisyjnie. Celem jest dalsze przyspieszenie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upr</w:t>
      </w:r>
      <w:r w:rsidRPr="002F45D6">
        <w:rPr>
          <w:rFonts w:ascii="Times New Roman" w:hAnsi="Times New Roman"/>
          <w:noProof/>
          <w:sz w:val="24"/>
        </w:rPr>
        <w:t>oszczenie procesu przez ułatwienie obliczeń, uproszczenie procedur</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yspieszenie zatwierdzania pomocy, przy jednoczesnym ograniczeniu zakłóceń na jednolitym rynku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zac</w:t>
      </w:r>
      <w:r w:rsidRPr="002F45D6">
        <w:rPr>
          <w:rFonts w:ascii="Times New Roman" w:hAnsi="Times New Roman"/>
          <w:noProof/>
          <w:sz w:val="24"/>
        </w:rPr>
        <w:t xml:space="preserve">howaniu celów spójności. </w:t>
      </w:r>
    </w:p>
    <w:bookmarkEnd w:id="3"/>
    <w:bookmarkEnd w:id="4"/>
    <w:bookmarkEnd w:id="5"/>
    <w:p w14:paraId="31A805FF" w14:textId="77777777" w:rsidR="000F68FD" w:rsidRPr="002F45D6" w:rsidRDefault="000F68FD" w:rsidP="000F68FD">
      <w:pPr>
        <w:rPr>
          <w:rFonts w:ascii="Times New Roman" w:hAnsi="Times New Roman" w:cs="Times New Roman"/>
          <w:i/>
          <w:iCs/>
          <w:noProof/>
          <w:sz w:val="24"/>
          <w:szCs w:val="24"/>
        </w:rPr>
      </w:pPr>
      <w:r w:rsidRPr="002F45D6">
        <w:rPr>
          <w:rFonts w:ascii="Times New Roman" w:hAnsi="Times New Roman"/>
          <w:i/>
          <w:noProof/>
          <w:sz w:val="24"/>
        </w:rPr>
        <w:t xml:space="preserve">Komisja: </w:t>
      </w:r>
    </w:p>
    <w:p w14:paraId="15FAD6B0" w14:textId="7BBEDB9D" w:rsidR="000F68FD" w:rsidRPr="002F45D6" w:rsidRDefault="000F68FD" w:rsidP="00084C5F">
      <w:pPr>
        <w:pStyle w:val="ListParagraph"/>
        <w:numPr>
          <w:ilvl w:val="0"/>
          <w:numId w:val="64"/>
        </w:numPr>
        <w:spacing w:after="240" w:line="240" w:lineRule="auto"/>
        <w:jc w:val="both"/>
        <w:rPr>
          <w:rFonts w:ascii="Times New Roman" w:hAnsi="Times New Roman" w:cs="Times New Roman"/>
          <w:i/>
          <w:iCs/>
          <w:noProof/>
          <w:sz w:val="24"/>
          <w:szCs w:val="24"/>
        </w:rPr>
      </w:pPr>
      <w:r w:rsidRPr="002F45D6">
        <w:rPr>
          <w:rFonts w:ascii="Times New Roman" w:hAnsi="Times New Roman"/>
          <w:i/>
          <w:noProof/>
          <w:sz w:val="24"/>
        </w:rPr>
        <w:t>będzie współpracować z EBI</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inn</w:t>
      </w:r>
      <w:r w:rsidRPr="002F45D6">
        <w:rPr>
          <w:rFonts w:ascii="Times New Roman" w:hAnsi="Times New Roman"/>
          <w:i/>
          <w:noProof/>
          <w:sz w:val="24"/>
        </w:rPr>
        <w:t>ymi partnerami wykonawczymi InvestEU</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opracowania sposobów na zwiększenie wsparcia dla inwestycji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łań</w:t>
      </w:r>
      <w:r w:rsidRPr="002F45D6">
        <w:rPr>
          <w:rFonts w:ascii="Times New Roman" w:hAnsi="Times New Roman"/>
          <w:i/>
          <w:noProof/>
          <w:sz w:val="24"/>
        </w:rPr>
        <w:t>cuchy dostaw surowców krytycznych,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tym</w:t>
      </w:r>
      <w:r w:rsidRPr="002F45D6">
        <w:rPr>
          <w:rFonts w:ascii="Times New Roman" w:hAnsi="Times New Roman"/>
          <w:i/>
          <w:noProof/>
          <w:sz w:val="24"/>
        </w:rPr>
        <w:t xml:space="preserve"> przez tworzenie działań łączonych, zachęcanie ich do rozwoju własnych kompetencji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wspierania finansowania inwestycji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sur</w:t>
      </w:r>
      <w:r w:rsidRPr="002F45D6">
        <w:rPr>
          <w:rFonts w:ascii="Times New Roman" w:hAnsi="Times New Roman"/>
          <w:i/>
          <w:noProof/>
          <w:sz w:val="24"/>
        </w:rPr>
        <w:t>owce oraz przeprowadzania ocen barier inwestycyjnych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sek</w:t>
      </w:r>
      <w:r w:rsidRPr="002F45D6">
        <w:rPr>
          <w:rFonts w:ascii="Times New Roman" w:hAnsi="Times New Roman"/>
          <w:i/>
          <w:noProof/>
          <w:sz w:val="24"/>
        </w:rPr>
        <w:t>torze,</w:t>
      </w:r>
    </w:p>
    <w:p w14:paraId="530AE99D" w14:textId="36775DAE" w:rsidR="000F68FD" w:rsidRPr="002F45D6" w:rsidRDefault="000F68FD" w:rsidP="000F68FD">
      <w:pPr>
        <w:pStyle w:val="ListParagraph"/>
        <w:numPr>
          <w:ilvl w:val="0"/>
          <w:numId w:val="64"/>
        </w:numPr>
        <w:spacing w:after="240" w:line="240" w:lineRule="auto"/>
        <w:jc w:val="both"/>
        <w:rPr>
          <w:rFonts w:ascii="Times New Roman" w:hAnsi="Times New Roman" w:cs="Times New Roman"/>
          <w:i/>
          <w:iCs/>
          <w:noProof/>
          <w:sz w:val="24"/>
          <w:szCs w:val="24"/>
        </w:rPr>
      </w:pPr>
      <w:r w:rsidRPr="002F45D6">
        <w:rPr>
          <w:rFonts w:ascii="Times New Roman" w:hAnsi="Times New Roman"/>
          <w:i/>
          <w:noProof/>
          <w:sz w:val="24"/>
        </w:rPr>
        <w:t>zwróci się do platformy ds. zrównoważonego finansowania 2.0</w:t>
      </w:r>
      <w:r w:rsidR="002F45D6" w:rsidRPr="002F45D6">
        <w:rPr>
          <w:rFonts w:ascii="Times New Roman" w:hAnsi="Times New Roman"/>
          <w:i/>
          <w:noProof/>
          <w:sz w:val="24"/>
        </w:rPr>
        <w:t xml:space="preserve"> o</w:t>
      </w:r>
      <w:r w:rsidR="002F45D6">
        <w:rPr>
          <w:rFonts w:ascii="Times New Roman" w:hAnsi="Times New Roman"/>
          <w:i/>
          <w:noProof/>
          <w:sz w:val="24"/>
        </w:rPr>
        <w:t> </w:t>
      </w:r>
      <w:r w:rsidR="002F45D6" w:rsidRPr="002F45D6">
        <w:rPr>
          <w:rFonts w:ascii="Times New Roman" w:hAnsi="Times New Roman"/>
          <w:i/>
          <w:noProof/>
          <w:sz w:val="24"/>
        </w:rPr>
        <w:t>opr</w:t>
      </w:r>
      <w:r w:rsidRPr="002F45D6">
        <w:rPr>
          <w:rFonts w:ascii="Times New Roman" w:hAnsi="Times New Roman"/>
          <w:i/>
          <w:noProof/>
          <w:sz w:val="24"/>
        </w:rPr>
        <w:t>acowanie kryteriów systematyki dla górnictwa</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raf</w:t>
      </w:r>
      <w:r w:rsidRPr="002F45D6">
        <w:rPr>
          <w:rFonts w:ascii="Times New Roman" w:hAnsi="Times New Roman"/>
          <w:i/>
          <w:noProof/>
          <w:sz w:val="24"/>
        </w:rPr>
        <w:t>inacji.</w:t>
      </w:r>
    </w:p>
    <w:p w14:paraId="5B3CD5C0" w14:textId="77A0FF20" w:rsidR="00C2325C" w:rsidRPr="002F45D6" w:rsidRDefault="00041024" w:rsidP="00AD3D56">
      <w:pPr>
        <w:spacing w:before="120"/>
        <w:jc w:val="both"/>
        <w:rPr>
          <w:rFonts w:ascii="Times New Roman" w:hAnsi="Times New Roman" w:cs="Times New Roman"/>
          <w:b/>
          <w:noProof/>
          <w:sz w:val="24"/>
          <w:szCs w:val="24"/>
        </w:rPr>
      </w:pPr>
      <w:r w:rsidRPr="002F45D6">
        <w:rPr>
          <w:rFonts w:ascii="Times New Roman" w:hAnsi="Times New Roman"/>
          <w:b/>
          <w:noProof/>
          <w:sz w:val="24"/>
        </w:rPr>
        <w:t>II.3 Normalizacja</w:t>
      </w:r>
      <w:bookmarkStart w:id="8" w:name="_Hlk125725716"/>
    </w:p>
    <w:p w14:paraId="4BC1EF6B" w14:textId="1E95EDD2" w:rsidR="004F4C7A" w:rsidRPr="002F45D6" w:rsidRDefault="00F14BDB" w:rsidP="0034292C">
      <w:pPr>
        <w:spacing w:before="120"/>
        <w:jc w:val="both"/>
        <w:rPr>
          <w:rFonts w:ascii="Times New Roman" w:hAnsi="Times New Roman" w:cs="Times New Roman"/>
          <w:noProof/>
          <w:sz w:val="24"/>
        </w:rPr>
      </w:pPr>
      <w:r w:rsidRPr="002F45D6">
        <w:rPr>
          <w:rFonts w:ascii="Times New Roman" w:hAnsi="Times New Roman"/>
          <w:noProof/>
          <w:sz w:val="24"/>
        </w:rPr>
        <w:t>W lutym 2023</w:t>
      </w:r>
      <w:r w:rsidR="002F45D6" w:rsidRPr="002F45D6">
        <w:rPr>
          <w:rFonts w:ascii="Times New Roman" w:hAnsi="Times New Roman"/>
          <w:noProof/>
          <w:sz w:val="24"/>
        </w:rPr>
        <w:t> </w:t>
      </w:r>
      <w:r w:rsidRPr="002F45D6">
        <w:rPr>
          <w:rFonts w:ascii="Times New Roman" w:hAnsi="Times New Roman"/>
          <w:noProof/>
          <w:sz w:val="24"/>
        </w:rPr>
        <w:t xml:space="preserve">r. Komisja przyjęła roczny program prac </w:t>
      </w:r>
      <w:r w:rsidRPr="002F45D6">
        <w:rPr>
          <w:rFonts w:ascii="Times New Roman" w:hAnsi="Times New Roman"/>
          <w:b/>
          <w:noProof/>
          <w:sz w:val="24"/>
        </w:rPr>
        <w:t>Unii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 xml:space="preserve">resie </w:t>
      </w:r>
      <w:r w:rsidRPr="002F45D6">
        <w:rPr>
          <w:rFonts w:ascii="Times New Roman" w:hAnsi="Times New Roman"/>
          <w:b/>
          <w:noProof/>
          <w:sz w:val="24"/>
        </w:rPr>
        <w:t>normalizacji europejskiej</w:t>
      </w:r>
      <w:r w:rsidRPr="002F45D6">
        <w:rPr>
          <w:rFonts w:ascii="Times New Roman" w:hAnsi="Times New Roman"/>
          <w:noProof/>
          <w:sz w:val="24"/>
        </w:rPr>
        <w:t>. Jednym ze strategicznych priorytetów jest opracowanie europejskich norm</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poszukiwania, wydobycia, rafinacji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rec</w:t>
      </w:r>
      <w:r w:rsidRPr="002F45D6">
        <w:rPr>
          <w:rFonts w:ascii="Times New Roman" w:hAnsi="Times New Roman"/>
          <w:noProof/>
          <w:sz w:val="24"/>
        </w:rPr>
        <w:t>yklingu surowców krytycznych, co ma wzmocnić łańcuch wartości w UE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odp</w:t>
      </w:r>
      <w:r w:rsidRPr="002F45D6">
        <w:rPr>
          <w:rFonts w:ascii="Times New Roman" w:hAnsi="Times New Roman"/>
          <w:noProof/>
          <w:sz w:val="24"/>
        </w:rPr>
        <w:t>orność UE. Ponadto wymogi techniczne dotyczące przetwarzania,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odzysku, recyklingu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ygotowania surowców krytycznych do ponownego wykorzystania, muszą opierać się na normach. Zapewni to spójne stosowanie przepisów technicznych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cał</w:t>
      </w:r>
      <w:r w:rsidRPr="002F45D6">
        <w:rPr>
          <w:rFonts w:ascii="Times New Roman" w:hAnsi="Times New Roman"/>
          <w:noProof/>
          <w:sz w:val="24"/>
        </w:rPr>
        <w:t>ej UE.</w:t>
      </w:r>
    </w:p>
    <w:p w14:paraId="15E1E535" w14:textId="44B5C1F8" w:rsidR="0034292C" w:rsidRPr="002F45D6" w:rsidRDefault="00F44664" w:rsidP="0034292C">
      <w:pPr>
        <w:spacing w:before="120"/>
        <w:jc w:val="both"/>
        <w:rPr>
          <w:rFonts w:ascii="Times New Roman" w:hAnsi="Times New Roman" w:cs="Times New Roman"/>
          <w:noProof/>
          <w:sz w:val="24"/>
          <w:szCs w:val="24"/>
        </w:rPr>
      </w:pPr>
      <w:r w:rsidRPr="002F45D6">
        <w:rPr>
          <w:rFonts w:ascii="Times New Roman" w:hAnsi="Times New Roman"/>
          <w:noProof/>
          <w:sz w:val="24"/>
        </w:rPr>
        <w:t xml:space="preserve">Na </w:t>
      </w:r>
      <w:r w:rsidRPr="002F45D6">
        <w:rPr>
          <w:rFonts w:ascii="Times New Roman" w:hAnsi="Times New Roman"/>
          <w:b/>
          <w:noProof/>
          <w:sz w:val="24"/>
        </w:rPr>
        <w:t>szczeblu międzynarodowym</w:t>
      </w:r>
      <w:r w:rsidRPr="002F45D6">
        <w:rPr>
          <w:rFonts w:ascii="Times New Roman" w:hAnsi="Times New Roman"/>
          <w:noProof/>
          <w:sz w:val="24"/>
        </w:rPr>
        <w:t xml:space="preserve"> normalizacja europejska funkcjonuje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cor</w:t>
      </w:r>
      <w:r w:rsidRPr="002F45D6">
        <w:rPr>
          <w:rFonts w:ascii="Times New Roman" w:hAnsi="Times New Roman"/>
          <w:noProof/>
          <w:sz w:val="24"/>
        </w:rPr>
        <w:t>az bardziej konkurencyjnym kontekście globalnym. Eksperci europejscy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kra</w:t>
      </w:r>
      <w:r w:rsidRPr="002F45D6">
        <w:rPr>
          <w:rFonts w:ascii="Times New Roman" w:hAnsi="Times New Roman"/>
          <w:noProof/>
          <w:sz w:val="24"/>
        </w:rPr>
        <w:t>jowe organy normalizacyjne już teraz wnoszą istotny wkład</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pra</w:t>
      </w:r>
      <w:r w:rsidRPr="002F45D6">
        <w:rPr>
          <w:rFonts w:ascii="Times New Roman" w:hAnsi="Times New Roman"/>
          <w:noProof/>
          <w:sz w:val="24"/>
        </w:rPr>
        <w:t>ce Międzynarodowej Organizacji Normalizacyjnej (ISO). Powinni oni odgrywać jeszcze aktywniejszą rolę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pra</w:t>
      </w:r>
      <w:r w:rsidRPr="002F45D6">
        <w:rPr>
          <w:rFonts w:ascii="Times New Roman" w:hAnsi="Times New Roman"/>
          <w:noProof/>
          <w:sz w:val="24"/>
        </w:rPr>
        <w:t>cach nad normami, aby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mię</w:t>
      </w:r>
      <w:r w:rsidRPr="002F45D6">
        <w:rPr>
          <w:rFonts w:ascii="Times New Roman" w:hAnsi="Times New Roman"/>
          <w:noProof/>
          <w:sz w:val="24"/>
        </w:rPr>
        <w:t>dzynarodowych normach technicznych dotyczących surowców krytycznych odzwierciedlone były zasady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war</w:t>
      </w:r>
      <w:r w:rsidRPr="002F45D6">
        <w:rPr>
          <w:rFonts w:ascii="Times New Roman" w:hAnsi="Times New Roman"/>
          <w:noProof/>
          <w:sz w:val="24"/>
        </w:rPr>
        <w:t>tości UE leżące</w:t>
      </w:r>
      <w:r w:rsidR="002F45D6" w:rsidRPr="002F45D6">
        <w:rPr>
          <w:rFonts w:ascii="Times New Roman" w:hAnsi="Times New Roman"/>
          <w:noProof/>
          <w:sz w:val="24"/>
        </w:rPr>
        <w:t xml:space="preserve"> u</w:t>
      </w:r>
      <w:r w:rsidR="002F45D6">
        <w:rPr>
          <w:rFonts w:ascii="Times New Roman" w:hAnsi="Times New Roman"/>
          <w:noProof/>
          <w:sz w:val="24"/>
        </w:rPr>
        <w:t> </w:t>
      </w:r>
      <w:r w:rsidR="002F45D6" w:rsidRPr="002F45D6">
        <w:rPr>
          <w:rFonts w:ascii="Times New Roman" w:hAnsi="Times New Roman"/>
          <w:noProof/>
          <w:sz w:val="24"/>
        </w:rPr>
        <w:t>pod</w:t>
      </w:r>
      <w:r w:rsidRPr="002F45D6">
        <w:rPr>
          <w:rFonts w:ascii="Times New Roman" w:hAnsi="Times New Roman"/>
          <w:noProof/>
          <w:sz w:val="24"/>
        </w:rPr>
        <w:t>staw przepisów UE oraz zobowiązania międzynarodowe. Komisja będzie ułatwiać wymianę informacji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koo</w:t>
      </w:r>
      <w:r w:rsidRPr="002F45D6">
        <w:rPr>
          <w:rFonts w:ascii="Times New Roman" w:hAnsi="Times New Roman"/>
          <w:noProof/>
          <w:sz w:val="24"/>
        </w:rPr>
        <w:t>rdynację między państwami członkowskimi, unijnymi organami normalizacyjnymi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emysłem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u dzielenia się zasobami wspierającymi międzynarodowe procesy normalizacyjne.</w:t>
      </w:r>
    </w:p>
    <w:p w14:paraId="38D6C98F" w14:textId="04144692" w:rsidR="002F5657" w:rsidRPr="002F45D6" w:rsidRDefault="004E3BC1" w:rsidP="002F5657">
      <w:pPr>
        <w:rPr>
          <w:rFonts w:ascii="Times New Roman" w:hAnsi="Times New Roman" w:cs="Times New Roman"/>
          <w:i/>
          <w:iCs/>
          <w:noProof/>
          <w:sz w:val="24"/>
          <w:szCs w:val="24"/>
        </w:rPr>
      </w:pPr>
      <w:r w:rsidRPr="002F45D6">
        <w:rPr>
          <w:rFonts w:ascii="Times New Roman" w:hAnsi="Times New Roman"/>
          <w:i/>
          <w:noProof/>
          <w:sz w:val="24"/>
        </w:rPr>
        <w:t>Zgodnie ze strategią UE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normalizacji</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pro</w:t>
      </w:r>
      <w:r w:rsidRPr="002F45D6">
        <w:rPr>
          <w:rFonts w:ascii="Times New Roman" w:hAnsi="Times New Roman"/>
          <w:i/>
          <w:noProof/>
          <w:sz w:val="24"/>
        </w:rPr>
        <w:t>gramem prac Unii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 xml:space="preserve">resie normalizacji europejskiej Komisja: </w:t>
      </w:r>
    </w:p>
    <w:p w14:paraId="27C7E746" w14:textId="6AEF97A7" w:rsidR="00C2325C" w:rsidRPr="002F45D6" w:rsidRDefault="002F5657" w:rsidP="003B5180">
      <w:pPr>
        <w:numPr>
          <w:ilvl w:val="0"/>
          <w:numId w:val="30"/>
        </w:numPr>
        <w:spacing w:before="120"/>
        <w:contextualSpacing/>
        <w:jc w:val="both"/>
        <w:rPr>
          <w:rFonts w:ascii="Times New Roman" w:hAnsi="Times New Roman" w:cs="Times New Roman"/>
          <w:i/>
          <w:noProof/>
          <w:sz w:val="24"/>
        </w:rPr>
      </w:pPr>
      <w:r w:rsidRPr="002F45D6">
        <w:rPr>
          <w:rFonts w:ascii="Times New Roman" w:hAnsi="Times New Roman"/>
          <w:i/>
          <w:noProof/>
          <w:sz w:val="24"/>
        </w:rPr>
        <w:t>zadba o to, by Forum Wysokiego Szczebla ds. Normalizacji Europejskiej (HLF) objęło również oddzielny obszar prac dotyczący surowców krytycznych, które mają zasadnicze znaczenie dla odporności jednolitego rynku,</w:t>
      </w:r>
    </w:p>
    <w:p w14:paraId="517DE012" w14:textId="64EFB115" w:rsidR="0034292C" w:rsidRPr="002F45D6" w:rsidRDefault="00F44664" w:rsidP="00AD3D56">
      <w:pPr>
        <w:pStyle w:val="ListParagraph"/>
        <w:numPr>
          <w:ilvl w:val="0"/>
          <w:numId w:val="64"/>
        </w:numPr>
        <w:spacing w:after="240" w:line="240" w:lineRule="auto"/>
        <w:jc w:val="both"/>
        <w:rPr>
          <w:rFonts w:ascii="Times New Roman" w:hAnsi="Times New Roman" w:cs="Times New Roman"/>
          <w:i/>
          <w:iCs/>
          <w:noProof/>
          <w:sz w:val="24"/>
          <w:szCs w:val="24"/>
        </w:rPr>
      </w:pPr>
      <w:r w:rsidRPr="002F45D6">
        <w:rPr>
          <w:rFonts w:ascii="Times New Roman" w:hAnsi="Times New Roman"/>
          <w:i/>
          <w:noProof/>
          <w:sz w:val="24"/>
        </w:rPr>
        <w:t>będzie wspierać opracowywanie europejskich norm dotyczących procesów przemysłowych związanych</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sur</w:t>
      </w:r>
      <w:r w:rsidRPr="002F45D6">
        <w:rPr>
          <w:rFonts w:ascii="Times New Roman" w:hAnsi="Times New Roman"/>
          <w:i/>
          <w:noProof/>
          <w:sz w:val="24"/>
        </w:rPr>
        <w:t>owcami krytycznymi wykorzystywanymi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dwo</w:t>
      </w:r>
      <w:r w:rsidRPr="002F45D6">
        <w:rPr>
          <w:rFonts w:ascii="Times New Roman" w:hAnsi="Times New Roman"/>
          <w:i/>
          <w:noProof/>
          <w:sz w:val="24"/>
        </w:rPr>
        <w:t>jakiej transformacji,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tym</w:t>
      </w:r>
      <w:r w:rsidRPr="002F45D6">
        <w:rPr>
          <w:rFonts w:ascii="Times New Roman" w:hAnsi="Times New Roman"/>
          <w:i/>
          <w:noProof/>
          <w:sz w:val="24"/>
        </w:rPr>
        <w:t xml:space="preserve"> również procesów zamkniętego obiegu gospodarki. </w:t>
      </w:r>
    </w:p>
    <w:bookmarkEnd w:id="8"/>
    <w:p w14:paraId="0B2AE0A1" w14:textId="36BDE1F1" w:rsidR="00041024" w:rsidRPr="002F45D6" w:rsidRDefault="00041024" w:rsidP="00041024">
      <w:pPr>
        <w:spacing w:after="0" w:line="240" w:lineRule="auto"/>
        <w:jc w:val="both"/>
        <w:rPr>
          <w:rFonts w:ascii="Times New Roman" w:hAnsi="Times New Roman" w:cs="Times New Roman"/>
          <w:b/>
          <w:bCs/>
          <w:noProof/>
          <w:sz w:val="24"/>
          <w:szCs w:val="24"/>
        </w:rPr>
      </w:pPr>
      <w:r w:rsidRPr="002F45D6">
        <w:rPr>
          <w:rFonts w:ascii="Times New Roman" w:hAnsi="Times New Roman"/>
          <w:b/>
          <w:noProof/>
          <w:sz w:val="24"/>
        </w:rPr>
        <w:t xml:space="preserve">II.2. Niezbędne umiejętności </w:t>
      </w:r>
    </w:p>
    <w:p w14:paraId="4E889AD5" w14:textId="77777777" w:rsidR="003E5127" w:rsidRPr="002F45D6" w:rsidRDefault="003E5127" w:rsidP="00691660">
      <w:pPr>
        <w:autoSpaceDE w:val="0"/>
        <w:autoSpaceDN w:val="0"/>
        <w:spacing w:after="0" w:line="240" w:lineRule="auto"/>
        <w:rPr>
          <w:rFonts w:ascii="Times New Roman" w:hAnsi="Times New Roman" w:cs="Times New Roman"/>
          <w:noProof/>
          <w:sz w:val="24"/>
        </w:rPr>
      </w:pPr>
    </w:p>
    <w:p w14:paraId="163D8847" w14:textId="6A691460" w:rsidR="002E0D58" w:rsidRPr="002F45D6" w:rsidRDefault="00A87AD4" w:rsidP="00041024">
      <w:pPr>
        <w:jc w:val="both"/>
        <w:rPr>
          <w:rFonts w:ascii="Times New Roman" w:hAnsi="Times New Roman" w:cs="Times New Roman"/>
          <w:noProof/>
          <w:sz w:val="24"/>
        </w:rPr>
      </w:pPr>
      <w:r w:rsidRPr="002F45D6">
        <w:rPr>
          <w:rFonts w:ascii="Times New Roman" w:hAnsi="Times New Roman"/>
          <w:noProof/>
          <w:sz w:val="24"/>
        </w:rPr>
        <w:t>W programie na rzecz umiejętności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2</w:t>
      </w:r>
      <w:r w:rsidRPr="002F45D6">
        <w:rPr>
          <w:rFonts w:ascii="Times New Roman" w:hAnsi="Times New Roman"/>
          <w:noProof/>
          <w:sz w:val="24"/>
        </w:rPr>
        <w:t>020</w:t>
      </w:r>
      <w:r w:rsidR="002F45D6" w:rsidRPr="002F45D6">
        <w:rPr>
          <w:rFonts w:ascii="Times New Roman" w:hAnsi="Times New Roman"/>
          <w:noProof/>
          <w:sz w:val="24"/>
        </w:rPr>
        <w:t> </w:t>
      </w:r>
      <w:r w:rsidRPr="002F45D6">
        <w:rPr>
          <w:rFonts w:ascii="Times New Roman" w:hAnsi="Times New Roman"/>
          <w:noProof/>
          <w:sz w:val="24"/>
        </w:rPr>
        <w:t xml:space="preserve">r. zaznaczono, że warunkiem utrzymania przez UE konkurencyjności jest siła robocza posiadająca </w:t>
      </w:r>
      <w:r w:rsidRPr="002F45D6">
        <w:rPr>
          <w:rFonts w:ascii="Times New Roman" w:hAnsi="Times New Roman"/>
          <w:b/>
          <w:noProof/>
          <w:sz w:val="24"/>
        </w:rPr>
        <w:t>odpowiednie umiejętności</w:t>
      </w:r>
      <w:r w:rsidRPr="002F45D6">
        <w:rPr>
          <w:rFonts w:ascii="Times New Roman" w:hAnsi="Times New Roman"/>
          <w:noProof/>
          <w:sz w:val="24"/>
        </w:rPr>
        <w:t xml:space="preserve"> odpowiadające potrzebom transformacji ekologicznej</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cyf</w:t>
      </w:r>
      <w:r w:rsidRPr="002F45D6">
        <w:rPr>
          <w:rFonts w:ascii="Times New Roman" w:hAnsi="Times New Roman"/>
          <w:noProof/>
          <w:sz w:val="24"/>
        </w:rPr>
        <w:t>rowej. Warunkiem powstania rentownych łańcuchów wartości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Eur</w:t>
      </w:r>
      <w:r w:rsidRPr="002F45D6">
        <w:rPr>
          <w:rFonts w:ascii="Times New Roman" w:hAnsi="Times New Roman"/>
          <w:noProof/>
          <w:sz w:val="24"/>
        </w:rPr>
        <w:t>opie jest odpowiedni rozwój umiejętności (np. kształcenie geologów, metalurgów, mechaników, pracowników kopalni, specjalistów od sortowania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rec</w:t>
      </w:r>
      <w:r w:rsidRPr="002F45D6">
        <w:rPr>
          <w:rFonts w:ascii="Times New Roman" w:hAnsi="Times New Roman"/>
          <w:noProof/>
          <w:sz w:val="24"/>
        </w:rPr>
        <w:t>yklingu,</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że od zaawansowanych technologii stosowanych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sek</w:t>
      </w:r>
      <w:r w:rsidRPr="002F45D6">
        <w:rPr>
          <w:rFonts w:ascii="Times New Roman" w:hAnsi="Times New Roman"/>
          <w:noProof/>
          <w:sz w:val="24"/>
        </w:rPr>
        <w:t>torze). Biorąc pod uwagę transformację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umiejętności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cor</w:t>
      </w:r>
      <w:r w:rsidRPr="002F45D6">
        <w:rPr>
          <w:rFonts w:ascii="Times New Roman" w:hAnsi="Times New Roman"/>
          <w:noProof/>
          <w:sz w:val="24"/>
        </w:rPr>
        <w:t>az większe znaczenie obiegu zamkniętego, na przykład</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cuchu wartości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etwarzaniu baterii, potrzeby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przekwalifikowania stają się coraz bardziej widoczne. Oprócz środków horyzontalnych określonych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pro</w:t>
      </w:r>
      <w:r w:rsidRPr="002F45D6">
        <w:rPr>
          <w:rFonts w:ascii="Times New Roman" w:hAnsi="Times New Roman"/>
          <w:noProof/>
          <w:sz w:val="24"/>
        </w:rPr>
        <w:t>gramie na rzecz umiejętności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2</w:t>
      </w:r>
      <w:r w:rsidRPr="002F45D6">
        <w:rPr>
          <w:rFonts w:ascii="Times New Roman" w:hAnsi="Times New Roman"/>
          <w:noProof/>
          <w:sz w:val="24"/>
        </w:rPr>
        <w:t>020</w:t>
      </w:r>
      <w:r w:rsidR="002F45D6" w:rsidRPr="002F45D6">
        <w:rPr>
          <w:rFonts w:ascii="Times New Roman" w:hAnsi="Times New Roman"/>
          <w:noProof/>
          <w:sz w:val="24"/>
        </w:rPr>
        <w:t> </w:t>
      </w:r>
      <w:r w:rsidRPr="002F45D6">
        <w:rPr>
          <w:rFonts w:ascii="Times New Roman" w:hAnsi="Times New Roman"/>
          <w:noProof/>
          <w:sz w:val="24"/>
        </w:rPr>
        <w:t>r. sukces unijnych łańcuchów wartości surowców krytycznych będzie wymagał specjalnych strategii politycznych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umiejętności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sektorze.</w:t>
      </w:r>
    </w:p>
    <w:p w14:paraId="02492263" w14:textId="0987EB1E" w:rsidR="00674B90" w:rsidRPr="002F45D6" w:rsidRDefault="002E0D58" w:rsidP="007A6BE9">
      <w:pPr>
        <w:jc w:val="both"/>
        <w:rPr>
          <w:rFonts w:ascii="Times New Roman" w:hAnsi="Times New Roman" w:cs="Times New Roman"/>
          <w:noProof/>
          <w:sz w:val="24"/>
          <w:szCs w:val="24"/>
        </w:rPr>
      </w:pPr>
      <w:r w:rsidRPr="002F45D6">
        <w:rPr>
          <w:rFonts w:ascii="Times New Roman" w:hAnsi="Times New Roman"/>
          <w:noProof/>
          <w:sz w:val="24"/>
        </w:rPr>
        <w:t>Zdecydowanie zachęca się państwa członkowskie do korzystania</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b/>
          <w:noProof/>
          <w:sz w:val="24"/>
        </w:rPr>
        <w:t>dos</w:t>
      </w:r>
      <w:r w:rsidRPr="002F45D6">
        <w:rPr>
          <w:rFonts w:ascii="Times New Roman" w:hAnsi="Times New Roman"/>
          <w:b/>
          <w:noProof/>
          <w:sz w:val="24"/>
        </w:rPr>
        <w:t>tępnych unijnych instrumentów finansowania</w:t>
      </w:r>
      <w:r w:rsidRPr="002F45D6">
        <w:rPr>
          <w:rFonts w:ascii="Times New Roman" w:hAnsi="Times New Roman"/>
          <w:noProof/>
          <w:sz w:val="24"/>
        </w:rPr>
        <w:t>, takich jak Europejski Fundusz Społeczny Plus (EFS+), Europejski Fundusz Rozwoju Regionalnego (EFRR)</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mec</w:t>
      </w:r>
      <w:r w:rsidRPr="002F45D6">
        <w:rPr>
          <w:rFonts w:ascii="Times New Roman" w:hAnsi="Times New Roman"/>
          <w:noProof/>
          <w:sz w:val="24"/>
        </w:rPr>
        <w:t>hanizm sprawiedliwej transformacji, aby wspierać działania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kształcenia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szk</w:t>
      </w:r>
      <w:r w:rsidRPr="002F45D6">
        <w:rPr>
          <w:rFonts w:ascii="Times New Roman" w:hAnsi="Times New Roman"/>
          <w:noProof/>
          <w:sz w:val="24"/>
        </w:rPr>
        <w:t>olenia podnoszące kwalifikacje pracowników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cał</w:t>
      </w:r>
      <w:r w:rsidRPr="002F45D6">
        <w:rPr>
          <w:rFonts w:ascii="Times New Roman" w:hAnsi="Times New Roman"/>
          <w:noProof/>
          <w:sz w:val="24"/>
        </w:rPr>
        <w:t>ym łańcuchu wartości surowców krytycznych, niwelując</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ten</w:t>
      </w:r>
      <w:r w:rsidRPr="002F45D6">
        <w:rPr>
          <w:rFonts w:ascii="Times New Roman" w:hAnsi="Times New Roman"/>
          <w:noProof/>
          <w:sz w:val="24"/>
        </w:rPr>
        <w:t xml:space="preserve"> sposób niedobory umiejętności stwierdzone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reg</w:t>
      </w:r>
      <w:r w:rsidRPr="002F45D6">
        <w:rPr>
          <w:rFonts w:ascii="Times New Roman" w:hAnsi="Times New Roman"/>
          <w:noProof/>
          <w:sz w:val="24"/>
        </w:rPr>
        <w:t>ionach UE</w:t>
      </w:r>
      <w:r w:rsidRPr="002F45D6">
        <w:rPr>
          <w:rStyle w:val="FootnoteReference"/>
          <w:rFonts w:ascii="Times New Roman" w:hAnsi="Times New Roman" w:cs="Times New Roman"/>
          <w:noProof/>
          <w:sz w:val="24"/>
        </w:rPr>
        <w:footnoteReference w:id="13"/>
      </w:r>
      <w:r w:rsidRPr="002F45D6">
        <w:rPr>
          <w:rFonts w:ascii="Times New Roman" w:hAnsi="Times New Roman"/>
          <w:noProof/>
          <w:sz w:val="24"/>
        </w:rPr>
        <w:t>. Inicjatywa na rzecz talentów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zaawansowanych technologii, zapisana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bud</w:t>
      </w:r>
      <w:r w:rsidRPr="002F45D6">
        <w:rPr>
          <w:rFonts w:ascii="Times New Roman" w:hAnsi="Times New Roman"/>
          <w:noProof/>
          <w:sz w:val="24"/>
        </w:rPr>
        <w:t>żecie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kon</w:t>
      </w:r>
      <w:r w:rsidRPr="002F45D6">
        <w:rPr>
          <w:rFonts w:ascii="Times New Roman" w:hAnsi="Times New Roman"/>
          <w:noProof/>
          <w:sz w:val="24"/>
        </w:rPr>
        <w:t>tekście Nowego europejskiego planu na rzecz innowacji, przyczyni się również do niezbędnej transformacji umiejętności dzięki pionierskiemu programowi zakładającemu przeszkolenie miliona osób</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eur</w:t>
      </w:r>
      <w:r w:rsidRPr="002F45D6">
        <w:rPr>
          <w:rFonts w:ascii="Times New Roman" w:hAnsi="Times New Roman"/>
          <w:noProof/>
          <w:sz w:val="24"/>
        </w:rPr>
        <w:t>opejskich dziedzinach zaawansowanych technologii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cią</w:t>
      </w:r>
      <w:r w:rsidRPr="002F45D6">
        <w:rPr>
          <w:rFonts w:ascii="Times New Roman" w:hAnsi="Times New Roman"/>
          <w:noProof/>
          <w:sz w:val="24"/>
        </w:rPr>
        <w:t>gu najbliższych trzech lat.</w:t>
      </w:r>
    </w:p>
    <w:p w14:paraId="1A9DA357" w14:textId="4EDC6DD3" w:rsidR="002E051C" w:rsidRPr="002F45D6" w:rsidRDefault="00674B90" w:rsidP="00F10597">
      <w:pPr>
        <w:spacing w:before="120"/>
        <w:jc w:val="both"/>
        <w:rPr>
          <w:rFonts w:ascii="Times New Roman" w:hAnsi="Times New Roman" w:cs="Times New Roman"/>
          <w:i/>
          <w:noProof/>
          <w:sz w:val="24"/>
        </w:rPr>
      </w:pPr>
      <w:r w:rsidRPr="002F45D6">
        <w:rPr>
          <w:rFonts w:ascii="Times New Roman" w:hAnsi="Times New Roman"/>
          <w:i/>
          <w:noProof/>
          <w:sz w:val="24"/>
        </w:rPr>
        <w:t>Komisja:</w:t>
      </w:r>
    </w:p>
    <w:p w14:paraId="24285F08" w14:textId="4A76F407" w:rsidR="002E051C" w:rsidRPr="002F45D6" w:rsidRDefault="002E051C" w:rsidP="002E051C">
      <w:pPr>
        <w:numPr>
          <w:ilvl w:val="0"/>
          <w:numId w:val="30"/>
        </w:numPr>
        <w:spacing w:before="120"/>
        <w:contextualSpacing/>
        <w:jc w:val="both"/>
        <w:rPr>
          <w:rFonts w:ascii="Times New Roman" w:hAnsi="Times New Roman" w:cs="Times New Roman"/>
          <w:i/>
          <w:noProof/>
          <w:sz w:val="24"/>
        </w:rPr>
      </w:pPr>
      <w:r w:rsidRPr="002F45D6">
        <w:rPr>
          <w:rFonts w:ascii="Times New Roman" w:hAnsi="Times New Roman"/>
          <w:i/>
          <w:noProof/>
          <w:sz w:val="24"/>
        </w:rPr>
        <w:t>w ramach Europejskiego paktu na rzecz umiejętności będzie budować partnerstwa na rzecz umiejętności na dużą skalę</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surowców krytycznych,</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zai</w:t>
      </w:r>
      <w:r w:rsidRPr="002F45D6">
        <w:rPr>
          <w:rFonts w:ascii="Times New Roman" w:hAnsi="Times New Roman"/>
          <w:i/>
          <w:noProof/>
          <w:sz w:val="24"/>
        </w:rPr>
        <w:t>nteresowanymi stronami</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org</w:t>
      </w:r>
      <w:r w:rsidRPr="002F45D6">
        <w:rPr>
          <w:rFonts w:ascii="Times New Roman" w:hAnsi="Times New Roman"/>
          <w:i/>
          <w:noProof/>
          <w:sz w:val="24"/>
        </w:rPr>
        <w:t>anami publicznymi,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realizacji skutecznych działań</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kształcenia</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szk</w:t>
      </w:r>
      <w:r w:rsidRPr="002F45D6">
        <w:rPr>
          <w:rFonts w:ascii="Times New Roman" w:hAnsi="Times New Roman"/>
          <w:i/>
          <w:noProof/>
          <w:sz w:val="24"/>
        </w:rPr>
        <w:t>olenia</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cał</w:t>
      </w:r>
      <w:r w:rsidRPr="002F45D6">
        <w:rPr>
          <w:rFonts w:ascii="Times New Roman" w:hAnsi="Times New Roman"/>
          <w:i/>
          <w:noProof/>
          <w:sz w:val="24"/>
        </w:rPr>
        <w:t>ym łańcuchu wartości,</w:t>
      </w:r>
    </w:p>
    <w:p w14:paraId="3BD28302" w14:textId="5F2BC0E3" w:rsidR="002E051C" w:rsidRPr="002F45D6" w:rsidRDefault="002E051C" w:rsidP="002E051C">
      <w:pPr>
        <w:numPr>
          <w:ilvl w:val="0"/>
          <w:numId w:val="30"/>
        </w:numPr>
        <w:spacing w:before="120"/>
        <w:contextualSpacing/>
        <w:jc w:val="both"/>
        <w:rPr>
          <w:rFonts w:ascii="Times New Roman" w:hAnsi="Times New Roman" w:cs="Times New Roman"/>
          <w:i/>
          <w:noProof/>
          <w:sz w:val="24"/>
        </w:rPr>
      </w:pPr>
      <w:r w:rsidRPr="002F45D6">
        <w:rPr>
          <w:rFonts w:ascii="Times New Roman" w:hAnsi="Times New Roman"/>
          <w:i/>
          <w:noProof/>
          <w:sz w:val="24"/>
        </w:rPr>
        <w:t>zaproponuje utworzenie akademii surowców</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ram</w:t>
      </w:r>
      <w:r w:rsidRPr="002F45D6">
        <w:rPr>
          <w:rFonts w:ascii="Times New Roman" w:hAnsi="Times New Roman"/>
          <w:i/>
          <w:noProof/>
          <w:sz w:val="24"/>
        </w:rPr>
        <w:t>ach akademii przemysłu neutralnego emisyjnie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opracowania</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ofe</w:t>
      </w:r>
      <w:r w:rsidRPr="002F45D6">
        <w:rPr>
          <w:rFonts w:ascii="Times New Roman" w:hAnsi="Times New Roman"/>
          <w:i/>
          <w:noProof/>
          <w:sz w:val="24"/>
        </w:rPr>
        <w:t>rowania programów szkoleniowych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edu</w:t>
      </w:r>
      <w:r w:rsidRPr="002F45D6">
        <w:rPr>
          <w:rFonts w:ascii="Times New Roman" w:hAnsi="Times New Roman"/>
          <w:i/>
          <w:noProof/>
          <w:sz w:val="24"/>
        </w:rPr>
        <w:t>kacyjnych na potrzeby przekwalifikowania</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pod</w:t>
      </w:r>
      <w:r w:rsidRPr="002F45D6">
        <w:rPr>
          <w:rFonts w:ascii="Times New Roman" w:hAnsi="Times New Roman"/>
          <w:i/>
          <w:noProof/>
          <w:sz w:val="24"/>
        </w:rPr>
        <w:t>noszenia kwalifikacji siły roboczej, co pozwoli na rozbudowę łańcucha wartości surowców krytycznych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Eur</w:t>
      </w:r>
      <w:r w:rsidRPr="002F45D6">
        <w:rPr>
          <w:rFonts w:ascii="Times New Roman" w:hAnsi="Times New Roman"/>
          <w:i/>
          <w:noProof/>
          <w:sz w:val="24"/>
        </w:rPr>
        <w:t>opie.</w:t>
      </w:r>
    </w:p>
    <w:p w14:paraId="29AACD61" w14:textId="553AACE0" w:rsidR="002E051C" w:rsidRPr="002F45D6" w:rsidRDefault="002E051C" w:rsidP="00041024">
      <w:pPr>
        <w:spacing w:before="120"/>
        <w:jc w:val="both"/>
        <w:rPr>
          <w:rFonts w:ascii="Times New Roman" w:hAnsi="Times New Roman" w:cs="Times New Roman"/>
          <w:noProof/>
          <w:sz w:val="24"/>
        </w:rPr>
      </w:pPr>
    </w:p>
    <w:p w14:paraId="689FA069" w14:textId="66E78B2F" w:rsidR="00041024" w:rsidRPr="002F45D6" w:rsidRDefault="00041024" w:rsidP="00CA2A0C">
      <w:pPr>
        <w:keepNext/>
        <w:keepLines/>
        <w:rPr>
          <w:rFonts w:ascii="Times New Roman" w:hAnsi="Times New Roman" w:cs="Times New Roman"/>
          <w:b/>
          <w:noProof/>
          <w:sz w:val="24"/>
          <w:szCs w:val="24"/>
        </w:rPr>
      </w:pPr>
      <w:r w:rsidRPr="002F45D6">
        <w:rPr>
          <w:rFonts w:ascii="Times New Roman" w:hAnsi="Times New Roman"/>
          <w:b/>
          <w:noProof/>
          <w:sz w:val="24"/>
        </w:rPr>
        <w:t>II.6 Badania naukowe</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inn</w:t>
      </w:r>
      <w:r w:rsidRPr="002F45D6">
        <w:rPr>
          <w:rFonts w:ascii="Times New Roman" w:hAnsi="Times New Roman"/>
          <w:b/>
          <w:noProof/>
          <w:sz w:val="24"/>
        </w:rPr>
        <w:t xml:space="preserve">owacje </w:t>
      </w:r>
    </w:p>
    <w:p w14:paraId="4ED9C1E6" w14:textId="21299FBA" w:rsidR="00041024" w:rsidRPr="002F45D6" w:rsidRDefault="00041024" w:rsidP="00080DEA">
      <w:pPr>
        <w:jc w:val="both"/>
        <w:rPr>
          <w:rFonts w:ascii="Times New Roman" w:hAnsi="Times New Roman" w:cs="Times New Roman"/>
          <w:noProof/>
          <w:sz w:val="24"/>
        </w:rPr>
      </w:pPr>
      <w:r w:rsidRPr="002F45D6">
        <w:rPr>
          <w:rFonts w:ascii="Times New Roman" w:hAnsi="Times New Roman"/>
          <w:noProof/>
          <w:sz w:val="24"/>
        </w:rPr>
        <w:t>Badania naukowe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inn</w:t>
      </w:r>
      <w:r w:rsidRPr="002F45D6">
        <w:rPr>
          <w:rFonts w:ascii="Times New Roman" w:hAnsi="Times New Roman"/>
          <w:noProof/>
          <w:sz w:val="24"/>
        </w:rPr>
        <w:t>owacje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cuchu wartości surowców krytycznych mają zasadnicze znaczenie dla rozwoju wiedzy, innowacyjnych rozwiązań</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wys</w:t>
      </w:r>
      <w:r w:rsidRPr="002F45D6">
        <w:rPr>
          <w:rFonts w:ascii="Times New Roman" w:hAnsi="Times New Roman"/>
          <w:noProof/>
          <w:sz w:val="24"/>
        </w:rPr>
        <w:t>oce zrównoważonych procesów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poszukiwania, wydobycia, przetwarzania, rafinacji, recyklingu, zasobooszczędnego projektowania, wykorzystywania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tępowania surowców. Przykładowo magnesy trwałe wykonane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zie</w:t>
      </w:r>
      <w:r w:rsidRPr="002F45D6">
        <w:rPr>
          <w:rFonts w:ascii="Times New Roman" w:hAnsi="Times New Roman"/>
          <w:noProof/>
          <w:sz w:val="24"/>
        </w:rPr>
        <w:t>m rzadkich używane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tur</w:t>
      </w:r>
      <w:r w:rsidRPr="002F45D6">
        <w:rPr>
          <w:rFonts w:ascii="Times New Roman" w:hAnsi="Times New Roman"/>
          <w:noProof/>
          <w:sz w:val="24"/>
        </w:rPr>
        <w:t>binach wiatrowych można zastąpić innymi komponentami, takimi jak wielobiegunowe prądnice synchroniczne. Podobnie platynowce wykorzystywane jako katalizatory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ogn</w:t>
      </w:r>
      <w:r w:rsidRPr="002F45D6">
        <w:rPr>
          <w:rFonts w:ascii="Times New Roman" w:hAnsi="Times New Roman"/>
          <w:noProof/>
          <w:sz w:val="24"/>
        </w:rPr>
        <w:t>iwach paliwowych mogą być częściowo lub całkowicie zastąpione innymi metalami, takimi jak azotki, węgliki czy chalkogenki. Rozwój zaawansowanych materiałów odgrywa ważną rolę, zwłaszcza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tępowaniu surowców krytycznych. Wyniki badań</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tyc</w:t>
      </w:r>
      <w:r w:rsidRPr="002F45D6">
        <w:rPr>
          <w:rFonts w:ascii="Times New Roman" w:hAnsi="Times New Roman"/>
          <w:noProof/>
          <w:sz w:val="24"/>
        </w:rPr>
        <w:t>h dziedzinach należy również uwzględnić</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yszłych normach.</w:t>
      </w:r>
    </w:p>
    <w:p w14:paraId="12F061A9" w14:textId="0890E6C2" w:rsidR="00041024" w:rsidRPr="002F45D6" w:rsidRDefault="00041024" w:rsidP="00041024">
      <w:pPr>
        <w:jc w:val="both"/>
        <w:rPr>
          <w:rFonts w:ascii="Times New Roman" w:hAnsi="Times New Roman" w:cs="Times New Roman"/>
          <w:noProof/>
          <w:sz w:val="24"/>
          <w:szCs w:val="24"/>
        </w:rPr>
      </w:pPr>
      <w:r w:rsidRPr="002F45D6">
        <w:rPr>
          <w:rFonts w:ascii="Times New Roman" w:hAnsi="Times New Roman"/>
          <w:noProof/>
          <w:sz w:val="24"/>
        </w:rPr>
        <w:t>Każdy</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eta</w:t>
      </w:r>
      <w:r w:rsidRPr="002F45D6">
        <w:rPr>
          <w:rFonts w:ascii="Times New Roman" w:hAnsi="Times New Roman"/>
          <w:noProof/>
          <w:sz w:val="24"/>
        </w:rPr>
        <w:t>pów łańcucha wartości ma własne wyzwania związane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dos</w:t>
      </w:r>
      <w:r w:rsidRPr="002F45D6">
        <w:rPr>
          <w:rFonts w:ascii="Times New Roman" w:hAnsi="Times New Roman"/>
          <w:noProof/>
          <w:sz w:val="24"/>
        </w:rPr>
        <w:t>tępnością geologiczną surowca, charakterystyką mineralizacji, właściwościami chemicznymi, zastosowaniami oraz efektywnością energetyczną, środowiskową</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spo</w:t>
      </w:r>
      <w:r w:rsidRPr="002F45D6">
        <w:rPr>
          <w:rFonts w:ascii="Times New Roman" w:hAnsi="Times New Roman"/>
          <w:noProof/>
          <w:sz w:val="24"/>
        </w:rPr>
        <w:t>łeczną. Niezbędne są</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zwi</w:t>
      </w:r>
      <w:r w:rsidRPr="002F45D6">
        <w:rPr>
          <w:rFonts w:ascii="Times New Roman" w:hAnsi="Times New Roman"/>
          <w:noProof/>
          <w:sz w:val="24"/>
        </w:rPr>
        <w:t>ązku</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badania nad surowcami krytycznymi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nie</w:t>
      </w:r>
      <w:r w:rsidRPr="002F45D6">
        <w:rPr>
          <w:rFonts w:ascii="Times New Roman" w:hAnsi="Times New Roman"/>
          <w:noProof/>
          <w:sz w:val="24"/>
        </w:rPr>
        <w:t>krytycznymi, aby rozwiązać problemy związane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pod</w:t>
      </w:r>
      <w:r w:rsidRPr="002F45D6">
        <w:rPr>
          <w:rFonts w:ascii="Times New Roman" w:hAnsi="Times New Roman"/>
          <w:noProof/>
          <w:sz w:val="24"/>
        </w:rPr>
        <w:t>ażą,</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że ograniczyć wzrost popytu w UE. Działania na wszystkich powyższych etapach łańcucha wartości pozwolą zdywersyfikować źródła zaopatrzenia UE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zap</w:t>
      </w:r>
      <w:r w:rsidRPr="002F45D6">
        <w:rPr>
          <w:rFonts w:ascii="Times New Roman" w:hAnsi="Times New Roman"/>
          <w:noProof/>
          <w:sz w:val="24"/>
        </w:rPr>
        <w:t>ewnią ich zrównoważony charakter.</w:t>
      </w:r>
    </w:p>
    <w:p w14:paraId="2ADF405A" w14:textId="0D6B0156" w:rsidR="00041024" w:rsidRPr="002F45D6" w:rsidRDefault="00041024" w:rsidP="00041024">
      <w:pPr>
        <w:jc w:val="both"/>
        <w:rPr>
          <w:rFonts w:ascii="Times New Roman" w:hAnsi="Times New Roman" w:cs="Times New Roman"/>
          <w:noProof/>
          <w:sz w:val="24"/>
          <w:szCs w:val="24"/>
        </w:rPr>
      </w:pPr>
      <w:r w:rsidRPr="002F45D6">
        <w:rPr>
          <w:rFonts w:ascii="Times New Roman" w:hAnsi="Times New Roman"/>
          <w:noProof/>
          <w:sz w:val="24"/>
        </w:rPr>
        <w:t>W ramach programu prac „Horyzont Europa” (2021–2024) UE przeznaczyła 470 mln EUR na projekty dotyczące poszukiwania, wydobycia, przetwarzania, ponownego wykorzystania, recyklingu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odz</w:t>
      </w:r>
      <w:r w:rsidRPr="002F45D6">
        <w:rPr>
          <w:rFonts w:ascii="Times New Roman" w:hAnsi="Times New Roman"/>
          <w:noProof/>
          <w:sz w:val="24"/>
        </w:rPr>
        <w:t xml:space="preserve">ysku surowców. </w:t>
      </w:r>
    </w:p>
    <w:p w14:paraId="006710C1" w14:textId="08034184" w:rsidR="00B82F56" w:rsidRPr="002F45D6" w:rsidRDefault="00B82F56" w:rsidP="00B82F56">
      <w:pPr>
        <w:jc w:val="both"/>
        <w:rPr>
          <w:rFonts w:ascii="Times New Roman" w:hAnsi="Times New Roman"/>
          <w:i/>
          <w:noProof/>
          <w:sz w:val="24"/>
        </w:rPr>
      </w:pPr>
      <w:r w:rsidRPr="002F45D6">
        <w:rPr>
          <w:rFonts w:ascii="Times New Roman" w:hAnsi="Times New Roman"/>
          <w:i/>
          <w:noProof/>
          <w:sz w:val="24"/>
        </w:rPr>
        <w:t>Komisja:</w:t>
      </w:r>
    </w:p>
    <w:p w14:paraId="7BEE842D" w14:textId="3454144E" w:rsidR="00B82F56" w:rsidRPr="002F45D6" w:rsidRDefault="00F74434" w:rsidP="009232E8">
      <w:pPr>
        <w:numPr>
          <w:ilvl w:val="0"/>
          <w:numId w:val="59"/>
        </w:numPr>
        <w:spacing w:after="0" w:line="252" w:lineRule="auto"/>
        <w:contextualSpacing/>
        <w:jc w:val="both"/>
        <w:rPr>
          <w:rFonts w:ascii="Times New Roman" w:hAnsi="Times New Roman"/>
          <w:i/>
          <w:noProof/>
          <w:sz w:val="24"/>
        </w:rPr>
      </w:pPr>
      <w:r w:rsidRPr="002F45D6">
        <w:rPr>
          <w:rFonts w:ascii="Times New Roman" w:hAnsi="Times New Roman"/>
          <w:i/>
          <w:noProof/>
          <w:sz w:val="24"/>
        </w:rPr>
        <w:t>poprawi wykorzystanie</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abs</w:t>
      </w:r>
      <w:r w:rsidRPr="002F45D6">
        <w:rPr>
          <w:rFonts w:ascii="Times New Roman" w:hAnsi="Times New Roman"/>
          <w:i/>
          <w:noProof/>
          <w:sz w:val="24"/>
        </w:rPr>
        <w:t>orpcję istniejących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now</w:t>
      </w:r>
      <w:r w:rsidRPr="002F45D6">
        <w:rPr>
          <w:rFonts w:ascii="Times New Roman" w:hAnsi="Times New Roman"/>
          <w:i/>
          <w:noProof/>
          <w:sz w:val="24"/>
        </w:rPr>
        <w:t>ych przełomowych odkryć naukowych za pośrednictwem Europejskiej Rady ds. Innowacji</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Eur</w:t>
      </w:r>
      <w:r w:rsidRPr="002F45D6">
        <w:rPr>
          <w:rFonts w:ascii="Times New Roman" w:hAnsi="Times New Roman"/>
          <w:i/>
          <w:noProof/>
          <w:sz w:val="24"/>
        </w:rPr>
        <w:t>opejskiego Instytutu Innowacji</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Tec</w:t>
      </w:r>
      <w:r w:rsidRPr="002F45D6">
        <w:rPr>
          <w:rFonts w:ascii="Times New Roman" w:hAnsi="Times New Roman"/>
          <w:i/>
          <w:noProof/>
          <w:sz w:val="24"/>
        </w:rPr>
        <w:t>hnologii zgodnie</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Now</w:t>
      </w:r>
      <w:r w:rsidRPr="002F45D6">
        <w:rPr>
          <w:rFonts w:ascii="Times New Roman" w:hAnsi="Times New Roman"/>
          <w:i/>
          <w:noProof/>
          <w:sz w:val="24"/>
        </w:rPr>
        <w:t>ym europejskim planem na rzecz innowacji,</w:t>
      </w:r>
    </w:p>
    <w:p w14:paraId="0851ABBA" w14:textId="7F4FCED0" w:rsidR="00B82F56" w:rsidRPr="002F45D6" w:rsidRDefault="00B82F56" w:rsidP="009232E8">
      <w:pPr>
        <w:numPr>
          <w:ilvl w:val="0"/>
          <w:numId w:val="59"/>
        </w:numPr>
        <w:spacing w:after="0" w:line="252" w:lineRule="auto"/>
        <w:contextualSpacing/>
        <w:jc w:val="both"/>
        <w:rPr>
          <w:rFonts w:ascii="Times New Roman" w:hAnsi="Times New Roman"/>
          <w:i/>
          <w:noProof/>
          <w:sz w:val="24"/>
        </w:rPr>
      </w:pPr>
      <w:r w:rsidRPr="002F45D6">
        <w:rPr>
          <w:rFonts w:ascii="Times New Roman" w:hAnsi="Times New Roman"/>
          <w:i/>
          <w:noProof/>
          <w:sz w:val="24"/>
        </w:rPr>
        <w:t>przedstawi wraz</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pań</w:t>
      </w:r>
      <w:r w:rsidRPr="002F45D6">
        <w:rPr>
          <w:rFonts w:ascii="Times New Roman" w:hAnsi="Times New Roman"/>
          <w:i/>
          <w:noProof/>
          <w:sz w:val="24"/>
        </w:rPr>
        <w:t>stwami członkowskimi skoordynowany plan działania</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materiałów zaawansowanych,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tym</w:t>
      </w:r>
      <w:r w:rsidRPr="002F45D6">
        <w:rPr>
          <w:rFonts w:ascii="Times New Roman" w:hAnsi="Times New Roman"/>
          <w:i/>
          <w:noProof/>
          <w:sz w:val="24"/>
        </w:rPr>
        <w:t xml:space="preserve"> zastępowania surowców krytycznych,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zapewnienia inwestycji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bad</w:t>
      </w:r>
      <w:r w:rsidRPr="002F45D6">
        <w:rPr>
          <w:rFonts w:ascii="Times New Roman" w:hAnsi="Times New Roman"/>
          <w:i/>
          <w:noProof/>
          <w:sz w:val="24"/>
        </w:rPr>
        <w:t>ania naukowe</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inn</w:t>
      </w:r>
      <w:r w:rsidRPr="002F45D6">
        <w:rPr>
          <w:rFonts w:ascii="Times New Roman" w:hAnsi="Times New Roman"/>
          <w:i/>
          <w:noProof/>
          <w:sz w:val="24"/>
        </w:rPr>
        <w:t>owacje na poziomie współmiernym do wyzwań,</w:t>
      </w:r>
    </w:p>
    <w:p w14:paraId="4035ACCD" w14:textId="18941FB4" w:rsidR="00B82F56" w:rsidRPr="002F45D6" w:rsidRDefault="00B82F56" w:rsidP="009232E8">
      <w:pPr>
        <w:numPr>
          <w:ilvl w:val="0"/>
          <w:numId w:val="59"/>
        </w:numPr>
        <w:spacing w:after="0" w:line="252" w:lineRule="auto"/>
        <w:contextualSpacing/>
        <w:jc w:val="both"/>
        <w:rPr>
          <w:rFonts w:ascii="Times New Roman" w:hAnsi="Times New Roman"/>
          <w:i/>
          <w:noProof/>
          <w:sz w:val="24"/>
        </w:rPr>
      </w:pPr>
      <w:r w:rsidRPr="002F45D6">
        <w:rPr>
          <w:rFonts w:ascii="Times New Roman" w:hAnsi="Times New Roman"/>
          <w:i/>
          <w:noProof/>
          <w:sz w:val="24"/>
        </w:rPr>
        <w:t>opracuje strategiczny plan wdrażania za pośrednictwem istniejącego forum zainteresowanych stron, który</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nad</w:t>
      </w:r>
      <w:r w:rsidRPr="002F45D6">
        <w:rPr>
          <w:rFonts w:ascii="Times New Roman" w:hAnsi="Times New Roman"/>
          <w:i/>
          <w:noProof/>
          <w:sz w:val="24"/>
        </w:rPr>
        <w:t>chodzących latach będzie wyznacznikiem priorytetów UE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badań naukowych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inn</w:t>
      </w:r>
      <w:r w:rsidRPr="002F45D6">
        <w:rPr>
          <w:rFonts w:ascii="Times New Roman" w:hAnsi="Times New Roman"/>
          <w:i/>
          <w:noProof/>
          <w:sz w:val="24"/>
        </w:rPr>
        <w:t>owacji.</w:t>
      </w:r>
    </w:p>
    <w:p w14:paraId="2FFFF270" w14:textId="04A303B0" w:rsidR="00120CA4" w:rsidRPr="002F45D6" w:rsidRDefault="00120CA4" w:rsidP="00041024">
      <w:pPr>
        <w:spacing w:before="120"/>
        <w:jc w:val="both"/>
        <w:rPr>
          <w:rFonts w:ascii="Times New Roman" w:hAnsi="Times New Roman" w:cs="Times New Roman"/>
          <w:b/>
          <w:bCs/>
          <w:noProof/>
          <w:sz w:val="24"/>
        </w:rPr>
      </w:pPr>
    </w:p>
    <w:p w14:paraId="26315B17" w14:textId="67752A02" w:rsidR="000B5AFE" w:rsidRPr="002F45D6" w:rsidRDefault="000B5AFE" w:rsidP="00080DEA">
      <w:pPr>
        <w:pStyle w:val="ListParagraph"/>
        <w:keepNext/>
        <w:numPr>
          <w:ilvl w:val="0"/>
          <w:numId w:val="32"/>
        </w:numPr>
        <w:spacing w:before="120"/>
        <w:contextualSpacing w:val="0"/>
        <w:jc w:val="both"/>
        <w:rPr>
          <w:rFonts w:ascii="Times New Roman" w:hAnsi="Times New Roman" w:cs="Times New Roman"/>
          <w:b/>
          <w:noProof/>
          <w:sz w:val="24"/>
        </w:rPr>
      </w:pPr>
      <w:r w:rsidRPr="002F45D6">
        <w:rPr>
          <w:rFonts w:ascii="Times New Roman" w:hAnsi="Times New Roman"/>
          <w:b/>
          <w:noProof/>
          <w:sz w:val="24"/>
        </w:rPr>
        <w:t>Większa dywersyfikacja dostaw</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par</w:t>
      </w:r>
      <w:r w:rsidRPr="002F45D6">
        <w:rPr>
          <w:rFonts w:ascii="Times New Roman" w:hAnsi="Times New Roman"/>
          <w:b/>
          <w:noProof/>
          <w:sz w:val="24"/>
        </w:rPr>
        <w:t>tnerstwa przynoszące obopólne korzyści we wspieraniu produkcji globalnej</w:t>
      </w:r>
    </w:p>
    <w:p w14:paraId="1C3C5135" w14:textId="4B4D6100" w:rsidR="00315BD5" w:rsidRPr="002F45D6" w:rsidRDefault="000B5AFE" w:rsidP="00080DEA">
      <w:pPr>
        <w:jc w:val="both"/>
        <w:rPr>
          <w:rFonts w:ascii="Times New Roman" w:hAnsi="Times New Roman" w:cs="Times New Roman"/>
          <w:noProof/>
          <w:sz w:val="24"/>
          <w:szCs w:val="24"/>
        </w:rPr>
      </w:pPr>
      <w:r w:rsidRPr="002F45D6">
        <w:rPr>
          <w:rFonts w:ascii="Times New Roman" w:hAnsi="Times New Roman"/>
          <w:noProof/>
          <w:sz w:val="24"/>
        </w:rPr>
        <w:t>Realizacja dwojakiej transformacji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zwi</w:t>
      </w:r>
      <w:r w:rsidRPr="002F45D6">
        <w:rPr>
          <w:rFonts w:ascii="Times New Roman" w:hAnsi="Times New Roman"/>
          <w:noProof/>
          <w:sz w:val="24"/>
        </w:rPr>
        <w:t>ększenie zdolności obronnych w UE będzie nadal zależeć od przywozu surowców. Już teraz UE aktywnie pracuje nad szerokim wachlarzem narzędzi ułatwiających handel, inwestycje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wsp</w:t>
      </w:r>
      <w:r w:rsidRPr="002F45D6">
        <w:rPr>
          <w:rFonts w:ascii="Times New Roman" w:hAnsi="Times New Roman"/>
          <w:noProof/>
          <w:sz w:val="24"/>
        </w:rPr>
        <w:t>ółpracę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u otwarcia możliwości na całym świecie, co zwiększa bezpieczeństwo</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ystępność cenową surowców krytycznych. Biorąc pod uwagę obecne wyzwania, narzędzia te muszą być wdrażane równocześnie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zai</w:t>
      </w:r>
      <w:r w:rsidRPr="002F45D6">
        <w:rPr>
          <w:rFonts w:ascii="Times New Roman" w:hAnsi="Times New Roman"/>
          <w:noProof/>
          <w:sz w:val="24"/>
        </w:rPr>
        <w:t>nteresowanymi krajami partnerskimi, aby okazały się faktycznie skuteczne. Należy poszukiwać synergii między różnymi dostępnymi narzędziami, aby zapewnić spójne podejście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sku</w:t>
      </w:r>
      <w:r w:rsidRPr="002F45D6">
        <w:rPr>
          <w:rFonts w:ascii="Times New Roman" w:hAnsi="Times New Roman"/>
          <w:noProof/>
          <w:sz w:val="24"/>
        </w:rPr>
        <w:t>tecznie osiągnąć rezultaty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jak</w:t>
      </w:r>
      <w:r w:rsidRPr="002F45D6">
        <w:rPr>
          <w:rFonts w:ascii="Times New Roman" w:hAnsi="Times New Roman"/>
          <w:noProof/>
          <w:sz w:val="24"/>
        </w:rPr>
        <w:t xml:space="preserve"> najkrótszym czasie,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 przez strategię Global Gateway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jej</w:t>
      </w:r>
      <w:r w:rsidRPr="002F45D6">
        <w:rPr>
          <w:rFonts w:ascii="Times New Roman" w:hAnsi="Times New Roman"/>
          <w:noProof/>
          <w:sz w:val="24"/>
        </w:rPr>
        <w:t xml:space="preserve"> wdrożenie oraz przez wykorzystanie instrumentów finansowych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pol</w:t>
      </w:r>
      <w:r w:rsidRPr="002F45D6">
        <w:rPr>
          <w:rFonts w:ascii="Times New Roman" w:hAnsi="Times New Roman"/>
          <w:noProof/>
          <w:sz w:val="24"/>
        </w:rPr>
        <w:t>itycznych UE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 członkowskich UE. Wzmocniona koordynacja wszystkich działań międzynarodowych UE zostanie zapewniona przez utworzenie specjalnej grupy roboczej ds. działań zewnętrznych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surowców krytycznych we współpracy</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ist</w:t>
      </w:r>
      <w:r w:rsidRPr="002F45D6">
        <w:rPr>
          <w:rFonts w:ascii="Times New Roman" w:hAnsi="Times New Roman"/>
          <w:noProof/>
          <w:sz w:val="24"/>
        </w:rPr>
        <w:t>niejącymi odpowiednimi strukturami,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 strukturami związanymi ze strategią Global Gateway.</w:t>
      </w:r>
    </w:p>
    <w:p w14:paraId="2659C606" w14:textId="29974AC2" w:rsidR="00107FF2" w:rsidRPr="002F45D6" w:rsidRDefault="00107FF2" w:rsidP="00107FF2">
      <w:pPr>
        <w:rPr>
          <w:rFonts w:ascii="Times New Roman" w:hAnsi="Times New Roman" w:cs="Times New Roman"/>
          <w:b/>
          <w:i/>
          <w:iCs/>
          <w:noProof/>
          <w:sz w:val="24"/>
          <w:szCs w:val="24"/>
        </w:rPr>
      </w:pPr>
      <w:r w:rsidRPr="002F45D6">
        <w:rPr>
          <w:rFonts w:ascii="Times New Roman" w:hAnsi="Times New Roman"/>
          <w:b/>
          <w:i/>
          <w:noProof/>
          <w:sz w:val="24"/>
        </w:rPr>
        <w:t>III.1. Klub Surowców Krytycznych: Współpraca</w:t>
      </w:r>
      <w:r w:rsidR="002F45D6" w:rsidRPr="002F45D6">
        <w:rPr>
          <w:rFonts w:ascii="Times New Roman" w:hAnsi="Times New Roman"/>
          <w:b/>
          <w:i/>
          <w:noProof/>
          <w:sz w:val="24"/>
        </w:rPr>
        <w:t xml:space="preserve"> z</w:t>
      </w:r>
      <w:r w:rsidR="002F45D6">
        <w:rPr>
          <w:rFonts w:ascii="Times New Roman" w:hAnsi="Times New Roman"/>
          <w:b/>
          <w:i/>
          <w:noProof/>
          <w:sz w:val="24"/>
        </w:rPr>
        <w:t> </w:t>
      </w:r>
      <w:r w:rsidR="002F45D6" w:rsidRPr="002F45D6">
        <w:rPr>
          <w:rFonts w:ascii="Times New Roman" w:hAnsi="Times New Roman"/>
          <w:b/>
          <w:i/>
          <w:noProof/>
          <w:sz w:val="24"/>
        </w:rPr>
        <w:t>zai</w:t>
      </w:r>
      <w:r w:rsidRPr="002F45D6">
        <w:rPr>
          <w:rFonts w:ascii="Times New Roman" w:hAnsi="Times New Roman"/>
          <w:b/>
          <w:i/>
          <w:noProof/>
          <w:sz w:val="24"/>
        </w:rPr>
        <w:t>nteresowanymi partnerami</w:t>
      </w:r>
    </w:p>
    <w:p w14:paraId="5F1E7792" w14:textId="3EA1E3BF" w:rsidR="008A0885" w:rsidRPr="002F45D6" w:rsidRDefault="00107FF2" w:rsidP="00F57A22">
      <w:pPr>
        <w:spacing w:after="0" w:line="240" w:lineRule="auto"/>
        <w:jc w:val="both"/>
        <w:rPr>
          <w:rFonts w:ascii="Times New Roman" w:hAnsi="Times New Roman" w:cs="Times New Roman"/>
          <w:noProof/>
          <w:sz w:val="24"/>
        </w:rPr>
      </w:pPr>
      <w:r w:rsidRPr="002F45D6">
        <w:rPr>
          <w:rFonts w:ascii="Times New Roman" w:hAnsi="Times New Roman"/>
          <w:noProof/>
          <w:sz w:val="24"/>
        </w:rPr>
        <w:t>Dostęp do bezpiecznych, przystępnych cenowo</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wnoważonych dostaw surowców krytycznych jest wspólnym problemem wielu partnerów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klu</w:t>
      </w:r>
      <w:r w:rsidRPr="002F45D6">
        <w:rPr>
          <w:rFonts w:ascii="Times New Roman" w:hAnsi="Times New Roman"/>
          <w:noProof/>
          <w:sz w:val="24"/>
        </w:rPr>
        <w:t>czowym tematem na wielu forach międzyrządowych (takich jak G7, G20, Międzynarodowa Agencja Energetyczna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Mię</w:t>
      </w:r>
      <w:r w:rsidRPr="002F45D6">
        <w:rPr>
          <w:rFonts w:ascii="Times New Roman" w:hAnsi="Times New Roman"/>
          <w:noProof/>
          <w:sz w:val="24"/>
        </w:rPr>
        <w:t>dzynarodowa Agencja Energii Odnawialnej) oraz</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inicjatyw takich jak partnerstwo na rzecz bezpieczeństwa surowców mineralnych</w:t>
      </w:r>
      <w:r w:rsidRPr="002F45D6">
        <w:rPr>
          <w:rStyle w:val="FootnoteReference"/>
          <w:rFonts w:ascii="Times New Roman" w:hAnsi="Times New Roman" w:cs="Times New Roman"/>
          <w:noProof/>
          <w:sz w:val="24"/>
        </w:rPr>
        <w:footnoteReference w:id="14"/>
      </w:r>
      <w:r w:rsidRPr="002F45D6">
        <w:rPr>
          <w:rFonts w:ascii="Times New Roman" w:hAnsi="Times New Roman"/>
          <w:noProof/>
          <w:sz w:val="24"/>
        </w:rPr>
        <w:t xml:space="preserve"> lub partnerstwa strategiczne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stwami trzecimi. Ponadto współpraca międzynarodowa ma zasadnicze znaczenie dla przeciwdziałania dominacji rynkowej niektórych państw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wiązania problemów związanych ze zrównoważonością.</w:t>
      </w:r>
    </w:p>
    <w:p w14:paraId="639E6716" w14:textId="77777777" w:rsidR="008A0885" w:rsidRPr="002F45D6" w:rsidRDefault="008A0885" w:rsidP="00F57A22">
      <w:pPr>
        <w:spacing w:after="0" w:line="240" w:lineRule="auto"/>
        <w:jc w:val="both"/>
        <w:rPr>
          <w:rFonts w:ascii="Times New Roman" w:hAnsi="Times New Roman" w:cs="Times New Roman"/>
          <w:noProof/>
          <w:sz w:val="24"/>
        </w:rPr>
      </w:pPr>
      <w:bookmarkStart w:id="9" w:name="_Hlk127866752"/>
    </w:p>
    <w:p w14:paraId="60DD7D8A" w14:textId="0BFE72DB" w:rsidR="00DB4CE6" w:rsidRPr="002F45D6" w:rsidRDefault="00107FF2" w:rsidP="00F57A22">
      <w:pPr>
        <w:spacing w:after="0" w:line="240" w:lineRule="auto"/>
        <w:jc w:val="both"/>
        <w:rPr>
          <w:rFonts w:ascii="Times New Roman" w:hAnsi="Times New Roman" w:cs="Times New Roman"/>
          <w:noProof/>
          <w:sz w:val="24"/>
        </w:rPr>
      </w:pPr>
      <w:r w:rsidRPr="002F45D6">
        <w:rPr>
          <w:rFonts w:ascii="Times New Roman" w:hAnsi="Times New Roman"/>
          <w:noProof/>
          <w:sz w:val="24"/>
        </w:rPr>
        <w:t>UE powinna uzupełniać te różnorodne działania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opi</w:t>
      </w:r>
      <w:r w:rsidRPr="002F45D6">
        <w:rPr>
          <w:rFonts w:ascii="Times New Roman" w:hAnsi="Times New Roman"/>
          <w:noProof/>
          <w:sz w:val="24"/>
        </w:rPr>
        <w:t xml:space="preserve">erać się na nich, tworząc </w:t>
      </w:r>
      <w:r w:rsidRPr="002F45D6">
        <w:rPr>
          <w:rFonts w:ascii="Times New Roman" w:hAnsi="Times New Roman"/>
          <w:b/>
          <w:noProof/>
          <w:sz w:val="24"/>
        </w:rPr>
        <w:t>Klub Surowców Krytycznych</w:t>
      </w:r>
      <w:r w:rsidRPr="002F45D6">
        <w:rPr>
          <w:rFonts w:ascii="Times New Roman" w:hAnsi="Times New Roman"/>
          <w:noProof/>
          <w:sz w:val="24"/>
        </w:rPr>
        <w:t xml:space="preserve"> skupiający kraje konsumujące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bog</w:t>
      </w:r>
      <w:r w:rsidRPr="002F45D6">
        <w:rPr>
          <w:rFonts w:ascii="Times New Roman" w:hAnsi="Times New Roman"/>
          <w:noProof/>
          <w:sz w:val="24"/>
        </w:rPr>
        <w:t>ate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oby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u promowania bezpiecznych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wnoważonych dostaw surowców krytycznych. UE powinna wspólnie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par</w:t>
      </w:r>
      <w:r w:rsidRPr="002F45D6">
        <w:rPr>
          <w:rFonts w:ascii="Times New Roman" w:hAnsi="Times New Roman"/>
          <w:noProof/>
          <w:sz w:val="24"/>
        </w:rPr>
        <w:t>tnerami propagować niezawodne, oparte na zasadach handlu, przejrzyste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yjazne dla środowiska dostawy surowców krytycznych</w:t>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 Klub Surowców Krytycznych powinien wspierać zrównoważone inwestycje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kra</w:t>
      </w:r>
      <w:r w:rsidRPr="002F45D6">
        <w:rPr>
          <w:rFonts w:ascii="Times New Roman" w:hAnsi="Times New Roman"/>
          <w:noProof/>
          <w:sz w:val="24"/>
        </w:rPr>
        <w:t>jach produkujących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umo</w:t>
      </w:r>
      <w:r w:rsidRPr="002F45D6">
        <w:rPr>
          <w:rFonts w:ascii="Times New Roman" w:hAnsi="Times New Roman"/>
          <w:noProof/>
          <w:sz w:val="24"/>
        </w:rPr>
        <w:t>żliwiać im uczestnictwo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wyż</w:t>
      </w:r>
      <w:r w:rsidRPr="002F45D6">
        <w:rPr>
          <w:rFonts w:ascii="Times New Roman" w:hAnsi="Times New Roman"/>
          <w:noProof/>
          <w:sz w:val="24"/>
        </w:rPr>
        <w:t>szych etapach łańcucha wartości.</w:t>
      </w:r>
    </w:p>
    <w:p w14:paraId="57EA89A0" w14:textId="77777777" w:rsidR="008A0885" w:rsidRPr="002F45D6" w:rsidRDefault="008A0885" w:rsidP="00107FF2">
      <w:pPr>
        <w:jc w:val="both"/>
        <w:rPr>
          <w:rFonts w:ascii="Times New Roman" w:hAnsi="Times New Roman" w:cs="Times New Roman"/>
          <w:noProof/>
          <w:sz w:val="24"/>
        </w:rPr>
      </w:pPr>
    </w:p>
    <w:p w14:paraId="053D9EAE" w14:textId="48F909BD" w:rsidR="00107FF2" w:rsidRPr="002F45D6" w:rsidRDefault="00980CF4" w:rsidP="00107FF2">
      <w:pPr>
        <w:jc w:val="both"/>
        <w:rPr>
          <w:rFonts w:ascii="Times New Roman" w:hAnsi="Times New Roman" w:cs="Times New Roman"/>
          <w:noProof/>
          <w:sz w:val="24"/>
        </w:rPr>
      </w:pPr>
      <w:r w:rsidRPr="002F45D6">
        <w:rPr>
          <w:rFonts w:ascii="Times New Roman" w:hAnsi="Times New Roman"/>
          <w:noProof/>
          <w:sz w:val="24"/>
        </w:rPr>
        <w:t>Klub byłby otwarty dla stron</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zbi</w:t>
      </w:r>
      <w:r w:rsidRPr="002F45D6">
        <w:rPr>
          <w:rFonts w:ascii="Times New Roman" w:hAnsi="Times New Roman"/>
          <w:noProof/>
          <w:sz w:val="24"/>
        </w:rPr>
        <w:t>eżnych poglądach, chętnych do opracowania następujących działań</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opa</w:t>
      </w:r>
      <w:r w:rsidRPr="002F45D6">
        <w:rPr>
          <w:rFonts w:ascii="Times New Roman" w:hAnsi="Times New Roman"/>
          <w:noProof/>
          <w:sz w:val="24"/>
        </w:rPr>
        <w:t>rciu</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uzg</w:t>
      </w:r>
      <w:r w:rsidRPr="002F45D6">
        <w:rPr>
          <w:rFonts w:ascii="Times New Roman" w:hAnsi="Times New Roman"/>
          <w:noProof/>
          <w:sz w:val="24"/>
        </w:rPr>
        <w:t xml:space="preserve">odniony zestaw zasad: </w:t>
      </w:r>
    </w:p>
    <w:bookmarkEnd w:id="9"/>
    <w:p w14:paraId="27FD1D41" w14:textId="0AE53CD0" w:rsidR="00107FF2" w:rsidRPr="002F45D6" w:rsidRDefault="00107FF2" w:rsidP="00107FF2">
      <w:pPr>
        <w:pStyle w:val="ListParagraph"/>
        <w:numPr>
          <w:ilvl w:val="0"/>
          <w:numId w:val="27"/>
        </w:numPr>
        <w:ind w:left="360"/>
        <w:jc w:val="both"/>
        <w:rPr>
          <w:rFonts w:ascii="Times New Roman" w:hAnsi="Times New Roman" w:cs="Times New Roman"/>
          <w:noProof/>
          <w:sz w:val="24"/>
        </w:rPr>
      </w:pPr>
      <w:r w:rsidRPr="002F45D6">
        <w:rPr>
          <w:rFonts w:ascii="Times New Roman" w:hAnsi="Times New Roman"/>
          <w:noProof/>
          <w:sz w:val="24"/>
        </w:rPr>
        <w:t>Poprawa monitorowania rozwoju sytuacji rynkowej</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wym</w:t>
      </w:r>
      <w:r w:rsidRPr="002F45D6">
        <w:rPr>
          <w:rFonts w:ascii="Times New Roman" w:hAnsi="Times New Roman"/>
          <w:noProof/>
          <w:sz w:val="24"/>
        </w:rPr>
        <w:t>iany wiedzy</w:t>
      </w:r>
    </w:p>
    <w:p w14:paraId="30415D96" w14:textId="5FC4DEFC" w:rsidR="00107FF2" w:rsidRPr="002F45D6" w:rsidRDefault="00107FF2" w:rsidP="00F57A22">
      <w:pPr>
        <w:pStyle w:val="ListParagraph"/>
        <w:numPr>
          <w:ilvl w:val="0"/>
          <w:numId w:val="27"/>
        </w:numPr>
        <w:spacing w:line="256" w:lineRule="auto"/>
        <w:ind w:left="360"/>
        <w:jc w:val="both"/>
        <w:rPr>
          <w:rFonts w:ascii="Times New Roman" w:hAnsi="Times New Roman" w:cs="Times New Roman"/>
          <w:noProof/>
          <w:sz w:val="24"/>
        </w:rPr>
      </w:pPr>
      <w:r w:rsidRPr="002F45D6">
        <w:rPr>
          <w:rFonts w:ascii="Times New Roman" w:hAnsi="Times New Roman"/>
          <w:noProof/>
          <w:sz w:val="24"/>
        </w:rPr>
        <w:t xml:space="preserve">Intensyfikacja działań poszukiwawczych </w:t>
      </w:r>
    </w:p>
    <w:p w14:paraId="3B934C5F" w14:textId="08303AE0" w:rsidR="00107FF2" w:rsidRPr="002F45D6" w:rsidRDefault="00107FF2" w:rsidP="00107FF2">
      <w:pPr>
        <w:pStyle w:val="ListParagraph"/>
        <w:numPr>
          <w:ilvl w:val="0"/>
          <w:numId w:val="27"/>
        </w:numPr>
        <w:ind w:left="360"/>
        <w:jc w:val="both"/>
        <w:rPr>
          <w:rFonts w:ascii="Times New Roman" w:hAnsi="Times New Roman" w:cs="Times New Roman"/>
          <w:noProof/>
          <w:sz w:val="24"/>
        </w:rPr>
      </w:pPr>
      <w:r w:rsidRPr="002F45D6">
        <w:rPr>
          <w:rFonts w:ascii="Times New Roman" w:hAnsi="Times New Roman"/>
          <w:noProof/>
          <w:sz w:val="24"/>
        </w:rPr>
        <w:t>Rozwój otoczenia sprzyjającego zrównoważonym inwestycjom</w:t>
      </w:r>
    </w:p>
    <w:p w14:paraId="3498C59E" w14:textId="4483509F" w:rsidR="00107FF2" w:rsidRPr="002F45D6" w:rsidRDefault="00107FF2" w:rsidP="00107FF2">
      <w:pPr>
        <w:pStyle w:val="ListParagraph"/>
        <w:numPr>
          <w:ilvl w:val="0"/>
          <w:numId w:val="27"/>
        </w:numPr>
        <w:ind w:left="360"/>
        <w:jc w:val="both"/>
        <w:rPr>
          <w:rFonts w:ascii="Times New Roman" w:hAnsi="Times New Roman" w:cs="Times New Roman"/>
          <w:noProof/>
          <w:sz w:val="24"/>
        </w:rPr>
      </w:pPr>
      <w:r w:rsidRPr="002F45D6">
        <w:rPr>
          <w:rFonts w:ascii="Times New Roman" w:hAnsi="Times New Roman"/>
          <w:noProof/>
          <w:sz w:val="24"/>
        </w:rPr>
        <w:t>Skrócenie czasu wprowadzania projektów inwestycyjnych na rynek</w:t>
      </w:r>
    </w:p>
    <w:p w14:paraId="706774C2" w14:textId="1FDB2CEB" w:rsidR="00107FF2" w:rsidRPr="002F45D6" w:rsidRDefault="00107FF2" w:rsidP="00107FF2">
      <w:pPr>
        <w:pStyle w:val="ListParagraph"/>
        <w:numPr>
          <w:ilvl w:val="0"/>
          <w:numId w:val="27"/>
        </w:numPr>
        <w:ind w:left="360"/>
        <w:jc w:val="both"/>
        <w:rPr>
          <w:rFonts w:ascii="Times New Roman" w:hAnsi="Times New Roman" w:cs="Times New Roman"/>
          <w:noProof/>
          <w:sz w:val="24"/>
        </w:rPr>
      </w:pPr>
      <w:r w:rsidRPr="002F45D6">
        <w:rPr>
          <w:rFonts w:ascii="Times New Roman" w:hAnsi="Times New Roman"/>
          <w:noProof/>
          <w:sz w:val="24"/>
        </w:rPr>
        <w:t>Ułatwianie dostępu do rynku przez współpracę regulacyjną</w:t>
      </w:r>
    </w:p>
    <w:p w14:paraId="3656F981" w14:textId="0CF6ED85" w:rsidR="00520303" w:rsidRPr="002F45D6" w:rsidRDefault="00520303" w:rsidP="00107FF2">
      <w:pPr>
        <w:pStyle w:val="ListParagraph"/>
        <w:numPr>
          <w:ilvl w:val="0"/>
          <w:numId w:val="27"/>
        </w:numPr>
        <w:ind w:left="360"/>
        <w:jc w:val="both"/>
        <w:rPr>
          <w:rFonts w:ascii="Times New Roman" w:hAnsi="Times New Roman" w:cs="Times New Roman"/>
          <w:noProof/>
          <w:sz w:val="24"/>
        </w:rPr>
      </w:pPr>
      <w:r w:rsidRPr="002F45D6">
        <w:rPr>
          <w:rFonts w:ascii="Times New Roman" w:hAnsi="Times New Roman"/>
          <w:noProof/>
          <w:sz w:val="24"/>
        </w:rPr>
        <w:t>Współpraca na rzecz propagowania praw pracowniczych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spo</w:t>
      </w:r>
      <w:r w:rsidRPr="002F45D6">
        <w:rPr>
          <w:rFonts w:ascii="Times New Roman" w:hAnsi="Times New Roman"/>
          <w:noProof/>
          <w:sz w:val="24"/>
        </w:rPr>
        <w:t>łecznie odpowiedzialnych praktyk</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cuchach dostaw surowców krytycznych</w:t>
      </w:r>
    </w:p>
    <w:p w14:paraId="62140FC2" w14:textId="1FCAB77A" w:rsidR="00107FF2" w:rsidRPr="002F45D6" w:rsidRDefault="00107FF2" w:rsidP="00107FF2">
      <w:pPr>
        <w:pStyle w:val="ListParagraph"/>
        <w:numPr>
          <w:ilvl w:val="0"/>
          <w:numId w:val="27"/>
        </w:numPr>
        <w:ind w:left="360"/>
        <w:jc w:val="both"/>
        <w:rPr>
          <w:rFonts w:ascii="Times New Roman" w:hAnsi="Times New Roman" w:cs="Times New Roman"/>
          <w:noProof/>
          <w:sz w:val="24"/>
        </w:rPr>
      </w:pPr>
      <w:r w:rsidRPr="002F45D6">
        <w:rPr>
          <w:rFonts w:ascii="Times New Roman" w:hAnsi="Times New Roman"/>
          <w:noProof/>
          <w:sz w:val="24"/>
        </w:rPr>
        <w:t>Propagowanie zrównoważonej gospodarki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obi</w:t>
      </w:r>
      <w:r w:rsidRPr="002F45D6">
        <w:rPr>
          <w:rFonts w:ascii="Times New Roman" w:hAnsi="Times New Roman"/>
          <w:noProof/>
          <w:sz w:val="24"/>
        </w:rPr>
        <w:t>egu zamkniętym, która działa ponad granicami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słu</w:t>
      </w:r>
      <w:r w:rsidRPr="002F45D6">
        <w:rPr>
          <w:rFonts w:ascii="Times New Roman" w:hAnsi="Times New Roman"/>
          <w:noProof/>
          <w:sz w:val="24"/>
        </w:rPr>
        <w:t>ży rozszerzeniu wysokiej jakości zdolności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recyklingu</w:t>
      </w:r>
    </w:p>
    <w:p w14:paraId="35B286A4" w14:textId="369F418D" w:rsidR="00107FF2" w:rsidRPr="002F45D6" w:rsidRDefault="00107FF2" w:rsidP="00107FF2">
      <w:pPr>
        <w:pStyle w:val="ListParagraph"/>
        <w:numPr>
          <w:ilvl w:val="0"/>
          <w:numId w:val="27"/>
        </w:numPr>
        <w:ind w:left="360"/>
        <w:jc w:val="both"/>
        <w:rPr>
          <w:rFonts w:ascii="Times New Roman" w:hAnsi="Times New Roman" w:cs="Times New Roman"/>
          <w:noProof/>
          <w:sz w:val="24"/>
        </w:rPr>
      </w:pPr>
      <w:r w:rsidRPr="002F45D6">
        <w:rPr>
          <w:rFonts w:ascii="Times New Roman" w:hAnsi="Times New Roman"/>
          <w:noProof/>
          <w:sz w:val="24"/>
        </w:rPr>
        <w:t>Pobudzanie innowacji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sek</w:t>
      </w:r>
      <w:r w:rsidRPr="002F45D6">
        <w:rPr>
          <w:rFonts w:ascii="Times New Roman" w:hAnsi="Times New Roman"/>
          <w:noProof/>
          <w:sz w:val="24"/>
        </w:rPr>
        <w:t>torze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u stworzenia nowych źródeł dostaw</w:t>
      </w:r>
    </w:p>
    <w:p w14:paraId="7308AB8E" w14:textId="02D61F52" w:rsidR="00107FF2" w:rsidRPr="002F45D6" w:rsidRDefault="00107FF2" w:rsidP="00107FF2">
      <w:pPr>
        <w:pStyle w:val="ListParagraph"/>
        <w:numPr>
          <w:ilvl w:val="0"/>
          <w:numId w:val="27"/>
        </w:numPr>
        <w:ind w:left="360"/>
        <w:jc w:val="both"/>
        <w:rPr>
          <w:rFonts w:ascii="Times New Roman" w:hAnsi="Times New Roman" w:cs="Times New Roman"/>
          <w:noProof/>
          <w:sz w:val="24"/>
        </w:rPr>
      </w:pPr>
      <w:r w:rsidRPr="002F45D6">
        <w:rPr>
          <w:rFonts w:ascii="Times New Roman" w:hAnsi="Times New Roman"/>
          <w:noProof/>
          <w:sz w:val="24"/>
        </w:rPr>
        <w:t>Opracowanie skutecznego</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sko</w:t>
      </w:r>
      <w:r w:rsidRPr="002F45D6">
        <w:rPr>
          <w:rFonts w:ascii="Times New Roman" w:hAnsi="Times New Roman"/>
          <w:noProof/>
          <w:sz w:val="24"/>
        </w:rPr>
        <w:t>ordynowanego podejścia do przygotowania na sytuacje kryzysowe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rea</w:t>
      </w:r>
      <w:r w:rsidRPr="002F45D6">
        <w:rPr>
          <w:rFonts w:ascii="Times New Roman" w:hAnsi="Times New Roman"/>
          <w:noProof/>
          <w:sz w:val="24"/>
        </w:rPr>
        <w:t>gowania na nie</w:t>
      </w:r>
    </w:p>
    <w:p w14:paraId="2EAA49A4" w14:textId="68B6D289" w:rsidR="00107FF2" w:rsidRPr="002F45D6" w:rsidRDefault="006A273D" w:rsidP="00F57A22">
      <w:pPr>
        <w:jc w:val="both"/>
        <w:rPr>
          <w:rFonts w:ascii="Times New Roman" w:hAnsi="Times New Roman" w:cs="Times New Roman"/>
          <w:noProof/>
          <w:sz w:val="24"/>
        </w:rPr>
      </w:pPr>
      <w:r w:rsidRPr="002F45D6">
        <w:rPr>
          <w:rFonts w:ascii="Times New Roman" w:hAnsi="Times New Roman"/>
          <w:noProof/>
          <w:sz w:val="24"/>
        </w:rPr>
        <w:t>Komisja zaangażuje się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dys</w:t>
      </w:r>
      <w:r w:rsidRPr="002F45D6">
        <w:rPr>
          <w:rFonts w:ascii="Times New Roman" w:hAnsi="Times New Roman"/>
          <w:noProof/>
          <w:sz w:val="24"/>
        </w:rPr>
        <w:t>kusje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pot</w:t>
      </w:r>
      <w:r w:rsidRPr="002F45D6">
        <w:rPr>
          <w:rFonts w:ascii="Times New Roman" w:hAnsi="Times New Roman"/>
          <w:noProof/>
          <w:sz w:val="24"/>
        </w:rPr>
        <w:t>encjalnymi partnerami zainteresowanymi utworzeniem klubu. Negocjacje między UE a USA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ukierunkowanego porozumienia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krytycznych surowców mineralnych, zapowiedzianego 10 marca 2023</w:t>
      </w:r>
      <w:r w:rsidR="002F45D6" w:rsidRPr="002F45D6">
        <w:rPr>
          <w:rFonts w:ascii="Times New Roman" w:hAnsi="Times New Roman"/>
          <w:noProof/>
          <w:sz w:val="24"/>
        </w:rPr>
        <w:t> </w:t>
      </w:r>
      <w:r w:rsidRPr="002F45D6">
        <w:rPr>
          <w:rFonts w:ascii="Times New Roman" w:hAnsi="Times New Roman"/>
          <w:noProof/>
          <w:sz w:val="24"/>
        </w:rPr>
        <w:t>r., stanowią podstawę do działań na rzecz poszerzenia Klubu Surowców Krytycznych.</w:t>
      </w:r>
    </w:p>
    <w:p w14:paraId="5BBCD804" w14:textId="77777777" w:rsidR="00B41B88" w:rsidRPr="002F45D6" w:rsidRDefault="00B41B88" w:rsidP="00B41B88">
      <w:pPr>
        <w:jc w:val="both"/>
        <w:rPr>
          <w:rFonts w:ascii="Times New Roman" w:hAnsi="Times New Roman" w:cs="Times New Roman"/>
          <w:i/>
          <w:iCs/>
          <w:noProof/>
          <w:sz w:val="24"/>
          <w:szCs w:val="24"/>
        </w:rPr>
      </w:pPr>
      <w:r w:rsidRPr="002F45D6">
        <w:rPr>
          <w:rFonts w:ascii="Times New Roman" w:hAnsi="Times New Roman"/>
          <w:i/>
          <w:noProof/>
          <w:sz w:val="24"/>
        </w:rPr>
        <w:t>Komisja:</w:t>
      </w:r>
    </w:p>
    <w:p w14:paraId="51716975" w14:textId="366BB559" w:rsidR="0018793C" w:rsidRPr="002F45D6" w:rsidRDefault="0018793C" w:rsidP="0018793C">
      <w:pPr>
        <w:pStyle w:val="ListParagraph"/>
        <w:numPr>
          <w:ilvl w:val="0"/>
          <w:numId w:val="43"/>
        </w:numPr>
        <w:jc w:val="both"/>
        <w:rPr>
          <w:rFonts w:ascii="Times New Roman" w:hAnsi="Times New Roman" w:cs="Times New Roman"/>
          <w:i/>
          <w:iCs/>
          <w:noProof/>
          <w:sz w:val="24"/>
          <w:szCs w:val="24"/>
        </w:rPr>
      </w:pPr>
      <w:r w:rsidRPr="002F45D6">
        <w:rPr>
          <w:rFonts w:ascii="Times New Roman" w:hAnsi="Times New Roman"/>
          <w:i/>
          <w:noProof/>
          <w:sz w:val="24"/>
        </w:rPr>
        <w:t>utworzy Klub Surowców Krytycznych</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par</w:t>
      </w:r>
      <w:r w:rsidRPr="002F45D6">
        <w:rPr>
          <w:rFonts w:ascii="Times New Roman" w:hAnsi="Times New Roman"/>
          <w:i/>
          <w:noProof/>
          <w:sz w:val="24"/>
        </w:rPr>
        <w:t>tnerami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wzmocnienia łańcuchów dostaw, dywersyfikacji źródeł zaopatrzenia oraz dotarcia do wszystkich potencjalnych partnerów zainteresowanych utworzeniem tego sojuszu.</w:t>
      </w:r>
    </w:p>
    <w:p w14:paraId="6D73A8D2" w14:textId="77777777" w:rsidR="000E35B7" w:rsidRPr="002F45D6" w:rsidRDefault="000E35B7">
      <w:pPr>
        <w:rPr>
          <w:rFonts w:ascii="Times New Roman" w:hAnsi="Times New Roman" w:cs="Times New Roman"/>
          <w:i/>
          <w:iCs/>
          <w:noProof/>
          <w:sz w:val="24"/>
        </w:rPr>
      </w:pPr>
      <w:r w:rsidRPr="002F45D6">
        <w:rPr>
          <w:noProof/>
        </w:rPr>
        <w:br w:type="page"/>
      </w:r>
    </w:p>
    <w:p w14:paraId="1481960D" w14:textId="7E886688" w:rsidR="00A952E3" w:rsidRPr="002F45D6" w:rsidRDefault="00E00B14" w:rsidP="000E35B7">
      <w:pPr>
        <w:keepNext/>
        <w:keepLines/>
        <w:rPr>
          <w:rFonts w:ascii="Times New Roman" w:hAnsi="Times New Roman" w:cs="Times New Roman"/>
          <w:b/>
          <w:i/>
          <w:iCs/>
          <w:noProof/>
          <w:sz w:val="24"/>
          <w:szCs w:val="24"/>
        </w:rPr>
      </w:pPr>
      <w:r w:rsidRPr="002F45D6">
        <w:rPr>
          <w:rFonts w:ascii="Times New Roman" w:hAnsi="Times New Roman"/>
          <w:b/>
          <w:i/>
          <w:noProof/>
          <w:sz w:val="24"/>
        </w:rPr>
        <w:t>III.2. Ramowe umowy handlowe</w:t>
      </w:r>
      <w:r w:rsidR="002F45D6" w:rsidRPr="002F45D6">
        <w:rPr>
          <w:rFonts w:ascii="Times New Roman" w:hAnsi="Times New Roman"/>
          <w:b/>
          <w:i/>
          <w:noProof/>
          <w:sz w:val="24"/>
        </w:rPr>
        <w:t xml:space="preserve"> i</w:t>
      </w:r>
      <w:r w:rsidR="002F45D6">
        <w:rPr>
          <w:rFonts w:ascii="Times New Roman" w:hAnsi="Times New Roman"/>
          <w:b/>
          <w:i/>
          <w:noProof/>
          <w:sz w:val="24"/>
        </w:rPr>
        <w:t> </w:t>
      </w:r>
      <w:r w:rsidR="002F45D6" w:rsidRPr="002F45D6">
        <w:rPr>
          <w:rFonts w:ascii="Times New Roman" w:hAnsi="Times New Roman"/>
          <w:b/>
          <w:i/>
          <w:noProof/>
          <w:sz w:val="24"/>
        </w:rPr>
        <w:t>inw</w:t>
      </w:r>
      <w:r w:rsidRPr="002F45D6">
        <w:rPr>
          <w:rFonts w:ascii="Times New Roman" w:hAnsi="Times New Roman"/>
          <w:b/>
          <w:i/>
          <w:noProof/>
          <w:sz w:val="24"/>
        </w:rPr>
        <w:t>estycyjne</w:t>
      </w:r>
      <w:r w:rsidR="002F45D6" w:rsidRPr="002F45D6">
        <w:rPr>
          <w:rFonts w:ascii="Times New Roman" w:hAnsi="Times New Roman"/>
          <w:b/>
          <w:i/>
          <w:noProof/>
          <w:sz w:val="24"/>
        </w:rPr>
        <w:t xml:space="preserve"> i</w:t>
      </w:r>
      <w:r w:rsidR="002F45D6">
        <w:rPr>
          <w:rFonts w:ascii="Times New Roman" w:hAnsi="Times New Roman"/>
          <w:b/>
          <w:i/>
          <w:noProof/>
          <w:sz w:val="24"/>
        </w:rPr>
        <w:t> </w:t>
      </w:r>
      <w:r w:rsidR="002F45D6" w:rsidRPr="002F45D6">
        <w:rPr>
          <w:rFonts w:ascii="Times New Roman" w:hAnsi="Times New Roman"/>
          <w:b/>
          <w:i/>
          <w:noProof/>
          <w:sz w:val="24"/>
        </w:rPr>
        <w:t>wpr</w:t>
      </w:r>
      <w:r w:rsidRPr="002F45D6">
        <w:rPr>
          <w:rFonts w:ascii="Times New Roman" w:hAnsi="Times New Roman"/>
          <w:b/>
          <w:i/>
          <w:noProof/>
          <w:sz w:val="24"/>
        </w:rPr>
        <w:t>owadzenie drugiej generacji umów</w:t>
      </w:r>
      <w:r w:rsidR="002F45D6" w:rsidRPr="002F45D6">
        <w:rPr>
          <w:rFonts w:ascii="Times New Roman" w:hAnsi="Times New Roman"/>
          <w:b/>
          <w:i/>
          <w:noProof/>
          <w:sz w:val="24"/>
        </w:rPr>
        <w:t xml:space="preserve"> o</w:t>
      </w:r>
      <w:r w:rsidR="002F45D6">
        <w:rPr>
          <w:rFonts w:ascii="Times New Roman" w:hAnsi="Times New Roman"/>
          <w:b/>
          <w:i/>
          <w:noProof/>
          <w:sz w:val="24"/>
        </w:rPr>
        <w:t> </w:t>
      </w:r>
      <w:r w:rsidR="002F45D6" w:rsidRPr="002F45D6">
        <w:rPr>
          <w:rFonts w:ascii="Times New Roman" w:hAnsi="Times New Roman"/>
          <w:b/>
          <w:i/>
          <w:noProof/>
          <w:sz w:val="24"/>
        </w:rPr>
        <w:t>uła</w:t>
      </w:r>
      <w:r w:rsidRPr="002F45D6">
        <w:rPr>
          <w:rFonts w:ascii="Times New Roman" w:hAnsi="Times New Roman"/>
          <w:b/>
          <w:i/>
          <w:noProof/>
          <w:sz w:val="24"/>
        </w:rPr>
        <w:t>twieniach</w:t>
      </w:r>
      <w:r w:rsidR="002F45D6" w:rsidRPr="002F45D6">
        <w:rPr>
          <w:rFonts w:ascii="Times New Roman" w:hAnsi="Times New Roman"/>
          <w:b/>
          <w:i/>
          <w:noProof/>
          <w:sz w:val="24"/>
        </w:rPr>
        <w:t xml:space="preserve"> w</w:t>
      </w:r>
      <w:r w:rsidR="002F45D6">
        <w:rPr>
          <w:rFonts w:ascii="Times New Roman" w:hAnsi="Times New Roman"/>
          <w:b/>
          <w:i/>
          <w:noProof/>
          <w:sz w:val="24"/>
        </w:rPr>
        <w:t> </w:t>
      </w:r>
      <w:r w:rsidR="002F45D6" w:rsidRPr="002F45D6">
        <w:rPr>
          <w:rFonts w:ascii="Times New Roman" w:hAnsi="Times New Roman"/>
          <w:b/>
          <w:i/>
          <w:noProof/>
          <w:sz w:val="24"/>
        </w:rPr>
        <w:t>zró</w:t>
      </w:r>
      <w:r w:rsidRPr="002F45D6">
        <w:rPr>
          <w:rFonts w:ascii="Times New Roman" w:hAnsi="Times New Roman"/>
          <w:b/>
          <w:i/>
          <w:noProof/>
          <w:sz w:val="24"/>
        </w:rPr>
        <w:t xml:space="preserve">wnoważonych inwestycjach </w:t>
      </w:r>
    </w:p>
    <w:p w14:paraId="7377F9D5" w14:textId="4CFFD82A" w:rsidR="00E00B14" w:rsidRPr="002F45D6" w:rsidRDefault="00203085" w:rsidP="00CA2A0C">
      <w:pPr>
        <w:keepNext/>
        <w:keepLines/>
        <w:spacing w:before="120"/>
        <w:jc w:val="both"/>
        <w:rPr>
          <w:rFonts w:ascii="Times New Roman" w:hAnsi="Times New Roman" w:cs="Times New Roman"/>
          <w:noProof/>
          <w:sz w:val="24"/>
        </w:rPr>
      </w:pPr>
      <w:r>
        <w:rPr>
          <w:noProof/>
        </w:rPr>
        <w:pict w14:anchorId="23B02238">
          <v:shapetype id="_x0000_t202" coordsize="21600,21600" o:spt="202" path="m,l,21600r21600,l21600,xe">
            <v:stroke joinstyle="miter"/>
            <v:path gradientshapeok="t" o:connecttype="rect"/>
          </v:shapetype>
          <v:shape id="_x0000_s2051" type="#_x0000_t202" style="position:absolute;left:0;text-align:left;margin-left:253.55pt;margin-top:7.75pt;width:197.15pt;height:181.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">
            <v:textbox style="mso-next-textbox:#_x0000_s2051">
              <w:txbxContent>
                <w:p w14:paraId="6B8CA31E" w14:textId="77777777" w:rsidR="00F702B9" w:rsidRPr="002F45D6" w:rsidRDefault="00F702B9" w:rsidP="00E00B14">
                  <w:pPr>
                    <w:jc w:val="both"/>
                    <w:rPr>
                      <w:rFonts w:ascii="Times New Roman" w:hAnsi="Times New Roman" w:cs="Times New Roman"/>
                      <w:i/>
                      <w:iCs/>
                    </w:rPr>
                  </w:pPr>
                  <w:r w:rsidRPr="002F45D6">
                    <w:rPr>
                      <w:rFonts w:ascii="Times New Roman" w:hAnsi="Times New Roman"/>
                      <w:i/>
                    </w:rPr>
                    <w:t>9 grudnia 2022 r. UE zakończyła negocjacje w sprawie modernizacji obowiązującego układu o stowarzyszeniu UE-Chile. Układ zawiera specjalny rozdział dotyczący energii i surowców, który przyczyni się do zapewnienia lepszego dostępu do zrównoważonych inwestycji w surowce krytyczne, takie jak lit, przy jednoczesnym wspieraniu Chile w rozwoju gospodarki ekologicznej, w szczególności w odniesieniu do energii odnawialnej i wodoru.</w:t>
                  </w:r>
                </w:p>
              </w:txbxContent>
            </v:textbox>
            <w10:wrap type="square"/>
          </v:shape>
        </w:pict>
      </w:r>
      <w:r w:rsidR="001C10A0" w:rsidRPr="002F45D6">
        <w:rPr>
          <w:rFonts w:ascii="Times New Roman" w:hAnsi="Times New Roman"/>
          <w:noProof/>
          <w:sz w:val="24"/>
        </w:rPr>
        <w:t>Biorąc pod uwagę kapitałochłonny charakter działalności wydobywczej</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raf</w:t>
      </w:r>
      <w:r w:rsidR="001C10A0" w:rsidRPr="002F45D6">
        <w:rPr>
          <w:rFonts w:ascii="Times New Roman" w:hAnsi="Times New Roman"/>
          <w:noProof/>
          <w:sz w:val="24"/>
        </w:rPr>
        <w:t>inacyjnej, podmioty gospodarcze potrzebują otoczenia biznesowego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kra</w:t>
      </w:r>
      <w:r w:rsidR="001C10A0" w:rsidRPr="002F45D6">
        <w:rPr>
          <w:rFonts w:ascii="Times New Roman" w:hAnsi="Times New Roman"/>
          <w:noProof/>
          <w:sz w:val="24"/>
        </w:rPr>
        <w:t>jach bogatych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zas</w:t>
      </w:r>
      <w:r w:rsidR="001C10A0" w:rsidRPr="002F45D6">
        <w:rPr>
          <w:rFonts w:ascii="Times New Roman" w:hAnsi="Times New Roman"/>
          <w:noProof/>
          <w:sz w:val="24"/>
        </w:rPr>
        <w:t>oby, które będzie przyjazne dla inwestorów, przewidywalne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sta</w:t>
      </w:r>
      <w:r w:rsidR="001C10A0" w:rsidRPr="002F45D6">
        <w:rPr>
          <w:rFonts w:ascii="Times New Roman" w:hAnsi="Times New Roman"/>
          <w:noProof/>
          <w:sz w:val="24"/>
        </w:rPr>
        <w:t>bilne</w:t>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opa</w:t>
      </w:r>
      <w:r w:rsidR="001C10A0" w:rsidRPr="002F45D6">
        <w:rPr>
          <w:rFonts w:ascii="Times New Roman" w:hAnsi="Times New Roman"/>
          <w:noProof/>
          <w:sz w:val="24"/>
        </w:rPr>
        <w:t>rciu</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wie</w:t>
      </w:r>
      <w:r w:rsidR="001C10A0" w:rsidRPr="002F45D6">
        <w:rPr>
          <w:rFonts w:ascii="Times New Roman" w:hAnsi="Times New Roman"/>
          <w:noProof/>
          <w:sz w:val="24"/>
        </w:rPr>
        <w:t>lostronne, fakultatywne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dwu</w:t>
      </w:r>
      <w:r w:rsidR="001C10A0" w:rsidRPr="002F45D6">
        <w:rPr>
          <w:rFonts w:ascii="Times New Roman" w:hAnsi="Times New Roman"/>
          <w:noProof/>
          <w:sz w:val="24"/>
        </w:rPr>
        <w:t xml:space="preserve">stronne ramy UE będzie dalej opracowywać środki służące osiągnięciu tego celu. </w:t>
      </w:r>
    </w:p>
    <w:p w14:paraId="5CB85976" w14:textId="35D1A133" w:rsidR="00E00B14" w:rsidRPr="002F45D6" w:rsidRDefault="004266B0" w:rsidP="00E00B14">
      <w:pPr>
        <w:spacing w:before="120"/>
        <w:jc w:val="both"/>
        <w:rPr>
          <w:rFonts w:ascii="Times New Roman" w:hAnsi="Times New Roman"/>
          <w:noProof/>
          <w:sz w:val="24"/>
        </w:rPr>
      </w:pPr>
      <w:r w:rsidRPr="002F45D6">
        <w:rPr>
          <w:rFonts w:ascii="Times New Roman" w:hAnsi="Times New Roman"/>
          <w:noProof/>
          <w:sz w:val="24"/>
        </w:rPr>
        <w:t>Po pierwsze, Światowa Organizacja Handlu (WTO)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swo</w:t>
      </w:r>
      <w:r w:rsidRPr="002F45D6">
        <w:rPr>
          <w:rFonts w:ascii="Times New Roman" w:hAnsi="Times New Roman"/>
          <w:noProof/>
          <w:sz w:val="24"/>
        </w:rPr>
        <w:t xml:space="preserve">ich </w:t>
      </w:r>
      <w:r w:rsidRPr="002F45D6">
        <w:rPr>
          <w:rFonts w:ascii="Times New Roman" w:hAnsi="Times New Roman"/>
          <w:b/>
          <w:noProof/>
          <w:sz w:val="24"/>
        </w:rPr>
        <w:t>wielostronnych</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fak</w:t>
      </w:r>
      <w:r w:rsidRPr="002F45D6">
        <w:rPr>
          <w:rFonts w:ascii="Times New Roman" w:hAnsi="Times New Roman"/>
          <w:b/>
          <w:noProof/>
          <w:sz w:val="24"/>
        </w:rPr>
        <w:t>ultatywnych umowach</w:t>
      </w:r>
      <w:r w:rsidRPr="002F45D6">
        <w:rPr>
          <w:rFonts w:ascii="Times New Roman" w:hAnsi="Times New Roman"/>
          <w:noProof/>
          <w:sz w:val="24"/>
        </w:rPr>
        <w:t xml:space="preserve"> określa ogólne ramy, stanowiące punkt odniesienia gwarantujący przejrzystość, przewidywalność</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pew</w:t>
      </w:r>
      <w:r w:rsidRPr="002F45D6">
        <w:rPr>
          <w:rFonts w:ascii="Times New Roman" w:hAnsi="Times New Roman"/>
          <w:noProof/>
          <w:sz w:val="24"/>
        </w:rPr>
        <w:t>ność prawa, na przykład dzięki postanowieniom dotyczącym taryf celnych, niedyskryminacji czy też zakazu ograniczeń wywozowych. Obecnie negocjowane jest fakultatywne porozumienie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„ułatwiania inwestycji na rzecz rozwoju”. Pobudzi ono inwestycje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kra</w:t>
      </w:r>
      <w:r w:rsidRPr="002F45D6">
        <w:rPr>
          <w:rFonts w:ascii="Times New Roman" w:hAnsi="Times New Roman"/>
          <w:noProof/>
          <w:sz w:val="24"/>
        </w:rPr>
        <w:t>jach rozwijających się, również</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sek</w:t>
      </w:r>
      <w:r w:rsidRPr="002F45D6">
        <w:rPr>
          <w:rFonts w:ascii="Times New Roman" w:hAnsi="Times New Roman"/>
          <w:noProof/>
          <w:sz w:val="24"/>
        </w:rPr>
        <w:t>torze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 przez upublicznienie informacji na temat zasad inwestowania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łat</w:t>
      </w:r>
      <w:r w:rsidRPr="002F45D6">
        <w:rPr>
          <w:rFonts w:ascii="Times New Roman" w:hAnsi="Times New Roman"/>
          <w:noProof/>
          <w:sz w:val="24"/>
        </w:rPr>
        <w:t>wy dostęp do tych informacji oraz przez zmniejszenie opóźnień</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uzy</w:t>
      </w:r>
      <w:r w:rsidRPr="002F45D6">
        <w:rPr>
          <w:rFonts w:ascii="Times New Roman" w:hAnsi="Times New Roman"/>
          <w:noProof/>
          <w:sz w:val="24"/>
        </w:rPr>
        <w:t xml:space="preserve">skiwaniu rządowych zezwoleń. </w:t>
      </w:r>
    </w:p>
    <w:p w14:paraId="274CF217" w14:textId="31639197" w:rsidR="00E00B14" w:rsidRPr="002F45D6" w:rsidRDefault="00E00B14" w:rsidP="00E00B14">
      <w:pPr>
        <w:spacing w:before="120"/>
        <w:jc w:val="both"/>
        <w:rPr>
          <w:rFonts w:ascii="Times New Roman" w:hAnsi="Times New Roman" w:cs="Times New Roman"/>
          <w:noProof/>
          <w:sz w:val="24"/>
        </w:rPr>
      </w:pPr>
      <w:r w:rsidRPr="002F45D6">
        <w:rPr>
          <w:rFonts w:ascii="Times New Roman" w:hAnsi="Times New Roman"/>
          <w:noProof/>
          <w:sz w:val="24"/>
        </w:rPr>
        <w:t xml:space="preserve">Po drugie, UE wykorzystuje swoje </w:t>
      </w:r>
      <w:r w:rsidRPr="002F45D6">
        <w:rPr>
          <w:rFonts w:ascii="Times New Roman" w:hAnsi="Times New Roman"/>
          <w:b/>
          <w:noProof/>
          <w:sz w:val="24"/>
        </w:rPr>
        <w:t>umowy dwustronne</w:t>
      </w:r>
      <w:r w:rsidRPr="002F45D6">
        <w:rPr>
          <w:rFonts w:ascii="Times New Roman" w:hAnsi="Times New Roman"/>
          <w:noProof/>
          <w:sz w:val="24"/>
        </w:rPr>
        <w:t xml:space="preserve"> do pogłębienia powiązań handlowych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inw</w:t>
      </w:r>
      <w:r w:rsidRPr="002F45D6">
        <w:rPr>
          <w:rFonts w:ascii="Times New Roman" w:hAnsi="Times New Roman"/>
          <w:noProof/>
          <w:sz w:val="24"/>
        </w:rPr>
        <w:t>estycyjnych na całym świecie oraz do dywersyfikacji łańcuchów dostaw,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 w</w:t>
      </w:r>
      <w:r w:rsidR="002F45D6">
        <w:rPr>
          <w:rFonts w:ascii="Times New Roman" w:hAnsi="Times New Roman"/>
          <w:noProof/>
          <w:sz w:val="24"/>
        </w:rPr>
        <w:t> </w:t>
      </w:r>
      <w:r w:rsidR="002F45D6" w:rsidRPr="002F45D6">
        <w:rPr>
          <w:rFonts w:ascii="Times New Roman" w:hAnsi="Times New Roman"/>
          <w:noProof/>
          <w:sz w:val="24"/>
        </w:rPr>
        <w:t>kon</w:t>
      </w:r>
      <w:r w:rsidRPr="002F45D6">
        <w:rPr>
          <w:rFonts w:ascii="Times New Roman" w:hAnsi="Times New Roman"/>
          <w:noProof/>
          <w:sz w:val="24"/>
        </w:rPr>
        <w:t xml:space="preserve">tekście łańcuchów dostaw surowców krytycznych, zwiększając tym samym odporność gospodarki UE. </w:t>
      </w:r>
    </w:p>
    <w:p w14:paraId="4DF01740" w14:textId="5F3F8BDD" w:rsidR="00E00B14" w:rsidRPr="002F45D6" w:rsidRDefault="00E00B14" w:rsidP="00E00B14">
      <w:pPr>
        <w:spacing w:before="120"/>
        <w:jc w:val="both"/>
        <w:rPr>
          <w:rFonts w:ascii="Times New Roman" w:hAnsi="Times New Roman" w:cs="Times New Roman"/>
          <w:noProof/>
          <w:sz w:val="24"/>
        </w:rPr>
      </w:pPr>
      <w:r w:rsidRPr="002F45D6">
        <w:rPr>
          <w:rFonts w:ascii="Times New Roman" w:hAnsi="Times New Roman"/>
          <w:noProof/>
          <w:sz w:val="24"/>
        </w:rPr>
        <w:t xml:space="preserve">UE posiada już największą sieć </w:t>
      </w:r>
      <w:r w:rsidRPr="002F45D6">
        <w:rPr>
          <w:rFonts w:ascii="Times New Roman" w:hAnsi="Times New Roman"/>
          <w:b/>
          <w:noProof/>
          <w:sz w:val="24"/>
        </w:rPr>
        <w:t>umów handlowych</w:t>
      </w:r>
      <w:r w:rsidRPr="002F45D6">
        <w:rPr>
          <w:rFonts w:ascii="Times New Roman" w:hAnsi="Times New Roman"/>
          <w:noProof/>
          <w:sz w:val="24"/>
        </w:rPr>
        <w:t xml:space="preserve"> na świecie. Ostatnie umowy</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Mek</w:t>
      </w:r>
      <w:r w:rsidRPr="002F45D6">
        <w:rPr>
          <w:rFonts w:ascii="Times New Roman" w:hAnsi="Times New Roman"/>
          <w:noProof/>
          <w:sz w:val="24"/>
        </w:rPr>
        <w:t>sykiem, Zjednoczonym Królestwem, Nową Zelandią</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Chi</w:t>
      </w:r>
      <w:r w:rsidRPr="002F45D6">
        <w:rPr>
          <w:rFonts w:ascii="Times New Roman" w:hAnsi="Times New Roman"/>
          <w:noProof/>
          <w:sz w:val="24"/>
        </w:rPr>
        <w:t>le</w:t>
      </w:r>
      <w:r w:rsidRPr="002F45D6">
        <w:rPr>
          <w:rStyle w:val="FootnoteReference"/>
          <w:rFonts w:ascii="Times New Roman" w:hAnsi="Times New Roman" w:cs="Times New Roman"/>
          <w:noProof/>
          <w:sz w:val="24"/>
        </w:rPr>
        <w:footnoteReference w:id="15"/>
      </w:r>
      <w:r w:rsidRPr="002F45D6">
        <w:rPr>
          <w:rFonts w:ascii="Times New Roman" w:hAnsi="Times New Roman"/>
          <w:noProof/>
          <w:sz w:val="24"/>
        </w:rPr>
        <w:t xml:space="preserve"> zawierają specjalny rozdział dotyczący energii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owców. Trwają również negocjacje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Aus</w:t>
      </w:r>
      <w:r w:rsidRPr="002F45D6">
        <w:rPr>
          <w:rFonts w:ascii="Times New Roman" w:hAnsi="Times New Roman"/>
          <w:noProof/>
          <w:sz w:val="24"/>
        </w:rPr>
        <w:t>tralią</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Ind</w:t>
      </w:r>
      <w:r w:rsidRPr="002F45D6">
        <w:rPr>
          <w:rFonts w:ascii="Times New Roman" w:hAnsi="Times New Roman"/>
          <w:noProof/>
          <w:sz w:val="24"/>
        </w:rPr>
        <w:t>onezją, które to kraje posiadają znaczące zasoby surowców niezbędnych do transformacji energetycznej, takich jak metale ziem rzadkich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nik</w:t>
      </w:r>
      <w:r w:rsidRPr="002F45D6">
        <w:rPr>
          <w:rFonts w:ascii="Times New Roman" w:hAnsi="Times New Roman"/>
          <w:noProof/>
          <w:sz w:val="24"/>
        </w:rPr>
        <w:t>iel.</w:t>
      </w:r>
    </w:p>
    <w:p w14:paraId="61272F49" w14:textId="7A3C55AA" w:rsidR="00E00B14" w:rsidRPr="002F45D6" w:rsidRDefault="00E00B14" w:rsidP="00F10597">
      <w:pPr>
        <w:spacing w:before="120"/>
        <w:jc w:val="both"/>
        <w:rPr>
          <w:rFonts w:ascii="Times New Roman" w:hAnsi="Times New Roman" w:cs="Times New Roman"/>
          <w:noProof/>
          <w:sz w:val="24"/>
        </w:rPr>
      </w:pPr>
      <w:r w:rsidRPr="002F45D6">
        <w:rPr>
          <w:rFonts w:ascii="Times New Roman" w:hAnsi="Times New Roman"/>
          <w:noProof/>
          <w:sz w:val="24"/>
        </w:rPr>
        <w:t>Komisja wraz</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par</w:t>
      </w:r>
      <w:r w:rsidRPr="002F45D6">
        <w:rPr>
          <w:rFonts w:ascii="Times New Roman" w:hAnsi="Times New Roman"/>
          <w:noProof/>
          <w:sz w:val="24"/>
        </w:rPr>
        <w:t>tnerami zbada,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jak</w:t>
      </w:r>
      <w:r w:rsidRPr="002F45D6">
        <w:rPr>
          <w:rFonts w:ascii="Times New Roman" w:hAnsi="Times New Roman"/>
          <w:noProof/>
          <w:sz w:val="24"/>
        </w:rPr>
        <w:t>i sposób może wesprzeć ich ambicje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rozwoju zdolności wydobycia, przetwarzania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rec</w:t>
      </w:r>
      <w:r w:rsidRPr="002F45D6">
        <w:rPr>
          <w:rFonts w:ascii="Times New Roman" w:hAnsi="Times New Roman"/>
          <w:noProof/>
          <w:sz w:val="24"/>
        </w:rPr>
        <w:t>yklingu</w:t>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trw</w:t>
      </w:r>
      <w:r w:rsidRPr="002F45D6">
        <w:rPr>
          <w:rFonts w:ascii="Times New Roman" w:hAnsi="Times New Roman"/>
          <w:noProof/>
          <w:sz w:val="24"/>
        </w:rPr>
        <w:t>ających negocjacjach Komisja zajmie się kwestiami związanymi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owcami, takimi jak przewidywalne procedury oceny skutków czy też niedyskryminacyjne traktowanie inwestorów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stwach trzecich. Komisja przeanalizuje również, czy należy renegocjować niektóre obowiązujące umowy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u wzmocnienia dyscypliny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handlu surowcami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inw</w:t>
      </w:r>
      <w:r w:rsidRPr="002F45D6">
        <w:rPr>
          <w:rFonts w:ascii="Times New Roman" w:hAnsi="Times New Roman"/>
          <w:noProof/>
          <w:sz w:val="24"/>
        </w:rPr>
        <w:t>estycji. Szczególna uwaga zostanie zwrócona na kraje afrykańskie, które mają olbrzymi potencjał</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dostaw surowców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int</w:t>
      </w:r>
      <w:r w:rsidRPr="002F45D6">
        <w:rPr>
          <w:rFonts w:ascii="Times New Roman" w:hAnsi="Times New Roman"/>
          <w:noProof/>
          <w:sz w:val="24"/>
        </w:rPr>
        <w:t>egracji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cuchach wartości surowców krytycznych</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obo</w:t>
      </w:r>
      <w:r w:rsidRPr="002F45D6">
        <w:rPr>
          <w:rFonts w:ascii="Times New Roman" w:hAnsi="Times New Roman"/>
          <w:noProof/>
          <w:sz w:val="24"/>
        </w:rPr>
        <w:t>pólną korzyścią dla obu stron; dotyczy to również krajów wdrażających umowy</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par</w:t>
      </w:r>
      <w:r w:rsidRPr="002F45D6">
        <w:rPr>
          <w:rFonts w:ascii="Times New Roman" w:hAnsi="Times New Roman"/>
          <w:noProof/>
          <w:sz w:val="24"/>
        </w:rPr>
        <w:t xml:space="preserve">tnerstwie gospodarczym. </w:t>
      </w:r>
    </w:p>
    <w:p w14:paraId="584A2044" w14:textId="2157DFB3" w:rsidR="00E00B14" w:rsidRPr="002F45D6" w:rsidRDefault="00751B94" w:rsidP="00E00B14">
      <w:pPr>
        <w:spacing w:before="120"/>
        <w:jc w:val="both"/>
        <w:rPr>
          <w:rFonts w:ascii="Times New Roman" w:hAnsi="Times New Roman" w:cs="Times New Roman"/>
          <w:noProof/>
          <w:sz w:val="24"/>
        </w:rPr>
      </w:pPr>
      <w:r w:rsidRPr="002F45D6">
        <w:rPr>
          <w:rFonts w:ascii="Times New Roman" w:hAnsi="Times New Roman"/>
          <w:noProof/>
          <w:sz w:val="24"/>
        </w:rPr>
        <w:t>Komisja zwróci również szczególną uwagę na zrównoważone inwestycje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będ</w:t>
      </w:r>
      <w:r w:rsidRPr="002F45D6">
        <w:rPr>
          <w:rFonts w:ascii="Times New Roman" w:hAnsi="Times New Roman"/>
          <w:noProof/>
          <w:sz w:val="24"/>
        </w:rPr>
        <w:t>zie nadal pracować nad umowami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uła</w:t>
      </w:r>
      <w:r w:rsidRPr="002F45D6">
        <w:rPr>
          <w:rFonts w:ascii="Times New Roman" w:hAnsi="Times New Roman"/>
          <w:noProof/>
          <w:sz w:val="24"/>
        </w:rPr>
        <w:t>twieniach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wnoważonych inwestycjach</w:t>
      </w:r>
      <w:r w:rsidRPr="002F45D6">
        <w:rPr>
          <w:rStyle w:val="FootnoteReference"/>
          <w:rFonts w:ascii="Times New Roman" w:hAnsi="Times New Roman" w:cs="Times New Roman"/>
          <w:noProof/>
          <w:sz w:val="24"/>
        </w:rPr>
        <w:footnoteReference w:id="16"/>
      </w:r>
      <w:r w:rsidRPr="002F45D6">
        <w:rPr>
          <w:rFonts w:ascii="Times New Roman" w:hAnsi="Times New Roman"/>
          <w:noProof/>
          <w:sz w:val="24"/>
        </w:rPr>
        <w:t xml:space="preserve">. </w:t>
      </w:r>
      <w:r w:rsidRPr="002F45D6">
        <w:rPr>
          <w:rFonts w:ascii="Times New Roman" w:hAnsi="Times New Roman"/>
          <w:b/>
          <w:i/>
          <w:noProof/>
          <w:sz w:val="24"/>
        </w:rPr>
        <w:t>Druga generacja umów</w:t>
      </w:r>
      <w:r w:rsidR="002F45D6" w:rsidRPr="002F45D6">
        <w:rPr>
          <w:rFonts w:ascii="Times New Roman" w:hAnsi="Times New Roman"/>
          <w:b/>
          <w:i/>
          <w:noProof/>
          <w:sz w:val="24"/>
        </w:rPr>
        <w:t xml:space="preserve"> o</w:t>
      </w:r>
      <w:r w:rsidR="002F45D6">
        <w:rPr>
          <w:rFonts w:ascii="Times New Roman" w:hAnsi="Times New Roman"/>
          <w:b/>
          <w:i/>
          <w:noProof/>
          <w:sz w:val="24"/>
        </w:rPr>
        <w:t> </w:t>
      </w:r>
      <w:r w:rsidR="002F45D6" w:rsidRPr="002F45D6">
        <w:rPr>
          <w:rFonts w:ascii="Times New Roman" w:hAnsi="Times New Roman"/>
          <w:b/>
          <w:i/>
          <w:noProof/>
          <w:sz w:val="24"/>
        </w:rPr>
        <w:t>uła</w:t>
      </w:r>
      <w:r w:rsidRPr="002F45D6">
        <w:rPr>
          <w:rFonts w:ascii="Times New Roman" w:hAnsi="Times New Roman"/>
          <w:b/>
          <w:i/>
          <w:noProof/>
          <w:sz w:val="24"/>
        </w:rPr>
        <w:t>twieniach</w:t>
      </w:r>
      <w:r w:rsidR="002F45D6" w:rsidRPr="002F45D6">
        <w:rPr>
          <w:rFonts w:ascii="Times New Roman" w:hAnsi="Times New Roman"/>
          <w:b/>
          <w:i/>
          <w:noProof/>
          <w:sz w:val="24"/>
        </w:rPr>
        <w:t xml:space="preserve"> w</w:t>
      </w:r>
      <w:r w:rsidR="002F45D6">
        <w:rPr>
          <w:rFonts w:ascii="Times New Roman" w:hAnsi="Times New Roman"/>
          <w:b/>
          <w:i/>
          <w:noProof/>
          <w:sz w:val="24"/>
        </w:rPr>
        <w:t> </w:t>
      </w:r>
      <w:r w:rsidR="002F45D6" w:rsidRPr="002F45D6">
        <w:rPr>
          <w:rFonts w:ascii="Times New Roman" w:hAnsi="Times New Roman"/>
          <w:b/>
          <w:i/>
          <w:noProof/>
          <w:sz w:val="24"/>
        </w:rPr>
        <w:t>zró</w:t>
      </w:r>
      <w:r w:rsidRPr="002F45D6">
        <w:rPr>
          <w:rFonts w:ascii="Times New Roman" w:hAnsi="Times New Roman"/>
          <w:b/>
          <w:i/>
          <w:noProof/>
          <w:sz w:val="24"/>
        </w:rPr>
        <w:t>wnoważonych inwestycjach</w:t>
      </w:r>
      <w:r w:rsidRPr="002F45D6">
        <w:rPr>
          <w:rFonts w:ascii="Times New Roman" w:hAnsi="Times New Roman"/>
          <w:noProof/>
          <w:sz w:val="24"/>
        </w:rPr>
        <w:t xml:space="preserve"> będzie również zawierać postanowienia dotyczące zrównoważonego rozwoju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dod</w:t>
      </w:r>
      <w:r w:rsidRPr="002F45D6">
        <w:rPr>
          <w:rFonts w:ascii="Times New Roman" w:hAnsi="Times New Roman"/>
          <w:noProof/>
          <w:sz w:val="24"/>
        </w:rPr>
        <w:t>atkowe postanowienia dotyczące energii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owców; nawiązany za ich pomocą zostanie dialog</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u wspierania projektów przemysłowych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two</w:t>
      </w:r>
      <w:r w:rsidRPr="002F45D6">
        <w:rPr>
          <w:rFonts w:ascii="Times New Roman" w:hAnsi="Times New Roman"/>
          <w:noProof/>
          <w:sz w:val="24"/>
        </w:rPr>
        <w:t>rzenia wartości na szczeblu lokalnym przez określenie priorytetów sektorowych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war</w:t>
      </w:r>
      <w:r w:rsidRPr="002F45D6">
        <w:rPr>
          <w:rFonts w:ascii="Times New Roman" w:hAnsi="Times New Roman"/>
          <w:noProof/>
          <w:sz w:val="24"/>
        </w:rPr>
        <w:t>unków zaangażowania sektora prywatnego. UE zakończyła niedawno negocjacje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Ang</w:t>
      </w:r>
      <w:r w:rsidRPr="002F45D6">
        <w:rPr>
          <w:rFonts w:ascii="Times New Roman" w:hAnsi="Times New Roman"/>
          <w:noProof/>
          <w:sz w:val="24"/>
        </w:rPr>
        <w:t>olą</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umowy</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uła</w:t>
      </w:r>
      <w:r w:rsidRPr="002F45D6">
        <w:rPr>
          <w:rFonts w:ascii="Times New Roman" w:hAnsi="Times New Roman"/>
          <w:noProof/>
          <w:sz w:val="24"/>
        </w:rPr>
        <w:t>twieniach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wnoważonych inwestycjach</w:t>
      </w:r>
      <w:r w:rsidRPr="002F45D6">
        <w:rPr>
          <w:rStyle w:val="FootnoteReference"/>
          <w:rFonts w:ascii="Times New Roman" w:hAnsi="Times New Roman" w:cs="Times New Roman"/>
          <w:noProof/>
          <w:sz w:val="24"/>
        </w:rPr>
        <w:footnoteReference w:id="17"/>
      </w:r>
      <w:r w:rsidRPr="002F45D6">
        <w:rPr>
          <w:noProof/>
        </w:rPr>
        <w:t>.</w:t>
      </w:r>
      <w:r w:rsidRPr="002F45D6">
        <w:rPr>
          <w:rFonts w:ascii="Times New Roman" w:hAnsi="Times New Roman"/>
          <w:noProof/>
          <w:sz w:val="24"/>
        </w:rPr>
        <w:t xml:space="preserve"> Trwają wstępne rozmowy</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Nig</w:t>
      </w:r>
      <w:r w:rsidRPr="002F45D6">
        <w:rPr>
          <w:rFonts w:ascii="Times New Roman" w:hAnsi="Times New Roman"/>
          <w:noProof/>
          <w:sz w:val="24"/>
        </w:rPr>
        <w:t>erią na temat takiej umowy;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yszłości rozmowy mogą zostać podjęte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kol</w:t>
      </w:r>
      <w:r w:rsidRPr="002F45D6">
        <w:rPr>
          <w:rFonts w:ascii="Times New Roman" w:hAnsi="Times New Roman"/>
          <w:noProof/>
          <w:sz w:val="24"/>
        </w:rPr>
        <w:t>ejnymi krajami.</w:t>
      </w:r>
    </w:p>
    <w:p w14:paraId="7E08C74D" w14:textId="327513DF" w:rsidR="00751B94" w:rsidRPr="002F45D6" w:rsidRDefault="0036093F" w:rsidP="00751B94">
      <w:pPr>
        <w:jc w:val="both"/>
        <w:rPr>
          <w:rFonts w:ascii="Times New Roman" w:hAnsi="Times New Roman" w:cs="Times New Roman"/>
          <w:noProof/>
          <w:sz w:val="24"/>
          <w:szCs w:val="24"/>
        </w:rPr>
      </w:pPr>
      <w:r w:rsidRPr="002F45D6">
        <w:rPr>
          <w:rFonts w:ascii="Times New Roman" w:hAnsi="Times New Roman"/>
          <w:noProof/>
          <w:sz w:val="24"/>
        </w:rPr>
        <w:t>Na koniec należy przypomnieć, że zdecydowana większość przywozu surowców krytycznych do UE (92</w:t>
      </w:r>
      <w:r w:rsidR="002F45D6" w:rsidRPr="002F45D6">
        <w:rPr>
          <w:rFonts w:ascii="Times New Roman" w:hAnsi="Times New Roman"/>
          <w:noProof/>
          <w:sz w:val="24"/>
        </w:rPr>
        <w:t> </w:t>
      </w:r>
      <w:r w:rsidRPr="002F45D6">
        <w:rPr>
          <w:rFonts w:ascii="Times New Roman" w:hAnsi="Times New Roman"/>
          <w:noProof/>
          <w:sz w:val="24"/>
        </w:rPr>
        <w:t>% wartości) nie jest obciążona należnościami celnymi przywozowymi ze względu na zerowe stawki celne stosowane względem kraju najbardziej uprzywilejowanego lub dzięki obowiązującym umowom handlowym. Pozostały przywóz surowców krytycznych jest objęty stawką celną</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wys</w:t>
      </w:r>
      <w:r w:rsidRPr="002F45D6">
        <w:rPr>
          <w:rFonts w:ascii="Times New Roman" w:hAnsi="Times New Roman"/>
          <w:noProof/>
          <w:sz w:val="24"/>
        </w:rPr>
        <w:t>okości 2–7</w:t>
      </w:r>
      <w:r w:rsidR="002F45D6" w:rsidRPr="002F45D6">
        <w:rPr>
          <w:rFonts w:ascii="Times New Roman" w:hAnsi="Times New Roman"/>
          <w:noProof/>
          <w:sz w:val="24"/>
        </w:rPr>
        <w:t> </w:t>
      </w:r>
      <w:r w:rsidRPr="002F45D6">
        <w:rPr>
          <w:rFonts w:ascii="Times New Roman" w:hAnsi="Times New Roman"/>
          <w:noProof/>
          <w:sz w:val="24"/>
        </w:rPr>
        <w:t>%</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ypadku surowców nieprzetworzonych (np. nieprzetworzony magnez: 5</w:t>
      </w:r>
      <w:r w:rsidR="002F45D6" w:rsidRPr="002F45D6">
        <w:rPr>
          <w:rFonts w:ascii="Times New Roman" w:hAnsi="Times New Roman"/>
          <w:noProof/>
          <w:sz w:val="24"/>
        </w:rPr>
        <w:t> </w:t>
      </w:r>
      <w:r w:rsidRPr="002F45D6">
        <w:rPr>
          <w:rFonts w:ascii="Times New Roman" w:hAnsi="Times New Roman"/>
          <w:noProof/>
          <w:sz w:val="24"/>
        </w:rPr>
        <w:t>%) oraz 3–9</w:t>
      </w:r>
      <w:r w:rsidR="002F45D6" w:rsidRPr="002F45D6">
        <w:rPr>
          <w:rFonts w:ascii="Times New Roman" w:hAnsi="Times New Roman"/>
          <w:noProof/>
          <w:sz w:val="24"/>
        </w:rPr>
        <w:t> </w:t>
      </w:r>
      <w:r w:rsidRPr="002F45D6">
        <w:rPr>
          <w:rFonts w:ascii="Times New Roman" w:hAnsi="Times New Roman"/>
          <w:noProof/>
          <w:sz w:val="24"/>
        </w:rPr>
        <w:t>%</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ypadku niektórych towarów przetworzonych (np. przetworzony gal: 3</w:t>
      </w:r>
      <w:r w:rsidR="002F45D6" w:rsidRPr="002F45D6">
        <w:rPr>
          <w:rFonts w:ascii="Times New Roman" w:hAnsi="Times New Roman"/>
          <w:noProof/>
          <w:sz w:val="24"/>
        </w:rPr>
        <w:t> </w:t>
      </w:r>
      <w:r w:rsidRPr="002F45D6">
        <w:rPr>
          <w:rFonts w:ascii="Times New Roman" w:hAnsi="Times New Roman"/>
          <w:noProof/>
          <w:sz w:val="24"/>
        </w:rPr>
        <w:t>%). Komisja będzie uważnie śledzić wpływ ceł na zdolność do przywozu surowców krytycznych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ana</w:t>
      </w:r>
      <w:r w:rsidRPr="002F45D6">
        <w:rPr>
          <w:rFonts w:ascii="Times New Roman" w:hAnsi="Times New Roman"/>
          <w:noProof/>
          <w:sz w:val="24"/>
        </w:rPr>
        <w:t>lizować wnioski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b/>
          <w:noProof/>
          <w:sz w:val="24"/>
        </w:rPr>
        <w:t>zaw</w:t>
      </w:r>
      <w:r w:rsidRPr="002F45D6">
        <w:rPr>
          <w:rFonts w:ascii="Times New Roman" w:hAnsi="Times New Roman"/>
          <w:b/>
          <w:noProof/>
          <w:sz w:val="24"/>
        </w:rPr>
        <w:t>ieszenie ceł</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kon</w:t>
      </w:r>
      <w:r w:rsidRPr="002F45D6">
        <w:rPr>
          <w:rFonts w:ascii="Times New Roman" w:hAnsi="Times New Roman"/>
          <w:noProof/>
          <w:sz w:val="24"/>
        </w:rPr>
        <w:t>tekście celów, jakimi są ułatwienie dywersyfikacji surowców krytycznych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ogr</w:t>
      </w:r>
      <w:r w:rsidRPr="002F45D6">
        <w:rPr>
          <w:rFonts w:ascii="Times New Roman" w:hAnsi="Times New Roman"/>
          <w:noProof/>
          <w:sz w:val="24"/>
        </w:rPr>
        <w:t>aniczenie naszych zależności.</w:t>
      </w:r>
    </w:p>
    <w:p w14:paraId="7B012752" w14:textId="77777777" w:rsidR="00036B3C" w:rsidRPr="002F45D6" w:rsidRDefault="00036B3C" w:rsidP="00036B3C">
      <w:pPr>
        <w:jc w:val="both"/>
        <w:rPr>
          <w:rFonts w:ascii="Times New Roman" w:hAnsi="Times New Roman" w:cs="Times New Roman"/>
          <w:i/>
          <w:iCs/>
          <w:noProof/>
          <w:sz w:val="24"/>
          <w:szCs w:val="24"/>
        </w:rPr>
      </w:pPr>
      <w:r w:rsidRPr="002F45D6">
        <w:rPr>
          <w:rFonts w:ascii="Times New Roman" w:hAnsi="Times New Roman"/>
          <w:i/>
          <w:noProof/>
          <w:sz w:val="24"/>
        </w:rPr>
        <w:t>Komisja:</w:t>
      </w:r>
    </w:p>
    <w:p w14:paraId="764E7E34" w14:textId="7B6C2ACA" w:rsidR="00036B3C" w:rsidRPr="002F45D6" w:rsidRDefault="00036B3C" w:rsidP="003073D2">
      <w:pPr>
        <w:pStyle w:val="ListParagraph"/>
        <w:numPr>
          <w:ilvl w:val="0"/>
          <w:numId w:val="43"/>
        </w:numPr>
        <w:jc w:val="both"/>
        <w:rPr>
          <w:rFonts w:ascii="Times New Roman" w:hAnsi="Times New Roman" w:cs="Times New Roman"/>
          <w:i/>
          <w:iCs/>
          <w:noProof/>
          <w:sz w:val="24"/>
          <w:szCs w:val="24"/>
        </w:rPr>
      </w:pPr>
      <w:r w:rsidRPr="002F45D6">
        <w:rPr>
          <w:rFonts w:ascii="Times New Roman" w:hAnsi="Times New Roman"/>
          <w:i/>
          <w:noProof/>
          <w:sz w:val="24"/>
        </w:rPr>
        <w:t>będzie nadal działać na rzecz wspierania</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wzm</w:t>
      </w:r>
      <w:r w:rsidRPr="002F45D6">
        <w:rPr>
          <w:rFonts w:ascii="Times New Roman" w:hAnsi="Times New Roman"/>
          <w:i/>
          <w:noProof/>
          <w:sz w:val="24"/>
        </w:rPr>
        <w:t>acniania WTO, również</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ram</w:t>
      </w:r>
      <w:r w:rsidRPr="002F45D6">
        <w:rPr>
          <w:rFonts w:ascii="Times New Roman" w:hAnsi="Times New Roman"/>
          <w:i/>
          <w:noProof/>
          <w:sz w:val="24"/>
        </w:rPr>
        <w:t>ach negocjacji fakultatywnego porozumienia</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spr</w:t>
      </w:r>
      <w:r w:rsidRPr="002F45D6">
        <w:rPr>
          <w:rFonts w:ascii="Times New Roman" w:hAnsi="Times New Roman"/>
          <w:i/>
          <w:noProof/>
          <w:sz w:val="24"/>
        </w:rPr>
        <w:t>awie „ułatwiania inwestycji na rzecz rozwoju”,</w:t>
      </w:r>
    </w:p>
    <w:p w14:paraId="3C4C9630" w14:textId="1A5A81FB" w:rsidR="00036B3C" w:rsidRPr="002F45D6" w:rsidRDefault="00036B3C" w:rsidP="003073D2">
      <w:pPr>
        <w:pStyle w:val="ListParagraph"/>
        <w:numPr>
          <w:ilvl w:val="0"/>
          <w:numId w:val="43"/>
        </w:numPr>
        <w:jc w:val="both"/>
        <w:rPr>
          <w:rFonts w:ascii="Times New Roman" w:hAnsi="Times New Roman" w:cs="Times New Roman"/>
          <w:i/>
          <w:iCs/>
          <w:noProof/>
          <w:sz w:val="24"/>
          <w:szCs w:val="24"/>
        </w:rPr>
      </w:pPr>
      <w:r w:rsidRPr="002F45D6">
        <w:rPr>
          <w:rFonts w:ascii="Times New Roman" w:hAnsi="Times New Roman"/>
          <w:i/>
          <w:noProof/>
          <w:sz w:val="24"/>
        </w:rPr>
        <w:t>będzie korzystać</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cor</w:t>
      </w:r>
      <w:r w:rsidRPr="002F45D6">
        <w:rPr>
          <w:rFonts w:ascii="Times New Roman" w:hAnsi="Times New Roman"/>
          <w:i/>
          <w:noProof/>
          <w:sz w:val="24"/>
        </w:rPr>
        <w:t>az szerszej sieci umów</w:t>
      </w:r>
      <w:r w:rsidR="002F45D6" w:rsidRPr="002F45D6">
        <w:rPr>
          <w:rFonts w:ascii="Times New Roman" w:hAnsi="Times New Roman"/>
          <w:i/>
          <w:noProof/>
          <w:sz w:val="24"/>
        </w:rPr>
        <w:t xml:space="preserve"> o</w:t>
      </w:r>
      <w:r w:rsidR="002F45D6">
        <w:rPr>
          <w:rFonts w:ascii="Times New Roman" w:hAnsi="Times New Roman"/>
          <w:i/>
          <w:noProof/>
          <w:sz w:val="24"/>
        </w:rPr>
        <w:t> </w:t>
      </w:r>
      <w:r w:rsidR="002F45D6" w:rsidRPr="002F45D6">
        <w:rPr>
          <w:rFonts w:ascii="Times New Roman" w:hAnsi="Times New Roman"/>
          <w:i/>
          <w:noProof/>
          <w:sz w:val="24"/>
        </w:rPr>
        <w:t>uła</w:t>
      </w:r>
      <w:r w:rsidRPr="002F45D6">
        <w:rPr>
          <w:rFonts w:ascii="Times New Roman" w:hAnsi="Times New Roman"/>
          <w:i/>
          <w:noProof/>
          <w:sz w:val="24"/>
        </w:rPr>
        <w:t>twieniach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zró</w:t>
      </w:r>
      <w:r w:rsidRPr="002F45D6">
        <w:rPr>
          <w:rFonts w:ascii="Times New Roman" w:hAnsi="Times New Roman"/>
          <w:i/>
          <w:noProof/>
          <w:sz w:val="24"/>
        </w:rPr>
        <w:t>wnoważonych inwestycjach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umó</w:t>
      </w:r>
      <w:r w:rsidRPr="002F45D6">
        <w:rPr>
          <w:rFonts w:ascii="Times New Roman" w:hAnsi="Times New Roman"/>
          <w:i/>
          <w:noProof/>
          <w:sz w:val="24"/>
        </w:rPr>
        <w:t>w</w:t>
      </w:r>
      <w:r w:rsidR="002F45D6" w:rsidRPr="002F45D6">
        <w:rPr>
          <w:rFonts w:ascii="Times New Roman" w:hAnsi="Times New Roman"/>
          <w:i/>
          <w:noProof/>
          <w:sz w:val="24"/>
        </w:rPr>
        <w:t xml:space="preserve"> o</w:t>
      </w:r>
      <w:r w:rsidR="002F45D6">
        <w:rPr>
          <w:rFonts w:ascii="Times New Roman" w:hAnsi="Times New Roman"/>
          <w:i/>
          <w:noProof/>
          <w:sz w:val="24"/>
        </w:rPr>
        <w:t> </w:t>
      </w:r>
      <w:r w:rsidR="002F45D6" w:rsidRPr="002F45D6">
        <w:rPr>
          <w:rFonts w:ascii="Times New Roman" w:hAnsi="Times New Roman"/>
          <w:i/>
          <w:noProof/>
          <w:sz w:val="24"/>
        </w:rPr>
        <w:t>wol</w:t>
      </w:r>
      <w:r w:rsidRPr="002F45D6">
        <w:rPr>
          <w:rFonts w:ascii="Times New Roman" w:hAnsi="Times New Roman"/>
          <w:i/>
          <w:noProof/>
          <w:sz w:val="24"/>
        </w:rPr>
        <w:t>nym handlu do wspierania ambicji partnerów handlowych UE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rozwijania zdolności przetwórczych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two</w:t>
      </w:r>
      <w:r w:rsidRPr="002F45D6">
        <w:rPr>
          <w:rFonts w:ascii="Times New Roman" w:hAnsi="Times New Roman"/>
          <w:i/>
          <w:noProof/>
          <w:sz w:val="24"/>
        </w:rPr>
        <w:t>rzenia partnerstw korzystnych dla wszystkich stron,</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kra</w:t>
      </w:r>
      <w:r w:rsidRPr="002F45D6">
        <w:rPr>
          <w:rFonts w:ascii="Times New Roman" w:hAnsi="Times New Roman"/>
          <w:i/>
          <w:noProof/>
          <w:sz w:val="24"/>
        </w:rPr>
        <w:t>jami takimi jak Chile</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Aus</w:t>
      </w:r>
      <w:r w:rsidRPr="002F45D6">
        <w:rPr>
          <w:rFonts w:ascii="Times New Roman" w:hAnsi="Times New Roman"/>
          <w:i/>
          <w:noProof/>
          <w:sz w:val="24"/>
        </w:rPr>
        <w:t>tralia,</w:t>
      </w:r>
    </w:p>
    <w:p w14:paraId="612A8EAB" w14:textId="33E47DA7" w:rsidR="00036B3C" w:rsidRPr="002F45D6" w:rsidRDefault="00036B3C" w:rsidP="003073D2">
      <w:pPr>
        <w:pStyle w:val="ListParagraph"/>
        <w:numPr>
          <w:ilvl w:val="0"/>
          <w:numId w:val="43"/>
        </w:numPr>
        <w:jc w:val="both"/>
        <w:rPr>
          <w:rFonts w:ascii="Times New Roman" w:hAnsi="Times New Roman" w:cs="Times New Roman"/>
          <w:i/>
          <w:iCs/>
          <w:noProof/>
          <w:sz w:val="24"/>
          <w:szCs w:val="24"/>
        </w:rPr>
      </w:pPr>
      <w:r w:rsidRPr="002F45D6">
        <w:rPr>
          <w:rFonts w:ascii="Times New Roman" w:hAnsi="Times New Roman"/>
          <w:i/>
          <w:noProof/>
          <w:sz w:val="24"/>
        </w:rPr>
        <w:t>będzie uważnie śledzić wpływ ceł na zdolność do przywozu surowców krytycznych oraz rozpatrywać wnioski</w:t>
      </w:r>
      <w:r w:rsidR="002F45D6" w:rsidRPr="002F45D6">
        <w:rPr>
          <w:rFonts w:ascii="Times New Roman" w:hAnsi="Times New Roman"/>
          <w:i/>
          <w:noProof/>
          <w:sz w:val="24"/>
        </w:rPr>
        <w:t xml:space="preserve"> o</w:t>
      </w:r>
      <w:r w:rsidR="002F45D6">
        <w:rPr>
          <w:rFonts w:ascii="Times New Roman" w:hAnsi="Times New Roman"/>
          <w:i/>
          <w:noProof/>
          <w:sz w:val="24"/>
        </w:rPr>
        <w:t> </w:t>
      </w:r>
      <w:r w:rsidR="002F45D6" w:rsidRPr="002F45D6">
        <w:rPr>
          <w:rFonts w:ascii="Times New Roman" w:hAnsi="Times New Roman"/>
          <w:i/>
          <w:noProof/>
          <w:sz w:val="24"/>
        </w:rPr>
        <w:t>zaw</w:t>
      </w:r>
      <w:r w:rsidRPr="002F45D6">
        <w:rPr>
          <w:rFonts w:ascii="Times New Roman" w:hAnsi="Times New Roman"/>
          <w:i/>
          <w:noProof/>
          <w:sz w:val="24"/>
        </w:rPr>
        <w:t>ieszenie ceł.</w:t>
      </w:r>
    </w:p>
    <w:p w14:paraId="7D1D4DF8" w14:textId="77777777" w:rsidR="00A952E3" w:rsidRPr="002F45D6" w:rsidRDefault="00A952E3" w:rsidP="00E00B14">
      <w:pPr>
        <w:spacing w:before="120"/>
        <w:jc w:val="both"/>
        <w:rPr>
          <w:rFonts w:ascii="Times New Roman" w:hAnsi="Times New Roman" w:cs="Times New Roman"/>
          <w:b/>
          <w:noProof/>
          <w:sz w:val="24"/>
        </w:rPr>
      </w:pPr>
    </w:p>
    <w:p w14:paraId="5B2C5835" w14:textId="685D5836" w:rsidR="00E00B14" w:rsidRPr="002F45D6" w:rsidRDefault="00E00B14" w:rsidP="00E00B14">
      <w:pPr>
        <w:rPr>
          <w:rFonts w:ascii="Times New Roman" w:hAnsi="Times New Roman" w:cs="Times New Roman"/>
          <w:b/>
          <w:i/>
          <w:iCs/>
          <w:noProof/>
          <w:sz w:val="24"/>
          <w:szCs w:val="24"/>
        </w:rPr>
      </w:pPr>
      <w:r w:rsidRPr="002F45D6">
        <w:rPr>
          <w:rFonts w:ascii="Times New Roman" w:hAnsi="Times New Roman"/>
          <w:b/>
          <w:i/>
          <w:noProof/>
          <w:sz w:val="24"/>
        </w:rPr>
        <w:t>III.3. Dwustronne partnerstwa strategiczne umożliwiające przekształcenie możliwości inwestycyjnych</w:t>
      </w:r>
      <w:r w:rsidR="002F45D6" w:rsidRPr="002F45D6">
        <w:rPr>
          <w:rFonts w:ascii="Times New Roman" w:hAnsi="Times New Roman"/>
          <w:b/>
          <w:i/>
          <w:noProof/>
          <w:sz w:val="24"/>
        </w:rPr>
        <w:t xml:space="preserve"> w</w:t>
      </w:r>
      <w:r w:rsidR="002F45D6">
        <w:rPr>
          <w:rFonts w:ascii="Times New Roman" w:hAnsi="Times New Roman"/>
          <w:b/>
          <w:i/>
          <w:noProof/>
          <w:sz w:val="24"/>
        </w:rPr>
        <w:t> </w:t>
      </w:r>
      <w:r w:rsidR="002F45D6" w:rsidRPr="002F45D6">
        <w:rPr>
          <w:rFonts w:ascii="Times New Roman" w:hAnsi="Times New Roman"/>
          <w:b/>
          <w:i/>
          <w:noProof/>
          <w:sz w:val="24"/>
        </w:rPr>
        <w:t>rea</w:t>
      </w:r>
      <w:r w:rsidRPr="002F45D6">
        <w:rPr>
          <w:rFonts w:ascii="Times New Roman" w:hAnsi="Times New Roman"/>
          <w:b/>
          <w:i/>
          <w:noProof/>
          <w:sz w:val="24"/>
        </w:rPr>
        <w:t>lia gospodarcze</w:t>
      </w:r>
    </w:p>
    <w:p w14:paraId="3197C829" w14:textId="4C6C6643" w:rsidR="00E00B14" w:rsidRPr="002F45D6" w:rsidRDefault="00F50CEA" w:rsidP="00E00B14">
      <w:pPr>
        <w:spacing w:before="120"/>
        <w:jc w:val="both"/>
        <w:rPr>
          <w:rFonts w:ascii="Times New Roman" w:hAnsi="Times New Roman" w:cs="Times New Roman"/>
          <w:noProof/>
          <w:sz w:val="24"/>
        </w:rPr>
      </w:pPr>
      <w:r w:rsidRPr="002F45D6">
        <w:rPr>
          <w:rFonts w:ascii="Times New Roman" w:hAnsi="Times New Roman"/>
          <w:noProof/>
          <w:sz w:val="24"/>
        </w:rPr>
        <w:t>Ze względu na pilną potrzebę zwiększenia produkcji surowców krytycznych na świecie UE zacieśni współpracę</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stwami trzecimi przez pobudzanie zrównoważonych inwestycji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cuchy wartości surowców krytycznych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inn</w:t>
      </w:r>
      <w:r w:rsidRPr="002F45D6">
        <w:rPr>
          <w:rFonts w:ascii="Times New Roman" w:hAnsi="Times New Roman"/>
          <w:noProof/>
          <w:sz w:val="24"/>
        </w:rPr>
        <w:t>e elementy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 xml:space="preserve">cuchu wartości oraz przez </w:t>
      </w:r>
      <w:r w:rsidRPr="002F45D6">
        <w:rPr>
          <w:rFonts w:ascii="Times New Roman" w:hAnsi="Times New Roman"/>
          <w:b/>
          <w:noProof/>
          <w:sz w:val="24"/>
        </w:rPr>
        <w:t>przekształcanie możliwości gospodarczych</w:t>
      </w:r>
      <w:r w:rsidR="002F45D6" w:rsidRPr="002F45D6">
        <w:rPr>
          <w:rFonts w:ascii="Times New Roman" w:hAnsi="Times New Roman"/>
          <w:b/>
          <w:noProof/>
          <w:sz w:val="24"/>
        </w:rPr>
        <w:t xml:space="preserve"> w</w:t>
      </w:r>
      <w:r w:rsidR="002F45D6">
        <w:rPr>
          <w:rFonts w:ascii="Times New Roman" w:hAnsi="Times New Roman"/>
          <w:b/>
          <w:noProof/>
          <w:sz w:val="24"/>
        </w:rPr>
        <w:t> </w:t>
      </w:r>
      <w:r w:rsidR="002F45D6" w:rsidRPr="002F45D6">
        <w:rPr>
          <w:rFonts w:ascii="Times New Roman" w:hAnsi="Times New Roman"/>
          <w:b/>
          <w:noProof/>
          <w:sz w:val="24"/>
        </w:rPr>
        <w:t>rea</w:t>
      </w:r>
      <w:r w:rsidRPr="002F45D6">
        <w:rPr>
          <w:rFonts w:ascii="Times New Roman" w:hAnsi="Times New Roman"/>
          <w:b/>
          <w:noProof/>
          <w:sz w:val="24"/>
        </w:rPr>
        <w:t>lia korzystne dla obu stron</w:t>
      </w:r>
      <w:r w:rsidRPr="002F45D6">
        <w:rPr>
          <w:rFonts w:ascii="Times New Roman" w:hAnsi="Times New Roman"/>
          <w:noProof/>
          <w:sz w:val="24"/>
        </w:rPr>
        <w:t>. Partnerstwa strategiczne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 xml:space="preserve">cuchach wartości surowców są ważnym narzędziem zacieśniania tej współpracy. </w:t>
      </w:r>
    </w:p>
    <w:p w14:paraId="1F974A04" w14:textId="70ABCDAD" w:rsidR="0094111B" w:rsidRPr="002F45D6" w:rsidRDefault="00B645CF" w:rsidP="00C54988">
      <w:pPr>
        <w:pStyle w:val="PlainText"/>
        <w:jc w:val="both"/>
        <w:rPr>
          <w:noProof/>
        </w:rPr>
      </w:pPr>
      <w:r w:rsidRPr="002F45D6">
        <w:rPr>
          <w:noProof/>
        </w:rPr>
        <w:t>Partnerstwa strategiczne promują zrównoważony wzrost gospodarczy</w:t>
      </w:r>
      <w:r w:rsidR="002F45D6" w:rsidRPr="002F45D6">
        <w:rPr>
          <w:noProof/>
        </w:rPr>
        <w:t xml:space="preserve"> i</w:t>
      </w:r>
      <w:r w:rsidR="002F45D6">
        <w:rPr>
          <w:noProof/>
        </w:rPr>
        <w:t> </w:t>
      </w:r>
      <w:r w:rsidR="002F45D6" w:rsidRPr="002F45D6">
        <w:rPr>
          <w:noProof/>
        </w:rPr>
        <w:t>prz</w:t>
      </w:r>
      <w:r w:rsidRPr="002F45D6">
        <w:rPr>
          <w:noProof/>
        </w:rPr>
        <w:t>yczyniają się do tworzenia odpornych łańcuchów wartości surowców</w:t>
      </w:r>
      <w:r w:rsidR="002F45D6" w:rsidRPr="002F45D6">
        <w:rPr>
          <w:noProof/>
        </w:rPr>
        <w:t xml:space="preserve"> i</w:t>
      </w:r>
      <w:r w:rsidR="002F45D6">
        <w:rPr>
          <w:noProof/>
        </w:rPr>
        <w:t> </w:t>
      </w:r>
      <w:r w:rsidR="002F45D6" w:rsidRPr="002F45D6">
        <w:rPr>
          <w:noProof/>
        </w:rPr>
        <w:t>pro</w:t>
      </w:r>
      <w:r w:rsidRPr="002F45D6">
        <w:rPr>
          <w:noProof/>
        </w:rPr>
        <w:t>dukcji przemysłowej. Przyczyniają się do integracji łańcuchów wartości surowców</w:t>
      </w:r>
      <w:r w:rsidR="002F45D6" w:rsidRPr="002F45D6">
        <w:rPr>
          <w:noProof/>
        </w:rPr>
        <w:t xml:space="preserve"> i</w:t>
      </w:r>
      <w:r w:rsidR="002F45D6">
        <w:rPr>
          <w:noProof/>
        </w:rPr>
        <w:t> </w:t>
      </w:r>
      <w:r w:rsidR="002F45D6" w:rsidRPr="002F45D6">
        <w:rPr>
          <w:noProof/>
        </w:rPr>
        <w:t>pro</w:t>
      </w:r>
      <w:r w:rsidRPr="002F45D6">
        <w:rPr>
          <w:noProof/>
        </w:rPr>
        <w:t>dukcji przemysłowej między UE</w:t>
      </w:r>
      <w:r w:rsidR="002F45D6" w:rsidRPr="002F45D6">
        <w:rPr>
          <w:noProof/>
        </w:rPr>
        <w:t xml:space="preserve"> a</w:t>
      </w:r>
      <w:r w:rsidR="002F45D6">
        <w:rPr>
          <w:noProof/>
        </w:rPr>
        <w:t> </w:t>
      </w:r>
      <w:r w:rsidR="002F45D6" w:rsidRPr="002F45D6">
        <w:rPr>
          <w:noProof/>
        </w:rPr>
        <w:t>kra</w:t>
      </w:r>
      <w:r w:rsidRPr="002F45D6">
        <w:rPr>
          <w:noProof/>
        </w:rPr>
        <w:t xml:space="preserve">jem partnerskim. </w:t>
      </w:r>
      <w:r w:rsidRPr="002F45D6">
        <w:rPr>
          <w:b/>
          <w:noProof/>
        </w:rPr>
        <w:t>Cele</w:t>
      </w:r>
      <w:r w:rsidRPr="002F45D6">
        <w:rPr>
          <w:noProof/>
        </w:rPr>
        <w:t xml:space="preserve"> tych partnerstw są następujące:</w:t>
      </w:r>
    </w:p>
    <w:p w14:paraId="09FF35D3" w14:textId="2B24C866" w:rsidR="0094111B" w:rsidRPr="002F45D6" w:rsidRDefault="0094111B" w:rsidP="00AA458A">
      <w:pPr>
        <w:pStyle w:val="PlainText"/>
        <w:jc w:val="both"/>
        <w:rPr>
          <w:noProof/>
        </w:rPr>
      </w:pPr>
      <w:r w:rsidRPr="002F45D6">
        <w:rPr>
          <w:noProof/>
        </w:rPr>
        <w:t>(i)</w:t>
      </w:r>
      <w:r w:rsidRPr="002F45D6">
        <w:rPr>
          <w:noProof/>
        </w:rPr>
        <w:tab/>
        <w:t>integracja unijnych łańcuchów wartości surowców</w:t>
      </w:r>
      <w:r w:rsidR="002F45D6" w:rsidRPr="002F45D6">
        <w:rPr>
          <w:noProof/>
        </w:rPr>
        <w:t xml:space="preserve"> z</w:t>
      </w:r>
      <w:r w:rsidR="002F45D6">
        <w:rPr>
          <w:noProof/>
        </w:rPr>
        <w:t> </w:t>
      </w:r>
      <w:r w:rsidR="002F45D6" w:rsidRPr="002F45D6">
        <w:rPr>
          <w:noProof/>
        </w:rPr>
        <w:t>łań</w:t>
      </w:r>
      <w:r w:rsidRPr="002F45D6">
        <w:rPr>
          <w:noProof/>
        </w:rPr>
        <w:t>cuchami wartości krajów partnerskich,</w:t>
      </w:r>
      <w:r w:rsidR="002F45D6" w:rsidRPr="002F45D6">
        <w:rPr>
          <w:noProof/>
        </w:rPr>
        <w:t xml:space="preserve"> w</w:t>
      </w:r>
      <w:r w:rsidR="002F45D6">
        <w:rPr>
          <w:noProof/>
        </w:rPr>
        <w:t> </w:t>
      </w:r>
      <w:r w:rsidR="002F45D6" w:rsidRPr="002F45D6">
        <w:rPr>
          <w:noProof/>
        </w:rPr>
        <w:t>tym</w:t>
      </w:r>
      <w:r w:rsidRPr="002F45D6">
        <w:rPr>
          <w:noProof/>
        </w:rPr>
        <w:t xml:space="preserve"> współpraca</w:t>
      </w:r>
      <w:r w:rsidR="002F45D6" w:rsidRPr="002F45D6">
        <w:rPr>
          <w:noProof/>
        </w:rPr>
        <w:t xml:space="preserve"> w</w:t>
      </w:r>
      <w:r w:rsidR="002F45D6">
        <w:rPr>
          <w:noProof/>
        </w:rPr>
        <w:t> </w:t>
      </w:r>
      <w:r w:rsidR="002F45D6" w:rsidRPr="002F45D6">
        <w:rPr>
          <w:noProof/>
        </w:rPr>
        <w:t>okr</w:t>
      </w:r>
      <w:r w:rsidRPr="002F45D6">
        <w:rPr>
          <w:noProof/>
        </w:rPr>
        <w:t>eślaniu projektów strategicznych kwalifikujących się na potrzeby rozporządzenia, współpraca</w:t>
      </w:r>
      <w:r w:rsidR="002F45D6" w:rsidRPr="002F45D6">
        <w:rPr>
          <w:noProof/>
        </w:rPr>
        <w:t xml:space="preserve"> w</w:t>
      </w:r>
      <w:r w:rsidR="002F45D6">
        <w:rPr>
          <w:noProof/>
        </w:rPr>
        <w:t> </w:t>
      </w:r>
      <w:r w:rsidR="002F45D6" w:rsidRPr="002F45D6">
        <w:rPr>
          <w:noProof/>
        </w:rPr>
        <w:t>zak</w:t>
      </w:r>
      <w:r w:rsidRPr="002F45D6">
        <w:rPr>
          <w:noProof/>
        </w:rPr>
        <w:t>resie badań naukowych</w:t>
      </w:r>
      <w:r w:rsidR="002F45D6" w:rsidRPr="002F45D6">
        <w:rPr>
          <w:noProof/>
        </w:rPr>
        <w:t xml:space="preserve"> i</w:t>
      </w:r>
      <w:r w:rsidR="002F45D6">
        <w:rPr>
          <w:noProof/>
        </w:rPr>
        <w:t> </w:t>
      </w:r>
      <w:r w:rsidR="002F45D6" w:rsidRPr="002F45D6">
        <w:rPr>
          <w:noProof/>
        </w:rPr>
        <w:t>inn</w:t>
      </w:r>
      <w:r w:rsidRPr="002F45D6">
        <w:rPr>
          <w:noProof/>
        </w:rPr>
        <w:t>owacji oraz wymiana wiedzy</w:t>
      </w:r>
      <w:r w:rsidR="002F45D6" w:rsidRPr="002F45D6">
        <w:rPr>
          <w:noProof/>
        </w:rPr>
        <w:t xml:space="preserve"> i</w:t>
      </w:r>
      <w:r w:rsidR="002F45D6">
        <w:rPr>
          <w:noProof/>
        </w:rPr>
        <w:t> </w:t>
      </w:r>
      <w:r w:rsidR="002F45D6" w:rsidRPr="002F45D6">
        <w:rPr>
          <w:noProof/>
        </w:rPr>
        <w:t>tec</w:t>
      </w:r>
      <w:r w:rsidRPr="002F45D6">
        <w:rPr>
          <w:noProof/>
        </w:rPr>
        <w:t>hnologii</w:t>
      </w:r>
      <w:r w:rsidR="002F45D6" w:rsidRPr="002F45D6">
        <w:rPr>
          <w:noProof/>
        </w:rPr>
        <w:t xml:space="preserve"> w</w:t>
      </w:r>
      <w:r w:rsidR="002F45D6">
        <w:rPr>
          <w:noProof/>
        </w:rPr>
        <w:t> </w:t>
      </w:r>
      <w:r w:rsidR="002F45D6" w:rsidRPr="002F45D6">
        <w:rPr>
          <w:noProof/>
        </w:rPr>
        <w:t>zak</w:t>
      </w:r>
      <w:r w:rsidRPr="002F45D6">
        <w:rPr>
          <w:noProof/>
        </w:rPr>
        <w:t>resie zrównoważonego poszukiwania, wydobycia, przetwarzania</w:t>
      </w:r>
      <w:r w:rsidR="002F45D6" w:rsidRPr="002F45D6">
        <w:rPr>
          <w:noProof/>
        </w:rPr>
        <w:t xml:space="preserve"> i</w:t>
      </w:r>
      <w:r w:rsidR="002F45D6">
        <w:rPr>
          <w:noProof/>
        </w:rPr>
        <w:t> </w:t>
      </w:r>
      <w:r w:rsidR="002F45D6" w:rsidRPr="002F45D6">
        <w:rPr>
          <w:noProof/>
        </w:rPr>
        <w:t>rec</w:t>
      </w:r>
      <w:r w:rsidRPr="002F45D6">
        <w:rPr>
          <w:noProof/>
        </w:rPr>
        <w:t>yklingu surowców krytycznych, zastępowania surowców krytycznych</w:t>
      </w:r>
      <w:r w:rsidR="002F45D6" w:rsidRPr="002F45D6">
        <w:rPr>
          <w:noProof/>
        </w:rPr>
        <w:t xml:space="preserve"> i</w:t>
      </w:r>
      <w:r w:rsidR="002F45D6">
        <w:rPr>
          <w:noProof/>
        </w:rPr>
        <w:t> </w:t>
      </w:r>
      <w:r w:rsidR="002F45D6" w:rsidRPr="002F45D6">
        <w:rPr>
          <w:noProof/>
        </w:rPr>
        <w:t>mon</w:t>
      </w:r>
      <w:r w:rsidRPr="002F45D6">
        <w:rPr>
          <w:noProof/>
        </w:rPr>
        <w:t>itorowania ryzyka dotyczącego dostaw;</w:t>
      </w:r>
    </w:p>
    <w:p w14:paraId="1EC0A63D" w14:textId="5B4A1EB0" w:rsidR="0094111B" w:rsidRPr="002F45D6" w:rsidRDefault="0094111B" w:rsidP="00AA458A">
      <w:pPr>
        <w:pStyle w:val="PlainText"/>
        <w:jc w:val="both"/>
        <w:rPr>
          <w:noProof/>
        </w:rPr>
      </w:pPr>
      <w:r w:rsidRPr="002F45D6">
        <w:rPr>
          <w:noProof/>
        </w:rPr>
        <w:t>(ii)</w:t>
      </w:r>
      <w:r w:rsidRPr="002F45D6">
        <w:rPr>
          <w:noProof/>
        </w:rPr>
        <w:tab/>
        <w:t>poprawa ram regulacyjnych w UE</w:t>
      </w:r>
      <w:r w:rsidR="002F45D6" w:rsidRPr="002F45D6">
        <w:rPr>
          <w:noProof/>
        </w:rPr>
        <w:t xml:space="preserve"> i</w:t>
      </w:r>
      <w:r w:rsidR="002F45D6">
        <w:rPr>
          <w:noProof/>
        </w:rPr>
        <w:t> </w:t>
      </w:r>
      <w:r w:rsidR="002F45D6" w:rsidRPr="002F45D6">
        <w:rPr>
          <w:noProof/>
        </w:rPr>
        <w:t>kra</w:t>
      </w:r>
      <w:r w:rsidRPr="002F45D6">
        <w:rPr>
          <w:noProof/>
        </w:rPr>
        <w:t>ju partnerskim,</w:t>
      </w:r>
      <w:r w:rsidR="002F45D6" w:rsidRPr="002F45D6">
        <w:rPr>
          <w:noProof/>
        </w:rPr>
        <w:t xml:space="preserve"> a</w:t>
      </w:r>
      <w:r w:rsidR="002F45D6">
        <w:rPr>
          <w:noProof/>
        </w:rPr>
        <w:t> </w:t>
      </w:r>
      <w:r w:rsidR="002F45D6" w:rsidRPr="002F45D6">
        <w:rPr>
          <w:noProof/>
        </w:rPr>
        <w:t>tak</w:t>
      </w:r>
      <w:r w:rsidRPr="002F45D6">
        <w:rPr>
          <w:noProof/>
        </w:rPr>
        <w:t xml:space="preserve">że poprawa zdolności do egzekwowania odpowiednich przepisów; </w:t>
      </w:r>
    </w:p>
    <w:p w14:paraId="5FB629AE" w14:textId="45B59D54" w:rsidR="0094111B" w:rsidRPr="002F45D6" w:rsidRDefault="0094111B" w:rsidP="00AA458A">
      <w:pPr>
        <w:pStyle w:val="PlainText"/>
        <w:jc w:val="both"/>
        <w:rPr>
          <w:noProof/>
        </w:rPr>
      </w:pPr>
      <w:r w:rsidRPr="002F45D6">
        <w:rPr>
          <w:noProof/>
        </w:rPr>
        <w:t>(iii)</w:t>
      </w:r>
      <w:r w:rsidRPr="002F45D6">
        <w:rPr>
          <w:noProof/>
        </w:rPr>
        <w:tab/>
        <w:t>promowanie wzajemnych korzyści przemysłowych</w:t>
      </w:r>
      <w:r w:rsidR="002F45D6" w:rsidRPr="002F45D6">
        <w:rPr>
          <w:noProof/>
        </w:rPr>
        <w:t xml:space="preserve"> i</w:t>
      </w:r>
      <w:r w:rsidR="002F45D6">
        <w:rPr>
          <w:noProof/>
        </w:rPr>
        <w:t> </w:t>
      </w:r>
      <w:r w:rsidR="002F45D6" w:rsidRPr="002F45D6">
        <w:rPr>
          <w:noProof/>
        </w:rPr>
        <w:t>gos</w:t>
      </w:r>
      <w:r w:rsidRPr="002F45D6">
        <w:rPr>
          <w:noProof/>
        </w:rPr>
        <w:t>podarczych przez zwiększenie wartości dodanej</w:t>
      </w:r>
      <w:r w:rsidR="002F45D6" w:rsidRPr="002F45D6">
        <w:rPr>
          <w:noProof/>
        </w:rPr>
        <w:t xml:space="preserve"> w</w:t>
      </w:r>
      <w:r w:rsidR="002F45D6">
        <w:rPr>
          <w:noProof/>
        </w:rPr>
        <w:t> </w:t>
      </w:r>
      <w:r w:rsidR="002F45D6" w:rsidRPr="002F45D6">
        <w:rPr>
          <w:noProof/>
        </w:rPr>
        <w:t>pro</w:t>
      </w:r>
      <w:r w:rsidRPr="002F45D6">
        <w:rPr>
          <w:noProof/>
        </w:rPr>
        <w:t>dukcji</w:t>
      </w:r>
      <w:r w:rsidR="002F45D6" w:rsidRPr="002F45D6">
        <w:rPr>
          <w:noProof/>
        </w:rPr>
        <w:t xml:space="preserve"> w</w:t>
      </w:r>
      <w:r w:rsidR="002F45D6">
        <w:rPr>
          <w:noProof/>
        </w:rPr>
        <w:t> </w:t>
      </w:r>
      <w:r w:rsidR="002F45D6" w:rsidRPr="002F45D6">
        <w:rPr>
          <w:noProof/>
        </w:rPr>
        <w:t>pań</w:t>
      </w:r>
      <w:r w:rsidRPr="002F45D6">
        <w:rPr>
          <w:noProof/>
        </w:rPr>
        <w:t>stwach trzecich;</w:t>
      </w:r>
    </w:p>
    <w:p w14:paraId="6A69E8E7" w14:textId="775A06F9" w:rsidR="0094111B" w:rsidRPr="002F45D6" w:rsidRDefault="0094111B" w:rsidP="00AA458A">
      <w:pPr>
        <w:pStyle w:val="PlainText"/>
        <w:jc w:val="both"/>
        <w:rPr>
          <w:noProof/>
        </w:rPr>
      </w:pPr>
      <w:r w:rsidRPr="002F45D6">
        <w:rPr>
          <w:noProof/>
        </w:rPr>
        <w:t>(iv)</w:t>
      </w:r>
      <w:r w:rsidRPr="002F45D6">
        <w:rPr>
          <w:noProof/>
        </w:rPr>
        <w:tab/>
        <w:t>opracowanie</w:t>
      </w:r>
      <w:r w:rsidR="002F45D6" w:rsidRPr="002F45D6">
        <w:rPr>
          <w:noProof/>
        </w:rPr>
        <w:t xml:space="preserve"> i</w:t>
      </w:r>
      <w:r w:rsidR="002F45D6">
        <w:rPr>
          <w:noProof/>
        </w:rPr>
        <w:t> </w:t>
      </w:r>
      <w:r w:rsidR="002F45D6" w:rsidRPr="002F45D6">
        <w:rPr>
          <w:noProof/>
        </w:rPr>
        <w:t>pop</w:t>
      </w:r>
      <w:r w:rsidRPr="002F45D6">
        <w:rPr>
          <w:noProof/>
        </w:rPr>
        <w:t>rawa norm międzynarodowych,</w:t>
      </w:r>
      <w:r w:rsidR="002F45D6" w:rsidRPr="002F45D6">
        <w:rPr>
          <w:noProof/>
        </w:rPr>
        <w:t xml:space="preserve"> w</w:t>
      </w:r>
      <w:r w:rsidR="002F45D6">
        <w:rPr>
          <w:noProof/>
        </w:rPr>
        <w:t> </w:t>
      </w:r>
      <w:r w:rsidR="002F45D6" w:rsidRPr="002F45D6">
        <w:rPr>
          <w:noProof/>
        </w:rPr>
        <w:t>tym</w:t>
      </w:r>
      <w:r w:rsidRPr="002F45D6">
        <w:rPr>
          <w:noProof/>
        </w:rPr>
        <w:t xml:space="preserve"> uwzględnienie</w:t>
      </w:r>
      <w:r w:rsidR="002F45D6" w:rsidRPr="002F45D6">
        <w:rPr>
          <w:noProof/>
        </w:rPr>
        <w:t xml:space="preserve"> w</w:t>
      </w:r>
      <w:r w:rsidR="002F45D6">
        <w:rPr>
          <w:noProof/>
        </w:rPr>
        <w:t> </w:t>
      </w:r>
      <w:r w:rsidR="002F45D6" w:rsidRPr="002F45D6">
        <w:rPr>
          <w:noProof/>
        </w:rPr>
        <w:t>nic</w:t>
      </w:r>
      <w:r w:rsidRPr="002F45D6">
        <w:rPr>
          <w:noProof/>
        </w:rPr>
        <w:t>h wysokiego poziomu ochrony środowiska</w:t>
      </w:r>
      <w:r w:rsidR="002F45D6" w:rsidRPr="002F45D6">
        <w:rPr>
          <w:noProof/>
        </w:rPr>
        <w:t xml:space="preserve"> i</w:t>
      </w:r>
      <w:r w:rsidR="002F45D6">
        <w:rPr>
          <w:noProof/>
        </w:rPr>
        <w:t> </w:t>
      </w:r>
      <w:r w:rsidR="002F45D6" w:rsidRPr="002F45D6">
        <w:rPr>
          <w:noProof/>
        </w:rPr>
        <w:t>och</w:t>
      </w:r>
      <w:r w:rsidRPr="002F45D6">
        <w:rPr>
          <w:noProof/>
        </w:rPr>
        <w:t>rony socjalnej oraz wsparcia zobowiązań</w:t>
      </w:r>
      <w:r w:rsidR="002F45D6" w:rsidRPr="002F45D6">
        <w:rPr>
          <w:noProof/>
        </w:rPr>
        <w:t xml:space="preserve"> w</w:t>
      </w:r>
      <w:r w:rsidR="002F45D6">
        <w:rPr>
          <w:noProof/>
        </w:rPr>
        <w:t> </w:t>
      </w:r>
      <w:r w:rsidR="002F45D6" w:rsidRPr="002F45D6">
        <w:rPr>
          <w:noProof/>
        </w:rPr>
        <w:t>dzi</w:t>
      </w:r>
      <w:r w:rsidRPr="002F45D6">
        <w:rPr>
          <w:noProof/>
        </w:rPr>
        <w:t>edzinie klimatu</w:t>
      </w:r>
      <w:r w:rsidR="002F45D6" w:rsidRPr="002F45D6">
        <w:rPr>
          <w:noProof/>
        </w:rPr>
        <w:t xml:space="preserve"> i</w:t>
      </w:r>
      <w:r w:rsidR="002F45D6">
        <w:rPr>
          <w:noProof/>
        </w:rPr>
        <w:t> </w:t>
      </w:r>
      <w:r w:rsidR="002F45D6" w:rsidRPr="002F45D6">
        <w:rPr>
          <w:noProof/>
        </w:rPr>
        <w:t>śro</w:t>
      </w:r>
      <w:r w:rsidRPr="002F45D6">
        <w:rPr>
          <w:noProof/>
        </w:rPr>
        <w:t xml:space="preserve">dowiska; </w:t>
      </w:r>
    </w:p>
    <w:p w14:paraId="7C18C6F2" w14:textId="312B9B19" w:rsidR="0094111B" w:rsidRPr="002F45D6" w:rsidRDefault="0094111B" w:rsidP="00AA458A">
      <w:pPr>
        <w:pStyle w:val="PlainText"/>
        <w:jc w:val="both"/>
        <w:rPr>
          <w:noProof/>
        </w:rPr>
      </w:pPr>
      <w:r w:rsidRPr="002F45D6">
        <w:rPr>
          <w:noProof/>
        </w:rPr>
        <w:t>(v)</w:t>
      </w:r>
      <w:r w:rsidRPr="002F45D6">
        <w:rPr>
          <w:noProof/>
        </w:rPr>
        <w:tab/>
        <w:t>mobilizowanie środków finansowych na rozwój infrastruktury wymaganej na potrzeby łańcucha wartości surowców;</w:t>
      </w:r>
    </w:p>
    <w:p w14:paraId="23CFA6FC" w14:textId="702C6531" w:rsidR="00434F86" w:rsidRPr="002F45D6" w:rsidRDefault="00434F86" w:rsidP="00AA458A">
      <w:pPr>
        <w:pStyle w:val="PlainText"/>
        <w:jc w:val="both"/>
        <w:rPr>
          <w:noProof/>
        </w:rPr>
      </w:pPr>
      <w:r w:rsidRPr="002F45D6">
        <w:rPr>
          <w:noProof/>
        </w:rPr>
        <w:t>(vi)</w:t>
      </w:r>
      <w:r w:rsidRPr="002F45D6">
        <w:rPr>
          <w:noProof/>
        </w:rPr>
        <w:tab/>
        <w:t>współpraca na rzecz zwiększenia odporności</w:t>
      </w:r>
      <w:r w:rsidR="002F45D6" w:rsidRPr="002F45D6">
        <w:rPr>
          <w:noProof/>
        </w:rPr>
        <w:t xml:space="preserve"> i</w:t>
      </w:r>
      <w:r w:rsidR="002F45D6">
        <w:rPr>
          <w:noProof/>
        </w:rPr>
        <w:t> </w:t>
      </w:r>
      <w:r w:rsidR="002F45D6" w:rsidRPr="002F45D6">
        <w:rPr>
          <w:noProof/>
        </w:rPr>
        <w:t>zró</w:t>
      </w:r>
      <w:r w:rsidRPr="002F45D6">
        <w:rPr>
          <w:noProof/>
        </w:rPr>
        <w:t>wnoważonego charakteru łańcuchów dostaw surowców krytycznych;</w:t>
      </w:r>
    </w:p>
    <w:p w14:paraId="5D953ABB" w14:textId="183EF31A" w:rsidR="0094111B" w:rsidRPr="002F45D6" w:rsidRDefault="0094111B" w:rsidP="00AA458A">
      <w:pPr>
        <w:pStyle w:val="PlainText"/>
        <w:jc w:val="both"/>
        <w:rPr>
          <w:noProof/>
        </w:rPr>
      </w:pPr>
      <w:r w:rsidRPr="002F45D6">
        <w:rPr>
          <w:noProof/>
        </w:rPr>
        <w:t>(vii)</w:t>
      </w:r>
      <w:r w:rsidRPr="002F45D6">
        <w:rPr>
          <w:noProof/>
        </w:rPr>
        <w:tab/>
        <w:t>intensyfikacja szkoleń</w:t>
      </w:r>
      <w:r w:rsidR="002F45D6" w:rsidRPr="002F45D6">
        <w:rPr>
          <w:noProof/>
        </w:rPr>
        <w:t xml:space="preserve"> i</w:t>
      </w:r>
      <w:r w:rsidR="002F45D6">
        <w:rPr>
          <w:noProof/>
        </w:rPr>
        <w:t> </w:t>
      </w:r>
      <w:r w:rsidR="002F45D6" w:rsidRPr="002F45D6">
        <w:rPr>
          <w:noProof/>
        </w:rPr>
        <w:t>bud</w:t>
      </w:r>
      <w:r w:rsidRPr="002F45D6">
        <w:rPr>
          <w:noProof/>
        </w:rPr>
        <w:t>owania umiejętności</w:t>
      </w:r>
      <w:r w:rsidR="002F45D6" w:rsidRPr="002F45D6">
        <w:rPr>
          <w:noProof/>
        </w:rPr>
        <w:t xml:space="preserve"> w</w:t>
      </w:r>
      <w:r w:rsidR="002F45D6">
        <w:rPr>
          <w:noProof/>
        </w:rPr>
        <w:t> </w:t>
      </w:r>
      <w:r w:rsidR="002F45D6" w:rsidRPr="002F45D6">
        <w:rPr>
          <w:noProof/>
        </w:rPr>
        <w:t>zak</w:t>
      </w:r>
      <w:r w:rsidRPr="002F45D6">
        <w:rPr>
          <w:noProof/>
        </w:rPr>
        <w:t>resie łańcucha wartości surowców krytycznych.</w:t>
      </w:r>
    </w:p>
    <w:p w14:paraId="2D4DDD99" w14:textId="79D75D9D" w:rsidR="00E00B14" w:rsidRPr="002F45D6" w:rsidRDefault="005F68E6" w:rsidP="009232E8">
      <w:pPr>
        <w:jc w:val="both"/>
        <w:rPr>
          <w:rFonts w:ascii="Times New Roman" w:hAnsi="Times New Roman"/>
          <w:noProof/>
          <w:sz w:val="24"/>
        </w:rPr>
      </w:pPr>
      <w:r w:rsidRPr="002F45D6">
        <w:rPr>
          <w:rFonts w:ascii="Times New Roman" w:hAnsi="Times New Roman"/>
          <w:noProof/>
          <w:sz w:val="24"/>
        </w:rPr>
        <w:t>W przypadku krajów rozwijających się partnerstwa opierają się na tworzeniu wartości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dan</w:t>
      </w:r>
      <w:r w:rsidRPr="002F45D6">
        <w:rPr>
          <w:rFonts w:ascii="Times New Roman" w:hAnsi="Times New Roman"/>
          <w:noProof/>
          <w:sz w:val="24"/>
        </w:rPr>
        <w:t>ym kraju oraz wspieraniu uczestnictwa tego kraju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wyż</w:t>
      </w:r>
      <w:r w:rsidRPr="002F45D6">
        <w:rPr>
          <w:rFonts w:ascii="Times New Roman" w:hAnsi="Times New Roman"/>
          <w:noProof/>
          <w:sz w:val="24"/>
        </w:rPr>
        <w:t>szych etapach łańcucha wartości,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wyk</w:t>
      </w:r>
      <w:r w:rsidRPr="002F45D6">
        <w:rPr>
          <w:rFonts w:ascii="Times New Roman" w:hAnsi="Times New Roman"/>
          <w:noProof/>
          <w:sz w:val="24"/>
        </w:rPr>
        <w:t xml:space="preserve">orzystaniem ram strategii Global Gateway. </w:t>
      </w:r>
    </w:p>
    <w:p w14:paraId="1DDFCA9C" w14:textId="1AB93F8F" w:rsidR="00E00B14" w:rsidRPr="002F45D6" w:rsidRDefault="00B645CF" w:rsidP="2FD7A655">
      <w:pPr>
        <w:spacing w:before="120"/>
        <w:jc w:val="both"/>
        <w:rPr>
          <w:rFonts w:ascii="Times New Roman" w:hAnsi="Times New Roman" w:cs="Times New Roman"/>
          <w:noProof/>
          <w:sz w:val="24"/>
          <w:szCs w:val="24"/>
        </w:rPr>
      </w:pPr>
      <w:r w:rsidRPr="002F45D6">
        <w:rPr>
          <w:rFonts w:ascii="Times New Roman" w:hAnsi="Times New Roman"/>
          <w:noProof/>
          <w:sz w:val="24"/>
        </w:rPr>
        <w:t xml:space="preserve">Każde partnerstwo opiera się na </w:t>
      </w:r>
      <w:r w:rsidRPr="002F45D6">
        <w:rPr>
          <w:rFonts w:ascii="Times New Roman" w:hAnsi="Times New Roman"/>
          <w:b/>
          <w:noProof/>
          <w:sz w:val="24"/>
        </w:rPr>
        <w:t>planie działania</w:t>
      </w:r>
      <w:r w:rsidRPr="002F45D6">
        <w:rPr>
          <w:rFonts w:ascii="Times New Roman" w:hAnsi="Times New Roman"/>
          <w:noProof/>
          <w:sz w:val="24"/>
        </w:rPr>
        <w:t>,</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któ</w:t>
      </w:r>
      <w:r w:rsidRPr="002F45D6">
        <w:rPr>
          <w:rFonts w:ascii="Times New Roman" w:hAnsi="Times New Roman"/>
          <w:noProof/>
          <w:sz w:val="24"/>
        </w:rPr>
        <w:t>rym uzgodniono konkretne działania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każdego filaru. Realizacja planu działania jest co roku monitorowana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w:t>
      </w:r>
      <w:r w:rsidR="002F45D6">
        <w:rPr>
          <w:rFonts w:ascii="Times New Roman" w:hAnsi="Times New Roman"/>
          <w:noProof/>
          <w:sz w:val="24"/>
        </w:rPr>
        <w:t> </w:t>
      </w:r>
      <w:r w:rsidR="002F45D6" w:rsidRPr="002F45D6">
        <w:rPr>
          <w:rFonts w:ascii="Times New Roman" w:hAnsi="Times New Roman"/>
          <w:noProof/>
          <w:sz w:val="24"/>
        </w:rPr>
        <w:t>sto</w:t>
      </w:r>
      <w:r w:rsidRPr="002F45D6">
        <w:rPr>
          <w:rFonts w:ascii="Times New Roman" w:hAnsi="Times New Roman"/>
          <w:noProof/>
          <w:sz w:val="24"/>
        </w:rPr>
        <w:t>sownych przypadkach plan może być aktualizowany</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now</w:t>
      </w:r>
      <w:r w:rsidRPr="002F45D6">
        <w:rPr>
          <w:rFonts w:ascii="Times New Roman" w:hAnsi="Times New Roman"/>
          <w:noProof/>
          <w:sz w:val="24"/>
        </w:rPr>
        <w:t>e działania. Partnerstwa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zwi</w:t>
      </w:r>
      <w:r w:rsidRPr="002F45D6">
        <w:rPr>
          <w:rFonts w:ascii="Times New Roman" w:hAnsi="Times New Roman"/>
          <w:noProof/>
          <w:sz w:val="24"/>
        </w:rPr>
        <w:t>ązane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nim</w:t>
      </w:r>
      <w:r w:rsidRPr="002F45D6">
        <w:rPr>
          <w:rFonts w:ascii="Times New Roman" w:hAnsi="Times New Roman"/>
          <w:noProof/>
          <w:sz w:val="24"/>
        </w:rPr>
        <w:t>i plany działania są opracowywane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wdr</w:t>
      </w:r>
      <w:r w:rsidRPr="002F45D6">
        <w:rPr>
          <w:rFonts w:ascii="Times New Roman" w:hAnsi="Times New Roman"/>
          <w:noProof/>
          <w:sz w:val="24"/>
        </w:rPr>
        <w:t>ażane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podejścia „Drużyna Europy”, czyli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udz</w:t>
      </w:r>
      <w:r w:rsidRPr="002F45D6">
        <w:rPr>
          <w:rFonts w:ascii="Times New Roman" w:hAnsi="Times New Roman"/>
          <w:noProof/>
          <w:sz w:val="24"/>
        </w:rPr>
        <w:t>iałem państw członkowskich oraz ich przemysłu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ins</w:t>
      </w:r>
      <w:r w:rsidRPr="002F45D6">
        <w:rPr>
          <w:rFonts w:ascii="Times New Roman" w:hAnsi="Times New Roman"/>
          <w:noProof/>
          <w:sz w:val="24"/>
        </w:rPr>
        <w:t>tytucji.</w:t>
      </w:r>
    </w:p>
    <w:p w14:paraId="2F2D7502" w14:textId="71FB1952" w:rsidR="00E00B14" w:rsidRPr="002F45D6" w:rsidRDefault="00E00B14" w:rsidP="2FD7A655">
      <w:pPr>
        <w:jc w:val="both"/>
        <w:rPr>
          <w:rFonts w:ascii="Times New Roman" w:hAnsi="Times New Roman" w:cs="Times New Roman"/>
          <w:noProof/>
          <w:sz w:val="24"/>
          <w:szCs w:val="24"/>
        </w:rPr>
      </w:pPr>
      <w:r w:rsidRPr="002F45D6">
        <w:rPr>
          <w:rFonts w:ascii="Times New Roman" w:hAnsi="Times New Roman"/>
          <w:noProof/>
          <w:sz w:val="24"/>
        </w:rPr>
        <w:t>Pierwsze partnerstwo strategiczne powstało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2</w:t>
      </w:r>
      <w:r w:rsidRPr="002F45D6">
        <w:rPr>
          <w:rFonts w:ascii="Times New Roman" w:hAnsi="Times New Roman"/>
          <w:noProof/>
          <w:sz w:val="24"/>
        </w:rPr>
        <w:t>021</w:t>
      </w:r>
      <w:r w:rsidR="002F45D6" w:rsidRPr="002F45D6">
        <w:rPr>
          <w:rFonts w:ascii="Times New Roman" w:hAnsi="Times New Roman"/>
          <w:noProof/>
          <w:sz w:val="24"/>
        </w:rPr>
        <w:t> </w:t>
      </w:r>
      <w:r w:rsidRPr="002F45D6">
        <w:rPr>
          <w:rFonts w:ascii="Times New Roman" w:hAnsi="Times New Roman"/>
          <w:noProof/>
          <w:sz w:val="24"/>
        </w:rPr>
        <w:t>r.</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kompleksowej umowy gospodarczo-handlowej między UE</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b/>
          <w:noProof/>
          <w:sz w:val="24"/>
        </w:rPr>
        <w:t>Kan</w:t>
      </w:r>
      <w:r w:rsidRPr="002F45D6">
        <w:rPr>
          <w:rFonts w:ascii="Times New Roman" w:hAnsi="Times New Roman"/>
          <w:b/>
          <w:noProof/>
          <w:sz w:val="24"/>
        </w:rPr>
        <w:t>adą</w:t>
      </w:r>
      <w:r w:rsidRPr="002F45D6">
        <w:rPr>
          <w:rFonts w:ascii="Times New Roman" w:hAnsi="Times New Roman"/>
          <w:noProof/>
          <w:sz w:val="24"/>
        </w:rPr>
        <w:t xml:space="preserve"> (CETA). Zaowocowało ono już inwestycjami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Kan</w:t>
      </w:r>
      <w:r w:rsidRPr="002F45D6">
        <w:rPr>
          <w:rFonts w:ascii="Times New Roman" w:hAnsi="Times New Roman"/>
          <w:noProof/>
          <w:sz w:val="24"/>
        </w:rPr>
        <w:t>adzie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 xml:space="preserve">edzinie aktywnych materiałów katodowych oraz umowami </w:t>
      </w:r>
      <w:r w:rsidRPr="002F45D6">
        <w:rPr>
          <w:rFonts w:ascii="Times New Roman" w:hAnsi="Times New Roman"/>
          <w:b/>
          <w:noProof/>
          <w:sz w:val="24"/>
        </w:rPr>
        <w:t>offtake</w:t>
      </w:r>
      <w:r w:rsidRPr="002F45D6">
        <w:rPr>
          <w:rFonts w:ascii="Times New Roman" w:hAnsi="Times New Roman"/>
          <w:noProof/>
          <w:sz w:val="24"/>
        </w:rPr>
        <w:t xml:space="preserve"> na lit, nikiel</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kob</w:t>
      </w:r>
      <w:r w:rsidRPr="002F45D6">
        <w:rPr>
          <w:rFonts w:ascii="Times New Roman" w:hAnsi="Times New Roman"/>
          <w:noProof/>
          <w:sz w:val="24"/>
        </w:rPr>
        <w:t>alt do baterii,</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że kanadyjskimi inwestycjami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surowców krytycznych w UE.</w:t>
      </w:r>
    </w:p>
    <w:p w14:paraId="7DEE8BEA" w14:textId="62F1BFB9" w:rsidR="00E00B14" w:rsidRPr="002F45D6" w:rsidRDefault="00E00B14" w:rsidP="00E00B14">
      <w:pPr>
        <w:jc w:val="both"/>
        <w:rPr>
          <w:rFonts w:ascii="Times New Roman" w:hAnsi="Times New Roman" w:cs="Times New Roman"/>
          <w:noProof/>
          <w:sz w:val="24"/>
        </w:rPr>
      </w:pPr>
      <w:r w:rsidRPr="002F45D6">
        <w:rPr>
          <w:rFonts w:ascii="Times New Roman" w:hAnsi="Times New Roman"/>
          <w:noProof/>
          <w:sz w:val="24"/>
        </w:rPr>
        <w:t>W 2021</w:t>
      </w:r>
      <w:r w:rsidR="002F45D6" w:rsidRPr="002F45D6">
        <w:rPr>
          <w:rFonts w:ascii="Times New Roman" w:hAnsi="Times New Roman"/>
          <w:noProof/>
          <w:sz w:val="24"/>
        </w:rPr>
        <w:t> </w:t>
      </w:r>
      <w:r w:rsidRPr="002F45D6">
        <w:rPr>
          <w:rFonts w:ascii="Times New Roman" w:hAnsi="Times New Roman"/>
          <w:noProof/>
          <w:sz w:val="24"/>
        </w:rPr>
        <w:t>r. podpisano również partnerstwo</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b/>
          <w:noProof/>
          <w:sz w:val="24"/>
        </w:rPr>
        <w:t>Ukr</w:t>
      </w:r>
      <w:r w:rsidRPr="002F45D6">
        <w:rPr>
          <w:rFonts w:ascii="Times New Roman" w:hAnsi="Times New Roman"/>
          <w:b/>
          <w:noProof/>
          <w:sz w:val="24"/>
        </w:rPr>
        <w:t>ainą</w:t>
      </w:r>
      <w:r w:rsidRPr="002F45D6">
        <w:rPr>
          <w:rFonts w:ascii="Times New Roman" w:hAnsi="Times New Roman"/>
          <w:noProof/>
          <w:sz w:val="24"/>
        </w:rPr>
        <w:t>. Ukraina jest dużym globalnym dostawcą tytanu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jes</w:t>
      </w:r>
      <w:r w:rsidRPr="002F45D6">
        <w:rPr>
          <w:rFonts w:ascii="Times New Roman" w:hAnsi="Times New Roman"/>
          <w:noProof/>
          <w:sz w:val="24"/>
        </w:rPr>
        <w:t>t potencjalnym źródłem zaopatrzenia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pon</w:t>
      </w:r>
      <w:r w:rsidRPr="002F45D6">
        <w:rPr>
          <w:rFonts w:ascii="Times New Roman" w:hAnsi="Times New Roman"/>
          <w:noProof/>
          <w:sz w:val="24"/>
        </w:rPr>
        <w:t>ad dwadzieścia surowców krytycznych dla UE</w:t>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partnerstwa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2</w:t>
      </w:r>
      <w:r w:rsidRPr="002F45D6">
        <w:rPr>
          <w:rFonts w:ascii="Times New Roman" w:hAnsi="Times New Roman"/>
          <w:noProof/>
          <w:sz w:val="24"/>
        </w:rPr>
        <w:t>022</w:t>
      </w:r>
      <w:r w:rsidR="002F45D6" w:rsidRPr="002F45D6">
        <w:rPr>
          <w:rFonts w:ascii="Times New Roman" w:hAnsi="Times New Roman"/>
          <w:noProof/>
          <w:sz w:val="24"/>
        </w:rPr>
        <w:t> </w:t>
      </w:r>
      <w:r w:rsidRPr="002F45D6">
        <w:rPr>
          <w:rFonts w:ascii="Times New Roman" w:hAnsi="Times New Roman"/>
          <w:noProof/>
          <w:sz w:val="24"/>
        </w:rPr>
        <w:t>r. podpisano protokół ustaleń między Europejskim Bankiem Odbudowy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woju (EBOR)</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Ukr</w:t>
      </w:r>
      <w:r w:rsidRPr="002F45D6">
        <w:rPr>
          <w:rFonts w:ascii="Times New Roman" w:hAnsi="Times New Roman"/>
          <w:noProof/>
          <w:sz w:val="24"/>
        </w:rPr>
        <w:t>aińską Służbą Geologiczną.</w:t>
      </w:r>
    </w:p>
    <w:p w14:paraId="437A8712" w14:textId="4858D11E" w:rsidR="00E00B14" w:rsidRPr="002F45D6" w:rsidRDefault="54CFE96E" w:rsidP="00E00B14">
      <w:pPr>
        <w:jc w:val="both"/>
        <w:rPr>
          <w:rFonts w:ascii="Times New Roman" w:hAnsi="Times New Roman" w:cs="Times New Roman"/>
          <w:noProof/>
          <w:sz w:val="24"/>
        </w:rPr>
      </w:pPr>
      <w:r w:rsidRPr="002F45D6">
        <w:rPr>
          <w:rFonts w:ascii="Times New Roman" w:hAnsi="Times New Roman"/>
          <w:noProof/>
          <w:sz w:val="24"/>
        </w:rPr>
        <w:t>W listopadzie 2022</w:t>
      </w:r>
      <w:r w:rsidR="002F45D6" w:rsidRPr="002F45D6">
        <w:rPr>
          <w:rFonts w:ascii="Times New Roman" w:hAnsi="Times New Roman"/>
          <w:noProof/>
          <w:sz w:val="24"/>
        </w:rPr>
        <w:t> </w:t>
      </w:r>
      <w:r w:rsidRPr="002F45D6">
        <w:rPr>
          <w:rFonts w:ascii="Times New Roman" w:hAnsi="Times New Roman"/>
          <w:noProof/>
          <w:sz w:val="24"/>
        </w:rPr>
        <w:t>r. Komisja podpisała partnerstwa strategiczne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b/>
          <w:noProof/>
          <w:sz w:val="24"/>
        </w:rPr>
        <w:t>Kaz</w:t>
      </w:r>
      <w:r w:rsidRPr="002F45D6">
        <w:rPr>
          <w:rFonts w:ascii="Times New Roman" w:hAnsi="Times New Roman"/>
          <w:b/>
          <w:noProof/>
          <w:sz w:val="24"/>
        </w:rPr>
        <w:t>achstanem</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b/>
          <w:noProof/>
          <w:sz w:val="24"/>
        </w:rPr>
        <w:t>Nam</w:t>
      </w:r>
      <w:r w:rsidRPr="002F45D6">
        <w:rPr>
          <w:rFonts w:ascii="Times New Roman" w:hAnsi="Times New Roman"/>
          <w:b/>
          <w:noProof/>
          <w:sz w:val="24"/>
        </w:rPr>
        <w:t>ibią</w:t>
      </w:r>
      <w:r w:rsidRPr="002F45D6">
        <w:rPr>
          <w:rFonts w:ascii="Times New Roman" w:hAnsi="Times New Roman"/>
          <w:noProof/>
          <w:sz w:val="24"/>
        </w:rPr>
        <w:t xml:space="preserve">. </w:t>
      </w:r>
    </w:p>
    <w:p w14:paraId="5E9B0149" w14:textId="25DE13F5" w:rsidR="00A952E3" w:rsidRPr="002F45D6" w:rsidRDefault="00E00B14" w:rsidP="00E00B14">
      <w:pPr>
        <w:spacing w:before="120"/>
        <w:jc w:val="both"/>
        <w:rPr>
          <w:rFonts w:ascii="Times New Roman" w:hAnsi="Times New Roman"/>
          <w:noProof/>
          <w:sz w:val="24"/>
        </w:rPr>
      </w:pPr>
      <w:r w:rsidRPr="002F45D6">
        <w:rPr>
          <w:rFonts w:ascii="Times New Roman" w:hAnsi="Times New Roman"/>
          <w:noProof/>
          <w:sz w:val="24"/>
        </w:rPr>
        <w:t>Do tej pory partnerstwa strategiczne zawierano</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kra</w:t>
      </w:r>
      <w:r w:rsidRPr="002F45D6">
        <w:rPr>
          <w:rFonts w:ascii="Times New Roman" w:hAnsi="Times New Roman"/>
          <w:noProof/>
          <w:sz w:val="24"/>
        </w:rPr>
        <w:t>jami,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któ</w:t>
      </w:r>
      <w:r w:rsidRPr="002F45D6">
        <w:rPr>
          <w:rFonts w:ascii="Times New Roman" w:hAnsi="Times New Roman"/>
          <w:noProof/>
          <w:sz w:val="24"/>
        </w:rPr>
        <w:t xml:space="preserve">rymi UE wynegocjowała lub zawarła umowę handlowo-inwestycyjną. Takie </w:t>
      </w:r>
      <w:r w:rsidRPr="002F45D6">
        <w:rPr>
          <w:rFonts w:ascii="Times New Roman" w:hAnsi="Times New Roman"/>
          <w:b/>
          <w:noProof/>
          <w:sz w:val="24"/>
        </w:rPr>
        <w:t>umowy</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par</w:t>
      </w:r>
      <w:r w:rsidRPr="002F45D6">
        <w:rPr>
          <w:rFonts w:ascii="Times New Roman" w:hAnsi="Times New Roman"/>
          <w:b/>
          <w:noProof/>
          <w:sz w:val="24"/>
        </w:rPr>
        <w:t>tnerstwa strategiczne wzajemnie się uzupełniają</w:t>
      </w:r>
      <w:r w:rsidRPr="002F45D6">
        <w:rPr>
          <w:rFonts w:ascii="Times New Roman" w:hAnsi="Times New Roman"/>
          <w:noProof/>
          <w:sz w:val="24"/>
        </w:rPr>
        <w:t>, oferując ramy polityczne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kon</w:t>
      </w:r>
      <w:r w:rsidRPr="002F45D6">
        <w:rPr>
          <w:rFonts w:ascii="Times New Roman" w:hAnsi="Times New Roman"/>
          <w:noProof/>
          <w:sz w:val="24"/>
        </w:rPr>
        <w:t>kretną współpracę dwustronną</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surowców krytycznych</w:t>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ypadku krajów, które nie mają umów handlowych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inw</w:t>
      </w:r>
      <w:r w:rsidRPr="002F45D6">
        <w:rPr>
          <w:rFonts w:ascii="Times New Roman" w:hAnsi="Times New Roman"/>
          <w:noProof/>
          <w:sz w:val="24"/>
        </w:rPr>
        <w:t>estycyjnych z UE, podczas negocjacji protokołu ustaleń stanowiącego podstawę takiego partnerstwa Komisja będzie promować cel niezakłóconego handlu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inw</w:t>
      </w:r>
      <w:r w:rsidRPr="002F45D6">
        <w:rPr>
          <w:rFonts w:ascii="Times New Roman" w:hAnsi="Times New Roman"/>
          <w:noProof/>
          <w:sz w:val="24"/>
        </w:rPr>
        <w:t>estycji</w:t>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porządzeniu przewidziano, że Europejska Rada ds. Surowców Krytycznych będzie okresowo omawiać partnerstwa strategiczne we współpracy ze strukturami Global Gateway.</w:t>
      </w:r>
    </w:p>
    <w:p w14:paraId="5CF822AD" w14:textId="77777777" w:rsidR="00A952E3" w:rsidRPr="002F45D6" w:rsidRDefault="00A952E3" w:rsidP="00A952E3">
      <w:pPr>
        <w:rPr>
          <w:rFonts w:ascii="Times New Roman" w:hAnsi="Times New Roman" w:cs="Times New Roman"/>
          <w:i/>
          <w:noProof/>
          <w:sz w:val="24"/>
          <w:szCs w:val="24"/>
        </w:rPr>
      </w:pPr>
      <w:r w:rsidRPr="002F45D6">
        <w:rPr>
          <w:rFonts w:ascii="Times New Roman" w:hAnsi="Times New Roman"/>
          <w:i/>
          <w:noProof/>
          <w:sz w:val="24"/>
        </w:rPr>
        <w:t>Komisja:</w:t>
      </w:r>
    </w:p>
    <w:p w14:paraId="3657251C" w14:textId="07C55E5E" w:rsidR="00A952E3" w:rsidRPr="002F45D6" w:rsidRDefault="00A952E3" w:rsidP="003073D2">
      <w:pPr>
        <w:pStyle w:val="ListParagraph"/>
        <w:numPr>
          <w:ilvl w:val="0"/>
          <w:numId w:val="43"/>
        </w:numPr>
        <w:jc w:val="both"/>
        <w:rPr>
          <w:rFonts w:ascii="Times New Roman" w:hAnsi="Times New Roman" w:cs="Times New Roman"/>
          <w:i/>
          <w:iCs/>
          <w:noProof/>
          <w:sz w:val="24"/>
          <w:szCs w:val="24"/>
        </w:rPr>
      </w:pPr>
      <w:r w:rsidRPr="002F45D6">
        <w:rPr>
          <w:rFonts w:ascii="Times New Roman" w:hAnsi="Times New Roman"/>
          <w:i/>
          <w:noProof/>
          <w:sz w:val="24"/>
        </w:rPr>
        <w:t>będzie dążyć do rozszerzenia sieci partnerstw strategicznych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dzi</w:t>
      </w:r>
      <w:r w:rsidRPr="002F45D6">
        <w:rPr>
          <w:rFonts w:ascii="Times New Roman" w:hAnsi="Times New Roman"/>
          <w:i/>
          <w:noProof/>
          <w:sz w:val="24"/>
        </w:rPr>
        <w:t>edzinie surowców,</w:t>
      </w:r>
    </w:p>
    <w:p w14:paraId="0282F296" w14:textId="5F489E51" w:rsidR="00843BE1" w:rsidRPr="002F45D6" w:rsidRDefault="007B7866" w:rsidP="003073D2">
      <w:pPr>
        <w:pStyle w:val="ListParagraph"/>
        <w:numPr>
          <w:ilvl w:val="0"/>
          <w:numId w:val="43"/>
        </w:numPr>
        <w:jc w:val="both"/>
        <w:rPr>
          <w:rFonts w:ascii="Times New Roman" w:hAnsi="Times New Roman" w:cs="Times New Roman"/>
          <w:i/>
          <w:iCs/>
          <w:noProof/>
          <w:sz w:val="24"/>
          <w:szCs w:val="24"/>
        </w:rPr>
      </w:pPr>
      <w:r w:rsidRPr="002F45D6">
        <w:rPr>
          <w:rFonts w:ascii="Times New Roman" w:hAnsi="Times New Roman"/>
          <w:i/>
          <w:noProof/>
          <w:sz w:val="24"/>
        </w:rPr>
        <w:t>promować cel, jakim jest niezakłócony handel</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inw</w:t>
      </w:r>
      <w:r w:rsidRPr="002F45D6">
        <w:rPr>
          <w:rFonts w:ascii="Times New Roman" w:hAnsi="Times New Roman"/>
          <w:i/>
          <w:noProof/>
          <w:sz w:val="24"/>
        </w:rPr>
        <w:t>estycje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par</w:t>
      </w:r>
      <w:r w:rsidRPr="002F45D6">
        <w:rPr>
          <w:rFonts w:ascii="Times New Roman" w:hAnsi="Times New Roman"/>
          <w:i/>
          <w:noProof/>
          <w:sz w:val="24"/>
        </w:rPr>
        <w:t>tnerstwa strategiczne na rzecz surowców.</w:t>
      </w:r>
    </w:p>
    <w:p w14:paraId="22E07F2F" w14:textId="5D6F6FD3" w:rsidR="009D39E4" w:rsidRPr="002F45D6" w:rsidRDefault="00D009BD" w:rsidP="00E55618">
      <w:pPr>
        <w:rPr>
          <w:rFonts w:ascii="Times New Roman" w:hAnsi="Times New Roman" w:cs="Times New Roman"/>
          <w:b/>
          <w:i/>
          <w:iCs/>
          <w:noProof/>
          <w:sz w:val="24"/>
          <w:szCs w:val="24"/>
        </w:rPr>
      </w:pPr>
      <w:r w:rsidRPr="002F45D6">
        <w:rPr>
          <w:rFonts w:ascii="Times New Roman" w:hAnsi="Times New Roman"/>
          <w:b/>
          <w:i/>
          <w:noProof/>
          <w:sz w:val="24"/>
        </w:rPr>
        <w:t>III.4. Strategia Global Gateway – podejście korzystne dla obu stron, które wyróżnia UE</w:t>
      </w:r>
    </w:p>
    <w:p w14:paraId="3DEB8467" w14:textId="536D2AF7" w:rsidR="004A6B36" w:rsidRPr="002F45D6" w:rsidRDefault="004A6B36" w:rsidP="004A6B36">
      <w:pPr>
        <w:jc w:val="both"/>
        <w:rPr>
          <w:rFonts w:ascii="Times New Roman" w:hAnsi="Times New Roman" w:cs="Times New Roman"/>
          <w:noProof/>
          <w:sz w:val="24"/>
        </w:rPr>
      </w:pPr>
      <w:r w:rsidRPr="002F45D6">
        <w:rPr>
          <w:rFonts w:ascii="Times New Roman" w:hAnsi="Times New Roman"/>
          <w:noProof/>
          <w:sz w:val="24"/>
        </w:rPr>
        <w:t>UE będzie wspierać inwestycje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pro</w:t>
      </w:r>
      <w:r w:rsidRPr="002F45D6">
        <w:rPr>
          <w:rFonts w:ascii="Times New Roman" w:hAnsi="Times New Roman"/>
          <w:noProof/>
          <w:sz w:val="24"/>
        </w:rPr>
        <w:t>jekty infrastrukturalne istotne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pun</w:t>
      </w:r>
      <w:r w:rsidRPr="002F45D6">
        <w:rPr>
          <w:rFonts w:ascii="Times New Roman" w:hAnsi="Times New Roman"/>
          <w:noProof/>
          <w:sz w:val="24"/>
        </w:rPr>
        <w:t>ktu widzenia naszych łańcuchów dostaw surowców krytycznych, aby zwiększyć globalną podaż</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int</w:t>
      </w:r>
      <w:r w:rsidRPr="002F45D6">
        <w:rPr>
          <w:rFonts w:ascii="Times New Roman" w:hAnsi="Times New Roman"/>
          <w:noProof/>
          <w:sz w:val="24"/>
        </w:rPr>
        <w:t>egrację międzynarodowego łańcucha wartości oraz pomóc</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dyw</w:t>
      </w:r>
      <w:r w:rsidRPr="002F45D6">
        <w:rPr>
          <w:rFonts w:ascii="Times New Roman" w:hAnsi="Times New Roman"/>
          <w:noProof/>
          <w:sz w:val="24"/>
        </w:rPr>
        <w:t>ersyfikacji dostaw. Strategia Global Gateway będzie narzędziem wsparcia krajów partnerskich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rea</w:t>
      </w:r>
      <w:r w:rsidRPr="002F45D6">
        <w:rPr>
          <w:rFonts w:ascii="Times New Roman" w:hAnsi="Times New Roman"/>
          <w:noProof/>
          <w:sz w:val="24"/>
        </w:rPr>
        <w:t xml:space="preserve">lizacji </w:t>
      </w:r>
      <w:r w:rsidRPr="002F45D6">
        <w:rPr>
          <w:rFonts w:ascii="Times New Roman" w:hAnsi="Times New Roman"/>
          <w:b/>
          <w:i/>
          <w:noProof/>
          <w:sz w:val="24"/>
        </w:rPr>
        <w:t>konkretnych projektów</w:t>
      </w:r>
      <w:r w:rsidR="002F45D6" w:rsidRPr="002F45D6">
        <w:rPr>
          <w:rFonts w:ascii="Times New Roman" w:hAnsi="Times New Roman"/>
          <w:b/>
          <w:i/>
          <w:noProof/>
          <w:sz w:val="24"/>
        </w:rPr>
        <w:t xml:space="preserve"> w</w:t>
      </w:r>
      <w:r w:rsidR="002F45D6">
        <w:rPr>
          <w:rFonts w:ascii="Times New Roman" w:hAnsi="Times New Roman"/>
          <w:b/>
          <w:i/>
          <w:noProof/>
          <w:sz w:val="24"/>
        </w:rPr>
        <w:t> </w:t>
      </w:r>
      <w:r w:rsidR="002F45D6" w:rsidRPr="002F45D6">
        <w:rPr>
          <w:rFonts w:ascii="Times New Roman" w:hAnsi="Times New Roman"/>
          <w:b/>
          <w:i/>
          <w:noProof/>
          <w:sz w:val="24"/>
        </w:rPr>
        <w:t>zak</w:t>
      </w:r>
      <w:r w:rsidRPr="002F45D6">
        <w:rPr>
          <w:rFonts w:ascii="Times New Roman" w:hAnsi="Times New Roman"/>
          <w:b/>
          <w:i/>
          <w:noProof/>
          <w:sz w:val="24"/>
        </w:rPr>
        <w:t>resie infrastruktury</w:t>
      </w:r>
      <w:r w:rsidR="002F45D6" w:rsidRPr="002F45D6">
        <w:rPr>
          <w:rFonts w:ascii="Times New Roman" w:hAnsi="Times New Roman"/>
          <w:b/>
          <w:i/>
          <w:noProof/>
          <w:sz w:val="24"/>
        </w:rPr>
        <w:t xml:space="preserve"> i</w:t>
      </w:r>
      <w:r w:rsidR="002F45D6">
        <w:rPr>
          <w:rFonts w:ascii="Times New Roman" w:hAnsi="Times New Roman"/>
          <w:b/>
          <w:i/>
          <w:noProof/>
          <w:sz w:val="24"/>
        </w:rPr>
        <w:t> </w:t>
      </w:r>
      <w:r w:rsidR="002F45D6" w:rsidRPr="002F45D6">
        <w:rPr>
          <w:rFonts w:ascii="Times New Roman" w:hAnsi="Times New Roman"/>
          <w:b/>
          <w:i/>
          <w:noProof/>
          <w:sz w:val="24"/>
        </w:rPr>
        <w:t>łąc</w:t>
      </w:r>
      <w:r w:rsidRPr="002F45D6">
        <w:rPr>
          <w:rFonts w:ascii="Times New Roman" w:hAnsi="Times New Roman"/>
          <w:b/>
          <w:i/>
          <w:noProof/>
          <w:sz w:val="24"/>
        </w:rPr>
        <w:t>zności</w:t>
      </w:r>
      <w:r w:rsidRPr="002F45D6">
        <w:rPr>
          <w:rFonts w:ascii="Times New Roman" w:hAnsi="Times New Roman"/>
          <w:noProof/>
          <w:sz w:val="24"/>
        </w:rPr>
        <w:t>,</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przez pobudzanie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poz</w:t>
      </w:r>
      <w:r w:rsidRPr="002F45D6">
        <w:rPr>
          <w:rFonts w:ascii="Times New Roman" w:hAnsi="Times New Roman"/>
          <w:noProof/>
          <w:sz w:val="24"/>
        </w:rPr>
        <w:t>yskiwanie konkretnych inwestycji sektora prywatnego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cał</w:t>
      </w:r>
      <w:r w:rsidRPr="002F45D6">
        <w:rPr>
          <w:rFonts w:ascii="Times New Roman" w:hAnsi="Times New Roman"/>
          <w:noProof/>
          <w:sz w:val="24"/>
        </w:rPr>
        <w:t>ym łańcuchu wartości surowców krytycznych.</w:t>
      </w:r>
    </w:p>
    <w:p w14:paraId="0F4337CA" w14:textId="53AA97C8" w:rsidR="004A6B36" w:rsidRPr="002F45D6" w:rsidRDefault="004A6B36" w:rsidP="004A6B36">
      <w:pPr>
        <w:jc w:val="both"/>
        <w:rPr>
          <w:rFonts w:ascii="Times New Roman" w:hAnsi="Times New Roman" w:cs="Times New Roman"/>
          <w:noProof/>
          <w:sz w:val="24"/>
        </w:rPr>
      </w:pPr>
      <w:r w:rsidRPr="002F45D6">
        <w:rPr>
          <w:rFonts w:ascii="Times New Roman" w:hAnsi="Times New Roman"/>
          <w:noProof/>
          <w:sz w:val="24"/>
        </w:rPr>
        <w:t>Wiele bogatych źródeł surowców krytycznych znajduje się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kra</w:t>
      </w:r>
      <w:r w:rsidRPr="002F45D6">
        <w:rPr>
          <w:rFonts w:ascii="Times New Roman" w:hAnsi="Times New Roman"/>
          <w:noProof/>
          <w:sz w:val="24"/>
        </w:rPr>
        <w:t>jach rynków wschodzących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wijających się gospodarek. Sektor surowców jest ważny dla wielu krajów partnerskich UE zarówno</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pun</w:t>
      </w:r>
      <w:r w:rsidRPr="002F45D6">
        <w:rPr>
          <w:rFonts w:ascii="Times New Roman" w:hAnsi="Times New Roman"/>
          <w:noProof/>
          <w:sz w:val="24"/>
        </w:rPr>
        <w:t>ktu widzenia gospodarki, jak</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zat</w:t>
      </w:r>
      <w:r w:rsidRPr="002F45D6">
        <w:rPr>
          <w:rFonts w:ascii="Times New Roman" w:hAnsi="Times New Roman"/>
          <w:noProof/>
          <w:sz w:val="24"/>
        </w:rPr>
        <w:t xml:space="preserve">rudnienia, a </w:t>
      </w:r>
      <w:r w:rsidRPr="002F45D6">
        <w:rPr>
          <w:rFonts w:ascii="Times New Roman" w:hAnsi="Times New Roman"/>
          <w:b/>
          <w:noProof/>
          <w:sz w:val="24"/>
        </w:rPr>
        <w:t>UE jest zaangażowana we wspieranie naszych krajów partnerskich</w:t>
      </w:r>
      <w:r w:rsidR="002F45D6" w:rsidRPr="002F45D6">
        <w:rPr>
          <w:rFonts w:ascii="Times New Roman" w:hAnsi="Times New Roman"/>
          <w:b/>
          <w:noProof/>
          <w:sz w:val="24"/>
        </w:rPr>
        <w:t xml:space="preserve"> w</w:t>
      </w:r>
      <w:r w:rsidR="002F45D6">
        <w:rPr>
          <w:rFonts w:ascii="Times New Roman" w:hAnsi="Times New Roman"/>
          <w:b/>
          <w:noProof/>
          <w:sz w:val="24"/>
        </w:rPr>
        <w:t> </w:t>
      </w:r>
      <w:r w:rsidR="002F45D6" w:rsidRPr="002F45D6">
        <w:rPr>
          <w:rFonts w:ascii="Times New Roman" w:hAnsi="Times New Roman"/>
          <w:b/>
          <w:noProof/>
          <w:sz w:val="24"/>
        </w:rPr>
        <w:t>prz</w:t>
      </w:r>
      <w:r w:rsidRPr="002F45D6">
        <w:rPr>
          <w:rFonts w:ascii="Times New Roman" w:hAnsi="Times New Roman"/>
          <w:b/>
          <w:noProof/>
          <w:sz w:val="24"/>
        </w:rPr>
        <w:t>echodzeniu na wyższy etap łańcucha wartości</w:t>
      </w:r>
      <w:r w:rsidRPr="002F45D6">
        <w:rPr>
          <w:rFonts w:ascii="Times New Roman" w:hAnsi="Times New Roman"/>
          <w:noProof/>
          <w:sz w:val="24"/>
        </w:rPr>
        <w:t>. Dzięki podejściu „Drużyna Europy”</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udz</w:t>
      </w:r>
      <w:r w:rsidRPr="002F45D6">
        <w:rPr>
          <w:rFonts w:ascii="Times New Roman" w:hAnsi="Times New Roman"/>
          <w:noProof/>
          <w:sz w:val="24"/>
        </w:rPr>
        <w:t>iałem UE, jej państw członkowskich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inn</w:t>
      </w:r>
      <w:r w:rsidRPr="002F45D6">
        <w:rPr>
          <w:rFonts w:ascii="Times New Roman" w:hAnsi="Times New Roman"/>
          <w:noProof/>
          <w:sz w:val="24"/>
        </w:rPr>
        <w:t>ych podmiotów (takich jak instytucje finansowania rozwoju, Europejski Bank Inwestycyjny, Europejski Bank Odbudowy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woju) oraz tworzeniu synergii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eur</w:t>
      </w:r>
      <w:r w:rsidRPr="002F45D6">
        <w:rPr>
          <w:rFonts w:ascii="Times New Roman" w:hAnsi="Times New Roman"/>
          <w:noProof/>
          <w:sz w:val="24"/>
        </w:rPr>
        <w:t>opejskim sektorem prywatnym, pewne projekty dotyczące surowców krytycznych zostaną wskazane jako priorytety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strategii Global Gateway</w:t>
      </w:r>
      <w:r w:rsidRPr="002F45D6">
        <w:rPr>
          <w:rStyle w:val="FootnoteReference"/>
          <w:rFonts w:ascii="Times New Roman" w:hAnsi="Times New Roman" w:cs="Times New Roman"/>
          <w:noProof/>
          <w:sz w:val="24"/>
        </w:rPr>
        <w:footnoteReference w:id="18"/>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współpracy</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i partnerami projekty dotyczące surowców zostaną opracowane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i sposób, aby zwiększyć wartość dodaną dla danego kraju.</w:t>
      </w:r>
      <w:r w:rsidRPr="002F45D6">
        <w:rPr>
          <w:rStyle w:val="ui-provider"/>
          <w:noProof/>
        </w:rPr>
        <w:t xml:space="preserve"> </w:t>
      </w:r>
      <w:r w:rsidRPr="002F45D6">
        <w:rPr>
          <w:rFonts w:ascii="Times New Roman" w:hAnsi="Times New Roman"/>
          <w:noProof/>
          <w:sz w:val="24"/>
        </w:rPr>
        <w:t>Dla docelowych krajów partnerskich będzie to wysokiej jakości rozszerzona oferta ze strony UE, która dopasuje interesy partnerów do interesów UE,</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że przyczyni się do zmniejszenia globalnej luki inwestycyjnej</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świ</w:t>
      </w:r>
      <w:r w:rsidRPr="002F45D6">
        <w:rPr>
          <w:rFonts w:ascii="Times New Roman" w:hAnsi="Times New Roman"/>
          <w:noProof/>
          <w:sz w:val="24"/>
        </w:rPr>
        <w:t>atowych łańcuchach dostaw surowców krytycznych, przy jednoczesnej poprawie konkurencyjności, zrównoważoności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bez</w:t>
      </w:r>
      <w:r w:rsidRPr="002F45D6">
        <w:rPr>
          <w:rFonts w:ascii="Times New Roman" w:hAnsi="Times New Roman"/>
          <w:noProof/>
          <w:sz w:val="24"/>
        </w:rPr>
        <w:t>pieczeństwa. Zakłada się, że priorytetowo traktowane będą kraje,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któ</w:t>
      </w:r>
      <w:r w:rsidRPr="002F45D6">
        <w:rPr>
          <w:rFonts w:ascii="Times New Roman" w:hAnsi="Times New Roman"/>
          <w:noProof/>
          <w:sz w:val="24"/>
        </w:rPr>
        <w:t>rymi UE zawarła partnerstwa strategiczne.</w:t>
      </w:r>
    </w:p>
    <w:p w14:paraId="48AC34F1" w14:textId="4F976E1C" w:rsidR="00AF7F96" w:rsidRPr="002F45D6" w:rsidRDefault="000B39F6" w:rsidP="2FD7A655">
      <w:pPr>
        <w:jc w:val="both"/>
        <w:rPr>
          <w:rFonts w:ascii="Times New Roman" w:hAnsi="Times New Roman" w:cs="Times New Roman"/>
          <w:noProof/>
          <w:sz w:val="24"/>
          <w:szCs w:val="24"/>
        </w:rPr>
      </w:pPr>
      <w:r w:rsidRPr="002F45D6">
        <w:rPr>
          <w:rFonts w:ascii="Times New Roman" w:hAnsi="Times New Roman"/>
          <w:noProof/>
          <w:sz w:val="24"/>
        </w:rPr>
        <w:t>W kontekście propagowania zrównoważoności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ałań na rzecz klimatu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cuchu dostaw surowców nadrzędnymi celami strategii Global Gateway są tworzenie zrównoważonych miejsc pracy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pro</w:t>
      </w:r>
      <w:r w:rsidRPr="002F45D6">
        <w:rPr>
          <w:rFonts w:ascii="Times New Roman" w:hAnsi="Times New Roman"/>
          <w:noProof/>
          <w:sz w:val="24"/>
        </w:rPr>
        <w:t>mowanie godnej pracy – inwestycje muszą aktywnie przyczyniać się do realizacji tych celów. Chodzi między innymi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zwr</w:t>
      </w:r>
      <w:r w:rsidRPr="002F45D6">
        <w:rPr>
          <w:rFonts w:ascii="Times New Roman" w:hAnsi="Times New Roman"/>
          <w:noProof/>
          <w:sz w:val="24"/>
        </w:rPr>
        <w:t>ócenie uwagi na grupy szczególnie wrażliwe, które napotykają różne wyzwania przy wejściu na rynek pracy, oraz na poważne problemy, takie jak praca dzieci. Biorąc pod uwagę znane newralgiczne kwestie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wyz</w:t>
      </w:r>
      <w:r w:rsidRPr="002F45D6">
        <w:rPr>
          <w:rFonts w:ascii="Times New Roman" w:hAnsi="Times New Roman"/>
          <w:noProof/>
          <w:sz w:val="24"/>
        </w:rPr>
        <w:t>wania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emyśle wydobywczym, UE zwróci szczególną uwagę na zapewnienie niezbędnego wsparcia organom państw trzecich,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któ</w:t>
      </w:r>
      <w:r w:rsidRPr="002F45D6">
        <w:rPr>
          <w:rFonts w:ascii="Times New Roman" w:hAnsi="Times New Roman"/>
          <w:noProof/>
          <w:sz w:val="24"/>
        </w:rPr>
        <w:t>rych prowadzone są projekty dotyczące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cel</w:t>
      </w:r>
      <w:r w:rsidRPr="002F45D6">
        <w:rPr>
          <w:rFonts w:ascii="Times New Roman" w:hAnsi="Times New Roman"/>
          <w:noProof/>
          <w:sz w:val="24"/>
        </w:rPr>
        <w:t xml:space="preserve">u </w:t>
      </w:r>
      <w:r w:rsidRPr="002F45D6">
        <w:rPr>
          <w:rFonts w:ascii="Times New Roman" w:hAnsi="Times New Roman"/>
          <w:b/>
          <w:noProof/>
          <w:sz w:val="24"/>
        </w:rPr>
        <w:t>wzmocnienia ich zdolności do dobrego zarządzania</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utr</w:t>
      </w:r>
      <w:r w:rsidRPr="002F45D6">
        <w:rPr>
          <w:rFonts w:ascii="Times New Roman" w:hAnsi="Times New Roman"/>
          <w:b/>
          <w:noProof/>
          <w:sz w:val="24"/>
        </w:rPr>
        <w:t>walenia przejrzystych praktyk biznesowych</w:t>
      </w:r>
      <w:r w:rsidR="002F45D6" w:rsidRPr="002F45D6">
        <w:rPr>
          <w:rFonts w:ascii="Times New Roman" w:hAnsi="Times New Roman"/>
          <w:b/>
          <w:noProof/>
          <w:sz w:val="24"/>
        </w:rPr>
        <w:t xml:space="preserve"> w</w:t>
      </w:r>
      <w:r w:rsidR="002F45D6">
        <w:rPr>
          <w:rFonts w:ascii="Times New Roman" w:hAnsi="Times New Roman"/>
          <w:b/>
          <w:noProof/>
          <w:sz w:val="24"/>
        </w:rPr>
        <w:t> </w:t>
      </w:r>
      <w:r w:rsidR="002F45D6" w:rsidRPr="002F45D6">
        <w:rPr>
          <w:rFonts w:ascii="Times New Roman" w:hAnsi="Times New Roman"/>
          <w:b/>
          <w:noProof/>
          <w:sz w:val="24"/>
        </w:rPr>
        <w:t>tym</w:t>
      </w:r>
      <w:r w:rsidRPr="002F45D6">
        <w:rPr>
          <w:rFonts w:ascii="Times New Roman" w:hAnsi="Times New Roman"/>
          <w:b/>
          <w:noProof/>
          <w:sz w:val="24"/>
        </w:rPr>
        <w:t xml:space="preserve"> sektorze</w:t>
      </w:r>
      <w:r w:rsidRPr="002F45D6">
        <w:rPr>
          <w:rFonts w:ascii="Times New Roman" w:hAnsi="Times New Roman"/>
          <w:noProof/>
          <w:sz w:val="24"/>
        </w:rPr>
        <w:t>. UE będzie starała się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ten</w:t>
      </w:r>
      <w:r w:rsidRPr="002F45D6">
        <w:rPr>
          <w:rFonts w:ascii="Times New Roman" w:hAnsi="Times New Roman"/>
          <w:noProof/>
          <w:sz w:val="24"/>
        </w:rPr>
        <w:t xml:space="preserve"> sposób pomóc im</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zac</w:t>
      </w:r>
      <w:r w:rsidRPr="002F45D6">
        <w:rPr>
          <w:rFonts w:ascii="Times New Roman" w:hAnsi="Times New Roman"/>
          <w:noProof/>
          <w:sz w:val="24"/>
        </w:rPr>
        <w:t>ieśnieniu ram prawnych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pop</w:t>
      </w:r>
      <w:r w:rsidRPr="002F45D6">
        <w:rPr>
          <w:rFonts w:ascii="Times New Roman" w:hAnsi="Times New Roman"/>
          <w:noProof/>
          <w:sz w:val="24"/>
        </w:rPr>
        <w:t>rawie egzekwowania przepisów, aby wprowadzane były środki minimalizujące negatywne skutki działalności wydobywczej, rafineryjnej lub przetwórczej dla społeczności lokalnych oraz dla klimatu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śro</w:t>
      </w:r>
      <w:r w:rsidRPr="002F45D6">
        <w:rPr>
          <w:rFonts w:ascii="Times New Roman" w:hAnsi="Times New Roman"/>
          <w:noProof/>
          <w:sz w:val="24"/>
        </w:rPr>
        <w:t>dowiska. Kolejnym ważnym filarem działań UE jest ukierunkowanie programów kształcenia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szk</w:t>
      </w:r>
      <w:r w:rsidRPr="002F45D6">
        <w:rPr>
          <w:rFonts w:ascii="Times New Roman" w:hAnsi="Times New Roman"/>
          <w:noProof/>
          <w:sz w:val="24"/>
        </w:rPr>
        <w:t>olenia zawodowego na rozwój umiejętności potrzebnych do wykorzystania możliwości zatrudnienia powstających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zwi</w:t>
      </w:r>
      <w:r w:rsidRPr="002F45D6">
        <w:rPr>
          <w:rFonts w:ascii="Times New Roman" w:hAnsi="Times New Roman"/>
          <w:noProof/>
          <w:sz w:val="24"/>
        </w:rPr>
        <w:t>ązku</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pro</w:t>
      </w:r>
      <w:r w:rsidRPr="002F45D6">
        <w:rPr>
          <w:rFonts w:ascii="Times New Roman" w:hAnsi="Times New Roman"/>
          <w:noProof/>
          <w:sz w:val="24"/>
        </w:rPr>
        <w:t>jektami dotyczącymi surowców krytycznych.</w:t>
      </w:r>
    </w:p>
    <w:p w14:paraId="05FAFA18" w14:textId="71248933" w:rsidR="00F20EA3" w:rsidRPr="002F45D6" w:rsidRDefault="00F20EA3" w:rsidP="00F20EA3">
      <w:pPr>
        <w:jc w:val="both"/>
        <w:rPr>
          <w:rFonts w:ascii="Times New Roman" w:hAnsi="Times New Roman" w:cs="Times New Roman"/>
          <w:i/>
          <w:iCs/>
          <w:noProof/>
          <w:sz w:val="24"/>
          <w:szCs w:val="24"/>
        </w:rPr>
      </w:pPr>
      <w:r w:rsidRPr="002F45D6">
        <w:rPr>
          <w:rFonts w:ascii="Times New Roman" w:hAnsi="Times New Roman"/>
          <w:i/>
          <w:noProof/>
          <w:sz w:val="24"/>
        </w:rPr>
        <w:t>Komisja:</w:t>
      </w:r>
    </w:p>
    <w:p w14:paraId="017924D9" w14:textId="25173F80" w:rsidR="00F20EA3" w:rsidRPr="002F45D6" w:rsidRDefault="00F20EA3" w:rsidP="00F20EA3">
      <w:pPr>
        <w:pStyle w:val="ListParagraph"/>
        <w:numPr>
          <w:ilvl w:val="0"/>
          <w:numId w:val="43"/>
        </w:numPr>
        <w:jc w:val="both"/>
        <w:rPr>
          <w:rFonts w:ascii="Times New Roman" w:hAnsi="Times New Roman" w:cs="Times New Roman"/>
          <w:i/>
          <w:iCs/>
          <w:noProof/>
          <w:sz w:val="24"/>
          <w:szCs w:val="24"/>
        </w:rPr>
      </w:pPr>
      <w:r w:rsidRPr="002F45D6">
        <w:rPr>
          <w:rFonts w:ascii="Times New Roman" w:hAnsi="Times New Roman"/>
          <w:i/>
          <w:noProof/>
          <w:sz w:val="24"/>
        </w:rPr>
        <w:t>będzie wspierać projekty</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ram</w:t>
      </w:r>
      <w:r w:rsidRPr="002F45D6">
        <w:rPr>
          <w:rFonts w:ascii="Times New Roman" w:hAnsi="Times New Roman"/>
          <w:i/>
          <w:noProof/>
          <w:sz w:val="24"/>
        </w:rPr>
        <w:t>ach strategii Global Gateway dotyczące zrównoważonych łańcuchów wartości surowców we współpracy</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kra</w:t>
      </w:r>
      <w:r w:rsidRPr="002F45D6">
        <w:rPr>
          <w:rFonts w:ascii="Times New Roman" w:hAnsi="Times New Roman"/>
          <w:i/>
          <w:noProof/>
          <w:sz w:val="24"/>
        </w:rPr>
        <w:t>jami partnerskimi, ze szczególnym uwzględnieniem norm</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resu ochrony środowiska, polityki społecznej</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ład</w:t>
      </w:r>
      <w:r w:rsidRPr="002F45D6">
        <w:rPr>
          <w:rFonts w:ascii="Times New Roman" w:hAnsi="Times New Roman"/>
          <w:i/>
          <w:noProof/>
          <w:sz w:val="24"/>
        </w:rPr>
        <w:t>u korporacyjnego oraz lokalnej wartości dodanej.</w:t>
      </w:r>
    </w:p>
    <w:p w14:paraId="774CF3DA" w14:textId="64F05C24" w:rsidR="009256D5" w:rsidRPr="002F45D6" w:rsidRDefault="00436CCD" w:rsidP="009256D5">
      <w:pPr>
        <w:keepNext/>
        <w:spacing w:before="120"/>
        <w:jc w:val="both"/>
        <w:rPr>
          <w:rFonts w:ascii="Times New Roman" w:hAnsi="Times New Roman" w:cs="Times New Roman"/>
          <w:b/>
          <w:i/>
          <w:iCs/>
          <w:noProof/>
          <w:sz w:val="24"/>
        </w:rPr>
      </w:pPr>
      <w:r w:rsidRPr="002F45D6">
        <w:rPr>
          <w:rFonts w:ascii="Times New Roman" w:hAnsi="Times New Roman"/>
          <w:b/>
          <w:i/>
          <w:noProof/>
          <w:sz w:val="24"/>
        </w:rPr>
        <w:t>III.5. Ograniczanie ryzyka</w:t>
      </w:r>
      <w:r w:rsidR="002F45D6" w:rsidRPr="002F45D6">
        <w:rPr>
          <w:rFonts w:ascii="Times New Roman" w:hAnsi="Times New Roman"/>
          <w:b/>
          <w:i/>
          <w:noProof/>
          <w:sz w:val="24"/>
        </w:rPr>
        <w:t xml:space="preserve"> w</w:t>
      </w:r>
      <w:r w:rsidR="002F45D6">
        <w:rPr>
          <w:rFonts w:ascii="Times New Roman" w:hAnsi="Times New Roman"/>
          <w:b/>
          <w:i/>
          <w:noProof/>
          <w:sz w:val="24"/>
        </w:rPr>
        <w:t> </w:t>
      </w:r>
      <w:r w:rsidR="002F45D6" w:rsidRPr="002F45D6">
        <w:rPr>
          <w:rFonts w:ascii="Times New Roman" w:hAnsi="Times New Roman"/>
          <w:b/>
          <w:i/>
          <w:noProof/>
          <w:sz w:val="24"/>
        </w:rPr>
        <w:t>inw</w:t>
      </w:r>
      <w:r w:rsidRPr="002F45D6">
        <w:rPr>
          <w:rFonts w:ascii="Times New Roman" w:hAnsi="Times New Roman"/>
          <w:b/>
          <w:i/>
          <w:noProof/>
          <w:sz w:val="24"/>
        </w:rPr>
        <w:t>estycjach zagranicznych</w:t>
      </w:r>
    </w:p>
    <w:p w14:paraId="58F5DA49" w14:textId="6E3FE76F" w:rsidR="00372012" w:rsidRPr="002F45D6" w:rsidRDefault="00020025" w:rsidP="00020025">
      <w:pPr>
        <w:spacing w:before="120"/>
        <w:jc w:val="both"/>
        <w:rPr>
          <w:rFonts w:ascii="Times New Roman" w:hAnsi="Times New Roman" w:cs="Times New Roman"/>
          <w:noProof/>
          <w:sz w:val="24"/>
          <w:szCs w:val="24"/>
        </w:rPr>
      </w:pPr>
      <w:r w:rsidRPr="002F45D6">
        <w:rPr>
          <w:rFonts w:ascii="Times New Roman" w:hAnsi="Times New Roman"/>
          <w:noProof/>
          <w:sz w:val="24"/>
        </w:rPr>
        <w:t>Oprócz gwarancji inwestycyjnych udzielanych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 xml:space="preserve">ach Europejskiego Funduszu na rzecz Zrównoważonego Rozwoju Plus Unia Europejska będzie również dążyć do uproszczenia </w:t>
      </w:r>
      <w:r w:rsidRPr="002F45D6">
        <w:rPr>
          <w:rFonts w:ascii="Times New Roman" w:hAnsi="Times New Roman"/>
          <w:b/>
          <w:noProof/>
          <w:sz w:val="24"/>
        </w:rPr>
        <w:t>dostępu do finansowania handlu dla inwestycji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glo</w:t>
      </w:r>
      <w:r w:rsidRPr="002F45D6">
        <w:rPr>
          <w:rFonts w:ascii="Times New Roman" w:hAnsi="Times New Roman"/>
          <w:noProof/>
          <w:sz w:val="24"/>
        </w:rPr>
        <w:t>balnych łańcuchach dostaw surowców krytycznych. Szereg agencji kredytów eksportowych</w:t>
      </w:r>
      <w:r w:rsidRPr="002F45D6">
        <w:rPr>
          <w:rStyle w:val="FootnoteReference"/>
          <w:rFonts w:ascii="Times New Roman" w:hAnsi="Times New Roman"/>
          <w:noProof/>
        </w:rPr>
        <w:footnoteReference w:id="19"/>
      </w:r>
      <w:r w:rsidR="002F45D6" w:rsidRPr="002F45D6">
        <w:rPr>
          <w:rStyle w:val="FootnoteReference"/>
          <w:noProof/>
        </w:rPr>
        <w:t xml:space="preserve"> </w:t>
      </w:r>
      <w:r w:rsidR="002F45D6" w:rsidRPr="002F45D6">
        <w:rPr>
          <w:rFonts w:ascii="Times New Roman" w:hAnsi="Times New Roman"/>
          <w:noProof/>
          <w:sz w:val="24"/>
        </w:rPr>
        <w:t>w</w:t>
      </w:r>
      <w:r w:rsidR="002F45D6">
        <w:rPr>
          <w:rStyle w:val="FootnoteReference"/>
          <w:noProof/>
        </w:rPr>
        <w:t> </w:t>
      </w:r>
      <w:r w:rsidR="002F45D6" w:rsidRPr="002F45D6">
        <w:rPr>
          <w:rFonts w:ascii="Times New Roman" w:hAnsi="Times New Roman"/>
          <w:noProof/>
          <w:sz w:val="24"/>
        </w:rPr>
        <w:t>pań</w:t>
      </w:r>
      <w:r w:rsidRPr="002F45D6">
        <w:rPr>
          <w:rFonts w:ascii="Times New Roman" w:hAnsi="Times New Roman"/>
          <w:noProof/>
          <w:sz w:val="24"/>
        </w:rPr>
        <w:t>stwach członkowskich dysponuje programami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nar</w:t>
      </w:r>
      <w:r w:rsidRPr="002F45D6">
        <w:rPr>
          <w:rFonts w:ascii="Times New Roman" w:hAnsi="Times New Roman"/>
          <w:noProof/>
          <w:sz w:val="24"/>
        </w:rPr>
        <w:t>zędziami ograniczania ryzyka, służącymi wsparciu ryzyka inwestycji zagranicznych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zab</w:t>
      </w:r>
      <w:r w:rsidRPr="002F45D6">
        <w:rPr>
          <w:rFonts w:ascii="Times New Roman" w:hAnsi="Times New Roman"/>
          <w:noProof/>
          <w:sz w:val="24"/>
        </w:rPr>
        <w:t>ezpieczającymi przywóz surowców krytycznych przez odbiorców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dan</w:t>
      </w:r>
      <w:r w:rsidRPr="002F45D6">
        <w:rPr>
          <w:rFonts w:ascii="Times New Roman" w:hAnsi="Times New Roman"/>
          <w:noProof/>
          <w:sz w:val="24"/>
        </w:rPr>
        <w:t xml:space="preserve">ym państwie członkowskim. </w:t>
      </w:r>
    </w:p>
    <w:p w14:paraId="7819E95B" w14:textId="3B091D18" w:rsidR="00022991" w:rsidRPr="002F45D6" w:rsidRDefault="00020025" w:rsidP="00020025">
      <w:pPr>
        <w:spacing w:before="120"/>
        <w:jc w:val="both"/>
        <w:rPr>
          <w:rFonts w:ascii="Times New Roman" w:hAnsi="Times New Roman" w:cs="Times New Roman"/>
          <w:noProof/>
          <w:sz w:val="24"/>
          <w:szCs w:val="24"/>
        </w:rPr>
      </w:pPr>
      <w:r w:rsidRPr="002F45D6">
        <w:rPr>
          <w:rFonts w:ascii="Times New Roman" w:hAnsi="Times New Roman"/>
          <w:noProof/>
          <w:sz w:val="24"/>
        </w:rPr>
        <w:t xml:space="preserve">Trwające prace nad </w:t>
      </w:r>
      <w:r w:rsidRPr="002F45D6">
        <w:rPr>
          <w:rFonts w:ascii="Times New Roman" w:hAnsi="Times New Roman"/>
          <w:b/>
          <w:noProof/>
          <w:sz w:val="24"/>
        </w:rPr>
        <w:t>kompleksową strategią UE</w:t>
      </w:r>
      <w:r w:rsidR="002F45D6" w:rsidRPr="002F45D6">
        <w:rPr>
          <w:rFonts w:ascii="Times New Roman" w:hAnsi="Times New Roman"/>
          <w:b/>
          <w:noProof/>
          <w:sz w:val="24"/>
        </w:rPr>
        <w:t xml:space="preserve"> w</w:t>
      </w:r>
      <w:r w:rsidR="002F45D6">
        <w:rPr>
          <w:rFonts w:ascii="Times New Roman" w:hAnsi="Times New Roman"/>
          <w:b/>
          <w:noProof/>
          <w:sz w:val="24"/>
        </w:rPr>
        <w:t> </w:t>
      </w:r>
      <w:r w:rsidR="002F45D6" w:rsidRPr="002F45D6">
        <w:rPr>
          <w:rFonts w:ascii="Times New Roman" w:hAnsi="Times New Roman"/>
          <w:b/>
          <w:noProof/>
          <w:sz w:val="24"/>
        </w:rPr>
        <w:t>zak</w:t>
      </w:r>
      <w:r w:rsidRPr="002F45D6">
        <w:rPr>
          <w:rFonts w:ascii="Times New Roman" w:hAnsi="Times New Roman"/>
          <w:b/>
          <w:noProof/>
          <w:sz w:val="24"/>
        </w:rPr>
        <w:t>resie kredytów eksportowych</w:t>
      </w:r>
      <w:r w:rsidRPr="002F45D6">
        <w:rPr>
          <w:rFonts w:ascii="Times New Roman" w:hAnsi="Times New Roman"/>
          <w:noProof/>
          <w:sz w:val="24"/>
        </w:rPr>
        <w:t xml:space="preserve"> mogą wzmocnić działania państw członkowskich przez zwiększenie wpływu UE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sku</w:t>
      </w:r>
      <w:r w:rsidRPr="002F45D6">
        <w:rPr>
          <w:rFonts w:ascii="Times New Roman" w:hAnsi="Times New Roman"/>
          <w:noProof/>
          <w:sz w:val="24"/>
        </w:rPr>
        <w:t>teczności oficjalnego wsparcia,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ypadku, gdy podmioty unijne konkurują</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pod</w:t>
      </w:r>
      <w:r w:rsidRPr="002F45D6">
        <w:rPr>
          <w:rFonts w:ascii="Times New Roman" w:hAnsi="Times New Roman"/>
          <w:noProof/>
          <w:sz w:val="24"/>
        </w:rPr>
        <w:t>miotami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 xml:space="preserve">stw trzecich. </w:t>
      </w:r>
    </w:p>
    <w:p w14:paraId="491B3C88" w14:textId="35B34FFC" w:rsidR="00372012" w:rsidRPr="002F45D6" w:rsidRDefault="00020025" w:rsidP="00020025">
      <w:pPr>
        <w:spacing w:before="120"/>
        <w:jc w:val="both"/>
        <w:rPr>
          <w:rFonts w:ascii="Times New Roman" w:hAnsi="Times New Roman" w:cs="Times New Roman"/>
          <w:noProof/>
          <w:sz w:val="24"/>
          <w:szCs w:val="24"/>
        </w:rPr>
      </w:pPr>
      <w:r w:rsidRPr="002F45D6">
        <w:rPr>
          <w:rFonts w:ascii="Times New Roman" w:hAnsi="Times New Roman"/>
          <w:noProof/>
          <w:sz w:val="24"/>
        </w:rPr>
        <w:t xml:space="preserve">Poprawi to </w:t>
      </w:r>
      <w:r w:rsidRPr="002F45D6">
        <w:rPr>
          <w:rFonts w:ascii="Times New Roman" w:hAnsi="Times New Roman"/>
          <w:b/>
          <w:noProof/>
          <w:sz w:val="24"/>
        </w:rPr>
        <w:t>koordynację między zewnętrznymi narzędziami finansowymi</w:t>
      </w:r>
      <w:r w:rsidRPr="002F45D6">
        <w:rPr>
          <w:rFonts w:ascii="Times New Roman" w:hAnsi="Times New Roman"/>
          <w:noProof/>
          <w:sz w:val="24"/>
        </w:rPr>
        <w:t xml:space="preserve"> zarządzanymi na szczeblu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finansowania działań na rzecz klimatu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woju oraz</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odn</w:t>
      </w:r>
      <w:r w:rsidRPr="002F45D6">
        <w:rPr>
          <w:rFonts w:ascii="Times New Roman" w:hAnsi="Times New Roman"/>
          <w:noProof/>
          <w:sz w:val="24"/>
        </w:rPr>
        <w:t>iesieniu do narzędzi instytucji finansowych państw członkowskich,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agencji kredytów eksportowych,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kon</w:t>
      </w:r>
      <w:r w:rsidRPr="002F45D6">
        <w:rPr>
          <w:rFonts w:ascii="Times New Roman" w:hAnsi="Times New Roman"/>
          <w:noProof/>
          <w:sz w:val="24"/>
        </w:rPr>
        <w:t xml:space="preserve">tekście strategii Global Gateway. </w:t>
      </w:r>
    </w:p>
    <w:p w14:paraId="6D27E98C" w14:textId="68397A9D" w:rsidR="00020025" w:rsidRPr="002F45D6" w:rsidRDefault="00020025" w:rsidP="00020025">
      <w:pPr>
        <w:spacing w:before="120"/>
        <w:jc w:val="both"/>
        <w:rPr>
          <w:rFonts w:ascii="Times New Roman" w:hAnsi="Times New Roman" w:cs="Times New Roman"/>
          <w:noProof/>
          <w:sz w:val="24"/>
          <w:szCs w:val="24"/>
        </w:rPr>
      </w:pPr>
      <w:r w:rsidRPr="002F45D6">
        <w:rPr>
          <w:rFonts w:ascii="Times New Roman" w:hAnsi="Times New Roman"/>
          <w:noProof/>
          <w:sz w:val="24"/>
        </w:rPr>
        <w:t xml:space="preserve">Ewentualny </w:t>
      </w:r>
      <w:r w:rsidRPr="002F45D6">
        <w:rPr>
          <w:rFonts w:ascii="Times New Roman" w:hAnsi="Times New Roman"/>
          <w:b/>
          <w:noProof/>
          <w:sz w:val="24"/>
        </w:rPr>
        <w:t>unijny instrument kredytów eksportowych</w:t>
      </w:r>
      <w:r w:rsidRPr="002F45D6">
        <w:rPr>
          <w:rFonts w:ascii="Times New Roman" w:hAnsi="Times New Roman"/>
          <w:noProof/>
          <w:sz w:val="24"/>
        </w:rPr>
        <w:t xml:space="preserve"> mógłby uzupełniać działania istniejących agencji kredytów eksportowych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stwach członkowskich, zwiększyć ogólny wpływ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tej</w:t>
      </w:r>
      <w:r w:rsidRPr="002F45D6">
        <w:rPr>
          <w:rFonts w:ascii="Times New Roman" w:hAnsi="Times New Roman"/>
          <w:noProof/>
          <w:sz w:val="24"/>
        </w:rPr>
        <w:t xml:space="preserve"> dziedzinie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umo</w:t>
      </w:r>
      <w:r w:rsidRPr="002F45D6">
        <w:rPr>
          <w:rFonts w:ascii="Times New Roman" w:hAnsi="Times New Roman"/>
          <w:noProof/>
          <w:sz w:val="24"/>
        </w:rPr>
        <w:t>żliwić korzystanie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ofi</w:t>
      </w:r>
      <w:r w:rsidRPr="002F45D6">
        <w:rPr>
          <w:rFonts w:ascii="Times New Roman" w:hAnsi="Times New Roman"/>
          <w:noProof/>
          <w:sz w:val="24"/>
        </w:rPr>
        <w:t>cjalnego wsparcia kredytów eksportowych jako narzędzia realizacji kluczowych strategii politycznych UE, m.in.</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surowców krytycznych. Ponadto UE wspiera prace polegające na tworzeniu zachęt</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mię</w:t>
      </w:r>
      <w:r w:rsidRPr="002F45D6">
        <w:rPr>
          <w:rFonts w:ascii="Times New Roman" w:hAnsi="Times New Roman"/>
          <w:noProof/>
          <w:sz w:val="24"/>
        </w:rPr>
        <w:t>dzynarodowych ramach regulujących oficjalne wsparcie kredytów eksportowych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pro</w:t>
      </w:r>
      <w:r w:rsidRPr="002F45D6">
        <w:rPr>
          <w:rFonts w:ascii="Times New Roman" w:hAnsi="Times New Roman"/>
          <w:noProof/>
          <w:sz w:val="24"/>
        </w:rPr>
        <w:t>wadzonej obecnie na forum OECD modernizacji postanowień Porozumienia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oficjalnie wspieranych kredytów eksportowych. Zachęty takie umożliwiłyby agencjom kredytów eksportowych wspieranie na korzystniejszych warunkach transakcji dotyczących surowców krytycznych wykorzystywanych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tec</w:t>
      </w:r>
      <w:r w:rsidRPr="002F45D6">
        <w:rPr>
          <w:rFonts w:ascii="Times New Roman" w:hAnsi="Times New Roman"/>
          <w:noProof/>
          <w:sz w:val="24"/>
        </w:rPr>
        <w:t>hnologiach, które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zna</w:t>
      </w:r>
      <w:r w:rsidRPr="002F45D6">
        <w:rPr>
          <w:rFonts w:ascii="Times New Roman" w:hAnsi="Times New Roman"/>
          <w:noProof/>
          <w:sz w:val="24"/>
        </w:rPr>
        <w:t xml:space="preserve">cznym stopniu przyczyniają się do łagodzenia zmiany klimatu. </w:t>
      </w:r>
    </w:p>
    <w:p w14:paraId="116233D8" w14:textId="77777777" w:rsidR="00B53BEE" w:rsidRPr="002F45D6" w:rsidRDefault="00B53BEE" w:rsidP="00B53BEE">
      <w:pPr>
        <w:jc w:val="both"/>
        <w:rPr>
          <w:rFonts w:ascii="Times New Roman" w:hAnsi="Times New Roman" w:cs="Times New Roman"/>
          <w:i/>
          <w:iCs/>
          <w:noProof/>
          <w:sz w:val="24"/>
          <w:szCs w:val="24"/>
        </w:rPr>
      </w:pPr>
      <w:r w:rsidRPr="002F45D6">
        <w:rPr>
          <w:rFonts w:ascii="Times New Roman" w:hAnsi="Times New Roman"/>
          <w:i/>
          <w:noProof/>
          <w:sz w:val="24"/>
        </w:rPr>
        <w:t>Komisja:</w:t>
      </w:r>
    </w:p>
    <w:p w14:paraId="1F30F687" w14:textId="6A5E9C5B" w:rsidR="00427410" w:rsidRPr="002F45D6" w:rsidRDefault="00427410" w:rsidP="00427410">
      <w:pPr>
        <w:pStyle w:val="ListParagraph"/>
        <w:numPr>
          <w:ilvl w:val="0"/>
          <w:numId w:val="43"/>
        </w:numPr>
        <w:spacing w:line="256" w:lineRule="auto"/>
        <w:jc w:val="both"/>
        <w:rPr>
          <w:rFonts w:ascii="Times New Roman" w:hAnsi="Times New Roman" w:cs="Times New Roman"/>
          <w:i/>
          <w:iCs/>
          <w:noProof/>
          <w:sz w:val="24"/>
          <w:szCs w:val="24"/>
        </w:rPr>
      </w:pPr>
      <w:r w:rsidRPr="002F45D6">
        <w:rPr>
          <w:rFonts w:ascii="Times New Roman" w:hAnsi="Times New Roman"/>
          <w:i/>
          <w:noProof/>
          <w:sz w:val="24"/>
        </w:rPr>
        <w:t>będzie wspierać ściślejszą koordynację między instytucjami finansowania rozwoju</w:t>
      </w:r>
      <w:r w:rsidR="002F45D6" w:rsidRPr="002F45D6">
        <w:rPr>
          <w:rFonts w:ascii="Times New Roman" w:hAnsi="Times New Roman"/>
          <w:i/>
          <w:noProof/>
          <w:sz w:val="24"/>
        </w:rPr>
        <w:t xml:space="preserve"> a</w:t>
      </w:r>
      <w:r w:rsidR="002F45D6">
        <w:rPr>
          <w:rFonts w:ascii="Times New Roman" w:hAnsi="Times New Roman"/>
          <w:i/>
          <w:noProof/>
          <w:sz w:val="24"/>
        </w:rPr>
        <w:t> </w:t>
      </w:r>
      <w:r w:rsidR="002F45D6" w:rsidRPr="002F45D6">
        <w:rPr>
          <w:rFonts w:ascii="Times New Roman" w:hAnsi="Times New Roman"/>
          <w:i/>
          <w:noProof/>
          <w:sz w:val="24"/>
        </w:rPr>
        <w:t>age</w:t>
      </w:r>
      <w:r w:rsidRPr="002F45D6">
        <w:rPr>
          <w:rFonts w:ascii="Times New Roman" w:hAnsi="Times New Roman"/>
          <w:i/>
          <w:noProof/>
          <w:sz w:val="24"/>
        </w:rPr>
        <w:t>ncjami kredytów eksportowych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odn</w:t>
      </w:r>
      <w:r w:rsidRPr="002F45D6">
        <w:rPr>
          <w:rFonts w:ascii="Times New Roman" w:hAnsi="Times New Roman"/>
          <w:i/>
          <w:noProof/>
          <w:sz w:val="24"/>
        </w:rPr>
        <w:t>iesieniu do projektów dotyczących surowców</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wdrożenia nowych połączonych narzędzi</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zap</w:t>
      </w:r>
      <w:r w:rsidRPr="002F45D6">
        <w:rPr>
          <w:rFonts w:ascii="Times New Roman" w:hAnsi="Times New Roman"/>
          <w:i/>
          <w:noProof/>
          <w:sz w:val="24"/>
        </w:rPr>
        <w:t>ewnienia synergii, począwszy od projektów pilotażowych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str</w:t>
      </w:r>
      <w:r w:rsidRPr="002F45D6">
        <w:rPr>
          <w:rFonts w:ascii="Times New Roman" w:hAnsi="Times New Roman"/>
          <w:i/>
          <w:noProof/>
          <w:sz w:val="24"/>
        </w:rPr>
        <w:t>ategicznych krajach partnerskich,</w:t>
      </w:r>
    </w:p>
    <w:p w14:paraId="6186232A" w14:textId="608E6A58" w:rsidR="00B53BEE" w:rsidRPr="002F45D6" w:rsidRDefault="00B53BEE" w:rsidP="003073D2">
      <w:pPr>
        <w:pStyle w:val="ListParagraph"/>
        <w:numPr>
          <w:ilvl w:val="0"/>
          <w:numId w:val="43"/>
        </w:numPr>
        <w:jc w:val="both"/>
        <w:rPr>
          <w:rFonts w:ascii="Times New Roman" w:hAnsi="Times New Roman" w:cs="Times New Roman"/>
          <w:i/>
          <w:iCs/>
          <w:noProof/>
          <w:sz w:val="24"/>
          <w:szCs w:val="24"/>
        </w:rPr>
      </w:pPr>
      <w:r w:rsidRPr="002F45D6">
        <w:rPr>
          <w:rFonts w:ascii="Times New Roman" w:hAnsi="Times New Roman"/>
          <w:i/>
          <w:noProof/>
          <w:sz w:val="24"/>
        </w:rPr>
        <w:t>będzie prowadzić na forum OECD prace nad udoskonaleniem porozumień</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wsp</w:t>
      </w:r>
      <w:r w:rsidRPr="002F45D6">
        <w:rPr>
          <w:rFonts w:ascii="Times New Roman" w:hAnsi="Times New Roman"/>
          <w:i/>
          <w:noProof/>
          <w:sz w:val="24"/>
        </w:rPr>
        <w:t>ółpracować</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pań</w:t>
      </w:r>
      <w:r w:rsidRPr="002F45D6">
        <w:rPr>
          <w:rFonts w:ascii="Times New Roman" w:hAnsi="Times New Roman"/>
          <w:i/>
          <w:noProof/>
          <w:sz w:val="24"/>
        </w:rPr>
        <w:t>stwami członkowskimi UE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utworzenia unijnego instrumentu kredytów eksportowych, który umożliwiłby m.in. wspieranie łańcuchów dostaw surowców krytycznych za granicą.</w:t>
      </w:r>
    </w:p>
    <w:p w14:paraId="62B5EF5A" w14:textId="77777777" w:rsidR="00B53BEE" w:rsidRPr="002F45D6" w:rsidRDefault="00B53BEE" w:rsidP="00F72B0F">
      <w:pPr>
        <w:spacing w:before="120"/>
        <w:jc w:val="both"/>
        <w:rPr>
          <w:rFonts w:ascii="Times New Roman" w:hAnsi="Times New Roman" w:cs="Times New Roman"/>
          <w:noProof/>
          <w:sz w:val="24"/>
        </w:rPr>
      </w:pPr>
    </w:p>
    <w:p w14:paraId="1AAE3703" w14:textId="027D32BC" w:rsidR="00315BD5" w:rsidRPr="002F45D6" w:rsidRDefault="00315BD5" w:rsidP="001974C8">
      <w:pPr>
        <w:spacing w:before="120"/>
        <w:jc w:val="both"/>
        <w:rPr>
          <w:rFonts w:ascii="Times New Roman" w:hAnsi="Times New Roman" w:cs="Times New Roman"/>
          <w:b/>
          <w:i/>
          <w:iCs/>
          <w:noProof/>
          <w:sz w:val="24"/>
          <w:szCs w:val="24"/>
        </w:rPr>
      </w:pPr>
      <w:r w:rsidRPr="002F45D6">
        <w:rPr>
          <w:rFonts w:ascii="Times New Roman" w:hAnsi="Times New Roman"/>
          <w:b/>
          <w:i/>
          <w:noProof/>
          <w:sz w:val="24"/>
        </w:rPr>
        <w:t>III.6. Zwalczanie nieuczciwych praktyk handlowych</w:t>
      </w:r>
      <w:r w:rsidR="002F45D6" w:rsidRPr="002F45D6">
        <w:rPr>
          <w:rFonts w:ascii="Times New Roman" w:hAnsi="Times New Roman"/>
          <w:b/>
          <w:i/>
          <w:noProof/>
          <w:sz w:val="24"/>
        </w:rPr>
        <w:t xml:space="preserve"> i</w:t>
      </w:r>
      <w:r w:rsidR="002F45D6">
        <w:rPr>
          <w:rFonts w:ascii="Times New Roman" w:hAnsi="Times New Roman"/>
          <w:b/>
          <w:i/>
          <w:noProof/>
          <w:sz w:val="24"/>
        </w:rPr>
        <w:t> </w:t>
      </w:r>
      <w:r w:rsidR="002F45D6" w:rsidRPr="002F45D6">
        <w:rPr>
          <w:rFonts w:ascii="Times New Roman" w:hAnsi="Times New Roman"/>
          <w:b/>
          <w:i/>
          <w:noProof/>
          <w:sz w:val="24"/>
        </w:rPr>
        <w:t>sku</w:t>
      </w:r>
      <w:r w:rsidRPr="002F45D6">
        <w:rPr>
          <w:rFonts w:ascii="Times New Roman" w:hAnsi="Times New Roman"/>
          <w:b/>
          <w:i/>
          <w:noProof/>
          <w:sz w:val="24"/>
        </w:rPr>
        <w:t xml:space="preserve">teczniejsze egzekwowanie przepisów </w:t>
      </w:r>
    </w:p>
    <w:p w14:paraId="28813AAB" w14:textId="530596D7" w:rsidR="00315BD5" w:rsidRPr="002F45D6" w:rsidRDefault="00315BD5" w:rsidP="00315BD5">
      <w:pPr>
        <w:spacing w:before="120"/>
        <w:jc w:val="both"/>
        <w:rPr>
          <w:rFonts w:ascii="Times New Roman" w:hAnsi="Times New Roman" w:cs="Times New Roman"/>
          <w:noProof/>
          <w:sz w:val="24"/>
        </w:rPr>
      </w:pPr>
      <w:r w:rsidRPr="002F45D6">
        <w:rPr>
          <w:rFonts w:ascii="Times New Roman" w:hAnsi="Times New Roman"/>
          <w:noProof/>
          <w:sz w:val="24"/>
        </w:rPr>
        <w:t>Obecnie wiele rządów zwraca uwagę na rozwój sektora surowców krytycznych, często kierując się celami przemysłowymi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geo</w:t>
      </w:r>
      <w:r w:rsidRPr="002F45D6">
        <w:rPr>
          <w:rFonts w:ascii="Times New Roman" w:hAnsi="Times New Roman"/>
          <w:noProof/>
          <w:sz w:val="24"/>
        </w:rPr>
        <w:t>politycznymi. OECD zidentyfikowała ponad 18 tys. problematycznych środków, które mają wpływ na handel surowcami krytycznymi na różnych etapach</w:t>
      </w:r>
      <w:r w:rsidRPr="002F45D6">
        <w:rPr>
          <w:rStyle w:val="FootnoteReference"/>
          <w:rFonts w:ascii="Times New Roman" w:hAnsi="Times New Roman" w:cs="Times New Roman"/>
          <w:noProof/>
          <w:sz w:val="24"/>
          <w:szCs w:val="24"/>
        </w:rPr>
        <w:footnoteReference w:id="20"/>
      </w:r>
      <w:r w:rsidRPr="002F45D6">
        <w:rPr>
          <w:noProof/>
        </w:rPr>
        <w:t>.</w:t>
      </w:r>
      <w:r w:rsidRPr="002F45D6">
        <w:rPr>
          <w:rFonts w:ascii="Times New Roman" w:hAnsi="Times New Roman"/>
          <w:noProof/>
          <w:sz w:val="24"/>
        </w:rPr>
        <w:t xml:space="preserve"> Ponieważ zapotrzebowanie na surowce krytyczne wzrośnie, częstotliwość</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wpł</w:t>
      </w:r>
      <w:r w:rsidRPr="002F45D6">
        <w:rPr>
          <w:rFonts w:ascii="Times New Roman" w:hAnsi="Times New Roman"/>
          <w:noProof/>
          <w:sz w:val="24"/>
        </w:rPr>
        <w:t>yw takich środków prawdopodobnie również odpowiednio wzrosną</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ypadku braku globalnych działań na rzecz poprawy sytuacji.</w:t>
      </w:r>
    </w:p>
    <w:p w14:paraId="00B47E07" w14:textId="3921ECF7" w:rsidR="00315BD5" w:rsidRPr="002F45D6" w:rsidRDefault="00315BD5" w:rsidP="00315BD5">
      <w:pPr>
        <w:spacing w:before="120"/>
        <w:jc w:val="both"/>
        <w:rPr>
          <w:rFonts w:ascii="Times New Roman" w:hAnsi="Times New Roman" w:cs="Times New Roman"/>
          <w:noProof/>
          <w:sz w:val="24"/>
        </w:rPr>
      </w:pPr>
      <w:r w:rsidRPr="002F45D6">
        <w:rPr>
          <w:rFonts w:ascii="Times New Roman" w:hAnsi="Times New Roman"/>
          <w:noProof/>
          <w:sz w:val="24"/>
        </w:rPr>
        <w:t>Może to zagrozić bezpieczeństwu dostaw lub stworzyć nierówne warunki działania, które utrudniają przedsiębiorstwom konkurencyjność, nie tylko dla UE, ale dla wszystkich krajów zależnych od przywozu tych surowców. Jednak ograniczenia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han</w:t>
      </w:r>
      <w:r w:rsidRPr="002F45D6">
        <w:rPr>
          <w:rFonts w:ascii="Times New Roman" w:hAnsi="Times New Roman"/>
          <w:noProof/>
          <w:sz w:val="24"/>
        </w:rPr>
        <w:t>dlu również prowadzą do niższej efektywności. Przykładowo nieopłacalne są ograniczenia wywozowe używane jako narzędzie stymulowania lokalnego przetwórstwa surowców mineralnych</w:t>
      </w:r>
      <w:r w:rsidRPr="002F45D6">
        <w:rPr>
          <w:rStyle w:val="FootnoteReference"/>
          <w:rFonts w:ascii="Times New Roman" w:hAnsi="Times New Roman" w:cs="Times New Roman"/>
          <w:noProof/>
          <w:sz w:val="24"/>
        </w:rPr>
        <w:footnoteReference w:id="21"/>
      </w:r>
      <w:r w:rsidRPr="002F45D6">
        <w:rPr>
          <w:rFonts w:ascii="Times New Roman" w:hAnsi="Times New Roman"/>
          <w:noProof/>
          <w:sz w:val="24"/>
        </w:rPr>
        <w:t xml:space="preserve">. </w:t>
      </w:r>
    </w:p>
    <w:p w14:paraId="27538618" w14:textId="612BE354" w:rsidR="00315BD5" w:rsidRPr="002F45D6" w:rsidRDefault="00315BD5" w:rsidP="00315BD5">
      <w:pPr>
        <w:spacing w:before="120"/>
        <w:jc w:val="both"/>
        <w:rPr>
          <w:rFonts w:ascii="Times New Roman" w:hAnsi="Times New Roman" w:cs="Times New Roman"/>
          <w:noProof/>
          <w:sz w:val="24"/>
        </w:rPr>
      </w:pPr>
      <w:r w:rsidRPr="002F45D6">
        <w:rPr>
          <w:rFonts w:ascii="Times New Roman" w:hAnsi="Times New Roman"/>
          <w:noProof/>
          <w:sz w:val="24"/>
        </w:rPr>
        <w:t>W związku</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Komisja zdecydowanie działa na rzecz zapewnienia przejrzystości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zakłóceń konkurencji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surowców, finansując bazę OECD zawierającą informacje</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ogr</w:t>
      </w:r>
      <w:r w:rsidRPr="002F45D6">
        <w:rPr>
          <w:rFonts w:ascii="Times New Roman" w:hAnsi="Times New Roman"/>
          <w:noProof/>
          <w:sz w:val="24"/>
        </w:rPr>
        <w:t>aniczeniach wywozowych</w:t>
      </w:r>
      <w:r w:rsidRPr="002F45D6">
        <w:rPr>
          <w:rStyle w:val="FootnoteReference"/>
          <w:rFonts w:ascii="Times New Roman" w:hAnsi="Times New Roman" w:cs="Times New Roman"/>
          <w:noProof/>
          <w:sz w:val="24"/>
          <w:szCs w:val="24"/>
        </w:rPr>
        <w:footnoteReference w:id="22"/>
      </w:r>
      <w:r w:rsidRPr="002F45D6">
        <w:rPr>
          <w:rFonts w:ascii="Times New Roman" w:hAnsi="Times New Roman"/>
          <w:noProof/>
          <w:sz w:val="24"/>
        </w:rPr>
        <w:t>. Jest to ważny pierwszy krok, jeśli chodzi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pod</w:t>
      </w:r>
      <w:r w:rsidRPr="002F45D6">
        <w:rPr>
          <w:rFonts w:ascii="Times New Roman" w:hAnsi="Times New Roman"/>
          <w:noProof/>
          <w:sz w:val="24"/>
        </w:rPr>
        <w:t>noszenie globalnej świadomości na temat obaw politycznych związanych z tą kwestią, zwłaszcza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odn</w:t>
      </w:r>
      <w:r w:rsidRPr="002F45D6">
        <w:rPr>
          <w:rFonts w:ascii="Times New Roman" w:hAnsi="Times New Roman"/>
          <w:noProof/>
          <w:sz w:val="24"/>
        </w:rPr>
        <w:t>iesieniu do surowców krytycznych niezbędnych do transformacji energetycznej, na drodze do rozwiązania tych problemów na forum WTO.</w:t>
      </w:r>
    </w:p>
    <w:p w14:paraId="4A4C1F5C" w14:textId="2C1F8E3E" w:rsidR="00315BD5" w:rsidRPr="002F45D6" w:rsidRDefault="00315BD5" w:rsidP="00315BD5">
      <w:pPr>
        <w:spacing w:before="120"/>
        <w:jc w:val="both"/>
        <w:rPr>
          <w:rFonts w:ascii="Times New Roman" w:hAnsi="Times New Roman" w:cs="Times New Roman"/>
          <w:noProof/>
          <w:sz w:val="24"/>
        </w:rPr>
      </w:pPr>
      <w:r w:rsidRPr="002F45D6">
        <w:rPr>
          <w:rFonts w:ascii="Times New Roman" w:hAnsi="Times New Roman"/>
          <w:noProof/>
          <w:sz w:val="24"/>
        </w:rPr>
        <w:t>UE korzystała już</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sys</w:t>
      </w:r>
      <w:r w:rsidRPr="002F45D6">
        <w:rPr>
          <w:rFonts w:ascii="Times New Roman" w:hAnsi="Times New Roman"/>
          <w:noProof/>
          <w:sz w:val="24"/>
        </w:rPr>
        <w:t>temu rozstrzygania sporów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surowców krytycznych. Na przykład</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2</w:t>
      </w:r>
      <w:r w:rsidRPr="002F45D6">
        <w:rPr>
          <w:rFonts w:ascii="Times New Roman" w:hAnsi="Times New Roman"/>
          <w:noProof/>
          <w:sz w:val="24"/>
        </w:rPr>
        <w:t>012</w:t>
      </w:r>
      <w:r w:rsidR="002F45D6" w:rsidRPr="002F45D6">
        <w:rPr>
          <w:rFonts w:ascii="Times New Roman" w:hAnsi="Times New Roman"/>
          <w:noProof/>
          <w:sz w:val="24"/>
        </w:rPr>
        <w:t> </w:t>
      </w:r>
      <w:r w:rsidRPr="002F45D6">
        <w:rPr>
          <w:rFonts w:ascii="Times New Roman" w:hAnsi="Times New Roman"/>
          <w:noProof/>
          <w:sz w:val="24"/>
        </w:rPr>
        <w:t>r. UE odniosła sukces</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pos</w:t>
      </w:r>
      <w:r w:rsidRPr="002F45D6">
        <w:rPr>
          <w:rFonts w:ascii="Times New Roman" w:hAnsi="Times New Roman"/>
          <w:noProof/>
          <w:sz w:val="24"/>
        </w:rPr>
        <w:t>tępowaniu arbitrażowym przeciwko Chinom, które musiały znieść ograniczenia wywozowe dotyczące metali ziem rzadkich</w:t>
      </w:r>
      <w:r w:rsidRPr="002F45D6">
        <w:rPr>
          <w:rStyle w:val="FootnoteReference"/>
          <w:rFonts w:ascii="Times New Roman" w:hAnsi="Times New Roman" w:cs="Times New Roman"/>
          <w:noProof/>
          <w:sz w:val="24"/>
          <w:szCs w:val="24"/>
        </w:rPr>
        <w:footnoteReference w:id="23"/>
      </w:r>
      <w:r w:rsidRPr="002F45D6">
        <w:rPr>
          <w:rFonts w:ascii="Times New Roman" w:hAnsi="Times New Roman"/>
          <w:noProof/>
          <w:sz w:val="24"/>
        </w:rPr>
        <w:t>. Niedawno UE wygrała również spór</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WTO przeciwko Indonezji dotyczący ograniczeń wywozowych na nikiel</w:t>
      </w:r>
      <w:r w:rsidRPr="002F45D6">
        <w:rPr>
          <w:rStyle w:val="FootnoteReference"/>
          <w:rFonts w:ascii="Times New Roman" w:hAnsi="Times New Roman" w:cs="Times New Roman"/>
          <w:noProof/>
          <w:sz w:val="24"/>
          <w:szCs w:val="24"/>
        </w:rPr>
        <w:footnoteReference w:id="24"/>
      </w:r>
      <w:r w:rsidRPr="002F45D6">
        <w:rPr>
          <w:rFonts w:ascii="Times New Roman" w:hAnsi="Times New Roman"/>
          <w:noProof/>
          <w:sz w:val="24"/>
        </w:rPr>
        <w:t>.</w:t>
      </w:r>
    </w:p>
    <w:p w14:paraId="655BED31" w14:textId="72E5C0A7" w:rsidR="00315BD5" w:rsidRPr="002F45D6" w:rsidRDefault="00315BD5" w:rsidP="00315BD5">
      <w:pPr>
        <w:spacing w:before="120"/>
        <w:jc w:val="both"/>
        <w:rPr>
          <w:rFonts w:ascii="Times New Roman" w:hAnsi="Times New Roman" w:cs="Times New Roman"/>
          <w:noProof/>
          <w:sz w:val="24"/>
        </w:rPr>
      </w:pPr>
      <w:r w:rsidRPr="002F45D6">
        <w:rPr>
          <w:rFonts w:ascii="Times New Roman" w:hAnsi="Times New Roman"/>
          <w:noProof/>
          <w:sz w:val="24"/>
        </w:rPr>
        <w:t>Osiągnięcia UE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wal</w:t>
      </w:r>
      <w:r w:rsidRPr="002F45D6">
        <w:rPr>
          <w:rFonts w:ascii="Times New Roman" w:hAnsi="Times New Roman"/>
          <w:noProof/>
          <w:sz w:val="24"/>
        </w:rPr>
        <w:t>ce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nie</w:t>
      </w:r>
      <w:r w:rsidRPr="002F45D6">
        <w:rPr>
          <w:rFonts w:ascii="Times New Roman" w:hAnsi="Times New Roman"/>
          <w:noProof/>
          <w:sz w:val="24"/>
        </w:rPr>
        <w:t>uczciwymi praktykami są jednoznaczne. Komisja zintensyfikuje egzekwowanie przepisów, aby sprostać coraz większym wyzwaniom</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sektorze,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w:t>
      </w:r>
      <w:r w:rsidR="002F45D6">
        <w:rPr>
          <w:rFonts w:ascii="Times New Roman" w:hAnsi="Times New Roman"/>
          <w:noProof/>
          <w:sz w:val="24"/>
        </w:rPr>
        <w:t> </w:t>
      </w:r>
      <w:r w:rsidR="002F45D6" w:rsidRPr="002F45D6">
        <w:rPr>
          <w:rFonts w:ascii="Times New Roman" w:hAnsi="Times New Roman"/>
          <w:noProof/>
          <w:sz w:val="24"/>
        </w:rPr>
        <w:t>zde</w:t>
      </w:r>
      <w:r w:rsidRPr="002F45D6">
        <w:rPr>
          <w:rFonts w:ascii="Times New Roman" w:hAnsi="Times New Roman"/>
          <w:noProof/>
          <w:sz w:val="24"/>
        </w:rPr>
        <w:t>cydowany sposób zajmie się ograniczeniami wywozowymi wprowadzanymi przez partnerów handlowych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odn</w:t>
      </w:r>
      <w:r w:rsidRPr="002F45D6">
        <w:rPr>
          <w:rFonts w:ascii="Times New Roman" w:hAnsi="Times New Roman"/>
          <w:noProof/>
          <w:sz w:val="24"/>
        </w:rPr>
        <w:t>iesieniu do rud metali, surowców wtórnych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owców krytycznych zawierających odpady. Ponadto Komisja będzie również nadal chronić rynek UE, korzystając ze swoich instrumentów ochrony handlu, jeżeli uzasadniają to fakty, przy pełnym poszanowaniu międzynarodowych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wew</w:t>
      </w:r>
      <w:r w:rsidRPr="002F45D6">
        <w:rPr>
          <w:rFonts w:ascii="Times New Roman" w:hAnsi="Times New Roman"/>
          <w:noProof/>
          <w:sz w:val="24"/>
        </w:rPr>
        <w:t>nętrznych zobowiązań prawnych.</w:t>
      </w:r>
    </w:p>
    <w:p w14:paraId="12A74E04" w14:textId="412AA89C" w:rsidR="00315BD5" w:rsidRPr="002F45D6" w:rsidRDefault="00315BD5" w:rsidP="00315BD5">
      <w:pPr>
        <w:spacing w:before="120"/>
        <w:jc w:val="both"/>
        <w:rPr>
          <w:rFonts w:ascii="Times New Roman" w:hAnsi="Times New Roman" w:cs="Times New Roman"/>
          <w:noProof/>
          <w:sz w:val="24"/>
        </w:rPr>
      </w:pPr>
      <w:r w:rsidRPr="002F45D6">
        <w:rPr>
          <w:rFonts w:ascii="Times New Roman" w:hAnsi="Times New Roman"/>
          <w:noProof/>
          <w:sz w:val="24"/>
        </w:rPr>
        <w:t>W przypadku otrzymania przez Komisję należycie uzasadnionych skarg możliwe jest wszczęcie dochodzeń</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zba</w:t>
      </w:r>
      <w:r w:rsidRPr="002F45D6">
        <w:rPr>
          <w:rFonts w:ascii="Times New Roman" w:hAnsi="Times New Roman"/>
          <w:noProof/>
          <w:sz w:val="24"/>
        </w:rPr>
        <w:t>danie, czy konieczne jest wprowadzenie środków ochrony handlu chroniących przemysł wydobywczy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etwórczy, któremu przywóz towarów na nieuczciwych zasadach uniemożliwia prowadzenie działalności w UE</w:t>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ich przypadkach konieczne byłoby dokładne przeanalizowanie szerszego interesu gospodarczego UE, żeby środki ochrony handlu nie zaszkodziły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spo</w:t>
      </w:r>
      <w:r w:rsidRPr="002F45D6">
        <w:rPr>
          <w:rFonts w:ascii="Times New Roman" w:hAnsi="Times New Roman"/>
          <w:noProof/>
          <w:sz w:val="24"/>
        </w:rPr>
        <w:t>sób nieproporcjonalny interesom innych sektorów przemysłu korzystającym</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tow</w:t>
      </w:r>
      <w:r w:rsidRPr="002F45D6">
        <w:rPr>
          <w:rFonts w:ascii="Times New Roman" w:hAnsi="Times New Roman"/>
          <w:noProof/>
          <w:sz w:val="24"/>
        </w:rPr>
        <w:t>arów na dalszym etapie produkcji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nie</w:t>
      </w:r>
      <w:r w:rsidRPr="002F45D6">
        <w:rPr>
          <w:rFonts w:ascii="Times New Roman" w:hAnsi="Times New Roman"/>
          <w:noProof/>
          <w:sz w:val="24"/>
        </w:rPr>
        <w:t xml:space="preserve"> spowodowały zakłóceń</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cuchach dostaw surowców krytycznych.</w:t>
      </w:r>
    </w:p>
    <w:p w14:paraId="2B7F537F" w14:textId="5AA81184" w:rsidR="00CE07CF" w:rsidRPr="002F45D6" w:rsidRDefault="00F3532B" w:rsidP="00315BD5">
      <w:pPr>
        <w:spacing w:before="120"/>
        <w:jc w:val="both"/>
        <w:rPr>
          <w:rFonts w:ascii="Times New Roman" w:hAnsi="Times New Roman" w:cs="Times New Roman"/>
          <w:noProof/>
          <w:sz w:val="24"/>
        </w:rPr>
      </w:pPr>
      <w:r w:rsidRPr="002F45D6">
        <w:rPr>
          <w:rFonts w:ascii="Times New Roman" w:hAnsi="Times New Roman"/>
          <w:noProof/>
          <w:sz w:val="24"/>
        </w:rPr>
        <w:t>Ponadto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nie</w:t>
      </w:r>
      <w:r w:rsidRPr="002F45D6">
        <w:rPr>
          <w:rFonts w:ascii="Times New Roman" w:hAnsi="Times New Roman"/>
          <w:noProof/>
          <w:sz w:val="24"/>
        </w:rPr>
        <w:t>których przypadkach bezpośrednie inwestycje zagraniczne dokonywane przez inwestorów spoza UE mogą stanowić zagrożenie dla bezpieczeństwa lub porządku publicznego w UE właśnie dlatego, że mogą mieć wpływ na dostawy towarów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surowców. Unijne ramy monitorowania bezpośrednich inwestycji zagranicznych</w:t>
      </w:r>
      <w:r w:rsidRPr="002F45D6">
        <w:rPr>
          <w:rStyle w:val="FootnoteReference"/>
          <w:rFonts w:ascii="Times New Roman" w:hAnsi="Times New Roman" w:cs="Times New Roman"/>
          <w:noProof/>
          <w:sz w:val="24"/>
          <w:szCs w:val="24"/>
        </w:rPr>
        <w:footnoteReference w:id="25"/>
      </w:r>
      <w:r w:rsidRPr="002F45D6">
        <w:rPr>
          <w:rFonts w:ascii="Times New Roman" w:hAnsi="Times New Roman"/>
          <w:noProof/>
          <w:sz w:val="24"/>
        </w:rPr>
        <w:t xml:space="preserve"> określają ogólnounijne zasady, dzięki którym Komisja Europejska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stwa członkowskie mogą koordynować działania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ochrony bezpieczeństwa lub porządku publicznego w UE, jeżeli bezpośrednie inwestycje zagraniczne stanowią dla nich zagrożenie. Może to obejmować monitorowanie potencjalnego wpływu takich inwestycji na dostawy towarów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surowców. </w:t>
      </w:r>
    </w:p>
    <w:p w14:paraId="2384CB4E" w14:textId="621B1124" w:rsidR="00B41B88" w:rsidRPr="002F45D6" w:rsidRDefault="00015821" w:rsidP="007A6BE9">
      <w:pPr>
        <w:keepNext/>
        <w:jc w:val="both"/>
        <w:rPr>
          <w:rFonts w:ascii="Times New Roman" w:hAnsi="Times New Roman" w:cs="Times New Roman"/>
          <w:i/>
          <w:iCs/>
          <w:noProof/>
          <w:sz w:val="24"/>
          <w:szCs w:val="24"/>
        </w:rPr>
      </w:pPr>
      <w:r w:rsidRPr="002F45D6">
        <w:rPr>
          <w:rFonts w:ascii="Times New Roman" w:hAnsi="Times New Roman"/>
          <w:i/>
          <w:noProof/>
          <w:sz w:val="24"/>
        </w:rPr>
        <w:t>Za pośrednictwem głównego urzędnika ds. egzekwowania przepisów handlowych Komisja:</w:t>
      </w:r>
    </w:p>
    <w:p w14:paraId="51CA8467" w14:textId="4DFFC19D" w:rsidR="00B41B88" w:rsidRPr="002F45D6" w:rsidRDefault="00015821" w:rsidP="003073D2">
      <w:pPr>
        <w:pStyle w:val="ListParagraph"/>
        <w:numPr>
          <w:ilvl w:val="0"/>
          <w:numId w:val="43"/>
        </w:numPr>
        <w:jc w:val="both"/>
        <w:rPr>
          <w:rFonts w:ascii="Times New Roman" w:hAnsi="Times New Roman" w:cs="Times New Roman"/>
          <w:i/>
          <w:iCs/>
          <w:noProof/>
          <w:sz w:val="24"/>
          <w:szCs w:val="24"/>
        </w:rPr>
      </w:pPr>
      <w:r w:rsidRPr="002F45D6">
        <w:rPr>
          <w:rFonts w:ascii="Times New Roman" w:hAnsi="Times New Roman"/>
          <w:i/>
          <w:noProof/>
          <w:sz w:val="24"/>
        </w:rPr>
        <w:t>będzie nadal intensywnie wdrażać</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egz</w:t>
      </w:r>
      <w:r w:rsidRPr="002F45D6">
        <w:rPr>
          <w:rFonts w:ascii="Times New Roman" w:hAnsi="Times New Roman"/>
          <w:i/>
          <w:noProof/>
          <w:sz w:val="24"/>
        </w:rPr>
        <w:t>ekwować odpowiednie zasady WTO</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umo</w:t>
      </w:r>
      <w:r w:rsidRPr="002F45D6">
        <w:rPr>
          <w:rFonts w:ascii="Times New Roman" w:hAnsi="Times New Roman"/>
          <w:i/>
          <w:noProof/>
          <w:sz w:val="24"/>
        </w:rPr>
        <w:t>wy handlowe UE, ze szczególnym naciskiem na środki ograniczające dostęp do surowców krytycznych,</w:t>
      </w:r>
    </w:p>
    <w:p w14:paraId="5B8E4963" w14:textId="491810EE" w:rsidR="00BE5257" w:rsidRPr="002F45D6" w:rsidRDefault="00015821" w:rsidP="003073D2">
      <w:pPr>
        <w:pStyle w:val="ListParagraph"/>
        <w:numPr>
          <w:ilvl w:val="0"/>
          <w:numId w:val="43"/>
        </w:numPr>
        <w:spacing w:line="252" w:lineRule="auto"/>
        <w:jc w:val="both"/>
        <w:rPr>
          <w:rFonts w:ascii="Times New Roman" w:hAnsi="Times New Roman" w:cs="Times New Roman"/>
          <w:i/>
          <w:iCs/>
          <w:noProof/>
          <w:sz w:val="24"/>
          <w:szCs w:val="24"/>
        </w:rPr>
      </w:pPr>
      <w:r w:rsidRPr="002F45D6">
        <w:rPr>
          <w:rFonts w:ascii="Times New Roman" w:hAnsi="Times New Roman"/>
          <w:i/>
          <w:noProof/>
          <w:sz w:val="24"/>
        </w:rPr>
        <w:t>zbada, czy należy podjąć działania</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ochrony handlu chroniące przemysł wydobywczy, przetwórczy</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rec</w:t>
      </w:r>
      <w:r w:rsidRPr="002F45D6">
        <w:rPr>
          <w:rFonts w:ascii="Times New Roman" w:hAnsi="Times New Roman"/>
          <w:i/>
          <w:noProof/>
          <w:sz w:val="24"/>
        </w:rPr>
        <w:t>yklingowy.</w:t>
      </w:r>
    </w:p>
    <w:p w14:paraId="2CE3E96F" w14:textId="6794169D" w:rsidR="00D26B1C" w:rsidRPr="002F45D6" w:rsidRDefault="00D26B1C" w:rsidP="004161F5">
      <w:pPr>
        <w:spacing w:after="0" w:line="240" w:lineRule="auto"/>
        <w:jc w:val="both"/>
        <w:rPr>
          <w:rFonts w:ascii="Times New Roman" w:hAnsi="Times New Roman" w:cs="Times New Roman"/>
          <w:noProof/>
          <w:highlight w:val="cyan"/>
        </w:rPr>
      </w:pPr>
    </w:p>
    <w:p w14:paraId="413C88BF" w14:textId="55047743" w:rsidR="00722A63" w:rsidRPr="002F45D6" w:rsidRDefault="00F63D28" w:rsidP="00AE5E66">
      <w:pPr>
        <w:pStyle w:val="ListParagraph"/>
        <w:keepNext/>
        <w:numPr>
          <w:ilvl w:val="0"/>
          <w:numId w:val="32"/>
        </w:numPr>
        <w:spacing w:before="120"/>
        <w:contextualSpacing w:val="0"/>
        <w:jc w:val="both"/>
        <w:rPr>
          <w:rFonts w:ascii="Times New Roman" w:hAnsi="Times New Roman" w:cs="Times New Roman"/>
          <w:b/>
          <w:noProof/>
          <w:sz w:val="24"/>
        </w:rPr>
      </w:pPr>
      <w:r w:rsidRPr="002F45D6">
        <w:rPr>
          <w:rFonts w:ascii="Times New Roman" w:hAnsi="Times New Roman"/>
          <w:b/>
          <w:noProof/>
          <w:sz w:val="24"/>
        </w:rPr>
        <w:t>Promowanie zrównoważoności</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obi</w:t>
      </w:r>
      <w:r w:rsidRPr="002F45D6">
        <w:rPr>
          <w:rFonts w:ascii="Times New Roman" w:hAnsi="Times New Roman"/>
          <w:b/>
          <w:noProof/>
          <w:sz w:val="24"/>
        </w:rPr>
        <w:t>egu zamkniętego</w:t>
      </w:r>
      <w:r w:rsidR="002F45D6" w:rsidRPr="002F45D6">
        <w:rPr>
          <w:rFonts w:ascii="Times New Roman" w:hAnsi="Times New Roman"/>
          <w:b/>
          <w:noProof/>
          <w:sz w:val="24"/>
        </w:rPr>
        <w:t xml:space="preserve"> w</w:t>
      </w:r>
      <w:r w:rsidR="002F45D6">
        <w:rPr>
          <w:rFonts w:ascii="Times New Roman" w:hAnsi="Times New Roman"/>
          <w:b/>
          <w:noProof/>
          <w:sz w:val="24"/>
        </w:rPr>
        <w:t> </w:t>
      </w:r>
      <w:r w:rsidR="002F45D6" w:rsidRPr="002F45D6">
        <w:rPr>
          <w:rFonts w:ascii="Times New Roman" w:hAnsi="Times New Roman"/>
          <w:b/>
          <w:noProof/>
          <w:sz w:val="24"/>
        </w:rPr>
        <w:t>cał</w:t>
      </w:r>
      <w:r w:rsidRPr="002F45D6">
        <w:rPr>
          <w:rFonts w:ascii="Times New Roman" w:hAnsi="Times New Roman"/>
          <w:b/>
          <w:noProof/>
          <w:sz w:val="24"/>
        </w:rPr>
        <w:t xml:space="preserve">ym łańcuchu wartości </w:t>
      </w:r>
    </w:p>
    <w:p w14:paraId="1ADDE05C" w14:textId="6DD9511D" w:rsidR="0018793C" w:rsidRPr="002F45D6" w:rsidRDefault="002260C9" w:rsidP="0018793C">
      <w:pPr>
        <w:spacing w:before="120"/>
        <w:jc w:val="both"/>
        <w:rPr>
          <w:rFonts w:ascii="Times New Roman" w:hAnsi="Times New Roman" w:cs="Times New Roman"/>
          <w:noProof/>
          <w:sz w:val="24"/>
          <w:szCs w:val="24"/>
        </w:rPr>
      </w:pPr>
      <w:r w:rsidRPr="002F45D6">
        <w:rPr>
          <w:rFonts w:ascii="Times New Roman" w:hAnsi="Times New Roman"/>
          <w:noProof/>
          <w:sz w:val="24"/>
        </w:rPr>
        <w:t>Poprawa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bezpieczeństwa dostaw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ystępności cenowej surowców krytycznych musi iść</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par</w:t>
      </w:r>
      <w:r w:rsidRPr="002F45D6">
        <w:rPr>
          <w:rFonts w:ascii="Times New Roman" w:hAnsi="Times New Roman"/>
          <w:noProof/>
          <w:sz w:val="24"/>
        </w:rPr>
        <w:t>ze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b/>
          <w:noProof/>
          <w:sz w:val="24"/>
        </w:rPr>
        <w:t>wię</w:t>
      </w:r>
      <w:r w:rsidRPr="002F45D6">
        <w:rPr>
          <w:rFonts w:ascii="Times New Roman" w:hAnsi="Times New Roman"/>
          <w:b/>
          <w:noProof/>
          <w:sz w:val="24"/>
        </w:rPr>
        <w:t>kszym zaangażowaniem</w:t>
      </w:r>
      <w:r w:rsidR="002F45D6" w:rsidRPr="002F45D6">
        <w:rPr>
          <w:rFonts w:ascii="Times New Roman" w:hAnsi="Times New Roman"/>
          <w:b/>
          <w:noProof/>
          <w:sz w:val="24"/>
        </w:rPr>
        <w:t xml:space="preserve"> w</w:t>
      </w:r>
      <w:r w:rsidR="002F45D6">
        <w:rPr>
          <w:rFonts w:ascii="Times New Roman" w:hAnsi="Times New Roman"/>
          <w:b/>
          <w:noProof/>
          <w:sz w:val="24"/>
        </w:rPr>
        <w:t> </w:t>
      </w:r>
      <w:r w:rsidR="002F45D6" w:rsidRPr="002F45D6">
        <w:rPr>
          <w:rFonts w:ascii="Times New Roman" w:hAnsi="Times New Roman"/>
          <w:b/>
          <w:noProof/>
          <w:sz w:val="24"/>
        </w:rPr>
        <w:t>łag</w:t>
      </w:r>
      <w:r w:rsidRPr="002F45D6">
        <w:rPr>
          <w:rFonts w:ascii="Times New Roman" w:hAnsi="Times New Roman"/>
          <w:b/>
          <w:noProof/>
          <w:sz w:val="24"/>
        </w:rPr>
        <w:t>odzenie wszelkich negatywnych skutków</w:t>
      </w:r>
      <w:r w:rsidRPr="002F45D6">
        <w:rPr>
          <w:rFonts w:ascii="Times New Roman" w:hAnsi="Times New Roman"/>
          <w:noProof/>
          <w:sz w:val="24"/>
        </w:rPr>
        <w:t>, zarówno w UE, jak</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stwach trzecich,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praw pracowniczych, praw człowieka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och</w:t>
      </w:r>
      <w:r w:rsidRPr="002F45D6">
        <w:rPr>
          <w:rFonts w:ascii="Times New Roman" w:hAnsi="Times New Roman"/>
          <w:noProof/>
          <w:sz w:val="24"/>
        </w:rPr>
        <w:t>rony środowiska. Działania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zrównoważonego rozwoju łańcuchów wartości surowców krytycznych stanowią również okazję do propagowania praw człowieka, rozwiązywania konfliktów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sta</w:t>
      </w:r>
      <w:r w:rsidRPr="002F45D6">
        <w:rPr>
          <w:rFonts w:ascii="Times New Roman" w:hAnsi="Times New Roman"/>
          <w:noProof/>
          <w:sz w:val="24"/>
        </w:rPr>
        <w:t>bilizacji sytuacji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reg</w:t>
      </w:r>
      <w:r w:rsidRPr="002F45D6">
        <w:rPr>
          <w:rFonts w:ascii="Times New Roman" w:hAnsi="Times New Roman"/>
          <w:noProof/>
          <w:sz w:val="24"/>
        </w:rPr>
        <w:t>ionach. Jest to element zobowiązania UE do opracowywania wspólnie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par</w:t>
      </w:r>
      <w:r w:rsidRPr="002F45D6">
        <w:rPr>
          <w:rFonts w:ascii="Times New Roman" w:hAnsi="Times New Roman"/>
          <w:noProof/>
          <w:sz w:val="24"/>
        </w:rPr>
        <w:t>tnerami wzajemnie korzystnych rozwiązań</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wsp</w:t>
      </w:r>
      <w:r w:rsidRPr="002F45D6">
        <w:rPr>
          <w:rFonts w:ascii="Times New Roman" w:hAnsi="Times New Roman"/>
          <w:noProof/>
          <w:sz w:val="24"/>
        </w:rPr>
        <w:t>ierania ich własnych zrównoważonych transformacji. Większość surowców krytycznych to metale, więc można je poddawać recyklingowi. Stwarza to potencjał przejścia na gospodarkę</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pra</w:t>
      </w:r>
      <w:r w:rsidRPr="002F45D6">
        <w:rPr>
          <w:rFonts w:ascii="Times New Roman" w:hAnsi="Times New Roman"/>
          <w:noProof/>
          <w:sz w:val="24"/>
        </w:rPr>
        <w:t>wdziwie zamkniętym obiegu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kon</w:t>
      </w:r>
      <w:r w:rsidRPr="002F45D6">
        <w:rPr>
          <w:rFonts w:ascii="Times New Roman" w:hAnsi="Times New Roman"/>
          <w:noProof/>
          <w:sz w:val="24"/>
        </w:rPr>
        <w:t>tekście transformacji ekologicznej. Recykling może zyskiwać na znaczeniu, przynosząc znaczne korzyści pod względem bezpieczeństwa dostaw, zmniejszenia negatywnych skutków związanych</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wyd</w:t>
      </w:r>
      <w:r w:rsidRPr="002F45D6">
        <w:rPr>
          <w:rFonts w:ascii="Times New Roman" w:hAnsi="Times New Roman"/>
          <w:noProof/>
          <w:sz w:val="24"/>
        </w:rPr>
        <w:t>obyciem</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two</w:t>
      </w:r>
      <w:r w:rsidRPr="002F45D6">
        <w:rPr>
          <w:rFonts w:ascii="Times New Roman" w:hAnsi="Times New Roman"/>
          <w:noProof/>
          <w:sz w:val="24"/>
        </w:rPr>
        <w:t>rzenia wartości gospodarczej. Współczynniki recyklingu większości surowców krytycznych pozostają jednak na niskim poziomie,</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zdo</w:t>
      </w:r>
      <w:r w:rsidRPr="002F45D6">
        <w:rPr>
          <w:rFonts w:ascii="Times New Roman" w:hAnsi="Times New Roman"/>
          <w:noProof/>
          <w:sz w:val="24"/>
        </w:rPr>
        <w:t>lności, systemy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tec</w:t>
      </w:r>
      <w:r w:rsidRPr="002F45D6">
        <w:rPr>
          <w:rFonts w:ascii="Times New Roman" w:hAnsi="Times New Roman"/>
          <w:noProof/>
          <w:sz w:val="24"/>
        </w:rPr>
        <w:t xml:space="preserve">hnologie recyklingu są często nieodpowiednie do specyfiki tych materiałów. </w:t>
      </w:r>
    </w:p>
    <w:p w14:paraId="5C1F14B5" w14:textId="37F4CDFD" w:rsidR="0066085D" w:rsidRPr="002F45D6" w:rsidRDefault="0018793C" w:rsidP="0018793C">
      <w:pPr>
        <w:spacing w:before="120"/>
        <w:jc w:val="both"/>
        <w:rPr>
          <w:rFonts w:ascii="Times New Roman" w:hAnsi="Times New Roman"/>
          <w:noProof/>
          <w:sz w:val="24"/>
        </w:rPr>
      </w:pPr>
      <w:r w:rsidRPr="002F45D6">
        <w:rPr>
          <w:rFonts w:ascii="Times New Roman" w:hAnsi="Times New Roman"/>
          <w:noProof/>
          <w:sz w:val="24"/>
        </w:rPr>
        <w:t>UE powinna zatem przyspieszyć własne działania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zasobooszczędności,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 przez wymogi dotyczące ekoprojektu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szy</w:t>
      </w:r>
      <w:r w:rsidRPr="002F45D6">
        <w:rPr>
          <w:rFonts w:ascii="Times New Roman" w:hAnsi="Times New Roman"/>
          <w:noProof/>
          <w:sz w:val="24"/>
        </w:rPr>
        <w:t>bkie przyjęcie rozporządzenia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ekoprojektu dla zrównoważonych produktów.</w:t>
      </w:r>
    </w:p>
    <w:p w14:paraId="551F00C9" w14:textId="50A87CC0" w:rsidR="004D0818" w:rsidRPr="002F45D6" w:rsidRDefault="002B4564" w:rsidP="00080DEA">
      <w:pPr>
        <w:spacing w:before="120"/>
        <w:jc w:val="both"/>
        <w:rPr>
          <w:rFonts w:ascii="Times New Roman" w:hAnsi="Times New Roman" w:cs="Times New Roman"/>
          <w:noProof/>
          <w:sz w:val="24"/>
          <w:szCs w:val="24"/>
        </w:rPr>
      </w:pPr>
      <w:r w:rsidRPr="002F45D6">
        <w:rPr>
          <w:rFonts w:ascii="Times New Roman" w:hAnsi="Times New Roman"/>
          <w:noProof/>
          <w:sz w:val="24"/>
        </w:rPr>
        <w:t xml:space="preserve">Należy również zintensyfikować działania na rzecz zapewnienia </w:t>
      </w:r>
      <w:r w:rsidRPr="002F45D6">
        <w:rPr>
          <w:rFonts w:ascii="Times New Roman" w:hAnsi="Times New Roman"/>
          <w:b/>
          <w:noProof/>
          <w:sz w:val="24"/>
        </w:rPr>
        <w:t>obiegu zamkniętego</w:t>
      </w:r>
      <w:r w:rsidRPr="002F45D6">
        <w:rPr>
          <w:rFonts w:ascii="Times New Roman" w:hAnsi="Times New Roman"/>
          <w:noProof/>
          <w:sz w:val="24"/>
        </w:rPr>
        <w:t xml:space="preserve">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sze</w:t>
      </w:r>
      <w:r w:rsidRPr="002F45D6">
        <w:rPr>
          <w:rFonts w:ascii="Times New Roman" w:hAnsi="Times New Roman"/>
          <w:noProof/>
          <w:sz w:val="24"/>
        </w:rPr>
        <w:t>rokim znaczeniu – zarówno w UE, jak</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w:t>
      </w:r>
      <w:r w:rsidR="002F45D6">
        <w:rPr>
          <w:rFonts w:ascii="Times New Roman" w:hAnsi="Times New Roman"/>
          <w:noProof/>
          <w:sz w:val="24"/>
        </w:rPr>
        <w:t> </w:t>
      </w:r>
      <w:r w:rsidR="002F45D6" w:rsidRPr="002F45D6">
        <w:rPr>
          <w:rFonts w:ascii="Times New Roman" w:hAnsi="Times New Roman"/>
          <w:noProof/>
          <w:sz w:val="24"/>
        </w:rPr>
        <w:t>kon</w:t>
      </w:r>
      <w:r w:rsidRPr="002F45D6">
        <w:rPr>
          <w:rFonts w:ascii="Times New Roman" w:hAnsi="Times New Roman"/>
          <w:noProof/>
          <w:sz w:val="24"/>
        </w:rPr>
        <w:t>tekście globalnym</w:t>
      </w:r>
      <w:r w:rsidR="002F45D6" w:rsidRPr="002F45D6">
        <w:rPr>
          <w:rFonts w:ascii="Times New Roman" w:hAnsi="Times New Roman"/>
          <w:noProof/>
          <w:sz w:val="24"/>
        </w:rPr>
        <w:t>. W</w:t>
      </w:r>
      <w:r w:rsidR="002F45D6">
        <w:rPr>
          <w:rFonts w:ascii="Times New Roman" w:hAnsi="Times New Roman"/>
          <w:noProof/>
          <w:sz w:val="24"/>
        </w:rPr>
        <w:t> </w:t>
      </w:r>
      <w:r w:rsidR="002F45D6" w:rsidRPr="002F45D6">
        <w:rPr>
          <w:rFonts w:ascii="Times New Roman" w:hAnsi="Times New Roman"/>
          <w:noProof/>
          <w:sz w:val="24"/>
        </w:rPr>
        <w:t>wym</w:t>
      </w:r>
      <w:r w:rsidRPr="002F45D6">
        <w:rPr>
          <w:rFonts w:ascii="Times New Roman" w:hAnsi="Times New Roman"/>
          <w:noProof/>
          <w:sz w:val="24"/>
        </w:rPr>
        <w:t>iarze wewnętrznym UE powinna dążyć do poziomu recyklingu umożliwiającego produkcję materiałów wtórnych pokrywającą co najmniej 15</w:t>
      </w:r>
      <w:r w:rsidR="002F45D6" w:rsidRPr="002F45D6">
        <w:rPr>
          <w:rFonts w:ascii="Times New Roman" w:hAnsi="Times New Roman"/>
          <w:noProof/>
          <w:sz w:val="24"/>
        </w:rPr>
        <w:t> </w:t>
      </w:r>
      <w:r w:rsidRPr="002F45D6">
        <w:rPr>
          <w:rFonts w:ascii="Times New Roman" w:hAnsi="Times New Roman"/>
          <w:noProof/>
          <w:sz w:val="24"/>
        </w:rPr>
        <w:t>% jej rocznego zużycia, jak określono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 xml:space="preserve">porządzeniu. </w:t>
      </w:r>
    </w:p>
    <w:p w14:paraId="3581BC28" w14:textId="77777777" w:rsidR="00E02C84" w:rsidRPr="002F45D6" w:rsidRDefault="00E02C84" w:rsidP="004D0818">
      <w:pPr>
        <w:spacing w:after="0" w:line="240" w:lineRule="auto"/>
        <w:jc w:val="both"/>
        <w:rPr>
          <w:rFonts w:ascii="Times New Roman" w:hAnsi="Times New Roman" w:cs="Times New Roman"/>
          <w:noProof/>
          <w:sz w:val="24"/>
        </w:rPr>
      </w:pPr>
    </w:p>
    <w:p w14:paraId="3B80A507" w14:textId="37160BE0" w:rsidR="0011153D" w:rsidRPr="002F45D6" w:rsidRDefault="00722A63" w:rsidP="0011153D">
      <w:pPr>
        <w:rPr>
          <w:rFonts w:ascii="Times New Roman" w:hAnsi="Times New Roman" w:cs="Times New Roman"/>
          <w:b/>
          <w:i/>
          <w:iCs/>
          <w:noProof/>
          <w:sz w:val="24"/>
          <w:szCs w:val="24"/>
        </w:rPr>
      </w:pPr>
      <w:r w:rsidRPr="002F45D6">
        <w:rPr>
          <w:rFonts w:ascii="Times New Roman" w:hAnsi="Times New Roman"/>
          <w:b/>
          <w:i/>
          <w:noProof/>
          <w:sz w:val="24"/>
        </w:rPr>
        <w:t xml:space="preserve">IV.1. Kontynuacja bieżących prac UE na rzecz zrównoważonego rozwoju </w:t>
      </w:r>
    </w:p>
    <w:p w14:paraId="417F0D57" w14:textId="271D88EC" w:rsidR="000907C3" w:rsidRPr="002F45D6" w:rsidRDefault="002260C9" w:rsidP="002260C9">
      <w:pPr>
        <w:spacing w:after="0" w:line="240" w:lineRule="auto"/>
        <w:jc w:val="both"/>
        <w:rPr>
          <w:rFonts w:ascii="Times New Roman" w:hAnsi="Times New Roman" w:cs="Times New Roman"/>
          <w:noProof/>
          <w:sz w:val="24"/>
        </w:rPr>
      </w:pPr>
      <w:r w:rsidRPr="002F45D6">
        <w:rPr>
          <w:rFonts w:ascii="Times New Roman" w:hAnsi="Times New Roman"/>
          <w:noProof/>
          <w:sz w:val="24"/>
        </w:rPr>
        <w:t xml:space="preserve">W ciągu ostatnich kilku lat UE odgrywała coraz ważniejszą rolę we </w:t>
      </w:r>
      <w:r w:rsidRPr="002F45D6">
        <w:rPr>
          <w:rFonts w:ascii="Times New Roman" w:hAnsi="Times New Roman"/>
          <w:b/>
          <w:noProof/>
          <w:sz w:val="24"/>
        </w:rPr>
        <w:t>wspieraniu przedsiębiorstw</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zac</w:t>
      </w:r>
      <w:r w:rsidRPr="002F45D6">
        <w:rPr>
          <w:rFonts w:ascii="Times New Roman" w:hAnsi="Times New Roman"/>
          <w:b/>
          <w:noProof/>
          <w:sz w:val="24"/>
        </w:rPr>
        <w:t>hęcaniu ich do odpowiedzialnego prowadzenia działalności</w:t>
      </w:r>
      <w:r w:rsidRPr="002F45D6">
        <w:rPr>
          <w:rFonts w:ascii="Times New Roman" w:hAnsi="Times New Roman"/>
          <w:noProof/>
          <w:sz w:val="24"/>
        </w:rPr>
        <w:t>. UE wprowadziła obszerny pakiet dobrowolnych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obo</w:t>
      </w:r>
      <w:r w:rsidRPr="002F45D6">
        <w:rPr>
          <w:rFonts w:ascii="Times New Roman" w:hAnsi="Times New Roman"/>
          <w:noProof/>
          <w:sz w:val="24"/>
        </w:rPr>
        <w:t>wiązkowych działań promujących społeczną odpowiedzialność przedsiębiorstw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odp</w:t>
      </w:r>
      <w:r w:rsidRPr="002F45D6">
        <w:rPr>
          <w:rFonts w:ascii="Times New Roman" w:hAnsi="Times New Roman"/>
          <w:noProof/>
          <w:sz w:val="24"/>
        </w:rPr>
        <w:t>owiedzialne prowadzenie działalności gospodarczej oraz wdrażających wytyczne ONZ dotyczące biznesu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pra</w:t>
      </w:r>
      <w:r w:rsidRPr="002F45D6">
        <w:rPr>
          <w:rFonts w:ascii="Times New Roman" w:hAnsi="Times New Roman"/>
          <w:noProof/>
          <w:sz w:val="24"/>
        </w:rPr>
        <w:t xml:space="preserve">w człowieka oraz Agendę ONZ na rzecz zrównoważonego rozwoju 2030. </w:t>
      </w:r>
    </w:p>
    <w:p w14:paraId="2EB37DFF" w14:textId="6AB12236" w:rsidR="007A3B2F" w:rsidRPr="002F45D6" w:rsidRDefault="002260C9" w:rsidP="2FD7A655">
      <w:pPr>
        <w:spacing w:before="120"/>
        <w:jc w:val="both"/>
        <w:rPr>
          <w:rFonts w:ascii="Times New Roman" w:hAnsi="Times New Roman" w:cs="Times New Roman"/>
          <w:noProof/>
          <w:sz w:val="24"/>
          <w:szCs w:val="24"/>
        </w:rPr>
      </w:pPr>
      <w:r w:rsidRPr="002F45D6">
        <w:rPr>
          <w:rFonts w:ascii="Times New Roman" w:hAnsi="Times New Roman"/>
          <w:noProof/>
          <w:sz w:val="24"/>
        </w:rPr>
        <w:t>W tym celu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lip</w:t>
      </w:r>
      <w:r w:rsidRPr="002F45D6">
        <w:rPr>
          <w:rFonts w:ascii="Times New Roman" w:hAnsi="Times New Roman"/>
          <w:noProof/>
          <w:sz w:val="24"/>
        </w:rPr>
        <w:t>cu 2021</w:t>
      </w:r>
      <w:r w:rsidR="002F45D6" w:rsidRPr="002F45D6">
        <w:rPr>
          <w:rFonts w:ascii="Times New Roman" w:hAnsi="Times New Roman"/>
          <w:noProof/>
          <w:sz w:val="24"/>
        </w:rPr>
        <w:t> </w:t>
      </w:r>
      <w:r w:rsidRPr="002F45D6">
        <w:rPr>
          <w:rFonts w:ascii="Times New Roman" w:hAnsi="Times New Roman"/>
          <w:noProof/>
          <w:sz w:val="24"/>
        </w:rPr>
        <w:t>r. UE przyjęła wytyczne dotyczące należytej staranności, które mają pomóc unijnym przedsiębiorstwom</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eciwdziałaniu ryzyku pracy przymusowej</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ich</w:t>
      </w:r>
      <w:r w:rsidRPr="002F45D6">
        <w:rPr>
          <w:rFonts w:ascii="Times New Roman" w:hAnsi="Times New Roman"/>
          <w:noProof/>
          <w:sz w:val="24"/>
        </w:rPr>
        <w:t xml:space="preserve"> działalności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cuchach dostaw, zgodnie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nor</w:t>
      </w:r>
      <w:r w:rsidRPr="002F45D6">
        <w:rPr>
          <w:rFonts w:ascii="Times New Roman" w:hAnsi="Times New Roman"/>
          <w:noProof/>
          <w:sz w:val="24"/>
        </w:rPr>
        <w:t>mami międzynarodowymi.</w:t>
      </w:r>
      <w:r w:rsidRPr="002F45D6">
        <w:rPr>
          <w:rStyle w:val="FootnoteReference"/>
          <w:rFonts w:ascii="Times New Roman" w:eastAsia="Arial" w:hAnsi="Times New Roman" w:cs="Times New Roman"/>
          <w:noProof/>
          <w:sz w:val="24"/>
          <w:szCs w:val="24"/>
        </w:rPr>
        <w:footnoteReference w:id="26"/>
      </w:r>
      <w:r w:rsidRPr="002F45D6">
        <w:rPr>
          <w:rFonts w:ascii="Times New Roman" w:hAnsi="Times New Roman"/>
          <w:noProof/>
          <w:sz w:val="24"/>
        </w:rPr>
        <w:t xml:space="preserve"> Dyrektywa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sprawozdawczości przedsiębiorstw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zrównoważonego rozwoju</w:t>
      </w:r>
      <w:r w:rsidRPr="002F45D6">
        <w:rPr>
          <w:rStyle w:val="FootnoteReference"/>
          <w:rFonts w:ascii="Times New Roman" w:hAnsi="Times New Roman" w:cs="Times New Roman"/>
          <w:noProof/>
          <w:sz w:val="24"/>
          <w:szCs w:val="24"/>
        </w:rPr>
        <w:footnoteReference w:id="27"/>
      </w:r>
      <w:r w:rsidRPr="002F45D6">
        <w:rPr>
          <w:rFonts w:ascii="Times New Roman" w:hAnsi="Times New Roman"/>
          <w:noProof/>
          <w:sz w:val="24"/>
        </w:rPr>
        <w:t xml:space="preserve"> (dyrektywa CSRD) zobowiązuje wszystkie duże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not</w:t>
      </w:r>
      <w:r w:rsidRPr="002F45D6">
        <w:rPr>
          <w:rFonts w:ascii="Times New Roman" w:hAnsi="Times New Roman"/>
          <w:noProof/>
          <w:sz w:val="24"/>
        </w:rPr>
        <w:t>owane na giełdzie spółki,</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że niektóre przedsiębiorstwa spoza UE, które przekraczają określone progi przychodów generowanych w UE, do składania sprawozdań na temat ryzyka dla zrównoważonego rozwoju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wpł</w:t>
      </w:r>
      <w:r w:rsidRPr="002F45D6">
        <w:rPr>
          <w:rFonts w:ascii="Times New Roman" w:hAnsi="Times New Roman"/>
          <w:noProof/>
          <w:sz w:val="24"/>
        </w:rPr>
        <w:t>ywu na zrównoważony rozwój zgodnie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uni</w:t>
      </w:r>
      <w:r w:rsidRPr="002F45D6">
        <w:rPr>
          <w:rFonts w:ascii="Times New Roman" w:hAnsi="Times New Roman"/>
          <w:noProof/>
          <w:sz w:val="24"/>
        </w:rPr>
        <w:t>jnymi standardami sprawozdawczości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zrównoważonego rozwoju, które mają zostać przyjęte przez Komisję.</w:t>
      </w:r>
    </w:p>
    <w:p w14:paraId="51C892F8" w14:textId="0381057A" w:rsidR="002260C9" w:rsidRPr="002F45D6" w:rsidRDefault="000907C3" w:rsidP="2FD7A655">
      <w:pPr>
        <w:spacing w:before="120"/>
        <w:jc w:val="both"/>
        <w:rPr>
          <w:rFonts w:ascii="Times New Roman" w:eastAsia="Arial" w:hAnsi="Times New Roman" w:cs="Times New Roman"/>
          <w:noProof/>
          <w:sz w:val="24"/>
          <w:szCs w:val="24"/>
        </w:rPr>
      </w:pPr>
      <w:r w:rsidRPr="002F45D6">
        <w:rPr>
          <w:rFonts w:ascii="Times New Roman" w:hAnsi="Times New Roman"/>
          <w:noProof/>
          <w:sz w:val="24"/>
        </w:rPr>
        <w:t xml:space="preserve">Innymi kluczowymi przykładami odpowiednich </w:t>
      </w:r>
      <w:r w:rsidRPr="002F45D6">
        <w:rPr>
          <w:rFonts w:ascii="Times New Roman" w:hAnsi="Times New Roman"/>
          <w:b/>
          <w:noProof/>
          <w:sz w:val="24"/>
        </w:rPr>
        <w:t>środków UE</w:t>
      </w:r>
      <w:r w:rsidRPr="002F45D6">
        <w:rPr>
          <w:rFonts w:ascii="Times New Roman" w:hAnsi="Times New Roman"/>
          <w:noProof/>
          <w:sz w:val="24"/>
        </w:rPr>
        <w:t xml:space="preserve"> są unijne zasady dotyczące zrównoważonych surowców oraz rozporządzenie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baterii</w:t>
      </w:r>
      <w:r w:rsidRPr="002F45D6">
        <w:rPr>
          <w:rStyle w:val="FootnoteReference"/>
          <w:rFonts w:ascii="Times New Roman" w:hAnsi="Times New Roman" w:cs="Times New Roman"/>
          <w:noProof/>
          <w:sz w:val="24"/>
          <w:szCs w:val="24"/>
        </w:rPr>
        <w:footnoteReference w:id="28"/>
      </w:r>
      <w:r w:rsidRPr="002F45D6">
        <w:rPr>
          <w:rFonts w:ascii="Times New Roman" w:hAnsi="Times New Roman"/>
          <w:noProof/>
          <w:sz w:val="24"/>
        </w:rPr>
        <w:t>. Ponadto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porządzeniu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minerałów</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reg</w:t>
      </w:r>
      <w:r w:rsidRPr="002F45D6">
        <w:rPr>
          <w:rFonts w:ascii="Times New Roman" w:hAnsi="Times New Roman"/>
          <w:noProof/>
          <w:sz w:val="24"/>
        </w:rPr>
        <w:t>ionów ogarniętych konfliktami</w:t>
      </w:r>
      <w:r w:rsidRPr="002F45D6">
        <w:rPr>
          <w:rStyle w:val="FootnoteReference"/>
          <w:rFonts w:ascii="Times New Roman" w:eastAsia="Arial" w:hAnsi="Times New Roman" w:cs="Times New Roman"/>
          <w:noProof/>
          <w:sz w:val="24"/>
          <w:szCs w:val="24"/>
        </w:rPr>
        <w:footnoteReference w:id="29"/>
      </w:r>
      <w:r w:rsidRPr="002F45D6">
        <w:rPr>
          <w:rFonts w:ascii="Times New Roman" w:hAnsi="Times New Roman"/>
          <w:noProof/>
          <w:sz w:val="24"/>
        </w:rPr>
        <w:t xml:space="preserve"> propaguje się obowiązek należytej staranności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cuchu dostaw jako narzędzie identyfikacji ryzyka przyczynienia się do konfliktów zbrojnych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inn</w:t>
      </w:r>
      <w:r w:rsidRPr="002F45D6">
        <w:rPr>
          <w:rFonts w:ascii="Times New Roman" w:hAnsi="Times New Roman"/>
          <w:noProof/>
          <w:sz w:val="24"/>
        </w:rPr>
        <w:t>ych poważnych naruszeń praw człowieka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cuchach wartości cyny, tantalu, wolframu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zło</w:t>
      </w:r>
      <w:r w:rsidRPr="002F45D6">
        <w:rPr>
          <w:rFonts w:ascii="Times New Roman" w:hAnsi="Times New Roman"/>
          <w:noProof/>
          <w:sz w:val="24"/>
        </w:rPr>
        <w:t>ta (tzw.</w:t>
      </w:r>
      <w:r w:rsidR="002F45D6" w:rsidRPr="002F45D6">
        <w:rPr>
          <w:rFonts w:ascii="Times New Roman" w:hAnsi="Times New Roman"/>
          <w:noProof/>
          <w:sz w:val="24"/>
        </w:rPr>
        <w:t> </w:t>
      </w:r>
      <w:r w:rsidRPr="002F45D6">
        <w:rPr>
          <w:rFonts w:ascii="Times New Roman" w:hAnsi="Times New Roman"/>
          <w:noProof/>
          <w:sz w:val="24"/>
        </w:rPr>
        <w:t>3TG). Rozporządzenie opiera się na międzynarodowych normach określonych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wyt</w:t>
      </w:r>
      <w:r w:rsidRPr="002F45D6">
        <w:rPr>
          <w:rFonts w:ascii="Times New Roman" w:hAnsi="Times New Roman"/>
          <w:noProof/>
          <w:sz w:val="24"/>
        </w:rPr>
        <w:t>ycznych OECD dotyczących należytej staranności</w:t>
      </w:r>
      <w:r w:rsidRPr="002F45D6">
        <w:rPr>
          <w:rStyle w:val="FootnoteReference"/>
          <w:rFonts w:ascii="Times New Roman" w:eastAsia="Arial" w:hAnsi="Times New Roman" w:cs="Times New Roman"/>
          <w:noProof/>
          <w:sz w:val="24"/>
          <w:szCs w:val="24"/>
        </w:rPr>
        <w:footnoteReference w:id="30"/>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obe</w:t>
      </w:r>
      <w:r w:rsidRPr="002F45D6">
        <w:rPr>
          <w:rFonts w:ascii="Times New Roman" w:hAnsi="Times New Roman"/>
          <w:noProof/>
          <w:sz w:val="24"/>
        </w:rPr>
        <w:t>jmuje unijnych importerów 3TG. Wymogi należytej staranności mają również pośredni wpływ na huty</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raf</w:t>
      </w:r>
      <w:r w:rsidRPr="002F45D6">
        <w:rPr>
          <w:rFonts w:ascii="Times New Roman" w:hAnsi="Times New Roman"/>
          <w:noProof/>
          <w:sz w:val="24"/>
        </w:rPr>
        <w:t>inerie (w UE), które działają</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łań</w:t>
      </w:r>
      <w:r w:rsidRPr="002F45D6">
        <w:rPr>
          <w:rFonts w:ascii="Times New Roman" w:hAnsi="Times New Roman"/>
          <w:noProof/>
          <w:sz w:val="24"/>
        </w:rPr>
        <w:t xml:space="preserve">cuchach dostaw unijnych importerów 3TG. </w:t>
      </w:r>
    </w:p>
    <w:p w14:paraId="44E219A3" w14:textId="5D2357D4" w:rsidR="001572A9" w:rsidRPr="002F45D6" w:rsidRDefault="002260C9" w:rsidP="00080DEA">
      <w:pPr>
        <w:spacing w:before="120"/>
        <w:jc w:val="both"/>
        <w:rPr>
          <w:rFonts w:ascii="Times New Roman" w:hAnsi="Times New Roman" w:cs="Times New Roman"/>
          <w:noProof/>
          <w:sz w:val="24"/>
          <w:szCs w:val="24"/>
        </w:rPr>
      </w:pPr>
      <w:r w:rsidRPr="002F45D6">
        <w:rPr>
          <w:rFonts w:ascii="Times New Roman" w:hAnsi="Times New Roman"/>
          <w:noProof/>
          <w:sz w:val="24"/>
        </w:rPr>
        <w:t xml:space="preserve">Komisja przedłożyła również kilka </w:t>
      </w:r>
      <w:r w:rsidRPr="002F45D6">
        <w:rPr>
          <w:rFonts w:ascii="Times New Roman" w:hAnsi="Times New Roman"/>
          <w:b/>
          <w:noProof/>
          <w:sz w:val="24"/>
        </w:rPr>
        <w:t>wniosków ustawodawczych</w:t>
      </w:r>
      <w:r w:rsidRPr="002F45D6">
        <w:rPr>
          <w:rFonts w:ascii="Times New Roman" w:hAnsi="Times New Roman"/>
          <w:noProof/>
          <w:sz w:val="24"/>
        </w:rPr>
        <w:t xml:space="preserve"> dotyczących zrównoważonych dostaw surowców krytycznych. Są to m.in.: dyrektywa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należytej staranności przedsiębiorstw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obs</w:t>
      </w:r>
      <w:r w:rsidRPr="002F45D6">
        <w:rPr>
          <w:rFonts w:ascii="Times New Roman" w:hAnsi="Times New Roman"/>
          <w:noProof/>
          <w:sz w:val="24"/>
        </w:rPr>
        <w:t>zarze zrównoważonego rozwoju</w:t>
      </w:r>
      <w:r w:rsidRPr="002F45D6">
        <w:rPr>
          <w:rStyle w:val="FootnoteReference"/>
          <w:rFonts w:ascii="Times New Roman" w:hAnsi="Times New Roman" w:cs="Times New Roman"/>
          <w:bCs/>
          <w:noProof/>
          <w:sz w:val="24"/>
          <w:szCs w:val="24"/>
        </w:rPr>
        <w:footnoteReference w:id="31"/>
      </w:r>
      <w:r w:rsidRPr="002F45D6">
        <w:rPr>
          <w:rFonts w:ascii="Times New Roman" w:hAnsi="Times New Roman"/>
          <w:noProof/>
          <w:sz w:val="24"/>
        </w:rPr>
        <w:t>, rozporządzenie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pracy przymusowej</w:t>
      </w:r>
      <w:r w:rsidRPr="002F45D6">
        <w:rPr>
          <w:rStyle w:val="FootnoteReference"/>
          <w:rFonts w:ascii="Times New Roman" w:hAnsi="Times New Roman"/>
          <w:noProof/>
          <w:sz w:val="24"/>
        </w:rPr>
        <w:footnoteReference w:id="32"/>
      </w:r>
      <w:r w:rsidRPr="002F45D6">
        <w:rPr>
          <w:rFonts w:ascii="Times New Roman" w:hAnsi="Times New Roman"/>
          <w:noProof/>
          <w:sz w:val="24"/>
        </w:rPr>
        <w:t>, rozporządzenie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ekoprojektu dla zrównoważonych produktów, rozporządzenie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baterii</w:t>
      </w:r>
      <w:r w:rsidRPr="002F45D6">
        <w:rPr>
          <w:rStyle w:val="FootnoteReference"/>
          <w:rFonts w:ascii="Times New Roman" w:hAnsi="Times New Roman" w:cs="Times New Roman"/>
          <w:noProof/>
          <w:sz w:val="24"/>
          <w:szCs w:val="24"/>
        </w:rPr>
        <w:footnoteReference w:id="33"/>
      </w:r>
      <w:r w:rsidRPr="002F45D6">
        <w:rPr>
          <w:rFonts w:ascii="Times New Roman" w:hAnsi="Times New Roman"/>
          <w:noProof/>
          <w:sz w:val="24"/>
        </w:rPr>
        <w:t>, dyrektywa zmieniająca dyrektywę ramową wodną, dyrektywa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wód podziemnych, dyrektywa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środowiskowych norm jakości</w:t>
      </w:r>
      <w:r w:rsidRPr="002F45D6">
        <w:rPr>
          <w:rFonts w:ascii="Times New Roman" w:hAnsi="Times New Roman"/>
          <w:noProof/>
          <w:color w:val="000000" w:themeColor="text1"/>
          <w:sz w:val="24"/>
          <w:vertAlign w:val="superscript"/>
        </w:rPr>
        <w:footnoteReference w:id="34"/>
      </w:r>
      <w:r w:rsidRPr="002F45D6">
        <w:rPr>
          <w:rFonts w:ascii="Times New Roman" w:hAnsi="Times New Roman"/>
          <w:noProof/>
          <w:sz w:val="24"/>
        </w:rPr>
        <w:t xml:space="preserve"> oraz zmiana dyrektywy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spr</w:t>
      </w:r>
      <w:r w:rsidRPr="002F45D6">
        <w:rPr>
          <w:rFonts w:ascii="Times New Roman" w:hAnsi="Times New Roman"/>
          <w:noProof/>
          <w:sz w:val="24"/>
        </w:rPr>
        <w:t>awie emisji przemysłowych</w:t>
      </w:r>
      <w:r w:rsidRPr="002F45D6">
        <w:rPr>
          <w:rStyle w:val="FootnoteReference"/>
          <w:rFonts w:ascii="Times New Roman" w:hAnsi="Times New Roman"/>
          <w:noProof/>
          <w:color w:val="000000" w:themeColor="text1"/>
          <w:sz w:val="24"/>
        </w:rPr>
        <w:footnoteReference w:id="35"/>
      </w:r>
      <w:r w:rsidRPr="002F45D6">
        <w:rPr>
          <w:rFonts w:ascii="Times New Roman" w:hAnsi="Times New Roman"/>
          <w:noProof/>
          <w:sz w:val="24"/>
        </w:rPr>
        <w:t xml:space="preserve">. </w:t>
      </w:r>
    </w:p>
    <w:p w14:paraId="2A8470E8" w14:textId="4BEB4E87" w:rsidR="00E02C84" w:rsidRPr="002F45D6" w:rsidRDefault="00E02C84" w:rsidP="00E02C84">
      <w:pPr>
        <w:spacing w:before="120"/>
        <w:jc w:val="both"/>
        <w:rPr>
          <w:rFonts w:ascii="Times New Roman" w:hAnsi="Times New Roman" w:cs="Times New Roman"/>
          <w:noProof/>
          <w:sz w:val="24"/>
          <w:szCs w:val="24"/>
        </w:rPr>
      </w:pPr>
      <w:r w:rsidRPr="002F45D6">
        <w:rPr>
          <w:rFonts w:ascii="Times New Roman" w:hAnsi="Times New Roman"/>
          <w:noProof/>
          <w:sz w:val="24"/>
        </w:rPr>
        <w:t>Jeśli chodzi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zob</w:t>
      </w:r>
      <w:r w:rsidRPr="002F45D6">
        <w:rPr>
          <w:rFonts w:ascii="Times New Roman" w:hAnsi="Times New Roman"/>
          <w:noProof/>
          <w:sz w:val="24"/>
        </w:rPr>
        <w:t>owiązania wielostronne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fak</w:t>
      </w:r>
      <w:r w:rsidRPr="002F45D6">
        <w:rPr>
          <w:rFonts w:ascii="Times New Roman" w:hAnsi="Times New Roman"/>
          <w:noProof/>
          <w:sz w:val="24"/>
        </w:rPr>
        <w:t xml:space="preserve">ultatywne, UE uznaje </w:t>
      </w:r>
      <w:r w:rsidRPr="002F45D6">
        <w:rPr>
          <w:rFonts w:ascii="Times New Roman" w:hAnsi="Times New Roman"/>
          <w:b/>
          <w:noProof/>
          <w:sz w:val="24"/>
        </w:rPr>
        <w:t>znaczenie norm uzgodnionych na szczeblu międzynarodowym</w:t>
      </w:r>
      <w:r w:rsidRPr="002F45D6">
        <w:rPr>
          <w:rFonts w:ascii="Times New Roman" w:hAnsi="Times New Roman"/>
          <w:noProof/>
          <w:sz w:val="24"/>
        </w:rPr>
        <w:t xml:space="preserve"> na potrzeby zapewnienia przewidywalności dla przedsiębiorstw. Działania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odpowiedzialnego prowadzenia działalności gospodarczej są zawarte we wszystkich rozdziałach dotyczących handlu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wnoważonego rozwoju przez odniesienie do norm międzynarodowych. UE aktywnie uczestniczy również</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pra</w:t>
      </w:r>
      <w:r w:rsidRPr="002F45D6">
        <w:rPr>
          <w:rFonts w:ascii="Times New Roman" w:hAnsi="Times New Roman"/>
          <w:noProof/>
          <w:sz w:val="24"/>
        </w:rPr>
        <w:t>cach na rzecz zrównoważonego rozwoju prowadzonych przez organy międzynarodowe, takie jak WTO, OECD, Międzynarodowa Organizacja Pracy (MOP)</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Org</w:t>
      </w:r>
      <w:r w:rsidRPr="002F45D6">
        <w:rPr>
          <w:rFonts w:ascii="Times New Roman" w:hAnsi="Times New Roman"/>
          <w:noProof/>
          <w:sz w:val="24"/>
        </w:rPr>
        <w:t>anizacja Narodów Zjednoczonych (ONZ). Za pomocą odpowiednich środków UE będzie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mia</w:t>
      </w:r>
      <w:r w:rsidRPr="002F45D6">
        <w:rPr>
          <w:rFonts w:ascii="Times New Roman" w:hAnsi="Times New Roman"/>
          <w:noProof/>
          <w:sz w:val="24"/>
        </w:rPr>
        <w:t>rę możliwości wspierać poszanowanie unijnych przepisów dotyczących zrównoważonego rozwoju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nas</w:t>
      </w:r>
      <w:r w:rsidRPr="002F45D6">
        <w:rPr>
          <w:rFonts w:ascii="Times New Roman" w:hAnsi="Times New Roman"/>
          <w:noProof/>
          <w:sz w:val="24"/>
        </w:rPr>
        <w:t>zych krajach partnerskich.</w:t>
      </w:r>
    </w:p>
    <w:p w14:paraId="0E5BA666" w14:textId="701422EC" w:rsidR="00ED4FD3" w:rsidRPr="002F45D6" w:rsidRDefault="00ED4FD3" w:rsidP="00E02C84">
      <w:pPr>
        <w:spacing w:before="120"/>
        <w:jc w:val="both"/>
        <w:rPr>
          <w:rFonts w:ascii="Times New Roman" w:hAnsi="Times New Roman" w:cs="Times New Roman"/>
          <w:noProof/>
          <w:sz w:val="24"/>
          <w:szCs w:val="24"/>
        </w:rPr>
      </w:pPr>
      <w:r w:rsidRPr="002F45D6">
        <w:rPr>
          <w:rFonts w:ascii="Times New Roman" w:hAnsi="Times New Roman"/>
          <w:noProof/>
          <w:sz w:val="24"/>
        </w:rPr>
        <w:t xml:space="preserve">W kontekście </w:t>
      </w:r>
      <w:r w:rsidRPr="002F45D6">
        <w:rPr>
          <w:rFonts w:ascii="Times New Roman" w:hAnsi="Times New Roman"/>
          <w:b/>
          <w:noProof/>
          <w:sz w:val="24"/>
        </w:rPr>
        <w:t>Klubu Surowców Krytycznych</w:t>
      </w:r>
      <w:r w:rsidRPr="002F45D6">
        <w:rPr>
          <w:rFonts w:ascii="Times New Roman" w:hAnsi="Times New Roman"/>
          <w:noProof/>
          <w:sz w:val="24"/>
        </w:rPr>
        <w:t xml:space="preserve"> UE będzie współpracować</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jeg</w:t>
      </w:r>
      <w:r w:rsidRPr="002F45D6">
        <w:rPr>
          <w:rFonts w:ascii="Times New Roman" w:hAnsi="Times New Roman"/>
          <w:noProof/>
          <w:sz w:val="24"/>
        </w:rPr>
        <w:t>o członkami nad opracowaniem międzynarodowych zasad dotyczących ochrony środowiska, polityki społecznej</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ład</w:t>
      </w:r>
      <w:r w:rsidRPr="002F45D6">
        <w:rPr>
          <w:rFonts w:ascii="Times New Roman" w:hAnsi="Times New Roman"/>
          <w:noProof/>
          <w:sz w:val="24"/>
        </w:rPr>
        <w:t>u korporacyjnego. Zasady te mogłyby utorować drogę do opracowania międzynarodowych norm ochrony środowiska, polityki społecznej</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ład</w:t>
      </w:r>
      <w:r w:rsidRPr="002F45D6">
        <w:rPr>
          <w:rFonts w:ascii="Times New Roman" w:hAnsi="Times New Roman"/>
          <w:noProof/>
          <w:sz w:val="24"/>
        </w:rPr>
        <w:t>u korporacyjnego, najlepiej na forum organów międzynarodowych takich jak ISO, MOP, ONZ lub OECD,</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mia</w:t>
      </w:r>
      <w:r w:rsidRPr="002F45D6">
        <w:rPr>
          <w:rFonts w:ascii="Times New Roman" w:hAnsi="Times New Roman"/>
          <w:noProof/>
          <w:sz w:val="24"/>
        </w:rPr>
        <w:t>rę możliwości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opa</w:t>
      </w:r>
      <w:r w:rsidRPr="002F45D6">
        <w:rPr>
          <w:rFonts w:ascii="Times New Roman" w:hAnsi="Times New Roman"/>
          <w:noProof/>
          <w:sz w:val="24"/>
        </w:rPr>
        <w:t>rciu</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ist</w:t>
      </w:r>
      <w:r w:rsidRPr="002F45D6">
        <w:rPr>
          <w:rFonts w:ascii="Times New Roman" w:hAnsi="Times New Roman"/>
          <w:noProof/>
          <w:sz w:val="24"/>
        </w:rPr>
        <w:t>niejącą już inicjatywę międzynarodową.</w:t>
      </w:r>
      <w:r w:rsidRPr="002F45D6">
        <w:rPr>
          <w:noProof/>
        </w:rPr>
        <w:t xml:space="preserve"> </w:t>
      </w:r>
      <w:r w:rsidRPr="002F45D6">
        <w:rPr>
          <w:rFonts w:ascii="Times New Roman" w:hAnsi="Times New Roman"/>
          <w:noProof/>
          <w:sz w:val="24"/>
        </w:rPr>
        <w:t>Zasady te obejmują prawa człowieka,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również prawa pracownicze, zgodnie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wyt</w:t>
      </w:r>
      <w:r w:rsidRPr="002F45D6">
        <w:rPr>
          <w:rFonts w:ascii="Times New Roman" w:hAnsi="Times New Roman"/>
          <w:noProof/>
          <w:sz w:val="24"/>
        </w:rPr>
        <w:t>yczną 12</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wyt</w:t>
      </w:r>
      <w:r w:rsidRPr="002F45D6">
        <w:rPr>
          <w:rFonts w:ascii="Times New Roman" w:hAnsi="Times New Roman"/>
          <w:noProof/>
          <w:sz w:val="24"/>
        </w:rPr>
        <w:t>ycznych ONZ dotyczących biznesu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pra</w:t>
      </w:r>
      <w:r w:rsidRPr="002F45D6">
        <w:rPr>
          <w:rFonts w:ascii="Times New Roman" w:hAnsi="Times New Roman"/>
          <w:noProof/>
          <w:sz w:val="24"/>
        </w:rPr>
        <w:t>w człowieka.</w:t>
      </w:r>
    </w:p>
    <w:p w14:paraId="42D76B74" w14:textId="17EE21BF" w:rsidR="00E02C84" w:rsidRPr="002F45D6" w:rsidRDefault="00E02C84" w:rsidP="00E02C84">
      <w:pPr>
        <w:spacing w:before="120"/>
        <w:jc w:val="both"/>
        <w:rPr>
          <w:rFonts w:ascii="Times New Roman" w:hAnsi="Times New Roman" w:cs="Times New Roman"/>
          <w:noProof/>
          <w:sz w:val="24"/>
          <w:szCs w:val="24"/>
        </w:rPr>
      </w:pPr>
      <w:r w:rsidRPr="002F45D6">
        <w:rPr>
          <w:rFonts w:ascii="Times New Roman" w:hAnsi="Times New Roman"/>
          <w:noProof/>
          <w:sz w:val="24"/>
        </w:rPr>
        <w:t xml:space="preserve">Istnieje również szereg </w:t>
      </w:r>
      <w:r w:rsidRPr="002F45D6">
        <w:rPr>
          <w:rFonts w:ascii="Times New Roman" w:hAnsi="Times New Roman"/>
          <w:b/>
          <w:noProof/>
          <w:sz w:val="24"/>
        </w:rPr>
        <w:t>inicjatyw międzynarodowych ukierunkowanych na przemysł</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dzi</w:t>
      </w:r>
      <w:r w:rsidRPr="002F45D6">
        <w:rPr>
          <w:rFonts w:ascii="Times New Roman" w:hAnsi="Times New Roman"/>
          <w:noProof/>
          <w:sz w:val="24"/>
        </w:rPr>
        <w:t>edzinie zrównoważonego górnictwa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pro</w:t>
      </w:r>
      <w:r w:rsidRPr="002F45D6">
        <w:rPr>
          <w:rFonts w:ascii="Times New Roman" w:hAnsi="Times New Roman"/>
          <w:noProof/>
          <w:sz w:val="24"/>
        </w:rPr>
        <w:t>dukcji surowców</w:t>
      </w:r>
      <w:r w:rsidRPr="002F45D6">
        <w:rPr>
          <w:rStyle w:val="FootnoteReference"/>
          <w:rFonts w:ascii="Times New Roman" w:hAnsi="Times New Roman" w:cs="Times New Roman"/>
          <w:noProof/>
          <w:sz w:val="24"/>
          <w:szCs w:val="24"/>
        </w:rPr>
        <w:footnoteReference w:id="36"/>
      </w:r>
      <w:r w:rsidRPr="002F45D6">
        <w:rPr>
          <w:rFonts w:ascii="Times New Roman" w:hAnsi="Times New Roman"/>
          <w:noProof/>
          <w:sz w:val="24"/>
        </w:rPr>
        <w:t>.</w:t>
      </w:r>
    </w:p>
    <w:p w14:paraId="58DFA988" w14:textId="55F810A0" w:rsidR="008E0E66" w:rsidRPr="002F45D6" w:rsidRDefault="00212923" w:rsidP="008E0E66">
      <w:pPr>
        <w:spacing w:before="120"/>
        <w:jc w:val="both"/>
        <w:rPr>
          <w:rFonts w:ascii="Times New Roman" w:hAnsi="Times New Roman" w:cs="Times New Roman"/>
          <w:noProof/>
          <w:sz w:val="24"/>
          <w:szCs w:val="24"/>
        </w:rPr>
      </w:pPr>
      <w:r w:rsidRPr="002F45D6">
        <w:rPr>
          <w:rFonts w:ascii="Times New Roman" w:hAnsi="Times New Roman"/>
          <w:noProof/>
          <w:sz w:val="24"/>
        </w:rPr>
        <w:t>Jeśli chodzi</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owce krytyczne, które charakteryzują się znacznym śladem środowiskowym,</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porządzeniu przewidziano możliwość wprowadzenia</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yszłości wymogów dotyczących przejrzystości oznaczania śladu środowiskowego dla konkretnych surowców, jeżeli są one niezbędne do realizacji celów środowiskowych UE. Podlegałyby one szczegółowej ocenie skutków,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tym</w:t>
      </w:r>
      <w:r w:rsidRPr="002F45D6">
        <w:rPr>
          <w:rFonts w:ascii="Times New Roman" w:hAnsi="Times New Roman"/>
          <w:noProof/>
          <w:sz w:val="24"/>
        </w:rPr>
        <w:t xml:space="preserve"> konsultacjom</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zai</w:t>
      </w:r>
      <w:r w:rsidRPr="002F45D6">
        <w:rPr>
          <w:rFonts w:ascii="Times New Roman" w:hAnsi="Times New Roman"/>
          <w:noProof/>
          <w:sz w:val="24"/>
        </w:rPr>
        <w:t>nteresowanymi stronami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stwami trzecimi, oraz uwzględniałyby naukowo uzasadnione metody oceny, odpowiednie normy międzynarodowe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ewe</w:t>
      </w:r>
      <w:r w:rsidRPr="002F45D6">
        <w:rPr>
          <w:rFonts w:ascii="Times New Roman" w:hAnsi="Times New Roman"/>
          <w:noProof/>
          <w:sz w:val="24"/>
        </w:rPr>
        <w:t>ntualny negatywny wpływ na przepływy handlowe.</w:t>
      </w:r>
    </w:p>
    <w:p w14:paraId="4A2792E8" w14:textId="7A4B4313" w:rsidR="0011153D" w:rsidRPr="002F45D6" w:rsidRDefault="00722A63" w:rsidP="00AA6C84">
      <w:pPr>
        <w:keepNext/>
        <w:rPr>
          <w:rFonts w:ascii="Times New Roman" w:hAnsi="Times New Roman" w:cs="Times New Roman"/>
          <w:b/>
          <w:i/>
          <w:iCs/>
          <w:noProof/>
          <w:sz w:val="24"/>
          <w:szCs w:val="24"/>
        </w:rPr>
      </w:pPr>
      <w:r w:rsidRPr="002F45D6">
        <w:rPr>
          <w:rFonts w:ascii="Times New Roman" w:hAnsi="Times New Roman"/>
          <w:b/>
          <w:i/>
          <w:noProof/>
          <w:sz w:val="24"/>
        </w:rPr>
        <w:t>IV.2. Proaktywne wykorzystywanie naszych umów handlowych na potrzeby wspierania zrównoważonego rozwoju</w:t>
      </w:r>
      <w:r w:rsidR="002F45D6" w:rsidRPr="002F45D6">
        <w:rPr>
          <w:rFonts w:ascii="Times New Roman" w:hAnsi="Times New Roman"/>
          <w:b/>
          <w:i/>
          <w:noProof/>
          <w:sz w:val="24"/>
        </w:rPr>
        <w:t xml:space="preserve"> </w:t>
      </w:r>
    </w:p>
    <w:p w14:paraId="4291B67D" w14:textId="16B51FAA" w:rsidR="00102EF9" w:rsidRPr="002F45D6" w:rsidRDefault="002260C9" w:rsidP="002260C9">
      <w:pPr>
        <w:spacing w:before="120"/>
        <w:jc w:val="both"/>
        <w:rPr>
          <w:rFonts w:ascii="Times New Roman" w:hAnsi="Times New Roman" w:cs="Times New Roman"/>
          <w:noProof/>
          <w:sz w:val="24"/>
          <w:szCs w:val="24"/>
        </w:rPr>
      </w:pPr>
      <w:r w:rsidRPr="002F45D6">
        <w:rPr>
          <w:rFonts w:ascii="Times New Roman" w:hAnsi="Times New Roman"/>
          <w:noProof/>
          <w:sz w:val="24"/>
        </w:rPr>
        <w:t>Na szczeblu dwustronnym wszystkie niedawno zawarte umowy handlowe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inw</w:t>
      </w:r>
      <w:r w:rsidRPr="002F45D6">
        <w:rPr>
          <w:rFonts w:ascii="Times New Roman" w:hAnsi="Times New Roman"/>
          <w:noProof/>
          <w:sz w:val="24"/>
        </w:rPr>
        <w:t xml:space="preserve">estycyjne zawierają ambitny </w:t>
      </w:r>
      <w:r w:rsidRPr="002F45D6">
        <w:rPr>
          <w:rFonts w:ascii="Times New Roman" w:hAnsi="Times New Roman"/>
          <w:b/>
          <w:noProof/>
          <w:sz w:val="24"/>
        </w:rPr>
        <w:t>rozdział dotyczący handlu</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zró</w:t>
      </w:r>
      <w:r w:rsidRPr="002F45D6">
        <w:rPr>
          <w:rFonts w:ascii="Times New Roman" w:hAnsi="Times New Roman"/>
          <w:b/>
          <w:noProof/>
          <w:sz w:val="24"/>
        </w:rPr>
        <w:t>wnoważonego rozwoju</w:t>
      </w:r>
      <w:r w:rsidRPr="002F45D6">
        <w:rPr>
          <w:rFonts w:ascii="Times New Roman" w:hAnsi="Times New Roman"/>
          <w:noProof/>
          <w:sz w:val="24"/>
        </w:rPr>
        <w:t>. Celem tych rozdziałów jest zapewnienie, aby wzrostowi gospodarczemu towarzyszyła ochrona praw człowieka, godnej pracy, klimatu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śro</w:t>
      </w:r>
      <w:r w:rsidRPr="002F45D6">
        <w:rPr>
          <w:rFonts w:ascii="Times New Roman" w:hAnsi="Times New Roman"/>
          <w:noProof/>
          <w:sz w:val="24"/>
        </w:rPr>
        <w:t>dowiska. Rozdziały dotyczące handlu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wnoważonego rozwoju są wiążące dla partnerów handlowych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odn</w:t>
      </w:r>
      <w:r w:rsidRPr="002F45D6">
        <w:rPr>
          <w:rFonts w:ascii="Times New Roman" w:hAnsi="Times New Roman"/>
          <w:noProof/>
          <w:sz w:val="24"/>
        </w:rPr>
        <w:t>iesieniu do porozumień</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nor</w:t>
      </w:r>
      <w:r w:rsidRPr="002F45D6">
        <w:rPr>
          <w:rFonts w:ascii="Times New Roman" w:hAnsi="Times New Roman"/>
          <w:noProof/>
          <w:sz w:val="24"/>
        </w:rPr>
        <w:t>m międzynarodowych, oraz budują ścisłą współpracę między partnerami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społecznej odpowiedzialności przedsiębiorstw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liczalności. Komisja opublikowała niedawno komunikat</w:t>
      </w:r>
      <w:r w:rsidRPr="002F45D6">
        <w:rPr>
          <w:rStyle w:val="FootnoteReference"/>
          <w:rFonts w:ascii="Times New Roman" w:hAnsi="Times New Roman" w:cs="Times New Roman"/>
          <w:noProof/>
          <w:sz w:val="24"/>
          <w:szCs w:val="24"/>
        </w:rPr>
        <w:footnoteReference w:id="37"/>
      </w:r>
      <w:r w:rsidRPr="002F45D6">
        <w:rPr>
          <w:rFonts w:ascii="Times New Roman" w:hAnsi="Times New Roman"/>
          <w:noProof/>
          <w:sz w:val="24"/>
        </w:rPr>
        <w:t xml:space="preserve"> określający sposoby dalszego uwzględniania zrównoważonego rozwoju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umo</w:t>
      </w:r>
      <w:r w:rsidRPr="002F45D6">
        <w:rPr>
          <w:rFonts w:ascii="Times New Roman" w:hAnsi="Times New Roman"/>
          <w:noProof/>
          <w:sz w:val="24"/>
        </w:rPr>
        <w:t>wach handlowych. Ponadto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nie</w:t>
      </w:r>
      <w:r w:rsidRPr="002F45D6">
        <w:rPr>
          <w:rFonts w:ascii="Times New Roman" w:hAnsi="Times New Roman"/>
          <w:noProof/>
          <w:sz w:val="24"/>
        </w:rPr>
        <w:t>których niedawno zawartych umowach</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wol</w:t>
      </w:r>
      <w:r w:rsidRPr="002F45D6">
        <w:rPr>
          <w:rFonts w:ascii="Times New Roman" w:hAnsi="Times New Roman"/>
          <w:noProof/>
          <w:sz w:val="24"/>
        </w:rPr>
        <w:t>nym handlu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roz</w:t>
      </w:r>
      <w:r w:rsidRPr="002F45D6">
        <w:rPr>
          <w:rFonts w:ascii="Times New Roman" w:hAnsi="Times New Roman"/>
          <w:noProof/>
          <w:sz w:val="24"/>
        </w:rPr>
        <w:t>dziale dotyczącym energii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owców zawarto szczegółowe postanowienia dotyczące zrównoważonego rozwoju. Jak zauważono już powyżej, celem partnerstw strategicznych jest również zrównoważony rozwój.</w:t>
      </w:r>
    </w:p>
    <w:p w14:paraId="6B12A503" w14:textId="7FBDCECF" w:rsidR="00EF6393" w:rsidRPr="002F45D6" w:rsidRDefault="00EF6393" w:rsidP="00EF6393">
      <w:pPr>
        <w:rPr>
          <w:rFonts w:ascii="Times New Roman" w:hAnsi="Times New Roman" w:cs="Times New Roman"/>
          <w:b/>
          <w:i/>
          <w:iCs/>
          <w:noProof/>
          <w:sz w:val="24"/>
          <w:szCs w:val="24"/>
        </w:rPr>
      </w:pPr>
      <w:r w:rsidRPr="002F45D6">
        <w:rPr>
          <w:rFonts w:ascii="Times New Roman" w:hAnsi="Times New Roman"/>
          <w:b/>
          <w:i/>
          <w:noProof/>
          <w:sz w:val="24"/>
        </w:rPr>
        <w:t>IV.3. Obieg zamknięty</w:t>
      </w:r>
    </w:p>
    <w:p w14:paraId="432AAAF5" w14:textId="12EC47EB" w:rsidR="00350B7B" w:rsidRPr="002F45D6" w:rsidRDefault="00350B7B" w:rsidP="00350B7B">
      <w:pPr>
        <w:spacing w:before="120"/>
        <w:jc w:val="both"/>
        <w:rPr>
          <w:rFonts w:ascii="Times New Roman" w:eastAsia="Segoe UI" w:hAnsi="Times New Roman" w:cs="Times New Roman"/>
          <w:noProof/>
          <w:sz w:val="24"/>
          <w:szCs w:val="24"/>
        </w:rPr>
      </w:pPr>
      <w:r w:rsidRPr="002F45D6">
        <w:rPr>
          <w:rFonts w:ascii="Times New Roman" w:hAnsi="Times New Roman"/>
          <w:noProof/>
          <w:sz w:val="24"/>
        </w:rPr>
        <w:t xml:space="preserve">W przypadku większości surowców krytycznych współczynniki </w:t>
      </w:r>
      <w:r w:rsidRPr="002F45D6">
        <w:rPr>
          <w:rFonts w:ascii="Times New Roman" w:hAnsi="Times New Roman"/>
          <w:b/>
          <w:noProof/>
          <w:sz w:val="24"/>
        </w:rPr>
        <w:t>recyklingu</w:t>
      </w:r>
      <w:r w:rsidRPr="002F45D6">
        <w:rPr>
          <w:rFonts w:ascii="Times New Roman" w:hAnsi="Times New Roman"/>
          <w:noProof/>
          <w:sz w:val="24"/>
        </w:rPr>
        <w:t xml:space="preserve"> są obecnie na bardzo niskim poziomie. Zwiększenie wskaźników recyklingu odpadów zawierających surowce krytyczne,</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że propagowanie efektywnego wykorzystania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zas</w:t>
      </w:r>
      <w:r w:rsidRPr="002F45D6">
        <w:rPr>
          <w:rFonts w:ascii="Times New Roman" w:hAnsi="Times New Roman"/>
          <w:noProof/>
          <w:sz w:val="24"/>
        </w:rPr>
        <w:t>tępowania surowców krytycznych, oferuje przynajmniej</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per</w:t>
      </w:r>
      <w:r w:rsidRPr="002F45D6">
        <w:rPr>
          <w:rFonts w:ascii="Times New Roman" w:hAnsi="Times New Roman"/>
          <w:noProof/>
          <w:sz w:val="24"/>
        </w:rPr>
        <w:t>spektywie średnioterminowej duży potencjał</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zmniejszenia zależności, budowania łańcuchów wartości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two</w:t>
      </w:r>
      <w:r w:rsidRPr="002F45D6">
        <w:rPr>
          <w:rFonts w:ascii="Times New Roman" w:hAnsi="Times New Roman"/>
          <w:noProof/>
          <w:sz w:val="24"/>
        </w:rPr>
        <w:t>rzenia miejsc pracy na szczeblu lokalnym (np.</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bra</w:t>
      </w:r>
      <w:r w:rsidRPr="002F45D6">
        <w:rPr>
          <w:rFonts w:ascii="Times New Roman" w:hAnsi="Times New Roman"/>
          <w:noProof/>
          <w:sz w:val="24"/>
        </w:rPr>
        <w:t>nży recyklingu,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bad</w:t>
      </w:r>
      <w:r w:rsidRPr="002F45D6">
        <w:rPr>
          <w:rFonts w:ascii="Times New Roman" w:hAnsi="Times New Roman"/>
          <w:noProof/>
          <w:sz w:val="24"/>
        </w:rPr>
        <w:t>aniach nad zastępowaniem surowców,</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war</w:t>
      </w:r>
      <w:r w:rsidRPr="002F45D6">
        <w:rPr>
          <w:rFonts w:ascii="Times New Roman" w:hAnsi="Times New Roman"/>
          <w:noProof/>
          <w:sz w:val="24"/>
        </w:rPr>
        <w:t xml:space="preserve">sztatach naprawczych). </w:t>
      </w:r>
    </w:p>
    <w:p w14:paraId="56ED4DE6" w14:textId="16DDC30E" w:rsidR="00350B7B" w:rsidRPr="002F45D6" w:rsidRDefault="00350B7B" w:rsidP="00350B7B">
      <w:pPr>
        <w:spacing w:before="120" w:line="257" w:lineRule="auto"/>
        <w:jc w:val="both"/>
        <w:rPr>
          <w:rFonts w:ascii="Times New Roman" w:eastAsia="Segoe UI" w:hAnsi="Times New Roman" w:cs="Times New Roman"/>
          <w:noProof/>
          <w:sz w:val="24"/>
          <w:szCs w:val="24"/>
        </w:rPr>
      </w:pPr>
      <w:r w:rsidRPr="002F45D6">
        <w:rPr>
          <w:rFonts w:ascii="Times New Roman" w:hAnsi="Times New Roman"/>
          <w:noProof/>
          <w:sz w:val="24"/>
        </w:rPr>
        <w:t>Idąc za przykładem nowo powstającej</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Eur</w:t>
      </w:r>
      <w:r w:rsidRPr="002F45D6">
        <w:rPr>
          <w:rFonts w:ascii="Times New Roman" w:hAnsi="Times New Roman"/>
          <w:noProof/>
          <w:sz w:val="24"/>
        </w:rPr>
        <w:t>opie branży recyklingu surowców</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bat</w:t>
      </w:r>
      <w:r w:rsidRPr="002F45D6">
        <w:rPr>
          <w:rFonts w:ascii="Times New Roman" w:hAnsi="Times New Roman"/>
          <w:noProof/>
          <w:sz w:val="24"/>
        </w:rPr>
        <w:t xml:space="preserve">erii, konieczne jest wsparcie innych </w:t>
      </w:r>
      <w:r w:rsidRPr="002F45D6">
        <w:rPr>
          <w:rFonts w:ascii="Times New Roman" w:hAnsi="Times New Roman"/>
          <w:b/>
          <w:noProof/>
          <w:sz w:val="24"/>
        </w:rPr>
        <w:t>technologii recyklingu</w:t>
      </w:r>
      <w:r w:rsidRPr="002F45D6">
        <w:rPr>
          <w:rFonts w:ascii="Times New Roman" w:hAnsi="Times New Roman"/>
          <w:noProof/>
          <w:sz w:val="24"/>
        </w:rPr>
        <w:t xml:space="preserve"> surowców krytycznych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programu „Horyzont Europa” oraz</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syn</w:t>
      </w:r>
      <w:r w:rsidRPr="002F45D6">
        <w:rPr>
          <w:rFonts w:ascii="Times New Roman" w:hAnsi="Times New Roman"/>
          <w:noProof/>
          <w:sz w:val="24"/>
        </w:rPr>
        <w:t>ergii</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pro</w:t>
      </w:r>
      <w:r w:rsidRPr="002F45D6">
        <w:rPr>
          <w:rFonts w:ascii="Times New Roman" w:hAnsi="Times New Roman"/>
          <w:noProof/>
          <w:sz w:val="24"/>
        </w:rPr>
        <w:t>gramami państw członkowskich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badań naukowych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inn</w:t>
      </w:r>
      <w:r w:rsidRPr="002F45D6">
        <w:rPr>
          <w:rFonts w:ascii="Times New Roman" w:hAnsi="Times New Roman"/>
          <w:noProof/>
          <w:sz w:val="24"/>
        </w:rPr>
        <w:t>owacji, oraz zwiększenie skali komercjalizacji technologii opracowanych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lab</w:t>
      </w:r>
      <w:r w:rsidRPr="002F45D6">
        <w:rPr>
          <w:rFonts w:ascii="Times New Roman" w:hAnsi="Times New Roman"/>
          <w:noProof/>
          <w:sz w:val="24"/>
        </w:rPr>
        <w:t xml:space="preserve">oratoriach. </w:t>
      </w:r>
    </w:p>
    <w:p w14:paraId="68D242AD" w14:textId="75EFBD36" w:rsidR="00350B7B" w:rsidRPr="002F45D6" w:rsidRDefault="00350B7B" w:rsidP="00350B7B">
      <w:pPr>
        <w:spacing w:before="120" w:line="257" w:lineRule="auto"/>
        <w:jc w:val="both"/>
        <w:rPr>
          <w:rFonts w:ascii="Times New Roman" w:eastAsia="Segoe UI" w:hAnsi="Times New Roman" w:cs="Times New Roman"/>
          <w:noProof/>
          <w:sz w:val="24"/>
          <w:szCs w:val="24"/>
        </w:rPr>
      </w:pPr>
      <w:r w:rsidRPr="002F45D6">
        <w:rPr>
          <w:rFonts w:ascii="Times New Roman" w:hAnsi="Times New Roman"/>
          <w:noProof/>
          <w:sz w:val="24"/>
        </w:rPr>
        <w:t>Chociaż istnieją różnice między poszczególnymi surowcami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ich</w:t>
      </w:r>
      <w:r w:rsidRPr="002F45D6">
        <w:rPr>
          <w:rFonts w:ascii="Times New Roman" w:hAnsi="Times New Roman"/>
          <w:noProof/>
          <w:sz w:val="24"/>
        </w:rPr>
        <w:t xml:space="preserve"> zastosowaniami, pewne </w:t>
      </w:r>
      <w:r w:rsidRPr="002F45D6">
        <w:rPr>
          <w:rFonts w:ascii="Times New Roman" w:hAnsi="Times New Roman"/>
          <w:b/>
          <w:noProof/>
          <w:sz w:val="24"/>
        </w:rPr>
        <w:t>wyzwania</w:t>
      </w:r>
      <w:r w:rsidRPr="002F45D6">
        <w:rPr>
          <w:rFonts w:ascii="Times New Roman" w:hAnsi="Times New Roman"/>
          <w:noProof/>
          <w:sz w:val="24"/>
        </w:rPr>
        <w:t xml:space="preserve"> są wspólne, np. fakt, że produkty często nie są zaprojektowane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spo</w:t>
      </w:r>
      <w:r w:rsidRPr="002F45D6">
        <w:rPr>
          <w:rFonts w:ascii="Times New Roman" w:hAnsi="Times New Roman"/>
          <w:noProof/>
          <w:sz w:val="24"/>
        </w:rPr>
        <w:t>sób umożliwiający dostęp</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łat</w:t>
      </w:r>
      <w:r w:rsidRPr="002F45D6">
        <w:rPr>
          <w:rFonts w:ascii="Times New Roman" w:hAnsi="Times New Roman"/>
          <w:noProof/>
          <w:sz w:val="24"/>
        </w:rPr>
        <w:t>we usunięcie elementów bogatych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owce krytyczne (takich jak magnesy trwałe</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met</w:t>
      </w:r>
      <w:r w:rsidRPr="002F45D6">
        <w:rPr>
          <w:rFonts w:ascii="Times New Roman" w:hAnsi="Times New Roman"/>
          <w:noProof/>
          <w:sz w:val="24"/>
        </w:rPr>
        <w:t>ali ziem rzadkich), oraz brak informacji na temat obecności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skł</w:t>
      </w:r>
      <w:r w:rsidRPr="002F45D6">
        <w:rPr>
          <w:rFonts w:ascii="Times New Roman" w:hAnsi="Times New Roman"/>
          <w:noProof/>
          <w:sz w:val="24"/>
        </w:rPr>
        <w:t>adu chemicznego komponentów. Ponadto brak jest ukierunkowanego zbierania, przetwarzania</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rec</w:t>
      </w:r>
      <w:r w:rsidRPr="002F45D6">
        <w:rPr>
          <w:rFonts w:ascii="Times New Roman" w:hAnsi="Times New Roman"/>
          <w:noProof/>
          <w:sz w:val="24"/>
        </w:rPr>
        <w:t>yklingu produktów</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kom</w:t>
      </w:r>
      <w:r w:rsidRPr="002F45D6">
        <w:rPr>
          <w:rFonts w:ascii="Times New Roman" w:hAnsi="Times New Roman"/>
          <w:noProof/>
          <w:sz w:val="24"/>
        </w:rPr>
        <w:t>ponentów bogatych</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 xml:space="preserve">owce krytyczne. Aby sprostać tym wyzwaniom, na szczeblu UE opracowane zostaną wspólne rozwiązania. </w:t>
      </w:r>
    </w:p>
    <w:p w14:paraId="4BBEAEBD" w14:textId="25582F15" w:rsidR="004B2EFC" w:rsidRPr="002F45D6" w:rsidRDefault="00350B7B" w:rsidP="00350B7B">
      <w:pPr>
        <w:autoSpaceDE w:val="0"/>
        <w:autoSpaceDN w:val="0"/>
        <w:jc w:val="both"/>
        <w:rPr>
          <w:rFonts w:ascii="Times New Roman" w:eastAsia="Segoe UI" w:hAnsi="Times New Roman" w:cs="Times New Roman"/>
          <w:noProof/>
          <w:sz w:val="24"/>
          <w:szCs w:val="24"/>
        </w:rPr>
      </w:pPr>
      <w:r w:rsidRPr="002F45D6">
        <w:rPr>
          <w:rFonts w:ascii="Times New Roman" w:hAnsi="Times New Roman"/>
          <w:b/>
          <w:noProof/>
          <w:sz w:val="24"/>
        </w:rPr>
        <w:t>Efektywność ekonomiczna</w:t>
      </w:r>
      <w:r w:rsidRPr="002F45D6">
        <w:rPr>
          <w:rFonts w:ascii="Times New Roman" w:hAnsi="Times New Roman"/>
          <w:noProof/>
          <w:sz w:val="24"/>
        </w:rPr>
        <w:t xml:space="preserve"> jest kluczowym wyzwaniem dla niektórych procesów recyklingu,</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szc</w:t>
      </w:r>
      <w:r w:rsidRPr="002F45D6">
        <w:rPr>
          <w:rFonts w:ascii="Times New Roman" w:hAnsi="Times New Roman"/>
          <w:noProof/>
          <w:sz w:val="24"/>
        </w:rPr>
        <w:t>zególności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odn</w:t>
      </w:r>
      <w:r w:rsidRPr="002F45D6">
        <w:rPr>
          <w:rFonts w:ascii="Times New Roman" w:hAnsi="Times New Roman"/>
          <w:noProof/>
          <w:sz w:val="24"/>
        </w:rPr>
        <w:t>iesieniu do recyklingu surowców krytycznych, gdzie procesy segregacji są na ogół bardziej złożone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ilo</w:t>
      </w:r>
      <w:r w:rsidRPr="002F45D6">
        <w:rPr>
          <w:rFonts w:ascii="Times New Roman" w:hAnsi="Times New Roman"/>
          <w:noProof/>
          <w:sz w:val="24"/>
        </w:rPr>
        <w:t>ści możliwe do odzyskania są mniejsze niż</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prz</w:t>
      </w:r>
      <w:r w:rsidRPr="002F45D6">
        <w:rPr>
          <w:rFonts w:ascii="Times New Roman" w:hAnsi="Times New Roman"/>
          <w:noProof/>
          <w:sz w:val="24"/>
        </w:rPr>
        <w:t>ypadku metali nieszlachetnych. Rosnąca dostępność odpadów nadających się do recyklingu, postępy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zak</w:t>
      </w:r>
      <w:r w:rsidRPr="002F45D6">
        <w:rPr>
          <w:rFonts w:ascii="Times New Roman" w:hAnsi="Times New Roman"/>
          <w:noProof/>
          <w:sz w:val="24"/>
        </w:rPr>
        <w:t>resie technologii recyklingu</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now</w:t>
      </w:r>
      <w:r w:rsidRPr="002F45D6">
        <w:rPr>
          <w:rFonts w:ascii="Times New Roman" w:hAnsi="Times New Roman"/>
          <w:noProof/>
          <w:sz w:val="24"/>
        </w:rPr>
        <w:t>e modele biznesowe powinny</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nad</w:t>
      </w:r>
      <w:r w:rsidRPr="002F45D6">
        <w:rPr>
          <w:rFonts w:ascii="Times New Roman" w:hAnsi="Times New Roman"/>
          <w:noProof/>
          <w:sz w:val="24"/>
        </w:rPr>
        <w:t>chodzących dziesięcioleciach obniżyć koszty, natomiast rosnące ceny surowców pierwotnych</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got</w:t>
      </w:r>
      <w:r w:rsidRPr="002F45D6">
        <w:rPr>
          <w:rFonts w:ascii="Times New Roman" w:hAnsi="Times New Roman"/>
          <w:noProof/>
          <w:sz w:val="24"/>
        </w:rPr>
        <w:t>owość do poniesienia kosztów obniżenia śladu środowiskowego powinny jeszcze bardziej zmniejszyć lukę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ren</w:t>
      </w:r>
      <w:r w:rsidRPr="002F45D6">
        <w:rPr>
          <w:rFonts w:ascii="Times New Roman" w:hAnsi="Times New Roman"/>
          <w:noProof/>
          <w:sz w:val="24"/>
        </w:rPr>
        <w:t>towności. Istnieje jednak potrzeba znacznego wsparcia finansowego dla projektów recyklingowych, biorąc pod uwagę ich innowacyjny charakter</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eko</w:t>
      </w:r>
      <w:r w:rsidRPr="002F45D6">
        <w:rPr>
          <w:rFonts w:ascii="Times New Roman" w:hAnsi="Times New Roman"/>
          <w:noProof/>
          <w:sz w:val="24"/>
        </w:rPr>
        <w:t xml:space="preserve">logiczne efekty zewnętrzne zużycia surowców pierwotnych. </w:t>
      </w:r>
    </w:p>
    <w:p w14:paraId="6554C3AF" w14:textId="4527326F" w:rsidR="00350B7B" w:rsidRPr="002F45D6" w:rsidRDefault="00350B7B" w:rsidP="00350B7B">
      <w:pPr>
        <w:autoSpaceDE w:val="0"/>
        <w:autoSpaceDN w:val="0"/>
        <w:jc w:val="both"/>
        <w:rPr>
          <w:rFonts w:ascii="Times New Roman" w:eastAsia="Segoe UI" w:hAnsi="Times New Roman" w:cs="Times New Roman"/>
          <w:noProof/>
          <w:sz w:val="24"/>
          <w:szCs w:val="24"/>
        </w:rPr>
      </w:pPr>
      <w:r w:rsidRPr="002F45D6">
        <w:rPr>
          <w:rFonts w:ascii="Times New Roman" w:hAnsi="Times New Roman"/>
          <w:noProof/>
          <w:sz w:val="24"/>
        </w:rPr>
        <w:t xml:space="preserve">Ważne jest również, aby </w:t>
      </w:r>
      <w:r w:rsidRPr="002F45D6">
        <w:rPr>
          <w:rFonts w:ascii="Times New Roman" w:hAnsi="Times New Roman"/>
          <w:b/>
          <w:noProof/>
          <w:sz w:val="24"/>
        </w:rPr>
        <w:t>odpady</w:t>
      </w:r>
      <w:r w:rsidR="002F45D6" w:rsidRPr="002F45D6">
        <w:rPr>
          <w:rFonts w:ascii="Times New Roman" w:hAnsi="Times New Roman"/>
          <w:b/>
          <w:noProof/>
          <w:sz w:val="24"/>
        </w:rPr>
        <w:t xml:space="preserve"> i</w:t>
      </w:r>
      <w:r w:rsidR="002F45D6">
        <w:rPr>
          <w:rFonts w:ascii="Times New Roman" w:hAnsi="Times New Roman"/>
          <w:b/>
          <w:noProof/>
          <w:sz w:val="24"/>
        </w:rPr>
        <w:t> </w:t>
      </w:r>
      <w:r w:rsidR="002F45D6" w:rsidRPr="002F45D6">
        <w:rPr>
          <w:rFonts w:ascii="Times New Roman" w:hAnsi="Times New Roman"/>
          <w:b/>
          <w:noProof/>
          <w:sz w:val="24"/>
        </w:rPr>
        <w:t>sur</w:t>
      </w:r>
      <w:r w:rsidRPr="002F45D6">
        <w:rPr>
          <w:rFonts w:ascii="Times New Roman" w:hAnsi="Times New Roman"/>
          <w:b/>
          <w:noProof/>
          <w:sz w:val="24"/>
        </w:rPr>
        <w:t>owce wtórne mogły być przemieszczane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obr</w:t>
      </w:r>
      <w:r w:rsidRPr="002F45D6">
        <w:rPr>
          <w:rFonts w:ascii="Times New Roman" w:hAnsi="Times New Roman"/>
          <w:noProof/>
          <w:sz w:val="24"/>
        </w:rPr>
        <w:t>ębie UE bez zbędnych obciążeń. Nowe przepisy dotyczące przemieszczania odpadów, zaproponowane przez Komisję</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2</w:t>
      </w:r>
      <w:r w:rsidRPr="002F45D6">
        <w:rPr>
          <w:rFonts w:ascii="Times New Roman" w:hAnsi="Times New Roman"/>
          <w:noProof/>
          <w:sz w:val="24"/>
        </w:rPr>
        <w:t>021</w:t>
      </w:r>
      <w:r w:rsidR="002F45D6" w:rsidRPr="002F45D6">
        <w:rPr>
          <w:rFonts w:ascii="Times New Roman" w:hAnsi="Times New Roman"/>
          <w:noProof/>
          <w:sz w:val="24"/>
        </w:rPr>
        <w:t> </w:t>
      </w:r>
      <w:r w:rsidRPr="002F45D6">
        <w:rPr>
          <w:rFonts w:ascii="Times New Roman" w:hAnsi="Times New Roman"/>
          <w:noProof/>
          <w:sz w:val="24"/>
        </w:rPr>
        <w:t>r., ułatwią przemieszczanie odpadów do recyklingu dzięki cyfryzacji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usp</w:t>
      </w:r>
      <w:r w:rsidRPr="002F45D6">
        <w:rPr>
          <w:rFonts w:ascii="Times New Roman" w:hAnsi="Times New Roman"/>
          <w:noProof/>
          <w:sz w:val="24"/>
        </w:rPr>
        <w:t>rawnieniu procedur.</w:t>
      </w:r>
    </w:p>
    <w:p w14:paraId="7FE3EC6F" w14:textId="5EFA2D28" w:rsidR="00350B7B" w:rsidRPr="002F45D6" w:rsidRDefault="00A97E95" w:rsidP="00350B7B">
      <w:pPr>
        <w:spacing w:before="120"/>
        <w:jc w:val="both"/>
        <w:rPr>
          <w:rFonts w:ascii="Times New Roman" w:hAnsi="Times New Roman" w:cs="Times New Roman"/>
          <w:noProof/>
          <w:sz w:val="24"/>
          <w:szCs w:val="24"/>
        </w:rPr>
      </w:pPr>
      <w:r w:rsidRPr="002F45D6">
        <w:rPr>
          <w:rFonts w:ascii="Times New Roman" w:hAnsi="Times New Roman"/>
          <w:noProof/>
          <w:sz w:val="24"/>
        </w:rPr>
        <w:t>Inicjatywy na rzecz obiegu zamkniętego powinny być</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cor</w:t>
      </w:r>
      <w:r w:rsidRPr="002F45D6">
        <w:rPr>
          <w:rFonts w:ascii="Times New Roman" w:hAnsi="Times New Roman"/>
          <w:noProof/>
          <w:sz w:val="24"/>
        </w:rPr>
        <w:t>az większym stopniu realizowane</w:t>
      </w:r>
      <w:r w:rsidR="002F45D6" w:rsidRPr="002F45D6">
        <w:rPr>
          <w:rFonts w:ascii="Times New Roman" w:hAnsi="Times New Roman"/>
          <w:noProof/>
          <w:sz w:val="24"/>
        </w:rPr>
        <w:t xml:space="preserve"> </w:t>
      </w:r>
      <w:r w:rsidR="002F45D6" w:rsidRPr="002F45D6">
        <w:rPr>
          <w:rFonts w:ascii="Times New Roman" w:hAnsi="Times New Roman"/>
          <w:b/>
          <w:noProof/>
          <w:sz w:val="24"/>
        </w:rPr>
        <w:t>w</w:t>
      </w:r>
      <w:r w:rsidR="002F45D6">
        <w:rPr>
          <w:rFonts w:ascii="Times New Roman" w:hAnsi="Times New Roman"/>
          <w:noProof/>
          <w:sz w:val="24"/>
        </w:rPr>
        <w:t> </w:t>
      </w:r>
      <w:r w:rsidR="002F45D6" w:rsidRPr="002F45D6">
        <w:rPr>
          <w:rFonts w:ascii="Times New Roman" w:hAnsi="Times New Roman"/>
          <w:b/>
          <w:noProof/>
          <w:sz w:val="24"/>
        </w:rPr>
        <w:t>ska</w:t>
      </w:r>
      <w:r w:rsidRPr="002F45D6">
        <w:rPr>
          <w:rFonts w:ascii="Times New Roman" w:hAnsi="Times New Roman"/>
          <w:b/>
          <w:noProof/>
          <w:sz w:val="24"/>
        </w:rPr>
        <w:t>li międzynarodowej</w:t>
      </w:r>
      <w:r w:rsidRPr="002F45D6">
        <w:rPr>
          <w:rFonts w:ascii="Times New Roman" w:hAnsi="Times New Roman"/>
          <w:noProof/>
          <w:sz w:val="24"/>
        </w:rPr>
        <w:t xml:space="preserve"> wraz</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nas</w:t>
      </w:r>
      <w:r w:rsidRPr="002F45D6">
        <w:rPr>
          <w:rFonts w:ascii="Times New Roman" w:hAnsi="Times New Roman"/>
          <w:noProof/>
          <w:sz w:val="24"/>
        </w:rPr>
        <w:t>zymi partnerami handlowymi, na przykład</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ram</w:t>
      </w:r>
      <w:r w:rsidRPr="002F45D6">
        <w:rPr>
          <w:rFonts w:ascii="Times New Roman" w:hAnsi="Times New Roman"/>
          <w:noProof/>
          <w:sz w:val="24"/>
        </w:rPr>
        <w:t>ach partnerstwa strategicznego lub umowy</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wol</w:t>
      </w:r>
      <w:r w:rsidRPr="002F45D6">
        <w:rPr>
          <w:rFonts w:ascii="Times New Roman" w:hAnsi="Times New Roman"/>
          <w:noProof/>
          <w:sz w:val="24"/>
        </w:rPr>
        <w:t>nym handlu.</w:t>
      </w:r>
      <w:r w:rsidRPr="002F45D6">
        <w:rPr>
          <w:rFonts w:ascii="Times New Roman" w:hAnsi="Times New Roman"/>
          <w:b/>
          <w:noProof/>
          <w:sz w:val="24"/>
        </w:rPr>
        <w:t xml:space="preserve"> </w:t>
      </w:r>
      <w:r w:rsidRPr="002F45D6">
        <w:rPr>
          <w:rFonts w:ascii="Times New Roman" w:hAnsi="Times New Roman"/>
          <w:noProof/>
          <w:sz w:val="24"/>
        </w:rPr>
        <w:t>Obszary współpracy obejmują współpracę regulacyjną oraz utworzenie zintegrowanego rynku materiałów przeznaczonych do recyklingu.</w:t>
      </w:r>
    </w:p>
    <w:p w14:paraId="65F252B0" w14:textId="68E763A6" w:rsidR="00350B7B" w:rsidRPr="002F45D6" w:rsidRDefault="00350B7B" w:rsidP="00080DEA">
      <w:pPr>
        <w:keepNext/>
        <w:spacing w:before="120" w:line="257" w:lineRule="auto"/>
        <w:jc w:val="both"/>
        <w:rPr>
          <w:rFonts w:ascii="Times New Roman" w:hAnsi="Times New Roman" w:cs="Times New Roman"/>
          <w:i/>
          <w:noProof/>
          <w:sz w:val="24"/>
        </w:rPr>
      </w:pPr>
      <w:r w:rsidRPr="002F45D6">
        <w:rPr>
          <w:rFonts w:ascii="Times New Roman" w:hAnsi="Times New Roman"/>
          <w:i/>
          <w:noProof/>
          <w:sz w:val="24"/>
        </w:rPr>
        <w:t>Komisja:</w:t>
      </w:r>
    </w:p>
    <w:p w14:paraId="1C5B073A" w14:textId="1415DEDC" w:rsidR="00350B7B" w:rsidRPr="002F45D6"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sidRPr="002F45D6">
        <w:rPr>
          <w:rFonts w:ascii="Times New Roman" w:hAnsi="Times New Roman"/>
          <w:i/>
          <w:noProof/>
          <w:sz w:val="24"/>
        </w:rPr>
        <w:t>w czerwcu 2023</w:t>
      </w:r>
      <w:r w:rsidR="002F45D6" w:rsidRPr="002F45D6">
        <w:rPr>
          <w:rFonts w:ascii="Times New Roman" w:hAnsi="Times New Roman"/>
          <w:i/>
          <w:noProof/>
          <w:sz w:val="24"/>
        </w:rPr>
        <w:t> </w:t>
      </w:r>
      <w:r w:rsidRPr="002F45D6">
        <w:rPr>
          <w:rFonts w:ascii="Times New Roman" w:hAnsi="Times New Roman"/>
          <w:i/>
          <w:noProof/>
          <w:sz w:val="24"/>
        </w:rPr>
        <w:t>r. zaproponuje przegląd dyrektywy</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spr</w:t>
      </w:r>
      <w:r w:rsidRPr="002F45D6">
        <w:rPr>
          <w:rFonts w:ascii="Times New Roman" w:hAnsi="Times New Roman"/>
          <w:i/>
          <w:noProof/>
          <w:sz w:val="24"/>
        </w:rPr>
        <w:t>awie pojazdów wycofanych</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eks</w:t>
      </w:r>
      <w:r w:rsidRPr="002F45D6">
        <w:rPr>
          <w:rFonts w:ascii="Times New Roman" w:hAnsi="Times New Roman"/>
          <w:i/>
          <w:noProof/>
          <w:sz w:val="24"/>
        </w:rPr>
        <w:t>ploatacji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uwzględnienia szczegółowych wymogów dotyczących projektowania pojazdów</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ich</w:t>
      </w:r>
      <w:r w:rsidRPr="002F45D6">
        <w:rPr>
          <w:rFonts w:ascii="Times New Roman" w:hAnsi="Times New Roman"/>
          <w:i/>
          <w:noProof/>
          <w:sz w:val="24"/>
        </w:rPr>
        <w:t xml:space="preserve"> wycofywania</w:t>
      </w:r>
      <w:r w:rsidR="002F45D6" w:rsidRPr="002F45D6">
        <w:rPr>
          <w:rFonts w:ascii="Times New Roman" w:hAnsi="Times New Roman"/>
          <w:i/>
          <w:noProof/>
          <w:sz w:val="24"/>
        </w:rPr>
        <w:t xml:space="preserve"> z</w:t>
      </w:r>
      <w:r w:rsidR="002F45D6">
        <w:rPr>
          <w:rFonts w:ascii="Times New Roman" w:hAnsi="Times New Roman"/>
          <w:i/>
          <w:noProof/>
          <w:sz w:val="24"/>
        </w:rPr>
        <w:t> </w:t>
      </w:r>
      <w:r w:rsidR="002F45D6" w:rsidRPr="002F45D6">
        <w:rPr>
          <w:rFonts w:ascii="Times New Roman" w:hAnsi="Times New Roman"/>
          <w:i/>
          <w:noProof/>
          <w:sz w:val="24"/>
        </w:rPr>
        <w:t>eks</w:t>
      </w:r>
      <w:r w:rsidRPr="002F45D6">
        <w:rPr>
          <w:rFonts w:ascii="Times New Roman" w:hAnsi="Times New Roman"/>
          <w:i/>
          <w:noProof/>
          <w:sz w:val="24"/>
        </w:rPr>
        <w:t xml:space="preserve">ploatacji, ze szczególnym uwzględnieniem odzyskiwania surowców krytycznych, </w:t>
      </w:r>
    </w:p>
    <w:p w14:paraId="6B30F503" w14:textId="33F6CA6A" w:rsidR="00350B7B" w:rsidRPr="002F45D6"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sidRPr="002F45D6">
        <w:rPr>
          <w:rFonts w:ascii="Times New Roman" w:hAnsi="Times New Roman"/>
          <w:i/>
          <w:noProof/>
          <w:sz w:val="24"/>
        </w:rPr>
        <w:t>przedstawi państwom członkowskim zalecenia</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spr</w:t>
      </w:r>
      <w:r w:rsidRPr="002F45D6">
        <w:rPr>
          <w:rFonts w:ascii="Times New Roman" w:hAnsi="Times New Roman"/>
          <w:i/>
          <w:noProof/>
          <w:sz w:val="24"/>
        </w:rPr>
        <w:t>awie środków ukierunkowanych na małą elektronikę użytkową bogatą</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sur</w:t>
      </w:r>
      <w:r w:rsidRPr="002F45D6">
        <w:rPr>
          <w:rFonts w:ascii="Times New Roman" w:hAnsi="Times New Roman"/>
          <w:i/>
          <w:noProof/>
          <w:sz w:val="24"/>
        </w:rPr>
        <w:t>owce krytyczne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poprawy zwrotu</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odb</w:t>
      </w:r>
      <w:r w:rsidRPr="002F45D6">
        <w:rPr>
          <w:rFonts w:ascii="Times New Roman" w:hAnsi="Times New Roman"/>
          <w:i/>
          <w:noProof/>
          <w:sz w:val="24"/>
        </w:rPr>
        <w:t>ioru używanych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zuż</w:t>
      </w:r>
      <w:r w:rsidRPr="002F45D6">
        <w:rPr>
          <w:rFonts w:ascii="Times New Roman" w:hAnsi="Times New Roman"/>
          <w:i/>
          <w:noProof/>
          <w:sz w:val="24"/>
        </w:rPr>
        <w:t>ytych telefonów komórkowych, tabletów</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lap</w:t>
      </w:r>
      <w:r w:rsidRPr="002F45D6">
        <w:rPr>
          <w:rFonts w:ascii="Times New Roman" w:hAnsi="Times New Roman"/>
          <w:i/>
          <w:noProof/>
          <w:sz w:val="24"/>
        </w:rPr>
        <w:t>topów,</w:t>
      </w:r>
    </w:p>
    <w:p w14:paraId="50347617" w14:textId="31C798D6" w:rsidR="00350B7B" w:rsidRPr="002F45D6" w:rsidRDefault="00350B7B" w:rsidP="00080DEA">
      <w:pPr>
        <w:pStyle w:val="ListParagraph"/>
        <w:numPr>
          <w:ilvl w:val="0"/>
          <w:numId w:val="60"/>
        </w:numPr>
        <w:jc w:val="both"/>
        <w:rPr>
          <w:rFonts w:ascii="Times New Roman" w:eastAsia="Segoe UI" w:hAnsi="Times New Roman" w:cs="Times New Roman"/>
          <w:i/>
          <w:noProof/>
          <w:sz w:val="24"/>
          <w:szCs w:val="24"/>
        </w:rPr>
      </w:pPr>
      <w:r w:rsidRPr="002F45D6">
        <w:rPr>
          <w:rFonts w:ascii="Times New Roman" w:hAnsi="Times New Roman"/>
          <w:i/>
          <w:noProof/>
          <w:sz w:val="24"/>
        </w:rPr>
        <w:t>w 2024</w:t>
      </w:r>
      <w:r w:rsidR="002F45D6" w:rsidRPr="002F45D6">
        <w:rPr>
          <w:rFonts w:ascii="Times New Roman" w:hAnsi="Times New Roman"/>
          <w:i/>
          <w:noProof/>
          <w:sz w:val="24"/>
        </w:rPr>
        <w:t> </w:t>
      </w:r>
      <w:r w:rsidRPr="002F45D6">
        <w:rPr>
          <w:rFonts w:ascii="Times New Roman" w:hAnsi="Times New Roman"/>
          <w:i/>
          <w:noProof/>
          <w:sz w:val="24"/>
        </w:rPr>
        <w:t>r. zaproponuje włączenie kodów odpadów dla baterii litowo-jonowych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poś</w:t>
      </w:r>
      <w:r w:rsidRPr="002F45D6">
        <w:rPr>
          <w:rFonts w:ascii="Times New Roman" w:hAnsi="Times New Roman"/>
          <w:i/>
          <w:noProof/>
          <w:sz w:val="24"/>
        </w:rPr>
        <w:t xml:space="preserve">rednich strumieni odpadów do europejskiego wykazu odpadów, aby zapewnić ich odpowiedni recykling w UE, </w:t>
      </w:r>
    </w:p>
    <w:p w14:paraId="07A32FE5" w14:textId="7C73A3F2" w:rsidR="00350B7B" w:rsidRPr="002F45D6"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sidRPr="002F45D6">
        <w:rPr>
          <w:rFonts w:ascii="Times New Roman" w:hAnsi="Times New Roman"/>
          <w:i/>
          <w:noProof/>
          <w:sz w:val="24"/>
        </w:rPr>
        <w:t>w ramach wdrażania przepisów UE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ekoprojektu</w:t>
      </w:r>
      <w:r w:rsidRPr="002F45D6">
        <w:rPr>
          <w:rFonts w:ascii="Times New Roman" w:eastAsia="Segoe UI" w:hAnsi="Times New Roman" w:cs="Times New Roman"/>
          <w:i/>
          <w:noProof/>
          <w:sz w:val="24"/>
          <w:szCs w:val="24"/>
          <w:vertAlign w:val="superscript"/>
        </w:rPr>
        <w:footnoteReference w:id="38"/>
      </w:r>
      <w:r w:rsidRPr="002F45D6">
        <w:rPr>
          <w:rFonts w:ascii="Times New Roman" w:hAnsi="Times New Roman"/>
          <w:i/>
          <w:noProof/>
          <w:sz w:val="24"/>
        </w:rPr>
        <w:t xml:space="preserve"> będzie systematycznie uwzględniać wymogi dotyczące działania</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inf</w:t>
      </w:r>
      <w:r w:rsidRPr="002F45D6">
        <w:rPr>
          <w:rFonts w:ascii="Times New Roman" w:hAnsi="Times New Roman"/>
          <w:i/>
          <w:noProof/>
          <w:sz w:val="24"/>
        </w:rPr>
        <w:t>ormacji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now</w:t>
      </w:r>
      <w:r w:rsidRPr="002F45D6">
        <w:rPr>
          <w:rFonts w:ascii="Times New Roman" w:hAnsi="Times New Roman"/>
          <w:i/>
          <w:noProof/>
          <w:sz w:val="24"/>
        </w:rPr>
        <w:t>ych produktach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urz</w:t>
      </w:r>
      <w:r w:rsidRPr="002F45D6">
        <w:rPr>
          <w:rFonts w:ascii="Times New Roman" w:hAnsi="Times New Roman"/>
          <w:i/>
          <w:noProof/>
          <w:sz w:val="24"/>
        </w:rPr>
        <w:t>ądzeniach, co przyczyni się do zastępowania surowców krytycznych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zap</w:t>
      </w:r>
      <w:r w:rsidRPr="002F45D6">
        <w:rPr>
          <w:rFonts w:ascii="Times New Roman" w:hAnsi="Times New Roman"/>
          <w:i/>
          <w:noProof/>
          <w:sz w:val="24"/>
        </w:rPr>
        <w:t>ewni możliwość ich demontażu, recyklingu lub ponownego wykorzystania,</w:t>
      </w:r>
    </w:p>
    <w:p w14:paraId="1A710802" w14:textId="4444CE38" w:rsidR="00350B7B" w:rsidRPr="002F45D6"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sidRPr="002F45D6">
        <w:rPr>
          <w:rFonts w:ascii="Times New Roman" w:hAnsi="Times New Roman"/>
          <w:i/>
          <w:noProof/>
          <w:sz w:val="24"/>
        </w:rPr>
        <w:t>będzie harmonizować obowiązujące przepisy dotyczące gospodarowania odpadami</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odn</w:t>
      </w:r>
      <w:r w:rsidRPr="002F45D6">
        <w:rPr>
          <w:rFonts w:ascii="Times New Roman" w:hAnsi="Times New Roman"/>
          <w:i/>
          <w:noProof/>
          <w:sz w:val="24"/>
        </w:rPr>
        <w:t>iesieniu do niektórych strumieni odpadów</w:t>
      </w:r>
      <w:r w:rsidR="002F45D6" w:rsidRPr="002F45D6">
        <w:rPr>
          <w:rFonts w:ascii="Times New Roman" w:hAnsi="Times New Roman"/>
          <w:i/>
          <w:noProof/>
          <w:sz w:val="24"/>
        </w:rPr>
        <w:t xml:space="preserve"> o</w:t>
      </w:r>
      <w:r w:rsidR="002F45D6">
        <w:rPr>
          <w:rFonts w:ascii="Times New Roman" w:hAnsi="Times New Roman"/>
          <w:i/>
          <w:noProof/>
          <w:sz w:val="24"/>
        </w:rPr>
        <w:t> </w:t>
      </w:r>
      <w:r w:rsidR="002F45D6" w:rsidRPr="002F45D6">
        <w:rPr>
          <w:rFonts w:ascii="Times New Roman" w:hAnsi="Times New Roman"/>
          <w:i/>
          <w:noProof/>
          <w:sz w:val="24"/>
        </w:rPr>
        <w:t>zna</w:t>
      </w:r>
      <w:r w:rsidRPr="002F45D6">
        <w:rPr>
          <w:rFonts w:ascii="Times New Roman" w:hAnsi="Times New Roman"/>
          <w:i/>
          <w:noProof/>
          <w:sz w:val="24"/>
        </w:rPr>
        <w:t>cznym potencjale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odzysku surowców krytycznych oraz oceni włączenie do przepisów UE</w:t>
      </w:r>
      <w:r w:rsidR="002F45D6" w:rsidRPr="002F45D6">
        <w:rPr>
          <w:rFonts w:ascii="Times New Roman" w:hAnsi="Times New Roman"/>
          <w:i/>
          <w:noProof/>
          <w:sz w:val="24"/>
        </w:rPr>
        <w:t xml:space="preserve"> o</w:t>
      </w:r>
      <w:r w:rsidR="002F45D6">
        <w:rPr>
          <w:rFonts w:ascii="Times New Roman" w:hAnsi="Times New Roman"/>
          <w:i/>
          <w:noProof/>
          <w:sz w:val="24"/>
        </w:rPr>
        <w:t> </w:t>
      </w:r>
      <w:r w:rsidR="002F45D6" w:rsidRPr="002F45D6">
        <w:rPr>
          <w:rFonts w:ascii="Times New Roman" w:hAnsi="Times New Roman"/>
          <w:i/>
          <w:noProof/>
          <w:sz w:val="24"/>
        </w:rPr>
        <w:t>odp</w:t>
      </w:r>
      <w:r w:rsidRPr="002F45D6">
        <w:rPr>
          <w:rFonts w:ascii="Times New Roman" w:hAnsi="Times New Roman"/>
          <w:i/>
          <w:noProof/>
          <w:sz w:val="24"/>
        </w:rPr>
        <w:t>adach produktów bogatych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sur</w:t>
      </w:r>
      <w:r w:rsidRPr="002F45D6">
        <w:rPr>
          <w:rFonts w:ascii="Times New Roman" w:hAnsi="Times New Roman"/>
          <w:i/>
          <w:noProof/>
          <w:sz w:val="24"/>
        </w:rPr>
        <w:t>owce krytyczne, które obecnie nie są objęte tymi przepisami, takich jak turbiny wiatrowe,</w:t>
      </w:r>
    </w:p>
    <w:p w14:paraId="7D4D07D2" w14:textId="0D2D5A0C" w:rsidR="00350B7B" w:rsidRPr="002F45D6"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sidRPr="002F45D6">
        <w:rPr>
          <w:rFonts w:ascii="Times New Roman" w:hAnsi="Times New Roman"/>
          <w:i/>
          <w:noProof/>
          <w:sz w:val="24"/>
        </w:rPr>
        <w:t>dokona przeglądu dyrektywy</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spr</w:t>
      </w:r>
      <w:r w:rsidRPr="002F45D6">
        <w:rPr>
          <w:rFonts w:ascii="Times New Roman" w:hAnsi="Times New Roman"/>
          <w:i/>
          <w:noProof/>
          <w:sz w:val="24"/>
        </w:rPr>
        <w:t>awie zużytego sprzętu elektrycznego</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ele</w:t>
      </w:r>
      <w:r w:rsidRPr="002F45D6">
        <w:rPr>
          <w:rFonts w:ascii="Times New Roman" w:hAnsi="Times New Roman"/>
          <w:i/>
          <w:noProof/>
          <w:sz w:val="24"/>
        </w:rPr>
        <w:t>ktronicznego</w:t>
      </w:r>
      <w:r w:rsidRPr="002F45D6">
        <w:rPr>
          <w:rStyle w:val="FootnoteReference"/>
          <w:rFonts w:ascii="Times New Roman" w:eastAsia="Segoe UI" w:hAnsi="Times New Roman" w:cs="Times New Roman"/>
          <w:i/>
          <w:noProof/>
          <w:sz w:val="24"/>
          <w:szCs w:val="24"/>
        </w:rPr>
        <w:footnoteReference w:id="39"/>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m.in. uwzględnienia urządzeń bogatych</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sur</w:t>
      </w:r>
      <w:r w:rsidRPr="002F45D6">
        <w:rPr>
          <w:rFonts w:ascii="Times New Roman" w:hAnsi="Times New Roman"/>
          <w:i/>
          <w:noProof/>
          <w:sz w:val="24"/>
        </w:rPr>
        <w:t>owce krytyczne</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prz</w:t>
      </w:r>
      <w:r w:rsidRPr="002F45D6">
        <w:rPr>
          <w:rFonts w:ascii="Times New Roman" w:hAnsi="Times New Roman"/>
          <w:i/>
          <w:noProof/>
          <w:sz w:val="24"/>
        </w:rPr>
        <w:t>episach dotyczących wymogów informacyjnych</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ów</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zak</w:t>
      </w:r>
      <w:r w:rsidRPr="002F45D6">
        <w:rPr>
          <w:rFonts w:ascii="Times New Roman" w:hAnsi="Times New Roman"/>
          <w:i/>
          <w:noProof/>
          <w:sz w:val="24"/>
        </w:rPr>
        <w:t>resie odzysku,</w:t>
      </w:r>
    </w:p>
    <w:p w14:paraId="259CEEA9" w14:textId="7A304704" w:rsidR="00532643" w:rsidRPr="002F45D6" w:rsidRDefault="007307C4" w:rsidP="000E35B7">
      <w:pPr>
        <w:pStyle w:val="ListParagraph"/>
        <w:numPr>
          <w:ilvl w:val="0"/>
          <w:numId w:val="60"/>
        </w:numPr>
        <w:spacing w:before="120" w:after="240" w:line="257" w:lineRule="auto"/>
        <w:contextualSpacing w:val="0"/>
        <w:jc w:val="both"/>
        <w:rPr>
          <w:rFonts w:ascii="Times New Roman" w:hAnsi="Times New Roman"/>
          <w:i/>
          <w:noProof/>
          <w:sz w:val="24"/>
        </w:rPr>
      </w:pPr>
      <w:r w:rsidRPr="002F45D6">
        <w:rPr>
          <w:rFonts w:ascii="Times New Roman" w:hAnsi="Times New Roman"/>
          <w:i/>
          <w:noProof/>
          <w:sz w:val="24"/>
        </w:rPr>
        <w:t>pozyska do</w:t>
      </w:r>
      <w:r w:rsidR="002F45D6" w:rsidRPr="002F45D6">
        <w:rPr>
          <w:rFonts w:ascii="Times New Roman" w:hAnsi="Times New Roman"/>
          <w:i/>
          <w:noProof/>
          <w:sz w:val="24"/>
        </w:rPr>
        <w:t> </w:t>
      </w:r>
      <w:r w:rsidRPr="002F45D6">
        <w:rPr>
          <w:rFonts w:ascii="Times New Roman" w:hAnsi="Times New Roman"/>
          <w:i/>
          <w:noProof/>
          <w:sz w:val="24"/>
        </w:rPr>
        <w:t>200 mln EUR na uruchomienie dziesięciu dodatkowych inicjatyw „Hubs for Circularity”</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cel</w:t>
      </w:r>
      <w:r w:rsidRPr="002F45D6">
        <w:rPr>
          <w:rFonts w:ascii="Times New Roman" w:hAnsi="Times New Roman"/>
          <w:i/>
          <w:noProof/>
          <w:sz w:val="24"/>
        </w:rPr>
        <w:t>u znacznego zwiększenia odzysku</w:t>
      </w:r>
      <w:r w:rsidR="002F45D6" w:rsidRPr="002F45D6">
        <w:rPr>
          <w:rFonts w:ascii="Times New Roman" w:hAnsi="Times New Roman"/>
          <w:i/>
          <w:noProof/>
          <w:sz w:val="24"/>
        </w:rPr>
        <w:t xml:space="preserve"> i</w:t>
      </w:r>
      <w:r w:rsidR="002F45D6">
        <w:rPr>
          <w:rFonts w:ascii="Times New Roman" w:hAnsi="Times New Roman"/>
          <w:i/>
          <w:noProof/>
          <w:sz w:val="24"/>
        </w:rPr>
        <w:t> </w:t>
      </w:r>
      <w:r w:rsidR="002F45D6" w:rsidRPr="002F45D6">
        <w:rPr>
          <w:rFonts w:ascii="Times New Roman" w:hAnsi="Times New Roman"/>
          <w:i/>
          <w:noProof/>
          <w:sz w:val="24"/>
        </w:rPr>
        <w:t>rec</w:t>
      </w:r>
      <w:r w:rsidRPr="002F45D6">
        <w:rPr>
          <w:rFonts w:ascii="Times New Roman" w:hAnsi="Times New Roman"/>
          <w:i/>
          <w:noProof/>
          <w:sz w:val="24"/>
        </w:rPr>
        <w:t>yklingu surowców</w:t>
      </w:r>
      <w:r w:rsidR="002F45D6" w:rsidRPr="002F45D6">
        <w:rPr>
          <w:rFonts w:ascii="Times New Roman" w:hAnsi="Times New Roman"/>
          <w:i/>
          <w:noProof/>
          <w:sz w:val="24"/>
        </w:rPr>
        <w:t xml:space="preserve"> w</w:t>
      </w:r>
      <w:r w:rsidR="002F45D6">
        <w:rPr>
          <w:rFonts w:ascii="Times New Roman" w:hAnsi="Times New Roman"/>
          <w:i/>
          <w:noProof/>
          <w:sz w:val="24"/>
        </w:rPr>
        <w:t> </w:t>
      </w:r>
      <w:r w:rsidR="002F45D6" w:rsidRPr="002F45D6">
        <w:rPr>
          <w:rFonts w:ascii="Times New Roman" w:hAnsi="Times New Roman"/>
          <w:i/>
          <w:noProof/>
          <w:sz w:val="24"/>
        </w:rPr>
        <w:t>cał</w:t>
      </w:r>
      <w:r w:rsidRPr="002F45D6">
        <w:rPr>
          <w:rFonts w:ascii="Times New Roman" w:hAnsi="Times New Roman"/>
          <w:i/>
          <w:noProof/>
          <w:sz w:val="24"/>
        </w:rPr>
        <w:t>ej Unii.</w:t>
      </w:r>
    </w:p>
    <w:p w14:paraId="7A2CCE41" w14:textId="6756BDA8" w:rsidR="000006A0" w:rsidRPr="002F45D6" w:rsidRDefault="00432B60" w:rsidP="001D2BCE">
      <w:pPr>
        <w:pStyle w:val="ListParagraph"/>
        <w:numPr>
          <w:ilvl w:val="0"/>
          <w:numId w:val="32"/>
        </w:numPr>
        <w:spacing w:before="360"/>
        <w:jc w:val="both"/>
        <w:rPr>
          <w:rFonts w:ascii="Times New Roman" w:hAnsi="Times New Roman" w:cs="Times New Roman"/>
          <w:b/>
          <w:noProof/>
          <w:sz w:val="24"/>
        </w:rPr>
      </w:pPr>
      <w:r w:rsidRPr="002F45D6">
        <w:rPr>
          <w:rFonts w:ascii="Times New Roman" w:hAnsi="Times New Roman"/>
          <w:b/>
          <w:noProof/>
          <w:sz w:val="24"/>
        </w:rPr>
        <w:t xml:space="preserve">Podsumowanie </w:t>
      </w:r>
    </w:p>
    <w:p w14:paraId="0CD8CE52" w14:textId="1E33591C" w:rsidR="00F42D58" w:rsidRPr="002F45D6" w:rsidRDefault="00F42D58" w:rsidP="00610A99">
      <w:pPr>
        <w:jc w:val="both"/>
        <w:rPr>
          <w:rFonts w:ascii="Times New Roman" w:hAnsi="Times New Roman" w:cs="Times New Roman"/>
          <w:noProof/>
          <w:sz w:val="24"/>
          <w:szCs w:val="24"/>
        </w:rPr>
      </w:pPr>
      <w:r w:rsidRPr="002F45D6">
        <w:rPr>
          <w:rFonts w:ascii="Times New Roman" w:hAnsi="Times New Roman"/>
          <w:noProof/>
          <w:sz w:val="24"/>
        </w:rPr>
        <w:t>UE musi zapewnić zrównoważone, przystępne cenowo</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zró</w:t>
      </w:r>
      <w:r w:rsidRPr="002F45D6">
        <w:rPr>
          <w:rFonts w:ascii="Times New Roman" w:hAnsi="Times New Roman"/>
          <w:noProof/>
          <w:sz w:val="24"/>
        </w:rPr>
        <w:t>żnicowane zaopatrzenie</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sur</w:t>
      </w:r>
      <w:r w:rsidRPr="002F45D6">
        <w:rPr>
          <w:rFonts w:ascii="Times New Roman" w:hAnsi="Times New Roman"/>
          <w:noProof/>
          <w:sz w:val="24"/>
        </w:rPr>
        <w:t>owce krytyczne, aby odnieść sukces</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tra</w:t>
      </w:r>
      <w:r w:rsidRPr="002F45D6">
        <w:rPr>
          <w:rFonts w:ascii="Times New Roman" w:hAnsi="Times New Roman"/>
          <w:noProof/>
          <w:sz w:val="24"/>
        </w:rPr>
        <w:t>nsformacji ekologicznej</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cyf</w:t>
      </w:r>
      <w:r w:rsidRPr="002F45D6">
        <w:rPr>
          <w:rFonts w:ascii="Times New Roman" w:hAnsi="Times New Roman"/>
          <w:noProof/>
          <w:sz w:val="24"/>
        </w:rPr>
        <w:t>rowej, które idą</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par</w:t>
      </w:r>
      <w:r w:rsidRPr="002F45D6">
        <w:rPr>
          <w:rFonts w:ascii="Times New Roman" w:hAnsi="Times New Roman"/>
          <w:noProof/>
          <w:sz w:val="24"/>
        </w:rPr>
        <w:t>ze ze sprawiedliwą transformacją,</w:t>
      </w:r>
      <w:r w:rsidR="002F45D6" w:rsidRPr="002F45D6">
        <w:rPr>
          <w:rFonts w:ascii="Times New Roman" w:hAnsi="Times New Roman"/>
          <w:noProof/>
          <w:sz w:val="24"/>
        </w:rPr>
        <w:t xml:space="preserve"> a</w:t>
      </w:r>
      <w:r w:rsidR="002F45D6">
        <w:rPr>
          <w:rFonts w:ascii="Times New Roman" w:hAnsi="Times New Roman"/>
          <w:noProof/>
          <w:sz w:val="24"/>
        </w:rPr>
        <w:t> </w:t>
      </w:r>
      <w:r w:rsidR="002F45D6" w:rsidRPr="002F45D6">
        <w:rPr>
          <w:rFonts w:ascii="Times New Roman" w:hAnsi="Times New Roman"/>
          <w:noProof/>
          <w:sz w:val="24"/>
        </w:rPr>
        <w:t>tak</w:t>
      </w:r>
      <w:r w:rsidRPr="002F45D6">
        <w:rPr>
          <w:rFonts w:ascii="Times New Roman" w:hAnsi="Times New Roman"/>
          <w:noProof/>
          <w:sz w:val="24"/>
        </w:rPr>
        <w:t>że aby zapewnić sobie bezpieczeństwo</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zdo</w:t>
      </w:r>
      <w:r w:rsidRPr="002F45D6">
        <w:rPr>
          <w:rFonts w:ascii="Times New Roman" w:hAnsi="Times New Roman"/>
          <w:noProof/>
          <w:sz w:val="24"/>
        </w:rPr>
        <w:t>lności obrony. Musi to robić</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myś</w:t>
      </w:r>
      <w:r w:rsidRPr="002F45D6">
        <w:rPr>
          <w:rFonts w:ascii="Times New Roman" w:hAnsi="Times New Roman"/>
          <w:noProof/>
          <w:sz w:val="24"/>
        </w:rPr>
        <w:t>lą</w:t>
      </w:r>
      <w:r w:rsidR="002F45D6" w:rsidRPr="002F45D6">
        <w:rPr>
          <w:rFonts w:ascii="Times New Roman" w:hAnsi="Times New Roman"/>
          <w:noProof/>
          <w:sz w:val="24"/>
        </w:rPr>
        <w:t xml:space="preserve"> o</w:t>
      </w:r>
      <w:r w:rsidR="002F45D6">
        <w:rPr>
          <w:rFonts w:ascii="Times New Roman" w:hAnsi="Times New Roman"/>
          <w:noProof/>
          <w:sz w:val="24"/>
        </w:rPr>
        <w:t> </w:t>
      </w:r>
      <w:r w:rsidR="002F45D6" w:rsidRPr="002F45D6">
        <w:rPr>
          <w:rFonts w:ascii="Times New Roman" w:hAnsi="Times New Roman"/>
          <w:noProof/>
          <w:sz w:val="24"/>
        </w:rPr>
        <w:t>swo</w:t>
      </w:r>
      <w:r w:rsidRPr="002F45D6">
        <w:rPr>
          <w:rFonts w:ascii="Times New Roman" w:hAnsi="Times New Roman"/>
          <w:noProof/>
          <w:sz w:val="24"/>
        </w:rPr>
        <w:t>jej długoterminowej konkurencyjności</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utr</w:t>
      </w:r>
      <w:r w:rsidRPr="002F45D6">
        <w:rPr>
          <w:rFonts w:ascii="Times New Roman" w:hAnsi="Times New Roman"/>
          <w:noProof/>
          <w:sz w:val="24"/>
        </w:rPr>
        <w:t>zymaniu otwartej strategicznej autonomii</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szy</w:t>
      </w:r>
      <w:r w:rsidRPr="002F45D6">
        <w:rPr>
          <w:rFonts w:ascii="Times New Roman" w:hAnsi="Times New Roman"/>
          <w:noProof/>
          <w:sz w:val="24"/>
        </w:rPr>
        <w:t>bko zmieniającym się</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cor</w:t>
      </w:r>
      <w:r w:rsidRPr="002F45D6">
        <w:rPr>
          <w:rFonts w:ascii="Times New Roman" w:hAnsi="Times New Roman"/>
          <w:noProof/>
          <w:sz w:val="24"/>
        </w:rPr>
        <w:t>az bardziej wymagającym środowisku geopolitycznym.</w:t>
      </w:r>
    </w:p>
    <w:p w14:paraId="46D5A2F1" w14:textId="7D3A3AEC" w:rsidR="00F42D58" w:rsidRPr="002F45D6" w:rsidRDefault="000B1ABF" w:rsidP="00610A99">
      <w:pPr>
        <w:jc w:val="both"/>
        <w:rPr>
          <w:rFonts w:ascii="Times New Roman" w:hAnsi="Times New Roman" w:cs="Times New Roman"/>
          <w:noProof/>
        </w:rPr>
      </w:pPr>
      <w:r w:rsidRPr="002F45D6">
        <w:rPr>
          <w:rFonts w:ascii="Times New Roman" w:hAnsi="Times New Roman"/>
          <w:noProof/>
          <w:sz w:val="24"/>
        </w:rPr>
        <w:t>Można to osiągnąć jedynie przez wspólne działania wewnętrzne</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zew</w:t>
      </w:r>
      <w:r w:rsidRPr="002F45D6">
        <w:rPr>
          <w:rFonts w:ascii="Times New Roman" w:hAnsi="Times New Roman"/>
          <w:noProof/>
          <w:sz w:val="24"/>
        </w:rPr>
        <w:t>nętrzne: wzmocnienie środków krajowych oraz międzynarodowego zaangażowania na rzecz rozwijania partnerstw</w:t>
      </w:r>
      <w:r w:rsidR="002F45D6" w:rsidRPr="002F45D6">
        <w:rPr>
          <w:rFonts w:ascii="Times New Roman" w:hAnsi="Times New Roman"/>
          <w:noProof/>
          <w:sz w:val="24"/>
        </w:rPr>
        <w:t xml:space="preserve"> z</w:t>
      </w:r>
      <w:r w:rsidR="002F45D6">
        <w:rPr>
          <w:rFonts w:ascii="Times New Roman" w:hAnsi="Times New Roman"/>
          <w:noProof/>
          <w:sz w:val="24"/>
        </w:rPr>
        <w:t> </w:t>
      </w:r>
      <w:r w:rsidR="002F45D6" w:rsidRPr="002F45D6">
        <w:rPr>
          <w:rFonts w:ascii="Times New Roman" w:hAnsi="Times New Roman"/>
          <w:noProof/>
          <w:sz w:val="24"/>
        </w:rPr>
        <w:t>pań</w:t>
      </w:r>
      <w:r w:rsidRPr="002F45D6">
        <w:rPr>
          <w:rFonts w:ascii="Times New Roman" w:hAnsi="Times New Roman"/>
          <w:noProof/>
          <w:sz w:val="24"/>
        </w:rPr>
        <w:t>stwami trzecimi korzystnych dla obu stron. Tylko</w:t>
      </w:r>
      <w:r w:rsidR="002F45D6" w:rsidRPr="002F45D6">
        <w:rPr>
          <w:rFonts w:ascii="Times New Roman" w:hAnsi="Times New Roman"/>
          <w:noProof/>
          <w:sz w:val="24"/>
        </w:rPr>
        <w:t xml:space="preserve"> w</w:t>
      </w:r>
      <w:r w:rsidR="002F45D6">
        <w:rPr>
          <w:rFonts w:ascii="Times New Roman" w:hAnsi="Times New Roman"/>
          <w:noProof/>
          <w:sz w:val="24"/>
        </w:rPr>
        <w:t> </w:t>
      </w:r>
      <w:r w:rsidR="002F45D6" w:rsidRPr="002F45D6">
        <w:rPr>
          <w:rFonts w:ascii="Times New Roman" w:hAnsi="Times New Roman"/>
          <w:noProof/>
          <w:sz w:val="24"/>
        </w:rPr>
        <w:t>ten</w:t>
      </w:r>
      <w:r w:rsidRPr="002F45D6">
        <w:rPr>
          <w:rFonts w:ascii="Times New Roman" w:hAnsi="Times New Roman"/>
          <w:noProof/>
          <w:sz w:val="24"/>
        </w:rPr>
        <w:t xml:space="preserve"> sposób możliwe będzie urzeczywistnienie dla wszystkich transformacji ekologicznej</w:t>
      </w:r>
      <w:r w:rsidR="002F45D6" w:rsidRPr="002F45D6">
        <w:rPr>
          <w:rFonts w:ascii="Times New Roman" w:hAnsi="Times New Roman"/>
          <w:noProof/>
          <w:sz w:val="24"/>
        </w:rPr>
        <w:t xml:space="preserve"> i</w:t>
      </w:r>
      <w:r w:rsidR="002F45D6">
        <w:rPr>
          <w:rFonts w:ascii="Times New Roman" w:hAnsi="Times New Roman"/>
          <w:noProof/>
          <w:sz w:val="24"/>
        </w:rPr>
        <w:t> </w:t>
      </w:r>
      <w:r w:rsidR="002F45D6" w:rsidRPr="002F45D6">
        <w:rPr>
          <w:rFonts w:ascii="Times New Roman" w:hAnsi="Times New Roman"/>
          <w:noProof/>
          <w:sz w:val="24"/>
        </w:rPr>
        <w:t>cyf</w:t>
      </w:r>
      <w:r w:rsidRPr="002F45D6">
        <w:rPr>
          <w:rFonts w:ascii="Times New Roman" w:hAnsi="Times New Roman"/>
          <w:noProof/>
          <w:sz w:val="24"/>
        </w:rPr>
        <w:t xml:space="preserve">rowej. </w:t>
      </w:r>
    </w:p>
    <w:sectPr w:rsidR="00F42D58" w:rsidRPr="002F45D6" w:rsidSect="00E64A7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20BB9" w14:textId="77777777" w:rsidR="00FD7885" w:rsidRPr="002F45D6" w:rsidRDefault="00FD7885" w:rsidP="0098049A">
      <w:pPr>
        <w:spacing w:after="0" w:line="240" w:lineRule="auto"/>
      </w:pPr>
      <w:r w:rsidRPr="002F45D6">
        <w:separator/>
      </w:r>
    </w:p>
  </w:endnote>
  <w:endnote w:type="continuationSeparator" w:id="0">
    <w:p w14:paraId="01B21E35" w14:textId="77777777" w:rsidR="00FD7885" w:rsidRPr="002F45D6" w:rsidRDefault="00FD7885" w:rsidP="0098049A">
      <w:pPr>
        <w:spacing w:after="0" w:line="240" w:lineRule="auto"/>
      </w:pPr>
      <w:r w:rsidRPr="002F45D6">
        <w:continuationSeparator/>
      </w:r>
    </w:p>
  </w:endnote>
  <w:endnote w:type="continuationNotice" w:id="1">
    <w:p w14:paraId="37FD453F" w14:textId="77777777" w:rsidR="00FD7885" w:rsidRPr="002F45D6" w:rsidRDefault="00FD7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9B9A" w14:textId="65E023A9" w:rsidR="002F45D6" w:rsidRPr="00203085" w:rsidRDefault="002F45D6" w:rsidP="0020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639B" w14:textId="7DD1879B" w:rsidR="002F45D6" w:rsidRPr="00203085" w:rsidRDefault="00203085" w:rsidP="00203085">
    <w:pPr>
      <w:pStyle w:val="FooterCoverPage"/>
      <w:rPr>
        <w:rFonts w:ascii="Arial" w:hAnsi="Arial" w:cs="Arial"/>
        <w:b/>
        <w:sz w:val="48"/>
      </w:rPr>
    </w:pPr>
    <w:r w:rsidRPr="00203085">
      <w:rPr>
        <w:rFonts w:ascii="Arial" w:hAnsi="Arial" w:cs="Arial"/>
        <w:b/>
        <w:sz w:val="48"/>
      </w:rPr>
      <w:t>PL</w:t>
    </w:r>
    <w:r w:rsidRPr="00203085">
      <w:rPr>
        <w:rFonts w:ascii="Arial" w:hAnsi="Arial" w:cs="Arial"/>
        <w:b/>
        <w:sz w:val="48"/>
      </w:rPr>
      <w:tab/>
    </w:r>
    <w:r w:rsidRPr="00203085">
      <w:rPr>
        <w:rFonts w:ascii="Arial" w:hAnsi="Arial" w:cs="Arial"/>
        <w:b/>
        <w:sz w:val="48"/>
      </w:rPr>
      <w:tab/>
    </w:r>
    <w:r w:rsidRPr="00203085">
      <w:tab/>
    </w:r>
    <w:r w:rsidRPr="00203085">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63E7" w14:textId="77777777" w:rsidR="00203085" w:rsidRPr="00203085" w:rsidRDefault="00203085" w:rsidP="0020308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E035" w14:textId="77777777" w:rsidR="00F702B9" w:rsidRDefault="00F702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48289821"/>
      <w:docPartObj>
        <w:docPartGallery w:val="Page Numbers (Bottom of Page)"/>
        <w:docPartUnique/>
      </w:docPartObj>
    </w:sdtPr>
    <w:sdtEndPr>
      <w:rPr>
        <w:noProof/>
      </w:rPr>
    </w:sdtEndPr>
    <w:sdtContent>
      <w:p w14:paraId="68DBCE21" w14:textId="3DEEA085" w:rsidR="00F702B9" w:rsidRPr="00EB3DAF" w:rsidRDefault="00F702B9" w:rsidP="00EB3DA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03085">
          <w:rPr>
            <w:rFonts w:ascii="Times New Roman" w:hAnsi="Times New Roman" w:cs="Times New Roman"/>
            <w:noProof/>
          </w:rPr>
          <w:t>22</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ADB3" w14:textId="77777777" w:rsidR="00F702B9" w:rsidRDefault="00F7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289DB" w14:textId="77777777" w:rsidR="00FD7885" w:rsidRPr="002F45D6" w:rsidRDefault="00FD7885" w:rsidP="0098049A">
      <w:pPr>
        <w:spacing w:after="0" w:line="240" w:lineRule="auto"/>
      </w:pPr>
      <w:r w:rsidRPr="002F45D6">
        <w:separator/>
      </w:r>
    </w:p>
  </w:footnote>
  <w:footnote w:type="continuationSeparator" w:id="0">
    <w:p w14:paraId="6AA64509" w14:textId="77777777" w:rsidR="00FD7885" w:rsidRPr="002F45D6" w:rsidRDefault="00FD7885" w:rsidP="0098049A">
      <w:pPr>
        <w:spacing w:after="0" w:line="240" w:lineRule="auto"/>
      </w:pPr>
      <w:r w:rsidRPr="002F45D6">
        <w:continuationSeparator/>
      </w:r>
    </w:p>
  </w:footnote>
  <w:footnote w:type="continuationNotice" w:id="1">
    <w:p w14:paraId="04CFA642" w14:textId="77777777" w:rsidR="00FD7885" w:rsidRPr="002F45D6" w:rsidRDefault="00FD7885">
      <w:pPr>
        <w:spacing w:after="0" w:line="240" w:lineRule="auto"/>
      </w:pPr>
    </w:p>
  </w:footnote>
  <w:footnote w:id="2">
    <w:p w14:paraId="63BB1E7E" w14:textId="32EF0968" w:rsidR="00F702B9" w:rsidRPr="002F45D6" w:rsidRDefault="00F702B9" w:rsidP="00F23788">
      <w:pPr>
        <w:pStyle w:val="FootnoteText"/>
        <w:jc w:val="both"/>
      </w:pPr>
      <w:r w:rsidRPr="002F45D6">
        <w:rPr>
          <w:rStyle w:val="FootnoteReference"/>
        </w:rPr>
        <w:footnoteRef/>
      </w:r>
      <w:r w:rsidRPr="002F45D6">
        <w:t xml:space="preserve"> </w:t>
      </w:r>
      <w:r w:rsidRPr="002F45D6">
        <w:rPr>
          <w:rFonts w:ascii="Times New Roman" w:hAnsi="Times New Roman"/>
        </w:rPr>
        <w:t>Zostało to m.in. podkreślone</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kom</w:t>
      </w:r>
      <w:r w:rsidRPr="002F45D6">
        <w:rPr>
          <w:rFonts w:ascii="Times New Roman" w:hAnsi="Times New Roman"/>
        </w:rPr>
        <w:t>unikacie Komisji do Parlamentu Europejskiego, Rady, Europejskiego Komitetu Ekonomiczno-Społecznego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Kom</w:t>
      </w:r>
      <w:r w:rsidRPr="002F45D6">
        <w:rPr>
          <w:rFonts w:ascii="Times New Roman" w:hAnsi="Times New Roman"/>
        </w:rPr>
        <w:t>itetu Regionów – Plan działania</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zak</w:t>
      </w:r>
      <w:r w:rsidRPr="002F45D6">
        <w:rPr>
          <w:rFonts w:ascii="Times New Roman" w:hAnsi="Times New Roman"/>
        </w:rPr>
        <w:t>resie technologii krytycznych dla bezpieczeństwa</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obr</w:t>
      </w:r>
      <w:r w:rsidRPr="002F45D6">
        <w:rPr>
          <w:rFonts w:ascii="Times New Roman" w:hAnsi="Times New Roman"/>
        </w:rPr>
        <w:t>onności (COM(2022) 61 final).</w:t>
      </w:r>
    </w:p>
  </w:footnote>
  <w:footnote w:id="3">
    <w:p w14:paraId="2F5FFF11" w14:textId="7BD39374" w:rsidR="00C50F21" w:rsidRPr="002F45D6" w:rsidRDefault="00C50F21">
      <w:pPr>
        <w:pStyle w:val="FootnoteText"/>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Komunikat Komisji do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 Inicjatywa na rzecz surowców: zaspokajanie naszych kluczowych potrzeb</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cel</w:t>
      </w:r>
      <w:r w:rsidRPr="002F45D6">
        <w:rPr>
          <w:rFonts w:ascii="Times New Roman" w:hAnsi="Times New Roman"/>
        </w:rPr>
        <w:t>u stymulowania wzrostu</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two</w:t>
      </w:r>
      <w:r w:rsidRPr="002F45D6">
        <w:rPr>
          <w:rFonts w:ascii="Times New Roman" w:hAnsi="Times New Roman"/>
        </w:rPr>
        <w:t>rzenia miejsc pracy</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Eur</w:t>
      </w:r>
      <w:r w:rsidRPr="002F45D6">
        <w:rPr>
          <w:rFonts w:ascii="Times New Roman" w:hAnsi="Times New Roman"/>
        </w:rPr>
        <w:t>opie (COM(2008) 699 final).</w:t>
      </w:r>
    </w:p>
  </w:footnote>
  <w:footnote w:id="4">
    <w:p w14:paraId="11AFA956" w14:textId="62EC28BD" w:rsidR="00F702B9" w:rsidRPr="002F45D6" w:rsidRDefault="00F702B9" w:rsidP="002973F5">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Komunikat Komisji do Parlamentu Europejskiego, Rady, Europejskiego Komitetu Ekonomiczno-Społecznego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Kom</w:t>
      </w:r>
      <w:r w:rsidRPr="002F45D6">
        <w:rPr>
          <w:rFonts w:ascii="Times New Roman" w:hAnsi="Times New Roman"/>
        </w:rPr>
        <w:t>itetu Regionów – Odporność</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zak</w:t>
      </w:r>
      <w:r w:rsidRPr="002F45D6">
        <w:rPr>
          <w:rFonts w:ascii="Times New Roman" w:hAnsi="Times New Roman"/>
        </w:rPr>
        <w:t>resie surowców krytycznych: wytyczanie drogi do większego bezpieczeństwa</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bar</w:t>
      </w:r>
      <w:r w:rsidRPr="002F45D6">
        <w:rPr>
          <w:rFonts w:ascii="Times New Roman" w:hAnsi="Times New Roman"/>
        </w:rPr>
        <w:t xml:space="preserve">dziej zrównoważonego rozwoju (COM(2020) 474 final). </w:t>
      </w:r>
    </w:p>
  </w:footnote>
  <w:footnote w:id="5">
    <w:p w14:paraId="4D40C75D" w14:textId="0B9D3751" w:rsidR="006F4376" w:rsidRPr="002F45D6" w:rsidRDefault="006F4376" w:rsidP="006F4376">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Zob. również COM(2021) 750 „Sprawozdanie dotyczące prognozy strategicznej</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2</w:t>
      </w:r>
      <w:r w:rsidRPr="002F45D6">
        <w:rPr>
          <w:rFonts w:ascii="Times New Roman" w:hAnsi="Times New Roman"/>
        </w:rPr>
        <w:t>021</w:t>
      </w:r>
      <w:r w:rsidR="002F45D6" w:rsidRPr="002F45D6">
        <w:rPr>
          <w:rFonts w:ascii="Times New Roman" w:hAnsi="Times New Roman"/>
        </w:rPr>
        <w:t> </w:t>
      </w:r>
      <w:r w:rsidRPr="002F45D6">
        <w:rPr>
          <w:rFonts w:ascii="Times New Roman" w:hAnsi="Times New Roman"/>
        </w:rPr>
        <w:t>r. – Zdolność</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swo</w:t>
      </w:r>
      <w:r w:rsidRPr="002F45D6">
        <w:rPr>
          <w:rFonts w:ascii="Times New Roman" w:hAnsi="Times New Roman"/>
        </w:rPr>
        <w:t>boda UE</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zak</w:t>
      </w:r>
      <w:r w:rsidRPr="002F45D6">
        <w:rPr>
          <w:rFonts w:ascii="Times New Roman" w:hAnsi="Times New Roman"/>
        </w:rPr>
        <w:t>resie podejmowania działań”,</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któ</w:t>
      </w:r>
      <w:r w:rsidRPr="002F45D6">
        <w:rPr>
          <w:rFonts w:ascii="Times New Roman" w:hAnsi="Times New Roman"/>
        </w:rPr>
        <w:t>rym „Zapewnienie</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dyw</w:t>
      </w:r>
      <w:r w:rsidRPr="002F45D6">
        <w:rPr>
          <w:rFonts w:ascii="Times New Roman" w:hAnsi="Times New Roman"/>
        </w:rPr>
        <w:t>ersyfikacja dostaw surowców krytycznych” to jeden</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1</w:t>
      </w:r>
      <w:r w:rsidRPr="002F45D6">
        <w:rPr>
          <w:rFonts w:ascii="Times New Roman" w:hAnsi="Times New Roman"/>
        </w:rPr>
        <w:t>0 filarów otwartej strategicznej autonomii Europy.</w:t>
      </w:r>
    </w:p>
  </w:footnote>
  <w:footnote w:id="6">
    <w:p w14:paraId="6A858A1A" w14:textId="31C5A10A" w:rsidR="00C22194" w:rsidRPr="002F45D6" w:rsidRDefault="00C22194" w:rsidP="00C22194">
      <w:pPr>
        <w:pStyle w:val="FootnoteText"/>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Wspólny komunikat do Parlamentu Europejskiego, Rady, Europejskiego Komitetu Ekonomiczno-Społecznego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Kom</w:t>
      </w:r>
      <w:r w:rsidRPr="002F45D6">
        <w:rPr>
          <w:rFonts w:ascii="Times New Roman" w:hAnsi="Times New Roman"/>
        </w:rPr>
        <w:t>itetu Regionów – „Zewnętrzne zobowiązania energetyczne UE</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zmi</w:t>
      </w:r>
      <w:r w:rsidRPr="002F45D6">
        <w:rPr>
          <w:rFonts w:ascii="Times New Roman" w:hAnsi="Times New Roman"/>
        </w:rPr>
        <w:t>eniającym się świecie” (SWD(2022) 152 final).</w:t>
      </w:r>
    </w:p>
  </w:footnote>
  <w:footnote w:id="7">
    <w:p w14:paraId="7A3CBD9F" w14:textId="601F4EA2" w:rsidR="00F702B9" w:rsidRPr="002F45D6" w:rsidRDefault="00F702B9" w:rsidP="00CE7E0D">
      <w:pPr>
        <w:pStyle w:val="FootnoteText"/>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Komunikat Komisji do Parlamentu Europejskiego, Rady, Europejskiego Komitetu Ekonomiczno-Społecznego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Kom</w:t>
      </w:r>
      <w:r w:rsidRPr="002F45D6">
        <w:rPr>
          <w:rFonts w:ascii="Times New Roman" w:hAnsi="Times New Roman"/>
        </w:rPr>
        <w:t>itetu Regionów – Nowy plan działania UE dotyczący gospodarki</w:t>
      </w:r>
      <w:r w:rsidR="002F45D6" w:rsidRPr="002F45D6">
        <w:rPr>
          <w:rFonts w:ascii="Times New Roman" w:hAnsi="Times New Roman"/>
        </w:rPr>
        <w:t xml:space="preserve"> o</w:t>
      </w:r>
      <w:r w:rsidR="002F45D6">
        <w:rPr>
          <w:rFonts w:ascii="Times New Roman" w:hAnsi="Times New Roman"/>
        </w:rPr>
        <w:t> </w:t>
      </w:r>
      <w:r w:rsidR="002F45D6" w:rsidRPr="002F45D6">
        <w:rPr>
          <w:rFonts w:ascii="Times New Roman" w:hAnsi="Times New Roman"/>
        </w:rPr>
        <w:t>obi</w:t>
      </w:r>
      <w:r w:rsidRPr="002F45D6">
        <w:rPr>
          <w:rFonts w:ascii="Times New Roman" w:hAnsi="Times New Roman"/>
        </w:rPr>
        <w:t>egu zamkniętym: na rzecz czystszej</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bar</w:t>
      </w:r>
      <w:r w:rsidRPr="002F45D6">
        <w:rPr>
          <w:rFonts w:ascii="Times New Roman" w:hAnsi="Times New Roman"/>
        </w:rPr>
        <w:t>dziej konkurencyjnej Europy (COM(2020) 98 final).</w:t>
      </w:r>
    </w:p>
  </w:footnote>
  <w:footnote w:id="8">
    <w:p w14:paraId="5EAD1226" w14:textId="15EC0C4D" w:rsidR="003E483E" w:rsidRPr="002F45D6" w:rsidRDefault="003E483E" w:rsidP="000B207B">
      <w:pPr>
        <w:pStyle w:val="FootnoteText"/>
        <w:jc w:val="both"/>
      </w:pPr>
      <w:r w:rsidRPr="002F45D6">
        <w:rPr>
          <w:rStyle w:val="FootnoteReference"/>
        </w:rPr>
        <w:footnoteRef/>
      </w:r>
      <w:r w:rsidRPr="002F45D6">
        <w:rPr>
          <w:rFonts w:ascii="Times New Roman" w:hAnsi="Times New Roman"/>
        </w:rPr>
        <w:t>Wniosek dotyczący rozporządzenia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ustanawiającego ramy na potrzeby zapewnienia bezpiecznych</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zró</w:t>
      </w:r>
      <w:r w:rsidRPr="002F45D6">
        <w:rPr>
          <w:rFonts w:ascii="Times New Roman" w:hAnsi="Times New Roman"/>
        </w:rPr>
        <w:t>wnoważonych dostaw surowców krytycznych oraz zmieniającego rozporządzenia (UE) 168/2013, (UE) 2018/858, 2018/1724 i (UE) 2019/1020 (COM(2023) 160 final).</w:t>
      </w:r>
    </w:p>
  </w:footnote>
  <w:footnote w:id="9">
    <w:p w14:paraId="35DFDB92" w14:textId="4C2E40FA" w:rsidR="00F702B9" w:rsidRPr="002F45D6" w:rsidRDefault="00F702B9" w:rsidP="00080DEA">
      <w:pPr>
        <w:pStyle w:val="FootnoteText"/>
        <w:jc w:val="both"/>
      </w:pPr>
      <w:r w:rsidRPr="002F45D6">
        <w:rPr>
          <w:rStyle w:val="FootnoteReference"/>
          <w:rFonts w:ascii="Times New Roman" w:hAnsi="Times New Roman"/>
        </w:rPr>
        <w:footnoteRef/>
      </w:r>
      <w:r w:rsidRPr="002F45D6">
        <w:rPr>
          <w:rFonts w:ascii="Times New Roman" w:hAnsi="Times New Roman"/>
        </w:rPr>
        <w:t>Surowce strategiczne mają duże znaczenie strategiczne</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cha</w:t>
      </w:r>
      <w:r w:rsidRPr="002F45D6">
        <w:rPr>
          <w:rFonts w:ascii="Times New Roman" w:hAnsi="Times New Roman"/>
        </w:rPr>
        <w:t>rakteryzują się potencjalnie znaczną różnicą między podażą globalną</w:t>
      </w:r>
      <w:r w:rsidR="002F45D6" w:rsidRPr="002F45D6">
        <w:rPr>
          <w:rFonts w:ascii="Times New Roman" w:hAnsi="Times New Roman"/>
        </w:rPr>
        <w:t xml:space="preserve"> a</w:t>
      </w:r>
      <w:r w:rsidR="002F45D6">
        <w:rPr>
          <w:rFonts w:ascii="Times New Roman" w:hAnsi="Times New Roman"/>
        </w:rPr>
        <w:t> </w:t>
      </w:r>
      <w:r w:rsidR="002F45D6" w:rsidRPr="002F45D6">
        <w:rPr>
          <w:rFonts w:ascii="Times New Roman" w:hAnsi="Times New Roman"/>
        </w:rPr>
        <w:t>prz</w:t>
      </w:r>
      <w:r w:rsidRPr="002F45D6">
        <w:rPr>
          <w:rFonts w:ascii="Times New Roman" w:hAnsi="Times New Roman"/>
        </w:rPr>
        <w:t>ewidywanym popytem; są to surowce,</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prz</w:t>
      </w:r>
      <w:r w:rsidRPr="002F45D6">
        <w:rPr>
          <w:rFonts w:ascii="Times New Roman" w:hAnsi="Times New Roman"/>
        </w:rPr>
        <w:t>ypadku których zwiększenie produkcji jest stosunkowo trudno wykonalne.</w:t>
      </w:r>
    </w:p>
  </w:footnote>
  <w:footnote w:id="10">
    <w:p w14:paraId="7528C511" w14:textId="6F4DB7E4" w:rsidR="000A5036" w:rsidRPr="002F45D6" w:rsidRDefault="000A5036" w:rsidP="00B12369">
      <w:pPr>
        <w:pStyle w:val="FootnoteText"/>
        <w:jc w:val="both"/>
      </w:pPr>
      <w:r w:rsidRPr="002F45D6">
        <w:rPr>
          <w:rStyle w:val="FootnoteReference"/>
        </w:rPr>
        <w:footnoteRef/>
      </w:r>
      <w:r w:rsidRPr="002F45D6">
        <w:t xml:space="preserve"> </w:t>
      </w:r>
      <w:r w:rsidRPr="002F45D6">
        <w:rPr>
          <w:rFonts w:ascii="Times New Roman" w:hAnsi="Times New Roman"/>
        </w:rPr>
        <w:t>Rozporządzenie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(UE) 2021/240</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10 lutego 2021 r. (Dz.U. L 57</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1</w:t>
      </w:r>
      <w:r w:rsidRPr="002F45D6">
        <w:rPr>
          <w:rFonts w:ascii="Times New Roman" w:hAnsi="Times New Roman"/>
        </w:rPr>
        <w:t>8.2.2021, s. 1).</w:t>
      </w:r>
    </w:p>
  </w:footnote>
  <w:footnote w:id="11">
    <w:p w14:paraId="581603E5" w14:textId="33387063" w:rsidR="00F702B9" w:rsidRPr="002F45D6" w:rsidRDefault="00F702B9" w:rsidP="003B5180">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Rozporządzenie Parlamentu Europejskiego i Rady (UE) 2021/523</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24 marca 2021 r. ustanawiające program InvestEU</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zmi</w:t>
      </w:r>
      <w:r w:rsidRPr="002F45D6">
        <w:rPr>
          <w:rFonts w:ascii="Times New Roman" w:hAnsi="Times New Roman"/>
        </w:rPr>
        <w:t>eniające rozporządzenie (UE) 2015/1017 (Dz.U. L 107</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2</w:t>
      </w:r>
      <w:r w:rsidRPr="002F45D6">
        <w:rPr>
          <w:rFonts w:ascii="Times New Roman" w:hAnsi="Times New Roman"/>
        </w:rPr>
        <w:t>6.3.2021, s. 30).</w:t>
      </w:r>
    </w:p>
  </w:footnote>
  <w:footnote w:id="12">
    <w:p w14:paraId="659488FF" w14:textId="0ADD89E5" w:rsidR="00F702B9" w:rsidRPr="002F45D6" w:rsidRDefault="00F702B9" w:rsidP="00080DEA">
      <w:pPr>
        <w:pStyle w:val="FootnoteText"/>
        <w:jc w:val="both"/>
      </w:pPr>
      <w:r w:rsidRPr="002F45D6">
        <w:rPr>
          <w:rStyle w:val="FootnoteReference"/>
          <w:rFonts w:ascii="Times New Roman" w:hAnsi="Times New Roman"/>
        </w:rPr>
        <w:footnoteRef/>
      </w:r>
      <w:r w:rsidRPr="002F45D6">
        <w:t xml:space="preserve"> </w:t>
      </w:r>
      <w:r w:rsidRPr="002F45D6">
        <w:rPr>
          <w:rFonts w:ascii="Times New Roman" w:hAnsi="Times New Roman"/>
        </w:rPr>
        <w:t>Rozporządzenie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(UE) 2020/852</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18 czerwca 2020 r.</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ustanowienia ram ułatwiających zrównoważone inwestycje, zmieniające rozporządzenie (UE) 2019/2088 (Dz.U. L 198</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2</w:t>
      </w:r>
      <w:r w:rsidRPr="002F45D6">
        <w:rPr>
          <w:rFonts w:ascii="Times New Roman" w:hAnsi="Times New Roman"/>
        </w:rPr>
        <w:t>2.6.2020, s. 13).</w:t>
      </w:r>
    </w:p>
  </w:footnote>
  <w:footnote w:id="13">
    <w:p w14:paraId="2E15CB13" w14:textId="211C4DD5" w:rsidR="008B51CA" w:rsidRPr="002F45D6" w:rsidRDefault="008B51CA" w:rsidP="008B51CA">
      <w:pPr>
        <w:pStyle w:val="FootnoteText"/>
      </w:pPr>
      <w:r w:rsidRPr="002F45D6">
        <w:rPr>
          <w:rStyle w:val="FootnoteReference"/>
          <w:rFonts w:ascii="Times New Roman" w:hAnsi="Times New Roman" w:cs="Times New Roman"/>
        </w:rPr>
        <w:footnoteRef/>
      </w:r>
      <w:r w:rsidRPr="002F45D6">
        <w:rPr>
          <w:rFonts w:ascii="Times New Roman" w:hAnsi="Times New Roman"/>
        </w:rPr>
        <w:t xml:space="preserve"> Wykorzystanie talentów</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reg</w:t>
      </w:r>
      <w:r w:rsidRPr="002F45D6">
        <w:rPr>
          <w:rFonts w:ascii="Times New Roman" w:hAnsi="Times New Roman"/>
        </w:rPr>
        <w:t>ionach europejskich – zob. https://ec.europa.eu/commission/presscorner/detail/en/ip_23_145</w:t>
      </w:r>
    </w:p>
  </w:footnote>
  <w:footnote w:id="14">
    <w:p w14:paraId="128B3E2A" w14:textId="230B9587" w:rsidR="00F702B9" w:rsidRPr="002F45D6" w:rsidRDefault="00F702B9" w:rsidP="00AA458A">
      <w:pPr>
        <w:pStyle w:val="FootnoteText"/>
        <w:jc w:val="both"/>
        <w:rPr>
          <w:rFonts w:ascii="Times New Roman" w:hAnsi="Times New Roman"/>
        </w:rPr>
      </w:pPr>
      <w:r w:rsidRPr="002F45D6">
        <w:rPr>
          <w:rStyle w:val="FootnoteReference"/>
          <w:rFonts w:ascii="Times New Roman" w:hAnsi="Times New Roman"/>
        </w:rPr>
        <w:footnoteRef/>
      </w:r>
      <w:r w:rsidRPr="002F45D6">
        <w:rPr>
          <w:rFonts w:ascii="Times New Roman" w:hAnsi="Times New Roman"/>
        </w:rPr>
        <w:t>Partnerstwo na rzecz bezpieczeństwa surowców mineralnych powstało</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ini</w:t>
      </w:r>
      <w:r w:rsidRPr="002F45D6">
        <w:rPr>
          <w:rFonts w:ascii="Times New Roman" w:hAnsi="Times New Roman"/>
        </w:rPr>
        <w:t>cjatywy Stanów Zjednoczonych</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2</w:t>
      </w:r>
      <w:r w:rsidRPr="002F45D6">
        <w:rPr>
          <w:rFonts w:ascii="Times New Roman" w:hAnsi="Times New Roman"/>
        </w:rPr>
        <w:t>022</w:t>
      </w:r>
      <w:r w:rsidR="002F45D6" w:rsidRPr="002F45D6">
        <w:rPr>
          <w:rFonts w:ascii="Times New Roman" w:hAnsi="Times New Roman"/>
        </w:rPr>
        <w:t> </w:t>
      </w:r>
      <w:r w:rsidRPr="002F45D6">
        <w:rPr>
          <w:rFonts w:ascii="Times New Roman" w:hAnsi="Times New Roman"/>
        </w:rPr>
        <w:t>r.</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for</w:t>
      </w:r>
      <w:r w:rsidRPr="002F45D6">
        <w:rPr>
          <w:rFonts w:ascii="Times New Roman" w:hAnsi="Times New Roman"/>
        </w:rPr>
        <w:t>mie grupy państw</w:t>
      </w:r>
      <w:r w:rsidR="002F45D6" w:rsidRPr="002F45D6">
        <w:rPr>
          <w:rFonts w:ascii="Times New Roman" w:hAnsi="Times New Roman"/>
        </w:rPr>
        <w:t xml:space="preserve"> o</w:t>
      </w:r>
      <w:r w:rsidR="002F45D6">
        <w:rPr>
          <w:rFonts w:ascii="Times New Roman" w:hAnsi="Times New Roman"/>
        </w:rPr>
        <w:t> </w:t>
      </w:r>
      <w:r w:rsidR="002F45D6" w:rsidRPr="002F45D6">
        <w:rPr>
          <w:rFonts w:ascii="Times New Roman" w:hAnsi="Times New Roman"/>
        </w:rPr>
        <w:t>zbi</w:t>
      </w:r>
      <w:r w:rsidRPr="002F45D6">
        <w:rPr>
          <w:rFonts w:ascii="Times New Roman" w:hAnsi="Times New Roman"/>
        </w:rPr>
        <w:t>eżnych poglądach, której celem jest wymiana informacji na temat rozwoju sytuacji</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dzi</w:t>
      </w:r>
      <w:r w:rsidRPr="002F45D6">
        <w:rPr>
          <w:rFonts w:ascii="Times New Roman" w:hAnsi="Times New Roman"/>
        </w:rPr>
        <w:t>edzinie surowców krytycznych</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pań</w:t>
      </w:r>
      <w:r w:rsidRPr="002F45D6">
        <w:rPr>
          <w:rFonts w:ascii="Times New Roman" w:hAnsi="Times New Roman"/>
        </w:rPr>
        <w:t>stwach trzecich, wskazywanie możliwości inwestycyjnych</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wsp</w:t>
      </w:r>
      <w:r w:rsidRPr="002F45D6">
        <w:rPr>
          <w:rFonts w:ascii="Times New Roman" w:hAnsi="Times New Roman"/>
        </w:rPr>
        <w:t>ółinwestowanie</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pro</w:t>
      </w:r>
      <w:r w:rsidRPr="002F45D6">
        <w:rPr>
          <w:rFonts w:ascii="Times New Roman" w:hAnsi="Times New Roman"/>
        </w:rPr>
        <w:t>jekty</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zak</w:t>
      </w:r>
      <w:r w:rsidRPr="002F45D6">
        <w:rPr>
          <w:rFonts w:ascii="Times New Roman" w:hAnsi="Times New Roman"/>
        </w:rPr>
        <w:t>resie górnictwa, rafinacji</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rec</w:t>
      </w:r>
      <w:r w:rsidRPr="002F45D6">
        <w:rPr>
          <w:rFonts w:ascii="Times New Roman" w:hAnsi="Times New Roman"/>
        </w:rPr>
        <w:t>yklingu, które są zgodne</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wys</w:t>
      </w:r>
      <w:r w:rsidRPr="002F45D6">
        <w:rPr>
          <w:rFonts w:ascii="Times New Roman" w:hAnsi="Times New Roman"/>
        </w:rPr>
        <w:t>okimi normami środowiskowymi, społecznymi</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w</w:t>
      </w:r>
      <w:r w:rsidR="002F45D6">
        <w:rPr>
          <w:rFonts w:ascii="Times New Roman" w:hAnsi="Times New Roman"/>
        </w:rPr>
        <w:t> </w:t>
      </w:r>
      <w:r w:rsidR="002F45D6" w:rsidRPr="002F45D6">
        <w:rPr>
          <w:rFonts w:ascii="Times New Roman" w:hAnsi="Times New Roman"/>
        </w:rPr>
        <w:t>zak</w:t>
      </w:r>
      <w:r w:rsidRPr="002F45D6">
        <w:rPr>
          <w:rFonts w:ascii="Times New Roman" w:hAnsi="Times New Roman"/>
        </w:rPr>
        <w:t>resie zarządzania</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kra</w:t>
      </w:r>
      <w:r w:rsidRPr="002F45D6">
        <w:rPr>
          <w:rFonts w:ascii="Times New Roman" w:hAnsi="Times New Roman"/>
        </w:rPr>
        <w:t>jach partnerskich,</w:t>
      </w:r>
      <w:r w:rsidR="002F45D6" w:rsidRPr="002F45D6">
        <w:rPr>
          <w:rFonts w:ascii="Times New Roman" w:hAnsi="Times New Roman"/>
        </w:rPr>
        <w:t xml:space="preserve"> a</w:t>
      </w:r>
      <w:r w:rsidR="002F45D6">
        <w:rPr>
          <w:rFonts w:ascii="Times New Roman" w:hAnsi="Times New Roman"/>
        </w:rPr>
        <w:t> </w:t>
      </w:r>
      <w:r w:rsidR="002F45D6" w:rsidRPr="002F45D6">
        <w:rPr>
          <w:rFonts w:ascii="Times New Roman" w:hAnsi="Times New Roman"/>
        </w:rPr>
        <w:t>tak</w:t>
      </w:r>
      <w:r w:rsidRPr="002F45D6">
        <w:rPr>
          <w:rFonts w:ascii="Times New Roman" w:hAnsi="Times New Roman"/>
        </w:rPr>
        <w:t>że w „krajach docelowych”.</w:t>
      </w:r>
    </w:p>
  </w:footnote>
  <w:footnote w:id="15">
    <w:p w14:paraId="07A97A19" w14:textId="26B1299B" w:rsidR="00F702B9" w:rsidRPr="002F45D6" w:rsidRDefault="00F702B9" w:rsidP="00AA458A">
      <w:pPr>
        <w:pStyle w:val="FootnoteText"/>
        <w:jc w:val="both"/>
      </w:pPr>
      <w:r w:rsidRPr="002F45D6">
        <w:rPr>
          <w:rStyle w:val="FootnoteReference"/>
          <w:rFonts w:ascii="Times New Roman" w:hAnsi="Times New Roman"/>
        </w:rPr>
        <w:footnoteRef/>
      </w:r>
      <w:r w:rsidRPr="002F45D6">
        <w:t xml:space="preserve"> </w:t>
      </w:r>
      <w:r w:rsidRPr="002F45D6">
        <w:rPr>
          <w:rFonts w:ascii="Times New Roman" w:hAnsi="Times New Roman"/>
        </w:rPr>
        <w:t>Chile jest jednym</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naj</w:t>
      </w:r>
      <w:r w:rsidRPr="002F45D6">
        <w:rPr>
          <w:rFonts w:ascii="Times New Roman" w:hAnsi="Times New Roman"/>
        </w:rPr>
        <w:t>większych producentów litu na świecie.</w:t>
      </w:r>
    </w:p>
  </w:footnote>
  <w:footnote w:id="16">
    <w:p w14:paraId="1E8E99CB" w14:textId="1C1D3088" w:rsidR="00F702B9" w:rsidRPr="002F45D6" w:rsidRDefault="00F702B9" w:rsidP="00E00B14">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SIFA obejmuje ułatwianie wszelkiego rodzaju inwestycji we wszystkich sektorach gospodarki, na każdym etapie inwestycji – od powstania do etapu operacyjnego – i ma przynieść korzyści zarówno unijnym, jak</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lok</w:t>
      </w:r>
      <w:r w:rsidRPr="002F45D6">
        <w:rPr>
          <w:rFonts w:ascii="Times New Roman" w:hAnsi="Times New Roman"/>
        </w:rPr>
        <w:t>alnym przedsiębiorcom przez stworzenie przewidywalnych</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prz</w:t>
      </w:r>
      <w:r w:rsidRPr="002F45D6">
        <w:rPr>
          <w:rFonts w:ascii="Times New Roman" w:hAnsi="Times New Roman"/>
        </w:rPr>
        <w:t>ejrzystych ram regulacyjnych, usprawnienie procedur udzielania zezwoleń, ustanowienie punktów pierwszego kontaktu między inwestorami</w:t>
      </w:r>
      <w:r w:rsidR="002F45D6" w:rsidRPr="002F45D6">
        <w:rPr>
          <w:rFonts w:ascii="Times New Roman" w:hAnsi="Times New Roman"/>
        </w:rPr>
        <w:t xml:space="preserve"> a</w:t>
      </w:r>
      <w:r w:rsidR="002F45D6">
        <w:rPr>
          <w:rFonts w:ascii="Times New Roman" w:hAnsi="Times New Roman"/>
        </w:rPr>
        <w:t> </w:t>
      </w:r>
      <w:r w:rsidR="002F45D6" w:rsidRPr="002F45D6">
        <w:rPr>
          <w:rFonts w:ascii="Times New Roman" w:hAnsi="Times New Roman"/>
        </w:rPr>
        <w:t>adm</w:t>
      </w:r>
      <w:r w:rsidRPr="002F45D6">
        <w:rPr>
          <w:rFonts w:ascii="Times New Roman" w:hAnsi="Times New Roman"/>
        </w:rPr>
        <w:t>inistracją oraz przez zaangażowanie zainteresowanych podmiotów takich jak organizacje pozarządowe, organizacje przedsiębiorców</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pra</w:t>
      </w:r>
      <w:r w:rsidRPr="002F45D6">
        <w:rPr>
          <w:rFonts w:ascii="Times New Roman" w:hAnsi="Times New Roman"/>
        </w:rPr>
        <w:t>codawców oraz przedsiębiorstwa handlowe.</w:t>
      </w:r>
    </w:p>
  </w:footnote>
  <w:footnote w:id="17">
    <w:p w14:paraId="5FAEBD36" w14:textId="245C5752" w:rsidR="00F702B9" w:rsidRPr="002F45D6" w:rsidRDefault="00F702B9" w:rsidP="00AA458A">
      <w:pPr>
        <w:pStyle w:val="FootnoteText"/>
        <w:jc w:val="both"/>
        <w:rPr>
          <w:rFonts w:ascii="Times New Roman" w:hAnsi="Times New Roman"/>
        </w:rPr>
      </w:pPr>
      <w:r w:rsidRPr="002F45D6">
        <w:rPr>
          <w:rStyle w:val="FootnoteReference"/>
          <w:rFonts w:ascii="Times New Roman" w:hAnsi="Times New Roman" w:cs="Times New Roman"/>
        </w:rPr>
        <w:footnoteRef/>
      </w:r>
      <w:r w:rsidRPr="002F45D6">
        <w:rPr>
          <w:rFonts w:ascii="Times New Roman" w:hAnsi="Times New Roman"/>
        </w:rPr>
        <w:t xml:space="preserve"> https://ec.europa.eu/commission/presscorner/detail/pl/ip_22_6136</w:t>
      </w:r>
    </w:p>
  </w:footnote>
  <w:footnote w:id="18">
    <w:p w14:paraId="02032DAE" w14:textId="21D0B753" w:rsidR="00F702B9" w:rsidRPr="002F45D6" w:rsidRDefault="00F702B9" w:rsidP="00AA458A">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Zob. https://www.eeas.europa.eu/eeas/global-gateway_en</w:t>
      </w:r>
      <w:r w:rsidRPr="002F45D6">
        <w:rPr>
          <w:rStyle w:val="Hyperlink"/>
          <w:rFonts w:ascii="Times New Roman" w:hAnsi="Times New Roman"/>
          <w:color w:val="auto"/>
          <w:u w:val="none"/>
        </w:rPr>
        <w:t>.</w:t>
      </w:r>
    </w:p>
  </w:footnote>
  <w:footnote w:id="19">
    <w:p w14:paraId="2F379666" w14:textId="5A2FF5F9" w:rsidR="00F702B9" w:rsidRPr="002F45D6" w:rsidRDefault="00F702B9" w:rsidP="00020025">
      <w:pPr>
        <w:pStyle w:val="FootnoteText"/>
        <w:rPr>
          <w:rFonts w:ascii="Times New Roman" w:hAnsi="Times New Roman" w:cs="Times New Roman"/>
        </w:rPr>
      </w:pPr>
      <w:r w:rsidRPr="002F45D6">
        <w:rPr>
          <w:rFonts w:ascii="Times New Roman" w:hAnsi="Times New Roman" w:cs="Times New Roman"/>
          <w:vertAlign w:val="superscript"/>
        </w:rPr>
        <w:footnoteRef/>
      </w:r>
      <w:r w:rsidRPr="002F45D6">
        <w:rPr>
          <w:rFonts w:ascii="Times New Roman" w:hAnsi="Times New Roman"/>
        </w:rPr>
        <w:t xml:space="preserve"> </w:t>
      </w:r>
      <w:r w:rsidRPr="002F45D6">
        <w:rPr>
          <w:rFonts w:ascii="Times New Roman" w:hAnsi="Times New Roman"/>
          <w:sz w:val="18"/>
        </w:rPr>
        <w:t>Przykłady znanych programów: Niemcy (https://www.agaportal.de/en/ufk-garantien/grundlagen-ufk/grundzuege-ufk); Szwecja (https://www.ekn.se/en/magazine/guarantees/sweden-secures-supply-of-strategic-raw-materials/); Francja (https://www.bpifrance.com/products/strategic-project-insurance/); Finlandia (https://www.finnvera.fi/eng/products/export-credit-guarantees/raw-material-guarantee).</w:t>
      </w:r>
    </w:p>
  </w:footnote>
  <w:footnote w:id="20">
    <w:p w14:paraId="2320F294" w14:textId="5C225BD3" w:rsidR="00F702B9" w:rsidRPr="002F45D6" w:rsidRDefault="00F702B9" w:rsidP="00AA458A">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Zob. https://www.oecd.org/trade/topics/trade-in-raw-materials/</w:t>
      </w:r>
    </w:p>
  </w:footnote>
  <w:footnote w:id="21">
    <w:p w14:paraId="0850650C" w14:textId="7DD320D7" w:rsidR="00F702B9" w:rsidRPr="002F45D6" w:rsidRDefault="00F702B9" w:rsidP="00AA458A">
      <w:pPr>
        <w:pStyle w:val="FootnoteText"/>
        <w:jc w:val="both"/>
      </w:pPr>
      <w:r w:rsidRPr="002F45D6">
        <w:rPr>
          <w:rStyle w:val="FootnoteReference"/>
          <w:rFonts w:ascii="Times New Roman" w:hAnsi="Times New Roman"/>
        </w:rPr>
        <w:footnoteRef/>
      </w:r>
      <w:r w:rsidRPr="002F45D6">
        <w:rPr>
          <w:rFonts w:ascii="Times New Roman" w:hAnsi="Times New Roman"/>
        </w:rPr>
        <w:t xml:space="preserve"> Fliess, B., E. Idsardi and R. Rossouw (2017), „Export controls and competitiveness in African mining and minerals processing industries” [„Kontrola wywozu</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kon</w:t>
      </w:r>
      <w:r w:rsidRPr="002F45D6">
        <w:rPr>
          <w:rFonts w:ascii="Times New Roman" w:hAnsi="Times New Roman"/>
        </w:rPr>
        <w:t>kurencyjność</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afr</w:t>
      </w:r>
      <w:r w:rsidRPr="002F45D6">
        <w:rPr>
          <w:rFonts w:ascii="Times New Roman" w:hAnsi="Times New Roman"/>
        </w:rPr>
        <w:t>ykańskim przemyśle wydobywczym</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prz</w:t>
      </w:r>
      <w:r w:rsidRPr="002F45D6">
        <w:rPr>
          <w:rFonts w:ascii="Times New Roman" w:hAnsi="Times New Roman"/>
        </w:rPr>
        <w:t>etwórstwie surowców mineralnych”], OECD Trade Policy Papers, No. 204, OECD Publishing, Paris, https://doi.org/10.1787/1fddd828-en</w:t>
      </w:r>
    </w:p>
  </w:footnote>
  <w:footnote w:id="22">
    <w:p w14:paraId="1C89FA59" w14:textId="2CDE02D8" w:rsidR="00F702B9" w:rsidRPr="002F45D6" w:rsidRDefault="00F702B9" w:rsidP="00315BD5">
      <w:pPr>
        <w:pStyle w:val="FootnoteText"/>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https://qdd.oecd.org/subject.aspx?Subject=ExportRestrictions_IndustrialRawMaterials</w:t>
      </w:r>
    </w:p>
  </w:footnote>
  <w:footnote w:id="23">
    <w:p w14:paraId="7455F6C7" w14:textId="6DE288AC" w:rsidR="00F702B9" w:rsidRPr="002F45D6" w:rsidRDefault="00F702B9" w:rsidP="00315BD5">
      <w:pPr>
        <w:pStyle w:val="FootnoteText"/>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Zob. WTO DS431 China – Measures Related to the Exportation of Rare Earths, Tungsten and Molybdenum [Chiny – środki dotyczące wywozu ziem rzadkich, wolframu</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mol</w:t>
      </w:r>
      <w:r w:rsidRPr="002F45D6">
        <w:rPr>
          <w:rFonts w:ascii="Times New Roman" w:hAnsi="Times New Roman"/>
        </w:rPr>
        <w:t>ibdenu]: https://www.wto.org/english/tratop_e/dispu_e/cases_e/ds431_e.htm</w:t>
      </w:r>
    </w:p>
  </w:footnote>
  <w:footnote w:id="24">
    <w:p w14:paraId="20E93751" w14:textId="4E8EAA2B" w:rsidR="00F702B9" w:rsidRPr="002F45D6" w:rsidRDefault="00F702B9" w:rsidP="00315BD5">
      <w:pPr>
        <w:pStyle w:val="FootnoteText"/>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Zob. WTO DS 592 Indonesia – Measures Relating to Raw Materials [Indonezja – środki dotyczące surowców]: https://www.wto.org/english/tratop_e/dispu_e/cases_e/ds592_e.htm</w:t>
      </w:r>
    </w:p>
  </w:footnote>
  <w:footnote w:id="25">
    <w:p w14:paraId="7185576F" w14:textId="5CF60997" w:rsidR="00F702B9" w:rsidRPr="002F45D6" w:rsidRDefault="00F702B9" w:rsidP="00080DEA">
      <w:pPr>
        <w:pStyle w:val="FootnoteText"/>
        <w:jc w:val="both"/>
      </w:pPr>
      <w:r w:rsidRPr="002F45D6">
        <w:rPr>
          <w:rStyle w:val="FootnoteReference"/>
          <w:rFonts w:ascii="Times New Roman" w:hAnsi="Times New Roman"/>
        </w:rPr>
        <w:footnoteRef/>
      </w:r>
      <w:r w:rsidRPr="002F45D6">
        <w:t xml:space="preserve"> </w:t>
      </w:r>
      <w:r w:rsidRPr="002F45D6">
        <w:rPr>
          <w:rFonts w:ascii="Times New Roman" w:hAnsi="Times New Roman"/>
        </w:rPr>
        <w:t>Rozporządzenie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(UE) 2019/452</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19 marca 2019</w:t>
      </w:r>
      <w:r w:rsidR="002F45D6" w:rsidRPr="002F45D6">
        <w:rPr>
          <w:rFonts w:ascii="Times New Roman" w:hAnsi="Times New Roman"/>
        </w:rPr>
        <w:t> </w:t>
      </w:r>
      <w:r w:rsidRPr="002F45D6">
        <w:rPr>
          <w:rFonts w:ascii="Times New Roman" w:hAnsi="Times New Roman"/>
        </w:rPr>
        <w:t>r. ustanawiające ramy monitorowania bezpośrednich inwestycji zagranicznych</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Uni</w:t>
      </w:r>
      <w:r w:rsidRPr="002F45D6">
        <w:rPr>
          <w:rFonts w:ascii="Times New Roman" w:hAnsi="Times New Roman"/>
        </w:rPr>
        <w:t>i (Dz.U. L 79I</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2</w:t>
      </w:r>
      <w:r w:rsidRPr="002F45D6">
        <w:rPr>
          <w:rFonts w:ascii="Times New Roman" w:hAnsi="Times New Roman"/>
        </w:rPr>
        <w:t>1.3.2019, s. 1).</w:t>
      </w:r>
    </w:p>
  </w:footnote>
  <w:footnote w:id="26">
    <w:p w14:paraId="052DE262" w14:textId="0C7F969B" w:rsidR="00F702B9" w:rsidRPr="002F45D6" w:rsidRDefault="00F702B9" w:rsidP="00AA458A">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Guidance on due diligence for EU businesses to address the risk of forced labour in their operations and supply chains [Wytyczne dotyczące należytej staranności dla przedsiębiorstw UE dotyczące dochowania należytej staranności</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cel</w:t>
      </w:r>
      <w:r w:rsidRPr="002F45D6">
        <w:rPr>
          <w:rFonts w:ascii="Times New Roman" w:hAnsi="Times New Roman"/>
        </w:rPr>
        <w:t>u przeciwdziałania ryzyku pracy przymusowej</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ich</w:t>
      </w:r>
      <w:r w:rsidRPr="002F45D6">
        <w:rPr>
          <w:rFonts w:ascii="Times New Roman" w:hAnsi="Times New Roman"/>
        </w:rPr>
        <w:t xml:space="preserve"> działalności</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łań</w:t>
      </w:r>
      <w:r w:rsidRPr="002F45D6">
        <w:rPr>
          <w:rFonts w:ascii="Times New Roman" w:hAnsi="Times New Roman"/>
        </w:rPr>
        <w:t xml:space="preserve">cuchach dostaw] – https://trade.ec.europa.eu/doclib/docs/2021/july/tradoc_159709.pdf. </w:t>
      </w:r>
    </w:p>
  </w:footnote>
  <w:footnote w:id="27">
    <w:p w14:paraId="38E182D5" w14:textId="4B31A971" w:rsidR="00F702B9" w:rsidRPr="002F45D6" w:rsidRDefault="00F702B9" w:rsidP="007A3B2F">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Dyrektywa (UE) 2022/2464</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14 grudnia 2022</w:t>
      </w:r>
      <w:r w:rsidR="002F45D6" w:rsidRPr="002F45D6">
        <w:rPr>
          <w:rFonts w:ascii="Times New Roman" w:hAnsi="Times New Roman"/>
        </w:rPr>
        <w:t> </w:t>
      </w:r>
      <w:r w:rsidRPr="002F45D6">
        <w:rPr>
          <w:rFonts w:ascii="Times New Roman" w:hAnsi="Times New Roman"/>
        </w:rPr>
        <w:t>r.</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zmiany rozporządzenia (UE) nr 537/2014, dyrektywy 2004/109/WE, dyrektywy 2006/43/WE oraz dyrektywy 2013/34/UE</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odn</w:t>
      </w:r>
      <w:r w:rsidRPr="002F45D6">
        <w:rPr>
          <w:rFonts w:ascii="Times New Roman" w:hAnsi="Times New Roman"/>
        </w:rPr>
        <w:t>iesieniu do sprawozdawczości przedsiębiorstw</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zak</w:t>
      </w:r>
      <w:r w:rsidRPr="002F45D6">
        <w:rPr>
          <w:rFonts w:ascii="Times New Roman" w:hAnsi="Times New Roman"/>
        </w:rPr>
        <w:t>resie zrównoważonego rozwoju (Dz.U. L 322</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1</w:t>
      </w:r>
      <w:r w:rsidRPr="002F45D6">
        <w:rPr>
          <w:rFonts w:ascii="Times New Roman" w:hAnsi="Times New Roman"/>
        </w:rPr>
        <w:t>6.12.2022, s. 15).</w:t>
      </w:r>
    </w:p>
  </w:footnote>
  <w:footnote w:id="28">
    <w:p w14:paraId="0A8C379F" w14:textId="5E8D98FD" w:rsidR="00BC50F7" w:rsidRPr="002F45D6" w:rsidRDefault="00BC50F7" w:rsidP="00BC50F7">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Wniosek dotyczący rozporządzenia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baterii</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zuż</w:t>
      </w:r>
      <w:r w:rsidRPr="002F45D6">
        <w:rPr>
          <w:rFonts w:ascii="Times New Roman" w:hAnsi="Times New Roman"/>
        </w:rPr>
        <w:t>ytych baterii, uchylającego dyrektywę 2006/66/WE</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zmi</w:t>
      </w:r>
      <w:r w:rsidRPr="002F45D6">
        <w:rPr>
          <w:rFonts w:ascii="Times New Roman" w:hAnsi="Times New Roman"/>
        </w:rPr>
        <w:t>eniającego rozporządzenie (UE) 2019/1020 (COM(2020) 798 final).</w:t>
      </w:r>
    </w:p>
  </w:footnote>
  <w:footnote w:id="29">
    <w:p w14:paraId="0BC28D39" w14:textId="54A8844F" w:rsidR="00F702B9" w:rsidRPr="002F45D6" w:rsidRDefault="00F702B9" w:rsidP="00AA458A">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Rozporządzenie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(UE) 2017/821</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17 maja 2017</w:t>
      </w:r>
      <w:r w:rsidR="002F45D6" w:rsidRPr="002F45D6">
        <w:rPr>
          <w:rFonts w:ascii="Times New Roman" w:hAnsi="Times New Roman"/>
        </w:rPr>
        <w:t> </w:t>
      </w:r>
      <w:r w:rsidRPr="002F45D6">
        <w:rPr>
          <w:rFonts w:ascii="Times New Roman" w:hAnsi="Times New Roman"/>
        </w:rPr>
        <w:t>r. ustanawiające obowiązki</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zak</w:t>
      </w:r>
      <w:r w:rsidRPr="002F45D6">
        <w:rPr>
          <w:rFonts w:ascii="Times New Roman" w:hAnsi="Times New Roman"/>
        </w:rPr>
        <w:t>resie należytej staranności</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łań</w:t>
      </w:r>
      <w:r w:rsidRPr="002F45D6">
        <w:rPr>
          <w:rFonts w:ascii="Times New Roman" w:hAnsi="Times New Roman"/>
        </w:rPr>
        <w:t>cuchu dostaw unijnych importerów cyny, tantalu</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wol</w:t>
      </w:r>
      <w:r w:rsidRPr="002F45D6">
        <w:rPr>
          <w:rFonts w:ascii="Times New Roman" w:hAnsi="Times New Roman"/>
        </w:rPr>
        <w:t>framu, ich rud oraz złota pochodzących</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obs</w:t>
      </w:r>
      <w:r w:rsidRPr="002F45D6">
        <w:rPr>
          <w:rFonts w:ascii="Times New Roman" w:hAnsi="Times New Roman"/>
        </w:rPr>
        <w:t>zarów dotkniętych konfliktami</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obs</w:t>
      </w:r>
      <w:r w:rsidRPr="002F45D6">
        <w:rPr>
          <w:rFonts w:ascii="Times New Roman" w:hAnsi="Times New Roman"/>
        </w:rPr>
        <w:t>zarów wysokiego ryzyka, (Dz.U. L 130</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1</w:t>
      </w:r>
      <w:r w:rsidRPr="002F45D6">
        <w:rPr>
          <w:rFonts w:ascii="Times New Roman" w:hAnsi="Times New Roman"/>
        </w:rPr>
        <w:t>9.5.2017, s. 1).</w:t>
      </w:r>
    </w:p>
  </w:footnote>
  <w:footnote w:id="30">
    <w:p w14:paraId="24433D41" w14:textId="07D59827" w:rsidR="00F702B9" w:rsidRPr="002F45D6" w:rsidRDefault="00F702B9" w:rsidP="00AA458A">
      <w:pPr>
        <w:pStyle w:val="FootnoteText"/>
        <w:jc w:val="both"/>
        <w:rPr>
          <w:rFonts w:ascii="Times New Roman" w:hAnsi="Times New Roman"/>
        </w:rPr>
      </w:pPr>
      <w:r w:rsidRPr="002F45D6">
        <w:rPr>
          <w:rStyle w:val="FootnoteReference"/>
          <w:rFonts w:ascii="Times New Roman" w:hAnsi="Times New Roman" w:cs="Times New Roman"/>
        </w:rPr>
        <w:footnoteRef/>
      </w:r>
      <w:r w:rsidRPr="002F45D6">
        <w:rPr>
          <w:rFonts w:ascii="Times New Roman" w:hAnsi="Times New Roman"/>
        </w:rPr>
        <w:t xml:space="preserve"> OECD Due Diligence Guidance for Responsible Supply Chains of Minerals from Conflict-Affected and High-Risk Areas [Wytyczne OECD dotyczące należytej staranności dla odpowiedzialnych łańcuchów dostaw minerałów</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obs</w:t>
      </w:r>
      <w:r w:rsidRPr="002F45D6">
        <w:rPr>
          <w:rFonts w:ascii="Times New Roman" w:hAnsi="Times New Roman"/>
        </w:rPr>
        <w:t>zarów dotkniętych konfliktami</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obs</w:t>
      </w:r>
      <w:r w:rsidRPr="002F45D6">
        <w:rPr>
          <w:rFonts w:ascii="Times New Roman" w:hAnsi="Times New Roman"/>
        </w:rPr>
        <w:t>zarów wysokiego ryzyka], https://www.oecd.org/daf/inv/mne/OECD-Due-Diligence-Guidance-Minerals-Edition3.pdf</w:t>
      </w:r>
      <w:r w:rsidRPr="002F45D6">
        <w:rPr>
          <w:rStyle w:val="Hyperlink"/>
          <w:rFonts w:ascii="Times New Roman" w:hAnsi="Times New Roman"/>
        </w:rPr>
        <w:t>.</w:t>
      </w:r>
    </w:p>
  </w:footnote>
  <w:footnote w:id="31">
    <w:p w14:paraId="01D2799A" w14:textId="02A1C559" w:rsidR="00F702B9" w:rsidRPr="002F45D6" w:rsidRDefault="00F702B9" w:rsidP="002973F5">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Wniosek dotyczący dyrektywy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należytej staranności przedsiębiorstw</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zak</w:t>
      </w:r>
      <w:r w:rsidRPr="002F45D6">
        <w:rPr>
          <w:rFonts w:ascii="Times New Roman" w:hAnsi="Times New Roman"/>
        </w:rPr>
        <w:t>resie zrównoważonego rozwoju oraz zmieniającej dyrektywę (UE) 2019/1937 (COM(2022) 71 final).</w:t>
      </w:r>
    </w:p>
  </w:footnote>
  <w:footnote w:id="32">
    <w:p w14:paraId="58F0F158" w14:textId="6CB54146" w:rsidR="00F702B9" w:rsidRPr="002F45D6" w:rsidRDefault="00F702B9" w:rsidP="002973F5">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Wniosek dotyczący rozporządzenia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zakazu produktów wytwarzanych</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wyk</w:t>
      </w:r>
      <w:r w:rsidRPr="002F45D6">
        <w:rPr>
          <w:rFonts w:ascii="Times New Roman" w:hAnsi="Times New Roman"/>
        </w:rPr>
        <w:t>orzystaniem pracy przymusowej na rynku unijnym (COM/2022/453 final).</w:t>
      </w:r>
    </w:p>
  </w:footnote>
  <w:footnote w:id="33">
    <w:p w14:paraId="2D6B395D" w14:textId="2D19B20C" w:rsidR="00E41287" w:rsidRPr="002F45D6" w:rsidRDefault="00E41287" w:rsidP="00E41287">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Wniosek dotyczący rozporządzenia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baterii</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zuż</w:t>
      </w:r>
      <w:r w:rsidRPr="002F45D6">
        <w:rPr>
          <w:rFonts w:ascii="Times New Roman" w:hAnsi="Times New Roman"/>
        </w:rPr>
        <w:t>ytych baterii, uchylającego dyrektywę 2006/66/WE</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zmi</w:t>
      </w:r>
      <w:r w:rsidRPr="002F45D6">
        <w:rPr>
          <w:rFonts w:ascii="Times New Roman" w:hAnsi="Times New Roman"/>
        </w:rPr>
        <w:t>eniającego rozporządzenie (UE) 2019/1020 (COM(2020) 798 final).</w:t>
      </w:r>
    </w:p>
  </w:footnote>
  <w:footnote w:id="34">
    <w:p w14:paraId="3DAD3388" w14:textId="1047A5D7" w:rsidR="00F702B9" w:rsidRPr="002F45D6" w:rsidRDefault="00F702B9" w:rsidP="00080DEA">
      <w:pPr>
        <w:pStyle w:val="FootnoteText"/>
        <w:rPr>
          <w:rFonts w:ascii="Times New Roman" w:hAnsi="Times New Roman" w:cs="Times New Roman"/>
        </w:rPr>
      </w:pPr>
      <w:r w:rsidRPr="002F45D6">
        <w:rPr>
          <w:rFonts w:ascii="Times New Roman" w:hAnsi="Times New Roman"/>
          <w:vertAlign w:val="superscript"/>
        </w:rPr>
        <w:footnoteRef/>
      </w:r>
      <w:r w:rsidRPr="002F45D6">
        <w:rPr>
          <w:rFonts w:ascii="Times New Roman" w:hAnsi="Times New Roman"/>
        </w:rPr>
        <w:t xml:space="preserve"> Wniosek dotyczący dyrektywy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zmieniającej dyrektywę 2000/60/WE ustanawiającą ramy wspólnotowego działania</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dzi</w:t>
      </w:r>
      <w:r w:rsidRPr="002F45D6">
        <w:rPr>
          <w:rFonts w:ascii="Times New Roman" w:hAnsi="Times New Roman"/>
        </w:rPr>
        <w:t>edzinie polityki wodnej, dyrektywę 2006/118/WE</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ochrony wód podziemnych przed zanieczyszczeniem</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pog</w:t>
      </w:r>
      <w:r w:rsidRPr="002F45D6">
        <w:rPr>
          <w:rFonts w:ascii="Times New Roman" w:hAnsi="Times New Roman"/>
        </w:rPr>
        <w:t>orszeniem ich stanu oraz dyrektywę 2008/105/WE</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środowiskowych norm jakości</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dzi</w:t>
      </w:r>
      <w:r w:rsidRPr="002F45D6">
        <w:rPr>
          <w:rFonts w:ascii="Times New Roman" w:hAnsi="Times New Roman"/>
        </w:rPr>
        <w:t>edzinie polityki wodnej (COM(2022) 540 final).</w:t>
      </w:r>
    </w:p>
  </w:footnote>
  <w:footnote w:id="35">
    <w:p w14:paraId="2A3F0E6C" w14:textId="38667EE5" w:rsidR="00F702B9" w:rsidRPr="002F45D6" w:rsidRDefault="00F702B9" w:rsidP="00130193">
      <w:pPr>
        <w:pStyle w:val="FootnoteText"/>
      </w:pPr>
      <w:r w:rsidRPr="002F45D6">
        <w:rPr>
          <w:rStyle w:val="FootnoteReference"/>
          <w:rFonts w:ascii="Times New Roman" w:hAnsi="Times New Roman" w:cs="Times New Roman"/>
        </w:rPr>
        <w:footnoteRef/>
      </w:r>
      <w:r w:rsidRPr="002F45D6">
        <w:rPr>
          <w:rFonts w:ascii="Times New Roman" w:hAnsi="Times New Roman"/>
        </w:rPr>
        <w:t xml:space="preserve"> Wniosek dotyczący dyrektywy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zmieniającej dyrektywę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2010/75/UE</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24 listopada 2010</w:t>
      </w:r>
      <w:r w:rsidR="002F45D6" w:rsidRPr="002F45D6">
        <w:rPr>
          <w:rFonts w:ascii="Times New Roman" w:hAnsi="Times New Roman"/>
        </w:rPr>
        <w:t> </w:t>
      </w:r>
      <w:r w:rsidRPr="002F45D6">
        <w:rPr>
          <w:rFonts w:ascii="Times New Roman" w:hAnsi="Times New Roman"/>
        </w:rPr>
        <w:t>r.</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emisji przemysłowych (zintegrowane zapobieganie zanieczyszczeniom</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ich</w:t>
      </w:r>
      <w:r w:rsidRPr="002F45D6">
        <w:rPr>
          <w:rFonts w:ascii="Times New Roman" w:hAnsi="Times New Roman"/>
        </w:rPr>
        <w:t xml:space="preserve"> kontrola)</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dyr</w:t>
      </w:r>
      <w:r w:rsidRPr="002F45D6">
        <w:rPr>
          <w:rFonts w:ascii="Times New Roman" w:hAnsi="Times New Roman"/>
        </w:rPr>
        <w:t>ektywę Rady 1999/31/WE</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26 kwietnia 1999</w:t>
      </w:r>
      <w:r w:rsidR="002F45D6" w:rsidRPr="002F45D6">
        <w:rPr>
          <w:rFonts w:ascii="Times New Roman" w:hAnsi="Times New Roman"/>
        </w:rPr>
        <w:t> </w:t>
      </w:r>
      <w:r w:rsidRPr="002F45D6">
        <w:rPr>
          <w:rFonts w:ascii="Times New Roman" w:hAnsi="Times New Roman"/>
        </w:rPr>
        <w:t>r.</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składowania odpadów (COM(2022) 156 final).</w:t>
      </w:r>
    </w:p>
  </w:footnote>
  <w:footnote w:id="36">
    <w:p w14:paraId="0C4B5DCA" w14:textId="44C4B7EE" w:rsidR="00F702B9" w:rsidRPr="002F45D6" w:rsidRDefault="00F702B9" w:rsidP="00AA458A">
      <w:pPr>
        <w:pStyle w:val="FootnoteText"/>
        <w:jc w:val="both"/>
        <w:rPr>
          <w:rFonts w:ascii="Times New Roman" w:hAnsi="Times New Roman" w:cs="Times New Roman"/>
        </w:rPr>
      </w:pPr>
      <w:r w:rsidRPr="002F45D6">
        <w:rPr>
          <w:rStyle w:val="FootnoteReference"/>
          <w:rFonts w:ascii="Times New Roman" w:hAnsi="Times New Roman" w:cs="Times New Roman"/>
        </w:rPr>
        <w:footnoteRef/>
      </w:r>
      <w:r w:rsidRPr="002F45D6">
        <w:rPr>
          <w:rFonts w:ascii="Times New Roman" w:hAnsi="Times New Roman"/>
        </w:rPr>
        <w:t xml:space="preserve"> Zob. przegląd inicjatyw</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rap</w:t>
      </w:r>
      <w:r w:rsidRPr="002F45D6">
        <w:rPr>
          <w:rFonts w:ascii="Times New Roman" w:hAnsi="Times New Roman"/>
        </w:rPr>
        <w:t>orcie Międzynarodowej Agencji Energetycznej, I. (2021). The role of critical minerals in clean energy transitions. World Energy Outlook Special Report, [Rola krytycznych surowców mineralnych</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czy</w:t>
      </w:r>
      <w:r w:rsidRPr="002F45D6">
        <w:rPr>
          <w:rFonts w:ascii="Times New Roman" w:hAnsi="Times New Roman"/>
        </w:rPr>
        <w:t>stej transformacji energetycznej – Raport specjalny na temat perspektyw energetycznych na świecie], s. 240.</w:t>
      </w:r>
    </w:p>
  </w:footnote>
  <w:footnote w:id="37">
    <w:p w14:paraId="2E1161DC" w14:textId="709823A8" w:rsidR="00E74E85" w:rsidRPr="002F45D6" w:rsidRDefault="00E74E85">
      <w:pPr>
        <w:pStyle w:val="FootnoteText"/>
      </w:pPr>
      <w:r w:rsidRPr="002F45D6">
        <w:rPr>
          <w:rStyle w:val="FootnoteReference"/>
          <w:rFonts w:ascii="Times New Roman" w:hAnsi="Times New Roman" w:cs="Times New Roman"/>
        </w:rPr>
        <w:footnoteRef/>
      </w:r>
      <w:r w:rsidRPr="002F45D6">
        <w:rPr>
          <w:rFonts w:ascii="Times New Roman" w:hAnsi="Times New Roman"/>
        </w:rPr>
        <w:t>Komunikat Komisji do Parlamentu Europejskiego, Rady, Europejskiego Komitetu Ekonomiczno-Społecznego I Komitetu Regionów – Siła partnerstw handlowych: współpraca na rzecz zielonego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awiedliwego wzrostu (COM(2022) 409 final)</w:t>
      </w:r>
    </w:p>
  </w:footnote>
  <w:footnote w:id="38">
    <w:p w14:paraId="0F31EDFE" w14:textId="28A9F571" w:rsidR="00F702B9" w:rsidRPr="002F45D6" w:rsidRDefault="00F702B9" w:rsidP="00080DEA">
      <w:pPr>
        <w:pStyle w:val="FootnoteText"/>
        <w:jc w:val="both"/>
        <w:rPr>
          <w:rFonts w:ascii="Times New Roman" w:hAnsi="Times New Roman" w:cs="Times New Roman"/>
        </w:rPr>
      </w:pPr>
      <w:r w:rsidRPr="002F45D6">
        <w:rPr>
          <w:rStyle w:val="FootnoteReference"/>
          <w:rFonts w:ascii="Times New Roman" w:hAnsi="Times New Roman"/>
        </w:rPr>
        <w:footnoteRef/>
      </w:r>
      <w:r w:rsidRPr="002F45D6">
        <w:t xml:space="preserve"> </w:t>
      </w:r>
      <w:r w:rsidRPr="002F45D6">
        <w:rPr>
          <w:rFonts w:ascii="Times New Roman" w:hAnsi="Times New Roman"/>
        </w:rPr>
        <w:t>Dyrektywa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2009/125/WE</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21 października 2009</w:t>
      </w:r>
      <w:r w:rsidR="002F45D6" w:rsidRPr="002F45D6">
        <w:rPr>
          <w:rFonts w:ascii="Times New Roman" w:hAnsi="Times New Roman"/>
        </w:rPr>
        <w:t> </w:t>
      </w:r>
      <w:r w:rsidRPr="002F45D6">
        <w:rPr>
          <w:rFonts w:ascii="Times New Roman" w:hAnsi="Times New Roman"/>
        </w:rPr>
        <w:t>r. ustanawiająca ogólne zasady ustalania wymogów dotyczących ekoprojektu dla produktów związanych</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ene</w:t>
      </w:r>
      <w:r w:rsidRPr="002F45D6">
        <w:rPr>
          <w:rFonts w:ascii="Times New Roman" w:hAnsi="Times New Roman"/>
        </w:rPr>
        <w:t>rgią oraz Wniosek Komisji dotyczący rozporządzenia</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ekoprojektu dla zrównoważonych produktów (COM(2022) 142 final).</w:t>
      </w:r>
    </w:p>
  </w:footnote>
  <w:footnote w:id="39">
    <w:p w14:paraId="0983CF91" w14:textId="40F36D1F" w:rsidR="00F702B9" w:rsidRPr="002F45D6" w:rsidRDefault="00F702B9" w:rsidP="00080DEA">
      <w:pPr>
        <w:pStyle w:val="FootnoteText"/>
        <w:jc w:val="both"/>
        <w:rPr>
          <w:rFonts w:ascii="Segoe UI" w:hAnsi="Segoe UI" w:cs="Segoe UI"/>
        </w:rPr>
      </w:pPr>
      <w:r w:rsidRPr="002F45D6">
        <w:rPr>
          <w:rStyle w:val="FootnoteReference"/>
          <w:rFonts w:ascii="Times New Roman" w:hAnsi="Times New Roman" w:cs="Times New Roman"/>
        </w:rPr>
        <w:footnoteRef/>
      </w:r>
      <w:r w:rsidRPr="002F45D6">
        <w:rPr>
          <w:rFonts w:ascii="Times New Roman" w:hAnsi="Times New Roman"/>
        </w:rPr>
        <w:t xml:space="preserve"> Dyrektywa Parlamentu Europejskiego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Rad</w:t>
      </w:r>
      <w:r w:rsidRPr="002F45D6">
        <w:rPr>
          <w:rFonts w:ascii="Times New Roman" w:hAnsi="Times New Roman"/>
        </w:rPr>
        <w:t>y 2012/19/UE</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dni</w:t>
      </w:r>
      <w:r w:rsidRPr="002F45D6">
        <w:rPr>
          <w:rFonts w:ascii="Times New Roman" w:hAnsi="Times New Roman"/>
        </w:rPr>
        <w:t>a 4 lipca 2012</w:t>
      </w:r>
      <w:r w:rsidR="002F45D6" w:rsidRPr="002F45D6">
        <w:rPr>
          <w:rFonts w:ascii="Times New Roman" w:hAnsi="Times New Roman"/>
        </w:rPr>
        <w:t> </w:t>
      </w:r>
      <w:r w:rsidRPr="002F45D6">
        <w:rPr>
          <w:rFonts w:ascii="Times New Roman" w:hAnsi="Times New Roman"/>
        </w:rPr>
        <w:t>r.</w:t>
      </w:r>
      <w:r w:rsidR="002F45D6" w:rsidRPr="002F45D6">
        <w:rPr>
          <w:rFonts w:ascii="Times New Roman" w:hAnsi="Times New Roman"/>
        </w:rPr>
        <w:t xml:space="preserve"> w</w:t>
      </w:r>
      <w:r w:rsidR="002F45D6">
        <w:rPr>
          <w:rFonts w:ascii="Times New Roman" w:hAnsi="Times New Roman"/>
        </w:rPr>
        <w:t> </w:t>
      </w:r>
      <w:r w:rsidR="002F45D6" w:rsidRPr="002F45D6">
        <w:rPr>
          <w:rFonts w:ascii="Times New Roman" w:hAnsi="Times New Roman"/>
        </w:rPr>
        <w:t>spr</w:t>
      </w:r>
      <w:r w:rsidRPr="002F45D6">
        <w:rPr>
          <w:rFonts w:ascii="Times New Roman" w:hAnsi="Times New Roman"/>
        </w:rPr>
        <w:t>awie zużytego sprzętu elektrycznego</w:t>
      </w:r>
      <w:r w:rsidR="002F45D6" w:rsidRPr="002F45D6">
        <w:rPr>
          <w:rFonts w:ascii="Times New Roman" w:hAnsi="Times New Roman"/>
        </w:rPr>
        <w:t xml:space="preserve"> i</w:t>
      </w:r>
      <w:r w:rsidR="002F45D6">
        <w:rPr>
          <w:rFonts w:ascii="Times New Roman" w:hAnsi="Times New Roman"/>
        </w:rPr>
        <w:t> </w:t>
      </w:r>
      <w:r w:rsidR="002F45D6" w:rsidRPr="002F45D6">
        <w:rPr>
          <w:rFonts w:ascii="Times New Roman" w:hAnsi="Times New Roman"/>
        </w:rPr>
        <w:t>ele</w:t>
      </w:r>
      <w:r w:rsidRPr="002F45D6">
        <w:rPr>
          <w:rFonts w:ascii="Times New Roman" w:hAnsi="Times New Roman"/>
        </w:rPr>
        <w:t>ktronicznego (WEEE) (Dz.U. L 197</w:t>
      </w:r>
      <w:r w:rsidR="002F45D6" w:rsidRPr="002F45D6">
        <w:rPr>
          <w:rFonts w:ascii="Times New Roman" w:hAnsi="Times New Roman"/>
        </w:rPr>
        <w:t xml:space="preserve"> z</w:t>
      </w:r>
      <w:r w:rsidR="002F45D6">
        <w:rPr>
          <w:rFonts w:ascii="Times New Roman" w:hAnsi="Times New Roman"/>
        </w:rPr>
        <w:t> </w:t>
      </w:r>
      <w:r w:rsidR="002F45D6" w:rsidRPr="002F45D6">
        <w:rPr>
          <w:rFonts w:ascii="Times New Roman" w:hAnsi="Times New Roman"/>
        </w:rPr>
        <w:t>2</w:t>
      </w:r>
      <w:r w:rsidRPr="002F45D6">
        <w:rPr>
          <w:rFonts w:ascii="Times New Roman" w:hAnsi="Times New Roman"/>
        </w:rPr>
        <w:t>4.7.2012, s. 38).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847A6" w14:textId="77777777" w:rsidR="00203085" w:rsidRPr="00203085" w:rsidRDefault="00203085" w:rsidP="00203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6594" w14:textId="77777777" w:rsidR="00203085" w:rsidRPr="00203085" w:rsidRDefault="00203085" w:rsidP="0020308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6AB4" w14:textId="77777777" w:rsidR="00203085" w:rsidRPr="00203085" w:rsidRDefault="00203085" w:rsidP="0020308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C67D0" w14:textId="77777777" w:rsidR="00F702B9" w:rsidRDefault="00F702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E2BAD" w14:textId="77777777" w:rsidR="00F702B9" w:rsidRDefault="00F702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60DED" w14:textId="77777777" w:rsidR="00F702B9" w:rsidRDefault="00F70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1008"/>
    <w:multiLevelType w:val="hybridMultilevel"/>
    <w:tmpl w:val="43C0A1B0"/>
    <w:lvl w:ilvl="0" w:tplc="64E65828">
      <w:start w:val="1"/>
      <w:numFmt w:val="bullet"/>
      <w:lvlText w:val="·"/>
      <w:lvlJc w:val="left"/>
      <w:pPr>
        <w:ind w:left="720" w:hanging="360"/>
      </w:pPr>
      <w:rPr>
        <w:rFonts w:ascii="Symbol" w:hAnsi="Symbol" w:hint="default"/>
      </w:rPr>
    </w:lvl>
    <w:lvl w:ilvl="1" w:tplc="87C410E4">
      <w:start w:val="1"/>
      <w:numFmt w:val="bullet"/>
      <w:lvlText w:val="o"/>
      <w:lvlJc w:val="left"/>
      <w:pPr>
        <w:ind w:left="1440" w:hanging="360"/>
      </w:pPr>
      <w:rPr>
        <w:rFonts w:ascii="Courier New" w:hAnsi="Courier New" w:hint="default"/>
      </w:rPr>
    </w:lvl>
    <w:lvl w:ilvl="2" w:tplc="5E8EFB5C">
      <w:start w:val="1"/>
      <w:numFmt w:val="bullet"/>
      <w:lvlText w:val=""/>
      <w:lvlJc w:val="left"/>
      <w:pPr>
        <w:ind w:left="2160" w:hanging="360"/>
      </w:pPr>
      <w:rPr>
        <w:rFonts w:ascii="Wingdings" w:hAnsi="Wingdings" w:hint="default"/>
      </w:rPr>
    </w:lvl>
    <w:lvl w:ilvl="3" w:tplc="BAC0D7CA">
      <w:start w:val="1"/>
      <w:numFmt w:val="bullet"/>
      <w:lvlText w:val=""/>
      <w:lvlJc w:val="left"/>
      <w:pPr>
        <w:ind w:left="2880" w:hanging="360"/>
      </w:pPr>
      <w:rPr>
        <w:rFonts w:ascii="Symbol" w:hAnsi="Symbol" w:hint="default"/>
      </w:rPr>
    </w:lvl>
    <w:lvl w:ilvl="4" w:tplc="2154102E">
      <w:start w:val="1"/>
      <w:numFmt w:val="bullet"/>
      <w:lvlText w:val="o"/>
      <w:lvlJc w:val="left"/>
      <w:pPr>
        <w:ind w:left="3600" w:hanging="360"/>
      </w:pPr>
      <w:rPr>
        <w:rFonts w:ascii="Courier New" w:hAnsi="Courier New" w:hint="default"/>
      </w:rPr>
    </w:lvl>
    <w:lvl w:ilvl="5" w:tplc="12129C10">
      <w:start w:val="1"/>
      <w:numFmt w:val="bullet"/>
      <w:lvlText w:val=""/>
      <w:lvlJc w:val="left"/>
      <w:pPr>
        <w:ind w:left="4320" w:hanging="360"/>
      </w:pPr>
      <w:rPr>
        <w:rFonts w:ascii="Wingdings" w:hAnsi="Wingdings" w:hint="default"/>
      </w:rPr>
    </w:lvl>
    <w:lvl w:ilvl="6" w:tplc="A266AD8C">
      <w:start w:val="1"/>
      <w:numFmt w:val="bullet"/>
      <w:lvlText w:val=""/>
      <w:lvlJc w:val="left"/>
      <w:pPr>
        <w:ind w:left="5040" w:hanging="360"/>
      </w:pPr>
      <w:rPr>
        <w:rFonts w:ascii="Symbol" w:hAnsi="Symbol" w:hint="default"/>
      </w:rPr>
    </w:lvl>
    <w:lvl w:ilvl="7" w:tplc="8598A506">
      <w:start w:val="1"/>
      <w:numFmt w:val="bullet"/>
      <w:lvlText w:val="o"/>
      <w:lvlJc w:val="left"/>
      <w:pPr>
        <w:ind w:left="5760" w:hanging="360"/>
      </w:pPr>
      <w:rPr>
        <w:rFonts w:ascii="Courier New" w:hAnsi="Courier New" w:hint="default"/>
      </w:rPr>
    </w:lvl>
    <w:lvl w:ilvl="8" w:tplc="53348394">
      <w:start w:val="1"/>
      <w:numFmt w:val="bullet"/>
      <w:lvlText w:val=""/>
      <w:lvlJc w:val="left"/>
      <w:pPr>
        <w:ind w:left="6480" w:hanging="360"/>
      </w:pPr>
      <w:rPr>
        <w:rFonts w:ascii="Wingdings" w:hAnsi="Wingdings" w:hint="default"/>
      </w:rPr>
    </w:lvl>
  </w:abstractNum>
  <w:abstractNum w:abstractNumId="1" w15:restartNumberingAfterBreak="0">
    <w:nsid w:val="03F16FC9"/>
    <w:multiLevelType w:val="hybridMultilevel"/>
    <w:tmpl w:val="C384107E"/>
    <w:lvl w:ilvl="0" w:tplc="FFFFFFFF">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6FC1E8C"/>
    <w:multiLevelType w:val="hybridMultilevel"/>
    <w:tmpl w:val="178012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FA2214"/>
    <w:multiLevelType w:val="hybridMultilevel"/>
    <w:tmpl w:val="F58ECF12"/>
    <w:lvl w:ilvl="0" w:tplc="18090001">
      <w:start w:val="1"/>
      <w:numFmt w:val="bullet"/>
      <w:lvlText w:val=""/>
      <w:lvlJc w:val="left"/>
      <w:pPr>
        <w:ind w:left="644" w:hanging="360"/>
      </w:pPr>
      <w:rPr>
        <w:rFonts w:ascii="Symbol" w:hAnsi="Symbol" w:hint="default"/>
      </w:rPr>
    </w:lvl>
    <w:lvl w:ilvl="1" w:tplc="18090003">
      <w:start w:val="1"/>
      <w:numFmt w:val="bullet"/>
      <w:lvlText w:val="o"/>
      <w:lvlJc w:val="left"/>
      <w:pPr>
        <w:ind w:left="1364" w:hanging="360"/>
      </w:pPr>
      <w:rPr>
        <w:rFonts w:ascii="Courier New" w:hAnsi="Courier New" w:cs="Courier New" w:hint="default"/>
      </w:rPr>
    </w:lvl>
    <w:lvl w:ilvl="2" w:tplc="18090005">
      <w:start w:val="1"/>
      <w:numFmt w:val="bullet"/>
      <w:lvlText w:val=""/>
      <w:lvlJc w:val="left"/>
      <w:pPr>
        <w:ind w:left="2084" w:hanging="360"/>
      </w:pPr>
      <w:rPr>
        <w:rFonts w:ascii="Wingdings" w:hAnsi="Wingdings" w:hint="default"/>
      </w:rPr>
    </w:lvl>
    <w:lvl w:ilvl="3" w:tplc="18090001">
      <w:start w:val="1"/>
      <w:numFmt w:val="bullet"/>
      <w:lvlText w:val=""/>
      <w:lvlJc w:val="left"/>
      <w:pPr>
        <w:ind w:left="2804" w:hanging="360"/>
      </w:pPr>
      <w:rPr>
        <w:rFonts w:ascii="Symbol" w:hAnsi="Symbol" w:hint="default"/>
      </w:rPr>
    </w:lvl>
    <w:lvl w:ilvl="4" w:tplc="18090003">
      <w:start w:val="1"/>
      <w:numFmt w:val="bullet"/>
      <w:lvlText w:val="o"/>
      <w:lvlJc w:val="left"/>
      <w:pPr>
        <w:ind w:left="3524" w:hanging="360"/>
      </w:pPr>
      <w:rPr>
        <w:rFonts w:ascii="Courier New" w:hAnsi="Courier New" w:cs="Courier New" w:hint="default"/>
      </w:rPr>
    </w:lvl>
    <w:lvl w:ilvl="5" w:tplc="18090005">
      <w:start w:val="1"/>
      <w:numFmt w:val="bullet"/>
      <w:lvlText w:val=""/>
      <w:lvlJc w:val="left"/>
      <w:pPr>
        <w:ind w:left="4244" w:hanging="360"/>
      </w:pPr>
      <w:rPr>
        <w:rFonts w:ascii="Wingdings" w:hAnsi="Wingdings" w:hint="default"/>
      </w:rPr>
    </w:lvl>
    <w:lvl w:ilvl="6" w:tplc="18090001">
      <w:start w:val="1"/>
      <w:numFmt w:val="bullet"/>
      <w:lvlText w:val=""/>
      <w:lvlJc w:val="left"/>
      <w:pPr>
        <w:ind w:left="4964" w:hanging="360"/>
      </w:pPr>
      <w:rPr>
        <w:rFonts w:ascii="Symbol" w:hAnsi="Symbol" w:hint="default"/>
      </w:rPr>
    </w:lvl>
    <w:lvl w:ilvl="7" w:tplc="18090003">
      <w:start w:val="1"/>
      <w:numFmt w:val="bullet"/>
      <w:lvlText w:val="o"/>
      <w:lvlJc w:val="left"/>
      <w:pPr>
        <w:ind w:left="5684" w:hanging="360"/>
      </w:pPr>
      <w:rPr>
        <w:rFonts w:ascii="Courier New" w:hAnsi="Courier New" w:cs="Courier New" w:hint="default"/>
      </w:rPr>
    </w:lvl>
    <w:lvl w:ilvl="8" w:tplc="18090005">
      <w:start w:val="1"/>
      <w:numFmt w:val="bullet"/>
      <w:lvlText w:val=""/>
      <w:lvlJc w:val="left"/>
      <w:pPr>
        <w:ind w:left="6404" w:hanging="360"/>
      </w:pPr>
      <w:rPr>
        <w:rFonts w:ascii="Wingdings" w:hAnsi="Wingdings" w:hint="default"/>
      </w:rPr>
    </w:lvl>
  </w:abstractNum>
  <w:abstractNum w:abstractNumId="4" w15:restartNumberingAfterBreak="0">
    <w:nsid w:val="09246503"/>
    <w:multiLevelType w:val="hybridMultilevel"/>
    <w:tmpl w:val="F1C6E938"/>
    <w:lvl w:ilvl="0" w:tplc="043A99C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0D7D24D1"/>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03789"/>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03B27"/>
    <w:multiLevelType w:val="hybridMultilevel"/>
    <w:tmpl w:val="F49810D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73838E"/>
    <w:multiLevelType w:val="hybridMultilevel"/>
    <w:tmpl w:val="D53A936C"/>
    <w:lvl w:ilvl="0" w:tplc="3BE07EBA">
      <w:start w:val="1"/>
      <w:numFmt w:val="bullet"/>
      <w:lvlText w:val="·"/>
      <w:lvlJc w:val="left"/>
      <w:pPr>
        <w:ind w:left="720" w:hanging="360"/>
      </w:pPr>
      <w:rPr>
        <w:rFonts w:ascii="Symbol" w:hAnsi="Symbol" w:hint="default"/>
      </w:rPr>
    </w:lvl>
    <w:lvl w:ilvl="1" w:tplc="118EE5D4">
      <w:start w:val="1"/>
      <w:numFmt w:val="bullet"/>
      <w:lvlText w:val="o"/>
      <w:lvlJc w:val="left"/>
      <w:pPr>
        <w:ind w:left="1440" w:hanging="360"/>
      </w:pPr>
      <w:rPr>
        <w:rFonts w:ascii="Courier New" w:hAnsi="Courier New" w:hint="default"/>
      </w:rPr>
    </w:lvl>
    <w:lvl w:ilvl="2" w:tplc="A64C4422">
      <w:start w:val="1"/>
      <w:numFmt w:val="bullet"/>
      <w:lvlText w:val=""/>
      <w:lvlJc w:val="left"/>
      <w:pPr>
        <w:ind w:left="2160" w:hanging="360"/>
      </w:pPr>
      <w:rPr>
        <w:rFonts w:ascii="Wingdings" w:hAnsi="Wingdings" w:hint="default"/>
      </w:rPr>
    </w:lvl>
    <w:lvl w:ilvl="3" w:tplc="4AD0A086">
      <w:start w:val="1"/>
      <w:numFmt w:val="bullet"/>
      <w:lvlText w:val=""/>
      <w:lvlJc w:val="left"/>
      <w:pPr>
        <w:ind w:left="2880" w:hanging="360"/>
      </w:pPr>
      <w:rPr>
        <w:rFonts w:ascii="Symbol" w:hAnsi="Symbol" w:hint="default"/>
      </w:rPr>
    </w:lvl>
    <w:lvl w:ilvl="4" w:tplc="A2CE2282">
      <w:start w:val="1"/>
      <w:numFmt w:val="bullet"/>
      <w:lvlText w:val="o"/>
      <w:lvlJc w:val="left"/>
      <w:pPr>
        <w:ind w:left="3600" w:hanging="360"/>
      </w:pPr>
      <w:rPr>
        <w:rFonts w:ascii="Courier New" w:hAnsi="Courier New" w:hint="default"/>
      </w:rPr>
    </w:lvl>
    <w:lvl w:ilvl="5" w:tplc="2F0669F2">
      <w:start w:val="1"/>
      <w:numFmt w:val="bullet"/>
      <w:lvlText w:val=""/>
      <w:lvlJc w:val="left"/>
      <w:pPr>
        <w:ind w:left="4320" w:hanging="360"/>
      </w:pPr>
      <w:rPr>
        <w:rFonts w:ascii="Wingdings" w:hAnsi="Wingdings" w:hint="default"/>
      </w:rPr>
    </w:lvl>
    <w:lvl w:ilvl="6" w:tplc="F30EF40A">
      <w:start w:val="1"/>
      <w:numFmt w:val="bullet"/>
      <w:lvlText w:val=""/>
      <w:lvlJc w:val="left"/>
      <w:pPr>
        <w:ind w:left="5040" w:hanging="360"/>
      </w:pPr>
      <w:rPr>
        <w:rFonts w:ascii="Symbol" w:hAnsi="Symbol" w:hint="default"/>
      </w:rPr>
    </w:lvl>
    <w:lvl w:ilvl="7" w:tplc="D416E460">
      <w:start w:val="1"/>
      <w:numFmt w:val="bullet"/>
      <w:lvlText w:val="o"/>
      <w:lvlJc w:val="left"/>
      <w:pPr>
        <w:ind w:left="5760" w:hanging="360"/>
      </w:pPr>
      <w:rPr>
        <w:rFonts w:ascii="Courier New" w:hAnsi="Courier New" w:hint="default"/>
      </w:rPr>
    </w:lvl>
    <w:lvl w:ilvl="8" w:tplc="B448D348">
      <w:start w:val="1"/>
      <w:numFmt w:val="bullet"/>
      <w:lvlText w:val=""/>
      <w:lvlJc w:val="left"/>
      <w:pPr>
        <w:ind w:left="6480" w:hanging="360"/>
      </w:pPr>
      <w:rPr>
        <w:rFonts w:ascii="Wingdings" w:hAnsi="Wingdings" w:hint="default"/>
      </w:rPr>
    </w:lvl>
  </w:abstractNum>
  <w:abstractNum w:abstractNumId="9" w15:restartNumberingAfterBreak="0">
    <w:nsid w:val="19591A1A"/>
    <w:multiLevelType w:val="hybridMultilevel"/>
    <w:tmpl w:val="18A01D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5E7411"/>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10D06"/>
    <w:multiLevelType w:val="hybridMultilevel"/>
    <w:tmpl w:val="C640350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039536"/>
    <w:multiLevelType w:val="hybridMultilevel"/>
    <w:tmpl w:val="9580C8D0"/>
    <w:lvl w:ilvl="0" w:tplc="55D42210">
      <w:start w:val="1"/>
      <w:numFmt w:val="bullet"/>
      <w:lvlText w:val="-"/>
      <w:lvlJc w:val="left"/>
      <w:pPr>
        <w:ind w:left="720" w:hanging="360"/>
      </w:pPr>
      <w:rPr>
        <w:rFonts w:ascii="Calibri" w:hAnsi="Calibri" w:hint="default"/>
      </w:rPr>
    </w:lvl>
    <w:lvl w:ilvl="1" w:tplc="2A8A7A14">
      <w:start w:val="1"/>
      <w:numFmt w:val="bullet"/>
      <w:lvlText w:val="o"/>
      <w:lvlJc w:val="left"/>
      <w:pPr>
        <w:ind w:left="1440" w:hanging="360"/>
      </w:pPr>
      <w:rPr>
        <w:rFonts w:ascii="Courier New" w:hAnsi="Courier New" w:hint="default"/>
      </w:rPr>
    </w:lvl>
    <w:lvl w:ilvl="2" w:tplc="B15828F6">
      <w:start w:val="1"/>
      <w:numFmt w:val="bullet"/>
      <w:lvlText w:val=""/>
      <w:lvlJc w:val="left"/>
      <w:pPr>
        <w:ind w:left="2160" w:hanging="360"/>
      </w:pPr>
      <w:rPr>
        <w:rFonts w:ascii="Wingdings" w:hAnsi="Wingdings" w:hint="default"/>
      </w:rPr>
    </w:lvl>
    <w:lvl w:ilvl="3" w:tplc="ED020F9C">
      <w:start w:val="1"/>
      <w:numFmt w:val="bullet"/>
      <w:lvlText w:val=""/>
      <w:lvlJc w:val="left"/>
      <w:pPr>
        <w:ind w:left="2880" w:hanging="360"/>
      </w:pPr>
      <w:rPr>
        <w:rFonts w:ascii="Symbol" w:hAnsi="Symbol" w:hint="default"/>
      </w:rPr>
    </w:lvl>
    <w:lvl w:ilvl="4" w:tplc="2A02E28A">
      <w:start w:val="1"/>
      <w:numFmt w:val="bullet"/>
      <w:lvlText w:val="o"/>
      <w:lvlJc w:val="left"/>
      <w:pPr>
        <w:ind w:left="3600" w:hanging="360"/>
      </w:pPr>
      <w:rPr>
        <w:rFonts w:ascii="Courier New" w:hAnsi="Courier New" w:hint="default"/>
      </w:rPr>
    </w:lvl>
    <w:lvl w:ilvl="5" w:tplc="838CF084">
      <w:start w:val="1"/>
      <w:numFmt w:val="bullet"/>
      <w:lvlText w:val=""/>
      <w:lvlJc w:val="left"/>
      <w:pPr>
        <w:ind w:left="4320" w:hanging="360"/>
      </w:pPr>
      <w:rPr>
        <w:rFonts w:ascii="Wingdings" w:hAnsi="Wingdings" w:hint="default"/>
      </w:rPr>
    </w:lvl>
    <w:lvl w:ilvl="6" w:tplc="93105EE2">
      <w:start w:val="1"/>
      <w:numFmt w:val="bullet"/>
      <w:lvlText w:val=""/>
      <w:lvlJc w:val="left"/>
      <w:pPr>
        <w:ind w:left="5040" w:hanging="360"/>
      </w:pPr>
      <w:rPr>
        <w:rFonts w:ascii="Symbol" w:hAnsi="Symbol" w:hint="default"/>
      </w:rPr>
    </w:lvl>
    <w:lvl w:ilvl="7" w:tplc="9C18C710">
      <w:start w:val="1"/>
      <w:numFmt w:val="bullet"/>
      <w:lvlText w:val="o"/>
      <w:lvlJc w:val="left"/>
      <w:pPr>
        <w:ind w:left="5760" w:hanging="360"/>
      </w:pPr>
      <w:rPr>
        <w:rFonts w:ascii="Courier New" w:hAnsi="Courier New" w:hint="default"/>
      </w:rPr>
    </w:lvl>
    <w:lvl w:ilvl="8" w:tplc="2464927E">
      <w:start w:val="1"/>
      <w:numFmt w:val="bullet"/>
      <w:lvlText w:val=""/>
      <w:lvlJc w:val="left"/>
      <w:pPr>
        <w:ind w:left="6480" w:hanging="360"/>
      </w:pPr>
      <w:rPr>
        <w:rFonts w:ascii="Wingdings" w:hAnsi="Wingdings" w:hint="default"/>
      </w:rPr>
    </w:lvl>
  </w:abstractNum>
  <w:abstractNum w:abstractNumId="13" w15:restartNumberingAfterBreak="0">
    <w:nsid w:val="203F36FE"/>
    <w:multiLevelType w:val="hybridMultilevel"/>
    <w:tmpl w:val="8D185E74"/>
    <w:lvl w:ilvl="0" w:tplc="1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1A022F5"/>
    <w:multiLevelType w:val="hybridMultilevel"/>
    <w:tmpl w:val="241E1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3DD0FE8"/>
    <w:multiLevelType w:val="hybridMultilevel"/>
    <w:tmpl w:val="3976AB96"/>
    <w:lvl w:ilvl="0" w:tplc="EDD8379E">
      <w:start w:val="1"/>
      <w:numFmt w:val="upperRoman"/>
      <w:lvlText w:val="%1."/>
      <w:lvlJc w:val="left"/>
      <w:pPr>
        <w:ind w:left="720" w:hanging="72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25AB463A"/>
    <w:multiLevelType w:val="hybridMultilevel"/>
    <w:tmpl w:val="A45851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639B8B5"/>
    <w:multiLevelType w:val="hybridMultilevel"/>
    <w:tmpl w:val="4A368922"/>
    <w:lvl w:ilvl="0" w:tplc="47A26860">
      <w:start w:val="1"/>
      <w:numFmt w:val="bullet"/>
      <w:lvlText w:val="·"/>
      <w:lvlJc w:val="left"/>
      <w:pPr>
        <w:ind w:left="720" w:hanging="360"/>
      </w:pPr>
      <w:rPr>
        <w:rFonts w:ascii="Symbol" w:hAnsi="Symbol" w:hint="default"/>
      </w:rPr>
    </w:lvl>
    <w:lvl w:ilvl="1" w:tplc="8DE8A444">
      <w:start w:val="1"/>
      <w:numFmt w:val="bullet"/>
      <w:lvlText w:val="o"/>
      <w:lvlJc w:val="left"/>
      <w:pPr>
        <w:ind w:left="1440" w:hanging="360"/>
      </w:pPr>
      <w:rPr>
        <w:rFonts w:ascii="Courier New" w:hAnsi="Courier New" w:hint="default"/>
      </w:rPr>
    </w:lvl>
    <w:lvl w:ilvl="2" w:tplc="5AA618FE">
      <w:start w:val="1"/>
      <w:numFmt w:val="bullet"/>
      <w:lvlText w:val=""/>
      <w:lvlJc w:val="left"/>
      <w:pPr>
        <w:ind w:left="2160" w:hanging="360"/>
      </w:pPr>
      <w:rPr>
        <w:rFonts w:ascii="Wingdings" w:hAnsi="Wingdings" w:hint="default"/>
      </w:rPr>
    </w:lvl>
    <w:lvl w:ilvl="3" w:tplc="1E2CDAE2">
      <w:start w:val="1"/>
      <w:numFmt w:val="bullet"/>
      <w:lvlText w:val=""/>
      <w:lvlJc w:val="left"/>
      <w:pPr>
        <w:ind w:left="2880" w:hanging="360"/>
      </w:pPr>
      <w:rPr>
        <w:rFonts w:ascii="Symbol" w:hAnsi="Symbol" w:hint="default"/>
      </w:rPr>
    </w:lvl>
    <w:lvl w:ilvl="4" w:tplc="D15E9480">
      <w:start w:val="1"/>
      <w:numFmt w:val="bullet"/>
      <w:lvlText w:val="o"/>
      <w:lvlJc w:val="left"/>
      <w:pPr>
        <w:ind w:left="3600" w:hanging="360"/>
      </w:pPr>
      <w:rPr>
        <w:rFonts w:ascii="Courier New" w:hAnsi="Courier New" w:hint="default"/>
      </w:rPr>
    </w:lvl>
    <w:lvl w:ilvl="5" w:tplc="77B4A0D0">
      <w:start w:val="1"/>
      <w:numFmt w:val="bullet"/>
      <w:lvlText w:val=""/>
      <w:lvlJc w:val="left"/>
      <w:pPr>
        <w:ind w:left="4320" w:hanging="360"/>
      </w:pPr>
      <w:rPr>
        <w:rFonts w:ascii="Wingdings" w:hAnsi="Wingdings" w:hint="default"/>
      </w:rPr>
    </w:lvl>
    <w:lvl w:ilvl="6" w:tplc="C00C3E48">
      <w:start w:val="1"/>
      <w:numFmt w:val="bullet"/>
      <w:lvlText w:val=""/>
      <w:lvlJc w:val="left"/>
      <w:pPr>
        <w:ind w:left="5040" w:hanging="360"/>
      </w:pPr>
      <w:rPr>
        <w:rFonts w:ascii="Symbol" w:hAnsi="Symbol" w:hint="default"/>
      </w:rPr>
    </w:lvl>
    <w:lvl w:ilvl="7" w:tplc="B6929334">
      <w:start w:val="1"/>
      <w:numFmt w:val="bullet"/>
      <w:lvlText w:val="o"/>
      <w:lvlJc w:val="left"/>
      <w:pPr>
        <w:ind w:left="5760" w:hanging="360"/>
      </w:pPr>
      <w:rPr>
        <w:rFonts w:ascii="Courier New" w:hAnsi="Courier New" w:hint="default"/>
      </w:rPr>
    </w:lvl>
    <w:lvl w:ilvl="8" w:tplc="E02EFB58">
      <w:start w:val="1"/>
      <w:numFmt w:val="bullet"/>
      <w:lvlText w:val=""/>
      <w:lvlJc w:val="left"/>
      <w:pPr>
        <w:ind w:left="6480" w:hanging="360"/>
      </w:pPr>
      <w:rPr>
        <w:rFonts w:ascii="Wingdings" w:hAnsi="Wingdings" w:hint="default"/>
      </w:rPr>
    </w:lvl>
  </w:abstractNum>
  <w:abstractNum w:abstractNumId="18" w15:restartNumberingAfterBreak="0">
    <w:nsid w:val="2D20583A"/>
    <w:multiLevelType w:val="hybridMultilevel"/>
    <w:tmpl w:val="3976AB96"/>
    <w:lvl w:ilvl="0" w:tplc="FFFFFFFF">
      <w:start w:val="1"/>
      <w:numFmt w:val="upperRoman"/>
      <w:lvlText w:val="%1."/>
      <w:lvlJc w:val="left"/>
      <w:pPr>
        <w:ind w:left="720" w:hanging="72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00A2BAE"/>
    <w:multiLevelType w:val="hybridMultilevel"/>
    <w:tmpl w:val="A15AA6F2"/>
    <w:lvl w:ilvl="0" w:tplc="FB2C75B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8965C7"/>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EB4E93"/>
    <w:multiLevelType w:val="hybridMultilevel"/>
    <w:tmpl w:val="7D162AE4"/>
    <w:lvl w:ilvl="0" w:tplc="636A478E">
      <w:start w:val="11"/>
      <w:numFmt w:val="decimal"/>
      <w:lvlText w:val="(%1)"/>
      <w:lvlJc w:val="left"/>
      <w:pPr>
        <w:ind w:left="720" w:hanging="360"/>
      </w:pPr>
      <w:rPr>
        <w:rFonts w:hint="default"/>
        <w:b w:val="0"/>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3DDF6E"/>
    <w:multiLevelType w:val="hybridMultilevel"/>
    <w:tmpl w:val="5592205A"/>
    <w:lvl w:ilvl="0" w:tplc="97E80DCA">
      <w:start w:val="1"/>
      <w:numFmt w:val="bullet"/>
      <w:lvlText w:val="-"/>
      <w:lvlJc w:val="left"/>
      <w:pPr>
        <w:ind w:left="720" w:hanging="360"/>
      </w:pPr>
      <w:rPr>
        <w:rFonts w:ascii="Calibri" w:hAnsi="Calibri" w:hint="default"/>
      </w:rPr>
    </w:lvl>
    <w:lvl w:ilvl="1" w:tplc="695EB360">
      <w:start w:val="1"/>
      <w:numFmt w:val="bullet"/>
      <w:lvlText w:val="o"/>
      <w:lvlJc w:val="left"/>
      <w:pPr>
        <w:ind w:left="1440" w:hanging="360"/>
      </w:pPr>
      <w:rPr>
        <w:rFonts w:ascii="Courier New" w:hAnsi="Courier New" w:hint="default"/>
      </w:rPr>
    </w:lvl>
    <w:lvl w:ilvl="2" w:tplc="F55A3980">
      <w:start w:val="1"/>
      <w:numFmt w:val="bullet"/>
      <w:lvlText w:val=""/>
      <w:lvlJc w:val="left"/>
      <w:pPr>
        <w:ind w:left="2160" w:hanging="360"/>
      </w:pPr>
      <w:rPr>
        <w:rFonts w:ascii="Wingdings" w:hAnsi="Wingdings" w:hint="default"/>
      </w:rPr>
    </w:lvl>
    <w:lvl w:ilvl="3" w:tplc="60D08ABE">
      <w:start w:val="1"/>
      <w:numFmt w:val="bullet"/>
      <w:lvlText w:val=""/>
      <w:lvlJc w:val="left"/>
      <w:pPr>
        <w:ind w:left="2880" w:hanging="360"/>
      </w:pPr>
      <w:rPr>
        <w:rFonts w:ascii="Symbol" w:hAnsi="Symbol" w:hint="default"/>
      </w:rPr>
    </w:lvl>
    <w:lvl w:ilvl="4" w:tplc="1F7EA8B6">
      <w:start w:val="1"/>
      <w:numFmt w:val="bullet"/>
      <w:lvlText w:val="o"/>
      <w:lvlJc w:val="left"/>
      <w:pPr>
        <w:ind w:left="3600" w:hanging="360"/>
      </w:pPr>
      <w:rPr>
        <w:rFonts w:ascii="Courier New" w:hAnsi="Courier New" w:hint="default"/>
      </w:rPr>
    </w:lvl>
    <w:lvl w:ilvl="5" w:tplc="0304104C">
      <w:start w:val="1"/>
      <w:numFmt w:val="bullet"/>
      <w:lvlText w:val=""/>
      <w:lvlJc w:val="left"/>
      <w:pPr>
        <w:ind w:left="4320" w:hanging="360"/>
      </w:pPr>
      <w:rPr>
        <w:rFonts w:ascii="Wingdings" w:hAnsi="Wingdings" w:hint="default"/>
      </w:rPr>
    </w:lvl>
    <w:lvl w:ilvl="6" w:tplc="A4C46F9A">
      <w:start w:val="1"/>
      <w:numFmt w:val="bullet"/>
      <w:lvlText w:val=""/>
      <w:lvlJc w:val="left"/>
      <w:pPr>
        <w:ind w:left="5040" w:hanging="360"/>
      </w:pPr>
      <w:rPr>
        <w:rFonts w:ascii="Symbol" w:hAnsi="Symbol" w:hint="default"/>
      </w:rPr>
    </w:lvl>
    <w:lvl w:ilvl="7" w:tplc="EBE40E3C">
      <w:start w:val="1"/>
      <w:numFmt w:val="bullet"/>
      <w:lvlText w:val="o"/>
      <w:lvlJc w:val="left"/>
      <w:pPr>
        <w:ind w:left="5760" w:hanging="360"/>
      </w:pPr>
      <w:rPr>
        <w:rFonts w:ascii="Courier New" w:hAnsi="Courier New" w:hint="default"/>
      </w:rPr>
    </w:lvl>
    <w:lvl w:ilvl="8" w:tplc="5BAAFD2E">
      <w:start w:val="1"/>
      <w:numFmt w:val="bullet"/>
      <w:lvlText w:val=""/>
      <w:lvlJc w:val="left"/>
      <w:pPr>
        <w:ind w:left="6480" w:hanging="360"/>
      </w:pPr>
      <w:rPr>
        <w:rFonts w:ascii="Wingdings" w:hAnsi="Wingdings" w:hint="default"/>
      </w:rPr>
    </w:lvl>
  </w:abstractNum>
  <w:abstractNum w:abstractNumId="23" w15:restartNumberingAfterBreak="0">
    <w:nsid w:val="38A54AA7"/>
    <w:multiLevelType w:val="hybridMultilevel"/>
    <w:tmpl w:val="7CE27F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9C32539"/>
    <w:multiLevelType w:val="hybridMultilevel"/>
    <w:tmpl w:val="0102E9E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B8D86A9"/>
    <w:multiLevelType w:val="hybridMultilevel"/>
    <w:tmpl w:val="B3B23732"/>
    <w:lvl w:ilvl="0" w:tplc="CA8865AA">
      <w:start w:val="1"/>
      <w:numFmt w:val="bullet"/>
      <w:lvlText w:val="·"/>
      <w:lvlJc w:val="left"/>
      <w:pPr>
        <w:ind w:left="720" w:hanging="360"/>
      </w:pPr>
      <w:rPr>
        <w:rFonts w:ascii="Symbol" w:hAnsi="Symbol" w:hint="default"/>
      </w:rPr>
    </w:lvl>
    <w:lvl w:ilvl="1" w:tplc="A09E502A">
      <w:start w:val="1"/>
      <w:numFmt w:val="bullet"/>
      <w:lvlText w:val="o"/>
      <w:lvlJc w:val="left"/>
      <w:pPr>
        <w:ind w:left="1440" w:hanging="360"/>
      </w:pPr>
      <w:rPr>
        <w:rFonts w:ascii="Courier New" w:hAnsi="Courier New" w:hint="default"/>
      </w:rPr>
    </w:lvl>
    <w:lvl w:ilvl="2" w:tplc="EAC2C9E6">
      <w:start w:val="1"/>
      <w:numFmt w:val="bullet"/>
      <w:lvlText w:val=""/>
      <w:lvlJc w:val="left"/>
      <w:pPr>
        <w:ind w:left="2160" w:hanging="360"/>
      </w:pPr>
      <w:rPr>
        <w:rFonts w:ascii="Wingdings" w:hAnsi="Wingdings" w:hint="default"/>
      </w:rPr>
    </w:lvl>
    <w:lvl w:ilvl="3" w:tplc="03ECBD32">
      <w:start w:val="1"/>
      <w:numFmt w:val="bullet"/>
      <w:lvlText w:val=""/>
      <w:lvlJc w:val="left"/>
      <w:pPr>
        <w:ind w:left="2880" w:hanging="360"/>
      </w:pPr>
      <w:rPr>
        <w:rFonts w:ascii="Symbol" w:hAnsi="Symbol" w:hint="default"/>
      </w:rPr>
    </w:lvl>
    <w:lvl w:ilvl="4" w:tplc="A20AE440">
      <w:start w:val="1"/>
      <w:numFmt w:val="bullet"/>
      <w:lvlText w:val="o"/>
      <w:lvlJc w:val="left"/>
      <w:pPr>
        <w:ind w:left="3600" w:hanging="360"/>
      </w:pPr>
      <w:rPr>
        <w:rFonts w:ascii="Courier New" w:hAnsi="Courier New" w:hint="default"/>
      </w:rPr>
    </w:lvl>
    <w:lvl w:ilvl="5" w:tplc="F6DCF544">
      <w:start w:val="1"/>
      <w:numFmt w:val="bullet"/>
      <w:lvlText w:val=""/>
      <w:lvlJc w:val="left"/>
      <w:pPr>
        <w:ind w:left="4320" w:hanging="360"/>
      </w:pPr>
      <w:rPr>
        <w:rFonts w:ascii="Wingdings" w:hAnsi="Wingdings" w:hint="default"/>
      </w:rPr>
    </w:lvl>
    <w:lvl w:ilvl="6" w:tplc="CF8835AA">
      <w:start w:val="1"/>
      <w:numFmt w:val="bullet"/>
      <w:lvlText w:val=""/>
      <w:lvlJc w:val="left"/>
      <w:pPr>
        <w:ind w:left="5040" w:hanging="360"/>
      </w:pPr>
      <w:rPr>
        <w:rFonts w:ascii="Symbol" w:hAnsi="Symbol" w:hint="default"/>
      </w:rPr>
    </w:lvl>
    <w:lvl w:ilvl="7" w:tplc="23B41D86">
      <w:start w:val="1"/>
      <w:numFmt w:val="bullet"/>
      <w:lvlText w:val="o"/>
      <w:lvlJc w:val="left"/>
      <w:pPr>
        <w:ind w:left="5760" w:hanging="360"/>
      </w:pPr>
      <w:rPr>
        <w:rFonts w:ascii="Courier New" w:hAnsi="Courier New" w:hint="default"/>
      </w:rPr>
    </w:lvl>
    <w:lvl w:ilvl="8" w:tplc="E4D66DC8">
      <w:start w:val="1"/>
      <w:numFmt w:val="bullet"/>
      <w:lvlText w:val=""/>
      <w:lvlJc w:val="left"/>
      <w:pPr>
        <w:ind w:left="6480" w:hanging="360"/>
      </w:pPr>
      <w:rPr>
        <w:rFonts w:ascii="Wingdings" w:hAnsi="Wingdings" w:hint="default"/>
      </w:rPr>
    </w:lvl>
  </w:abstractNum>
  <w:abstractNum w:abstractNumId="26" w15:restartNumberingAfterBreak="0">
    <w:nsid w:val="3CE732AE"/>
    <w:multiLevelType w:val="hybridMultilevel"/>
    <w:tmpl w:val="428A0620"/>
    <w:lvl w:ilvl="0" w:tplc="364ED3A8">
      <w:start w:val="1"/>
      <w:numFmt w:val="bullet"/>
      <w:lvlText w:val="·"/>
      <w:lvlJc w:val="left"/>
      <w:pPr>
        <w:ind w:left="720" w:hanging="360"/>
      </w:pPr>
      <w:rPr>
        <w:rFonts w:ascii="Symbol" w:hAnsi="Symbol" w:hint="default"/>
      </w:rPr>
    </w:lvl>
    <w:lvl w:ilvl="1" w:tplc="8A102FA2">
      <w:start w:val="1"/>
      <w:numFmt w:val="bullet"/>
      <w:lvlText w:val="o"/>
      <w:lvlJc w:val="left"/>
      <w:pPr>
        <w:ind w:left="1440" w:hanging="360"/>
      </w:pPr>
      <w:rPr>
        <w:rFonts w:ascii="Courier New" w:hAnsi="Courier New" w:hint="default"/>
      </w:rPr>
    </w:lvl>
    <w:lvl w:ilvl="2" w:tplc="AD344C72">
      <w:start w:val="1"/>
      <w:numFmt w:val="bullet"/>
      <w:lvlText w:val=""/>
      <w:lvlJc w:val="left"/>
      <w:pPr>
        <w:ind w:left="2160" w:hanging="360"/>
      </w:pPr>
      <w:rPr>
        <w:rFonts w:ascii="Wingdings" w:hAnsi="Wingdings" w:hint="default"/>
      </w:rPr>
    </w:lvl>
    <w:lvl w:ilvl="3" w:tplc="40A2EEF2">
      <w:start w:val="1"/>
      <w:numFmt w:val="bullet"/>
      <w:lvlText w:val=""/>
      <w:lvlJc w:val="left"/>
      <w:pPr>
        <w:ind w:left="2880" w:hanging="360"/>
      </w:pPr>
      <w:rPr>
        <w:rFonts w:ascii="Symbol" w:hAnsi="Symbol" w:hint="default"/>
      </w:rPr>
    </w:lvl>
    <w:lvl w:ilvl="4" w:tplc="414EBE22">
      <w:start w:val="1"/>
      <w:numFmt w:val="bullet"/>
      <w:lvlText w:val="o"/>
      <w:lvlJc w:val="left"/>
      <w:pPr>
        <w:ind w:left="3600" w:hanging="360"/>
      </w:pPr>
      <w:rPr>
        <w:rFonts w:ascii="Courier New" w:hAnsi="Courier New" w:hint="default"/>
      </w:rPr>
    </w:lvl>
    <w:lvl w:ilvl="5" w:tplc="A5E03566">
      <w:start w:val="1"/>
      <w:numFmt w:val="bullet"/>
      <w:lvlText w:val=""/>
      <w:lvlJc w:val="left"/>
      <w:pPr>
        <w:ind w:left="4320" w:hanging="360"/>
      </w:pPr>
      <w:rPr>
        <w:rFonts w:ascii="Wingdings" w:hAnsi="Wingdings" w:hint="default"/>
      </w:rPr>
    </w:lvl>
    <w:lvl w:ilvl="6" w:tplc="DB585B92">
      <w:start w:val="1"/>
      <w:numFmt w:val="bullet"/>
      <w:lvlText w:val=""/>
      <w:lvlJc w:val="left"/>
      <w:pPr>
        <w:ind w:left="5040" w:hanging="360"/>
      </w:pPr>
      <w:rPr>
        <w:rFonts w:ascii="Symbol" w:hAnsi="Symbol" w:hint="default"/>
      </w:rPr>
    </w:lvl>
    <w:lvl w:ilvl="7" w:tplc="4A12F0B6">
      <w:start w:val="1"/>
      <w:numFmt w:val="bullet"/>
      <w:lvlText w:val="o"/>
      <w:lvlJc w:val="left"/>
      <w:pPr>
        <w:ind w:left="5760" w:hanging="360"/>
      </w:pPr>
      <w:rPr>
        <w:rFonts w:ascii="Courier New" w:hAnsi="Courier New" w:hint="default"/>
      </w:rPr>
    </w:lvl>
    <w:lvl w:ilvl="8" w:tplc="04BE5A74">
      <w:start w:val="1"/>
      <w:numFmt w:val="bullet"/>
      <w:lvlText w:val=""/>
      <w:lvlJc w:val="left"/>
      <w:pPr>
        <w:ind w:left="6480" w:hanging="360"/>
      </w:pPr>
      <w:rPr>
        <w:rFonts w:ascii="Wingdings" w:hAnsi="Wingdings" w:hint="default"/>
      </w:rPr>
    </w:lvl>
  </w:abstractNum>
  <w:abstractNum w:abstractNumId="27" w15:restartNumberingAfterBreak="0">
    <w:nsid w:val="3F7958A8"/>
    <w:multiLevelType w:val="hybridMultilevel"/>
    <w:tmpl w:val="F6943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3A54A2C"/>
    <w:multiLevelType w:val="hybridMultilevel"/>
    <w:tmpl w:val="962800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4D26288"/>
    <w:multiLevelType w:val="hybridMultilevel"/>
    <w:tmpl w:val="C60C334A"/>
    <w:lvl w:ilvl="0" w:tplc="1809000B">
      <w:start w:val="1"/>
      <w:numFmt w:val="bullet"/>
      <w:lvlText w:val=""/>
      <w:lvlJc w:val="left"/>
      <w:pPr>
        <w:ind w:left="720" w:hanging="360"/>
      </w:pPr>
      <w:rPr>
        <w:rFonts w:ascii="Wingdings" w:hAnsi="Wingding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4C455F"/>
    <w:multiLevelType w:val="multilevel"/>
    <w:tmpl w:val="1752F5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5730148"/>
    <w:multiLevelType w:val="hybridMultilevel"/>
    <w:tmpl w:val="FDEE53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70C4BBC"/>
    <w:multiLevelType w:val="hybridMultilevel"/>
    <w:tmpl w:val="395274B6"/>
    <w:lvl w:ilvl="0" w:tplc="1809000B">
      <w:start w:val="1"/>
      <w:numFmt w:val="bullet"/>
      <w:lvlText w:val=""/>
      <w:lvlJc w:val="left"/>
      <w:pPr>
        <w:ind w:left="720" w:hanging="360"/>
      </w:pPr>
      <w:rPr>
        <w:rFonts w:ascii="Wingdings" w:hAnsi="Wingdings" w:hint="default"/>
      </w:rPr>
    </w:lvl>
    <w:lvl w:ilvl="1" w:tplc="D1AC2A62">
      <w:numFmt w:val="bullet"/>
      <w:lvlText w:val="•"/>
      <w:lvlJc w:val="left"/>
      <w:pPr>
        <w:ind w:left="1800" w:hanging="72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79305DD"/>
    <w:multiLevelType w:val="hybridMultilevel"/>
    <w:tmpl w:val="370894CC"/>
    <w:lvl w:ilvl="0" w:tplc="BFF48C26">
      <w:start w:val="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A7BB806"/>
    <w:multiLevelType w:val="hybridMultilevel"/>
    <w:tmpl w:val="77C6727E"/>
    <w:lvl w:ilvl="0" w:tplc="B866D1C8">
      <w:start w:val="1"/>
      <w:numFmt w:val="bullet"/>
      <w:lvlText w:val="-"/>
      <w:lvlJc w:val="left"/>
      <w:pPr>
        <w:ind w:left="720" w:hanging="360"/>
      </w:pPr>
      <w:rPr>
        <w:rFonts w:ascii="Calibri" w:hAnsi="Calibri" w:hint="default"/>
      </w:rPr>
    </w:lvl>
    <w:lvl w:ilvl="1" w:tplc="72ACB7EA">
      <w:start w:val="1"/>
      <w:numFmt w:val="bullet"/>
      <w:lvlText w:val="o"/>
      <w:lvlJc w:val="left"/>
      <w:pPr>
        <w:ind w:left="1440" w:hanging="360"/>
      </w:pPr>
      <w:rPr>
        <w:rFonts w:ascii="Courier New" w:hAnsi="Courier New" w:hint="default"/>
      </w:rPr>
    </w:lvl>
    <w:lvl w:ilvl="2" w:tplc="0232B5FC">
      <w:start w:val="1"/>
      <w:numFmt w:val="bullet"/>
      <w:lvlText w:val=""/>
      <w:lvlJc w:val="left"/>
      <w:pPr>
        <w:ind w:left="2160" w:hanging="360"/>
      </w:pPr>
      <w:rPr>
        <w:rFonts w:ascii="Wingdings" w:hAnsi="Wingdings" w:hint="default"/>
      </w:rPr>
    </w:lvl>
    <w:lvl w:ilvl="3" w:tplc="13A26B8E">
      <w:start w:val="1"/>
      <w:numFmt w:val="bullet"/>
      <w:lvlText w:val=""/>
      <w:lvlJc w:val="left"/>
      <w:pPr>
        <w:ind w:left="2880" w:hanging="360"/>
      </w:pPr>
      <w:rPr>
        <w:rFonts w:ascii="Symbol" w:hAnsi="Symbol" w:hint="default"/>
      </w:rPr>
    </w:lvl>
    <w:lvl w:ilvl="4" w:tplc="8E8C0800">
      <w:start w:val="1"/>
      <w:numFmt w:val="bullet"/>
      <w:lvlText w:val="o"/>
      <w:lvlJc w:val="left"/>
      <w:pPr>
        <w:ind w:left="3600" w:hanging="360"/>
      </w:pPr>
      <w:rPr>
        <w:rFonts w:ascii="Courier New" w:hAnsi="Courier New" w:hint="default"/>
      </w:rPr>
    </w:lvl>
    <w:lvl w:ilvl="5" w:tplc="2F2E6C88">
      <w:start w:val="1"/>
      <w:numFmt w:val="bullet"/>
      <w:lvlText w:val=""/>
      <w:lvlJc w:val="left"/>
      <w:pPr>
        <w:ind w:left="4320" w:hanging="360"/>
      </w:pPr>
      <w:rPr>
        <w:rFonts w:ascii="Wingdings" w:hAnsi="Wingdings" w:hint="default"/>
      </w:rPr>
    </w:lvl>
    <w:lvl w:ilvl="6" w:tplc="3754E0B2">
      <w:start w:val="1"/>
      <w:numFmt w:val="bullet"/>
      <w:lvlText w:val=""/>
      <w:lvlJc w:val="left"/>
      <w:pPr>
        <w:ind w:left="5040" w:hanging="360"/>
      </w:pPr>
      <w:rPr>
        <w:rFonts w:ascii="Symbol" w:hAnsi="Symbol" w:hint="default"/>
      </w:rPr>
    </w:lvl>
    <w:lvl w:ilvl="7" w:tplc="86641208">
      <w:start w:val="1"/>
      <w:numFmt w:val="bullet"/>
      <w:lvlText w:val="o"/>
      <w:lvlJc w:val="left"/>
      <w:pPr>
        <w:ind w:left="5760" w:hanging="360"/>
      </w:pPr>
      <w:rPr>
        <w:rFonts w:ascii="Courier New" w:hAnsi="Courier New" w:hint="default"/>
      </w:rPr>
    </w:lvl>
    <w:lvl w:ilvl="8" w:tplc="3898B19E">
      <w:start w:val="1"/>
      <w:numFmt w:val="bullet"/>
      <w:lvlText w:val=""/>
      <w:lvlJc w:val="left"/>
      <w:pPr>
        <w:ind w:left="6480" w:hanging="360"/>
      </w:pPr>
      <w:rPr>
        <w:rFonts w:ascii="Wingdings" w:hAnsi="Wingdings" w:hint="default"/>
      </w:rPr>
    </w:lvl>
  </w:abstractNum>
  <w:abstractNum w:abstractNumId="35" w15:restartNumberingAfterBreak="0">
    <w:nsid w:val="4D224C1C"/>
    <w:multiLevelType w:val="hybridMultilevel"/>
    <w:tmpl w:val="8FAAFC24"/>
    <w:lvl w:ilvl="0" w:tplc="93E2D0F8">
      <w:start w:val="1"/>
      <w:numFmt w:val="bullet"/>
      <w:lvlText w:val="-"/>
      <w:lvlJc w:val="left"/>
      <w:pPr>
        <w:ind w:left="-360" w:hanging="360"/>
      </w:pPr>
      <w:rPr>
        <w:rFonts w:ascii="Calibri" w:hAnsi="Calibri" w:cs="Times New Roman" w:hint="default"/>
      </w:rPr>
    </w:lvl>
    <w:lvl w:ilvl="1" w:tplc="37ECA3C2">
      <w:start w:val="1"/>
      <w:numFmt w:val="bullet"/>
      <w:lvlText w:val="o"/>
      <w:lvlJc w:val="left"/>
      <w:pPr>
        <w:ind w:left="360" w:hanging="360"/>
      </w:pPr>
      <w:rPr>
        <w:rFonts w:ascii="Courier New" w:hAnsi="Courier New" w:cs="Times New Roman" w:hint="default"/>
      </w:rPr>
    </w:lvl>
    <w:lvl w:ilvl="2" w:tplc="B1C2F6E4">
      <w:start w:val="1"/>
      <w:numFmt w:val="bullet"/>
      <w:lvlText w:val=""/>
      <w:lvlJc w:val="left"/>
      <w:pPr>
        <w:ind w:left="1080" w:hanging="360"/>
      </w:pPr>
      <w:rPr>
        <w:rFonts w:ascii="Wingdings" w:hAnsi="Wingdings" w:hint="default"/>
      </w:rPr>
    </w:lvl>
    <w:lvl w:ilvl="3" w:tplc="0A2CA3AE">
      <w:start w:val="1"/>
      <w:numFmt w:val="bullet"/>
      <w:lvlText w:val=""/>
      <w:lvlJc w:val="left"/>
      <w:pPr>
        <w:ind w:left="1800" w:hanging="360"/>
      </w:pPr>
      <w:rPr>
        <w:rFonts w:ascii="Symbol" w:hAnsi="Symbol" w:hint="default"/>
      </w:rPr>
    </w:lvl>
    <w:lvl w:ilvl="4" w:tplc="BB1822E2">
      <w:start w:val="1"/>
      <w:numFmt w:val="bullet"/>
      <w:lvlText w:val="o"/>
      <w:lvlJc w:val="left"/>
      <w:pPr>
        <w:ind w:left="2520" w:hanging="360"/>
      </w:pPr>
      <w:rPr>
        <w:rFonts w:ascii="Courier New" w:hAnsi="Courier New" w:cs="Times New Roman" w:hint="default"/>
      </w:rPr>
    </w:lvl>
    <w:lvl w:ilvl="5" w:tplc="C0B6B1B0">
      <w:start w:val="1"/>
      <w:numFmt w:val="bullet"/>
      <w:lvlText w:val=""/>
      <w:lvlJc w:val="left"/>
      <w:pPr>
        <w:ind w:left="3240" w:hanging="360"/>
      </w:pPr>
      <w:rPr>
        <w:rFonts w:ascii="Wingdings" w:hAnsi="Wingdings" w:hint="default"/>
      </w:rPr>
    </w:lvl>
    <w:lvl w:ilvl="6" w:tplc="5E74F962">
      <w:start w:val="1"/>
      <w:numFmt w:val="bullet"/>
      <w:lvlText w:val=""/>
      <w:lvlJc w:val="left"/>
      <w:pPr>
        <w:ind w:left="3960" w:hanging="360"/>
      </w:pPr>
      <w:rPr>
        <w:rFonts w:ascii="Symbol" w:hAnsi="Symbol" w:hint="default"/>
      </w:rPr>
    </w:lvl>
    <w:lvl w:ilvl="7" w:tplc="C2FCD230">
      <w:start w:val="1"/>
      <w:numFmt w:val="bullet"/>
      <w:lvlText w:val="o"/>
      <w:lvlJc w:val="left"/>
      <w:pPr>
        <w:ind w:left="4680" w:hanging="360"/>
      </w:pPr>
      <w:rPr>
        <w:rFonts w:ascii="Courier New" w:hAnsi="Courier New" w:cs="Times New Roman" w:hint="default"/>
      </w:rPr>
    </w:lvl>
    <w:lvl w:ilvl="8" w:tplc="1366976A">
      <w:start w:val="1"/>
      <w:numFmt w:val="bullet"/>
      <w:lvlText w:val=""/>
      <w:lvlJc w:val="left"/>
      <w:pPr>
        <w:ind w:left="5400" w:hanging="360"/>
      </w:pPr>
      <w:rPr>
        <w:rFonts w:ascii="Wingdings" w:hAnsi="Wingdings" w:hint="default"/>
      </w:rPr>
    </w:lvl>
  </w:abstractNum>
  <w:abstractNum w:abstractNumId="36" w15:restartNumberingAfterBreak="0">
    <w:nsid w:val="4D533896"/>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9F1CD1"/>
    <w:multiLevelType w:val="hybridMultilevel"/>
    <w:tmpl w:val="6122F4A6"/>
    <w:lvl w:ilvl="0" w:tplc="1809000B">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DF0396A"/>
    <w:multiLevelType w:val="hybridMultilevel"/>
    <w:tmpl w:val="9B268B9A"/>
    <w:lvl w:ilvl="0" w:tplc="1809000D">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9" w15:restartNumberingAfterBreak="0">
    <w:nsid w:val="55EA3299"/>
    <w:multiLevelType w:val="hybridMultilevel"/>
    <w:tmpl w:val="82F0B17E"/>
    <w:lvl w:ilvl="0" w:tplc="FFFFFFFF">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6644C5"/>
    <w:multiLevelType w:val="hybridMultilevel"/>
    <w:tmpl w:val="1DF21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A744CA5"/>
    <w:multiLevelType w:val="hybridMultilevel"/>
    <w:tmpl w:val="7D162AE4"/>
    <w:lvl w:ilvl="0" w:tplc="636A478E">
      <w:start w:val="11"/>
      <w:numFmt w:val="decimal"/>
      <w:lvlText w:val="(%1)"/>
      <w:lvlJc w:val="left"/>
      <w:pPr>
        <w:ind w:left="720" w:hanging="360"/>
      </w:pPr>
      <w:rPr>
        <w:rFonts w:hint="default"/>
        <w:b w:val="0"/>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86110B"/>
    <w:multiLevelType w:val="hybridMultilevel"/>
    <w:tmpl w:val="D44CDFC0"/>
    <w:lvl w:ilvl="0" w:tplc="7514024E">
      <w:start w:val="1"/>
      <w:numFmt w:val="bullet"/>
      <w:lvlText w:val="-"/>
      <w:lvlJc w:val="left"/>
      <w:pPr>
        <w:ind w:left="720" w:hanging="360"/>
      </w:pPr>
      <w:rPr>
        <w:rFonts w:ascii="Calibri" w:hAnsi="Calibri" w:hint="default"/>
      </w:rPr>
    </w:lvl>
    <w:lvl w:ilvl="1" w:tplc="C07AC22E">
      <w:start w:val="1"/>
      <w:numFmt w:val="bullet"/>
      <w:lvlText w:val="o"/>
      <w:lvlJc w:val="left"/>
      <w:pPr>
        <w:ind w:left="1440" w:hanging="360"/>
      </w:pPr>
      <w:rPr>
        <w:rFonts w:ascii="Courier New" w:hAnsi="Courier New" w:hint="default"/>
      </w:rPr>
    </w:lvl>
    <w:lvl w:ilvl="2" w:tplc="055CF42C">
      <w:start w:val="1"/>
      <w:numFmt w:val="bullet"/>
      <w:lvlText w:val=""/>
      <w:lvlJc w:val="left"/>
      <w:pPr>
        <w:ind w:left="2160" w:hanging="360"/>
      </w:pPr>
      <w:rPr>
        <w:rFonts w:ascii="Wingdings" w:hAnsi="Wingdings" w:hint="default"/>
      </w:rPr>
    </w:lvl>
    <w:lvl w:ilvl="3" w:tplc="01BA75BC">
      <w:start w:val="1"/>
      <w:numFmt w:val="bullet"/>
      <w:lvlText w:val=""/>
      <w:lvlJc w:val="left"/>
      <w:pPr>
        <w:ind w:left="2880" w:hanging="360"/>
      </w:pPr>
      <w:rPr>
        <w:rFonts w:ascii="Symbol" w:hAnsi="Symbol" w:hint="default"/>
      </w:rPr>
    </w:lvl>
    <w:lvl w:ilvl="4" w:tplc="2EE0CFEC">
      <w:start w:val="1"/>
      <w:numFmt w:val="bullet"/>
      <w:lvlText w:val="o"/>
      <w:lvlJc w:val="left"/>
      <w:pPr>
        <w:ind w:left="3600" w:hanging="360"/>
      </w:pPr>
      <w:rPr>
        <w:rFonts w:ascii="Courier New" w:hAnsi="Courier New" w:hint="default"/>
      </w:rPr>
    </w:lvl>
    <w:lvl w:ilvl="5" w:tplc="2D6CD1A0">
      <w:start w:val="1"/>
      <w:numFmt w:val="bullet"/>
      <w:lvlText w:val=""/>
      <w:lvlJc w:val="left"/>
      <w:pPr>
        <w:ind w:left="4320" w:hanging="360"/>
      </w:pPr>
      <w:rPr>
        <w:rFonts w:ascii="Wingdings" w:hAnsi="Wingdings" w:hint="default"/>
      </w:rPr>
    </w:lvl>
    <w:lvl w:ilvl="6" w:tplc="9A9AAA20">
      <w:start w:val="1"/>
      <w:numFmt w:val="bullet"/>
      <w:lvlText w:val=""/>
      <w:lvlJc w:val="left"/>
      <w:pPr>
        <w:ind w:left="5040" w:hanging="360"/>
      </w:pPr>
      <w:rPr>
        <w:rFonts w:ascii="Symbol" w:hAnsi="Symbol" w:hint="default"/>
      </w:rPr>
    </w:lvl>
    <w:lvl w:ilvl="7" w:tplc="3F864EB0">
      <w:start w:val="1"/>
      <w:numFmt w:val="bullet"/>
      <w:lvlText w:val="o"/>
      <w:lvlJc w:val="left"/>
      <w:pPr>
        <w:ind w:left="5760" w:hanging="360"/>
      </w:pPr>
      <w:rPr>
        <w:rFonts w:ascii="Courier New" w:hAnsi="Courier New" w:hint="default"/>
      </w:rPr>
    </w:lvl>
    <w:lvl w:ilvl="8" w:tplc="25A23E80">
      <w:start w:val="1"/>
      <w:numFmt w:val="bullet"/>
      <w:lvlText w:val=""/>
      <w:lvlJc w:val="left"/>
      <w:pPr>
        <w:ind w:left="6480" w:hanging="360"/>
      </w:pPr>
      <w:rPr>
        <w:rFonts w:ascii="Wingdings" w:hAnsi="Wingdings" w:hint="default"/>
      </w:rPr>
    </w:lvl>
  </w:abstractNum>
  <w:abstractNum w:abstractNumId="43" w15:restartNumberingAfterBreak="0">
    <w:nsid w:val="5D8F72A8"/>
    <w:multiLevelType w:val="hybridMultilevel"/>
    <w:tmpl w:val="FDCC38EC"/>
    <w:lvl w:ilvl="0" w:tplc="FFFFFFFF">
      <w:start w:val="1"/>
      <w:numFmt w:val="decimal"/>
      <w:lvlText w:val="(%1)"/>
      <w:lvlJc w:val="left"/>
      <w:pPr>
        <w:ind w:left="720" w:hanging="360"/>
      </w:pPr>
      <w:rPr>
        <w:rFonts w:hint="default"/>
        <w:b w:val="0"/>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9F6217"/>
    <w:multiLevelType w:val="hybridMultilevel"/>
    <w:tmpl w:val="E5A8F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E3A318C"/>
    <w:multiLevelType w:val="hybridMultilevel"/>
    <w:tmpl w:val="00D66F20"/>
    <w:lvl w:ilvl="0" w:tplc="92D8ED44">
      <w:start w:val="1"/>
      <w:numFmt w:val="decimal"/>
      <w:lvlText w:val="(%1)"/>
      <w:lvlJc w:val="left"/>
      <w:pPr>
        <w:ind w:left="720" w:hanging="360"/>
      </w:pPr>
      <w:rPr>
        <w:rFonts w:hint="default"/>
        <w:b w:val="0"/>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F15699E"/>
    <w:multiLevelType w:val="hybridMultilevel"/>
    <w:tmpl w:val="BEB831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7" w15:restartNumberingAfterBreak="0">
    <w:nsid w:val="62174D48"/>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961532"/>
    <w:multiLevelType w:val="hybridMultilevel"/>
    <w:tmpl w:val="BF5A8D1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7C24282"/>
    <w:multiLevelType w:val="hybridMultilevel"/>
    <w:tmpl w:val="7348F6B8"/>
    <w:lvl w:ilvl="0" w:tplc="6E0C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9B47DB9"/>
    <w:multiLevelType w:val="hybridMultilevel"/>
    <w:tmpl w:val="E60009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6C705856"/>
    <w:multiLevelType w:val="hybridMultilevel"/>
    <w:tmpl w:val="99C6A97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09A24CA"/>
    <w:multiLevelType w:val="hybridMultilevel"/>
    <w:tmpl w:val="47BA10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4B063B8"/>
    <w:multiLevelType w:val="hybridMultilevel"/>
    <w:tmpl w:val="FE523EA8"/>
    <w:lvl w:ilvl="0" w:tplc="1809000D">
      <w:start w:val="1"/>
      <w:numFmt w:val="bullet"/>
      <w:lvlText w:val=""/>
      <w:lvlJc w:val="left"/>
      <w:pPr>
        <w:ind w:left="770" w:hanging="360"/>
      </w:pPr>
      <w:rPr>
        <w:rFonts w:ascii="Wingdings" w:hAnsi="Wingdings"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4" w15:restartNumberingAfterBreak="0">
    <w:nsid w:val="76A43B3E"/>
    <w:multiLevelType w:val="hybridMultilevel"/>
    <w:tmpl w:val="10A4D1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6F15829"/>
    <w:multiLevelType w:val="hybridMultilevel"/>
    <w:tmpl w:val="B39C17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6" w15:restartNumberingAfterBreak="0">
    <w:nsid w:val="77607B26"/>
    <w:multiLevelType w:val="hybridMultilevel"/>
    <w:tmpl w:val="4B0A5006"/>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7" w15:restartNumberingAfterBreak="0">
    <w:nsid w:val="78FC38EB"/>
    <w:multiLevelType w:val="hybridMultilevel"/>
    <w:tmpl w:val="BF303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A3F0E17"/>
    <w:multiLevelType w:val="hybridMultilevel"/>
    <w:tmpl w:val="D99A894A"/>
    <w:lvl w:ilvl="0" w:tplc="DB945D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D36488A"/>
    <w:multiLevelType w:val="hybridMultilevel"/>
    <w:tmpl w:val="0D98FD96"/>
    <w:lvl w:ilvl="0" w:tplc="17DA4EF6">
      <w:start w:val="1"/>
      <w:numFmt w:val="bullet"/>
      <w:lvlText w:val="-"/>
      <w:lvlJc w:val="left"/>
      <w:pPr>
        <w:ind w:left="720" w:hanging="360"/>
      </w:pPr>
      <w:rPr>
        <w:rFonts w:ascii="Calibri" w:hAnsi="Calibri" w:hint="default"/>
      </w:rPr>
    </w:lvl>
    <w:lvl w:ilvl="1" w:tplc="B6D0CA14">
      <w:start w:val="1"/>
      <w:numFmt w:val="bullet"/>
      <w:lvlText w:val="o"/>
      <w:lvlJc w:val="left"/>
      <w:pPr>
        <w:ind w:left="1440" w:hanging="360"/>
      </w:pPr>
      <w:rPr>
        <w:rFonts w:ascii="Courier New" w:hAnsi="Courier New" w:hint="default"/>
      </w:rPr>
    </w:lvl>
    <w:lvl w:ilvl="2" w:tplc="1A907A40">
      <w:start w:val="1"/>
      <w:numFmt w:val="bullet"/>
      <w:lvlText w:val=""/>
      <w:lvlJc w:val="left"/>
      <w:pPr>
        <w:ind w:left="2160" w:hanging="360"/>
      </w:pPr>
      <w:rPr>
        <w:rFonts w:ascii="Wingdings" w:hAnsi="Wingdings" w:hint="default"/>
      </w:rPr>
    </w:lvl>
    <w:lvl w:ilvl="3" w:tplc="8F286870">
      <w:start w:val="1"/>
      <w:numFmt w:val="bullet"/>
      <w:lvlText w:val=""/>
      <w:lvlJc w:val="left"/>
      <w:pPr>
        <w:ind w:left="2880" w:hanging="360"/>
      </w:pPr>
      <w:rPr>
        <w:rFonts w:ascii="Symbol" w:hAnsi="Symbol" w:hint="default"/>
      </w:rPr>
    </w:lvl>
    <w:lvl w:ilvl="4" w:tplc="18303E44">
      <w:start w:val="1"/>
      <w:numFmt w:val="bullet"/>
      <w:lvlText w:val="o"/>
      <w:lvlJc w:val="left"/>
      <w:pPr>
        <w:ind w:left="3600" w:hanging="360"/>
      </w:pPr>
      <w:rPr>
        <w:rFonts w:ascii="Courier New" w:hAnsi="Courier New" w:hint="default"/>
      </w:rPr>
    </w:lvl>
    <w:lvl w:ilvl="5" w:tplc="45229BC4">
      <w:start w:val="1"/>
      <w:numFmt w:val="bullet"/>
      <w:lvlText w:val=""/>
      <w:lvlJc w:val="left"/>
      <w:pPr>
        <w:ind w:left="4320" w:hanging="360"/>
      </w:pPr>
      <w:rPr>
        <w:rFonts w:ascii="Wingdings" w:hAnsi="Wingdings" w:hint="default"/>
      </w:rPr>
    </w:lvl>
    <w:lvl w:ilvl="6" w:tplc="46581EC2">
      <w:start w:val="1"/>
      <w:numFmt w:val="bullet"/>
      <w:lvlText w:val=""/>
      <w:lvlJc w:val="left"/>
      <w:pPr>
        <w:ind w:left="5040" w:hanging="360"/>
      </w:pPr>
      <w:rPr>
        <w:rFonts w:ascii="Symbol" w:hAnsi="Symbol" w:hint="default"/>
      </w:rPr>
    </w:lvl>
    <w:lvl w:ilvl="7" w:tplc="45040E0A">
      <w:start w:val="1"/>
      <w:numFmt w:val="bullet"/>
      <w:lvlText w:val="o"/>
      <w:lvlJc w:val="left"/>
      <w:pPr>
        <w:ind w:left="5760" w:hanging="360"/>
      </w:pPr>
      <w:rPr>
        <w:rFonts w:ascii="Courier New" w:hAnsi="Courier New" w:hint="default"/>
      </w:rPr>
    </w:lvl>
    <w:lvl w:ilvl="8" w:tplc="D7B4B1F6">
      <w:start w:val="1"/>
      <w:numFmt w:val="bullet"/>
      <w:lvlText w:val=""/>
      <w:lvlJc w:val="left"/>
      <w:pPr>
        <w:ind w:left="6480" w:hanging="360"/>
      </w:pPr>
      <w:rPr>
        <w:rFonts w:ascii="Wingdings" w:hAnsi="Wingdings" w:hint="default"/>
      </w:rPr>
    </w:lvl>
  </w:abstractNum>
  <w:abstractNum w:abstractNumId="60" w15:restartNumberingAfterBreak="0">
    <w:nsid w:val="7FAC2DE0"/>
    <w:multiLevelType w:val="hybridMultilevel"/>
    <w:tmpl w:val="8D64AF2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7FB2C1F7"/>
    <w:multiLevelType w:val="hybridMultilevel"/>
    <w:tmpl w:val="43C2F0BE"/>
    <w:lvl w:ilvl="0" w:tplc="6F0A3974">
      <w:start w:val="1"/>
      <w:numFmt w:val="bullet"/>
      <w:lvlText w:val="·"/>
      <w:lvlJc w:val="left"/>
      <w:pPr>
        <w:ind w:left="720" w:hanging="360"/>
      </w:pPr>
      <w:rPr>
        <w:rFonts w:ascii="Symbol" w:hAnsi="Symbol" w:hint="default"/>
      </w:rPr>
    </w:lvl>
    <w:lvl w:ilvl="1" w:tplc="8382AEC2">
      <w:start w:val="1"/>
      <w:numFmt w:val="bullet"/>
      <w:lvlText w:val="o"/>
      <w:lvlJc w:val="left"/>
      <w:pPr>
        <w:ind w:left="1440" w:hanging="360"/>
      </w:pPr>
      <w:rPr>
        <w:rFonts w:ascii="Courier New" w:hAnsi="Courier New" w:hint="default"/>
      </w:rPr>
    </w:lvl>
    <w:lvl w:ilvl="2" w:tplc="EB84DAAE">
      <w:start w:val="1"/>
      <w:numFmt w:val="bullet"/>
      <w:lvlText w:val=""/>
      <w:lvlJc w:val="left"/>
      <w:pPr>
        <w:ind w:left="2160" w:hanging="360"/>
      </w:pPr>
      <w:rPr>
        <w:rFonts w:ascii="Wingdings" w:hAnsi="Wingdings" w:hint="default"/>
      </w:rPr>
    </w:lvl>
    <w:lvl w:ilvl="3" w:tplc="D23CE988">
      <w:start w:val="1"/>
      <w:numFmt w:val="bullet"/>
      <w:lvlText w:val=""/>
      <w:lvlJc w:val="left"/>
      <w:pPr>
        <w:ind w:left="2880" w:hanging="360"/>
      </w:pPr>
      <w:rPr>
        <w:rFonts w:ascii="Symbol" w:hAnsi="Symbol" w:hint="default"/>
      </w:rPr>
    </w:lvl>
    <w:lvl w:ilvl="4" w:tplc="8A9A97AA">
      <w:start w:val="1"/>
      <w:numFmt w:val="bullet"/>
      <w:lvlText w:val="o"/>
      <w:lvlJc w:val="left"/>
      <w:pPr>
        <w:ind w:left="3600" w:hanging="360"/>
      </w:pPr>
      <w:rPr>
        <w:rFonts w:ascii="Courier New" w:hAnsi="Courier New" w:hint="default"/>
      </w:rPr>
    </w:lvl>
    <w:lvl w:ilvl="5" w:tplc="D44E48B4">
      <w:start w:val="1"/>
      <w:numFmt w:val="bullet"/>
      <w:lvlText w:val=""/>
      <w:lvlJc w:val="left"/>
      <w:pPr>
        <w:ind w:left="4320" w:hanging="360"/>
      </w:pPr>
      <w:rPr>
        <w:rFonts w:ascii="Wingdings" w:hAnsi="Wingdings" w:hint="default"/>
      </w:rPr>
    </w:lvl>
    <w:lvl w:ilvl="6" w:tplc="808E5082">
      <w:start w:val="1"/>
      <w:numFmt w:val="bullet"/>
      <w:lvlText w:val=""/>
      <w:lvlJc w:val="left"/>
      <w:pPr>
        <w:ind w:left="5040" w:hanging="360"/>
      </w:pPr>
      <w:rPr>
        <w:rFonts w:ascii="Symbol" w:hAnsi="Symbol" w:hint="default"/>
      </w:rPr>
    </w:lvl>
    <w:lvl w:ilvl="7" w:tplc="FE2EF7C0">
      <w:start w:val="1"/>
      <w:numFmt w:val="bullet"/>
      <w:lvlText w:val="o"/>
      <w:lvlJc w:val="left"/>
      <w:pPr>
        <w:ind w:left="5760" w:hanging="360"/>
      </w:pPr>
      <w:rPr>
        <w:rFonts w:ascii="Courier New" w:hAnsi="Courier New" w:hint="default"/>
      </w:rPr>
    </w:lvl>
    <w:lvl w:ilvl="8" w:tplc="088C2FA8">
      <w:start w:val="1"/>
      <w:numFmt w:val="bullet"/>
      <w:lvlText w:val=""/>
      <w:lvlJc w:val="left"/>
      <w:pPr>
        <w:ind w:left="6480" w:hanging="360"/>
      </w:pPr>
      <w:rPr>
        <w:rFonts w:ascii="Wingdings" w:hAnsi="Wingdings" w:hint="default"/>
      </w:rPr>
    </w:lvl>
  </w:abstractNum>
  <w:num w:numId="1">
    <w:abstractNumId w:val="42"/>
  </w:num>
  <w:num w:numId="2">
    <w:abstractNumId w:val="34"/>
  </w:num>
  <w:num w:numId="3">
    <w:abstractNumId w:val="12"/>
  </w:num>
  <w:num w:numId="4">
    <w:abstractNumId w:val="59"/>
  </w:num>
  <w:num w:numId="5">
    <w:abstractNumId w:val="22"/>
  </w:num>
  <w:num w:numId="6">
    <w:abstractNumId w:val="25"/>
  </w:num>
  <w:num w:numId="7">
    <w:abstractNumId w:val="0"/>
  </w:num>
  <w:num w:numId="8">
    <w:abstractNumId w:val="26"/>
  </w:num>
  <w:num w:numId="9">
    <w:abstractNumId w:val="8"/>
  </w:num>
  <w:num w:numId="10">
    <w:abstractNumId w:val="17"/>
  </w:num>
  <w:num w:numId="11">
    <w:abstractNumId w:val="61"/>
  </w:num>
  <w:num w:numId="12">
    <w:abstractNumId w:val="49"/>
  </w:num>
  <w:num w:numId="13">
    <w:abstractNumId w:val="2"/>
  </w:num>
  <w:num w:numId="14">
    <w:abstractNumId w:val="53"/>
  </w:num>
  <w:num w:numId="15">
    <w:abstractNumId w:val="55"/>
  </w:num>
  <w:num w:numId="16">
    <w:abstractNumId w:val="57"/>
  </w:num>
  <w:num w:numId="17">
    <w:abstractNumId w:val="54"/>
  </w:num>
  <w:num w:numId="18">
    <w:abstractNumId w:val="24"/>
  </w:num>
  <w:num w:numId="19">
    <w:abstractNumId w:val="27"/>
  </w:num>
  <w:num w:numId="20">
    <w:abstractNumId w:val="23"/>
  </w:num>
  <w:num w:numId="21">
    <w:abstractNumId w:val="30"/>
  </w:num>
  <w:num w:numId="22">
    <w:abstractNumId w:val="38"/>
  </w:num>
  <w:num w:numId="23">
    <w:abstractNumId w:val="51"/>
  </w:num>
  <w:num w:numId="24">
    <w:abstractNumId w:val="52"/>
  </w:num>
  <w:num w:numId="25">
    <w:abstractNumId w:val="56"/>
  </w:num>
  <w:num w:numId="26">
    <w:abstractNumId w:val="21"/>
  </w:num>
  <w:num w:numId="27">
    <w:abstractNumId w:val="14"/>
  </w:num>
  <w:num w:numId="28">
    <w:abstractNumId w:val="45"/>
  </w:num>
  <w:num w:numId="29">
    <w:abstractNumId w:val="7"/>
  </w:num>
  <w:num w:numId="30">
    <w:abstractNumId w:val="32"/>
  </w:num>
  <w:num w:numId="31">
    <w:abstractNumId w:val="19"/>
  </w:num>
  <w:num w:numId="32">
    <w:abstractNumId w:val="15"/>
  </w:num>
  <w:num w:numId="33">
    <w:abstractNumId w:val="58"/>
  </w:num>
  <w:num w:numId="34">
    <w:abstractNumId w:val="41"/>
  </w:num>
  <w:num w:numId="35">
    <w:abstractNumId w:val="33"/>
  </w:num>
  <w:num w:numId="36">
    <w:abstractNumId w:val="40"/>
  </w:num>
  <w:num w:numId="37">
    <w:abstractNumId w:val="16"/>
  </w:num>
  <w:num w:numId="38">
    <w:abstractNumId w:val="4"/>
  </w:num>
  <w:num w:numId="39">
    <w:abstractNumId w:val="28"/>
  </w:num>
  <w:num w:numId="40">
    <w:abstractNumId w:val="43"/>
  </w:num>
  <w:num w:numId="41">
    <w:abstractNumId w:val="44"/>
  </w:num>
  <w:num w:numId="42">
    <w:abstractNumId w:val="18"/>
  </w:num>
  <w:num w:numId="43">
    <w:abstractNumId w:val="29"/>
  </w:num>
  <w:num w:numId="44">
    <w:abstractNumId w:val="36"/>
  </w:num>
  <w:num w:numId="45">
    <w:abstractNumId w:val="6"/>
  </w:num>
  <w:num w:numId="46">
    <w:abstractNumId w:val="5"/>
  </w:num>
  <w:num w:numId="47">
    <w:abstractNumId w:val="10"/>
  </w:num>
  <w:num w:numId="48">
    <w:abstractNumId w:val="20"/>
  </w:num>
  <w:num w:numId="49">
    <w:abstractNumId w:val="47"/>
  </w:num>
  <w:num w:numId="50">
    <w:abstractNumId w:val="39"/>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lvlOverride w:ilvl="1">
      <w:startOverride w:val="1"/>
    </w:lvlOverride>
    <w:lvlOverride w:ilvl="2"/>
    <w:lvlOverride w:ilvl="3"/>
    <w:lvlOverride w:ilvl="4"/>
    <w:lvlOverride w:ilvl="5"/>
    <w:lvlOverride w:ilvl="6"/>
    <w:lvlOverride w:ilvl="7"/>
    <w:lvlOverride w:ilvl="8"/>
  </w:num>
  <w:num w:numId="53">
    <w:abstractNumId w:val="60"/>
  </w:num>
  <w:num w:numId="54">
    <w:abstractNumId w:val="31"/>
  </w:num>
  <w:num w:numId="55">
    <w:abstractNumId w:val="11"/>
  </w:num>
  <w:num w:numId="56">
    <w:abstractNumId w:val="1"/>
  </w:num>
  <w:num w:numId="57">
    <w:abstractNumId w:val="37"/>
  </w:num>
  <w:num w:numId="58">
    <w:abstractNumId w:val="35"/>
  </w:num>
  <w:num w:numId="59">
    <w:abstractNumId w:val="13"/>
  </w:num>
  <w:num w:numId="60">
    <w:abstractNumId w:val="48"/>
  </w:num>
  <w:num w:numId="61">
    <w:abstractNumId w:val="46"/>
  </w:num>
  <w:num w:numId="62">
    <w:abstractNumId w:val="3"/>
  </w:num>
  <w:num w:numId="63">
    <w:abstractNumId w:val="14"/>
  </w:num>
  <w:num w:numId="64">
    <w:abstractNumId w:val="37"/>
    <w:lvlOverride w:ilvl="0"/>
    <w:lvlOverride w:ilvl="1">
      <w:startOverride w:val="1"/>
    </w:lvlOverride>
    <w:lvlOverride w:ilvl="2"/>
    <w:lvlOverride w:ilvl="3"/>
    <w:lvlOverride w:ilvl="4"/>
    <w:lvlOverride w:ilvl="5"/>
    <w:lvlOverride w:ilvl="6"/>
    <w:lvlOverride w:ilvl="7"/>
    <w:lvlOverride w:ilvl="8"/>
  </w:num>
  <w:num w:numId="65">
    <w:abstractNumId w:val="50"/>
  </w:num>
  <w:num w:numId="66">
    <w:abstractNumId w:val="9"/>
  </w:num>
  <w:num w:numId="67">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AD384881-40F9-4ED0-9018-E059826C4873"/>
    <w:docVar w:name="LW_COVERPAGE_TYPE" w:val="1"/>
    <w:docVar w:name="LW_CROSSREFERENCE" w:val="&lt;UNUSED&gt;"/>
    <w:docVar w:name="LW_DocType" w:val="NORMAL"/>
    <w:docVar w:name="LW_EMISSION" w:val="16.3.2023"/>
    <w:docVar w:name="LW_EMISSION_ISODATE" w:val="2023-03-16"/>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3) 1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Bezpieczne i zrównoważone dostawy surowców krytycznych jako wsparcie dwojakiej transformacji&lt;/FMT&gt;_x000d__x000d__x000d__x000d__x000d__x000d__x000b_"/>
    <w:docVar w:name="LW_TYPE.DOC.CP" w:val="KOMUNIKAT KOMISJI DO PARLAMENTU EUROPEJSKIEGO, RADY, EUROPEJSKIEGO KOMITETU EKONOMICZNO-SPOŁECZNEGO I KOMITETU REGIONÓW"/>
    <w:docVar w:name="LW_TYPE.DOC.CP.USERTEXT" w:val="&lt;EMPTY&gt;"/>
    <w:docVar w:name="LwApiVersions" w:val="LW4CoDe 1.23.2.0; LW 8.0, Build 20211117"/>
  </w:docVars>
  <w:rsids>
    <w:rsidRoot w:val="000006A0"/>
    <w:rsid w:val="000005AF"/>
    <w:rsid w:val="000006A0"/>
    <w:rsid w:val="00000BCD"/>
    <w:rsid w:val="00001E8A"/>
    <w:rsid w:val="000024D8"/>
    <w:rsid w:val="00002B4E"/>
    <w:rsid w:val="00006249"/>
    <w:rsid w:val="00006729"/>
    <w:rsid w:val="000077EB"/>
    <w:rsid w:val="00007BF6"/>
    <w:rsid w:val="000110FF"/>
    <w:rsid w:val="00015821"/>
    <w:rsid w:val="00015A27"/>
    <w:rsid w:val="000174A1"/>
    <w:rsid w:val="00020025"/>
    <w:rsid w:val="0002205B"/>
    <w:rsid w:val="00022991"/>
    <w:rsid w:val="000230B6"/>
    <w:rsid w:val="00024031"/>
    <w:rsid w:val="000242DE"/>
    <w:rsid w:val="000279A4"/>
    <w:rsid w:val="000318C8"/>
    <w:rsid w:val="000328F0"/>
    <w:rsid w:val="00033348"/>
    <w:rsid w:val="00033B17"/>
    <w:rsid w:val="00034115"/>
    <w:rsid w:val="00034438"/>
    <w:rsid w:val="000358BF"/>
    <w:rsid w:val="0003657B"/>
    <w:rsid w:val="00036B3C"/>
    <w:rsid w:val="00041024"/>
    <w:rsid w:val="00053580"/>
    <w:rsid w:val="000544FC"/>
    <w:rsid w:val="0005512B"/>
    <w:rsid w:val="00062BBB"/>
    <w:rsid w:val="000641EF"/>
    <w:rsid w:val="0006647B"/>
    <w:rsid w:val="0007033E"/>
    <w:rsid w:val="000712B5"/>
    <w:rsid w:val="00074708"/>
    <w:rsid w:val="00076F4B"/>
    <w:rsid w:val="00080DEA"/>
    <w:rsid w:val="00081E5E"/>
    <w:rsid w:val="0008478E"/>
    <w:rsid w:val="00084C5F"/>
    <w:rsid w:val="00086F8C"/>
    <w:rsid w:val="00087E52"/>
    <w:rsid w:val="00090377"/>
    <w:rsid w:val="000907C3"/>
    <w:rsid w:val="000918E4"/>
    <w:rsid w:val="00092C26"/>
    <w:rsid w:val="000939D7"/>
    <w:rsid w:val="00096E23"/>
    <w:rsid w:val="000A04B9"/>
    <w:rsid w:val="000A330A"/>
    <w:rsid w:val="000A5036"/>
    <w:rsid w:val="000A508E"/>
    <w:rsid w:val="000A5ADD"/>
    <w:rsid w:val="000A5EE2"/>
    <w:rsid w:val="000A72E3"/>
    <w:rsid w:val="000A7B0B"/>
    <w:rsid w:val="000A7D88"/>
    <w:rsid w:val="000B1ABF"/>
    <w:rsid w:val="000B207B"/>
    <w:rsid w:val="000B31C0"/>
    <w:rsid w:val="000B3887"/>
    <w:rsid w:val="000B39F6"/>
    <w:rsid w:val="000B5398"/>
    <w:rsid w:val="000B58F6"/>
    <w:rsid w:val="000B5AFE"/>
    <w:rsid w:val="000B61FE"/>
    <w:rsid w:val="000B7AC6"/>
    <w:rsid w:val="000C2A99"/>
    <w:rsid w:val="000C3970"/>
    <w:rsid w:val="000C5726"/>
    <w:rsid w:val="000D06C8"/>
    <w:rsid w:val="000D0913"/>
    <w:rsid w:val="000D0E90"/>
    <w:rsid w:val="000D1B27"/>
    <w:rsid w:val="000E0AC3"/>
    <w:rsid w:val="000E1CA3"/>
    <w:rsid w:val="000E2EB6"/>
    <w:rsid w:val="000E35B7"/>
    <w:rsid w:val="000E3865"/>
    <w:rsid w:val="000F304B"/>
    <w:rsid w:val="000F326B"/>
    <w:rsid w:val="000F515B"/>
    <w:rsid w:val="000F68FD"/>
    <w:rsid w:val="00100958"/>
    <w:rsid w:val="00101EB9"/>
    <w:rsid w:val="00102755"/>
    <w:rsid w:val="00102B03"/>
    <w:rsid w:val="00102EF9"/>
    <w:rsid w:val="00104064"/>
    <w:rsid w:val="001048FD"/>
    <w:rsid w:val="00105DE4"/>
    <w:rsid w:val="00106848"/>
    <w:rsid w:val="00107024"/>
    <w:rsid w:val="00107881"/>
    <w:rsid w:val="00107FF2"/>
    <w:rsid w:val="001113F4"/>
    <w:rsid w:val="0011153D"/>
    <w:rsid w:val="0011339F"/>
    <w:rsid w:val="0011444C"/>
    <w:rsid w:val="00116088"/>
    <w:rsid w:val="00116510"/>
    <w:rsid w:val="00120CA4"/>
    <w:rsid w:val="00121400"/>
    <w:rsid w:val="001259EA"/>
    <w:rsid w:val="001263D9"/>
    <w:rsid w:val="00127E8F"/>
    <w:rsid w:val="00130193"/>
    <w:rsid w:val="001307DB"/>
    <w:rsid w:val="00130DCC"/>
    <w:rsid w:val="00130F4C"/>
    <w:rsid w:val="001314D3"/>
    <w:rsid w:val="001319CE"/>
    <w:rsid w:val="00133F0D"/>
    <w:rsid w:val="001366F8"/>
    <w:rsid w:val="00137000"/>
    <w:rsid w:val="00137F3E"/>
    <w:rsid w:val="00142B5D"/>
    <w:rsid w:val="0014389F"/>
    <w:rsid w:val="00144D4A"/>
    <w:rsid w:val="00144E38"/>
    <w:rsid w:val="00150815"/>
    <w:rsid w:val="00153532"/>
    <w:rsid w:val="00153DF0"/>
    <w:rsid w:val="00154429"/>
    <w:rsid w:val="001572A9"/>
    <w:rsid w:val="00157D28"/>
    <w:rsid w:val="00171015"/>
    <w:rsid w:val="00171FCB"/>
    <w:rsid w:val="001743B4"/>
    <w:rsid w:val="00175A3E"/>
    <w:rsid w:val="00177961"/>
    <w:rsid w:val="00177BC9"/>
    <w:rsid w:val="0018104E"/>
    <w:rsid w:val="001831A5"/>
    <w:rsid w:val="00183398"/>
    <w:rsid w:val="001871D9"/>
    <w:rsid w:val="0018793C"/>
    <w:rsid w:val="00190408"/>
    <w:rsid w:val="0019473E"/>
    <w:rsid w:val="00195BCA"/>
    <w:rsid w:val="0019716F"/>
    <w:rsid w:val="001974C8"/>
    <w:rsid w:val="0019774A"/>
    <w:rsid w:val="00197D6B"/>
    <w:rsid w:val="001A231B"/>
    <w:rsid w:val="001A7FA9"/>
    <w:rsid w:val="001B0777"/>
    <w:rsid w:val="001B121A"/>
    <w:rsid w:val="001B1798"/>
    <w:rsid w:val="001B3355"/>
    <w:rsid w:val="001B746D"/>
    <w:rsid w:val="001B78AD"/>
    <w:rsid w:val="001C10A0"/>
    <w:rsid w:val="001C2256"/>
    <w:rsid w:val="001C2350"/>
    <w:rsid w:val="001C2941"/>
    <w:rsid w:val="001C56BB"/>
    <w:rsid w:val="001C7BB2"/>
    <w:rsid w:val="001D0C0B"/>
    <w:rsid w:val="001D2B31"/>
    <w:rsid w:val="001D2BCE"/>
    <w:rsid w:val="001D3088"/>
    <w:rsid w:val="001D35AE"/>
    <w:rsid w:val="001D51CD"/>
    <w:rsid w:val="001D526C"/>
    <w:rsid w:val="001D7BD8"/>
    <w:rsid w:val="001E0116"/>
    <w:rsid w:val="001E0B2C"/>
    <w:rsid w:val="001E2D07"/>
    <w:rsid w:val="001E3719"/>
    <w:rsid w:val="001E4B77"/>
    <w:rsid w:val="001E5954"/>
    <w:rsid w:val="001E5D44"/>
    <w:rsid w:val="001F4863"/>
    <w:rsid w:val="001F6F14"/>
    <w:rsid w:val="001F7CA3"/>
    <w:rsid w:val="0020075C"/>
    <w:rsid w:val="002014D2"/>
    <w:rsid w:val="00203085"/>
    <w:rsid w:val="00204A07"/>
    <w:rsid w:val="00205FC7"/>
    <w:rsid w:val="00207B57"/>
    <w:rsid w:val="00212923"/>
    <w:rsid w:val="0021300D"/>
    <w:rsid w:val="00213048"/>
    <w:rsid w:val="00213834"/>
    <w:rsid w:val="002178FF"/>
    <w:rsid w:val="002230A1"/>
    <w:rsid w:val="00224C6C"/>
    <w:rsid w:val="00225042"/>
    <w:rsid w:val="002260C9"/>
    <w:rsid w:val="00227C87"/>
    <w:rsid w:val="00231555"/>
    <w:rsid w:val="00232057"/>
    <w:rsid w:val="0023372E"/>
    <w:rsid w:val="00234503"/>
    <w:rsid w:val="0024043A"/>
    <w:rsid w:val="00241C37"/>
    <w:rsid w:val="00243E1A"/>
    <w:rsid w:val="00244270"/>
    <w:rsid w:val="00244976"/>
    <w:rsid w:val="0025117F"/>
    <w:rsid w:val="002512F5"/>
    <w:rsid w:val="00256068"/>
    <w:rsid w:val="00257C3C"/>
    <w:rsid w:val="0026025E"/>
    <w:rsid w:val="00265DDF"/>
    <w:rsid w:val="00265FDD"/>
    <w:rsid w:val="00267187"/>
    <w:rsid w:val="002713B7"/>
    <w:rsid w:val="00273E51"/>
    <w:rsid w:val="00276040"/>
    <w:rsid w:val="0027623A"/>
    <w:rsid w:val="00284C0C"/>
    <w:rsid w:val="002858F0"/>
    <w:rsid w:val="00286402"/>
    <w:rsid w:val="00286C4A"/>
    <w:rsid w:val="00291113"/>
    <w:rsid w:val="00291695"/>
    <w:rsid w:val="0029316D"/>
    <w:rsid w:val="0029628D"/>
    <w:rsid w:val="002973F5"/>
    <w:rsid w:val="002A2B52"/>
    <w:rsid w:val="002A35D5"/>
    <w:rsid w:val="002A6162"/>
    <w:rsid w:val="002A64BE"/>
    <w:rsid w:val="002A6F45"/>
    <w:rsid w:val="002A7B9F"/>
    <w:rsid w:val="002B0A41"/>
    <w:rsid w:val="002B15A9"/>
    <w:rsid w:val="002B3C2B"/>
    <w:rsid w:val="002B4564"/>
    <w:rsid w:val="002B4D7C"/>
    <w:rsid w:val="002C16E4"/>
    <w:rsid w:val="002C4B16"/>
    <w:rsid w:val="002D5C99"/>
    <w:rsid w:val="002D6DEB"/>
    <w:rsid w:val="002D75DD"/>
    <w:rsid w:val="002E051C"/>
    <w:rsid w:val="002E0D58"/>
    <w:rsid w:val="002E16DC"/>
    <w:rsid w:val="002E46ED"/>
    <w:rsid w:val="002E6139"/>
    <w:rsid w:val="002E7164"/>
    <w:rsid w:val="002F12D6"/>
    <w:rsid w:val="002F45D6"/>
    <w:rsid w:val="002F5657"/>
    <w:rsid w:val="00301416"/>
    <w:rsid w:val="003016A8"/>
    <w:rsid w:val="00301E77"/>
    <w:rsid w:val="00306249"/>
    <w:rsid w:val="00306614"/>
    <w:rsid w:val="003073D2"/>
    <w:rsid w:val="003100B4"/>
    <w:rsid w:val="00310EEE"/>
    <w:rsid w:val="003112B8"/>
    <w:rsid w:val="003131D7"/>
    <w:rsid w:val="00313A9F"/>
    <w:rsid w:val="0031435D"/>
    <w:rsid w:val="003157FE"/>
    <w:rsid w:val="00315BD5"/>
    <w:rsid w:val="00317F90"/>
    <w:rsid w:val="0032008E"/>
    <w:rsid w:val="003203B4"/>
    <w:rsid w:val="00321342"/>
    <w:rsid w:val="0032222C"/>
    <w:rsid w:val="00324D07"/>
    <w:rsid w:val="00324EC1"/>
    <w:rsid w:val="003260C1"/>
    <w:rsid w:val="00327DA5"/>
    <w:rsid w:val="00333107"/>
    <w:rsid w:val="00333D31"/>
    <w:rsid w:val="0033480F"/>
    <w:rsid w:val="0033554E"/>
    <w:rsid w:val="0033593E"/>
    <w:rsid w:val="0033765B"/>
    <w:rsid w:val="00340B73"/>
    <w:rsid w:val="00340CE0"/>
    <w:rsid w:val="0034292C"/>
    <w:rsid w:val="00343105"/>
    <w:rsid w:val="003444B8"/>
    <w:rsid w:val="003447E0"/>
    <w:rsid w:val="00345C52"/>
    <w:rsid w:val="003463C8"/>
    <w:rsid w:val="00350B7B"/>
    <w:rsid w:val="00352C38"/>
    <w:rsid w:val="0035602F"/>
    <w:rsid w:val="0036093F"/>
    <w:rsid w:val="00361BD7"/>
    <w:rsid w:val="00365121"/>
    <w:rsid w:val="00365545"/>
    <w:rsid w:val="003665D8"/>
    <w:rsid w:val="0036721A"/>
    <w:rsid w:val="00370D79"/>
    <w:rsid w:val="00370DF7"/>
    <w:rsid w:val="00372012"/>
    <w:rsid w:val="00372737"/>
    <w:rsid w:val="003811D0"/>
    <w:rsid w:val="00382F4E"/>
    <w:rsid w:val="0038516F"/>
    <w:rsid w:val="003853A0"/>
    <w:rsid w:val="00387E11"/>
    <w:rsid w:val="00390476"/>
    <w:rsid w:val="00391546"/>
    <w:rsid w:val="00393FD5"/>
    <w:rsid w:val="003979D1"/>
    <w:rsid w:val="003A24D6"/>
    <w:rsid w:val="003A3672"/>
    <w:rsid w:val="003A5078"/>
    <w:rsid w:val="003B2505"/>
    <w:rsid w:val="003B4E40"/>
    <w:rsid w:val="003B5180"/>
    <w:rsid w:val="003B6D47"/>
    <w:rsid w:val="003B7265"/>
    <w:rsid w:val="003C201C"/>
    <w:rsid w:val="003C30D7"/>
    <w:rsid w:val="003C3865"/>
    <w:rsid w:val="003C38C8"/>
    <w:rsid w:val="003C40F0"/>
    <w:rsid w:val="003D4448"/>
    <w:rsid w:val="003D6326"/>
    <w:rsid w:val="003E173D"/>
    <w:rsid w:val="003E2D82"/>
    <w:rsid w:val="003E35FA"/>
    <w:rsid w:val="003E3CA1"/>
    <w:rsid w:val="003E483E"/>
    <w:rsid w:val="003E5127"/>
    <w:rsid w:val="003E696E"/>
    <w:rsid w:val="003E7237"/>
    <w:rsid w:val="003E761B"/>
    <w:rsid w:val="003F159B"/>
    <w:rsid w:val="003F4413"/>
    <w:rsid w:val="003F4CEA"/>
    <w:rsid w:val="003F7A19"/>
    <w:rsid w:val="00400176"/>
    <w:rsid w:val="0040077B"/>
    <w:rsid w:val="004018E9"/>
    <w:rsid w:val="0040208F"/>
    <w:rsid w:val="004021F7"/>
    <w:rsid w:val="004024F8"/>
    <w:rsid w:val="00402A2D"/>
    <w:rsid w:val="00403D3C"/>
    <w:rsid w:val="00404075"/>
    <w:rsid w:val="00405259"/>
    <w:rsid w:val="004071F7"/>
    <w:rsid w:val="00407714"/>
    <w:rsid w:val="00410787"/>
    <w:rsid w:val="00411393"/>
    <w:rsid w:val="00412461"/>
    <w:rsid w:val="00412752"/>
    <w:rsid w:val="004148F4"/>
    <w:rsid w:val="004161F5"/>
    <w:rsid w:val="004236C0"/>
    <w:rsid w:val="004266B0"/>
    <w:rsid w:val="00427410"/>
    <w:rsid w:val="00430193"/>
    <w:rsid w:val="00430DF3"/>
    <w:rsid w:val="004311C6"/>
    <w:rsid w:val="0043179C"/>
    <w:rsid w:val="00432276"/>
    <w:rsid w:val="00432B60"/>
    <w:rsid w:val="00434A74"/>
    <w:rsid w:val="00434F86"/>
    <w:rsid w:val="00435DBA"/>
    <w:rsid w:val="00436CCD"/>
    <w:rsid w:val="0044032F"/>
    <w:rsid w:val="00444EE1"/>
    <w:rsid w:val="004461EA"/>
    <w:rsid w:val="004472F9"/>
    <w:rsid w:val="00447999"/>
    <w:rsid w:val="004505DA"/>
    <w:rsid w:val="00450CB0"/>
    <w:rsid w:val="00451084"/>
    <w:rsid w:val="00451F6E"/>
    <w:rsid w:val="00452FFF"/>
    <w:rsid w:val="00456864"/>
    <w:rsid w:val="004639FF"/>
    <w:rsid w:val="00470095"/>
    <w:rsid w:val="00472FD6"/>
    <w:rsid w:val="00474E45"/>
    <w:rsid w:val="0047522E"/>
    <w:rsid w:val="004754EE"/>
    <w:rsid w:val="00475DF4"/>
    <w:rsid w:val="004779C8"/>
    <w:rsid w:val="00477ADD"/>
    <w:rsid w:val="0048233B"/>
    <w:rsid w:val="00484950"/>
    <w:rsid w:val="00485217"/>
    <w:rsid w:val="004859CD"/>
    <w:rsid w:val="004909DB"/>
    <w:rsid w:val="0049327E"/>
    <w:rsid w:val="00494E0E"/>
    <w:rsid w:val="00495E5A"/>
    <w:rsid w:val="004A043C"/>
    <w:rsid w:val="004A15D5"/>
    <w:rsid w:val="004A1D8E"/>
    <w:rsid w:val="004A2BF0"/>
    <w:rsid w:val="004A423E"/>
    <w:rsid w:val="004A501D"/>
    <w:rsid w:val="004A6B36"/>
    <w:rsid w:val="004B1F14"/>
    <w:rsid w:val="004B2EFC"/>
    <w:rsid w:val="004B3D6B"/>
    <w:rsid w:val="004B3F9C"/>
    <w:rsid w:val="004C169E"/>
    <w:rsid w:val="004C3086"/>
    <w:rsid w:val="004C593A"/>
    <w:rsid w:val="004C7760"/>
    <w:rsid w:val="004D0818"/>
    <w:rsid w:val="004D193B"/>
    <w:rsid w:val="004D3FED"/>
    <w:rsid w:val="004D622B"/>
    <w:rsid w:val="004D7681"/>
    <w:rsid w:val="004E047A"/>
    <w:rsid w:val="004E3BC1"/>
    <w:rsid w:val="004E4B02"/>
    <w:rsid w:val="004E4D6B"/>
    <w:rsid w:val="004E5CEA"/>
    <w:rsid w:val="004E5E2F"/>
    <w:rsid w:val="004E833C"/>
    <w:rsid w:val="004F21CC"/>
    <w:rsid w:val="004F445D"/>
    <w:rsid w:val="004F45B4"/>
    <w:rsid w:val="004F4C7A"/>
    <w:rsid w:val="004F5D7C"/>
    <w:rsid w:val="00501BE1"/>
    <w:rsid w:val="0050459E"/>
    <w:rsid w:val="00511EEA"/>
    <w:rsid w:val="005126B6"/>
    <w:rsid w:val="00514B2A"/>
    <w:rsid w:val="00516C5B"/>
    <w:rsid w:val="00516EC5"/>
    <w:rsid w:val="00517862"/>
    <w:rsid w:val="00520303"/>
    <w:rsid w:val="00521D25"/>
    <w:rsid w:val="00521E4D"/>
    <w:rsid w:val="005223F6"/>
    <w:rsid w:val="00522AA5"/>
    <w:rsid w:val="00523750"/>
    <w:rsid w:val="00526631"/>
    <w:rsid w:val="00527826"/>
    <w:rsid w:val="00527B4E"/>
    <w:rsid w:val="00532643"/>
    <w:rsid w:val="00533AAB"/>
    <w:rsid w:val="00534F00"/>
    <w:rsid w:val="00536A30"/>
    <w:rsid w:val="00545FE2"/>
    <w:rsid w:val="00547A11"/>
    <w:rsid w:val="005571E6"/>
    <w:rsid w:val="005627B0"/>
    <w:rsid w:val="00562AB3"/>
    <w:rsid w:val="00562B57"/>
    <w:rsid w:val="00566310"/>
    <w:rsid w:val="00570004"/>
    <w:rsid w:val="00570DD5"/>
    <w:rsid w:val="00572498"/>
    <w:rsid w:val="00572755"/>
    <w:rsid w:val="0057503C"/>
    <w:rsid w:val="005808FA"/>
    <w:rsid w:val="00581374"/>
    <w:rsid w:val="005815B3"/>
    <w:rsid w:val="00581B11"/>
    <w:rsid w:val="005836F9"/>
    <w:rsid w:val="005849EE"/>
    <w:rsid w:val="005867E1"/>
    <w:rsid w:val="00590C4F"/>
    <w:rsid w:val="00590CCE"/>
    <w:rsid w:val="00591154"/>
    <w:rsid w:val="00591161"/>
    <w:rsid w:val="005917DE"/>
    <w:rsid w:val="005943D7"/>
    <w:rsid w:val="00595492"/>
    <w:rsid w:val="005A1B35"/>
    <w:rsid w:val="005A33A7"/>
    <w:rsid w:val="005A4989"/>
    <w:rsid w:val="005A6437"/>
    <w:rsid w:val="005A69A0"/>
    <w:rsid w:val="005B1A7B"/>
    <w:rsid w:val="005B246B"/>
    <w:rsid w:val="005B2B5D"/>
    <w:rsid w:val="005B331B"/>
    <w:rsid w:val="005B3934"/>
    <w:rsid w:val="005B3CFC"/>
    <w:rsid w:val="005B549E"/>
    <w:rsid w:val="005C0259"/>
    <w:rsid w:val="005C0271"/>
    <w:rsid w:val="005C32EB"/>
    <w:rsid w:val="005C3F10"/>
    <w:rsid w:val="005C3F7E"/>
    <w:rsid w:val="005C4365"/>
    <w:rsid w:val="005C5E8B"/>
    <w:rsid w:val="005C66DF"/>
    <w:rsid w:val="005D05EC"/>
    <w:rsid w:val="005D0D96"/>
    <w:rsid w:val="005D0E4B"/>
    <w:rsid w:val="005D1703"/>
    <w:rsid w:val="005E0E0C"/>
    <w:rsid w:val="005E1992"/>
    <w:rsid w:val="005E624D"/>
    <w:rsid w:val="005E71C6"/>
    <w:rsid w:val="005F0684"/>
    <w:rsid w:val="005F1447"/>
    <w:rsid w:val="005F62A6"/>
    <w:rsid w:val="005F68E6"/>
    <w:rsid w:val="00600EA9"/>
    <w:rsid w:val="0060498B"/>
    <w:rsid w:val="00604CF4"/>
    <w:rsid w:val="00605416"/>
    <w:rsid w:val="006069CB"/>
    <w:rsid w:val="00607229"/>
    <w:rsid w:val="00610A99"/>
    <w:rsid w:val="00615650"/>
    <w:rsid w:val="00615F5C"/>
    <w:rsid w:val="0061761B"/>
    <w:rsid w:val="00617952"/>
    <w:rsid w:val="00617E24"/>
    <w:rsid w:val="006206A6"/>
    <w:rsid w:val="00626D6C"/>
    <w:rsid w:val="00630535"/>
    <w:rsid w:val="00633982"/>
    <w:rsid w:val="006339EE"/>
    <w:rsid w:val="00636032"/>
    <w:rsid w:val="00637B13"/>
    <w:rsid w:val="006422C4"/>
    <w:rsid w:val="006432C5"/>
    <w:rsid w:val="0064455E"/>
    <w:rsid w:val="006445BF"/>
    <w:rsid w:val="00645FA0"/>
    <w:rsid w:val="00646FA4"/>
    <w:rsid w:val="00651677"/>
    <w:rsid w:val="00651C4A"/>
    <w:rsid w:val="0065246A"/>
    <w:rsid w:val="00653A29"/>
    <w:rsid w:val="00654F07"/>
    <w:rsid w:val="00656C75"/>
    <w:rsid w:val="006570E8"/>
    <w:rsid w:val="0065715A"/>
    <w:rsid w:val="006576B5"/>
    <w:rsid w:val="0066021E"/>
    <w:rsid w:val="0066085D"/>
    <w:rsid w:val="0066236C"/>
    <w:rsid w:val="00665010"/>
    <w:rsid w:val="00666706"/>
    <w:rsid w:val="00671C24"/>
    <w:rsid w:val="00671C66"/>
    <w:rsid w:val="00672875"/>
    <w:rsid w:val="00673C19"/>
    <w:rsid w:val="00674B90"/>
    <w:rsid w:val="00681116"/>
    <w:rsid w:val="00683081"/>
    <w:rsid w:val="00683D0C"/>
    <w:rsid w:val="006852E8"/>
    <w:rsid w:val="00686640"/>
    <w:rsid w:val="006911A9"/>
    <w:rsid w:val="00691660"/>
    <w:rsid w:val="00691894"/>
    <w:rsid w:val="00691B36"/>
    <w:rsid w:val="00691B53"/>
    <w:rsid w:val="0069384A"/>
    <w:rsid w:val="00693F4A"/>
    <w:rsid w:val="006944F8"/>
    <w:rsid w:val="006949A2"/>
    <w:rsid w:val="006956EA"/>
    <w:rsid w:val="0069656D"/>
    <w:rsid w:val="006A273D"/>
    <w:rsid w:val="006A2A45"/>
    <w:rsid w:val="006B28BB"/>
    <w:rsid w:val="006B2E7C"/>
    <w:rsid w:val="006B4006"/>
    <w:rsid w:val="006B6DA2"/>
    <w:rsid w:val="006B76D6"/>
    <w:rsid w:val="006C247A"/>
    <w:rsid w:val="006C3F96"/>
    <w:rsid w:val="006C53CA"/>
    <w:rsid w:val="006C615B"/>
    <w:rsid w:val="006C7345"/>
    <w:rsid w:val="006D0E0E"/>
    <w:rsid w:val="006D1C07"/>
    <w:rsid w:val="006D2309"/>
    <w:rsid w:val="006D2D26"/>
    <w:rsid w:val="006D2D8B"/>
    <w:rsid w:val="006D4CC6"/>
    <w:rsid w:val="006D666E"/>
    <w:rsid w:val="006D6B94"/>
    <w:rsid w:val="006D6F3C"/>
    <w:rsid w:val="006E017F"/>
    <w:rsid w:val="006E49EC"/>
    <w:rsid w:val="006E5BA2"/>
    <w:rsid w:val="006F0737"/>
    <w:rsid w:val="006F167D"/>
    <w:rsid w:val="006F31D6"/>
    <w:rsid w:val="006F333E"/>
    <w:rsid w:val="006F3B86"/>
    <w:rsid w:val="006F3F5D"/>
    <w:rsid w:val="006F4376"/>
    <w:rsid w:val="00702BF6"/>
    <w:rsid w:val="00704FB1"/>
    <w:rsid w:val="00707536"/>
    <w:rsid w:val="00707B6A"/>
    <w:rsid w:val="00714803"/>
    <w:rsid w:val="00717A1A"/>
    <w:rsid w:val="007203DD"/>
    <w:rsid w:val="00721342"/>
    <w:rsid w:val="00722006"/>
    <w:rsid w:val="00722A63"/>
    <w:rsid w:val="00723705"/>
    <w:rsid w:val="007243CA"/>
    <w:rsid w:val="00724460"/>
    <w:rsid w:val="007256BD"/>
    <w:rsid w:val="007304EC"/>
    <w:rsid w:val="007307C4"/>
    <w:rsid w:val="0073104F"/>
    <w:rsid w:val="0073105F"/>
    <w:rsid w:val="00731CBD"/>
    <w:rsid w:val="00732491"/>
    <w:rsid w:val="0073262B"/>
    <w:rsid w:val="007379EE"/>
    <w:rsid w:val="00740122"/>
    <w:rsid w:val="00743742"/>
    <w:rsid w:val="00745322"/>
    <w:rsid w:val="00746D20"/>
    <w:rsid w:val="007502BD"/>
    <w:rsid w:val="00751B94"/>
    <w:rsid w:val="00751D4F"/>
    <w:rsid w:val="00752AA4"/>
    <w:rsid w:val="007533A1"/>
    <w:rsid w:val="00760386"/>
    <w:rsid w:val="00762ACE"/>
    <w:rsid w:val="00762CC8"/>
    <w:rsid w:val="007664A0"/>
    <w:rsid w:val="00770E59"/>
    <w:rsid w:val="00771057"/>
    <w:rsid w:val="00772E7F"/>
    <w:rsid w:val="0077401D"/>
    <w:rsid w:val="00774D0A"/>
    <w:rsid w:val="00781607"/>
    <w:rsid w:val="0078197F"/>
    <w:rsid w:val="00781D05"/>
    <w:rsid w:val="00784112"/>
    <w:rsid w:val="00786B0B"/>
    <w:rsid w:val="00786BD3"/>
    <w:rsid w:val="0079014C"/>
    <w:rsid w:val="0079036D"/>
    <w:rsid w:val="00795AC6"/>
    <w:rsid w:val="00796DE6"/>
    <w:rsid w:val="00797156"/>
    <w:rsid w:val="007A35EC"/>
    <w:rsid w:val="007A3B2F"/>
    <w:rsid w:val="007A5CBF"/>
    <w:rsid w:val="007A6BE9"/>
    <w:rsid w:val="007A6D55"/>
    <w:rsid w:val="007B450A"/>
    <w:rsid w:val="007B7866"/>
    <w:rsid w:val="007C4561"/>
    <w:rsid w:val="007C48A6"/>
    <w:rsid w:val="007C49DD"/>
    <w:rsid w:val="007C6060"/>
    <w:rsid w:val="007C6DD8"/>
    <w:rsid w:val="007C7243"/>
    <w:rsid w:val="007C7712"/>
    <w:rsid w:val="007D18F4"/>
    <w:rsid w:val="007D3723"/>
    <w:rsid w:val="007D53AC"/>
    <w:rsid w:val="007D7967"/>
    <w:rsid w:val="007E1AD4"/>
    <w:rsid w:val="007E429F"/>
    <w:rsid w:val="007E4D20"/>
    <w:rsid w:val="007E62BB"/>
    <w:rsid w:val="007E74D8"/>
    <w:rsid w:val="007E7C9F"/>
    <w:rsid w:val="007F00E2"/>
    <w:rsid w:val="007F0732"/>
    <w:rsid w:val="007F2203"/>
    <w:rsid w:val="007F3145"/>
    <w:rsid w:val="007F3DEB"/>
    <w:rsid w:val="007F3F91"/>
    <w:rsid w:val="007F3FE1"/>
    <w:rsid w:val="007F68EC"/>
    <w:rsid w:val="007F7C9F"/>
    <w:rsid w:val="00800E2E"/>
    <w:rsid w:val="00801DF4"/>
    <w:rsid w:val="008024DA"/>
    <w:rsid w:val="008060F5"/>
    <w:rsid w:val="00807EA3"/>
    <w:rsid w:val="00810A84"/>
    <w:rsid w:val="00810F1E"/>
    <w:rsid w:val="00811AAC"/>
    <w:rsid w:val="00811E82"/>
    <w:rsid w:val="0081220A"/>
    <w:rsid w:val="008122FB"/>
    <w:rsid w:val="0081367F"/>
    <w:rsid w:val="00816833"/>
    <w:rsid w:val="00817C3E"/>
    <w:rsid w:val="00821635"/>
    <w:rsid w:val="008231C9"/>
    <w:rsid w:val="0082490F"/>
    <w:rsid w:val="00825428"/>
    <w:rsid w:val="00825F29"/>
    <w:rsid w:val="00826AD3"/>
    <w:rsid w:val="0083092D"/>
    <w:rsid w:val="00831AB1"/>
    <w:rsid w:val="00842AF6"/>
    <w:rsid w:val="008432DD"/>
    <w:rsid w:val="00843BE1"/>
    <w:rsid w:val="00845152"/>
    <w:rsid w:val="008467DE"/>
    <w:rsid w:val="008473A3"/>
    <w:rsid w:val="00850254"/>
    <w:rsid w:val="00852259"/>
    <w:rsid w:val="00852D48"/>
    <w:rsid w:val="008559FD"/>
    <w:rsid w:val="0085755B"/>
    <w:rsid w:val="008601B8"/>
    <w:rsid w:val="00860F64"/>
    <w:rsid w:val="008625DA"/>
    <w:rsid w:val="0086290B"/>
    <w:rsid w:val="00863BAB"/>
    <w:rsid w:val="008647F0"/>
    <w:rsid w:val="00865483"/>
    <w:rsid w:val="00866186"/>
    <w:rsid w:val="00866207"/>
    <w:rsid w:val="00867C84"/>
    <w:rsid w:val="00872733"/>
    <w:rsid w:val="008735DC"/>
    <w:rsid w:val="00873667"/>
    <w:rsid w:val="00882137"/>
    <w:rsid w:val="00882337"/>
    <w:rsid w:val="0088509A"/>
    <w:rsid w:val="00886409"/>
    <w:rsid w:val="00887793"/>
    <w:rsid w:val="00891792"/>
    <w:rsid w:val="00891B96"/>
    <w:rsid w:val="00892755"/>
    <w:rsid w:val="008928DF"/>
    <w:rsid w:val="00893E88"/>
    <w:rsid w:val="008946F8"/>
    <w:rsid w:val="00895BAE"/>
    <w:rsid w:val="00896A34"/>
    <w:rsid w:val="008A0885"/>
    <w:rsid w:val="008A2820"/>
    <w:rsid w:val="008A2DBB"/>
    <w:rsid w:val="008A2F78"/>
    <w:rsid w:val="008A315E"/>
    <w:rsid w:val="008A3365"/>
    <w:rsid w:val="008A4F76"/>
    <w:rsid w:val="008A692B"/>
    <w:rsid w:val="008A6BA0"/>
    <w:rsid w:val="008B06E3"/>
    <w:rsid w:val="008B0ED1"/>
    <w:rsid w:val="008B1034"/>
    <w:rsid w:val="008B1C2A"/>
    <w:rsid w:val="008B1ECE"/>
    <w:rsid w:val="008B37E2"/>
    <w:rsid w:val="008B4687"/>
    <w:rsid w:val="008B51CA"/>
    <w:rsid w:val="008C274A"/>
    <w:rsid w:val="008C4AC6"/>
    <w:rsid w:val="008C68E2"/>
    <w:rsid w:val="008C781C"/>
    <w:rsid w:val="008D0F19"/>
    <w:rsid w:val="008D22F0"/>
    <w:rsid w:val="008D2AEA"/>
    <w:rsid w:val="008D3D20"/>
    <w:rsid w:val="008D441F"/>
    <w:rsid w:val="008D469D"/>
    <w:rsid w:val="008E0E66"/>
    <w:rsid w:val="008E3429"/>
    <w:rsid w:val="008E454F"/>
    <w:rsid w:val="008E4A8F"/>
    <w:rsid w:val="008E649C"/>
    <w:rsid w:val="008E7F8D"/>
    <w:rsid w:val="008F320E"/>
    <w:rsid w:val="008F59ED"/>
    <w:rsid w:val="008F6129"/>
    <w:rsid w:val="008F63C7"/>
    <w:rsid w:val="00900A29"/>
    <w:rsid w:val="00900EC2"/>
    <w:rsid w:val="009023CC"/>
    <w:rsid w:val="009035EA"/>
    <w:rsid w:val="009040A8"/>
    <w:rsid w:val="00904DB7"/>
    <w:rsid w:val="00906427"/>
    <w:rsid w:val="00912F17"/>
    <w:rsid w:val="00914D99"/>
    <w:rsid w:val="00916080"/>
    <w:rsid w:val="00917D4E"/>
    <w:rsid w:val="00921927"/>
    <w:rsid w:val="009231B1"/>
    <w:rsid w:val="009232E8"/>
    <w:rsid w:val="009241E5"/>
    <w:rsid w:val="009256D5"/>
    <w:rsid w:val="009266AC"/>
    <w:rsid w:val="00927264"/>
    <w:rsid w:val="00930094"/>
    <w:rsid w:val="00932E6F"/>
    <w:rsid w:val="009330B3"/>
    <w:rsid w:val="00934BBF"/>
    <w:rsid w:val="00935590"/>
    <w:rsid w:val="0093582C"/>
    <w:rsid w:val="0093731A"/>
    <w:rsid w:val="0094079F"/>
    <w:rsid w:val="0094111B"/>
    <w:rsid w:val="0094140A"/>
    <w:rsid w:val="0094473B"/>
    <w:rsid w:val="00945EE6"/>
    <w:rsid w:val="00946243"/>
    <w:rsid w:val="00946A4A"/>
    <w:rsid w:val="009503DC"/>
    <w:rsid w:val="00950FA2"/>
    <w:rsid w:val="009517D1"/>
    <w:rsid w:val="009529DB"/>
    <w:rsid w:val="009538EF"/>
    <w:rsid w:val="009549FB"/>
    <w:rsid w:val="009551AC"/>
    <w:rsid w:val="00955E57"/>
    <w:rsid w:val="00956187"/>
    <w:rsid w:val="00956B78"/>
    <w:rsid w:val="00960D15"/>
    <w:rsid w:val="009617F9"/>
    <w:rsid w:val="00962D5A"/>
    <w:rsid w:val="0096307B"/>
    <w:rsid w:val="00966B3C"/>
    <w:rsid w:val="00974325"/>
    <w:rsid w:val="0097494F"/>
    <w:rsid w:val="00974AC2"/>
    <w:rsid w:val="0097770A"/>
    <w:rsid w:val="0098049A"/>
    <w:rsid w:val="00980CF4"/>
    <w:rsid w:val="009821FE"/>
    <w:rsid w:val="0098490E"/>
    <w:rsid w:val="00986178"/>
    <w:rsid w:val="009870DA"/>
    <w:rsid w:val="0099131B"/>
    <w:rsid w:val="0099249F"/>
    <w:rsid w:val="009941C2"/>
    <w:rsid w:val="009942AA"/>
    <w:rsid w:val="009970C3"/>
    <w:rsid w:val="009A0103"/>
    <w:rsid w:val="009A0A02"/>
    <w:rsid w:val="009A23FB"/>
    <w:rsid w:val="009A3197"/>
    <w:rsid w:val="009A54CE"/>
    <w:rsid w:val="009A7B8E"/>
    <w:rsid w:val="009B01A1"/>
    <w:rsid w:val="009B062A"/>
    <w:rsid w:val="009B6850"/>
    <w:rsid w:val="009B7335"/>
    <w:rsid w:val="009C1019"/>
    <w:rsid w:val="009C2526"/>
    <w:rsid w:val="009C3EA9"/>
    <w:rsid w:val="009C58F8"/>
    <w:rsid w:val="009C5E02"/>
    <w:rsid w:val="009C681C"/>
    <w:rsid w:val="009C6D64"/>
    <w:rsid w:val="009C791A"/>
    <w:rsid w:val="009D2FD8"/>
    <w:rsid w:val="009D39E4"/>
    <w:rsid w:val="009D7260"/>
    <w:rsid w:val="009D7DD8"/>
    <w:rsid w:val="009E0006"/>
    <w:rsid w:val="009E13A5"/>
    <w:rsid w:val="009E18F4"/>
    <w:rsid w:val="009E1CDC"/>
    <w:rsid w:val="009E2038"/>
    <w:rsid w:val="009E38A8"/>
    <w:rsid w:val="009E406F"/>
    <w:rsid w:val="009E42AE"/>
    <w:rsid w:val="009E48F6"/>
    <w:rsid w:val="009E7087"/>
    <w:rsid w:val="009F3605"/>
    <w:rsid w:val="00A00A0F"/>
    <w:rsid w:val="00A02120"/>
    <w:rsid w:val="00A0387A"/>
    <w:rsid w:val="00A045D5"/>
    <w:rsid w:val="00A05D7B"/>
    <w:rsid w:val="00A06B46"/>
    <w:rsid w:val="00A07128"/>
    <w:rsid w:val="00A14BD8"/>
    <w:rsid w:val="00A222D0"/>
    <w:rsid w:val="00A2347A"/>
    <w:rsid w:val="00A23618"/>
    <w:rsid w:val="00A24A6D"/>
    <w:rsid w:val="00A267E5"/>
    <w:rsid w:val="00A34CDF"/>
    <w:rsid w:val="00A40D24"/>
    <w:rsid w:val="00A46733"/>
    <w:rsid w:val="00A530DF"/>
    <w:rsid w:val="00A53F08"/>
    <w:rsid w:val="00A55A95"/>
    <w:rsid w:val="00A63C79"/>
    <w:rsid w:val="00A63DF6"/>
    <w:rsid w:val="00A669A3"/>
    <w:rsid w:val="00A71C9E"/>
    <w:rsid w:val="00A7425B"/>
    <w:rsid w:val="00A81C8D"/>
    <w:rsid w:val="00A82170"/>
    <w:rsid w:val="00A83746"/>
    <w:rsid w:val="00A8479C"/>
    <w:rsid w:val="00A87AD4"/>
    <w:rsid w:val="00A87DEB"/>
    <w:rsid w:val="00A913C0"/>
    <w:rsid w:val="00A9376F"/>
    <w:rsid w:val="00A93F33"/>
    <w:rsid w:val="00A945AE"/>
    <w:rsid w:val="00A94CE3"/>
    <w:rsid w:val="00A952E3"/>
    <w:rsid w:val="00A9550C"/>
    <w:rsid w:val="00A96113"/>
    <w:rsid w:val="00A96A28"/>
    <w:rsid w:val="00A96A60"/>
    <w:rsid w:val="00A97375"/>
    <w:rsid w:val="00A97432"/>
    <w:rsid w:val="00A97E95"/>
    <w:rsid w:val="00A97F88"/>
    <w:rsid w:val="00AA272B"/>
    <w:rsid w:val="00AA458A"/>
    <w:rsid w:val="00AA6C84"/>
    <w:rsid w:val="00AB006F"/>
    <w:rsid w:val="00AB094E"/>
    <w:rsid w:val="00AB12FE"/>
    <w:rsid w:val="00AB248C"/>
    <w:rsid w:val="00AB26C3"/>
    <w:rsid w:val="00AB2E58"/>
    <w:rsid w:val="00AB3DFD"/>
    <w:rsid w:val="00AB4F2D"/>
    <w:rsid w:val="00AC2247"/>
    <w:rsid w:val="00AC3C89"/>
    <w:rsid w:val="00AC61FC"/>
    <w:rsid w:val="00AC66A5"/>
    <w:rsid w:val="00AC77F8"/>
    <w:rsid w:val="00AD0AB2"/>
    <w:rsid w:val="00AD13F8"/>
    <w:rsid w:val="00AD1502"/>
    <w:rsid w:val="00AD343A"/>
    <w:rsid w:val="00AD3D56"/>
    <w:rsid w:val="00AD4196"/>
    <w:rsid w:val="00AD47E3"/>
    <w:rsid w:val="00AD67B6"/>
    <w:rsid w:val="00AD69C5"/>
    <w:rsid w:val="00AD6CA2"/>
    <w:rsid w:val="00AE07C1"/>
    <w:rsid w:val="00AE4670"/>
    <w:rsid w:val="00AE47A9"/>
    <w:rsid w:val="00AE5E66"/>
    <w:rsid w:val="00AE6E7B"/>
    <w:rsid w:val="00AF1D31"/>
    <w:rsid w:val="00AF7F4C"/>
    <w:rsid w:val="00AF7F96"/>
    <w:rsid w:val="00B039E3"/>
    <w:rsid w:val="00B0402F"/>
    <w:rsid w:val="00B041B5"/>
    <w:rsid w:val="00B1106F"/>
    <w:rsid w:val="00B12369"/>
    <w:rsid w:val="00B15559"/>
    <w:rsid w:val="00B17919"/>
    <w:rsid w:val="00B2134D"/>
    <w:rsid w:val="00B21F9C"/>
    <w:rsid w:val="00B319EB"/>
    <w:rsid w:val="00B33703"/>
    <w:rsid w:val="00B36DA6"/>
    <w:rsid w:val="00B4020A"/>
    <w:rsid w:val="00B41B88"/>
    <w:rsid w:val="00B45022"/>
    <w:rsid w:val="00B454A9"/>
    <w:rsid w:val="00B476B2"/>
    <w:rsid w:val="00B500AD"/>
    <w:rsid w:val="00B5094E"/>
    <w:rsid w:val="00B52805"/>
    <w:rsid w:val="00B532E1"/>
    <w:rsid w:val="00B5346B"/>
    <w:rsid w:val="00B53BEE"/>
    <w:rsid w:val="00B60672"/>
    <w:rsid w:val="00B61830"/>
    <w:rsid w:val="00B6338D"/>
    <w:rsid w:val="00B645CF"/>
    <w:rsid w:val="00B65485"/>
    <w:rsid w:val="00B67144"/>
    <w:rsid w:val="00B72250"/>
    <w:rsid w:val="00B738E4"/>
    <w:rsid w:val="00B73F82"/>
    <w:rsid w:val="00B7442B"/>
    <w:rsid w:val="00B74F98"/>
    <w:rsid w:val="00B768CB"/>
    <w:rsid w:val="00B815C4"/>
    <w:rsid w:val="00B8263C"/>
    <w:rsid w:val="00B82F56"/>
    <w:rsid w:val="00B85573"/>
    <w:rsid w:val="00B857B5"/>
    <w:rsid w:val="00B8789A"/>
    <w:rsid w:val="00B90D65"/>
    <w:rsid w:val="00B963AD"/>
    <w:rsid w:val="00B96986"/>
    <w:rsid w:val="00BA0A68"/>
    <w:rsid w:val="00BB0256"/>
    <w:rsid w:val="00BB12A2"/>
    <w:rsid w:val="00BB2861"/>
    <w:rsid w:val="00BB563D"/>
    <w:rsid w:val="00BB6C8A"/>
    <w:rsid w:val="00BC01FE"/>
    <w:rsid w:val="00BC1817"/>
    <w:rsid w:val="00BC50F7"/>
    <w:rsid w:val="00BC7B59"/>
    <w:rsid w:val="00BD49D9"/>
    <w:rsid w:val="00BD4A5D"/>
    <w:rsid w:val="00BD4C74"/>
    <w:rsid w:val="00BD632F"/>
    <w:rsid w:val="00BE007E"/>
    <w:rsid w:val="00BE1CD0"/>
    <w:rsid w:val="00BE5257"/>
    <w:rsid w:val="00BE5C63"/>
    <w:rsid w:val="00BE6920"/>
    <w:rsid w:val="00BF1B1A"/>
    <w:rsid w:val="00BF321B"/>
    <w:rsid w:val="00BF321E"/>
    <w:rsid w:val="00BF4E8A"/>
    <w:rsid w:val="00BF70E6"/>
    <w:rsid w:val="00C029C3"/>
    <w:rsid w:val="00C03419"/>
    <w:rsid w:val="00C04298"/>
    <w:rsid w:val="00C07C2F"/>
    <w:rsid w:val="00C12578"/>
    <w:rsid w:val="00C12647"/>
    <w:rsid w:val="00C128C5"/>
    <w:rsid w:val="00C12A7F"/>
    <w:rsid w:val="00C15958"/>
    <w:rsid w:val="00C16141"/>
    <w:rsid w:val="00C1628A"/>
    <w:rsid w:val="00C20918"/>
    <w:rsid w:val="00C20D82"/>
    <w:rsid w:val="00C21751"/>
    <w:rsid w:val="00C22194"/>
    <w:rsid w:val="00C22EA5"/>
    <w:rsid w:val="00C2325C"/>
    <w:rsid w:val="00C328FB"/>
    <w:rsid w:val="00C32AB1"/>
    <w:rsid w:val="00C332FD"/>
    <w:rsid w:val="00C37740"/>
    <w:rsid w:val="00C3797A"/>
    <w:rsid w:val="00C40F96"/>
    <w:rsid w:val="00C41576"/>
    <w:rsid w:val="00C451AC"/>
    <w:rsid w:val="00C46710"/>
    <w:rsid w:val="00C46724"/>
    <w:rsid w:val="00C46B8C"/>
    <w:rsid w:val="00C50F21"/>
    <w:rsid w:val="00C52285"/>
    <w:rsid w:val="00C52328"/>
    <w:rsid w:val="00C54988"/>
    <w:rsid w:val="00C54DA2"/>
    <w:rsid w:val="00C5555E"/>
    <w:rsid w:val="00C559DC"/>
    <w:rsid w:val="00C6371A"/>
    <w:rsid w:val="00C63CFE"/>
    <w:rsid w:val="00C63E5E"/>
    <w:rsid w:val="00C646A3"/>
    <w:rsid w:val="00C649FC"/>
    <w:rsid w:val="00C66847"/>
    <w:rsid w:val="00C66DBE"/>
    <w:rsid w:val="00C66F7F"/>
    <w:rsid w:val="00C70265"/>
    <w:rsid w:val="00C70808"/>
    <w:rsid w:val="00C71D54"/>
    <w:rsid w:val="00C7235C"/>
    <w:rsid w:val="00C7314E"/>
    <w:rsid w:val="00C76624"/>
    <w:rsid w:val="00C7759C"/>
    <w:rsid w:val="00C802CB"/>
    <w:rsid w:val="00C813B3"/>
    <w:rsid w:val="00C82F91"/>
    <w:rsid w:val="00C84D70"/>
    <w:rsid w:val="00C866D7"/>
    <w:rsid w:val="00C90958"/>
    <w:rsid w:val="00C90FA8"/>
    <w:rsid w:val="00C9216F"/>
    <w:rsid w:val="00C963AD"/>
    <w:rsid w:val="00C96B5E"/>
    <w:rsid w:val="00CA1811"/>
    <w:rsid w:val="00CA2A0C"/>
    <w:rsid w:val="00CA5BF1"/>
    <w:rsid w:val="00CA5CD4"/>
    <w:rsid w:val="00CB2FCB"/>
    <w:rsid w:val="00CB4723"/>
    <w:rsid w:val="00CB49F8"/>
    <w:rsid w:val="00CB5734"/>
    <w:rsid w:val="00CB5B1C"/>
    <w:rsid w:val="00CC02E1"/>
    <w:rsid w:val="00CC10BB"/>
    <w:rsid w:val="00CC210C"/>
    <w:rsid w:val="00CC31BD"/>
    <w:rsid w:val="00CC5762"/>
    <w:rsid w:val="00CC595D"/>
    <w:rsid w:val="00CD0F74"/>
    <w:rsid w:val="00CD13B0"/>
    <w:rsid w:val="00CD2BA8"/>
    <w:rsid w:val="00CD5B0F"/>
    <w:rsid w:val="00CD6FBE"/>
    <w:rsid w:val="00CE07CF"/>
    <w:rsid w:val="00CE41E5"/>
    <w:rsid w:val="00CE571A"/>
    <w:rsid w:val="00CE634F"/>
    <w:rsid w:val="00CE743F"/>
    <w:rsid w:val="00CE7E0D"/>
    <w:rsid w:val="00CF4BF8"/>
    <w:rsid w:val="00D006F4"/>
    <w:rsid w:val="00D009BD"/>
    <w:rsid w:val="00D00A5D"/>
    <w:rsid w:val="00D00FF0"/>
    <w:rsid w:val="00D07F34"/>
    <w:rsid w:val="00D13D02"/>
    <w:rsid w:val="00D14D2E"/>
    <w:rsid w:val="00D14DF0"/>
    <w:rsid w:val="00D15A1C"/>
    <w:rsid w:val="00D16598"/>
    <w:rsid w:val="00D16B7D"/>
    <w:rsid w:val="00D21674"/>
    <w:rsid w:val="00D249F8"/>
    <w:rsid w:val="00D25372"/>
    <w:rsid w:val="00D26B1C"/>
    <w:rsid w:val="00D30325"/>
    <w:rsid w:val="00D30398"/>
    <w:rsid w:val="00D31A34"/>
    <w:rsid w:val="00D36BBC"/>
    <w:rsid w:val="00D37640"/>
    <w:rsid w:val="00D51678"/>
    <w:rsid w:val="00D51ABC"/>
    <w:rsid w:val="00D52E77"/>
    <w:rsid w:val="00D54123"/>
    <w:rsid w:val="00D547F9"/>
    <w:rsid w:val="00D60640"/>
    <w:rsid w:val="00D64309"/>
    <w:rsid w:val="00D700C4"/>
    <w:rsid w:val="00D7041A"/>
    <w:rsid w:val="00D70E16"/>
    <w:rsid w:val="00D72009"/>
    <w:rsid w:val="00D73426"/>
    <w:rsid w:val="00D73638"/>
    <w:rsid w:val="00D73B79"/>
    <w:rsid w:val="00D75E1F"/>
    <w:rsid w:val="00D82688"/>
    <w:rsid w:val="00D82E53"/>
    <w:rsid w:val="00D84E2C"/>
    <w:rsid w:val="00D87E6F"/>
    <w:rsid w:val="00D900D6"/>
    <w:rsid w:val="00D904FC"/>
    <w:rsid w:val="00D90B2E"/>
    <w:rsid w:val="00D9445A"/>
    <w:rsid w:val="00D94501"/>
    <w:rsid w:val="00D9702E"/>
    <w:rsid w:val="00D97753"/>
    <w:rsid w:val="00D97895"/>
    <w:rsid w:val="00DA1374"/>
    <w:rsid w:val="00DA273E"/>
    <w:rsid w:val="00DA3231"/>
    <w:rsid w:val="00DA6E17"/>
    <w:rsid w:val="00DB16AC"/>
    <w:rsid w:val="00DB2747"/>
    <w:rsid w:val="00DB4CE6"/>
    <w:rsid w:val="00DB791B"/>
    <w:rsid w:val="00DC4CCE"/>
    <w:rsid w:val="00DC61D2"/>
    <w:rsid w:val="00DC6A24"/>
    <w:rsid w:val="00DD026E"/>
    <w:rsid w:val="00DD0F27"/>
    <w:rsid w:val="00DD2E28"/>
    <w:rsid w:val="00DD4186"/>
    <w:rsid w:val="00DD57A8"/>
    <w:rsid w:val="00DD611E"/>
    <w:rsid w:val="00DE2273"/>
    <w:rsid w:val="00DE5396"/>
    <w:rsid w:val="00DE605E"/>
    <w:rsid w:val="00E00326"/>
    <w:rsid w:val="00E00A22"/>
    <w:rsid w:val="00E00B14"/>
    <w:rsid w:val="00E02C84"/>
    <w:rsid w:val="00E03040"/>
    <w:rsid w:val="00E0323C"/>
    <w:rsid w:val="00E0413A"/>
    <w:rsid w:val="00E06E4E"/>
    <w:rsid w:val="00E138F2"/>
    <w:rsid w:val="00E17F39"/>
    <w:rsid w:val="00E2152E"/>
    <w:rsid w:val="00E22866"/>
    <w:rsid w:val="00E23085"/>
    <w:rsid w:val="00E357E5"/>
    <w:rsid w:val="00E41287"/>
    <w:rsid w:val="00E41934"/>
    <w:rsid w:val="00E41D62"/>
    <w:rsid w:val="00E43480"/>
    <w:rsid w:val="00E43807"/>
    <w:rsid w:val="00E45A6D"/>
    <w:rsid w:val="00E4609F"/>
    <w:rsid w:val="00E46455"/>
    <w:rsid w:val="00E46E32"/>
    <w:rsid w:val="00E5071A"/>
    <w:rsid w:val="00E51F1A"/>
    <w:rsid w:val="00E540CB"/>
    <w:rsid w:val="00E55618"/>
    <w:rsid w:val="00E56B68"/>
    <w:rsid w:val="00E57B75"/>
    <w:rsid w:val="00E60A67"/>
    <w:rsid w:val="00E61498"/>
    <w:rsid w:val="00E619FE"/>
    <w:rsid w:val="00E64012"/>
    <w:rsid w:val="00E64275"/>
    <w:rsid w:val="00E64912"/>
    <w:rsid w:val="00E64A70"/>
    <w:rsid w:val="00E64DE5"/>
    <w:rsid w:val="00E72234"/>
    <w:rsid w:val="00E72D5C"/>
    <w:rsid w:val="00E73B77"/>
    <w:rsid w:val="00E74E85"/>
    <w:rsid w:val="00E80054"/>
    <w:rsid w:val="00E80ADE"/>
    <w:rsid w:val="00E80D8F"/>
    <w:rsid w:val="00E85926"/>
    <w:rsid w:val="00E87D8E"/>
    <w:rsid w:val="00E9160B"/>
    <w:rsid w:val="00E929FF"/>
    <w:rsid w:val="00E92A26"/>
    <w:rsid w:val="00E95276"/>
    <w:rsid w:val="00E96D99"/>
    <w:rsid w:val="00EA1214"/>
    <w:rsid w:val="00EA14F0"/>
    <w:rsid w:val="00EA5108"/>
    <w:rsid w:val="00EA58E7"/>
    <w:rsid w:val="00EA5907"/>
    <w:rsid w:val="00EA7098"/>
    <w:rsid w:val="00EB108E"/>
    <w:rsid w:val="00EB276D"/>
    <w:rsid w:val="00EB37B8"/>
    <w:rsid w:val="00EB3DAF"/>
    <w:rsid w:val="00EB538E"/>
    <w:rsid w:val="00EC1A57"/>
    <w:rsid w:val="00EC2AF3"/>
    <w:rsid w:val="00EC325A"/>
    <w:rsid w:val="00EC33F6"/>
    <w:rsid w:val="00ED4FD3"/>
    <w:rsid w:val="00ED5CD2"/>
    <w:rsid w:val="00ED6F56"/>
    <w:rsid w:val="00EE0AA5"/>
    <w:rsid w:val="00EE141C"/>
    <w:rsid w:val="00EE2AEC"/>
    <w:rsid w:val="00EE2FAE"/>
    <w:rsid w:val="00EE3AF7"/>
    <w:rsid w:val="00EE4F1A"/>
    <w:rsid w:val="00EE6A9F"/>
    <w:rsid w:val="00EE6EE5"/>
    <w:rsid w:val="00EE7D56"/>
    <w:rsid w:val="00EF1A56"/>
    <w:rsid w:val="00EF6393"/>
    <w:rsid w:val="00EF6E3D"/>
    <w:rsid w:val="00F0559E"/>
    <w:rsid w:val="00F0601E"/>
    <w:rsid w:val="00F10597"/>
    <w:rsid w:val="00F11F49"/>
    <w:rsid w:val="00F136BF"/>
    <w:rsid w:val="00F13B1F"/>
    <w:rsid w:val="00F14BDB"/>
    <w:rsid w:val="00F16E45"/>
    <w:rsid w:val="00F20EA3"/>
    <w:rsid w:val="00F23788"/>
    <w:rsid w:val="00F26E5B"/>
    <w:rsid w:val="00F30F15"/>
    <w:rsid w:val="00F32C0E"/>
    <w:rsid w:val="00F3396F"/>
    <w:rsid w:val="00F3532B"/>
    <w:rsid w:val="00F37700"/>
    <w:rsid w:val="00F40945"/>
    <w:rsid w:val="00F424F8"/>
    <w:rsid w:val="00F42D58"/>
    <w:rsid w:val="00F44664"/>
    <w:rsid w:val="00F4788E"/>
    <w:rsid w:val="00F50CEA"/>
    <w:rsid w:val="00F50DD1"/>
    <w:rsid w:val="00F51363"/>
    <w:rsid w:val="00F54E40"/>
    <w:rsid w:val="00F55E05"/>
    <w:rsid w:val="00F55E86"/>
    <w:rsid w:val="00F57A22"/>
    <w:rsid w:val="00F61B9A"/>
    <w:rsid w:val="00F63D28"/>
    <w:rsid w:val="00F63D73"/>
    <w:rsid w:val="00F645FB"/>
    <w:rsid w:val="00F67E33"/>
    <w:rsid w:val="00F702B9"/>
    <w:rsid w:val="00F72B0F"/>
    <w:rsid w:val="00F74434"/>
    <w:rsid w:val="00F82BA2"/>
    <w:rsid w:val="00F912DB"/>
    <w:rsid w:val="00F92BC9"/>
    <w:rsid w:val="00F93590"/>
    <w:rsid w:val="00F94BC5"/>
    <w:rsid w:val="00FA0D61"/>
    <w:rsid w:val="00FA143A"/>
    <w:rsid w:val="00FA1943"/>
    <w:rsid w:val="00FA6EAD"/>
    <w:rsid w:val="00FA7180"/>
    <w:rsid w:val="00FA7EFE"/>
    <w:rsid w:val="00FB43C0"/>
    <w:rsid w:val="00FB533C"/>
    <w:rsid w:val="00FC1FF6"/>
    <w:rsid w:val="00FC40A0"/>
    <w:rsid w:val="00FC4AD8"/>
    <w:rsid w:val="00FD0A32"/>
    <w:rsid w:val="00FD0C72"/>
    <w:rsid w:val="00FD437C"/>
    <w:rsid w:val="00FD4EFF"/>
    <w:rsid w:val="00FD5082"/>
    <w:rsid w:val="00FD7885"/>
    <w:rsid w:val="00FE120B"/>
    <w:rsid w:val="00FE51EB"/>
    <w:rsid w:val="00FE67C4"/>
    <w:rsid w:val="00FE6F92"/>
    <w:rsid w:val="00FF25BE"/>
    <w:rsid w:val="00FF2DC1"/>
    <w:rsid w:val="00FF388A"/>
    <w:rsid w:val="00FF73F2"/>
    <w:rsid w:val="012821B3"/>
    <w:rsid w:val="013FF8DE"/>
    <w:rsid w:val="02412CC4"/>
    <w:rsid w:val="02B65950"/>
    <w:rsid w:val="02C108A1"/>
    <w:rsid w:val="03AA4F0D"/>
    <w:rsid w:val="03CFAE53"/>
    <w:rsid w:val="0439D1E3"/>
    <w:rsid w:val="053A45A0"/>
    <w:rsid w:val="053ED3FF"/>
    <w:rsid w:val="0565B1D1"/>
    <w:rsid w:val="05A56110"/>
    <w:rsid w:val="062F325B"/>
    <w:rsid w:val="072E3AB9"/>
    <w:rsid w:val="077439A2"/>
    <w:rsid w:val="08043495"/>
    <w:rsid w:val="081C884A"/>
    <w:rsid w:val="084A68C6"/>
    <w:rsid w:val="08BA3CC0"/>
    <w:rsid w:val="08EAA667"/>
    <w:rsid w:val="09CF9617"/>
    <w:rsid w:val="09FFD119"/>
    <w:rsid w:val="0A1C3625"/>
    <w:rsid w:val="0A2808E8"/>
    <w:rsid w:val="0A2F36BD"/>
    <w:rsid w:val="0A3F053B"/>
    <w:rsid w:val="0AD631CE"/>
    <w:rsid w:val="0AFAB5F8"/>
    <w:rsid w:val="0B0F30F1"/>
    <w:rsid w:val="0C72022F"/>
    <w:rsid w:val="0CBD089F"/>
    <w:rsid w:val="0D324686"/>
    <w:rsid w:val="0D882292"/>
    <w:rsid w:val="0D9EF7F9"/>
    <w:rsid w:val="0DCDD75E"/>
    <w:rsid w:val="0E211BE3"/>
    <w:rsid w:val="0E50C90E"/>
    <w:rsid w:val="0E9E4C33"/>
    <w:rsid w:val="0ED5566E"/>
    <w:rsid w:val="0F98428D"/>
    <w:rsid w:val="10770F33"/>
    <w:rsid w:val="112C4158"/>
    <w:rsid w:val="12077268"/>
    <w:rsid w:val="121B6934"/>
    <w:rsid w:val="128BD19E"/>
    <w:rsid w:val="12C811B9"/>
    <w:rsid w:val="130E6400"/>
    <w:rsid w:val="1371BD56"/>
    <w:rsid w:val="1427AC97"/>
    <w:rsid w:val="1442CD32"/>
    <w:rsid w:val="14A985C4"/>
    <w:rsid w:val="14AC57AD"/>
    <w:rsid w:val="14AF6EEB"/>
    <w:rsid w:val="150CB8D6"/>
    <w:rsid w:val="15912D4C"/>
    <w:rsid w:val="16AB7356"/>
    <w:rsid w:val="175F42C1"/>
    <w:rsid w:val="17B6C207"/>
    <w:rsid w:val="17F65252"/>
    <w:rsid w:val="18499C4B"/>
    <w:rsid w:val="18D01A5B"/>
    <w:rsid w:val="19163E55"/>
    <w:rsid w:val="194CF962"/>
    <w:rsid w:val="196BBC10"/>
    <w:rsid w:val="19805B7E"/>
    <w:rsid w:val="1A7DBB26"/>
    <w:rsid w:val="1AA0847B"/>
    <w:rsid w:val="1AB20EB6"/>
    <w:rsid w:val="1B18C748"/>
    <w:rsid w:val="1BD39879"/>
    <w:rsid w:val="1C198B87"/>
    <w:rsid w:val="1C61F856"/>
    <w:rsid w:val="1D45730A"/>
    <w:rsid w:val="1DC923AE"/>
    <w:rsid w:val="1DFA2FDD"/>
    <w:rsid w:val="1EFA6DB6"/>
    <w:rsid w:val="1F3750A8"/>
    <w:rsid w:val="1F857FD9"/>
    <w:rsid w:val="2030006A"/>
    <w:rsid w:val="20ECFCAA"/>
    <w:rsid w:val="210827DD"/>
    <w:rsid w:val="21631468"/>
    <w:rsid w:val="21C3A175"/>
    <w:rsid w:val="21F19856"/>
    <w:rsid w:val="2300E89A"/>
    <w:rsid w:val="241F7E00"/>
    <w:rsid w:val="25452D35"/>
    <w:rsid w:val="265AB4D1"/>
    <w:rsid w:val="267A0D94"/>
    <w:rsid w:val="27ACCE53"/>
    <w:rsid w:val="288C413C"/>
    <w:rsid w:val="28D11E6D"/>
    <w:rsid w:val="2A03E53A"/>
    <w:rsid w:val="2A305CBC"/>
    <w:rsid w:val="2A4C2C19"/>
    <w:rsid w:val="2A71ACFF"/>
    <w:rsid w:val="2AA62E22"/>
    <w:rsid w:val="2AAE4E5B"/>
    <w:rsid w:val="2AD1BD3A"/>
    <w:rsid w:val="2B50F88E"/>
    <w:rsid w:val="2C4E872F"/>
    <w:rsid w:val="2D2A0FEF"/>
    <w:rsid w:val="2D673A43"/>
    <w:rsid w:val="2E3680EB"/>
    <w:rsid w:val="2EFE5675"/>
    <w:rsid w:val="2F13B996"/>
    <w:rsid w:val="2F9D9BE1"/>
    <w:rsid w:val="2FD7A655"/>
    <w:rsid w:val="2FDA4C36"/>
    <w:rsid w:val="3170E8AA"/>
    <w:rsid w:val="3219FB25"/>
    <w:rsid w:val="32D53CA3"/>
    <w:rsid w:val="335361C2"/>
    <w:rsid w:val="34035CB6"/>
    <w:rsid w:val="34AE58B6"/>
    <w:rsid w:val="36197AD3"/>
    <w:rsid w:val="37486F63"/>
    <w:rsid w:val="387F64D9"/>
    <w:rsid w:val="38893CA9"/>
    <w:rsid w:val="38A638EF"/>
    <w:rsid w:val="38C3144C"/>
    <w:rsid w:val="39AC32C5"/>
    <w:rsid w:val="3A38411A"/>
    <w:rsid w:val="3B3CCAD4"/>
    <w:rsid w:val="3BDDD9B1"/>
    <w:rsid w:val="3C5E7943"/>
    <w:rsid w:val="3CAA475F"/>
    <w:rsid w:val="3CB9E0A0"/>
    <w:rsid w:val="3D79AA12"/>
    <w:rsid w:val="3DF91570"/>
    <w:rsid w:val="3E217239"/>
    <w:rsid w:val="3EB214B2"/>
    <w:rsid w:val="3F3159B1"/>
    <w:rsid w:val="3FE4DE0F"/>
    <w:rsid w:val="3FF18162"/>
    <w:rsid w:val="43303AC9"/>
    <w:rsid w:val="4403E6B1"/>
    <w:rsid w:val="4546AAC9"/>
    <w:rsid w:val="454CA011"/>
    <w:rsid w:val="461958D4"/>
    <w:rsid w:val="46E27B2A"/>
    <w:rsid w:val="46E87072"/>
    <w:rsid w:val="470C199F"/>
    <w:rsid w:val="478F8B98"/>
    <w:rsid w:val="47A8926F"/>
    <w:rsid w:val="4804994E"/>
    <w:rsid w:val="4993FE43"/>
    <w:rsid w:val="49C5521C"/>
    <w:rsid w:val="4A568ED8"/>
    <w:rsid w:val="4A57CAC4"/>
    <w:rsid w:val="4AF2B3AC"/>
    <w:rsid w:val="4BE45E02"/>
    <w:rsid w:val="4D3A4E54"/>
    <w:rsid w:val="4D3E7F01"/>
    <w:rsid w:val="4DB3DAB5"/>
    <w:rsid w:val="4E87B409"/>
    <w:rsid w:val="4EDA59FA"/>
    <w:rsid w:val="4FDE397C"/>
    <w:rsid w:val="4FF59574"/>
    <w:rsid w:val="50480894"/>
    <w:rsid w:val="507A95BC"/>
    <w:rsid w:val="50E5DD97"/>
    <w:rsid w:val="519165D5"/>
    <w:rsid w:val="524B1E54"/>
    <w:rsid w:val="54CFE1C0"/>
    <w:rsid w:val="54CFE96E"/>
    <w:rsid w:val="55499B7E"/>
    <w:rsid w:val="557FDCB4"/>
    <w:rsid w:val="55B99502"/>
    <w:rsid w:val="5642D618"/>
    <w:rsid w:val="56B0EBC1"/>
    <w:rsid w:val="56E56147"/>
    <w:rsid w:val="571BAD15"/>
    <w:rsid w:val="57AB16EB"/>
    <w:rsid w:val="581AA497"/>
    <w:rsid w:val="58BE2996"/>
    <w:rsid w:val="58F46A4C"/>
    <w:rsid w:val="599292F1"/>
    <w:rsid w:val="5B062B2D"/>
    <w:rsid w:val="5B3B7DC0"/>
    <w:rsid w:val="5B524559"/>
    <w:rsid w:val="5BFC9A69"/>
    <w:rsid w:val="5C6E08DF"/>
    <w:rsid w:val="5CAD15BD"/>
    <w:rsid w:val="5D373D1A"/>
    <w:rsid w:val="5DD6ADBB"/>
    <w:rsid w:val="5E155661"/>
    <w:rsid w:val="5E6390F1"/>
    <w:rsid w:val="5E6D2488"/>
    <w:rsid w:val="5EF16AAD"/>
    <w:rsid w:val="5F26BEFA"/>
    <w:rsid w:val="5FDD7789"/>
    <w:rsid w:val="60E836CF"/>
    <w:rsid w:val="60FF7C31"/>
    <w:rsid w:val="61353087"/>
    <w:rsid w:val="616CC7D8"/>
    <w:rsid w:val="61AF5A4C"/>
    <w:rsid w:val="62506D21"/>
    <w:rsid w:val="62840730"/>
    <w:rsid w:val="631002E0"/>
    <w:rsid w:val="635BEAE5"/>
    <w:rsid w:val="6363D72D"/>
    <w:rsid w:val="63849249"/>
    <w:rsid w:val="638C447B"/>
    <w:rsid w:val="638C7FCF"/>
    <w:rsid w:val="6481BB0B"/>
    <w:rsid w:val="648CB838"/>
    <w:rsid w:val="64AD3356"/>
    <w:rsid w:val="64F7BB46"/>
    <w:rsid w:val="652062AA"/>
    <w:rsid w:val="65349D71"/>
    <w:rsid w:val="65B98876"/>
    <w:rsid w:val="65FED6B0"/>
    <w:rsid w:val="66427A18"/>
    <w:rsid w:val="683352E1"/>
    <w:rsid w:val="6858036C"/>
    <w:rsid w:val="68DD2047"/>
    <w:rsid w:val="692F924D"/>
    <w:rsid w:val="69F3D3CD"/>
    <w:rsid w:val="6BDC01CC"/>
    <w:rsid w:val="6C48D703"/>
    <w:rsid w:val="6C9D5326"/>
    <w:rsid w:val="6CA99B62"/>
    <w:rsid w:val="6D2746AA"/>
    <w:rsid w:val="6D87EA06"/>
    <w:rsid w:val="6DD59146"/>
    <w:rsid w:val="6E41AD27"/>
    <w:rsid w:val="6E4F0223"/>
    <w:rsid w:val="6EC3779E"/>
    <w:rsid w:val="6EC744F0"/>
    <w:rsid w:val="6ECF3276"/>
    <w:rsid w:val="6F7AA47B"/>
    <w:rsid w:val="6FA1DF86"/>
    <w:rsid w:val="6FDD9FBB"/>
    <w:rsid w:val="703E9127"/>
    <w:rsid w:val="706B02D7"/>
    <w:rsid w:val="708BC6E3"/>
    <w:rsid w:val="71DF43D9"/>
    <w:rsid w:val="7206D338"/>
    <w:rsid w:val="739AB613"/>
    <w:rsid w:val="73A2A399"/>
    <w:rsid w:val="73BE00A2"/>
    <w:rsid w:val="74241169"/>
    <w:rsid w:val="74A8438B"/>
    <w:rsid w:val="753E73FA"/>
    <w:rsid w:val="75B58F6F"/>
    <w:rsid w:val="768A8650"/>
    <w:rsid w:val="76A8112F"/>
    <w:rsid w:val="76FB5013"/>
    <w:rsid w:val="7889AFB1"/>
    <w:rsid w:val="789A9600"/>
    <w:rsid w:val="7A91A9B6"/>
    <w:rsid w:val="7AAB476A"/>
    <w:rsid w:val="7AE4922D"/>
    <w:rsid w:val="7AFBF59E"/>
    <w:rsid w:val="7CA68C37"/>
    <w:rsid w:val="7CDCD805"/>
    <w:rsid w:val="7D0D0715"/>
    <w:rsid w:val="7D79AA8F"/>
    <w:rsid w:val="7DF155D1"/>
    <w:rsid w:val="7E703AA1"/>
    <w:rsid w:val="7E89C340"/>
    <w:rsid w:val="7EB2B2DA"/>
    <w:rsid w:val="7F1AB1EF"/>
    <w:rsid w:val="7FB271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20B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0006A0"/>
    <w:pPr>
      <w:ind w:left="720"/>
      <w:contextualSpacing/>
    </w:p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link w:val="ListParagraph"/>
    <w:uiPriority w:val="34"/>
    <w:qFormat/>
    <w:locked/>
    <w:rsid w:val="004A6B36"/>
    <w:rPr>
      <w:lang w:val="pl-PL"/>
    </w:rPr>
  </w:style>
  <w:style w:type="paragraph" w:styleId="FootnoteText">
    <w:name w:val="footnote text"/>
    <w:basedOn w:val="Normal"/>
    <w:link w:val="FootnoteTextChar"/>
    <w:uiPriority w:val="99"/>
    <w:unhideWhenUsed/>
    <w:rsid w:val="004A6B36"/>
    <w:pPr>
      <w:spacing w:after="0" w:line="240" w:lineRule="auto"/>
    </w:pPr>
    <w:rPr>
      <w:sz w:val="20"/>
      <w:szCs w:val="20"/>
    </w:rPr>
  </w:style>
  <w:style w:type="character" w:customStyle="1" w:styleId="FootnoteTextChar">
    <w:name w:val="Footnote Text Char"/>
    <w:basedOn w:val="DefaultParagraphFont"/>
    <w:link w:val="FootnoteText"/>
    <w:uiPriority w:val="99"/>
    <w:rsid w:val="004A6B36"/>
    <w:rPr>
      <w:sz w:val="20"/>
      <w:szCs w:val="20"/>
      <w:lang w:val="pl-PL"/>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4A6B36"/>
    <w:rPr>
      <w:vertAlign w:val="superscript"/>
    </w:rPr>
  </w:style>
  <w:style w:type="paragraph" w:customStyle="1" w:styleId="CharCharChar1">
    <w:name w:val="Char Char Char1"/>
    <w:basedOn w:val="Normal"/>
    <w:link w:val="FootnoteReference"/>
    <w:uiPriority w:val="99"/>
    <w:rsid w:val="004A6B36"/>
    <w:pPr>
      <w:spacing w:line="240" w:lineRule="exact"/>
      <w:jc w:val="both"/>
    </w:pPr>
    <w:rPr>
      <w:vertAlign w:val="superscript"/>
    </w:rPr>
  </w:style>
  <w:style w:type="character" w:styleId="Hyperlink">
    <w:name w:val="Hyperlink"/>
    <w:basedOn w:val="DefaultParagraphFont"/>
    <w:uiPriority w:val="99"/>
    <w:unhideWhenUsed/>
    <w:rsid w:val="004A6B36"/>
    <w:rPr>
      <w:color w:val="0563C1" w:themeColor="hyperlink"/>
      <w:u w:val="single"/>
    </w:rPr>
  </w:style>
  <w:style w:type="character" w:customStyle="1" w:styleId="eop">
    <w:name w:val="eop"/>
    <w:basedOn w:val="DefaultParagraphFont"/>
    <w:rsid w:val="00DE2273"/>
  </w:style>
  <w:style w:type="character" w:styleId="CommentReference">
    <w:name w:val="annotation reference"/>
    <w:basedOn w:val="DefaultParagraphFont"/>
    <w:uiPriority w:val="99"/>
    <w:semiHidden/>
    <w:unhideWhenUsed/>
    <w:rsid w:val="00DE2273"/>
    <w:rPr>
      <w:sz w:val="16"/>
      <w:szCs w:val="16"/>
    </w:rPr>
  </w:style>
  <w:style w:type="paragraph" w:styleId="CommentText">
    <w:name w:val="annotation text"/>
    <w:basedOn w:val="Normal"/>
    <w:link w:val="CommentTextChar"/>
    <w:uiPriority w:val="99"/>
    <w:unhideWhenUsed/>
    <w:rsid w:val="00A222D0"/>
    <w:pPr>
      <w:spacing w:line="240" w:lineRule="auto"/>
    </w:pPr>
    <w:rPr>
      <w:sz w:val="20"/>
      <w:szCs w:val="20"/>
    </w:rPr>
  </w:style>
  <w:style w:type="character" w:customStyle="1" w:styleId="CommentTextChar">
    <w:name w:val="Comment Text Char"/>
    <w:basedOn w:val="DefaultParagraphFont"/>
    <w:link w:val="CommentText"/>
    <w:uiPriority w:val="99"/>
    <w:rsid w:val="00DE2273"/>
    <w:rPr>
      <w:sz w:val="20"/>
      <w:szCs w:val="20"/>
    </w:rPr>
  </w:style>
  <w:style w:type="paragraph" w:styleId="CommentSubject">
    <w:name w:val="annotation subject"/>
    <w:basedOn w:val="CommentText"/>
    <w:next w:val="CommentText"/>
    <w:link w:val="CommentSubjectChar"/>
    <w:uiPriority w:val="99"/>
    <w:semiHidden/>
    <w:unhideWhenUsed/>
    <w:rsid w:val="00DE2273"/>
    <w:rPr>
      <w:b/>
      <w:bCs/>
    </w:rPr>
  </w:style>
  <w:style w:type="character" w:customStyle="1" w:styleId="CommentSubjectChar">
    <w:name w:val="Comment Subject Char"/>
    <w:basedOn w:val="CommentTextChar"/>
    <w:link w:val="CommentSubject"/>
    <w:uiPriority w:val="99"/>
    <w:semiHidden/>
    <w:rsid w:val="00DE2273"/>
    <w:rPr>
      <w:b/>
      <w:bCs/>
      <w:sz w:val="20"/>
      <w:szCs w:val="20"/>
    </w:rPr>
  </w:style>
  <w:style w:type="paragraph" w:styleId="BalloonText">
    <w:name w:val="Balloon Text"/>
    <w:basedOn w:val="Normal"/>
    <w:link w:val="BalloonTextChar"/>
    <w:uiPriority w:val="99"/>
    <w:semiHidden/>
    <w:unhideWhenUsed/>
    <w:rsid w:val="00DE2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273"/>
    <w:rPr>
      <w:rFonts w:ascii="Segoe UI" w:hAnsi="Segoe UI" w:cs="Segoe UI"/>
      <w:sz w:val="18"/>
      <w:szCs w:val="18"/>
    </w:rPr>
  </w:style>
  <w:style w:type="paragraph" w:styleId="Revision">
    <w:name w:val="Revision"/>
    <w:hidden/>
    <w:uiPriority w:val="99"/>
    <w:semiHidden/>
    <w:rsid w:val="003811D0"/>
    <w:pPr>
      <w:spacing w:after="0" w:line="240" w:lineRule="auto"/>
    </w:pPr>
  </w:style>
  <w:style w:type="paragraph" w:styleId="Header">
    <w:name w:val="header"/>
    <w:basedOn w:val="Normal"/>
    <w:link w:val="HeaderChar"/>
    <w:uiPriority w:val="99"/>
    <w:unhideWhenUsed/>
    <w:rsid w:val="00644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55E"/>
  </w:style>
  <w:style w:type="paragraph" w:styleId="Footer">
    <w:name w:val="footer"/>
    <w:basedOn w:val="Normal"/>
    <w:link w:val="FooterChar"/>
    <w:uiPriority w:val="99"/>
    <w:unhideWhenUsed/>
    <w:rsid w:val="00644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55E"/>
  </w:style>
  <w:style w:type="character" w:styleId="FollowedHyperlink">
    <w:name w:val="FollowedHyperlink"/>
    <w:basedOn w:val="DefaultParagraphFont"/>
    <w:uiPriority w:val="99"/>
    <w:semiHidden/>
    <w:unhideWhenUsed/>
    <w:rsid w:val="006D4CC6"/>
    <w:rPr>
      <w:color w:val="954F72" w:themeColor="followedHyperlink"/>
      <w:u w:val="single"/>
    </w:rPr>
  </w:style>
  <w:style w:type="paragraph" w:styleId="PlainText">
    <w:name w:val="Plain Text"/>
    <w:basedOn w:val="Normal"/>
    <w:link w:val="PlainTextChar"/>
    <w:uiPriority w:val="99"/>
    <w:semiHidden/>
    <w:unhideWhenUsed/>
    <w:rsid w:val="0094111B"/>
    <w:pPr>
      <w:spacing w:after="0" w:line="240" w:lineRule="auto"/>
    </w:pPr>
    <w:rPr>
      <w:rFonts w:ascii="Times New Roman" w:hAnsi="Times New Roman" w:cs="Times New Roman"/>
      <w:sz w:val="24"/>
      <w:szCs w:val="21"/>
    </w:rPr>
  </w:style>
  <w:style w:type="character" w:customStyle="1" w:styleId="PlainTextChar">
    <w:name w:val="Plain Text Char"/>
    <w:basedOn w:val="DefaultParagraphFont"/>
    <w:link w:val="PlainText"/>
    <w:uiPriority w:val="99"/>
    <w:semiHidden/>
    <w:rsid w:val="0094111B"/>
    <w:rPr>
      <w:rFonts w:ascii="Times New Roman" w:hAnsi="Times New Roman" w:cs="Times New Roman"/>
      <w:sz w:val="24"/>
      <w:szCs w:val="21"/>
    </w:rPr>
  </w:style>
  <w:style w:type="character" w:customStyle="1" w:styleId="Marker">
    <w:name w:val="Marker"/>
    <w:basedOn w:val="DefaultParagraphFont"/>
    <w:rsid w:val="008A315E"/>
    <w:rPr>
      <w:color w:val="0000FF"/>
      <w:shd w:val="clear" w:color="auto" w:fill="auto"/>
    </w:rPr>
  </w:style>
  <w:style w:type="paragraph" w:customStyle="1" w:styleId="Pagedecouverture">
    <w:name w:val="Page de couverture"/>
    <w:basedOn w:val="Normal"/>
    <w:next w:val="Normal"/>
    <w:rsid w:val="008A315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A315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A315E"/>
    <w:rPr>
      <w:rFonts w:ascii="Times New Roman" w:hAnsi="Times New Roman" w:cs="Times New Roman"/>
      <w:sz w:val="24"/>
    </w:rPr>
  </w:style>
  <w:style w:type="paragraph" w:customStyle="1" w:styleId="FooterSensitivity">
    <w:name w:val="Footer Sensitivity"/>
    <w:basedOn w:val="Normal"/>
    <w:link w:val="FooterSensitivityChar"/>
    <w:rsid w:val="008A315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A315E"/>
    <w:rPr>
      <w:rFonts w:ascii="Times New Roman" w:hAnsi="Times New Roman" w:cs="Times New Roman"/>
      <w:b/>
      <w:sz w:val="32"/>
    </w:rPr>
  </w:style>
  <w:style w:type="paragraph" w:customStyle="1" w:styleId="HeaderCoverPage">
    <w:name w:val="Header Cover Page"/>
    <w:basedOn w:val="Normal"/>
    <w:link w:val="HeaderCoverPageChar"/>
    <w:rsid w:val="008A315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A315E"/>
    <w:rPr>
      <w:rFonts w:ascii="Times New Roman" w:hAnsi="Times New Roman" w:cs="Times New Roman"/>
      <w:sz w:val="24"/>
    </w:rPr>
  </w:style>
  <w:style w:type="paragraph" w:customStyle="1" w:styleId="HeaderSensitivity">
    <w:name w:val="Header Sensitivity"/>
    <w:basedOn w:val="Normal"/>
    <w:link w:val="HeaderSensitivityChar"/>
    <w:rsid w:val="008A315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A315E"/>
    <w:rPr>
      <w:rFonts w:ascii="Times New Roman" w:hAnsi="Times New Roman" w:cs="Times New Roman"/>
      <w:b/>
      <w:sz w:val="32"/>
    </w:rPr>
  </w:style>
  <w:style w:type="paragraph" w:customStyle="1" w:styleId="HeaderSensitivityRight">
    <w:name w:val="Header Sensitivity Right"/>
    <w:basedOn w:val="Normal"/>
    <w:link w:val="HeaderSensitivityRightChar"/>
    <w:rsid w:val="008A315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A315E"/>
    <w:rPr>
      <w:rFonts w:ascii="Times New Roman" w:hAnsi="Times New Roman" w:cs="Times New Roman"/>
      <w:sz w:val="28"/>
    </w:rPr>
  </w:style>
  <w:style w:type="character" w:customStyle="1" w:styleId="ui-provider">
    <w:name w:val="ui-provider"/>
    <w:basedOn w:val="DefaultParagraphFont"/>
    <w:rsid w:val="00E5071A"/>
  </w:style>
  <w:style w:type="character" w:styleId="Emphasis">
    <w:name w:val="Emphasis"/>
    <w:basedOn w:val="DefaultParagraphFont"/>
    <w:uiPriority w:val="20"/>
    <w:qFormat/>
    <w:rsid w:val="00E74E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6892">
      <w:bodyDiv w:val="1"/>
      <w:marLeft w:val="0"/>
      <w:marRight w:val="0"/>
      <w:marTop w:val="0"/>
      <w:marBottom w:val="0"/>
      <w:divBdr>
        <w:top w:val="none" w:sz="0" w:space="0" w:color="auto"/>
        <w:left w:val="none" w:sz="0" w:space="0" w:color="auto"/>
        <w:bottom w:val="none" w:sz="0" w:space="0" w:color="auto"/>
        <w:right w:val="none" w:sz="0" w:space="0" w:color="auto"/>
      </w:divBdr>
    </w:div>
    <w:div w:id="82337921">
      <w:bodyDiv w:val="1"/>
      <w:marLeft w:val="0"/>
      <w:marRight w:val="0"/>
      <w:marTop w:val="0"/>
      <w:marBottom w:val="0"/>
      <w:divBdr>
        <w:top w:val="none" w:sz="0" w:space="0" w:color="auto"/>
        <w:left w:val="none" w:sz="0" w:space="0" w:color="auto"/>
        <w:bottom w:val="none" w:sz="0" w:space="0" w:color="auto"/>
        <w:right w:val="none" w:sz="0" w:space="0" w:color="auto"/>
      </w:divBdr>
    </w:div>
    <w:div w:id="135226121">
      <w:bodyDiv w:val="1"/>
      <w:marLeft w:val="0"/>
      <w:marRight w:val="0"/>
      <w:marTop w:val="0"/>
      <w:marBottom w:val="0"/>
      <w:divBdr>
        <w:top w:val="none" w:sz="0" w:space="0" w:color="auto"/>
        <w:left w:val="none" w:sz="0" w:space="0" w:color="auto"/>
        <w:bottom w:val="none" w:sz="0" w:space="0" w:color="auto"/>
        <w:right w:val="none" w:sz="0" w:space="0" w:color="auto"/>
      </w:divBdr>
    </w:div>
    <w:div w:id="225725131">
      <w:bodyDiv w:val="1"/>
      <w:marLeft w:val="0"/>
      <w:marRight w:val="0"/>
      <w:marTop w:val="0"/>
      <w:marBottom w:val="0"/>
      <w:divBdr>
        <w:top w:val="none" w:sz="0" w:space="0" w:color="auto"/>
        <w:left w:val="none" w:sz="0" w:space="0" w:color="auto"/>
        <w:bottom w:val="none" w:sz="0" w:space="0" w:color="auto"/>
        <w:right w:val="none" w:sz="0" w:space="0" w:color="auto"/>
      </w:divBdr>
    </w:div>
    <w:div w:id="264503818">
      <w:bodyDiv w:val="1"/>
      <w:marLeft w:val="0"/>
      <w:marRight w:val="0"/>
      <w:marTop w:val="0"/>
      <w:marBottom w:val="0"/>
      <w:divBdr>
        <w:top w:val="none" w:sz="0" w:space="0" w:color="auto"/>
        <w:left w:val="none" w:sz="0" w:space="0" w:color="auto"/>
        <w:bottom w:val="none" w:sz="0" w:space="0" w:color="auto"/>
        <w:right w:val="none" w:sz="0" w:space="0" w:color="auto"/>
      </w:divBdr>
    </w:div>
    <w:div w:id="357391332">
      <w:bodyDiv w:val="1"/>
      <w:marLeft w:val="0"/>
      <w:marRight w:val="0"/>
      <w:marTop w:val="0"/>
      <w:marBottom w:val="0"/>
      <w:divBdr>
        <w:top w:val="none" w:sz="0" w:space="0" w:color="auto"/>
        <w:left w:val="none" w:sz="0" w:space="0" w:color="auto"/>
        <w:bottom w:val="none" w:sz="0" w:space="0" w:color="auto"/>
        <w:right w:val="none" w:sz="0" w:space="0" w:color="auto"/>
      </w:divBdr>
    </w:div>
    <w:div w:id="463426159">
      <w:bodyDiv w:val="1"/>
      <w:marLeft w:val="0"/>
      <w:marRight w:val="0"/>
      <w:marTop w:val="0"/>
      <w:marBottom w:val="0"/>
      <w:divBdr>
        <w:top w:val="none" w:sz="0" w:space="0" w:color="auto"/>
        <w:left w:val="none" w:sz="0" w:space="0" w:color="auto"/>
        <w:bottom w:val="none" w:sz="0" w:space="0" w:color="auto"/>
        <w:right w:val="none" w:sz="0" w:space="0" w:color="auto"/>
      </w:divBdr>
    </w:div>
    <w:div w:id="501286198">
      <w:bodyDiv w:val="1"/>
      <w:marLeft w:val="0"/>
      <w:marRight w:val="0"/>
      <w:marTop w:val="0"/>
      <w:marBottom w:val="0"/>
      <w:divBdr>
        <w:top w:val="none" w:sz="0" w:space="0" w:color="auto"/>
        <w:left w:val="none" w:sz="0" w:space="0" w:color="auto"/>
        <w:bottom w:val="none" w:sz="0" w:space="0" w:color="auto"/>
        <w:right w:val="none" w:sz="0" w:space="0" w:color="auto"/>
      </w:divBdr>
    </w:div>
    <w:div w:id="518206545">
      <w:bodyDiv w:val="1"/>
      <w:marLeft w:val="0"/>
      <w:marRight w:val="0"/>
      <w:marTop w:val="0"/>
      <w:marBottom w:val="0"/>
      <w:divBdr>
        <w:top w:val="none" w:sz="0" w:space="0" w:color="auto"/>
        <w:left w:val="none" w:sz="0" w:space="0" w:color="auto"/>
        <w:bottom w:val="none" w:sz="0" w:space="0" w:color="auto"/>
        <w:right w:val="none" w:sz="0" w:space="0" w:color="auto"/>
      </w:divBdr>
    </w:div>
    <w:div w:id="553200438">
      <w:bodyDiv w:val="1"/>
      <w:marLeft w:val="0"/>
      <w:marRight w:val="0"/>
      <w:marTop w:val="0"/>
      <w:marBottom w:val="0"/>
      <w:divBdr>
        <w:top w:val="none" w:sz="0" w:space="0" w:color="auto"/>
        <w:left w:val="none" w:sz="0" w:space="0" w:color="auto"/>
        <w:bottom w:val="none" w:sz="0" w:space="0" w:color="auto"/>
        <w:right w:val="none" w:sz="0" w:space="0" w:color="auto"/>
      </w:divBdr>
    </w:div>
    <w:div w:id="566303673">
      <w:bodyDiv w:val="1"/>
      <w:marLeft w:val="0"/>
      <w:marRight w:val="0"/>
      <w:marTop w:val="0"/>
      <w:marBottom w:val="0"/>
      <w:divBdr>
        <w:top w:val="none" w:sz="0" w:space="0" w:color="auto"/>
        <w:left w:val="none" w:sz="0" w:space="0" w:color="auto"/>
        <w:bottom w:val="none" w:sz="0" w:space="0" w:color="auto"/>
        <w:right w:val="none" w:sz="0" w:space="0" w:color="auto"/>
      </w:divBdr>
    </w:div>
    <w:div w:id="985084517">
      <w:bodyDiv w:val="1"/>
      <w:marLeft w:val="0"/>
      <w:marRight w:val="0"/>
      <w:marTop w:val="0"/>
      <w:marBottom w:val="0"/>
      <w:divBdr>
        <w:top w:val="none" w:sz="0" w:space="0" w:color="auto"/>
        <w:left w:val="none" w:sz="0" w:space="0" w:color="auto"/>
        <w:bottom w:val="none" w:sz="0" w:space="0" w:color="auto"/>
        <w:right w:val="none" w:sz="0" w:space="0" w:color="auto"/>
      </w:divBdr>
    </w:div>
    <w:div w:id="1182090066">
      <w:bodyDiv w:val="1"/>
      <w:marLeft w:val="0"/>
      <w:marRight w:val="0"/>
      <w:marTop w:val="0"/>
      <w:marBottom w:val="0"/>
      <w:divBdr>
        <w:top w:val="none" w:sz="0" w:space="0" w:color="auto"/>
        <w:left w:val="none" w:sz="0" w:space="0" w:color="auto"/>
        <w:bottom w:val="none" w:sz="0" w:space="0" w:color="auto"/>
        <w:right w:val="none" w:sz="0" w:space="0" w:color="auto"/>
      </w:divBdr>
    </w:div>
    <w:div w:id="1334408460">
      <w:bodyDiv w:val="1"/>
      <w:marLeft w:val="0"/>
      <w:marRight w:val="0"/>
      <w:marTop w:val="0"/>
      <w:marBottom w:val="0"/>
      <w:divBdr>
        <w:top w:val="none" w:sz="0" w:space="0" w:color="auto"/>
        <w:left w:val="none" w:sz="0" w:space="0" w:color="auto"/>
        <w:bottom w:val="none" w:sz="0" w:space="0" w:color="auto"/>
        <w:right w:val="none" w:sz="0" w:space="0" w:color="auto"/>
      </w:divBdr>
    </w:div>
    <w:div w:id="1473012465">
      <w:bodyDiv w:val="1"/>
      <w:marLeft w:val="0"/>
      <w:marRight w:val="0"/>
      <w:marTop w:val="0"/>
      <w:marBottom w:val="0"/>
      <w:divBdr>
        <w:top w:val="none" w:sz="0" w:space="0" w:color="auto"/>
        <w:left w:val="none" w:sz="0" w:space="0" w:color="auto"/>
        <w:bottom w:val="none" w:sz="0" w:space="0" w:color="auto"/>
        <w:right w:val="none" w:sz="0" w:space="0" w:color="auto"/>
      </w:divBdr>
    </w:div>
    <w:div w:id="1489052470">
      <w:bodyDiv w:val="1"/>
      <w:marLeft w:val="0"/>
      <w:marRight w:val="0"/>
      <w:marTop w:val="0"/>
      <w:marBottom w:val="0"/>
      <w:divBdr>
        <w:top w:val="none" w:sz="0" w:space="0" w:color="auto"/>
        <w:left w:val="none" w:sz="0" w:space="0" w:color="auto"/>
        <w:bottom w:val="none" w:sz="0" w:space="0" w:color="auto"/>
        <w:right w:val="none" w:sz="0" w:space="0" w:color="auto"/>
      </w:divBdr>
    </w:div>
    <w:div w:id="1490364677">
      <w:bodyDiv w:val="1"/>
      <w:marLeft w:val="0"/>
      <w:marRight w:val="0"/>
      <w:marTop w:val="0"/>
      <w:marBottom w:val="0"/>
      <w:divBdr>
        <w:top w:val="none" w:sz="0" w:space="0" w:color="auto"/>
        <w:left w:val="none" w:sz="0" w:space="0" w:color="auto"/>
        <w:bottom w:val="none" w:sz="0" w:space="0" w:color="auto"/>
        <w:right w:val="none" w:sz="0" w:space="0" w:color="auto"/>
      </w:divBdr>
    </w:div>
    <w:div w:id="1496535105">
      <w:bodyDiv w:val="1"/>
      <w:marLeft w:val="0"/>
      <w:marRight w:val="0"/>
      <w:marTop w:val="0"/>
      <w:marBottom w:val="0"/>
      <w:divBdr>
        <w:top w:val="none" w:sz="0" w:space="0" w:color="auto"/>
        <w:left w:val="none" w:sz="0" w:space="0" w:color="auto"/>
        <w:bottom w:val="none" w:sz="0" w:space="0" w:color="auto"/>
        <w:right w:val="none" w:sz="0" w:space="0" w:color="auto"/>
      </w:divBdr>
    </w:div>
    <w:div w:id="1514689601">
      <w:bodyDiv w:val="1"/>
      <w:marLeft w:val="0"/>
      <w:marRight w:val="0"/>
      <w:marTop w:val="0"/>
      <w:marBottom w:val="0"/>
      <w:divBdr>
        <w:top w:val="none" w:sz="0" w:space="0" w:color="auto"/>
        <w:left w:val="none" w:sz="0" w:space="0" w:color="auto"/>
        <w:bottom w:val="none" w:sz="0" w:space="0" w:color="auto"/>
        <w:right w:val="none" w:sz="0" w:space="0" w:color="auto"/>
      </w:divBdr>
    </w:div>
    <w:div w:id="1577860083">
      <w:bodyDiv w:val="1"/>
      <w:marLeft w:val="0"/>
      <w:marRight w:val="0"/>
      <w:marTop w:val="0"/>
      <w:marBottom w:val="0"/>
      <w:divBdr>
        <w:top w:val="none" w:sz="0" w:space="0" w:color="auto"/>
        <w:left w:val="none" w:sz="0" w:space="0" w:color="auto"/>
        <w:bottom w:val="none" w:sz="0" w:space="0" w:color="auto"/>
        <w:right w:val="none" w:sz="0" w:space="0" w:color="auto"/>
      </w:divBdr>
    </w:div>
    <w:div w:id="1621035358">
      <w:bodyDiv w:val="1"/>
      <w:marLeft w:val="0"/>
      <w:marRight w:val="0"/>
      <w:marTop w:val="0"/>
      <w:marBottom w:val="0"/>
      <w:divBdr>
        <w:top w:val="none" w:sz="0" w:space="0" w:color="auto"/>
        <w:left w:val="none" w:sz="0" w:space="0" w:color="auto"/>
        <w:bottom w:val="none" w:sz="0" w:space="0" w:color="auto"/>
        <w:right w:val="none" w:sz="0" w:space="0" w:color="auto"/>
      </w:divBdr>
    </w:div>
    <w:div w:id="1654792453">
      <w:bodyDiv w:val="1"/>
      <w:marLeft w:val="0"/>
      <w:marRight w:val="0"/>
      <w:marTop w:val="0"/>
      <w:marBottom w:val="0"/>
      <w:divBdr>
        <w:top w:val="none" w:sz="0" w:space="0" w:color="auto"/>
        <w:left w:val="none" w:sz="0" w:space="0" w:color="auto"/>
        <w:bottom w:val="none" w:sz="0" w:space="0" w:color="auto"/>
        <w:right w:val="none" w:sz="0" w:space="0" w:color="auto"/>
      </w:divBdr>
    </w:div>
    <w:div w:id="1700273008">
      <w:bodyDiv w:val="1"/>
      <w:marLeft w:val="0"/>
      <w:marRight w:val="0"/>
      <w:marTop w:val="0"/>
      <w:marBottom w:val="0"/>
      <w:divBdr>
        <w:top w:val="none" w:sz="0" w:space="0" w:color="auto"/>
        <w:left w:val="none" w:sz="0" w:space="0" w:color="auto"/>
        <w:bottom w:val="none" w:sz="0" w:space="0" w:color="auto"/>
        <w:right w:val="none" w:sz="0" w:space="0" w:color="auto"/>
      </w:divBdr>
    </w:div>
    <w:div w:id="1705788009">
      <w:bodyDiv w:val="1"/>
      <w:marLeft w:val="0"/>
      <w:marRight w:val="0"/>
      <w:marTop w:val="0"/>
      <w:marBottom w:val="0"/>
      <w:divBdr>
        <w:top w:val="none" w:sz="0" w:space="0" w:color="auto"/>
        <w:left w:val="none" w:sz="0" w:space="0" w:color="auto"/>
        <w:bottom w:val="none" w:sz="0" w:space="0" w:color="auto"/>
        <w:right w:val="none" w:sz="0" w:space="0" w:color="auto"/>
      </w:divBdr>
    </w:div>
    <w:div w:id="1718820575">
      <w:bodyDiv w:val="1"/>
      <w:marLeft w:val="0"/>
      <w:marRight w:val="0"/>
      <w:marTop w:val="0"/>
      <w:marBottom w:val="0"/>
      <w:divBdr>
        <w:top w:val="none" w:sz="0" w:space="0" w:color="auto"/>
        <w:left w:val="none" w:sz="0" w:space="0" w:color="auto"/>
        <w:bottom w:val="none" w:sz="0" w:space="0" w:color="auto"/>
        <w:right w:val="none" w:sz="0" w:space="0" w:color="auto"/>
      </w:divBdr>
    </w:div>
    <w:div w:id="1749187270">
      <w:bodyDiv w:val="1"/>
      <w:marLeft w:val="0"/>
      <w:marRight w:val="0"/>
      <w:marTop w:val="0"/>
      <w:marBottom w:val="0"/>
      <w:divBdr>
        <w:top w:val="none" w:sz="0" w:space="0" w:color="auto"/>
        <w:left w:val="none" w:sz="0" w:space="0" w:color="auto"/>
        <w:bottom w:val="none" w:sz="0" w:space="0" w:color="auto"/>
        <w:right w:val="none" w:sz="0" w:space="0" w:color="auto"/>
      </w:divBdr>
    </w:div>
    <w:div w:id="1759400401">
      <w:bodyDiv w:val="1"/>
      <w:marLeft w:val="0"/>
      <w:marRight w:val="0"/>
      <w:marTop w:val="0"/>
      <w:marBottom w:val="0"/>
      <w:divBdr>
        <w:top w:val="none" w:sz="0" w:space="0" w:color="auto"/>
        <w:left w:val="none" w:sz="0" w:space="0" w:color="auto"/>
        <w:bottom w:val="none" w:sz="0" w:space="0" w:color="auto"/>
        <w:right w:val="none" w:sz="0" w:space="0" w:color="auto"/>
      </w:divBdr>
    </w:div>
    <w:div w:id="1808015207">
      <w:bodyDiv w:val="1"/>
      <w:marLeft w:val="0"/>
      <w:marRight w:val="0"/>
      <w:marTop w:val="0"/>
      <w:marBottom w:val="0"/>
      <w:divBdr>
        <w:top w:val="none" w:sz="0" w:space="0" w:color="auto"/>
        <w:left w:val="none" w:sz="0" w:space="0" w:color="auto"/>
        <w:bottom w:val="none" w:sz="0" w:space="0" w:color="auto"/>
        <w:right w:val="none" w:sz="0" w:space="0" w:color="auto"/>
      </w:divBdr>
    </w:div>
    <w:div w:id="1809084795">
      <w:bodyDiv w:val="1"/>
      <w:marLeft w:val="0"/>
      <w:marRight w:val="0"/>
      <w:marTop w:val="0"/>
      <w:marBottom w:val="0"/>
      <w:divBdr>
        <w:top w:val="none" w:sz="0" w:space="0" w:color="auto"/>
        <w:left w:val="none" w:sz="0" w:space="0" w:color="auto"/>
        <w:bottom w:val="none" w:sz="0" w:space="0" w:color="auto"/>
        <w:right w:val="none" w:sz="0" w:space="0" w:color="auto"/>
      </w:divBdr>
    </w:div>
    <w:div w:id="1876768123">
      <w:bodyDiv w:val="1"/>
      <w:marLeft w:val="0"/>
      <w:marRight w:val="0"/>
      <w:marTop w:val="0"/>
      <w:marBottom w:val="0"/>
      <w:divBdr>
        <w:top w:val="none" w:sz="0" w:space="0" w:color="auto"/>
        <w:left w:val="none" w:sz="0" w:space="0" w:color="auto"/>
        <w:bottom w:val="none" w:sz="0" w:space="0" w:color="auto"/>
        <w:right w:val="none" w:sz="0" w:space="0" w:color="auto"/>
      </w:divBdr>
    </w:div>
    <w:div w:id="1909534478">
      <w:bodyDiv w:val="1"/>
      <w:marLeft w:val="0"/>
      <w:marRight w:val="0"/>
      <w:marTop w:val="0"/>
      <w:marBottom w:val="0"/>
      <w:divBdr>
        <w:top w:val="none" w:sz="0" w:space="0" w:color="auto"/>
        <w:left w:val="none" w:sz="0" w:space="0" w:color="auto"/>
        <w:bottom w:val="none" w:sz="0" w:space="0" w:color="auto"/>
        <w:right w:val="none" w:sz="0" w:space="0" w:color="auto"/>
      </w:divBdr>
    </w:div>
    <w:div w:id="1949042663">
      <w:bodyDiv w:val="1"/>
      <w:marLeft w:val="0"/>
      <w:marRight w:val="0"/>
      <w:marTop w:val="0"/>
      <w:marBottom w:val="0"/>
      <w:divBdr>
        <w:top w:val="none" w:sz="0" w:space="0" w:color="auto"/>
        <w:left w:val="none" w:sz="0" w:space="0" w:color="auto"/>
        <w:bottom w:val="none" w:sz="0" w:space="0" w:color="auto"/>
        <w:right w:val="none" w:sz="0" w:space="0" w:color="auto"/>
      </w:divBdr>
    </w:div>
    <w:div w:id="1951550770">
      <w:bodyDiv w:val="1"/>
      <w:marLeft w:val="0"/>
      <w:marRight w:val="0"/>
      <w:marTop w:val="0"/>
      <w:marBottom w:val="0"/>
      <w:divBdr>
        <w:top w:val="none" w:sz="0" w:space="0" w:color="auto"/>
        <w:left w:val="none" w:sz="0" w:space="0" w:color="auto"/>
        <w:bottom w:val="none" w:sz="0" w:space="0" w:color="auto"/>
        <w:right w:val="none" w:sz="0" w:space="0" w:color="auto"/>
      </w:divBdr>
      <w:divsChild>
        <w:div w:id="1548644116">
          <w:marLeft w:val="0"/>
          <w:marRight w:val="0"/>
          <w:marTop w:val="0"/>
          <w:marBottom w:val="0"/>
          <w:divBdr>
            <w:top w:val="none" w:sz="0" w:space="0" w:color="auto"/>
            <w:left w:val="none" w:sz="0" w:space="0" w:color="auto"/>
            <w:bottom w:val="none" w:sz="0" w:space="0" w:color="auto"/>
            <w:right w:val="none" w:sz="0" w:space="0" w:color="auto"/>
          </w:divBdr>
          <w:divsChild>
            <w:div w:id="1021662203">
              <w:marLeft w:val="0"/>
              <w:marRight w:val="0"/>
              <w:marTop w:val="0"/>
              <w:marBottom w:val="0"/>
              <w:divBdr>
                <w:top w:val="none" w:sz="0" w:space="0" w:color="auto"/>
                <w:left w:val="none" w:sz="0" w:space="0" w:color="auto"/>
                <w:bottom w:val="none" w:sz="0" w:space="0" w:color="auto"/>
                <w:right w:val="none" w:sz="0" w:space="0" w:color="auto"/>
              </w:divBdr>
              <w:divsChild>
                <w:div w:id="1255438763">
                  <w:marLeft w:val="0"/>
                  <w:marRight w:val="0"/>
                  <w:marTop w:val="0"/>
                  <w:marBottom w:val="0"/>
                  <w:divBdr>
                    <w:top w:val="none" w:sz="0" w:space="0" w:color="auto"/>
                    <w:left w:val="none" w:sz="0" w:space="0" w:color="auto"/>
                    <w:bottom w:val="none" w:sz="0" w:space="0" w:color="auto"/>
                    <w:right w:val="none" w:sz="0" w:space="0" w:color="auto"/>
                  </w:divBdr>
                  <w:divsChild>
                    <w:div w:id="4758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27749">
      <w:bodyDiv w:val="1"/>
      <w:marLeft w:val="0"/>
      <w:marRight w:val="0"/>
      <w:marTop w:val="0"/>
      <w:marBottom w:val="0"/>
      <w:divBdr>
        <w:top w:val="none" w:sz="0" w:space="0" w:color="auto"/>
        <w:left w:val="none" w:sz="0" w:space="0" w:color="auto"/>
        <w:bottom w:val="none" w:sz="0" w:space="0" w:color="auto"/>
        <w:right w:val="none" w:sz="0" w:space="0" w:color="auto"/>
      </w:divBdr>
    </w:div>
    <w:div w:id="2009556891">
      <w:bodyDiv w:val="1"/>
      <w:marLeft w:val="0"/>
      <w:marRight w:val="0"/>
      <w:marTop w:val="0"/>
      <w:marBottom w:val="0"/>
      <w:divBdr>
        <w:top w:val="none" w:sz="0" w:space="0" w:color="auto"/>
        <w:left w:val="none" w:sz="0" w:space="0" w:color="auto"/>
        <w:bottom w:val="none" w:sz="0" w:space="0" w:color="auto"/>
        <w:right w:val="none" w:sz="0" w:space="0" w:color="auto"/>
      </w:divBdr>
      <w:divsChild>
        <w:div w:id="855844342">
          <w:marLeft w:val="0"/>
          <w:marRight w:val="0"/>
          <w:marTop w:val="0"/>
          <w:marBottom w:val="0"/>
          <w:divBdr>
            <w:top w:val="none" w:sz="0" w:space="0" w:color="auto"/>
            <w:left w:val="none" w:sz="0" w:space="0" w:color="auto"/>
            <w:bottom w:val="none" w:sz="0" w:space="0" w:color="auto"/>
            <w:right w:val="none" w:sz="0" w:space="0" w:color="auto"/>
          </w:divBdr>
          <w:divsChild>
            <w:div w:id="629827209">
              <w:marLeft w:val="0"/>
              <w:marRight w:val="0"/>
              <w:marTop w:val="0"/>
              <w:marBottom w:val="0"/>
              <w:divBdr>
                <w:top w:val="none" w:sz="0" w:space="0" w:color="auto"/>
                <w:left w:val="none" w:sz="0" w:space="0" w:color="auto"/>
                <w:bottom w:val="none" w:sz="0" w:space="0" w:color="auto"/>
                <w:right w:val="none" w:sz="0" w:space="0" w:color="auto"/>
              </w:divBdr>
              <w:divsChild>
                <w:div w:id="2117678995">
                  <w:marLeft w:val="0"/>
                  <w:marRight w:val="0"/>
                  <w:marTop w:val="0"/>
                  <w:marBottom w:val="0"/>
                  <w:divBdr>
                    <w:top w:val="none" w:sz="0" w:space="0" w:color="auto"/>
                    <w:left w:val="none" w:sz="0" w:space="0" w:color="auto"/>
                    <w:bottom w:val="none" w:sz="0" w:space="0" w:color="auto"/>
                    <w:right w:val="none" w:sz="0" w:space="0" w:color="auto"/>
                  </w:divBdr>
                  <w:divsChild>
                    <w:div w:id="1363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529075">
      <w:bodyDiv w:val="1"/>
      <w:marLeft w:val="0"/>
      <w:marRight w:val="0"/>
      <w:marTop w:val="0"/>
      <w:marBottom w:val="0"/>
      <w:divBdr>
        <w:top w:val="none" w:sz="0" w:space="0" w:color="auto"/>
        <w:left w:val="none" w:sz="0" w:space="0" w:color="auto"/>
        <w:bottom w:val="none" w:sz="0" w:space="0" w:color="auto"/>
        <w:right w:val="none" w:sz="0" w:space="0" w:color="auto"/>
      </w:divBdr>
    </w:div>
    <w:div w:id="2061442172">
      <w:bodyDiv w:val="1"/>
      <w:marLeft w:val="0"/>
      <w:marRight w:val="0"/>
      <w:marTop w:val="0"/>
      <w:marBottom w:val="0"/>
      <w:divBdr>
        <w:top w:val="none" w:sz="0" w:space="0" w:color="auto"/>
        <w:left w:val="none" w:sz="0" w:space="0" w:color="auto"/>
        <w:bottom w:val="none" w:sz="0" w:space="0" w:color="auto"/>
        <w:right w:val="none" w:sz="0" w:space="0" w:color="auto"/>
      </w:divBdr>
    </w:div>
    <w:div w:id="2085108735">
      <w:bodyDiv w:val="1"/>
      <w:marLeft w:val="0"/>
      <w:marRight w:val="0"/>
      <w:marTop w:val="0"/>
      <w:marBottom w:val="0"/>
      <w:divBdr>
        <w:top w:val="none" w:sz="0" w:space="0" w:color="auto"/>
        <w:left w:val="none" w:sz="0" w:space="0" w:color="auto"/>
        <w:bottom w:val="none" w:sz="0" w:space="0" w:color="auto"/>
        <w:right w:val="none" w:sz="0" w:space="0" w:color="auto"/>
      </w:divBdr>
    </w:div>
    <w:div w:id="2115057598">
      <w:bodyDiv w:val="1"/>
      <w:marLeft w:val="0"/>
      <w:marRight w:val="0"/>
      <w:marTop w:val="0"/>
      <w:marBottom w:val="0"/>
      <w:divBdr>
        <w:top w:val="none" w:sz="0" w:space="0" w:color="auto"/>
        <w:left w:val="none" w:sz="0" w:space="0" w:color="auto"/>
        <w:bottom w:val="none" w:sz="0" w:space="0" w:color="auto"/>
        <w:right w:val="none" w:sz="0" w:space="0" w:color="auto"/>
      </w:divBdr>
      <w:divsChild>
        <w:div w:id="652831425">
          <w:marLeft w:val="0"/>
          <w:marRight w:val="0"/>
          <w:marTop w:val="0"/>
          <w:marBottom w:val="0"/>
          <w:divBdr>
            <w:top w:val="none" w:sz="0" w:space="0" w:color="auto"/>
            <w:left w:val="none" w:sz="0" w:space="0" w:color="auto"/>
            <w:bottom w:val="none" w:sz="0" w:space="0" w:color="auto"/>
            <w:right w:val="none" w:sz="0" w:space="0" w:color="auto"/>
          </w:divBdr>
          <w:divsChild>
            <w:div w:id="1387531719">
              <w:marLeft w:val="0"/>
              <w:marRight w:val="0"/>
              <w:marTop w:val="0"/>
              <w:marBottom w:val="0"/>
              <w:divBdr>
                <w:top w:val="none" w:sz="0" w:space="0" w:color="auto"/>
                <w:left w:val="none" w:sz="0" w:space="0" w:color="auto"/>
                <w:bottom w:val="none" w:sz="0" w:space="0" w:color="auto"/>
                <w:right w:val="none" w:sz="0" w:space="0" w:color="auto"/>
              </w:divBdr>
              <w:divsChild>
                <w:div w:id="1853254265">
                  <w:marLeft w:val="0"/>
                  <w:marRight w:val="0"/>
                  <w:marTop w:val="0"/>
                  <w:marBottom w:val="0"/>
                  <w:divBdr>
                    <w:top w:val="none" w:sz="0" w:space="0" w:color="auto"/>
                    <w:left w:val="none" w:sz="0" w:space="0" w:color="auto"/>
                    <w:bottom w:val="none" w:sz="0" w:space="0" w:color="auto"/>
                    <w:right w:val="none" w:sz="0" w:space="0" w:color="auto"/>
                  </w:divBdr>
                  <w:divsChild>
                    <w:div w:id="17725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6512">
      <w:bodyDiv w:val="1"/>
      <w:marLeft w:val="0"/>
      <w:marRight w:val="0"/>
      <w:marTop w:val="0"/>
      <w:marBottom w:val="0"/>
      <w:divBdr>
        <w:top w:val="none" w:sz="0" w:space="0" w:color="auto"/>
        <w:left w:val="none" w:sz="0" w:space="0" w:color="auto"/>
        <w:bottom w:val="none" w:sz="0" w:space="0" w:color="auto"/>
        <w:right w:val="none" w:sz="0" w:space="0" w:color="auto"/>
      </w:divBdr>
    </w:div>
    <w:div w:id="2132740909">
      <w:bodyDiv w:val="1"/>
      <w:marLeft w:val="0"/>
      <w:marRight w:val="0"/>
      <w:marTop w:val="0"/>
      <w:marBottom w:val="0"/>
      <w:divBdr>
        <w:top w:val="none" w:sz="0" w:space="0" w:color="auto"/>
        <w:left w:val="none" w:sz="0" w:space="0" w:color="auto"/>
        <w:bottom w:val="none" w:sz="0" w:space="0" w:color="auto"/>
        <w:right w:val="none" w:sz="0" w:space="0" w:color="auto"/>
      </w:divBdr>
    </w:div>
    <w:div w:id="2145081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6A36A-E568-4922-A2DA-1766F11D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7252</Words>
  <Characters>50549</Characters>
  <Application>Microsoft Office Word</Application>
  <DocSecurity>0</DocSecurity>
  <Lines>802</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2023-03-15T20:52:00Z</dcterms:created>
  <dcterms:modified xsi:type="dcterms:W3CDTF">2023-04-12T17:23:00Z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MSIP_Label_6bd9ddd1-4d20-43f6-abfa-fc3c07406f94_Enabled">
    <vt:lpwstr>true</vt:lpwstr>
  </property>
  <property fmtid="{D5CDD505-2E9C-101B-9397-08002B2CF9AE}" pid="9" name="MSIP_Label_6bd9ddd1-4d20-43f6-abfa-fc3c07406f94_SetDate">
    <vt:lpwstr>2023-03-15T19:00:39Z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f877384e-82f7-4357-af72-36636f325206</vt:lpwstr>
  </property>
  <property fmtid="{D5CDD505-2E9C-101B-9397-08002B2CF9AE}" pid="14" name="MSIP_Label_6bd9ddd1-4d20-43f6-abfa-fc3c07406f94_ContentBits">
    <vt:lpwstr>0</vt:lpwstr>
  </property>
  <property fmtid="{D5CDD505-2E9C-101B-9397-08002B2CF9AE}" pid="15" name="Created using">
    <vt:lpwstr>LW 9.0, Build 20230317</vt:lpwstr>
  </property>
</Properties>
</file>