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93F8E" w14:textId="3E5489B1" w:rsidR="0070644B" w:rsidRDefault="00865AA0" w:rsidP="00865AA0">
      <w:pPr>
        <w:pStyle w:val="Pagedecouverture"/>
        <w:rPr>
          <w:noProof/>
        </w:rPr>
      </w:pPr>
      <w:bookmarkStart w:id="0" w:name="LW_BM_COVERPAGE"/>
      <w:r>
        <w:rPr>
          <w:noProof/>
        </w:rPr>
        <w:pict w14:anchorId="04333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60742A0B-FBC6-4346-A83A-BB9870BADCFE" style="width:455.25pt;height:324pt">
            <v:imagedata r:id="rId8" o:title=""/>
          </v:shape>
        </w:pict>
      </w:r>
    </w:p>
    <w:bookmarkEnd w:id="0"/>
    <w:p w14:paraId="60B7E268" w14:textId="77777777" w:rsidR="0070644B" w:rsidRDefault="0070644B" w:rsidP="0070644B">
      <w:pPr>
        <w:rPr>
          <w:noProof/>
        </w:rPr>
        <w:sectPr w:rsidR="0070644B" w:rsidSect="00865AA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eastAsiaTheme="minorHAnsi" w:hAnsiTheme="minorHAnsi" w:cstheme="minorBidi"/>
          <w:b w:val="0"/>
          <w:noProof/>
          <w:kern w:val="0"/>
          <w:sz w:val="28"/>
          <w:szCs w:val="28"/>
          <w:lang w:val="en-IE" w:eastAsia="en-US"/>
        </w:rPr>
        <w:alias w:val="Title - Title and Subtitle"/>
        <w:tag w:val="Ppyc7FjJog1LOR8q5Gy3v8-KWz8EPdyPrAZ9AmbxwqTv1"/>
        <w:id w:val="823313315"/>
      </w:sdtPr>
      <w:sdtEndPr>
        <w:rPr>
          <w:sz w:val="22"/>
          <w:szCs w:val="22"/>
        </w:rPr>
      </w:sdtEndPr>
      <w:sdtContent>
        <w:p w14:paraId="6A78C927" w14:textId="77777777" w:rsidR="0070644B" w:rsidRPr="00A333C6" w:rsidRDefault="00865AA0" w:rsidP="0070644B">
          <w:pPr>
            <w:pStyle w:val="Title"/>
            <w:spacing w:before="1320"/>
            <w:rPr>
              <w:noProof/>
              <w:sz w:val="28"/>
              <w:szCs w:val="28"/>
            </w:rPr>
          </w:pPr>
          <w:sdt>
            <w:sdtPr>
              <w:rPr>
                <w:noProof/>
                <w:sz w:val="28"/>
                <w:szCs w:val="28"/>
              </w:rPr>
              <w:id w:val="-1970887731"/>
              <w:placeholder>
                <w:docPart w:val="B573366518C048D7BE0E3C0336E46867"/>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BD5D35">
                <w:rPr>
                  <w:noProof/>
                  <w:sz w:val="28"/>
                  <w:szCs w:val="28"/>
                </w:rPr>
                <w:t>REPORT FROM THE COMMISSION TO THE EUROPEAN PARLIAMENT AND TO THE COUNCIL</w:t>
              </w:r>
            </w:sdtContent>
          </w:sdt>
        </w:p>
        <w:p w14:paraId="36C9CD30" w14:textId="77777777" w:rsidR="0082049C" w:rsidRDefault="00865AA0" w:rsidP="0082049C">
          <w:pPr>
            <w:pStyle w:val="SubTitle1"/>
            <w:spacing w:after="0" w:line="240" w:lineRule="atLeast"/>
            <w:rPr>
              <w:noProof/>
              <w:sz w:val="24"/>
              <w:szCs w:val="24"/>
            </w:rPr>
          </w:pPr>
          <w:sdt>
            <w:sdtPr>
              <w:rPr>
                <w:noProof/>
                <w:sz w:val="24"/>
                <w:szCs w:val="24"/>
              </w:rPr>
              <w:id w:val="1145250434"/>
              <w:placeholder>
                <w:docPart w:val="D2AC4D6DA57044E9B66C4D5D1E3074F0"/>
              </w:placeholder>
              <w:dataBinding w:prefixMappings="xmlns:cp=&quot;http://schemas.openxmlformats.org/package/2006/metadata/core-properties&quot; xmlns:dc=&quot;http://purl.org/dc/elements/1.1/&quot; xmlns:dcterms=&quot;http://purl.org/dc/terms/&quot;" w:xpath="/cp:coreProperties[1]/dc:subject[1]" w:storeItemID="{6C3C8BC8-F283-45AE-878A-BAB7291924A1}"/>
              <w:text w:multiLine="1"/>
            </w:sdtPr>
            <w:sdtEndPr/>
            <w:sdtContent>
              <w:r w:rsidR="008900E3" w:rsidRPr="0082049C">
                <w:rPr>
                  <w:noProof/>
                  <w:sz w:val="24"/>
                  <w:szCs w:val="24"/>
                </w:rPr>
                <w:t>on the actuarial balance of the Pension Scheme for EU Officials and the budgetary implications of Annex XII to the Staff Regulations</w:t>
              </w:r>
            </w:sdtContent>
          </w:sdt>
        </w:p>
        <w:p w14:paraId="76D1731D" w14:textId="77777777" w:rsidR="0070644B" w:rsidRPr="0082049C" w:rsidRDefault="00865AA0" w:rsidP="0082049C">
          <w:pPr>
            <w:rPr>
              <w:noProof/>
              <w:lang w:val="en-GB" w:eastAsia="fr-BE"/>
            </w:rPr>
          </w:pPr>
        </w:p>
      </w:sdtContent>
    </w:sdt>
    <w:p w14:paraId="5C3A2714" w14:textId="77777777" w:rsidR="000129BF" w:rsidRPr="00782BB5" w:rsidRDefault="000356C7" w:rsidP="00170470">
      <w:pPr>
        <w:pStyle w:val="Heading1"/>
        <w:numPr>
          <w:ilvl w:val="0"/>
          <w:numId w:val="1"/>
        </w:numPr>
        <w:spacing w:after="120"/>
        <w:rPr>
          <w:rFonts w:ascii="Times New Roman Bold" w:hAnsi="Times New Roman Bold"/>
          <w:smallCaps/>
          <w:noProof/>
        </w:rPr>
      </w:pPr>
      <w:r>
        <w:rPr>
          <w:rFonts w:ascii="Times New Roman Bold" w:hAnsi="Times New Roman Bold"/>
          <w:smallCaps/>
          <w:noProof/>
        </w:rPr>
        <w:t>Legal basis</w:t>
      </w:r>
    </w:p>
    <w:p w14:paraId="3DFA1ABC" w14:textId="433940AB" w:rsidR="000129BF" w:rsidRDefault="000129BF">
      <w:pPr>
        <w:pStyle w:val="Text1"/>
        <w:ind w:left="0"/>
        <w:rPr>
          <w:noProof/>
        </w:rPr>
      </w:pPr>
      <w:r>
        <w:rPr>
          <w:noProof/>
        </w:rPr>
        <w:t xml:space="preserve">Pursuant to Article 14(1) </w:t>
      </w:r>
      <w:r w:rsidRPr="006B4221">
        <w:rPr>
          <w:noProof/>
        </w:rPr>
        <w:t>of Annex XI</w:t>
      </w:r>
      <w:r>
        <w:rPr>
          <w:noProof/>
        </w:rPr>
        <w:t>I</w:t>
      </w:r>
      <w:r w:rsidRPr="006B4221">
        <w:rPr>
          <w:noProof/>
        </w:rPr>
        <w:t xml:space="preserve"> to the Staff Regulations</w:t>
      </w:r>
      <w:r>
        <w:rPr>
          <w:noProof/>
        </w:rPr>
        <w:t xml:space="preserve">, in 2022 the Commission shall submit a </w:t>
      </w:r>
      <w:r w:rsidRPr="006B4221">
        <w:rPr>
          <w:noProof/>
        </w:rPr>
        <w:t xml:space="preserve">report to the European Parliament and the Council on the </w:t>
      </w:r>
      <w:r w:rsidRPr="0082049C">
        <w:rPr>
          <w:noProof/>
        </w:rPr>
        <w:t>actuarial balance of the Pension Scheme for EU Officials (PSEO) and the budgetary implications of Annex XII to the Staff Regulations</w:t>
      </w:r>
      <w:r>
        <w:rPr>
          <w:noProof/>
        </w:rPr>
        <w:t>.</w:t>
      </w:r>
    </w:p>
    <w:p w14:paraId="3EE06A6D" w14:textId="77777777" w:rsidR="000129BF" w:rsidRPr="000129BF" w:rsidRDefault="000129BF" w:rsidP="000129BF">
      <w:pPr>
        <w:pStyle w:val="Text1"/>
        <w:ind w:left="0"/>
        <w:rPr>
          <w:noProof/>
        </w:rPr>
      </w:pPr>
      <w:r w:rsidRPr="00CA2AC4">
        <w:rPr>
          <w:noProof/>
        </w:rPr>
        <w:t>Th</w:t>
      </w:r>
      <w:r w:rsidR="008900E3">
        <w:rPr>
          <w:noProof/>
        </w:rPr>
        <w:t xml:space="preserve">is report implements the aforementioned provision by </w:t>
      </w:r>
      <w:r>
        <w:rPr>
          <w:noProof/>
        </w:rPr>
        <w:t>assess</w:t>
      </w:r>
      <w:r w:rsidR="008900E3">
        <w:rPr>
          <w:noProof/>
        </w:rPr>
        <w:t>ing</w:t>
      </w:r>
      <w:r>
        <w:rPr>
          <w:noProof/>
        </w:rPr>
        <w:t xml:space="preserve"> the actuarial balance of the scheme and </w:t>
      </w:r>
      <w:r w:rsidR="00A26E40">
        <w:rPr>
          <w:noProof/>
        </w:rPr>
        <w:t xml:space="preserve">analysing </w:t>
      </w:r>
      <w:r>
        <w:rPr>
          <w:noProof/>
        </w:rPr>
        <w:t>the budgetary implications of Annex XII</w:t>
      </w:r>
      <w:r w:rsidR="008900E3" w:rsidRPr="008900E3">
        <w:rPr>
          <w:noProof/>
        </w:rPr>
        <w:t xml:space="preserve"> </w:t>
      </w:r>
      <w:r w:rsidR="008900E3">
        <w:rPr>
          <w:noProof/>
        </w:rPr>
        <w:t xml:space="preserve">in the period 2014 – </w:t>
      </w:r>
      <w:r w:rsidR="00B128C7">
        <w:rPr>
          <w:noProof/>
        </w:rPr>
        <w:t>2021</w:t>
      </w:r>
      <w:r>
        <w:rPr>
          <w:noProof/>
        </w:rPr>
        <w:t>.</w:t>
      </w:r>
      <w:r w:rsidR="00B128C7" w:rsidRPr="00B128C7">
        <w:rPr>
          <w:noProof/>
        </w:rPr>
        <w:t xml:space="preserve"> Whenever possible and where relevant, this report also refers to developments from 20</w:t>
      </w:r>
      <w:r w:rsidR="00B128C7">
        <w:rPr>
          <w:noProof/>
        </w:rPr>
        <w:t>22</w:t>
      </w:r>
      <w:r w:rsidR="00B128C7" w:rsidRPr="00B128C7">
        <w:rPr>
          <w:noProof/>
        </w:rPr>
        <w:t>.</w:t>
      </w:r>
    </w:p>
    <w:p w14:paraId="425FA00E" w14:textId="77777777" w:rsidR="0070644B" w:rsidRPr="000356C7" w:rsidRDefault="000356C7" w:rsidP="00170470">
      <w:pPr>
        <w:pStyle w:val="Heading1"/>
        <w:numPr>
          <w:ilvl w:val="0"/>
          <w:numId w:val="1"/>
        </w:numPr>
        <w:spacing w:after="120"/>
        <w:rPr>
          <w:noProof/>
        </w:rPr>
      </w:pPr>
      <w:r>
        <w:rPr>
          <w:rFonts w:ascii="Times New Roman Bold" w:hAnsi="Times New Roman Bold"/>
          <w:smallCaps/>
          <w:noProof/>
        </w:rPr>
        <w:t>Basic features of PSEO</w:t>
      </w:r>
      <w:r w:rsidR="0070644B" w:rsidRPr="000356C7">
        <w:rPr>
          <w:noProof/>
        </w:rPr>
        <w:tab/>
      </w:r>
    </w:p>
    <w:p w14:paraId="698C055C" w14:textId="77777777" w:rsidR="004B1EF1" w:rsidRPr="004B1EF1" w:rsidRDefault="0070644B" w:rsidP="00170470">
      <w:pPr>
        <w:pStyle w:val="Heading2"/>
        <w:numPr>
          <w:ilvl w:val="1"/>
          <w:numId w:val="1"/>
        </w:numPr>
        <w:spacing w:after="120" w:line="240" w:lineRule="auto"/>
        <w:rPr>
          <w:noProof/>
        </w:rPr>
      </w:pPr>
      <w:r w:rsidRPr="00273190">
        <w:rPr>
          <w:noProof/>
        </w:rPr>
        <w:t>Legal basis of PSEO</w:t>
      </w:r>
      <w:r w:rsidRPr="00273190">
        <w:rPr>
          <w:noProof/>
        </w:rPr>
        <w:tab/>
      </w:r>
    </w:p>
    <w:p w14:paraId="3BB6972E" w14:textId="77777777" w:rsidR="000129BF" w:rsidRPr="00D577ED" w:rsidRDefault="000129BF">
      <w:pPr>
        <w:pStyle w:val="ListNumber"/>
        <w:numPr>
          <w:ilvl w:val="0"/>
          <w:numId w:val="0"/>
        </w:numPr>
        <w:spacing w:before="0"/>
        <w:contextualSpacing w:val="0"/>
        <w:rPr>
          <w:rFonts w:eastAsia="Times New Roman"/>
          <w:noProof/>
          <w:szCs w:val="24"/>
          <w:lang w:eastAsia="de-DE"/>
        </w:rPr>
      </w:pPr>
      <w:r w:rsidRPr="00D577ED">
        <w:rPr>
          <w:rFonts w:eastAsia="Times New Roman"/>
          <w:noProof/>
          <w:szCs w:val="24"/>
          <w:lang w:eastAsia="de-DE"/>
        </w:rPr>
        <w:t>Pursuant to Article 83 of the Staff Regulations:</w:t>
      </w:r>
    </w:p>
    <w:p w14:paraId="66D283BE" w14:textId="77777777" w:rsidR="000129BF" w:rsidRPr="00D577ED" w:rsidRDefault="000129BF" w:rsidP="000129BF">
      <w:pPr>
        <w:pStyle w:val="ListNumberLevel2"/>
        <w:numPr>
          <w:ilvl w:val="1"/>
          <w:numId w:val="17"/>
        </w:numPr>
        <w:tabs>
          <w:tab w:val="clear" w:pos="1417"/>
        </w:tabs>
        <w:spacing w:after="120"/>
        <w:ind w:left="851" w:hanging="425"/>
        <w:rPr>
          <w:noProof/>
          <w:szCs w:val="24"/>
          <w:lang w:eastAsia="de-DE"/>
        </w:rPr>
      </w:pPr>
      <w:r w:rsidRPr="00D577ED">
        <w:rPr>
          <w:noProof/>
          <w:szCs w:val="24"/>
          <w:lang w:eastAsia="de-DE"/>
        </w:rPr>
        <w:t>The benefits paid under the pension scheme</w:t>
      </w:r>
      <w:r>
        <w:rPr>
          <w:rStyle w:val="FootnoteReference"/>
          <w:noProof/>
          <w:szCs w:val="24"/>
          <w:lang w:eastAsia="de-DE"/>
        </w:rPr>
        <w:footnoteReference w:id="1"/>
      </w:r>
      <w:r w:rsidRPr="00D577ED">
        <w:rPr>
          <w:noProof/>
          <w:szCs w:val="24"/>
          <w:lang w:eastAsia="de-DE"/>
        </w:rPr>
        <w:t xml:space="preserve"> are to be charged to the Union budget;</w:t>
      </w:r>
    </w:p>
    <w:p w14:paraId="35150D88" w14:textId="77777777" w:rsidR="000129BF" w:rsidRPr="00D577ED" w:rsidRDefault="000129BF" w:rsidP="000129BF">
      <w:pPr>
        <w:pStyle w:val="ListNumberLevel2"/>
        <w:numPr>
          <w:ilvl w:val="1"/>
          <w:numId w:val="17"/>
        </w:numPr>
        <w:tabs>
          <w:tab w:val="clear" w:pos="1417"/>
        </w:tabs>
        <w:spacing w:after="120"/>
        <w:ind w:left="851" w:hanging="425"/>
        <w:rPr>
          <w:noProof/>
          <w:szCs w:val="24"/>
          <w:lang w:eastAsia="de-DE"/>
        </w:rPr>
      </w:pPr>
      <w:r w:rsidRPr="00D577ED">
        <w:rPr>
          <w:noProof/>
          <w:szCs w:val="24"/>
          <w:lang w:eastAsia="de-DE"/>
        </w:rPr>
        <w:t>Member States are to jointly guarantee the payment of the benefits; and</w:t>
      </w:r>
    </w:p>
    <w:p w14:paraId="03B4D767" w14:textId="77777777" w:rsidR="000129BF" w:rsidRPr="00D577ED" w:rsidRDefault="000129BF" w:rsidP="000129BF">
      <w:pPr>
        <w:pStyle w:val="ListNumberLevel2"/>
        <w:numPr>
          <w:ilvl w:val="1"/>
          <w:numId w:val="17"/>
        </w:numPr>
        <w:tabs>
          <w:tab w:val="clear" w:pos="1417"/>
        </w:tabs>
        <w:spacing w:after="200"/>
        <w:ind w:left="851" w:hanging="425"/>
        <w:rPr>
          <w:noProof/>
          <w:szCs w:val="24"/>
          <w:lang w:eastAsia="de-DE"/>
        </w:rPr>
      </w:pPr>
      <w:r w:rsidRPr="00D577ED">
        <w:rPr>
          <w:noProof/>
          <w:szCs w:val="24"/>
          <w:lang w:eastAsia="de-DE"/>
        </w:rPr>
        <w:t>Officials are to contribute one third of the cost of financing the scheme.</w:t>
      </w:r>
    </w:p>
    <w:p w14:paraId="4BB83859" w14:textId="7AC550BA" w:rsidR="000129BF" w:rsidRPr="00D577ED" w:rsidRDefault="000129BF" w:rsidP="000129BF">
      <w:pPr>
        <w:pStyle w:val="ListNumber"/>
        <w:numPr>
          <w:ilvl w:val="0"/>
          <w:numId w:val="0"/>
        </w:numPr>
        <w:spacing w:before="0" w:after="200"/>
        <w:contextualSpacing w:val="0"/>
        <w:rPr>
          <w:rFonts w:eastAsia="Times New Roman"/>
          <w:noProof/>
          <w:szCs w:val="24"/>
          <w:lang w:eastAsia="de-DE"/>
        </w:rPr>
      </w:pPr>
      <w:r w:rsidRPr="00D577ED">
        <w:rPr>
          <w:rFonts w:eastAsia="Times New Roman"/>
          <w:noProof/>
          <w:szCs w:val="24"/>
          <w:lang w:eastAsia="de-DE"/>
        </w:rPr>
        <w:t xml:space="preserve">Article 83a </w:t>
      </w:r>
      <w:r w:rsidR="00D561BC">
        <w:rPr>
          <w:rFonts w:eastAsia="Times New Roman"/>
          <w:noProof/>
          <w:szCs w:val="24"/>
          <w:lang w:eastAsia="de-DE"/>
        </w:rPr>
        <w:t>of the Staff Regulations</w:t>
      </w:r>
      <w:r w:rsidR="007865AC">
        <w:rPr>
          <w:rFonts w:eastAsia="Times New Roman"/>
          <w:noProof/>
          <w:szCs w:val="24"/>
          <w:lang w:eastAsia="de-DE"/>
        </w:rPr>
        <w:t xml:space="preserve"> </w:t>
      </w:r>
      <w:r w:rsidRPr="00D577ED">
        <w:rPr>
          <w:rFonts w:eastAsia="Times New Roman"/>
          <w:noProof/>
          <w:szCs w:val="24"/>
          <w:lang w:eastAsia="de-DE"/>
        </w:rPr>
        <w:t>provides that the balance of the pension scheme shall be ensured by the pensionable age and the rate of contribution to the scheme. It also lays down procedures for annual and five-yearly updates of the rate of contribution to the pension scheme.</w:t>
      </w:r>
    </w:p>
    <w:p w14:paraId="7556956E" w14:textId="7DC3312F" w:rsidR="000129BF" w:rsidRPr="000129BF" w:rsidRDefault="000129BF" w:rsidP="000129BF">
      <w:pPr>
        <w:pStyle w:val="ListNumber"/>
        <w:numPr>
          <w:ilvl w:val="0"/>
          <w:numId w:val="0"/>
        </w:numPr>
        <w:spacing w:before="0" w:after="200"/>
        <w:contextualSpacing w:val="0"/>
        <w:rPr>
          <w:rFonts w:eastAsia="Times New Roman"/>
          <w:noProof/>
          <w:szCs w:val="24"/>
          <w:lang w:eastAsia="de-DE"/>
        </w:rPr>
      </w:pPr>
      <w:r w:rsidRPr="00D577ED">
        <w:rPr>
          <w:rFonts w:eastAsia="Times New Roman"/>
          <w:noProof/>
          <w:szCs w:val="24"/>
          <w:lang w:eastAsia="de-DE"/>
        </w:rPr>
        <w:t xml:space="preserve">Annex XII to the </w:t>
      </w:r>
      <w:r w:rsidR="001A515A">
        <w:rPr>
          <w:rFonts w:eastAsia="Times New Roman"/>
          <w:noProof/>
          <w:szCs w:val="24"/>
          <w:lang w:eastAsia="de-DE"/>
        </w:rPr>
        <w:t>Staff Regulations</w:t>
      </w:r>
      <w:r w:rsidRPr="00D577ED">
        <w:rPr>
          <w:rFonts w:eastAsia="Times New Roman"/>
          <w:noProof/>
          <w:szCs w:val="24"/>
          <w:lang w:eastAsia="de-DE"/>
        </w:rPr>
        <w:t xml:space="preserve"> set</w:t>
      </w:r>
      <w:r>
        <w:rPr>
          <w:rFonts w:eastAsia="Times New Roman"/>
          <w:noProof/>
          <w:szCs w:val="24"/>
          <w:lang w:eastAsia="de-DE"/>
        </w:rPr>
        <w:t>s</w:t>
      </w:r>
      <w:r w:rsidRPr="00D577ED">
        <w:rPr>
          <w:rFonts w:eastAsia="Times New Roman"/>
          <w:noProof/>
          <w:szCs w:val="24"/>
          <w:lang w:eastAsia="de-DE"/>
        </w:rPr>
        <w:t xml:space="preserve"> out the actuarial rules for computing the contribution rate in order to ensure</w:t>
      </w:r>
      <w:r>
        <w:rPr>
          <w:rFonts w:eastAsia="Times New Roman"/>
          <w:noProof/>
          <w:szCs w:val="24"/>
          <w:lang w:eastAsia="de-DE"/>
        </w:rPr>
        <w:t xml:space="preserve"> that the scheme is in balance.</w:t>
      </w:r>
    </w:p>
    <w:p w14:paraId="15AF9AC5" w14:textId="77777777" w:rsidR="000129BF" w:rsidRDefault="0070644B" w:rsidP="00170470">
      <w:pPr>
        <w:pStyle w:val="Heading2"/>
        <w:numPr>
          <w:ilvl w:val="1"/>
          <w:numId w:val="1"/>
        </w:numPr>
        <w:spacing w:after="120" w:line="240" w:lineRule="auto"/>
        <w:rPr>
          <w:noProof/>
        </w:rPr>
      </w:pPr>
      <w:r w:rsidRPr="000356C7">
        <w:rPr>
          <w:noProof/>
        </w:rPr>
        <w:t>Notional (virtual) fund principle</w:t>
      </w:r>
      <w:r w:rsidRPr="000356C7">
        <w:rPr>
          <w:noProof/>
        </w:rPr>
        <w:tab/>
      </w:r>
    </w:p>
    <w:p w14:paraId="0CD12A25" w14:textId="77777777" w:rsidR="000129BF" w:rsidRDefault="000129BF">
      <w:pPr>
        <w:pStyle w:val="Text2"/>
        <w:ind w:left="0"/>
        <w:rPr>
          <w:noProof/>
        </w:rPr>
      </w:pPr>
      <w:r>
        <w:rPr>
          <w:noProof/>
        </w:rPr>
        <w:t xml:space="preserve">The </w:t>
      </w:r>
      <w:r w:rsidRPr="00246001">
        <w:rPr>
          <w:noProof/>
        </w:rPr>
        <w:t>PSEO is a notional (virtual) fund with defined benefits, in which staff’s contributions serve to finance their future pensions</w:t>
      </w:r>
      <w:r>
        <w:rPr>
          <w:noProof/>
        </w:rPr>
        <w:t>. Although there is no actual investment fund, the amount that would have been collected by such a fund is considered to have been invested in the Member States’ long-term bonds and is reflected in the pension liability that is registered in the annual accounts of the European Union. Member States jointly guarantee the payment of the benefits pursuant to Article 83 of the Staff Regulations and Article 4(3) of the Treaty on European Union.</w:t>
      </w:r>
    </w:p>
    <w:p w14:paraId="4F4A9838" w14:textId="77777777" w:rsidR="000129BF" w:rsidRDefault="000129BF" w:rsidP="000129BF">
      <w:pPr>
        <w:pStyle w:val="Text2"/>
        <w:ind w:left="0"/>
        <w:rPr>
          <w:noProof/>
        </w:rPr>
      </w:pPr>
      <w:r>
        <w:rPr>
          <w:noProof/>
        </w:rPr>
        <w:t>As the PSEO is designed as a notional fund, staff contributions serve to finance the future pensions of those contributing. The contributions actually cover the cost of the pension rights acquired in a given year and are in no way linked to that year’s pension expenditure. EU case-law has confirmed that the PSEO is a notional fund, despite finding that it also displays some features of a solidarity scheme</w:t>
      </w:r>
      <w:r>
        <w:rPr>
          <w:rStyle w:val="FootnoteReference"/>
          <w:noProof/>
        </w:rPr>
        <w:footnoteReference w:id="2"/>
      </w:r>
      <w:r>
        <w:rPr>
          <w:noProof/>
        </w:rPr>
        <w:t xml:space="preserve">. </w:t>
      </w:r>
    </w:p>
    <w:p w14:paraId="7BBE80D2" w14:textId="0D6C1416" w:rsidR="000129BF" w:rsidRDefault="000129BF" w:rsidP="000129BF">
      <w:pPr>
        <w:pStyle w:val="Text2"/>
        <w:ind w:left="0"/>
        <w:rPr>
          <w:noProof/>
        </w:rPr>
      </w:pPr>
      <w:r>
        <w:rPr>
          <w:noProof/>
        </w:rPr>
        <w:t>The PSEO is different from most Member State pension schemes for public officials, in which the contribution rate or benefits are adjusted so as to ensure a balance each year between contributions collected and pension expenditure. In this type of schemes</w:t>
      </w:r>
      <w:r w:rsidR="00040B7E">
        <w:rPr>
          <w:noProof/>
        </w:rPr>
        <w:t xml:space="preserve"> which link</w:t>
      </w:r>
      <w:r w:rsidR="009C3623">
        <w:rPr>
          <w:noProof/>
        </w:rPr>
        <w:t>s</w:t>
      </w:r>
      <w:r w:rsidR="00040B7E">
        <w:rPr>
          <w:noProof/>
        </w:rPr>
        <w:t xml:space="preserve"> the contributions to the pension expenditure of the same period</w:t>
      </w:r>
      <w:r w:rsidR="009C3623">
        <w:rPr>
          <w:noProof/>
        </w:rPr>
        <w:t xml:space="preserve"> </w:t>
      </w:r>
      <w:r w:rsidR="00040B7E">
        <w:rPr>
          <w:noProof/>
        </w:rPr>
        <w:t>(</w:t>
      </w:r>
      <w:r w:rsidR="007A02CC">
        <w:rPr>
          <w:noProof/>
        </w:rPr>
        <w:t xml:space="preserve">known as </w:t>
      </w:r>
      <w:r w:rsidR="00040B7E">
        <w:rPr>
          <w:noProof/>
        </w:rPr>
        <w:t>p</w:t>
      </w:r>
      <w:r w:rsidR="007A02CC">
        <w:rPr>
          <w:noProof/>
        </w:rPr>
        <w:t>ay-as-you-go</w:t>
      </w:r>
      <w:r w:rsidR="00040B7E">
        <w:rPr>
          <w:noProof/>
        </w:rPr>
        <w:t xml:space="preserve"> schemes)</w:t>
      </w:r>
      <w:r w:rsidR="007A02CC">
        <w:rPr>
          <w:noProof/>
        </w:rPr>
        <w:t>,</w:t>
      </w:r>
      <w:r>
        <w:rPr>
          <w:noProof/>
        </w:rPr>
        <w:t xml:space="preserve"> if it is not possible to achieve a balance, the difference is covered from the budget. </w:t>
      </w:r>
    </w:p>
    <w:p w14:paraId="5660E861" w14:textId="43EC81FC" w:rsidR="000129BF" w:rsidRPr="000129BF" w:rsidRDefault="000129BF" w:rsidP="000129BF">
      <w:pPr>
        <w:pStyle w:val="Text2"/>
        <w:ind w:left="0"/>
        <w:rPr>
          <w:noProof/>
        </w:rPr>
      </w:pPr>
      <w:r>
        <w:rPr>
          <w:noProof/>
        </w:rPr>
        <w:t>The notional PSEO fund is assessed both annually and every five years as if a real fund existed</w:t>
      </w:r>
      <w:r w:rsidR="008D0721">
        <w:rPr>
          <w:noProof/>
        </w:rPr>
        <w:t xml:space="preserve">, </w:t>
      </w:r>
      <w:r>
        <w:rPr>
          <w:noProof/>
        </w:rPr>
        <w:t>thus further guaranteeing its long-term sustainability.</w:t>
      </w:r>
    </w:p>
    <w:p w14:paraId="5EBFC740" w14:textId="77777777" w:rsidR="005A10F3" w:rsidRPr="005A10F3" w:rsidRDefault="0070644B" w:rsidP="00170470">
      <w:pPr>
        <w:pStyle w:val="Heading2"/>
        <w:numPr>
          <w:ilvl w:val="1"/>
          <w:numId w:val="1"/>
        </w:numPr>
        <w:spacing w:after="120" w:line="240" w:lineRule="auto"/>
        <w:rPr>
          <w:noProof/>
        </w:rPr>
      </w:pPr>
      <w:r w:rsidRPr="000356C7">
        <w:rPr>
          <w:noProof/>
        </w:rPr>
        <w:t>Actuarial balance principle</w:t>
      </w:r>
      <w:r w:rsidRPr="000356C7">
        <w:rPr>
          <w:noProof/>
        </w:rPr>
        <w:tab/>
      </w:r>
    </w:p>
    <w:p w14:paraId="7E4BBF4F" w14:textId="6F4BD486" w:rsidR="000129BF" w:rsidRPr="00D577ED" w:rsidRDefault="000129BF">
      <w:pPr>
        <w:pStyle w:val="Text2"/>
        <w:ind w:left="0"/>
        <w:rPr>
          <w:noProof/>
        </w:rPr>
      </w:pPr>
      <w:r w:rsidRPr="00D577ED">
        <w:rPr>
          <w:noProof/>
        </w:rPr>
        <w:t xml:space="preserve">The balance of the PSEO is ensured regularly through updates of the contribution rates and, where relevant, </w:t>
      </w:r>
      <w:r w:rsidR="00CC1551">
        <w:rPr>
          <w:noProof/>
        </w:rPr>
        <w:t xml:space="preserve">the </w:t>
      </w:r>
      <w:r w:rsidRPr="00D577ED">
        <w:rPr>
          <w:noProof/>
        </w:rPr>
        <w:t>pensionable age.</w:t>
      </w:r>
    </w:p>
    <w:p w14:paraId="3AF72A78" w14:textId="0DE4BC01" w:rsidR="000129BF" w:rsidRPr="00D577ED" w:rsidRDefault="000129BF" w:rsidP="0013386C">
      <w:pPr>
        <w:pStyle w:val="Text2"/>
        <w:ind w:left="0"/>
        <w:rPr>
          <w:noProof/>
        </w:rPr>
      </w:pPr>
      <w:r w:rsidRPr="00D577ED">
        <w:rPr>
          <w:noProof/>
        </w:rPr>
        <w:t xml:space="preserve">The PSEO follows an actuarial balance principle whereby annual staff contributions have to cover </w:t>
      </w:r>
      <w:r>
        <w:rPr>
          <w:noProof/>
        </w:rPr>
        <w:t>one</w:t>
      </w:r>
      <w:r w:rsidRPr="00D577ED">
        <w:rPr>
          <w:noProof/>
        </w:rPr>
        <w:t xml:space="preserve"> third of the rights acquired in the year in question</w:t>
      </w:r>
      <w:r w:rsidRPr="006A369F">
        <w:rPr>
          <w:noProof/>
          <w:vertAlign w:val="superscript"/>
        </w:rPr>
        <w:footnoteReference w:id="3"/>
      </w:r>
      <w:r w:rsidRPr="00D577ED">
        <w:rPr>
          <w:noProof/>
        </w:rPr>
        <w:t xml:space="preserve">, which correspond to the future pensions that the same staff will receive after retirement, plus (under certain conditions) invalidity allowances and survivor’s and orphans’ pensions. </w:t>
      </w:r>
      <w:r w:rsidR="001F6152">
        <w:rPr>
          <w:noProof/>
        </w:rPr>
        <w:t xml:space="preserve">The future pension benefits are </w:t>
      </w:r>
      <w:r w:rsidRPr="00D577ED">
        <w:rPr>
          <w:noProof/>
        </w:rPr>
        <w:t xml:space="preserve">evaluated at </w:t>
      </w:r>
      <w:r w:rsidR="001F6152">
        <w:rPr>
          <w:noProof/>
        </w:rPr>
        <w:t>each reference date</w:t>
      </w:r>
      <w:r w:rsidR="001F6152">
        <w:rPr>
          <w:rStyle w:val="FootnoteReference"/>
          <w:noProof/>
        </w:rPr>
        <w:footnoteReference w:id="4"/>
      </w:r>
      <w:r w:rsidR="009C3623">
        <w:rPr>
          <w:noProof/>
        </w:rPr>
        <w:t>,</w:t>
      </w:r>
      <w:r w:rsidR="001F6152">
        <w:rPr>
          <w:noProof/>
        </w:rPr>
        <w:t xml:space="preserve"> which involves the calculation of their </w:t>
      </w:r>
      <w:r w:rsidRPr="00D577ED">
        <w:rPr>
          <w:noProof/>
        </w:rPr>
        <w:t>present value using an interest (discount) rate</w:t>
      </w:r>
      <w:r w:rsidR="001F6152" w:rsidRPr="006A369F">
        <w:rPr>
          <w:noProof/>
          <w:vertAlign w:val="superscript"/>
        </w:rPr>
        <w:footnoteReference w:id="5"/>
      </w:r>
      <w:r w:rsidR="009C3623">
        <w:rPr>
          <w:noProof/>
        </w:rPr>
        <w:t>.</w:t>
      </w:r>
      <w:r w:rsidR="001F6152" w:rsidRPr="00D577ED">
        <w:rPr>
          <w:noProof/>
        </w:rPr>
        <w:t xml:space="preserve"> </w:t>
      </w:r>
      <w:r w:rsidR="009C3623">
        <w:rPr>
          <w:noProof/>
        </w:rPr>
        <w:t>This</w:t>
      </w:r>
      <w:r w:rsidR="001F6152" w:rsidRPr="00D577ED">
        <w:rPr>
          <w:noProof/>
        </w:rPr>
        <w:t xml:space="preserve"> </w:t>
      </w:r>
      <w:r w:rsidRPr="00D577ED">
        <w:rPr>
          <w:noProof/>
        </w:rPr>
        <w:t xml:space="preserve">computation is an actuarial valuation. </w:t>
      </w:r>
    </w:p>
    <w:p w14:paraId="3724FF4F" w14:textId="70882210" w:rsidR="000129BF" w:rsidRPr="000129BF" w:rsidRDefault="00BB75E7" w:rsidP="0013386C">
      <w:pPr>
        <w:pStyle w:val="Text2"/>
        <w:ind w:left="0"/>
        <w:rPr>
          <w:noProof/>
        </w:rPr>
      </w:pPr>
      <w:r>
        <w:rPr>
          <w:noProof/>
        </w:rPr>
        <w:t>The P</w:t>
      </w:r>
      <w:r w:rsidR="000129BF" w:rsidRPr="00D577ED">
        <w:rPr>
          <w:noProof/>
        </w:rPr>
        <w:t xml:space="preserve">ension </w:t>
      </w:r>
      <w:r>
        <w:rPr>
          <w:noProof/>
        </w:rPr>
        <w:t>C</w:t>
      </w:r>
      <w:r w:rsidR="000129BF" w:rsidRPr="00D577ED">
        <w:rPr>
          <w:noProof/>
        </w:rPr>
        <w:t xml:space="preserve">ontribution </w:t>
      </w:r>
      <w:r>
        <w:rPr>
          <w:noProof/>
        </w:rPr>
        <w:t>R</w:t>
      </w:r>
      <w:r w:rsidR="000129BF" w:rsidRPr="00D577ED">
        <w:rPr>
          <w:noProof/>
        </w:rPr>
        <w:t>ate</w:t>
      </w:r>
      <w:r>
        <w:rPr>
          <w:noProof/>
        </w:rPr>
        <w:t xml:space="preserve"> (PCR)</w:t>
      </w:r>
      <w:r w:rsidR="000129BF" w:rsidRPr="00D577ED">
        <w:rPr>
          <w:noProof/>
        </w:rPr>
        <w:t xml:space="preserve"> is the mechanism that keeps the scheme in balance from year to year. It is automatically updated if the actuarial assessment foreseen by Article 83a of the Staff Regulations shows that this is necessary in order to fully cover the pension rights </w:t>
      </w:r>
      <w:r w:rsidR="000129BF" w:rsidRPr="00B05A21">
        <w:rPr>
          <w:noProof/>
        </w:rPr>
        <w:t>acquired in a given year. Consequently, when staff members pay the updated contribution rate, they acquire pension rights for a given year protected by the principle of acquired rights.</w:t>
      </w:r>
    </w:p>
    <w:p w14:paraId="216338A4" w14:textId="77777777" w:rsidR="00CB15EA" w:rsidRPr="00782BB5" w:rsidRDefault="00FC27BC" w:rsidP="00170470">
      <w:pPr>
        <w:pStyle w:val="Heading1"/>
        <w:numPr>
          <w:ilvl w:val="0"/>
          <w:numId w:val="1"/>
        </w:numPr>
        <w:spacing w:after="120"/>
        <w:rPr>
          <w:rFonts w:ascii="Times New Roman Bold" w:hAnsi="Times New Roman Bold"/>
          <w:b w:val="0"/>
          <w:smallCaps/>
          <w:noProof/>
        </w:rPr>
      </w:pPr>
      <w:r>
        <w:rPr>
          <w:rStyle w:val="Heading1Char"/>
          <w:rFonts w:ascii="Times New Roman Bold" w:hAnsi="Times New Roman Bold"/>
          <w:smallCaps/>
          <w:noProof/>
        </w:rPr>
        <w:t>Actuarial balance of the PSEO</w:t>
      </w:r>
    </w:p>
    <w:p w14:paraId="7680B53B" w14:textId="0C1154ED" w:rsidR="00021C45" w:rsidRDefault="009C3623">
      <w:pPr>
        <w:pStyle w:val="Text2"/>
        <w:ind w:left="0"/>
        <w:rPr>
          <w:noProof/>
        </w:rPr>
      </w:pPr>
      <w:r>
        <w:rPr>
          <w:noProof/>
        </w:rPr>
        <w:t xml:space="preserve">The actuarial balance of the PSEO is ensured by the annual update of the PCR, and, where appropriate, the update of the pensionable age. </w:t>
      </w:r>
      <w:r w:rsidR="00BD5D35">
        <w:rPr>
          <w:noProof/>
        </w:rPr>
        <w:t xml:space="preserve">The calculation methodology of the PCR </w:t>
      </w:r>
      <w:r w:rsidR="00BD5D35" w:rsidRPr="00EF07BE">
        <w:rPr>
          <w:noProof/>
        </w:rPr>
        <w:t xml:space="preserve">is validated by </w:t>
      </w:r>
      <w:r w:rsidR="001F6152">
        <w:rPr>
          <w:noProof/>
        </w:rPr>
        <w:t xml:space="preserve">national experts </w:t>
      </w:r>
      <w:r w:rsidR="00CC1551">
        <w:rPr>
          <w:noProof/>
        </w:rPr>
        <w:t xml:space="preserve">of the </w:t>
      </w:r>
      <w:r w:rsidR="001F6152">
        <w:rPr>
          <w:noProof/>
        </w:rPr>
        <w:t xml:space="preserve">EU </w:t>
      </w:r>
      <w:r w:rsidR="00CC1551">
        <w:rPr>
          <w:noProof/>
        </w:rPr>
        <w:t>Member States</w:t>
      </w:r>
      <w:r w:rsidR="00BD5D35" w:rsidRPr="00EF07BE">
        <w:rPr>
          <w:noProof/>
        </w:rPr>
        <w:t xml:space="preserve"> and external actuaries</w:t>
      </w:r>
      <w:r w:rsidR="00BD5D35">
        <w:rPr>
          <w:noProof/>
        </w:rPr>
        <w:t xml:space="preserve"> (3.1). </w:t>
      </w:r>
      <w:r w:rsidR="00BD5D35" w:rsidRPr="00EF07BE">
        <w:rPr>
          <w:noProof/>
        </w:rPr>
        <w:t>The PCR corresponds to the ratio between the service cost</w:t>
      </w:r>
      <w:r w:rsidR="00AF436A">
        <w:rPr>
          <w:rStyle w:val="FootnoteReference"/>
          <w:noProof/>
        </w:rPr>
        <w:footnoteReference w:id="6"/>
      </w:r>
      <w:r w:rsidR="00BD5D35" w:rsidRPr="00EF07BE">
        <w:rPr>
          <w:noProof/>
        </w:rPr>
        <w:t xml:space="preserve"> at year N and the total annual basic salaries</w:t>
      </w:r>
      <w:r w:rsidR="00780A8E">
        <w:rPr>
          <w:noProof/>
        </w:rPr>
        <w:t>/allowances at 31 December of the previous year for the same population</w:t>
      </w:r>
      <w:r w:rsidR="00BD5D35" w:rsidRPr="00EF07BE">
        <w:rPr>
          <w:noProof/>
        </w:rPr>
        <w:t xml:space="preserve">. In order to calculate the service cost, a number of parameters </w:t>
      </w:r>
      <w:r w:rsidR="00AC2379">
        <w:rPr>
          <w:noProof/>
        </w:rPr>
        <w:t xml:space="preserve">are </w:t>
      </w:r>
      <w:r w:rsidR="00780A8E">
        <w:rPr>
          <w:noProof/>
        </w:rPr>
        <w:t xml:space="preserve">employed </w:t>
      </w:r>
      <w:r w:rsidR="00BD5D35" w:rsidRPr="00EF07BE">
        <w:rPr>
          <w:noProof/>
        </w:rPr>
        <w:t xml:space="preserve">and </w:t>
      </w:r>
      <w:r w:rsidR="00780A8E">
        <w:rPr>
          <w:noProof/>
        </w:rPr>
        <w:t xml:space="preserve">a full set of </w:t>
      </w:r>
      <w:r w:rsidR="00BD5D35" w:rsidRPr="00EF07BE">
        <w:rPr>
          <w:noProof/>
        </w:rPr>
        <w:t xml:space="preserve">demographic and financial assumptions </w:t>
      </w:r>
      <w:r w:rsidR="00780A8E">
        <w:rPr>
          <w:noProof/>
        </w:rPr>
        <w:t>is</w:t>
      </w:r>
      <w:r w:rsidR="00780A8E" w:rsidRPr="00EF07BE">
        <w:rPr>
          <w:noProof/>
        </w:rPr>
        <w:t xml:space="preserve"> </w:t>
      </w:r>
      <w:r w:rsidR="00BD5D35" w:rsidRPr="00EF07BE">
        <w:rPr>
          <w:noProof/>
        </w:rPr>
        <w:t>evaluated</w:t>
      </w:r>
      <w:r w:rsidR="00BD5D35">
        <w:rPr>
          <w:noProof/>
        </w:rPr>
        <w:t xml:space="preserve"> (chapter 3.2</w:t>
      </w:r>
      <w:r w:rsidR="00BD5D35" w:rsidRPr="00EF07BE">
        <w:rPr>
          <w:noProof/>
        </w:rPr>
        <w:t>).</w:t>
      </w:r>
      <w:r w:rsidR="00BD5D35">
        <w:rPr>
          <w:noProof/>
        </w:rPr>
        <w:t xml:space="preserve"> </w:t>
      </w:r>
      <w:r w:rsidR="00780A8E">
        <w:rPr>
          <w:noProof/>
        </w:rPr>
        <w:t>T</w:t>
      </w:r>
      <w:r w:rsidR="00F517A4" w:rsidRPr="00EF07BE">
        <w:rPr>
          <w:noProof/>
        </w:rPr>
        <w:t xml:space="preserve">he actuarial balance of the PSEO is guaranteed by </w:t>
      </w:r>
      <w:r w:rsidR="00BD5D35">
        <w:rPr>
          <w:noProof/>
        </w:rPr>
        <w:t>the PCR</w:t>
      </w:r>
      <w:r w:rsidR="00A2413E" w:rsidRPr="00EF07BE">
        <w:rPr>
          <w:noProof/>
        </w:rPr>
        <w:t xml:space="preserve"> </w:t>
      </w:r>
      <w:r w:rsidR="00FB3BBA" w:rsidRPr="00EF07BE">
        <w:rPr>
          <w:noProof/>
        </w:rPr>
        <w:t>(chapter 3.</w:t>
      </w:r>
      <w:r w:rsidR="00BD5D35">
        <w:rPr>
          <w:noProof/>
        </w:rPr>
        <w:t>3</w:t>
      </w:r>
      <w:r w:rsidR="00FB3BBA" w:rsidRPr="00EF07BE">
        <w:rPr>
          <w:noProof/>
        </w:rPr>
        <w:t>)</w:t>
      </w:r>
      <w:r w:rsidR="00BD5D35">
        <w:rPr>
          <w:noProof/>
        </w:rPr>
        <w:t xml:space="preserve"> and the pensionable age (</w:t>
      </w:r>
      <w:r w:rsidR="00362E4C">
        <w:rPr>
          <w:noProof/>
        </w:rPr>
        <w:t xml:space="preserve">chapter </w:t>
      </w:r>
      <w:r w:rsidR="00BD5D35">
        <w:rPr>
          <w:noProof/>
        </w:rPr>
        <w:t>3.4).</w:t>
      </w:r>
    </w:p>
    <w:p w14:paraId="42B5877A" w14:textId="77777777" w:rsidR="00021C45" w:rsidRPr="0013386C" w:rsidRDefault="00021C45" w:rsidP="00170470">
      <w:pPr>
        <w:pStyle w:val="Heading2"/>
        <w:numPr>
          <w:ilvl w:val="1"/>
          <w:numId w:val="1"/>
        </w:numPr>
        <w:spacing w:after="120" w:line="240" w:lineRule="auto"/>
        <w:rPr>
          <w:noProof/>
        </w:rPr>
      </w:pPr>
      <w:r w:rsidRPr="00021C45">
        <w:rPr>
          <w:noProof/>
        </w:rPr>
        <w:t xml:space="preserve">Technical implementation of the rules for keeping PSEO in balance </w:t>
      </w:r>
    </w:p>
    <w:p w14:paraId="455A31BD" w14:textId="77777777" w:rsidR="00780A8E" w:rsidRDefault="0012373F" w:rsidP="00170470">
      <w:pPr>
        <w:spacing w:after="120" w:line="240" w:lineRule="auto"/>
        <w:jc w:val="both"/>
        <w:rPr>
          <w:rFonts w:ascii="Times New Roman" w:hAnsi="Times New Roman" w:cs="Times New Roman"/>
          <w:noProof/>
          <w:sz w:val="24"/>
        </w:rPr>
      </w:pPr>
      <w:r w:rsidRPr="00803025">
        <w:rPr>
          <w:rFonts w:ascii="Times New Roman" w:hAnsi="Times New Roman" w:cs="Times New Roman"/>
          <w:noProof/>
          <w:sz w:val="24"/>
        </w:rPr>
        <w:t xml:space="preserve">Eurostat is the authority responsible for the technical implementation of Annex XII to the Staff Regulations. </w:t>
      </w:r>
    </w:p>
    <w:p w14:paraId="0E4B301A" w14:textId="77777777" w:rsidR="00780A8E" w:rsidRDefault="0012373F"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Eurostat is assisted</w:t>
      </w:r>
      <w:r w:rsidR="00780A8E">
        <w:rPr>
          <w:rFonts w:ascii="Times New Roman" w:hAnsi="Times New Roman" w:cs="Times New Roman"/>
          <w:noProof/>
          <w:sz w:val="24"/>
        </w:rPr>
        <w:t xml:space="preserve"> by:</w:t>
      </w:r>
    </w:p>
    <w:p w14:paraId="25FFEAF1" w14:textId="6876A4F3" w:rsidR="00780A8E" w:rsidRPr="001A515A" w:rsidRDefault="0012373F" w:rsidP="001A515A">
      <w:pPr>
        <w:pStyle w:val="ListParagraph"/>
        <w:numPr>
          <w:ilvl w:val="1"/>
          <w:numId w:val="17"/>
        </w:numPr>
        <w:spacing w:after="120" w:line="240" w:lineRule="auto"/>
        <w:jc w:val="both"/>
        <w:rPr>
          <w:rFonts w:ascii="Times New Roman" w:hAnsi="Times New Roman" w:cs="Times New Roman"/>
          <w:noProof/>
          <w:sz w:val="24"/>
        </w:rPr>
      </w:pPr>
      <w:r w:rsidRPr="001A515A">
        <w:rPr>
          <w:rFonts w:ascii="Times New Roman" w:hAnsi="Times New Roman" w:cs="Times New Roman"/>
          <w:noProof/>
          <w:sz w:val="24"/>
        </w:rPr>
        <w:t xml:space="preserve">national experts from the Member States (the </w:t>
      </w:r>
      <w:r w:rsidR="00D561BC">
        <w:rPr>
          <w:rFonts w:ascii="Times New Roman" w:hAnsi="Times New Roman" w:cs="Times New Roman"/>
          <w:noProof/>
          <w:sz w:val="24"/>
        </w:rPr>
        <w:t>“</w:t>
      </w:r>
      <w:r w:rsidRPr="001A515A">
        <w:rPr>
          <w:rFonts w:ascii="Times New Roman" w:hAnsi="Times New Roman" w:cs="Times New Roman"/>
          <w:noProof/>
          <w:sz w:val="24"/>
        </w:rPr>
        <w:t>Article 83 Working Group</w:t>
      </w:r>
      <w:r w:rsidR="00D561BC">
        <w:rPr>
          <w:rFonts w:ascii="Times New Roman" w:hAnsi="Times New Roman" w:cs="Times New Roman"/>
          <w:noProof/>
          <w:sz w:val="24"/>
        </w:rPr>
        <w:t>” which</w:t>
      </w:r>
      <w:r w:rsidRPr="001A515A">
        <w:rPr>
          <w:rFonts w:ascii="Times New Roman" w:hAnsi="Times New Roman" w:cs="Times New Roman"/>
          <w:noProof/>
          <w:sz w:val="24"/>
        </w:rPr>
        <w:t xml:space="preserve"> meets at least once a year) concerning methodology questions raised by the implementation of Annex</w:t>
      </w:r>
      <w:r w:rsidR="00A80E98" w:rsidRPr="001A515A">
        <w:rPr>
          <w:rFonts w:ascii="Times New Roman" w:hAnsi="Times New Roman" w:cs="Times New Roman"/>
          <w:noProof/>
          <w:sz w:val="24"/>
        </w:rPr>
        <w:t xml:space="preserve"> XII</w:t>
      </w:r>
      <w:r w:rsidRPr="001A515A">
        <w:rPr>
          <w:rFonts w:ascii="Times New Roman" w:hAnsi="Times New Roman" w:cs="Times New Roman"/>
          <w:noProof/>
          <w:sz w:val="24"/>
        </w:rPr>
        <w:t xml:space="preserve">, and </w:t>
      </w:r>
    </w:p>
    <w:p w14:paraId="6E6DFD09" w14:textId="37817697" w:rsidR="00780A8E" w:rsidRPr="001A515A" w:rsidRDefault="0012373F" w:rsidP="001A515A">
      <w:pPr>
        <w:pStyle w:val="ListParagraph"/>
        <w:numPr>
          <w:ilvl w:val="1"/>
          <w:numId w:val="17"/>
        </w:numPr>
        <w:spacing w:after="120" w:line="240" w:lineRule="auto"/>
        <w:jc w:val="both"/>
        <w:rPr>
          <w:rFonts w:ascii="Times New Roman" w:hAnsi="Times New Roman" w:cs="Times New Roman"/>
          <w:i/>
          <w:noProof/>
          <w:sz w:val="24"/>
        </w:rPr>
      </w:pPr>
      <w:r w:rsidRPr="001A515A">
        <w:rPr>
          <w:rFonts w:ascii="Times New Roman" w:hAnsi="Times New Roman" w:cs="Times New Roman"/>
          <w:noProof/>
          <w:sz w:val="24"/>
        </w:rPr>
        <w:t>one or more qualified independent experts in carrying out the actuarial assessments of the PSEO</w:t>
      </w:r>
      <w:r>
        <w:rPr>
          <w:rStyle w:val="FootnoteReference"/>
          <w:rFonts w:ascii="Times New Roman" w:hAnsi="Times New Roman" w:cs="Times New Roman"/>
          <w:noProof/>
          <w:sz w:val="24"/>
        </w:rPr>
        <w:footnoteReference w:id="7"/>
      </w:r>
      <w:r w:rsidRPr="001A515A">
        <w:rPr>
          <w:rFonts w:ascii="Times New Roman" w:hAnsi="Times New Roman" w:cs="Times New Roman"/>
          <w:noProof/>
          <w:sz w:val="24"/>
        </w:rPr>
        <w:t xml:space="preserve">. </w:t>
      </w:r>
    </w:p>
    <w:p w14:paraId="491B34A7" w14:textId="3EFF0129" w:rsidR="0012373F" w:rsidRPr="00780A8E" w:rsidRDefault="0012373F" w:rsidP="00780A8E">
      <w:pPr>
        <w:spacing w:after="120" w:line="240" w:lineRule="auto"/>
        <w:jc w:val="both"/>
        <w:rPr>
          <w:rStyle w:val="Heading2Char"/>
          <w:rFonts w:eastAsiaTheme="minorHAnsi" w:cs="Times New Roman"/>
          <w:b w:val="0"/>
          <w:i/>
          <w:noProof/>
          <w:color w:val="auto"/>
          <w:szCs w:val="22"/>
        </w:rPr>
      </w:pPr>
      <w:r w:rsidRPr="001A515A">
        <w:rPr>
          <w:rFonts w:ascii="Times New Roman" w:hAnsi="Times New Roman" w:cs="Times New Roman"/>
          <w:noProof/>
          <w:sz w:val="24"/>
        </w:rPr>
        <w:t xml:space="preserve">This system ensures that the methodology and results of the actuarial assessments of the PSEO are properly </w:t>
      </w:r>
      <w:r w:rsidR="00780A8E">
        <w:rPr>
          <w:rFonts w:ascii="Times New Roman" w:hAnsi="Times New Roman" w:cs="Times New Roman"/>
          <w:noProof/>
          <w:sz w:val="24"/>
        </w:rPr>
        <w:t xml:space="preserve">reviewed and </w:t>
      </w:r>
      <w:r w:rsidRPr="001A515A">
        <w:rPr>
          <w:rFonts w:ascii="Times New Roman" w:hAnsi="Times New Roman" w:cs="Times New Roman"/>
          <w:noProof/>
          <w:sz w:val="24"/>
        </w:rPr>
        <w:t>validated</w:t>
      </w:r>
      <w:r w:rsidR="009C3623">
        <w:rPr>
          <w:rFonts w:ascii="Times New Roman" w:hAnsi="Times New Roman" w:cs="Times New Roman"/>
          <w:noProof/>
          <w:sz w:val="24"/>
        </w:rPr>
        <w:t xml:space="preserve">. This is </w:t>
      </w:r>
      <w:r w:rsidR="00780A8E">
        <w:rPr>
          <w:rFonts w:ascii="Times New Roman" w:hAnsi="Times New Roman" w:cs="Times New Roman"/>
          <w:noProof/>
          <w:sz w:val="24"/>
        </w:rPr>
        <w:t xml:space="preserve">a key </w:t>
      </w:r>
      <w:r w:rsidR="009C3623">
        <w:rPr>
          <w:rFonts w:ascii="Times New Roman" w:hAnsi="Times New Roman" w:cs="Times New Roman"/>
          <w:noProof/>
          <w:sz w:val="24"/>
        </w:rPr>
        <w:t xml:space="preserve">aspect </w:t>
      </w:r>
      <w:r w:rsidR="00780A8E">
        <w:rPr>
          <w:rFonts w:ascii="Times New Roman" w:hAnsi="Times New Roman" w:cs="Times New Roman"/>
          <w:noProof/>
          <w:sz w:val="24"/>
        </w:rPr>
        <w:t xml:space="preserve">for the </w:t>
      </w:r>
      <w:r w:rsidRPr="001A515A">
        <w:rPr>
          <w:rFonts w:ascii="Times New Roman" w:hAnsi="Times New Roman" w:cs="Times New Roman"/>
          <w:noProof/>
          <w:sz w:val="24"/>
        </w:rPr>
        <w:t>robust</w:t>
      </w:r>
      <w:r w:rsidR="00780A8E">
        <w:rPr>
          <w:rFonts w:ascii="Times New Roman" w:hAnsi="Times New Roman" w:cs="Times New Roman"/>
          <w:noProof/>
          <w:sz w:val="24"/>
        </w:rPr>
        <w:t>ness of the process</w:t>
      </w:r>
      <w:r w:rsidRPr="001A515A">
        <w:rPr>
          <w:rFonts w:ascii="Times New Roman" w:hAnsi="Times New Roman" w:cs="Times New Roman"/>
          <w:noProof/>
          <w:sz w:val="24"/>
        </w:rPr>
        <w:t>.</w:t>
      </w:r>
    </w:p>
    <w:p w14:paraId="33BFC2A3" w14:textId="4A98F457" w:rsidR="0012373F" w:rsidRDefault="0012373F" w:rsidP="00170470">
      <w:pPr>
        <w:pStyle w:val="Heading2"/>
        <w:numPr>
          <w:ilvl w:val="2"/>
          <w:numId w:val="1"/>
        </w:numPr>
        <w:spacing w:after="120" w:line="240" w:lineRule="auto"/>
        <w:rPr>
          <w:noProof/>
        </w:rPr>
      </w:pPr>
      <w:r w:rsidRPr="00421F9B">
        <w:rPr>
          <w:noProof/>
        </w:rPr>
        <w:t xml:space="preserve">Activity of the Article 83 Working </w:t>
      </w:r>
      <w:r w:rsidR="00D561BC">
        <w:rPr>
          <w:noProof/>
        </w:rPr>
        <w:t>Group</w:t>
      </w:r>
      <w:r w:rsidR="00D561BC" w:rsidRPr="00421F9B">
        <w:rPr>
          <w:noProof/>
        </w:rPr>
        <w:t xml:space="preserve"> </w:t>
      </w:r>
      <w:r w:rsidRPr="00421F9B">
        <w:rPr>
          <w:noProof/>
        </w:rPr>
        <w:t>in the period 2014-2022</w:t>
      </w:r>
    </w:p>
    <w:p w14:paraId="65F40AAE" w14:textId="0A22B584" w:rsidR="009B59F0" w:rsidRDefault="0012373F" w:rsidP="00170470">
      <w:pPr>
        <w:spacing w:after="120" w:line="240" w:lineRule="auto"/>
        <w:jc w:val="both"/>
        <w:rPr>
          <w:rFonts w:ascii="Times New Roman" w:hAnsi="Times New Roman" w:cs="Times New Roman"/>
          <w:noProof/>
          <w:sz w:val="24"/>
        </w:rPr>
      </w:pPr>
      <w:r w:rsidRPr="00DE27C1">
        <w:rPr>
          <w:rFonts w:ascii="Times New Roman" w:hAnsi="Times New Roman" w:cs="Times New Roman"/>
          <w:noProof/>
          <w:sz w:val="24"/>
        </w:rPr>
        <w:t xml:space="preserve">In the 2014-2022 period, the Article 83 Working Group </w:t>
      </w:r>
      <w:r w:rsidR="009B59F0">
        <w:rPr>
          <w:rFonts w:ascii="Times New Roman" w:hAnsi="Times New Roman" w:cs="Times New Roman"/>
          <w:noProof/>
          <w:sz w:val="24"/>
        </w:rPr>
        <w:t xml:space="preserve">has been </w:t>
      </w:r>
      <w:r w:rsidRPr="00DE27C1">
        <w:rPr>
          <w:rFonts w:ascii="Times New Roman" w:hAnsi="Times New Roman" w:cs="Times New Roman"/>
          <w:noProof/>
          <w:sz w:val="24"/>
        </w:rPr>
        <w:t>me</w:t>
      </w:r>
      <w:r w:rsidR="009B59F0">
        <w:rPr>
          <w:rFonts w:ascii="Times New Roman" w:hAnsi="Times New Roman" w:cs="Times New Roman"/>
          <w:noProof/>
          <w:sz w:val="24"/>
        </w:rPr>
        <w:t>e</w:t>
      </w:r>
      <w:r w:rsidRPr="00DE27C1">
        <w:rPr>
          <w:rFonts w:ascii="Times New Roman" w:hAnsi="Times New Roman" w:cs="Times New Roman"/>
          <w:noProof/>
          <w:sz w:val="24"/>
        </w:rPr>
        <w:t>t</w:t>
      </w:r>
      <w:r w:rsidR="009B59F0">
        <w:rPr>
          <w:rFonts w:ascii="Times New Roman" w:hAnsi="Times New Roman" w:cs="Times New Roman"/>
          <w:noProof/>
          <w:sz w:val="24"/>
        </w:rPr>
        <w:t xml:space="preserve">ing </w:t>
      </w:r>
      <w:r w:rsidRPr="00DE27C1">
        <w:rPr>
          <w:rFonts w:ascii="Times New Roman" w:hAnsi="Times New Roman" w:cs="Times New Roman"/>
          <w:noProof/>
          <w:sz w:val="24"/>
        </w:rPr>
        <w:t>e</w:t>
      </w:r>
      <w:r w:rsidR="009B59F0">
        <w:rPr>
          <w:rFonts w:ascii="Times New Roman" w:hAnsi="Times New Roman" w:cs="Times New Roman"/>
          <w:noProof/>
          <w:sz w:val="24"/>
        </w:rPr>
        <w:t>very</w:t>
      </w:r>
      <w:r w:rsidRPr="00DE27C1">
        <w:rPr>
          <w:rFonts w:ascii="Times New Roman" w:hAnsi="Times New Roman" w:cs="Times New Roman"/>
          <w:noProof/>
          <w:sz w:val="24"/>
        </w:rPr>
        <w:t xml:space="preserve"> year </w:t>
      </w:r>
      <w:r w:rsidR="009B59F0">
        <w:rPr>
          <w:rFonts w:ascii="Times New Roman" w:hAnsi="Times New Roman" w:cs="Times New Roman"/>
          <w:noProof/>
          <w:sz w:val="24"/>
        </w:rPr>
        <w:t>in compliance with</w:t>
      </w:r>
      <w:r w:rsidRPr="00DE27C1">
        <w:rPr>
          <w:rFonts w:ascii="Times New Roman" w:hAnsi="Times New Roman" w:cs="Times New Roman"/>
          <w:noProof/>
          <w:sz w:val="24"/>
        </w:rPr>
        <w:t xml:space="preserve"> </w:t>
      </w:r>
      <w:r w:rsidR="009B59F0">
        <w:rPr>
          <w:rFonts w:ascii="Times New Roman" w:hAnsi="Times New Roman" w:cs="Times New Roman"/>
          <w:noProof/>
          <w:sz w:val="24"/>
        </w:rPr>
        <w:t xml:space="preserve">the relevant provision of </w:t>
      </w:r>
      <w:r w:rsidRPr="00DE27C1">
        <w:rPr>
          <w:rFonts w:ascii="Times New Roman" w:hAnsi="Times New Roman" w:cs="Times New Roman"/>
          <w:noProof/>
          <w:sz w:val="24"/>
        </w:rPr>
        <w:t>the Staff Regulations</w:t>
      </w:r>
      <w:r w:rsidR="009B59F0">
        <w:rPr>
          <w:rStyle w:val="FootnoteReference"/>
          <w:rFonts w:ascii="Times New Roman" w:hAnsi="Times New Roman" w:cs="Times New Roman"/>
          <w:noProof/>
          <w:sz w:val="24"/>
        </w:rPr>
        <w:footnoteReference w:id="8"/>
      </w:r>
      <w:r w:rsidRPr="00DE27C1">
        <w:rPr>
          <w:rFonts w:ascii="Times New Roman" w:hAnsi="Times New Roman" w:cs="Times New Roman"/>
          <w:noProof/>
          <w:sz w:val="24"/>
        </w:rPr>
        <w:t xml:space="preserve">. The </w:t>
      </w:r>
      <w:r w:rsidR="009C3623" w:rsidRPr="00DE27C1">
        <w:rPr>
          <w:rFonts w:ascii="Times New Roman" w:hAnsi="Times New Roman" w:cs="Times New Roman"/>
          <w:noProof/>
          <w:sz w:val="24"/>
        </w:rPr>
        <w:t>Article 83 Working Group</w:t>
      </w:r>
      <w:r w:rsidRPr="00DE27C1">
        <w:rPr>
          <w:rFonts w:ascii="Times New Roman" w:hAnsi="Times New Roman" w:cs="Times New Roman"/>
          <w:noProof/>
          <w:sz w:val="24"/>
        </w:rPr>
        <w:t xml:space="preserve"> </w:t>
      </w:r>
      <w:r w:rsidR="009B59F0">
        <w:rPr>
          <w:rFonts w:ascii="Times New Roman" w:hAnsi="Times New Roman" w:cs="Times New Roman"/>
          <w:noProof/>
          <w:sz w:val="24"/>
        </w:rPr>
        <w:t xml:space="preserve">has examined, </w:t>
      </w:r>
      <w:r w:rsidRPr="00DE27C1">
        <w:rPr>
          <w:rFonts w:ascii="Times New Roman" w:hAnsi="Times New Roman" w:cs="Times New Roman"/>
          <w:noProof/>
          <w:sz w:val="24"/>
        </w:rPr>
        <w:t>discussed</w:t>
      </w:r>
      <w:r w:rsidR="00AC2379">
        <w:rPr>
          <w:rFonts w:ascii="Times New Roman" w:hAnsi="Times New Roman" w:cs="Times New Roman"/>
          <w:noProof/>
          <w:sz w:val="24"/>
        </w:rPr>
        <w:t>,</w:t>
      </w:r>
      <w:r w:rsidRPr="00DE27C1">
        <w:rPr>
          <w:rFonts w:ascii="Times New Roman" w:hAnsi="Times New Roman" w:cs="Times New Roman"/>
          <w:noProof/>
          <w:sz w:val="24"/>
        </w:rPr>
        <w:t xml:space="preserve"> and </w:t>
      </w:r>
      <w:r w:rsidR="00D561BC">
        <w:rPr>
          <w:rFonts w:ascii="Times New Roman" w:hAnsi="Times New Roman" w:cs="Times New Roman"/>
          <w:noProof/>
          <w:sz w:val="24"/>
        </w:rPr>
        <w:t>approved</w:t>
      </w:r>
      <w:r w:rsidR="00D561BC" w:rsidRPr="00DE27C1">
        <w:rPr>
          <w:rFonts w:ascii="Times New Roman" w:hAnsi="Times New Roman" w:cs="Times New Roman"/>
          <w:noProof/>
          <w:sz w:val="24"/>
        </w:rPr>
        <w:t xml:space="preserve"> </w:t>
      </w:r>
      <w:r w:rsidRPr="00DE27C1">
        <w:rPr>
          <w:rFonts w:ascii="Times New Roman" w:hAnsi="Times New Roman" w:cs="Times New Roman"/>
          <w:noProof/>
          <w:sz w:val="24"/>
        </w:rPr>
        <w:t xml:space="preserve">the methodological documents drawn up by Eurostat. </w:t>
      </w:r>
    </w:p>
    <w:p w14:paraId="5E9AA421" w14:textId="44D1D73B" w:rsidR="0012373F" w:rsidRPr="0013386C" w:rsidRDefault="00D561BC" w:rsidP="00170470">
      <w:pPr>
        <w:spacing w:after="120" w:line="240" w:lineRule="auto"/>
        <w:jc w:val="both"/>
        <w:rPr>
          <w:rFonts w:cs="Times New Roman"/>
          <w:noProof/>
        </w:rPr>
      </w:pPr>
      <w:r w:rsidRPr="00D561BC">
        <w:rPr>
          <w:rFonts w:ascii="Times New Roman" w:hAnsi="Times New Roman" w:cs="Times New Roman"/>
          <w:noProof/>
          <w:sz w:val="24"/>
        </w:rPr>
        <w:t xml:space="preserve">The annual meetings of the Article 83 Working Group are </w:t>
      </w:r>
      <w:r>
        <w:rPr>
          <w:rFonts w:ascii="Times New Roman" w:hAnsi="Times New Roman" w:cs="Times New Roman"/>
          <w:noProof/>
          <w:sz w:val="24"/>
        </w:rPr>
        <w:t xml:space="preserve">also </w:t>
      </w:r>
      <w:r w:rsidRPr="00D561BC">
        <w:rPr>
          <w:rFonts w:ascii="Times New Roman" w:hAnsi="Times New Roman" w:cs="Times New Roman"/>
          <w:noProof/>
          <w:sz w:val="24"/>
        </w:rPr>
        <w:t xml:space="preserve">attended by the observers representing </w:t>
      </w:r>
      <w:r w:rsidR="0012373F" w:rsidRPr="00DE27C1">
        <w:rPr>
          <w:rFonts w:ascii="Times New Roman" w:hAnsi="Times New Roman" w:cs="Times New Roman"/>
          <w:noProof/>
          <w:sz w:val="24"/>
        </w:rPr>
        <w:t>international organisations such as the ISRP (International Service for Remunerations and Pensions of the Coordinated Organisations, including the OECD, NATO, ESA, the Council of Europe), the European Central Bank, the European Investment Bank, the European Investment Fund, the European Patent Office and Eurocontrol.</w:t>
      </w:r>
      <w:r w:rsidR="009B59F0">
        <w:rPr>
          <w:rFonts w:ascii="Times New Roman" w:hAnsi="Times New Roman" w:cs="Times New Roman"/>
          <w:noProof/>
          <w:sz w:val="24"/>
        </w:rPr>
        <w:t xml:space="preserve"> </w:t>
      </w:r>
      <w:r w:rsidRPr="00DE27C1">
        <w:rPr>
          <w:rFonts w:ascii="Times New Roman" w:hAnsi="Times New Roman" w:cs="Times New Roman"/>
          <w:noProof/>
          <w:sz w:val="24"/>
        </w:rPr>
        <w:t>Eurostat exchanges relevant information on actuarial issues with</w:t>
      </w:r>
      <w:r>
        <w:rPr>
          <w:rFonts w:ascii="Times New Roman" w:hAnsi="Times New Roman" w:cs="Times New Roman"/>
          <w:noProof/>
          <w:sz w:val="24"/>
        </w:rPr>
        <w:t xml:space="preserve"> these organisations.</w:t>
      </w:r>
    </w:p>
    <w:p w14:paraId="6D9779AD" w14:textId="77777777" w:rsidR="0012373F" w:rsidRPr="0013386C" w:rsidRDefault="0012373F" w:rsidP="00170470">
      <w:pPr>
        <w:pStyle w:val="Heading2"/>
        <w:numPr>
          <w:ilvl w:val="2"/>
          <w:numId w:val="1"/>
        </w:numPr>
        <w:spacing w:after="120" w:line="240" w:lineRule="auto"/>
        <w:rPr>
          <w:noProof/>
        </w:rPr>
      </w:pPr>
      <w:r w:rsidRPr="0013386C">
        <w:rPr>
          <w:noProof/>
        </w:rPr>
        <w:t>Assessments by the qualified independent expert</w:t>
      </w:r>
    </w:p>
    <w:p w14:paraId="6723CD11" w14:textId="147961A6" w:rsidR="0012373F" w:rsidRPr="004D1A6F" w:rsidRDefault="00FF5520"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In accordance with Article 13, paragraph 2</w:t>
      </w:r>
      <w:r w:rsidR="0012373F" w:rsidRPr="00DE27C1">
        <w:rPr>
          <w:rFonts w:ascii="Times New Roman" w:hAnsi="Times New Roman" w:cs="Times New Roman"/>
          <w:noProof/>
          <w:sz w:val="24"/>
        </w:rPr>
        <w:t xml:space="preserve"> of Annex XII to the Staff Regulations, Eurostat is assisted </w:t>
      </w:r>
      <w:r w:rsidR="0012373F" w:rsidRPr="004D1A6F">
        <w:rPr>
          <w:rFonts w:ascii="Times New Roman" w:hAnsi="Times New Roman" w:cs="Times New Roman"/>
          <w:noProof/>
          <w:sz w:val="24"/>
        </w:rPr>
        <w:t xml:space="preserve">by </w:t>
      </w:r>
      <w:r w:rsidR="00D561BC">
        <w:rPr>
          <w:rFonts w:ascii="Times New Roman" w:hAnsi="Times New Roman" w:cs="Times New Roman"/>
          <w:noProof/>
          <w:sz w:val="24"/>
        </w:rPr>
        <w:t xml:space="preserve">one or more </w:t>
      </w:r>
      <w:r w:rsidR="0012373F" w:rsidRPr="004D1A6F">
        <w:rPr>
          <w:rFonts w:ascii="Times New Roman" w:hAnsi="Times New Roman" w:cs="Times New Roman"/>
          <w:noProof/>
          <w:sz w:val="24"/>
        </w:rPr>
        <w:t xml:space="preserve">qualified independent expert with regard to the methodological implementation </w:t>
      </w:r>
      <w:r w:rsidR="00E209BF">
        <w:rPr>
          <w:rFonts w:ascii="Times New Roman" w:hAnsi="Times New Roman" w:cs="Times New Roman"/>
          <w:noProof/>
          <w:sz w:val="24"/>
        </w:rPr>
        <w:t xml:space="preserve">of </w:t>
      </w:r>
      <w:r w:rsidR="00D561BC">
        <w:rPr>
          <w:rFonts w:ascii="Times New Roman" w:hAnsi="Times New Roman" w:cs="Times New Roman"/>
          <w:noProof/>
          <w:sz w:val="24"/>
        </w:rPr>
        <w:t xml:space="preserve">that </w:t>
      </w:r>
      <w:r w:rsidR="00E209BF">
        <w:rPr>
          <w:rFonts w:ascii="Times New Roman" w:hAnsi="Times New Roman" w:cs="Times New Roman"/>
          <w:noProof/>
          <w:sz w:val="24"/>
        </w:rPr>
        <w:t xml:space="preserve">Annex </w:t>
      </w:r>
      <w:r w:rsidR="0012373F" w:rsidRPr="004D1A6F">
        <w:rPr>
          <w:rFonts w:ascii="Times New Roman" w:hAnsi="Times New Roman" w:cs="Times New Roman"/>
          <w:noProof/>
          <w:sz w:val="24"/>
        </w:rPr>
        <w:t xml:space="preserve">and to the </w:t>
      </w:r>
      <w:r w:rsidR="00E209BF">
        <w:rPr>
          <w:rFonts w:ascii="Times New Roman" w:hAnsi="Times New Roman" w:cs="Times New Roman"/>
          <w:noProof/>
          <w:sz w:val="24"/>
        </w:rPr>
        <w:t>modelling</w:t>
      </w:r>
      <w:r w:rsidR="00E209BF" w:rsidRPr="004D1A6F">
        <w:rPr>
          <w:rFonts w:ascii="Times New Roman" w:hAnsi="Times New Roman" w:cs="Times New Roman"/>
          <w:noProof/>
          <w:sz w:val="24"/>
        </w:rPr>
        <w:t xml:space="preserve"> </w:t>
      </w:r>
      <w:r w:rsidR="0012373F" w:rsidRPr="004D1A6F">
        <w:rPr>
          <w:rFonts w:ascii="Times New Roman" w:hAnsi="Times New Roman" w:cs="Times New Roman"/>
          <w:noProof/>
          <w:sz w:val="24"/>
        </w:rPr>
        <w:t xml:space="preserve">and calculation of </w:t>
      </w:r>
      <w:r w:rsidR="00E209BF">
        <w:rPr>
          <w:rFonts w:ascii="Times New Roman" w:hAnsi="Times New Roman" w:cs="Times New Roman"/>
          <w:noProof/>
          <w:sz w:val="24"/>
        </w:rPr>
        <w:t>any involved</w:t>
      </w:r>
      <w:r w:rsidR="0012373F" w:rsidRPr="004D1A6F">
        <w:rPr>
          <w:rFonts w:ascii="Times New Roman" w:hAnsi="Times New Roman" w:cs="Times New Roman"/>
          <w:noProof/>
          <w:sz w:val="24"/>
        </w:rPr>
        <w:t xml:space="preserve"> actuarial assumptions.</w:t>
      </w:r>
    </w:p>
    <w:p w14:paraId="637F02AE" w14:textId="6E7D2F14" w:rsidR="0012373F" w:rsidRPr="004D1A6F" w:rsidRDefault="0012373F" w:rsidP="0012373F">
      <w:pPr>
        <w:jc w:val="both"/>
        <w:rPr>
          <w:rFonts w:ascii="Times New Roman" w:hAnsi="Times New Roman" w:cs="Times New Roman"/>
          <w:noProof/>
          <w:sz w:val="24"/>
        </w:rPr>
      </w:pPr>
      <w:r w:rsidRPr="004D1A6F">
        <w:rPr>
          <w:rFonts w:ascii="Times New Roman" w:hAnsi="Times New Roman" w:cs="Times New Roman"/>
          <w:noProof/>
          <w:sz w:val="24"/>
        </w:rPr>
        <w:t xml:space="preserve">Following the outcomes of open call for tenders, Eurostat </w:t>
      </w:r>
      <w:r w:rsidR="00E209BF">
        <w:rPr>
          <w:rFonts w:ascii="Times New Roman" w:hAnsi="Times New Roman" w:cs="Times New Roman"/>
          <w:noProof/>
          <w:sz w:val="24"/>
        </w:rPr>
        <w:t>h</w:t>
      </w:r>
      <w:r w:rsidR="00E209BF" w:rsidRPr="004D1A6F">
        <w:rPr>
          <w:rFonts w:ascii="Times New Roman" w:hAnsi="Times New Roman" w:cs="Times New Roman"/>
          <w:noProof/>
          <w:sz w:val="24"/>
        </w:rPr>
        <w:t xml:space="preserve">as </w:t>
      </w:r>
      <w:r w:rsidR="00E209BF">
        <w:rPr>
          <w:rFonts w:ascii="Times New Roman" w:hAnsi="Times New Roman" w:cs="Times New Roman"/>
          <w:noProof/>
          <w:sz w:val="24"/>
        </w:rPr>
        <w:t xml:space="preserve">been </w:t>
      </w:r>
      <w:r w:rsidRPr="004D1A6F">
        <w:rPr>
          <w:rFonts w:ascii="Times New Roman" w:hAnsi="Times New Roman" w:cs="Times New Roman"/>
          <w:noProof/>
          <w:sz w:val="24"/>
        </w:rPr>
        <w:t>assisted by:</w:t>
      </w:r>
    </w:p>
    <w:p w14:paraId="1A96B092" w14:textId="77777777" w:rsidR="0012373F" w:rsidRPr="004D1A6F" w:rsidRDefault="0012373F" w:rsidP="0012373F">
      <w:pPr>
        <w:pStyle w:val="ListParagraph"/>
        <w:numPr>
          <w:ilvl w:val="0"/>
          <w:numId w:val="35"/>
        </w:numPr>
        <w:jc w:val="both"/>
        <w:rPr>
          <w:rFonts w:ascii="Times New Roman" w:hAnsi="Times New Roman" w:cs="Times New Roman"/>
          <w:noProof/>
          <w:sz w:val="24"/>
        </w:rPr>
      </w:pPr>
      <w:r w:rsidRPr="004D1A6F">
        <w:rPr>
          <w:rFonts w:ascii="Times New Roman" w:hAnsi="Times New Roman" w:cs="Times New Roman"/>
          <w:noProof/>
          <w:sz w:val="24"/>
        </w:rPr>
        <w:t>EY Actuaires Conseils for the PSEO assessments 2014 to 2016;</w:t>
      </w:r>
    </w:p>
    <w:p w14:paraId="22007EF9" w14:textId="77777777" w:rsidR="0012373F" w:rsidRPr="004D1A6F" w:rsidRDefault="0012373F" w:rsidP="0012373F">
      <w:pPr>
        <w:pStyle w:val="ListParagraph"/>
        <w:numPr>
          <w:ilvl w:val="0"/>
          <w:numId w:val="35"/>
        </w:numPr>
        <w:jc w:val="both"/>
        <w:rPr>
          <w:rFonts w:ascii="Times New Roman" w:hAnsi="Times New Roman" w:cs="Times New Roman"/>
          <w:noProof/>
          <w:sz w:val="24"/>
        </w:rPr>
      </w:pPr>
      <w:r w:rsidRPr="004D1A6F">
        <w:rPr>
          <w:rFonts w:ascii="Times New Roman" w:hAnsi="Times New Roman" w:cs="Times New Roman"/>
          <w:noProof/>
          <w:sz w:val="24"/>
        </w:rPr>
        <w:t>The Consortium of Agilis S.A. and Prudential Ltd. for the PSEO assessments from 2017 to 2022.</w:t>
      </w:r>
    </w:p>
    <w:p w14:paraId="0813D733" w14:textId="77777777" w:rsidR="0012373F" w:rsidRPr="00DE27C1" w:rsidRDefault="004D1A6F" w:rsidP="0012373F">
      <w:pPr>
        <w:jc w:val="both"/>
        <w:rPr>
          <w:rFonts w:ascii="Times New Roman" w:hAnsi="Times New Roman" w:cs="Times New Roman"/>
          <w:noProof/>
          <w:sz w:val="24"/>
        </w:rPr>
      </w:pPr>
      <w:r>
        <w:rPr>
          <w:rFonts w:ascii="Times New Roman" w:hAnsi="Times New Roman" w:cs="Times New Roman"/>
          <w:noProof/>
          <w:sz w:val="24"/>
        </w:rPr>
        <w:t>During the reference period, b</w:t>
      </w:r>
      <w:r w:rsidRPr="004D1A6F">
        <w:rPr>
          <w:rFonts w:ascii="Times New Roman" w:hAnsi="Times New Roman" w:cs="Times New Roman"/>
          <w:noProof/>
          <w:sz w:val="24"/>
        </w:rPr>
        <w:t xml:space="preserve">oth </w:t>
      </w:r>
      <w:r w:rsidR="0012373F" w:rsidRPr="004D1A6F">
        <w:rPr>
          <w:rFonts w:ascii="Times New Roman" w:hAnsi="Times New Roman" w:cs="Times New Roman"/>
          <w:noProof/>
          <w:sz w:val="24"/>
        </w:rPr>
        <w:t>actuaries reviewed</w:t>
      </w:r>
      <w:r w:rsidR="0012373F" w:rsidRPr="00DE27C1">
        <w:rPr>
          <w:rFonts w:ascii="Times New Roman" w:hAnsi="Times New Roman" w:cs="Times New Roman"/>
          <w:noProof/>
          <w:sz w:val="24"/>
        </w:rPr>
        <w:t xml:space="preserve"> and validated the methodology, calculations and reports related to the PSEO assessment. In particular, the input for calculations, such as the PSEO population and actuarial assumptions, were agreed with those external experts.</w:t>
      </w:r>
    </w:p>
    <w:p w14:paraId="7C33709A" w14:textId="22E76902" w:rsidR="005A10F3" w:rsidRPr="00B845CF" w:rsidRDefault="00250187" w:rsidP="00B845CF">
      <w:pPr>
        <w:pStyle w:val="Text2"/>
        <w:ind w:left="0"/>
        <w:rPr>
          <w:noProof/>
        </w:rPr>
      </w:pPr>
      <w:r>
        <w:rPr>
          <w:noProof/>
        </w:rPr>
        <w:t xml:space="preserve">Eurostat has implemented in its final assessment reports the </w:t>
      </w:r>
      <w:r w:rsidR="0012373F" w:rsidRPr="00DE27C1">
        <w:rPr>
          <w:noProof/>
        </w:rPr>
        <w:t>recommendation</w:t>
      </w:r>
      <w:r w:rsidR="002014F8">
        <w:rPr>
          <w:noProof/>
        </w:rPr>
        <w:t>s</w:t>
      </w:r>
      <w:r>
        <w:rPr>
          <w:noProof/>
        </w:rPr>
        <w:t xml:space="preserve"> made by actuaries</w:t>
      </w:r>
      <w:r w:rsidR="0012373F">
        <w:rPr>
          <w:rStyle w:val="FootnoteReference"/>
          <w:noProof/>
        </w:rPr>
        <w:footnoteReference w:id="9"/>
      </w:r>
      <w:r w:rsidR="0012373F" w:rsidRPr="00DE27C1">
        <w:rPr>
          <w:noProof/>
        </w:rPr>
        <w:t>.</w:t>
      </w:r>
    </w:p>
    <w:p w14:paraId="5C73C32C" w14:textId="77777777" w:rsidR="00421F9B" w:rsidRPr="0013386C" w:rsidRDefault="0012373F" w:rsidP="00170470">
      <w:pPr>
        <w:pStyle w:val="Heading2"/>
        <w:numPr>
          <w:ilvl w:val="1"/>
          <w:numId w:val="1"/>
        </w:numPr>
        <w:spacing w:after="120" w:line="240" w:lineRule="auto"/>
        <w:rPr>
          <w:noProof/>
        </w:rPr>
      </w:pPr>
      <w:r w:rsidRPr="0013386C">
        <w:rPr>
          <w:noProof/>
        </w:rPr>
        <w:t>Parameters and actuarial assumptions</w:t>
      </w:r>
    </w:p>
    <w:p w14:paraId="6013594E" w14:textId="75658503" w:rsidR="0012373F" w:rsidRPr="0013386C" w:rsidRDefault="0012373F" w:rsidP="00170470">
      <w:pPr>
        <w:spacing w:after="120" w:line="240" w:lineRule="auto"/>
        <w:jc w:val="both"/>
        <w:rPr>
          <w:rFonts w:ascii="Times New Roman" w:hAnsi="Times New Roman" w:cs="Times New Roman"/>
          <w:i/>
          <w:noProof/>
          <w:sz w:val="24"/>
        </w:rPr>
      </w:pPr>
      <w:r w:rsidRPr="0013386C">
        <w:rPr>
          <w:rFonts w:ascii="Times New Roman" w:hAnsi="Times New Roman" w:cs="Times New Roman"/>
          <w:noProof/>
          <w:sz w:val="24"/>
        </w:rPr>
        <w:t>The rules for the assessment of the actuarial balance of the PSEO are laid down in Annex XII to the S</w:t>
      </w:r>
      <w:r w:rsidR="00000D24">
        <w:rPr>
          <w:rFonts w:ascii="Times New Roman" w:hAnsi="Times New Roman" w:cs="Times New Roman"/>
          <w:noProof/>
          <w:sz w:val="24"/>
        </w:rPr>
        <w:t xml:space="preserve">taff </w:t>
      </w:r>
      <w:r w:rsidRPr="0013386C">
        <w:rPr>
          <w:rFonts w:ascii="Times New Roman" w:hAnsi="Times New Roman" w:cs="Times New Roman"/>
          <w:noProof/>
          <w:sz w:val="24"/>
        </w:rPr>
        <w:t>R</w:t>
      </w:r>
      <w:r w:rsidR="00000D24">
        <w:rPr>
          <w:rFonts w:ascii="Times New Roman" w:hAnsi="Times New Roman" w:cs="Times New Roman"/>
          <w:noProof/>
          <w:sz w:val="24"/>
        </w:rPr>
        <w:t>egulations</w:t>
      </w:r>
      <w:r w:rsidRPr="0013386C">
        <w:rPr>
          <w:rFonts w:ascii="Times New Roman" w:hAnsi="Times New Roman" w:cs="Times New Roman"/>
          <w:noProof/>
          <w:sz w:val="24"/>
        </w:rPr>
        <w:t xml:space="preserve">. </w:t>
      </w:r>
      <w:r w:rsidR="00A80E98">
        <w:rPr>
          <w:rFonts w:ascii="Times New Roman" w:hAnsi="Times New Roman" w:cs="Times New Roman"/>
          <w:noProof/>
          <w:sz w:val="24"/>
        </w:rPr>
        <w:t xml:space="preserve">It </w:t>
      </w:r>
      <w:r w:rsidRPr="0013386C">
        <w:rPr>
          <w:rFonts w:ascii="Times New Roman" w:hAnsi="Times New Roman" w:cs="Times New Roman"/>
          <w:noProof/>
          <w:sz w:val="24"/>
        </w:rPr>
        <w:t>sets out a system based on underlying parameters and assumptions, which ensure the actuarial balance of the PSEO.</w:t>
      </w:r>
    </w:p>
    <w:p w14:paraId="6155FBDF" w14:textId="77777777" w:rsidR="0012373F" w:rsidRPr="00D37538" w:rsidRDefault="0012373F" w:rsidP="00170470">
      <w:pPr>
        <w:pStyle w:val="Heading2"/>
        <w:numPr>
          <w:ilvl w:val="2"/>
          <w:numId w:val="1"/>
        </w:numPr>
        <w:spacing w:after="120" w:line="240" w:lineRule="auto"/>
        <w:rPr>
          <w:noProof/>
        </w:rPr>
      </w:pPr>
      <w:r w:rsidRPr="0013386C">
        <w:rPr>
          <w:noProof/>
        </w:rPr>
        <w:t>Statutory parameters</w:t>
      </w:r>
    </w:p>
    <w:p w14:paraId="3AAC817D" w14:textId="77777777" w:rsidR="0012373F" w:rsidRPr="0079177D" w:rsidRDefault="0012373F" w:rsidP="00170470">
      <w:pPr>
        <w:spacing w:after="120" w:line="240" w:lineRule="auto"/>
        <w:jc w:val="both"/>
        <w:rPr>
          <w:noProof/>
        </w:rPr>
      </w:pPr>
      <w:r w:rsidRPr="0013386C">
        <w:rPr>
          <w:rFonts w:ascii="Times New Roman" w:hAnsi="Times New Roman" w:cs="Times New Roman"/>
          <w:noProof/>
          <w:sz w:val="24"/>
        </w:rPr>
        <w:t>These are values mainly linked to the application of the Staff Regulations, including the rules on calculating pension benefits. Some of these parameters change according to certain conditions related to the individual situation of each official</w:t>
      </w:r>
      <w:r>
        <w:rPr>
          <w:rFonts w:ascii="Times New Roman" w:hAnsi="Times New Roman" w:cs="Times New Roman"/>
          <w:noProof/>
          <w:sz w:val="24"/>
        </w:rPr>
        <w:t xml:space="preserve">. </w:t>
      </w:r>
      <w:r w:rsidR="00A80E98">
        <w:rPr>
          <w:rFonts w:ascii="Times New Roman" w:hAnsi="Times New Roman" w:cs="Times New Roman"/>
          <w:noProof/>
          <w:sz w:val="24"/>
        </w:rPr>
        <w:t>Annex 1</w:t>
      </w:r>
      <w:r w:rsidRPr="0013386C">
        <w:rPr>
          <w:rFonts w:ascii="Times New Roman" w:hAnsi="Times New Roman" w:cs="Times New Roman"/>
          <w:noProof/>
          <w:sz w:val="24"/>
        </w:rPr>
        <w:t xml:space="preserve"> provides the list of the main statutory parameters used for the last pension assessment in 2022.</w:t>
      </w:r>
    </w:p>
    <w:p w14:paraId="06F06C55" w14:textId="77777777" w:rsidR="008C77CF" w:rsidRDefault="0012373F" w:rsidP="00170470">
      <w:pPr>
        <w:pStyle w:val="Heading2"/>
        <w:numPr>
          <w:ilvl w:val="2"/>
          <w:numId w:val="1"/>
        </w:numPr>
        <w:spacing w:after="120" w:line="240" w:lineRule="auto"/>
        <w:rPr>
          <w:noProof/>
        </w:rPr>
      </w:pPr>
      <w:r w:rsidRPr="0013386C">
        <w:rPr>
          <w:noProof/>
        </w:rPr>
        <w:t>Actuarial assumptions</w:t>
      </w:r>
    </w:p>
    <w:p w14:paraId="5078BD23" w14:textId="21DD9C10" w:rsidR="0012373F" w:rsidRPr="0013386C" w:rsidRDefault="0012373F" w:rsidP="00170470">
      <w:pPr>
        <w:spacing w:after="120" w:line="240" w:lineRule="auto"/>
        <w:jc w:val="both"/>
        <w:rPr>
          <w:rFonts w:cs="Times New Roman"/>
          <w:b/>
          <w:noProof/>
        </w:rPr>
      </w:pPr>
      <w:r w:rsidRPr="0013386C">
        <w:rPr>
          <w:rFonts w:ascii="Times New Roman" w:hAnsi="Times New Roman" w:cs="Times New Roman"/>
          <w:noProof/>
          <w:sz w:val="24"/>
        </w:rPr>
        <w:t xml:space="preserve">Actuarial assumptions are split in demographic and financial </w:t>
      </w:r>
      <w:r w:rsidR="007A69AA">
        <w:rPr>
          <w:rFonts w:ascii="Times New Roman" w:hAnsi="Times New Roman" w:cs="Times New Roman"/>
          <w:noProof/>
          <w:sz w:val="24"/>
        </w:rPr>
        <w:t xml:space="preserve">/ </w:t>
      </w:r>
      <w:r w:rsidRPr="0013386C">
        <w:rPr>
          <w:rFonts w:ascii="Times New Roman" w:hAnsi="Times New Roman" w:cs="Times New Roman"/>
          <w:noProof/>
          <w:sz w:val="24"/>
        </w:rPr>
        <w:t xml:space="preserve">economic assumptions. </w:t>
      </w:r>
      <w:r w:rsidR="00250187">
        <w:rPr>
          <w:rFonts w:ascii="Times New Roman" w:hAnsi="Times New Roman" w:cs="Times New Roman"/>
          <w:noProof/>
          <w:sz w:val="24"/>
        </w:rPr>
        <w:t>A</w:t>
      </w:r>
      <w:r w:rsidR="00E209BF">
        <w:rPr>
          <w:rFonts w:ascii="Times New Roman" w:hAnsi="Times New Roman" w:cs="Times New Roman"/>
          <w:noProof/>
          <w:sz w:val="24"/>
        </w:rPr>
        <w:t>ctuarial assumption</w:t>
      </w:r>
      <w:r w:rsidR="00E2703A">
        <w:rPr>
          <w:rFonts w:ascii="Times New Roman" w:hAnsi="Times New Roman" w:cs="Times New Roman"/>
          <w:noProof/>
          <w:sz w:val="24"/>
        </w:rPr>
        <w:t>s</w:t>
      </w:r>
      <w:r w:rsidR="00E209BF">
        <w:rPr>
          <w:rFonts w:ascii="Times New Roman" w:hAnsi="Times New Roman" w:cs="Times New Roman"/>
          <w:noProof/>
          <w:sz w:val="24"/>
        </w:rPr>
        <w:t xml:space="preserve"> need to be modelled and estimated </w:t>
      </w:r>
      <w:r w:rsidRPr="0013386C">
        <w:rPr>
          <w:rFonts w:ascii="Times New Roman" w:hAnsi="Times New Roman" w:cs="Times New Roman"/>
          <w:noProof/>
          <w:sz w:val="24"/>
        </w:rPr>
        <w:t xml:space="preserve">in accordance with the </w:t>
      </w:r>
      <w:r w:rsidR="00E209BF">
        <w:rPr>
          <w:rFonts w:ascii="Times New Roman" w:hAnsi="Times New Roman" w:cs="Times New Roman"/>
          <w:noProof/>
          <w:sz w:val="24"/>
        </w:rPr>
        <w:t xml:space="preserve">relevant </w:t>
      </w:r>
      <w:r w:rsidRPr="0013386C">
        <w:rPr>
          <w:rFonts w:ascii="Times New Roman" w:hAnsi="Times New Roman" w:cs="Times New Roman"/>
          <w:noProof/>
          <w:sz w:val="24"/>
        </w:rPr>
        <w:t xml:space="preserve">provisions of the Staff Regulations and actuarial </w:t>
      </w:r>
      <w:r w:rsidR="00E209BF">
        <w:rPr>
          <w:rFonts w:ascii="Times New Roman" w:hAnsi="Times New Roman" w:cs="Times New Roman"/>
          <w:noProof/>
          <w:sz w:val="24"/>
        </w:rPr>
        <w:t xml:space="preserve">best </w:t>
      </w:r>
      <w:r w:rsidRPr="0013386C">
        <w:rPr>
          <w:rFonts w:ascii="Times New Roman" w:hAnsi="Times New Roman" w:cs="Times New Roman"/>
          <w:noProof/>
          <w:sz w:val="24"/>
        </w:rPr>
        <w:t>practices.</w:t>
      </w:r>
    </w:p>
    <w:p w14:paraId="42FCD3C3" w14:textId="6FD2913E" w:rsidR="0012373F" w:rsidRPr="0013386C" w:rsidRDefault="0012373F" w:rsidP="0012373F">
      <w:pPr>
        <w:jc w:val="both"/>
        <w:rPr>
          <w:rFonts w:cs="Times New Roman"/>
          <w:b/>
          <w:noProof/>
        </w:rPr>
      </w:pPr>
      <w:r w:rsidRPr="0013386C">
        <w:rPr>
          <w:rFonts w:ascii="Times New Roman" w:hAnsi="Times New Roman" w:cs="Times New Roman"/>
          <w:noProof/>
          <w:sz w:val="24"/>
        </w:rPr>
        <w:t xml:space="preserve">The values of </w:t>
      </w:r>
      <w:r w:rsidR="00E2703A">
        <w:rPr>
          <w:rFonts w:ascii="Times New Roman" w:hAnsi="Times New Roman" w:cs="Times New Roman"/>
          <w:noProof/>
          <w:sz w:val="24"/>
        </w:rPr>
        <w:t xml:space="preserve">the </w:t>
      </w:r>
      <w:r w:rsidRPr="0013386C">
        <w:rPr>
          <w:rFonts w:ascii="Times New Roman" w:hAnsi="Times New Roman" w:cs="Times New Roman"/>
          <w:noProof/>
          <w:sz w:val="24"/>
        </w:rPr>
        <w:t xml:space="preserve">actuarial assumptions </w:t>
      </w:r>
      <w:r w:rsidR="00E2703A">
        <w:rPr>
          <w:rFonts w:ascii="Times New Roman" w:hAnsi="Times New Roman" w:cs="Times New Roman"/>
          <w:noProof/>
          <w:sz w:val="24"/>
        </w:rPr>
        <w:t>involved are</w:t>
      </w:r>
      <w:r w:rsidR="00E209BF" w:rsidRPr="0013386C">
        <w:rPr>
          <w:rFonts w:ascii="Times New Roman" w:hAnsi="Times New Roman" w:cs="Times New Roman"/>
          <w:noProof/>
          <w:sz w:val="24"/>
        </w:rPr>
        <w:t xml:space="preserve"> </w:t>
      </w:r>
      <w:r w:rsidRPr="0013386C">
        <w:rPr>
          <w:rFonts w:ascii="Times New Roman" w:hAnsi="Times New Roman" w:cs="Times New Roman"/>
          <w:noProof/>
          <w:sz w:val="24"/>
        </w:rPr>
        <w:t>agreed</w:t>
      </w:r>
      <w:r w:rsidR="00E209BF">
        <w:rPr>
          <w:rFonts w:ascii="Times New Roman" w:hAnsi="Times New Roman" w:cs="Times New Roman"/>
          <w:noProof/>
          <w:sz w:val="24"/>
        </w:rPr>
        <w:t xml:space="preserve"> by</w:t>
      </w:r>
      <w:r w:rsidR="00E2703A">
        <w:rPr>
          <w:rFonts w:ascii="Times New Roman" w:hAnsi="Times New Roman" w:cs="Times New Roman"/>
          <w:noProof/>
          <w:sz w:val="24"/>
        </w:rPr>
        <w:t xml:space="preserve"> </w:t>
      </w:r>
      <w:r w:rsidRPr="0013386C">
        <w:rPr>
          <w:rFonts w:ascii="Times New Roman" w:hAnsi="Times New Roman" w:cs="Times New Roman"/>
          <w:noProof/>
          <w:sz w:val="24"/>
        </w:rPr>
        <w:t xml:space="preserve">national experts from the relevant departments of the Member States at the </w:t>
      </w:r>
      <w:r w:rsidR="00E209BF">
        <w:rPr>
          <w:rFonts w:ascii="Times New Roman" w:hAnsi="Times New Roman" w:cs="Times New Roman"/>
          <w:noProof/>
          <w:sz w:val="24"/>
        </w:rPr>
        <w:t xml:space="preserve">yearly </w:t>
      </w:r>
      <w:r w:rsidRPr="0013386C">
        <w:rPr>
          <w:rFonts w:ascii="Times New Roman" w:hAnsi="Times New Roman" w:cs="Times New Roman"/>
          <w:noProof/>
          <w:sz w:val="24"/>
        </w:rPr>
        <w:t>meetings of the Article 83 Working Group.</w:t>
      </w:r>
    </w:p>
    <w:p w14:paraId="7854B6D4" w14:textId="3C5BDF63" w:rsidR="0012373F" w:rsidRPr="0013386C" w:rsidRDefault="0012373F" w:rsidP="0012373F">
      <w:pPr>
        <w:jc w:val="both"/>
        <w:rPr>
          <w:rFonts w:cs="Times New Roman"/>
          <w:b/>
          <w:noProof/>
        </w:rPr>
      </w:pPr>
      <w:r w:rsidRPr="0013386C">
        <w:rPr>
          <w:rFonts w:ascii="Times New Roman" w:hAnsi="Times New Roman" w:cs="Times New Roman"/>
          <w:noProof/>
          <w:sz w:val="24"/>
        </w:rPr>
        <w:t>In accordance with the provisions of Annex XII to the Staff Regulations and decisions taken by the Working Group, some of these assumptions (e.g. the mortality table) are updated on the occasion of the five-yearly assessment of the scheme while others are updated every year. The latest five-yearly assessment took place in 2018.</w:t>
      </w:r>
    </w:p>
    <w:p w14:paraId="64F6DECC" w14:textId="77777777" w:rsidR="0012373F" w:rsidRPr="00421F9B" w:rsidRDefault="0012373F" w:rsidP="00170470">
      <w:pPr>
        <w:pStyle w:val="ListParagraph"/>
        <w:numPr>
          <w:ilvl w:val="3"/>
          <w:numId w:val="1"/>
        </w:numPr>
        <w:spacing w:after="120" w:line="240" w:lineRule="auto"/>
        <w:rPr>
          <w:rFonts w:ascii="Times New Roman" w:eastAsiaTheme="majorEastAsia" w:hAnsi="Times New Roman" w:cstheme="majorBidi"/>
          <w:b/>
          <w:noProof/>
          <w:color w:val="000000" w:themeColor="text1"/>
          <w:sz w:val="24"/>
          <w:szCs w:val="26"/>
        </w:rPr>
      </w:pPr>
      <w:r w:rsidRPr="00421F9B">
        <w:rPr>
          <w:rFonts w:ascii="Times New Roman" w:eastAsiaTheme="majorEastAsia" w:hAnsi="Times New Roman" w:cstheme="majorBidi"/>
          <w:b/>
          <w:noProof/>
          <w:color w:val="000000" w:themeColor="text1"/>
          <w:sz w:val="24"/>
          <w:szCs w:val="26"/>
        </w:rPr>
        <w:t>Demographic assumptions</w:t>
      </w:r>
    </w:p>
    <w:p w14:paraId="6DCE14A5" w14:textId="37A08E17" w:rsidR="0012373F" w:rsidRPr="0013386C" w:rsidRDefault="0012373F" w:rsidP="00170470">
      <w:pPr>
        <w:spacing w:after="120" w:line="240" w:lineRule="auto"/>
        <w:jc w:val="both"/>
        <w:rPr>
          <w:rFonts w:cs="Times New Roman"/>
          <w:b/>
          <w:noProof/>
        </w:rPr>
      </w:pPr>
      <w:r w:rsidRPr="0013386C">
        <w:rPr>
          <w:rFonts w:ascii="Times New Roman" w:hAnsi="Times New Roman" w:cs="Times New Roman"/>
          <w:noProof/>
          <w:sz w:val="24"/>
        </w:rPr>
        <w:t>The demographic assumptions are an essential element in the calculation of the actuarial balance of the PSEO</w:t>
      </w:r>
      <w:r w:rsidR="00040B7E">
        <w:rPr>
          <w:rFonts w:ascii="Times New Roman" w:hAnsi="Times New Roman" w:cs="Times New Roman"/>
          <w:noProof/>
          <w:sz w:val="24"/>
        </w:rPr>
        <w:t>. W</w:t>
      </w:r>
      <w:r w:rsidR="005F21C2">
        <w:rPr>
          <w:rFonts w:ascii="Times New Roman" w:hAnsi="Times New Roman" w:cs="Times New Roman"/>
          <w:noProof/>
          <w:sz w:val="24"/>
        </w:rPr>
        <w:t xml:space="preserve">ith regard to the future pension benefits, </w:t>
      </w:r>
      <w:r w:rsidRPr="0013386C">
        <w:rPr>
          <w:rFonts w:ascii="Times New Roman" w:hAnsi="Times New Roman" w:cs="Times New Roman"/>
          <w:noProof/>
          <w:sz w:val="24"/>
        </w:rPr>
        <w:t>the</w:t>
      </w:r>
      <w:r w:rsidR="00E2703A">
        <w:rPr>
          <w:rFonts w:ascii="Times New Roman" w:hAnsi="Times New Roman" w:cs="Times New Roman"/>
          <w:noProof/>
          <w:sz w:val="24"/>
        </w:rPr>
        <w:t xml:space="preserve"> </w:t>
      </w:r>
      <w:r w:rsidR="00040B7E">
        <w:rPr>
          <w:rFonts w:ascii="Times New Roman" w:hAnsi="Times New Roman" w:cs="Times New Roman"/>
          <w:noProof/>
          <w:sz w:val="24"/>
        </w:rPr>
        <w:t>actuarial demographic assumptions</w:t>
      </w:r>
      <w:r w:rsidRPr="0013386C">
        <w:rPr>
          <w:rFonts w:ascii="Times New Roman" w:hAnsi="Times New Roman" w:cs="Times New Roman"/>
          <w:noProof/>
          <w:sz w:val="24"/>
        </w:rPr>
        <w:t xml:space="preserve"> are </w:t>
      </w:r>
      <w:r w:rsidR="00DE4C02">
        <w:rPr>
          <w:rFonts w:ascii="Times New Roman" w:hAnsi="Times New Roman" w:cs="Times New Roman"/>
          <w:noProof/>
          <w:sz w:val="24"/>
        </w:rPr>
        <w:t xml:space="preserve">fundamental </w:t>
      </w:r>
      <w:r w:rsidRPr="0013386C">
        <w:rPr>
          <w:rFonts w:ascii="Times New Roman" w:hAnsi="Times New Roman" w:cs="Times New Roman"/>
          <w:noProof/>
          <w:sz w:val="24"/>
        </w:rPr>
        <w:t xml:space="preserve">to </w:t>
      </w:r>
      <w:r w:rsidR="00DE4C02">
        <w:rPr>
          <w:rFonts w:ascii="Times New Roman" w:hAnsi="Times New Roman" w:cs="Times New Roman"/>
          <w:noProof/>
          <w:sz w:val="24"/>
        </w:rPr>
        <w:t>update</w:t>
      </w:r>
      <w:r w:rsidRPr="0013386C">
        <w:rPr>
          <w:rFonts w:ascii="Times New Roman" w:hAnsi="Times New Roman" w:cs="Times New Roman"/>
          <w:noProof/>
          <w:sz w:val="24"/>
        </w:rPr>
        <w:t xml:space="preserve"> the structure of the population, the average age of retirement and the invalidity table, following the provisions of Article 9 of Annex XII </w:t>
      </w:r>
      <w:r w:rsidR="00E2703A">
        <w:rPr>
          <w:rFonts w:ascii="Times New Roman" w:hAnsi="Times New Roman" w:cs="Times New Roman"/>
          <w:noProof/>
          <w:sz w:val="24"/>
        </w:rPr>
        <w:t xml:space="preserve">to the </w:t>
      </w:r>
      <w:r w:rsidRPr="0013386C">
        <w:rPr>
          <w:rFonts w:ascii="Times New Roman" w:hAnsi="Times New Roman" w:cs="Times New Roman"/>
          <w:noProof/>
          <w:sz w:val="24"/>
        </w:rPr>
        <w:t>S</w:t>
      </w:r>
      <w:r w:rsidR="00E2703A">
        <w:rPr>
          <w:rFonts w:ascii="Times New Roman" w:hAnsi="Times New Roman" w:cs="Times New Roman"/>
          <w:noProof/>
          <w:sz w:val="24"/>
        </w:rPr>
        <w:t xml:space="preserve">taff </w:t>
      </w:r>
      <w:r w:rsidRPr="0013386C">
        <w:rPr>
          <w:rFonts w:ascii="Times New Roman" w:hAnsi="Times New Roman" w:cs="Times New Roman"/>
          <w:noProof/>
          <w:sz w:val="24"/>
        </w:rPr>
        <w:t>R</w:t>
      </w:r>
      <w:r w:rsidR="00E2703A">
        <w:rPr>
          <w:rFonts w:ascii="Times New Roman" w:hAnsi="Times New Roman" w:cs="Times New Roman"/>
          <w:noProof/>
          <w:sz w:val="24"/>
        </w:rPr>
        <w:t>egulations</w:t>
      </w:r>
      <w:r w:rsidRPr="0013386C">
        <w:rPr>
          <w:rFonts w:ascii="Times New Roman" w:hAnsi="Times New Roman" w:cs="Times New Roman"/>
          <w:noProof/>
          <w:sz w:val="24"/>
        </w:rPr>
        <w:t xml:space="preserve">. </w:t>
      </w:r>
    </w:p>
    <w:p w14:paraId="15FAE44C" w14:textId="77777777" w:rsidR="0012373F" w:rsidRPr="0013386C" w:rsidRDefault="0012373F" w:rsidP="0012373F">
      <w:pPr>
        <w:jc w:val="both"/>
        <w:rPr>
          <w:rFonts w:cs="Times New Roman"/>
          <w:b/>
          <w:noProof/>
        </w:rPr>
      </w:pPr>
      <w:r w:rsidRPr="0013386C">
        <w:rPr>
          <w:rFonts w:ascii="Times New Roman" w:hAnsi="Times New Roman" w:cs="Times New Roman"/>
          <w:noProof/>
          <w:sz w:val="24"/>
        </w:rPr>
        <w:t>The main demographic actuarial assumptions are:</w:t>
      </w:r>
    </w:p>
    <w:p w14:paraId="5514EFE1" w14:textId="5579A982" w:rsidR="0012373F" w:rsidRPr="0013386C" w:rsidRDefault="0012373F" w:rsidP="0012373F">
      <w:pPr>
        <w:pStyle w:val="ListParagraph"/>
        <w:numPr>
          <w:ilvl w:val="0"/>
          <w:numId w:val="29"/>
        </w:numPr>
        <w:jc w:val="both"/>
        <w:rPr>
          <w:rFonts w:cs="Times New Roman"/>
          <w:b/>
          <w:noProof/>
        </w:rPr>
      </w:pPr>
      <w:r w:rsidRPr="0013386C">
        <w:rPr>
          <w:rFonts w:ascii="Times New Roman" w:hAnsi="Times New Roman" w:cs="Times New Roman"/>
          <w:noProof/>
          <w:sz w:val="24"/>
        </w:rPr>
        <w:t>The mortality tables: The 2018 EU Life Table (EULT), developed by Eurostat, is a prospective table</w:t>
      </w:r>
      <w:r w:rsidR="00891264">
        <w:rPr>
          <w:rStyle w:val="FootnoteReference"/>
          <w:rFonts w:ascii="Times New Roman" w:hAnsi="Times New Roman" w:cs="Times New Roman"/>
          <w:noProof/>
          <w:sz w:val="24"/>
        </w:rPr>
        <w:footnoteReference w:id="10"/>
      </w:r>
      <w:r w:rsidRPr="0013386C">
        <w:rPr>
          <w:rFonts w:ascii="Times New Roman" w:hAnsi="Times New Roman" w:cs="Times New Roman"/>
          <w:noProof/>
          <w:sz w:val="24"/>
        </w:rPr>
        <w:t xml:space="preserve"> which incorporates a trend of life expectancies over a 20 years' time horizon (same time length as the PSEO duration</w:t>
      </w:r>
      <w:r w:rsidR="00DE4C02">
        <w:rPr>
          <w:rFonts w:ascii="Times New Roman" w:hAnsi="Times New Roman" w:cs="Times New Roman"/>
          <w:noProof/>
          <w:sz w:val="24"/>
        </w:rPr>
        <w:t xml:space="preserve"> as estimated at end 2017</w:t>
      </w:r>
      <w:r w:rsidRPr="0013386C">
        <w:rPr>
          <w:rFonts w:ascii="Times New Roman" w:hAnsi="Times New Roman" w:cs="Times New Roman"/>
          <w:noProof/>
          <w:sz w:val="24"/>
        </w:rPr>
        <w:t>) based on the evolution of mortality of the PSEO population. The 2018 EULT is thus a life table built on a population entirely relevant to the PSEO.</w:t>
      </w:r>
      <w:r>
        <w:rPr>
          <w:rFonts w:ascii="Times New Roman" w:hAnsi="Times New Roman" w:cs="Times New Roman"/>
          <w:noProof/>
          <w:sz w:val="24"/>
        </w:rPr>
        <w:t xml:space="preserve"> </w:t>
      </w:r>
      <w:r w:rsidRPr="0013386C">
        <w:rPr>
          <w:rFonts w:ascii="Times New Roman" w:hAnsi="Times New Roman" w:cs="Times New Roman"/>
          <w:noProof/>
          <w:sz w:val="24"/>
        </w:rPr>
        <w:t xml:space="preserve">Annex </w:t>
      </w:r>
      <w:r w:rsidR="00A80E98">
        <w:rPr>
          <w:rFonts w:ascii="Times New Roman" w:hAnsi="Times New Roman" w:cs="Times New Roman"/>
          <w:noProof/>
          <w:sz w:val="24"/>
        </w:rPr>
        <w:t>2</w:t>
      </w:r>
      <w:r w:rsidRPr="0013386C">
        <w:rPr>
          <w:rFonts w:ascii="Times New Roman" w:hAnsi="Times New Roman" w:cs="Times New Roman"/>
          <w:noProof/>
          <w:sz w:val="24"/>
        </w:rPr>
        <w:t xml:space="preserve"> is an extract from the EULT.</w:t>
      </w:r>
    </w:p>
    <w:p w14:paraId="1F437464" w14:textId="71178CEE" w:rsidR="0012373F" w:rsidRPr="0013386C" w:rsidRDefault="0012373F" w:rsidP="0012373F">
      <w:pPr>
        <w:pStyle w:val="ListParagraph"/>
        <w:numPr>
          <w:ilvl w:val="0"/>
          <w:numId w:val="29"/>
        </w:numPr>
        <w:jc w:val="both"/>
        <w:rPr>
          <w:rFonts w:cs="Times New Roman"/>
          <w:b/>
          <w:noProof/>
        </w:rPr>
      </w:pPr>
      <w:r w:rsidRPr="0013386C">
        <w:rPr>
          <w:rFonts w:ascii="Times New Roman" w:hAnsi="Times New Roman" w:cs="Times New Roman"/>
          <w:noProof/>
          <w:sz w:val="24"/>
        </w:rPr>
        <w:t>The invalidity tables developed by Eurostat based on past observations</w:t>
      </w:r>
      <w:r w:rsidR="00206D95">
        <w:rPr>
          <w:rFonts w:ascii="Times New Roman" w:hAnsi="Times New Roman" w:cs="Times New Roman"/>
          <w:noProof/>
          <w:sz w:val="24"/>
        </w:rPr>
        <w:t>.</w:t>
      </w:r>
    </w:p>
    <w:p w14:paraId="79D4D826" w14:textId="6B3D68D0" w:rsidR="0012373F" w:rsidRPr="0013386C" w:rsidRDefault="0012373F" w:rsidP="0012373F">
      <w:pPr>
        <w:pStyle w:val="ListParagraph"/>
        <w:numPr>
          <w:ilvl w:val="0"/>
          <w:numId w:val="29"/>
        </w:numPr>
        <w:jc w:val="both"/>
        <w:rPr>
          <w:rFonts w:cs="Times New Roman"/>
          <w:b/>
          <w:noProof/>
        </w:rPr>
      </w:pPr>
      <w:r w:rsidRPr="0013386C">
        <w:rPr>
          <w:rFonts w:ascii="Times New Roman" w:hAnsi="Times New Roman" w:cs="Times New Roman"/>
          <w:noProof/>
          <w:sz w:val="24"/>
        </w:rPr>
        <w:t>The assumed retirement ag</w:t>
      </w:r>
      <w:r w:rsidR="00AF5F01">
        <w:rPr>
          <w:rFonts w:ascii="Times New Roman" w:hAnsi="Times New Roman" w:cs="Times New Roman"/>
          <w:noProof/>
          <w:sz w:val="24"/>
        </w:rPr>
        <w:t xml:space="preserve">e; in accordance with Article 4, paragraph </w:t>
      </w:r>
      <w:r w:rsidRPr="0013386C">
        <w:rPr>
          <w:rFonts w:ascii="Times New Roman" w:hAnsi="Times New Roman" w:cs="Times New Roman"/>
          <w:noProof/>
          <w:sz w:val="24"/>
        </w:rPr>
        <w:t>3 of Annex XII to the Staff Regulations, it is assumed that retirements will occur at a fixed average rate that varies based on the date of entry into service of each staff member</w:t>
      </w:r>
      <w:r w:rsidR="00206D95">
        <w:rPr>
          <w:rFonts w:ascii="Times New Roman" w:hAnsi="Times New Roman" w:cs="Times New Roman"/>
          <w:noProof/>
          <w:sz w:val="24"/>
        </w:rPr>
        <w:t>.</w:t>
      </w:r>
    </w:p>
    <w:p w14:paraId="75751001" w14:textId="53CCBD67" w:rsidR="0012373F" w:rsidRPr="0013386C" w:rsidRDefault="0012373F" w:rsidP="0012373F">
      <w:pPr>
        <w:pStyle w:val="ListParagraph"/>
        <w:numPr>
          <w:ilvl w:val="0"/>
          <w:numId w:val="29"/>
        </w:numPr>
        <w:jc w:val="both"/>
        <w:rPr>
          <w:rFonts w:cs="Times New Roman"/>
          <w:b/>
          <w:noProof/>
        </w:rPr>
      </w:pPr>
      <w:r w:rsidRPr="0013386C">
        <w:rPr>
          <w:rFonts w:ascii="Times New Roman" w:hAnsi="Times New Roman" w:cs="Times New Roman"/>
          <w:noProof/>
          <w:sz w:val="24"/>
        </w:rPr>
        <w:t>The probability of being married at the retirement date</w:t>
      </w:r>
      <w:r w:rsidR="00206D95">
        <w:rPr>
          <w:rFonts w:ascii="Times New Roman" w:hAnsi="Times New Roman" w:cs="Times New Roman"/>
          <w:noProof/>
          <w:sz w:val="24"/>
        </w:rPr>
        <w:t>.</w:t>
      </w:r>
      <w:r w:rsidR="00206D95" w:rsidRPr="0013386C">
        <w:rPr>
          <w:rFonts w:ascii="Times New Roman" w:hAnsi="Times New Roman" w:cs="Times New Roman"/>
          <w:noProof/>
          <w:sz w:val="24"/>
        </w:rPr>
        <w:t xml:space="preserve"> </w:t>
      </w:r>
    </w:p>
    <w:p w14:paraId="26F3ED47" w14:textId="77777777" w:rsidR="0012373F" w:rsidRPr="0013386C" w:rsidRDefault="0012373F" w:rsidP="0012373F">
      <w:pPr>
        <w:pStyle w:val="ListParagraph"/>
        <w:numPr>
          <w:ilvl w:val="0"/>
          <w:numId w:val="29"/>
        </w:numPr>
        <w:jc w:val="both"/>
        <w:rPr>
          <w:b/>
          <w:noProof/>
          <w:lang w:val="en-GB"/>
        </w:rPr>
      </w:pPr>
      <w:r w:rsidRPr="0013386C">
        <w:rPr>
          <w:rFonts w:ascii="Times New Roman" w:hAnsi="Times New Roman" w:cs="Times New Roman"/>
          <w:noProof/>
          <w:sz w:val="24"/>
        </w:rPr>
        <w:t xml:space="preserve">The coefficients for orphans and divorced spouses, etc. </w:t>
      </w:r>
    </w:p>
    <w:p w14:paraId="76E27A75" w14:textId="7899A7B9" w:rsidR="0012373F" w:rsidRPr="004C7675" w:rsidRDefault="00E2703A" w:rsidP="001A515A">
      <w:pPr>
        <w:spacing w:after="120" w:line="240" w:lineRule="auto"/>
        <w:jc w:val="both"/>
        <w:rPr>
          <w:noProof/>
          <w:lang w:val="en-GB"/>
        </w:rPr>
      </w:pPr>
      <w:r>
        <w:rPr>
          <w:rFonts w:ascii="Times New Roman" w:hAnsi="Times New Roman" w:cs="Times New Roman"/>
          <w:noProof/>
          <w:sz w:val="24"/>
        </w:rPr>
        <w:t>A</w:t>
      </w:r>
      <w:r w:rsidR="00DE4C02">
        <w:rPr>
          <w:rFonts w:ascii="Times New Roman" w:hAnsi="Times New Roman" w:cs="Times New Roman"/>
          <w:noProof/>
          <w:sz w:val="24"/>
        </w:rPr>
        <w:t>ctuarial demographic assumption</w:t>
      </w:r>
      <w:r>
        <w:rPr>
          <w:rFonts w:ascii="Times New Roman" w:hAnsi="Times New Roman" w:cs="Times New Roman"/>
          <w:noProof/>
          <w:sz w:val="24"/>
        </w:rPr>
        <w:t>s</w:t>
      </w:r>
      <w:r w:rsidR="00DE4C02">
        <w:rPr>
          <w:rFonts w:ascii="Times New Roman" w:hAnsi="Times New Roman" w:cs="Times New Roman"/>
          <w:noProof/>
          <w:sz w:val="24"/>
        </w:rPr>
        <w:t xml:space="preserve"> intervene </w:t>
      </w:r>
      <w:r w:rsidR="00DE4C02" w:rsidRPr="001A515A">
        <w:rPr>
          <w:rFonts w:ascii="Times New Roman" w:hAnsi="Times New Roman" w:cs="Times New Roman"/>
          <w:noProof/>
          <w:sz w:val="24"/>
        </w:rPr>
        <w:t>into the calculation of the service cost</w:t>
      </w:r>
      <w:r>
        <w:rPr>
          <w:rFonts w:ascii="Times New Roman" w:hAnsi="Times New Roman" w:cs="Times New Roman"/>
          <w:noProof/>
          <w:sz w:val="24"/>
        </w:rPr>
        <w:t xml:space="preserve"> based on</w:t>
      </w:r>
      <w:r w:rsidR="00DE4C02">
        <w:rPr>
          <w:rFonts w:ascii="Times New Roman" w:hAnsi="Times New Roman" w:cs="Times New Roman"/>
          <w:noProof/>
          <w:sz w:val="24"/>
        </w:rPr>
        <w:t xml:space="preserve"> </w:t>
      </w:r>
      <w:r>
        <w:rPr>
          <w:rFonts w:ascii="Times New Roman" w:hAnsi="Times New Roman" w:cs="Times New Roman"/>
          <w:noProof/>
          <w:sz w:val="24"/>
        </w:rPr>
        <w:t xml:space="preserve">which </w:t>
      </w:r>
      <w:r w:rsidR="00DE4C02" w:rsidRPr="001A515A">
        <w:rPr>
          <w:rFonts w:ascii="Times New Roman" w:hAnsi="Times New Roman" w:cs="Times New Roman"/>
          <w:noProof/>
          <w:sz w:val="24"/>
        </w:rPr>
        <w:t xml:space="preserve">the PCR </w:t>
      </w:r>
      <w:r>
        <w:rPr>
          <w:rFonts w:ascii="Times New Roman" w:hAnsi="Times New Roman" w:cs="Times New Roman"/>
          <w:noProof/>
          <w:sz w:val="24"/>
        </w:rPr>
        <w:t xml:space="preserve">is calculated so as to ensure </w:t>
      </w:r>
      <w:r w:rsidR="00DE4C02" w:rsidRPr="001A515A">
        <w:rPr>
          <w:rFonts w:ascii="Times New Roman" w:hAnsi="Times New Roman" w:cs="Times New Roman"/>
          <w:noProof/>
          <w:sz w:val="24"/>
        </w:rPr>
        <w:t xml:space="preserve">the </w:t>
      </w:r>
      <w:r>
        <w:rPr>
          <w:rFonts w:ascii="Times New Roman" w:hAnsi="Times New Roman" w:cs="Times New Roman"/>
          <w:noProof/>
          <w:sz w:val="24"/>
        </w:rPr>
        <w:t xml:space="preserve">actuarial balance of the </w:t>
      </w:r>
      <w:r w:rsidR="00DE4C02" w:rsidRPr="001A515A">
        <w:rPr>
          <w:rFonts w:ascii="Times New Roman" w:hAnsi="Times New Roman" w:cs="Times New Roman"/>
          <w:noProof/>
          <w:sz w:val="24"/>
        </w:rPr>
        <w:t>PSEO.</w:t>
      </w:r>
      <w:r>
        <w:rPr>
          <w:rFonts w:ascii="Times New Roman" w:hAnsi="Times New Roman" w:cs="Times New Roman"/>
          <w:noProof/>
          <w:sz w:val="24"/>
        </w:rPr>
        <w:t xml:space="preserve"> </w:t>
      </w:r>
      <w:r w:rsidR="0012373F" w:rsidRPr="0013386C">
        <w:rPr>
          <w:rFonts w:ascii="Times New Roman" w:hAnsi="Times New Roman" w:cs="Times New Roman"/>
          <w:noProof/>
          <w:sz w:val="24"/>
        </w:rPr>
        <w:t xml:space="preserve">Annex </w:t>
      </w:r>
      <w:r w:rsidR="00A80E98">
        <w:rPr>
          <w:rFonts w:ascii="Times New Roman" w:hAnsi="Times New Roman" w:cs="Times New Roman"/>
          <w:noProof/>
          <w:sz w:val="24"/>
        </w:rPr>
        <w:t>3</w:t>
      </w:r>
      <w:r w:rsidR="0012373F" w:rsidRPr="0013386C">
        <w:rPr>
          <w:rFonts w:ascii="Times New Roman" w:hAnsi="Times New Roman" w:cs="Times New Roman"/>
          <w:noProof/>
          <w:sz w:val="24"/>
        </w:rPr>
        <w:t xml:space="preserve"> provides the list of demographic assumptions used for the last pension assessment in 2022.</w:t>
      </w:r>
    </w:p>
    <w:p w14:paraId="6980C726" w14:textId="029741EB" w:rsidR="0012373F" w:rsidRPr="0013386C" w:rsidRDefault="0012373F" w:rsidP="00170470">
      <w:pPr>
        <w:pStyle w:val="ListParagraph"/>
        <w:numPr>
          <w:ilvl w:val="3"/>
          <w:numId w:val="1"/>
        </w:numPr>
        <w:spacing w:after="120" w:line="240" w:lineRule="auto"/>
        <w:rPr>
          <w:rFonts w:ascii="Times New Roman" w:eastAsiaTheme="majorEastAsia" w:hAnsi="Times New Roman" w:cstheme="majorBidi"/>
          <w:b/>
          <w:noProof/>
          <w:color w:val="000000" w:themeColor="text1"/>
          <w:sz w:val="24"/>
          <w:szCs w:val="26"/>
        </w:rPr>
      </w:pPr>
      <w:r w:rsidRPr="006A369F">
        <w:rPr>
          <w:rFonts w:ascii="Times New Roman" w:eastAsiaTheme="majorEastAsia" w:hAnsi="Times New Roman" w:cstheme="majorBidi"/>
          <w:b/>
          <w:noProof/>
          <w:color w:val="000000" w:themeColor="text1"/>
          <w:sz w:val="24"/>
          <w:szCs w:val="26"/>
        </w:rPr>
        <w:t>Financial assumptions</w:t>
      </w:r>
      <w:r w:rsidR="000D6F08">
        <w:rPr>
          <w:rStyle w:val="FootnoteReference"/>
          <w:rFonts w:ascii="Times New Roman" w:hAnsi="Times New Roman" w:cs="Times New Roman"/>
          <w:noProof/>
          <w:sz w:val="24"/>
        </w:rPr>
        <w:footnoteReference w:id="11"/>
      </w:r>
      <w:r w:rsidRPr="0013386C">
        <w:rPr>
          <w:rFonts w:ascii="Times New Roman" w:eastAsiaTheme="majorEastAsia" w:hAnsi="Times New Roman" w:cstheme="majorBidi"/>
          <w:b/>
          <w:noProof/>
          <w:color w:val="000000" w:themeColor="text1"/>
          <w:sz w:val="24"/>
          <w:szCs w:val="26"/>
        </w:rPr>
        <w:t xml:space="preserve"> </w:t>
      </w:r>
    </w:p>
    <w:p w14:paraId="14FA4143" w14:textId="6BD568E7" w:rsidR="000D6F08" w:rsidRDefault="000D6F08"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 xml:space="preserve">The actuarial financial assumptions such as the </w:t>
      </w:r>
      <w:r w:rsidR="001A515A">
        <w:rPr>
          <w:rFonts w:ascii="Times New Roman" w:hAnsi="Times New Roman" w:cs="Times New Roman"/>
          <w:noProof/>
          <w:sz w:val="24"/>
        </w:rPr>
        <w:t>r</w:t>
      </w:r>
      <w:r w:rsidRPr="0013386C">
        <w:rPr>
          <w:rFonts w:ascii="Times New Roman" w:hAnsi="Times New Roman" w:cs="Times New Roman"/>
          <w:noProof/>
          <w:sz w:val="24"/>
        </w:rPr>
        <w:t xml:space="preserve">eal </w:t>
      </w:r>
      <w:r w:rsidR="001A515A">
        <w:rPr>
          <w:rFonts w:ascii="Times New Roman" w:hAnsi="Times New Roman" w:cs="Times New Roman"/>
          <w:noProof/>
          <w:sz w:val="24"/>
        </w:rPr>
        <w:t>d</w:t>
      </w:r>
      <w:r w:rsidRPr="0013386C">
        <w:rPr>
          <w:rFonts w:ascii="Times New Roman" w:hAnsi="Times New Roman" w:cs="Times New Roman"/>
          <w:noProof/>
          <w:sz w:val="24"/>
        </w:rPr>
        <w:t xml:space="preserve">iscount </w:t>
      </w:r>
      <w:r w:rsidR="001A515A">
        <w:rPr>
          <w:rFonts w:ascii="Times New Roman" w:hAnsi="Times New Roman" w:cs="Times New Roman"/>
          <w:noProof/>
          <w:sz w:val="24"/>
        </w:rPr>
        <w:t>r</w:t>
      </w:r>
      <w:r w:rsidRPr="0013386C">
        <w:rPr>
          <w:rFonts w:ascii="Times New Roman" w:hAnsi="Times New Roman" w:cs="Times New Roman"/>
          <w:noProof/>
          <w:sz w:val="24"/>
        </w:rPr>
        <w:t xml:space="preserve">ate </w:t>
      </w:r>
      <w:r>
        <w:rPr>
          <w:rFonts w:ascii="Times New Roman" w:hAnsi="Times New Roman" w:cs="Times New Roman"/>
          <w:noProof/>
          <w:sz w:val="24"/>
        </w:rPr>
        <w:t xml:space="preserve">and the </w:t>
      </w:r>
      <w:r w:rsidR="001A515A">
        <w:rPr>
          <w:rFonts w:ascii="Times New Roman" w:hAnsi="Times New Roman" w:cs="Times New Roman"/>
          <w:noProof/>
          <w:sz w:val="24"/>
        </w:rPr>
        <w:t xml:space="preserve">general salary growth </w:t>
      </w:r>
      <w:r>
        <w:rPr>
          <w:rFonts w:ascii="Times New Roman" w:hAnsi="Times New Roman" w:cs="Times New Roman"/>
          <w:noProof/>
          <w:sz w:val="24"/>
        </w:rPr>
        <w:t>have a significant impact on the functioning of the PSEO.</w:t>
      </w:r>
    </w:p>
    <w:p w14:paraId="0C64E555" w14:textId="1111DCAE" w:rsidR="0012373F" w:rsidRPr="0013386C" w:rsidRDefault="000D6F08" w:rsidP="00170470">
      <w:pPr>
        <w:spacing w:after="120" w:line="240" w:lineRule="auto"/>
        <w:jc w:val="both"/>
        <w:rPr>
          <w:rFonts w:cs="Times New Roman"/>
          <w:b/>
          <w:noProof/>
        </w:rPr>
      </w:pPr>
      <w:r>
        <w:rPr>
          <w:rFonts w:ascii="Times New Roman" w:hAnsi="Times New Roman" w:cs="Times New Roman"/>
          <w:noProof/>
          <w:sz w:val="24"/>
        </w:rPr>
        <w:t>T</w:t>
      </w:r>
      <w:r w:rsidR="0012373F" w:rsidRPr="0013386C">
        <w:rPr>
          <w:rFonts w:ascii="Times New Roman" w:hAnsi="Times New Roman" w:cs="Times New Roman"/>
          <w:noProof/>
          <w:sz w:val="24"/>
        </w:rPr>
        <w:t xml:space="preserve">he </w:t>
      </w:r>
      <w:r w:rsidR="001A515A">
        <w:rPr>
          <w:rFonts w:ascii="Times New Roman" w:hAnsi="Times New Roman" w:cs="Times New Roman"/>
          <w:noProof/>
          <w:sz w:val="24"/>
        </w:rPr>
        <w:t xml:space="preserve">real discount rate </w:t>
      </w:r>
      <w:r w:rsidR="00A226DA">
        <w:rPr>
          <w:rFonts w:ascii="Times New Roman" w:hAnsi="Times New Roman" w:cs="Times New Roman"/>
          <w:noProof/>
          <w:sz w:val="24"/>
        </w:rPr>
        <w:t>reflects</w:t>
      </w:r>
      <w:r w:rsidR="005F21C2">
        <w:rPr>
          <w:rFonts w:ascii="Times New Roman" w:hAnsi="Times New Roman" w:cs="Times New Roman"/>
          <w:noProof/>
          <w:sz w:val="24"/>
        </w:rPr>
        <w:t xml:space="preserve"> the real average </w:t>
      </w:r>
      <w:r w:rsidR="0012373F" w:rsidRPr="0013386C">
        <w:rPr>
          <w:rFonts w:ascii="Times New Roman" w:hAnsi="Times New Roman" w:cs="Times New Roman"/>
          <w:noProof/>
          <w:sz w:val="24"/>
        </w:rPr>
        <w:t>interest rates of long term public debt of Member States</w:t>
      </w:r>
      <w:r w:rsidR="00A226DA">
        <w:rPr>
          <w:rFonts w:ascii="Times New Roman" w:hAnsi="Times New Roman" w:cs="Times New Roman"/>
          <w:noProof/>
          <w:sz w:val="24"/>
        </w:rPr>
        <w:t xml:space="preserve">, while </w:t>
      </w:r>
      <w:r w:rsidR="0012373F" w:rsidRPr="0013386C">
        <w:rPr>
          <w:rFonts w:ascii="Times New Roman" w:hAnsi="Times New Roman" w:cs="Times New Roman"/>
          <w:noProof/>
          <w:sz w:val="24"/>
        </w:rPr>
        <w:t xml:space="preserve">the </w:t>
      </w:r>
      <w:r w:rsidR="001A515A">
        <w:rPr>
          <w:rFonts w:ascii="Times New Roman" w:hAnsi="Times New Roman" w:cs="Times New Roman"/>
          <w:noProof/>
          <w:sz w:val="24"/>
        </w:rPr>
        <w:t xml:space="preserve">general salary growth </w:t>
      </w:r>
      <w:r w:rsidR="00A226DA">
        <w:rPr>
          <w:rFonts w:ascii="Times New Roman" w:hAnsi="Times New Roman" w:cs="Times New Roman"/>
          <w:noProof/>
          <w:sz w:val="24"/>
        </w:rPr>
        <w:t xml:space="preserve">looks at </w:t>
      </w:r>
      <w:r w:rsidR="0012373F" w:rsidRPr="0013386C">
        <w:rPr>
          <w:rFonts w:ascii="Times New Roman" w:hAnsi="Times New Roman" w:cs="Times New Roman"/>
          <w:noProof/>
          <w:sz w:val="24"/>
        </w:rPr>
        <w:t>the rate of annual change in the salary scales</w:t>
      </w:r>
      <w:r w:rsidR="008E426C">
        <w:rPr>
          <w:rFonts w:ascii="Times New Roman" w:hAnsi="Times New Roman" w:cs="Times New Roman"/>
          <w:noProof/>
          <w:sz w:val="24"/>
        </w:rPr>
        <w:t>.</w:t>
      </w:r>
      <w:r w:rsidR="00A226DA">
        <w:rPr>
          <w:rFonts w:ascii="Times New Roman" w:hAnsi="Times New Roman" w:cs="Times New Roman"/>
          <w:noProof/>
          <w:sz w:val="24"/>
        </w:rPr>
        <w:t xml:space="preserve"> </w:t>
      </w:r>
      <w:r w:rsidR="008E426C">
        <w:rPr>
          <w:rFonts w:ascii="Times New Roman" w:hAnsi="Times New Roman" w:cs="Times New Roman"/>
          <w:noProof/>
          <w:sz w:val="24"/>
        </w:rPr>
        <w:t>I</w:t>
      </w:r>
      <w:r w:rsidR="00A226DA">
        <w:rPr>
          <w:rFonts w:ascii="Times New Roman" w:hAnsi="Times New Roman" w:cs="Times New Roman"/>
          <w:noProof/>
          <w:sz w:val="24"/>
        </w:rPr>
        <w:t xml:space="preserve">n both cases </w:t>
      </w:r>
      <w:r w:rsidR="0012373F" w:rsidRPr="0013386C">
        <w:rPr>
          <w:rFonts w:ascii="Times New Roman" w:hAnsi="Times New Roman" w:cs="Times New Roman"/>
          <w:noProof/>
          <w:sz w:val="24"/>
        </w:rPr>
        <w:t xml:space="preserve">a </w:t>
      </w:r>
      <w:r w:rsidR="00A226DA">
        <w:rPr>
          <w:rFonts w:ascii="Times New Roman" w:hAnsi="Times New Roman" w:cs="Times New Roman"/>
          <w:noProof/>
          <w:sz w:val="24"/>
        </w:rPr>
        <w:t xml:space="preserve">30-year </w:t>
      </w:r>
      <w:r w:rsidR="0012373F" w:rsidRPr="0013386C">
        <w:rPr>
          <w:rFonts w:ascii="Times New Roman" w:hAnsi="Times New Roman" w:cs="Times New Roman"/>
          <w:noProof/>
          <w:sz w:val="24"/>
        </w:rPr>
        <w:t xml:space="preserve">moving average of the corresponding rates </w:t>
      </w:r>
      <w:r w:rsidR="00A226DA">
        <w:rPr>
          <w:rFonts w:ascii="Times New Roman" w:hAnsi="Times New Roman" w:cs="Times New Roman"/>
          <w:noProof/>
          <w:sz w:val="24"/>
        </w:rPr>
        <w:t>is used</w:t>
      </w:r>
      <w:r>
        <w:rPr>
          <w:rStyle w:val="FootnoteReference"/>
          <w:rFonts w:ascii="Times New Roman" w:hAnsi="Times New Roman" w:cs="Times New Roman"/>
          <w:noProof/>
          <w:sz w:val="24"/>
        </w:rPr>
        <w:footnoteReference w:id="12"/>
      </w:r>
      <w:r w:rsidR="0012373F" w:rsidRPr="0013386C">
        <w:rPr>
          <w:rFonts w:ascii="Times New Roman" w:hAnsi="Times New Roman" w:cs="Times New Roman"/>
          <w:noProof/>
          <w:sz w:val="24"/>
        </w:rPr>
        <w:t xml:space="preserve">. </w:t>
      </w:r>
      <w:r w:rsidR="00A226DA">
        <w:rPr>
          <w:rFonts w:ascii="Times New Roman" w:hAnsi="Times New Roman" w:cs="Times New Roman"/>
          <w:noProof/>
          <w:sz w:val="24"/>
        </w:rPr>
        <w:t xml:space="preserve">In the </w:t>
      </w:r>
      <w:r w:rsidR="008E426C">
        <w:rPr>
          <w:rFonts w:ascii="Times New Roman" w:hAnsi="Times New Roman" w:cs="Times New Roman"/>
          <w:noProof/>
          <w:sz w:val="24"/>
        </w:rPr>
        <w:t xml:space="preserve">2022 </w:t>
      </w:r>
      <w:r w:rsidR="00A226DA">
        <w:rPr>
          <w:rFonts w:ascii="Times New Roman" w:hAnsi="Times New Roman" w:cs="Times New Roman"/>
          <w:noProof/>
          <w:sz w:val="24"/>
        </w:rPr>
        <w:t xml:space="preserve">yearly PSEO assessment, </w:t>
      </w:r>
      <w:r w:rsidR="0012373F" w:rsidRPr="0013386C">
        <w:rPr>
          <w:rFonts w:ascii="Times New Roman" w:hAnsi="Times New Roman" w:cs="Times New Roman"/>
          <w:noProof/>
          <w:sz w:val="24"/>
        </w:rPr>
        <w:t xml:space="preserve">the values of the </w:t>
      </w:r>
      <w:r w:rsidR="001A515A">
        <w:rPr>
          <w:rFonts w:ascii="Times New Roman" w:hAnsi="Times New Roman" w:cs="Times New Roman"/>
          <w:noProof/>
          <w:sz w:val="24"/>
        </w:rPr>
        <w:t xml:space="preserve">real discount rate </w:t>
      </w:r>
      <w:r w:rsidR="0012373F" w:rsidRPr="0013386C">
        <w:rPr>
          <w:rFonts w:ascii="Times New Roman" w:hAnsi="Times New Roman" w:cs="Times New Roman"/>
          <w:noProof/>
          <w:sz w:val="24"/>
        </w:rPr>
        <w:t xml:space="preserve">and </w:t>
      </w:r>
      <w:r w:rsidR="001A515A">
        <w:rPr>
          <w:rFonts w:ascii="Times New Roman" w:hAnsi="Times New Roman" w:cs="Times New Roman"/>
          <w:noProof/>
          <w:sz w:val="24"/>
        </w:rPr>
        <w:t>general salary growth</w:t>
      </w:r>
      <w:r w:rsidR="0012373F" w:rsidRPr="0013386C">
        <w:rPr>
          <w:rFonts w:ascii="Times New Roman" w:hAnsi="Times New Roman" w:cs="Times New Roman"/>
          <w:noProof/>
          <w:sz w:val="24"/>
        </w:rPr>
        <w:t xml:space="preserve"> were respectively 2.7% and </w:t>
      </w:r>
      <w:r w:rsidR="007D7B37">
        <w:rPr>
          <w:rFonts w:ascii="Times New Roman" w:hAnsi="Times New Roman" w:cs="Times New Roman"/>
          <w:noProof/>
          <w:sz w:val="24"/>
        </w:rPr>
        <w:t>-</w:t>
      </w:r>
      <w:r w:rsidR="0012373F" w:rsidRPr="0013386C">
        <w:rPr>
          <w:rFonts w:ascii="Times New Roman" w:hAnsi="Times New Roman" w:cs="Times New Roman"/>
          <w:noProof/>
          <w:sz w:val="24"/>
        </w:rPr>
        <w:t>0.</w:t>
      </w:r>
      <w:r w:rsidR="007D7B37">
        <w:rPr>
          <w:rFonts w:ascii="Times New Roman" w:hAnsi="Times New Roman" w:cs="Times New Roman"/>
          <w:noProof/>
          <w:sz w:val="24"/>
        </w:rPr>
        <w:t>1</w:t>
      </w:r>
      <w:r w:rsidR="0012373F" w:rsidRPr="0013386C">
        <w:rPr>
          <w:rFonts w:ascii="Times New Roman" w:hAnsi="Times New Roman" w:cs="Times New Roman"/>
          <w:noProof/>
          <w:sz w:val="24"/>
        </w:rPr>
        <w:t>%.</w:t>
      </w:r>
    </w:p>
    <w:p w14:paraId="15BEB045" w14:textId="7906F421" w:rsidR="0012373F" w:rsidRPr="001A515A" w:rsidRDefault="00BC2D0A" w:rsidP="0012373F">
      <w:pPr>
        <w:jc w:val="both"/>
        <w:rPr>
          <w:rFonts w:ascii="Times New Roman" w:hAnsi="Times New Roman" w:cs="Times New Roman"/>
          <w:noProof/>
          <w:sz w:val="24"/>
        </w:rPr>
      </w:pPr>
      <w:r>
        <w:rPr>
          <w:rFonts w:ascii="Times New Roman" w:hAnsi="Times New Roman" w:cs="Times New Roman"/>
          <w:noProof/>
          <w:sz w:val="24"/>
        </w:rPr>
        <w:t xml:space="preserve">The </w:t>
      </w:r>
      <w:r w:rsidR="001A515A">
        <w:rPr>
          <w:rFonts w:ascii="Times New Roman" w:hAnsi="Times New Roman" w:cs="Times New Roman"/>
          <w:noProof/>
          <w:sz w:val="24"/>
        </w:rPr>
        <w:t>individual salary p</w:t>
      </w:r>
      <w:r w:rsidR="0012373F" w:rsidRPr="0013386C">
        <w:rPr>
          <w:rFonts w:ascii="Times New Roman" w:hAnsi="Times New Roman" w:cs="Times New Roman"/>
          <w:noProof/>
          <w:sz w:val="24"/>
        </w:rPr>
        <w:t>rogression table</w:t>
      </w:r>
      <w:r w:rsidR="007D7B37">
        <w:rPr>
          <w:rFonts w:ascii="Times New Roman" w:hAnsi="Times New Roman" w:cs="Times New Roman"/>
          <w:noProof/>
          <w:sz w:val="24"/>
        </w:rPr>
        <w:t xml:space="preserve"> is </w:t>
      </w:r>
      <w:r>
        <w:rPr>
          <w:rFonts w:ascii="Times New Roman" w:hAnsi="Times New Roman" w:cs="Times New Roman"/>
          <w:noProof/>
          <w:sz w:val="24"/>
        </w:rPr>
        <w:t xml:space="preserve">another </w:t>
      </w:r>
      <w:r w:rsidR="007D7B37">
        <w:rPr>
          <w:rFonts w:ascii="Times New Roman" w:hAnsi="Times New Roman" w:cs="Times New Roman"/>
          <w:noProof/>
          <w:sz w:val="24"/>
        </w:rPr>
        <w:t xml:space="preserve">key actuarial financial assumption. The </w:t>
      </w:r>
      <w:r w:rsidR="00DA7103">
        <w:rPr>
          <w:rFonts w:ascii="Times New Roman" w:hAnsi="Times New Roman" w:cs="Times New Roman"/>
          <w:noProof/>
          <w:sz w:val="24"/>
        </w:rPr>
        <w:t>individual salary p</w:t>
      </w:r>
      <w:r w:rsidR="00DA7103" w:rsidRPr="0013386C">
        <w:rPr>
          <w:rFonts w:ascii="Times New Roman" w:hAnsi="Times New Roman" w:cs="Times New Roman"/>
          <w:noProof/>
          <w:sz w:val="24"/>
        </w:rPr>
        <w:t>rogression</w:t>
      </w:r>
      <w:r w:rsidR="00DA7103">
        <w:rPr>
          <w:rFonts w:ascii="Times New Roman" w:hAnsi="Times New Roman" w:cs="Times New Roman"/>
          <w:noProof/>
          <w:sz w:val="24"/>
        </w:rPr>
        <w:t xml:space="preserve"> </w:t>
      </w:r>
      <w:r w:rsidR="007D7B37">
        <w:rPr>
          <w:rFonts w:ascii="Times New Roman" w:hAnsi="Times New Roman" w:cs="Times New Roman"/>
          <w:noProof/>
          <w:sz w:val="24"/>
        </w:rPr>
        <w:t>capture</w:t>
      </w:r>
      <w:r w:rsidR="00150253">
        <w:rPr>
          <w:rFonts w:ascii="Times New Roman" w:hAnsi="Times New Roman" w:cs="Times New Roman"/>
          <w:noProof/>
          <w:sz w:val="24"/>
        </w:rPr>
        <w:t>s</w:t>
      </w:r>
      <w:r w:rsidR="007D7B37">
        <w:rPr>
          <w:rFonts w:ascii="Times New Roman" w:hAnsi="Times New Roman" w:cs="Times New Roman"/>
          <w:noProof/>
          <w:sz w:val="24"/>
        </w:rPr>
        <w:t xml:space="preserve"> the effect of </w:t>
      </w:r>
      <w:r w:rsidR="0012373F" w:rsidRPr="0013386C">
        <w:rPr>
          <w:rFonts w:ascii="Times New Roman" w:hAnsi="Times New Roman" w:cs="Times New Roman"/>
          <w:noProof/>
          <w:sz w:val="24"/>
        </w:rPr>
        <w:t xml:space="preserve">the salary increase </w:t>
      </w:r>
      <w:r w:rsidR="007D7B37">
        <w:rPr>
          <w:rFonts w:ascii="Times New Roman" w:hAnsi="Times New Roman" w:cs="Times New Roman"/>
          <w:noProof/>
          <w:sz w:val="24"/>
        </w:rPr>
        <w:t xml:space="preserve">linked to </w:t>
      </w:r>
      <w:r w:rsidR="0012373F" w:rsidRPr="0013386C">
        <w:rPr>
          <w:rFonts w:ascii="Times New Roman" w:hAnsi="Times New Roman" w:cs="Times New Roman"/>
          <w:noProof/>
          <w:sz w:val="24"/>
        </w:rPr>
        <w:t xml:space="preserve">the career advancement of </w:t>
      </w:r>
      <w:r w:rsidR="007D7B37">
        <w:rPr>
          <w:rFonts w:ascii="Times New Roman" w:hAnsi="Times New Roman" w:cs="Times New Roman"/>
          <w:noProof/>
          <w:sz w:val="24"/>
        </w:rPr>
        <w:t xml:space="preserve">the </w:t>
      </w:r>
      <w:r w:rsidR="0012373F" w:rsidRPr="0013386C">
        <w:rPr>
          <w:rFonts w:ascii="Times New Roman" w:hAnsi="Times New Roman" w:cs="Times New Roman"/>
          <w:noProof/>
          <w:sz w:val="24"/>
        </w:rPr>
        <w:t>EU s</w:t>
      </w:r>
      <w:r w:rsidR="007D7B37">
        <w:rPr>
          <w:rFonts w:ascii="Times New Roman" w:hAnsi="Times New Roman" w:cs="Times New Roman"/>
          <w:noProof/>
          <w:sz w:val="24"/>
        </w:rPr>
        <w:t xml:space="preserve">taff due to </w:t>
      </w:r>
      <w:r w:rsidR="0012373F" w:rsidRPr="0013386C">
        <w:rPr>
          <w:rFonts w:ascii="Times New Roman" w:hAnsi="Times New Roman" w:cs="Times New Roman"/>
          <w:noProof/>
          <w:sz w:val="24"/>
        </w:rPr>
        <w:t xml:space="preserve">promotions and seniority steps. </w:t>
      </w:r>
      <w:r>
        <w:rPr>
          <w:rFonts w:ascii="Times New Roman" w:hAnsi="Times New Roman" w:cs="Times New Roman"/>
          <w:noProof/>
          <w:sz w:val="24"/>
        </w:rPr>
        <w:t xml:space="preserve">The 2014 reform of the Staff Regulations reinforced the link </w:t>
      </w:r>
      <w:r w:rsidR="0012373F" w:rsidRPr="0013386C">
        <w:rPr>
          <w:rFonts w:ascii="Times New Roman" w:hAnsi="Times New Roman" w:cs="Times New Roman"/>
          <w:noProof/>
          <w:sz w:val="24"/>
        </w:rPr>
        <w:t>between grade and function</w:t>
      </w:r>
      <w:r>
        <w:rPr>
          <w:rFonts w:ascii="Times New Roman" w:hAnsi="Times New Roman" w:cs="Times New Roman"/>
          <w:noProof/>
          <w:sz w:val="24"/>
        </w:rPr>
        <w:t xml:space="preserve">. </w:t>
      </w:r>
      <w:r w:rsidR="00AF03D4">
        <w:rPr>
          <w:rFonts w:ascii="Times New Roman" w:hAnsi="Times New Roman" w:cs="Times New Roman"/>
          <w:noProof/>
          <w:sz w:val="24"/>
        </w:rPr>
        <w:t>For example</w:t>
      </w:r>
      <w:r>
        <w:rPr>
          <w:rFonts w:ascii="Times New Roman" w:hAnsi="Times New Roman" w:cs="Times New Roman"/>
          <w:noProof/>
          <w:sz w:val="24"/>
        </w:rPr>
        <w:t>,</w:t>
      </w:r>
      <w:r w:rsidR="0012373F" w:rsidRPr="0013386C">
        <w:rPr>
          <w:rFonts w:ascii="Times New Roman" w:hAnsi="Times New Roman" w:cs="Times New Roman"/>
          <w:noProof/>
          <w:sz w:val="24"/>
        </w:rPr>
        <w:t xml:space="preserve"> access to the highest grades in function groups AD and AST </w:t>
      </w:r>
      <w:r>
        <w:rPr>
          <w:rFonts w:ascii="Times New Roman" w:hAnsi="Times New Roman" w:cs="Times New Roman"/>
          <w:noProof/>
          <w:sz w:val="24"/>
        </w:rPr>
        <w:t>was</w:t>
      </w:r>
      <w:r w:rsidRPr="0013386C">
        <w:rPr>
          <w:rFonts w:ascii="Times New Roman" w:hAnsi="Times New Roman" w:cs="Times New Roman"/>
          <w:noProof/>
          <w:sz w:val="24"/>
        </w:rPr>
        <w:t xml:space="preserve"> </w:t>
      </w:r>
      <w:r w:rsidR="007D7B37">
        <w:rPr>
          <w:rFonts w:ascii="Times New Roman" w:hAnsi="Times New Roman" w:cs="Times New Roman"/>
          <w:noProof/>
          <w:sz w:val="24"/>
        </w:rPr>
        <w:t>severely restricted</w:t>
      </w:r>
      <w:r>
        <w:rPr>
          <w:rFonts w:ascii="Times New Roman" w:hAnsi="Times New Roman" w:cs="Times New Roman"/>
          <w:noProof/>
          <w:sz w:val="24"/>
        </w:rPr>
        <w:t>.</w:t>
      </w:r>
      <w:r w:rsidR="007D7B37">
        <w:rPr>
          <w:rFonts w:ascii="Times New Roman" w:hAnsi="Times New Roman" w:cs="Times New Roman"/>
          <w:noProof/>
          <w:sz w:val="24"/>
        </w:rPr>
        <w:t xml:space="preserve"> </w:t>
      </w:r>
      <w:r>
        <w:rPr>
          <w:rFonts w:ascii="Times New Roman" w:hAnsi="Times New Roman" w:cs="Times New Roman"/>
          <w:noProof/>
          <w:sz w:val="24"/>
        </w:rPr>
        <w:t>A</w:t>
      </w:r>
      <w:r w:rsidR="0012373F" w:rsidRPr="0013386C">
        <w:rPr>
          <w:rFonts w:ascii="Times New Roman" w:hAnsi="Times New Roman" w:cs="Times New Roman"/>
          <w:noProof/>
          <w:sz w:val="24"/>
        </w:rPr>
        <w:t>ddition</w:t>
      </w:r>
      <w:r w:rsidR="007D7B37">
        <w:rPr>
          <w:rFonts w:ascii="Times New Roman" w:hAnsi="Times New Roman" w:cs="Times New Roman"/>
          <w:noProof/>
          <w:sz w:val="24"/>
        </w:rPr>
        <w:t xml:space="preserve">ally a new category of staff was introduced: Secretary </w:t>
      </w:r>
      <w:r>
        <w:rPr>
          <w:rFonts w:ascii="Times New Roman" w:hAnsi="Times New Roman" w:cs="Times New Roman"/>
          <w:noProof/>
          <w:sz w:val="24"/>
        </w:rPr>
        <w:t>and</w:t>
      </w:r>
      <w:r w:rsidR="007D7B37">
        <w:rPr>
          <w:rFonts w:ascii="Times New Roman" w:hAnsi="Times New Roman" w:cs="Times New Roman"/>
          <w:noProof/>
          <w:sz w:val="24"/>
        </w:rPr>
        <w:t xml:space="preserve"> Clerks (</w:t>
      </w:r>
      <w:r w:rsidR="0012373F" w:rsidRPr="0013386C">
        <w:rPr>
          <w:rFonts w:ascii="Times New Roman" w:hAnsi="Times New Roman" w:cs="Times New Roman"/>
          <w:noProof/>
          <w:sz w:val="24"/>
        </w:rPr>
        <w:t>AST/SC</w:t>
      </w:r>
      <w:r w:rsidR="007D7B37">
        <w:rPr>
          <w:rFonts w:ascii="Times New Roman" w:hAnsi="Times New Roman" w:cs="Times New Roman"/>
          <w:noProof/>
          <w:sz w:val="24"/>
        </w:rPr>
        <w:t>)</w:t>
      </w:r>
      <w:r w:rsidR="0012373F" w:rsidRPr="0013386C">
        <w:rPr>
          <w:rFonts w:ascii="Times New Roman" w:hAnsi="Times New Roman" w:cs="Times New Roman"/>
          <w:noProof/>
          <w:sz w:val="24"/>
        </w:rPr>
        <w:t>.</w:t>
      </w:r>
      <w:r>
        <w:rPr>
          <w:rFonts w:ascii="Times New Roman" w:hAnsi="Times New Roman" w:cs="Times New Roman"/>
          <w:noProof/>
          <w:sz w:val="24"/>
        </w:rPr>
        <w:t xml:space="preserve"> These evolutions have been reflected by the </w:t>
      </w:r>
      <w:r w:rsidR="001A515A">
        <w:rPr>
          <w:rFonts w:ascii="Times New Roman" w:hAnsi="Times New Roman" w:cs="Times New Roman"/>
          <w:noProof/>
          <w:sz w:val="24"/>
        </w:rPr>
        <w:t>individual salary p</w:t>
      </w:r>
      <w:r w:rsidR="001A515A" w:rsidRPr="0013386C">
        <w:rPr>
          <w:rFonts w:ascii="Times New Roman" w:hAnsi="Times New Roman" w:cs="Times New Roman"/>
          <w:noProof/>
          <w:sz w:val="24"/>
        </w:rPr>
        <w:t>rogression</w:t>
      </w:r>
      <w:r>
        <w:rPr>
          <w:rFonts w:ascii="Times New Roman" w:hAnsi="Times New Roman" w:cs="Times New Roman"/>
          <w:noProof/>
          <w:sz w:val="24"/>
        </w:rPr>
        <w:t>.</w:t>
      </w:r>
    </w:p>
    <w:p w14:paraId="4F7CF7FE" w14:textId="2D98152C" w:rsidR="00B87BD2" w:rsidRPr="00DE27C1" w:rsidRDefault="0012373F" w:rsidP="0013386C">
      <w:pPr>
        <w:jc w:val="both"/>
        <w:rPr>
          <w:rFonts w:ascii="Times New Roman" w:hAnsi="Times New Roman" w:cs="Times New Roman"/>
          <w:noProof/>
          <w:sz w:val="24"/>
        </w:rPr>
      </w:pPr>
      <w:r w:rsidRPr="0013386C">
        <w:rPr>
          <w:rFonts w:ascii="Times New Roman" w:hAnsi="Times New Roman" w:cs="Times New Roman"/>
          <w:noProof/>
          <w:sz w:val="24"/>
        </w:rPr>
        <w:t xml:space="preserve">Annex </w:t>
      </w:r>
      <w:r w:rsidR="00947577">
        <w:rPr>
          <w:rFonts w:ascii="Times New Roman" w:hAnsi="Times New Roman" w:cs="Times New Roman"/>
          <w:noProof/>
          <w:sz w:val="24"/>
        </w:rPr>
        <w:t>4</w:t>
      </w:r>
      <w:r w:rsidRPr="0013386C">
        <w:rPr>
          <w:rFonts w:ascii="Times New Roman" w:hAnsi="Times New Roman" w:cs="Times New Roman"/>
          <w:noProof/>
          <w:sz w:val="24"/>
        </w:rPr>
        <w:t xml:space="preserve"> provides the list of financial assumptions used for the last pension assessment in 2022</w:t>
      </w:r>
      <w:r w:rsidR="000929DD">
        <w:rPr>
          <w:rFonts w:ascii="Times New Roman" w:hAnsi="Times New Roman" w:cs="Times New Roman"/>
          <w:noProof/>
          <w:sz w:val="24"/>
        </w:rPr>
        <w:t xml:space="preserve"> as well as a sensitivity analysis of the variation of these assumptions</w:t>
      </w:r>
      <w:r w:rsidRPr="0013386C">
        <w:rPr>
          <w:rFonts w:ascii="Times New Roman" w:hAnsi="Times New Roman" w:cs="Times New Roman"/>
          <w:noProof/>
          <w:sz w:val="24"/>
        </w:rPr>
        <w:t>.</w:t>
      </w:r>
    </w:p>
    <w:p w14:paraId="0842BC92" w14:textId="77777777" w:rsidR="00C837F6" w:rsidRPr="0013386C" w:rsidRDefault="0012373F" w:rsidP="00170470">
      <w:pPr>
        <w:pStyle w:val="Heading2"/>
        <w:numPr>
          <w:ilvl w:val="1"/>
          <w:numId w:val="1"/>
        </w:numPr>
        <w:spacing w:after="120" w:line="240" w:lineRule="auto"/>
        <w:rPr>
          <w:noProof/>
        </w:rPr>
      </w:pPr>
      <w:r>
        <w:rPr>
          <w:noProof/>
        </w:rPr>
        <w:t xml:space="preserve">Implementation of the principle of actuarial balance </w:t>
      </w:r>
    </w:p>
    <w:p w14:paraId="0348D2BB" w14:textId="36D307F5" w:rsidR="0012373F" w:rsidRPr="0012373F" w:rsidRDefault="0012373F" w:rsidP="00170470">
      <w:pPr>
        <w:spacing w:after="120" w:line="240" w:lineRule="auto"/>
        <w:jc w:val="both"/>
        <w:rPr>
          <w:rFonts w:ascii="Times New Roman" w:hAnsi="Times New Roman" w:cs="Times New Roman"/>
          <w:noProof/>
          <w:sz w:val="24"/>
        </w:rPr>
      </w:pPr>
      <w:r w:rsidRPr="0012373F">
        <w:rPr>
          <w:rFonts w:ascii="Times New Roman" w:hAnsi="Times New Roman" w:cs="Times New Roman"/>
          <w:noProof/>
          <w:sz w:val="24"/>
        </w:rPr>
        <w:t xml:space="preserve">The balance of the PSEO is ensured through the </w:t>
      </w:r>
      <w:r w:rsidR="00206D95">
        <w:rPr>
          <w:rFonts w:ascii="Times New Roman" w:hAnsi="Times New Roman" w:cs="Times New Roman"/>
          <w:noProof/>
          <w:sz w:val="24"/>
        </w:rPr>
        <w:t xml:space="preserve">updates of the PCR </w:t>
      </w:r>
      <w:r w:rsidR="00206D95" w:rsidRPr="0012373F">
        <w:rPr>
          <w:rFonts w:ascii="Times New Roman" w:hAnsi="Times New Roman" w:cs="Times New Roman"/>
          <w:noProof/>
          <w:sz w:val="24"/>
        </w:rPr>
        <w:t xml:space="preserve">pursuant to the provisions under Annex XII </w:t>
      </w:r>
      <w:r w:rsidR="001A515A">
        <w:rPr>
          <w:rFonts w:ascii="Times New Roman" w:hAnsi="Times New Roman" w:cs="Times New Roman"/>
          <w:noProof/>
          <w:sz w:val="24"/>
        </w:rPr>
        <w:t>to the Staff Regulations</w:t>
      </w:r>
      <w:r w:rsidR="00206D95" w:rsidRPr="0012373F">
        <w:rPr>
          <w:rFonts w:ascii="Times New Roman" w:hAnsi="Times New Roman" w:cs="Times New Roman"/>
          <w:noProof/>
          <w:sz w:val="24"/>
        </w:rPr>
        <w:t xml:space="preserve"> </w:t>
      </w:r>
      <w:r w:rsidR="00206D95">
        <w:rPr>
          <w:rFonts w:ascii="Times New Roman" w:hAnsi="Times New Roman" w:cs="Times New Roman"/>
          <w:noProof/>
          <w:sz w:val="24"/>
        </w:rPr>
        <w:t xml:space="preserve">and, where appropriate, the </w:t>
      </w:r>
      <w:r w:rsidRPr="0012373F">
        <w:rPr>
          <w:rFonts w:ascii="Times New Roman" w:hAnsi="Times New Roman" w:cs="Times New Roman"/>
          <w:noProof/>
          <w:sz w:val="24"/>
        </w:rPr>
        <w:t xml:space="preserve">pensionable age. In light of this, the PSEO is by definition always in actuarial balance. Whereas the pensionable age </w:t>
      </w:r>
      <w:r w:rsidR="00997BB3">
        <w:rPr>
          <w:rFonts w:ascii="Times New Roman" w:hAnsi="Times New Roman" w:cs="Times New Roman"/>
          <w:noProof/>
          <w:sz w:val="24"/>
        </w:rPr>
        <w:t>may be updated every five years</w:t>
      </w:r>
      <w:r w:rsidRPr="0012373F">
        <w:rPr>
          <w:rFonts w:ascii="Times New Roman" w:hAnsi="Times New Roman" w:cs="Times New Roman"/>
          <w:noProof/>
          <w:sz w:val="24"/>
        </w:rPr>
        <w:t>, the PCR is assessed every year by Eurostat.</w:t>
      </w:r>
    </w:p>
    <w:p w14:paraId="1BC9116C" w14:textId="4E69E4E2" w:rsidR="0012373F" w:rsidRPr="0012373F" w:rsidRDefault="0012373F" w:rsidP="0012373F">
      <w:pPr>
        <w:jc w:val="both"/>
        <w:rPr>
          <w:rFonts w:ascii="Times New Roman" w:hAnsi="Times New Roman" w:cs="Times New Roman"/>
          <w:noProof/>
          <w:sz w:val="24"/>
        </w:rPr>
      </w:pPr>
      <w:r w:rsidRPr="0012373F">
        <w:rPr>
          <w:rFonts w:ascii="Times New Roman" w:hAnsi="Times New Roman" w:cs="Times New Roman"/>
          <w:noProof/>
          <w:sz w:val="24"/>
        </w:rPr>
        <w:t>The Staff Regulations lay down a system for the update of the PCR based on two threshold</w:t>
      </w:r>
      <w:r w:rsidR="00215EE8">
        <w:rPr>
          <w:rFonts w:ascii="Times New Roman" w:hAnsi="Times New Roman" w:cs="Times New Roman"/>
          <w:noProof/>
          <w:sz w:val="24"/>
        </w:rPr>
        <w:t>s: a “floor</w:t>
      </w:r>
      <w:r w:rsidRPr="0012373F">
        <w:rPr>
          <w:rFonts w:ascii="Times New Roman" w:hAnsi="Times New Roman" w:cs="Times New Roman"/>
          <w:noProof/>
          <w:sz w:val="24"/>
        </w:rPr>
        <w:t xml:space="preserve">” and a “ceiling” </w:t>
      </w:r>
      <w:r w:rsidR="00215EE8">
        <w:rPr>
          <w:rFonts w:ascii="Times New Roman" w:hAnsi="Times New Roman" w:cs="Times New Roman"/>
          <w:noProof/>
          <w:sz w:val="24"/>
        </w:rPr>
        <w:t xml:space="preserve">threshold. The floor threshold </w:t>
      </w:r>
      <w:r w:rsidRPr="0012373F">
        <w:rPr>
          <w:rFonts w:ascii="Times New Roman" w:hAnsi="Times New Roman" w:cs="Times New Roman"/>
          <w:noProof/>
          <w:sz w:val="24"/>
        </w:rPr>
        <w:t>refers to the minimum gap between the rate in place and the rate needed to keep the actuarial balance (0.25</w:t>
      </w:r>
      <w:r w:rsidR="0048234E">
        <w:rPr>
          <w:rFonts w:ascii="Times New Roman" w:hAnsi="Times New Roman" w:cs="Times New Roman"/>
          <w:noProof/>
          <w:sz w:val="24"/>
        </w:rPr>
        <w:t xml:space="preserve"> points</w:t>
      </w:r>
      <w:r w:rsidRPr="0012373F">
        <w:rPr>
          <w:rFonts w:ascii="Times New Roman" w:hAnsi="Times New Roman" w:cs="Times New Roman"/>
          <w:noProof/>
          <w:sz w:val="24"/>
        </w:rPr>
        <w:t>). This provision, on the one hand significantly reduces administrative burden by updating the PCR only when its changes would significantly impact the actuarial balance of the PSEO</w:t>
      </w:r>
      <w:r w:rsidR="00215EE8">
        <w:rPr>
          <w:rFonts w:ascii="Times New Roman" w:hAnsi="Times New Roman" w:cs="Times New Roman"/>
          <w:noProof/>
          <w:sz w:val="24"/>
        </w:rPr>
        <w:t>,</w:t>
      </w:r>
      <w:r w:rsidRPr="0012373F">
        <w:rPr>
          <w:rFonts w:ascii="Times New Roman" w:hAnsi="Times New Roman" w:cs="Times New Roman"/>
          <w:noProof/>
          <w:sz w:val="24"/>
        </w:rPr>
        <w:t xml:space="preserve"> and on the other ensures that the PCR remains stable and predictable fo</w:t>
      </w:r>
      <w:r w:rsidR="00215EE8">
        <w:rPr>
          <w:rFonts w:ascii="Times New Roman" w:hAnsi="Times New Roman" w:cs="Times New Roman"/>
          <w:noProof/>
          <w:sz w:val="24"/>
        </w:rPr>
        <w:t xml:space="preserve">r staff. The ceiling threshold </w:t>
      </w:r>
      <w:r w:rsidRPr="0012373F">
        <w:rPr>
          <w:rFonts w:ascii="Times New Roman" w:hAnsi="Times New Roman" w:cs="Times New Roman"/>
          <w:noProof/>
          <w:sz w:val="24"/>
        </w:rPr>
        <w:t>establishes that the PCR shall not be updated by more than one percentage point above or below the valid rate of the previous year. Thi</w:t>
      </w:r>
      <w:r w:rsidR="00997BB3">
        <w:rPr>
          <w:rFonts w:ascii="Times New Roman" w:hAnsi="Times New Roman" w:cs="Times New Roman"/>
          <w:noProof/>
          <w:sz w:val="24"/>
        </w:rPr>
        <w:t>s provision ensures that staff</w:t>
      </w:r>
      <w:r w:rsidRPr="0012373F">
        <w:rPr>
          <w:rFonts w:ascii="Times New Roman" w:hAnsi="Times New Roman" w:cs="Times New Roman"/>
          <w:noProof/>
          <w:sz w:val="24"/>
        </w:rPr>
        <w:t xml:space="preserve"> is protected from abrupt changes of the PCR in short periods and that the contribution to the EU budget remains relatively stable. </w:t>
      </w:r>
    </w:p>
    <w:p w14:paraId="0BAE2CA3" w14:textId="668125AE" w:rsidR="0012373F" w:rsidRPr="0012373F" w:rsidRDefault="0012373F" w:rsidP="0012373F">
      <w:pPr>
        <w:jc w:val="both"/>
        <w:rPr>
          <w:rFonts w:ascii="Times New Roman" w:hAnsi="Times New Roman" w:cs="Times New Roman"/>
          <w:noProof/>
          <w:sz w:val="24"/>
        </w:rPr>
      </w:pPr>
      <w:r w:rsidRPr="0012373F">
        <w:rPr>
          <w:rFonts w:ascii="Times New Roman" w:hAnsi="Times New Roman" w:cs="Times New Roman"/>
          <w:noProof/>
          <w:sz w:val="24"/>
        </w:rPr>
        <w:t xml:space="preserve">Annex </w:t>
      </w:r>
      <w:r w:rsidR="00947577">
        <w:rPr>
          <w:rFonts w:ascii="Times New Roman" w:hAnsi="Times New Roman" w:cs="Times New Roman"/>
          <w:noProof/>
          <w:sz w:val="24"/>
        </w:rPr>
        <w:t>5</w:t>
      </w:r>
      <w:r w:rsidRPr="0012373F">
        <w:rPr>
          <w:rFonts w:ascii="Times New Roman" w:hAnsi="Times New Roman" w:cs="Times New Roman"/>
          <w:noProof/>
          <w:sz w:val="24"/>
        </w:rPr>
        <w:t xml:space="preserve"> demonstrates that </w:t>
      </w:r>
      <w:r w:rsidR="00997BB3">
        <w:rPr>
          <w:rFonts w:ascii="Times New Roman" w:hAnsi="Times New Roman" w:cs="Times New Roman"/>
          <w:noProof/>
          <w:sz w:val="24"/>
        </w:rPr>
        <w:t xml:space="preserve">the </w:t>
      </w:r>
      <w:r w:rsidRPr="0012373F">
        <w:rPr>
          <w:rFonts w:ascii="Times New Roman" w:hAnsi="Times New Roman" w:cs="Times New Roman"/>
          <w:noProof/>
          <w:sz w:val="24"/>
        </w:rPr>
        <w:t xml:space="preserve">PSEO </w:t>
      </w:r>
      <w:r w:rsidR="00ED280C">
        <w:rPr>
          <w:rFonts w:ascii="Times New Roman" w:hAnsi="Times New Roman" w:cs="Times New Roman"/>
          <w:noProof/>
          <w:sz w:val="24"/>
        </w:rPr>
        <w:t>has been</w:t>
      </w:r>
      <w:r w:rsidR="00ED280C" w:rsidRPr="0012373F">
        <w:rPr>
          <w:rFonts w:ascii="Times New Roman" w:hAnsi="Times New Roman" w:cs="Times New Roman"/>
          <w:noProof/>
          <w:sz w:val="24"/>
        </w:rPr>
        <w:t xml:space="preserve"> </w:t>
      </w:r>
      <w:r w:rsidRPr="0012373F">
        <w:rPr>
          <w:rFonts w:ascii="Times New Roman" w:hAnsi="Times New Roman" w:cs="Times New Roman"/>
          <w:noProof/>
          <w:sz w:val="24"/>
        </w:rPr>
        <w:t>kept in actuarial balance throughout the period 2014-</w:t>
      </w:r>
      <w:r w:rsidR="00733C0A">
        <w:rPr>
          <w:rFonts w:ascii="Times New Roman" w:hAnsi="Times New Roman" w:cs="Times New Roman"/>
          <w:noProof/>
          <w:sz w:val="24"/>
        </w:rPr>
        <w:t>20</w:t>
      </w:r>
      <w:r w:rsidRPr="0012373F">
        <w:rPr>
          <w:rFonts w:ascii="Times New Roman" w:hAnsi="Times New Roman" w:cs="Times New Roman"/>
          <w:noProof/>
          <w:sz w:val="24"/>
        </w:rPr>
        <w:t xml:space="preserve">22. The balance was ensured by the </w:t>
      </w:r>
      <w:r w:rsidR="00597599">
        <w:rPr>
          <w:rFonts w:ascii="Times New Roman" w:hAnsi="Times New Roman" w:cs="Times New Roman"/>
          <w:noProof/>
          <w:sz w:val="24"/>
        </w:rPr>
        <w:t xml:space="preserve">PSEO </w:t>
      </w:r>
      <w:r w:rsidRPr="0012373F">
        <w:rPr>
          <w:rFonts w:ascii="Times New Roman" w:hAnsi="Times New Roman" w:cs="Times New Roman"/>
          <w:noProof/>
          <w:sz w:val="24"/>
        </w:rPr>
        <w:t>yearly assessments</w:t>
      </w:r>
      <w:r w:rsidR="00ED280C">
        <w:rPr>
          <w:rFonts w:ascii="Times New Roman" w:hAnsi="Times New Roman" w:cs="Times New Roman"/>
          <w:noProof/>
          <w:sz w:val="24"/>
        </w:rPr>
        <w:t xml:space="preserve"> conducted by Eurostat</w:t>
      </w:r>
      <w:r w:rsidRPr="0012373F">
        <w:rPr>
          <w:rFonts w:ascii="Times New Roman" w:hAnsi="Times New Roman" w:cs="Times New Roman"/>
          <w:noProof/>
          <w:sz w:val="24"/>
        </w:rPr>
        <w:t xml:space="preserve"> </w:t>
      </w:r>
      <w:r w:rsidR="00597599">
        <w:rPr>
          <w:rFonts w:ascii="Times New Roman" w:hAnsi="Times New Roman" w:cs="Times New Roman"/>
          <w:noProof/>
          <w:sz w:val="24"/>
        </w:rPr>
        <w:t xml:space="preserve">and </w:t>
      </w:r>
      <w:r w:rsidRPr="0012373F">
        <w:rPr>
          <w:rFonts w:ascii="Times New Roman" w:hAnsi="Times New Roman" w:cs="Times New Roman"/>
          <w:noProof/>
          <w:sz w:val="24"/>
        </w:rPr>
        <w:t xml:space="preserve">the </w:t>
      </w:r>
      <w:r w:rsidR="00597599">
        <w:rPr>
          <w:rFonts w:ascii="Times New Roman" w:hAnsi="Times New Roman" w:cs="Times New Roman"/>
          <w:noProof/>
          <w:sz w:val="24"/>
        </w:rPr>
        <w:t xml:space="preserve">resulting </w:t>
      </w:r>
      <w:r w:rsidRPr="0012373F">
        <w:rPr>
          <w:rFonts w:ascii="Times New Roman" w:hAnsi="Times New Roman" w:cs="Times New Roman"/>
          <w:noProof/>
          <w:sz w:val="24"/>
        </w:rPr>
        <w:t>PCR</w:t>
      </w:r>
      <w:r w:rsidR="001560F3">
        <w:rPr>
          <w:rFonts w:ascii="Times New Roman" w:hAnsi="Times New Roman" w:cs="Times New Roman"/>
          <w:noProof/>
          <w:sz w:val="24"/>
        </w:rPr>
        <w:t xml:space="preserve"> change</w:t>
      </w:r>
      <w:r w:rsidRPr="0012373F">
        <w:rPr>
          <w:rFonts w:ascii="Times New Roman" w:hAnsi="Times New Roman" w:cs="Times New Roman"/>
          <w:noProof/>
          <w:sz w:val="24"/>
        </w:rPr>
        <w:t xml:space="preserve">, </w:t>
      </w:r>
      <w:r w:rsidR="001560F3">
        <w:rPr>
          <w:rFonts w:ascii="Times New Roman" w:hAnsi="Times New Roman" w:cs="Times New Roman"/>
          <w:noProof/>
          <w:sz w:val="24"/>
        </w:rPr>
        <w:t xml:space="preserve">i.e. the PCR value </w:t>
      </w:r>
      <w:r w:rsidR="00733C0A">
        <w:rPr>
          <w:rFonts w:ascii="Times New Roman" w:hAnsi="Times New Roman" w:cs="Times New Roman"/>
          <w:noProof/>
          <w:sz w:val="24"/>
        </w:rPr>
        <w:t>correspond</w:t>
      </w:r>
      <w:r w:rsidR="00150253">
        <w:rPr>
          <w:rFonts w:ascii="Times New Roman" w:hAnsi="Times New Roman" w:cs="Times New Roman"/>
          <w:noProof/>
          <w:sz w:val="24"/>
        </w:rPr>
        <w:t>s</w:t>
      </w:r>
      <w:r w:rsidR="00733C0A">
        <w:rPr>
          <w:rFonts w:ascii="Times New Roman" w:hAnsi="Times New Roman" w:cs="Times New Roman"/>
          <w:noProof/>
          <w:sz w:val="24"/>
        </w:rPr>
        <w:t xml:space="preserve"> to</w:t>
      </w:r>
      <w:r w:rsidR="00733C0A" w:rsidRPr="0012373F">
        <w:rPr>
          <w:rFonts w:ascii="Times New Roman" w:hAnsi="Times New Roman" w:cs="Times New Roman"/>
          <w:noProof/>
          <w:sz w:val="24"/>
        </w:rPr>
        <w:t xml:space="preserve"> </w:t>
      </w:r>
      <w:r w:rsidRPr="0012373F">
        <w:rPr>
          <w:rFonts w:ascii="Times New Roman" w:hAnsi="Times New Roman" w:cs="Times New Roman"/>
          <w:noProof/>
          <w:sz w:val="24"/>
        </w:rPr>
        <w:t>one third of the ratio between the total of the service cost and the total of the annual basic salaries</w:t>
      </w:r>
      <w:r w:rsidR="00597599">
        <w:rPr>
          <w:rFonts w:ascii="Times New Roman" w:hAnsi="Times New Roman" w:cs="Times New Roman"/>
          <w:noProof/>
          <w:sz w:val="24"/>
        </w:rPr>
        <w:t>/allowances</w:t>
      </w:r>
      <w:r w:rsidRPr="0012373F">
        <w:rPr>
          <w:rFonts w:ascii="Times New Roman" w:hAnsi="Times New Roman" w:cs="Times New Roman"/>
          <w:noProof/>
          <w:sz w:val="24"/>
        </w:rPr>
        <w:t xml:space="preserve">. </w:t>
      </w:r>
      <w:r w:rsidR="00AF03D4">
        <w:rPr>
          <w:rFonts w:ascii="Times New Roman" w:hAnsi="Times New Roman" w:cs="Times New Roman"/>
          <w:noProof/>
          <w:sz w:val="24"/>
        </w:rPr>
        <w:t>In addition, t</w:t>
      </w:r>
      <w:r w:rsidRPr="0012373F">
        <w:rPr>
          <w:rFonts w:ascii="Times New Roman" w:hAnsi="Times New Roman" w:cs="Times New Roman"/>
          <w:noProof/>
          <w:sz w:val="24"/>
        </w:rPr>
        <w:t xml:space="preserve">he difference between the calculated and applied PCR did not imply a significant material consequence and therefore the </w:t>
      </w:r>
      <w:r w:rsidR="00AF03D4">
        <w:rPr>
          <w:rFonts w:ascii="Times New Roman" w:hAnsi="Times New Roman" w:cs="Times New Roman"/>
          <w:noProof/>
          <w:sz w:val="24"/>
        </w:rPr>
        <w:t xml:space="preserve">PSEO remained in </w:t>
      </w:r>
      <w:r w:rsidRPr="0012373F">
        <w:rPr>
          <w:rFonts w:ascii="Times New Roman" w:hAnsi="Times New Roman" w:cs="Times New Roman"/>
          <w:noProof/>
          <w:sz w:val="24"/>
        </w:rPr>
        <w:t>actuarial balance.</w:t>
      </w:r>
    </w:p>
    <w:p w14:paraId="33F32FE0" w14:textId="77777777" w:rsidR="00BD5D35" w:rsidRDefault="00432B3F" w:rsidP="00170470">
      <w:pPr>
        <w:pStyle w:val="Heading2"/>
        <w:numPr>
          <w:ilvl w:val="1"/>
          <w:numId w:val="1"/>
        </w:numPr>
        <w:spacing w:after="120" w:line="240" w:lineRule="auto"/>
        <w:rPr>
          <w:noProof/>
        </w:rPr>
      </w:pPr>
      <w:r w:rsidRPr="00E46B93">
        <w:rPr>
          <w:noProof/>
        </w:rPr>
        <w:t>Assessment of pensionable age</w:t>
      </w:r>
    </w:p>
    <w:p w14:paraId="138062DE" w14:textId="5A72D3F3" w:rsidR="00113037" w:rsidRDefault="00113037" w:rsidP="00170470">
      <w:pPr>
        <w:spacing w:after="120" w:line="240" w:lineRule="auto"/>
        <w:jc w:val="both"/>
        <w:rPr>
          <w:rFonts w:ascii="Times New Roman" w:hAnsi="Times New Roman" w:cs="Times New Roman"/>
          <w:noProof/>
          <w:sz w:val="24"/>
        </w:rPr>
      </w:pPr>
      <w:r w:rsidRPr="00E46B93">
        <w:rPr>
          <w:rFonts w:ascii="Times New Roman" w:hAnsi="Times New Roman" w:cs="Times New Roman"/>
          <w:noProof/>
          <w:sz w:val="24"/>
        </w:rPr>
        <w:t xml:space="preserve">The system of regular </w:t>
      </w:r>
      <w:r>
        <w:rPr>
          <w:rFonts w:ascii="Times New Roman" w:hAnsi="Times New Roman" w:cs="Times New Roman"/>
          <w:noProof/>
          <w:sz w:val="24"/>
        </w:rPr>
        <w:t>assessments</w:t>
      </w:r>
      <w:r w:rsidRPr="00E46B93">
        <w:rPr>
          <w:rFonts w:ascii="Times New Roman" w:hAnsi="Times New Roman" w:cs="Times New Roman"/>
          <w:noProof/>
          <w:sz w:val="24"/>
        </w:rPr>
        <w:t xml:space="preserve"> of the pensionable age </w:t>
      </w:r>
      <w:r w:rsidR="007777F6">
        <w:rPr>
          <w:rFonts w:ascii="Times New Roman" w:hAnsi="Times New Roman" w:cs="Times New Roman"/>
          <w:noProof/>
          <w:sz w:val="24"/>
        </w:rPr>
        <w:t>laid do</w:t>
      </w:r>
      <w:r w:rsidR="0048234E">
        <w:rPr>
          <w:rFonts w:ascii="Times New Roman" w:hAnsi="Times New Roman" w:cs="Times New Roman"/>
          <w:noProof/>
          <w:sz w:val="24"/>
        </w:rPr>
        <w:t>wn by the co-legislator in 2014</w:t>
      </w:r>
      <w:r w:rsidR="007777F6">
        <w:rPr>
          <w:rFonts w:ascii="Times New Roman" w:hAnsi="Times New Roman" w:cs="Times New Roman"/>
          <w:noProof/>
          <w:sz w:val="24"/>
        </w:rPr>
        <w:t xml:space="preserve"> </w:t>
      </w:r>
      <w:r w:rsidR="001560F3">
        <w:rPr>
          <w:rFonts w:ascii="Times New Roman" w:hAnsi="Times New Roman" w:cs="Times New Roman"/>
          <w:noProof/>
          <w:sz w:val="24"/>
        </w:rPr>
        <w:t xml:space="preserve">also </w:t>
      </w:r>
      <w:r w:rsidR="007777F6">
        <w:rPr>
          <w:rFonts w:ascii="Times New Roman" w:hAnsi="Times New Roman" w:cs="Times New Roman"/>
          <w:noProof/>
          <w:sz w:val="24"/>
        </w:rPr>
        <w:t>e</w:t>
      </w:r>
      <w:r>
        <w:rPr>
          <w:rFonts w:ascii="Times New Roman" w:hAnsi="Times New Roman" w:cs="Times New Roman"/>
          <w:noProof/>
          <w:sz w:val="24"/>
        </w:rPr>
        <w:t xml:space="preserve">nsures </w:t>
      </w:r>
      <w:r w:rsidRPr="00E46B93">
        <w:rPr>
          <w:rFonts w:ascii="Times New Roman" w:hAnsi="Times New Roman" w:cs="Times New Roman"/>
          <w:noProof/>
          <w:sz w:val="24"/>
        </w:rPr>
        <w:t>the sustainability of the PSEO</w:t>
      </w:r>
      <w:r>
        <w:rPr>
          <w:rFonts w:ascii="Times New Roman" w:hAnsi="Times New Roman" w:cs="Times New Roman"/>
          <w:noProof/>
          <w:sz w:val="24"/>
        </w:rPr>
        <w:t>. B</w:t>
      </w:r>
      <w:r w:rsidRPr="00E46B93">
        <w:rPr>
          <w:rFonts w:ascii="Times New Roman" w:hAnsi="Times New Roman" w:cs="Times New Roman"/>
          <w:noProof/>
          <w:sz w:val="24"/>
        </w:rPr>
        <w:t xml:space="preserve">y establishing a clear link between </w:t>
      </w:r>
      <w:r w:rsidR="00597599">
        <w:rPr>
          <w:rFonts w:ascii="Times New Roman" w:hAnsi="Times New Roman" w:cs="Times New Roman"/>
          <w:noProof/>
          <w:sz w:val="24"/>
        </w:rPr>
        <w:t xml:space="preserve">the </w:t>
      </w:r>
      <w:r w:rsidRPr="00E46B93">
        <w:rPr>
          <w:rFonts w:ascii="Times New Roman" w:hAnsi="Times New Roman" w:cs="Times New Roman"/>
          <w:noProof/>
          <w:sz w:val="24"/>
        </w:rPr>
        <w:t xml:space="preserve">EU staff life expectancy and </w:t>
      </w:r>
      <w:r w:rsidR="00597599">
        <w:rPr>
          <w:rFonts w:ascii="Times New Roman" w:hAnsi="Times New Roman" w:cs="Times New Roman"/>
          <w:noProof/>
          <w:sz w:val="24"/>
        </w:rPr>
        <w:t xml:space="preserve">the </w:t>
      </w:r>
      <w:r w:rsidRPr="00E46B93">
        <w:rPr>
          <w:rFonts w:ascii="Times New Roman" w:hAnsi="Times New Roman" w:cs="Times New Roman"/>
          <w:noProof/>
          <w:sz w:val="24"/>
        </w:rPr>
        <w:t>EU staff pensionable age</w:t>
      </w:r>
      <w:r>
        <w:rPr>
          <w:rFonts w:ascii="Times New Roman" w:hAnsi="Times New Roman" w:cs="Times New Roman"/>
          <w:noProof/>
          <w:sz w:val="24"/>
        </w:rPr>
        <w:t xml:space="preserve">, </w:t>
      </w:r>
      <w:r w:rsidRPr="00E46B93">
        <w:rPr>
          <w:rFonts w:ascii="Times New Roman" w:hAnsi="Times New Roman" w:cs="Times New Roman"/>
          <w:noProof/>
          <w:sz w:val="24"/>
        </w:rPr>
        <w:t xml:space="preserve">the Staff Regulations ensure that the PSEO is adequate in </w:t>
      </w:r>
      <w:r w:rsidR="00597599">
        <w:rPr>
          <w:rFonts w:ascii="Times New Roman" w:hAnsi="Times New Roman" w:cs="Times New Roman"/>
          <w:noProof/>
          <w:sz w:val="24"/>
        </w:rPr>
        <w:t>a</w:t>
      </w:r>
      <w:r w:rsidR="00597599" w:rsidRPr="00E46B93">
        <w:rPr>
          <w:rFonts w:ascii="Times New Roman" w:hAnsi="Times New Roman" w:cs="Times New Roman"/>
          <w:noProof/>
          <w:sz w:val="24"/>
        </w:rPr>
        <w:t xml:space="preserve"> </w:t>
      </w:r>
      <w:r w:rsidRPr="00E46B93">
        <w:rPr>
          <w:rFonts w:ascii="Times New Roman" w:hAnsi="Times New Roman" w:cs="Times New Roman"/>
          <w:noProof/>
          <w:sz w:val="24"/>
        </w:rPr>
        <w:t xml:space="preserve">context of </w:t>
      </w:r>
      <w:r w:rsidR="00597599">
        <w:rPr>
          <w:rFonts w:ascii="Times New Roman" w:hAnsi="Times New Roman" w:cs="Times New Roman"/>
          <w:noProof/>
          <w:sz w:val="24"/>
        </w:rPr>
        <w:t xml:space="preserve">general </w:t>
      </w:r>
      <w:r w:rsidRPr="00E46B93">
        <w:rPr>
          <w:rFonts w:ascii="Times New Roman" w:hAnsi="Times New Roman" w:cs="Times New Roman"/>
          <w:noProof/>
          <w:sz w:val="24"/>
        </w:rPr>
        <w:t>ageing population.</w:t>
      </w:r>
    </w:p>
    <w:p w14:paraId="3F5DA4DB" w14:textId="1F96BB7C" w:rsidR="003127A9" w:rsidRDefault="004F3F4F"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The n</w:t>
      </w:r>
      <w:r w:rsidR="00BD5D35" w:rsidRPr="00E46B93">
        <w:rPr>
          <w:rFonts w:ascii="Times New Roman" w:hAnsi="Times New Roman" w:cs="Times New Roman"/>
          <w:noProof/>
          <w:sz w:val="24"/>
        </w:rPr>
        <w:t>ormal pensionable age, which is defined as the age allowing staff members to retire without penalties, is set at 66 years</w:t>
      </w:r>
      <w:r w:rsidR="003127A9">
        <w:rPr>
          <w:rFonts w:ascii="Times New Roman" w:hAnsi="Times New Roman" w:cs="Times New Roman"/>
          <w:noProof/>
          <w:sz w:val="24"/>
        </w:rPr>
        <w:t xml:space="preserve"> by the Staff </w:t>
      </w:r>
      <w:r w:rsidR="001560F3">
        <w:rPr>
          <w:rFonts w:ascii="Times New Roman" w:hAnsi="Times New Roman" w:cs="Times New Roman"/>
          <w:noProof/>
          <w:sz w:val="24"/>
        </w:rPr>
        <w:t>R</w:t>
      </w:r>
      <w:r w:rsidR="003127A9">
        <w:rPr>
          <w:rFonts w:ascii="Times New Roman" w:hAnsi="Times New Roman" w:cs="Times New Roman"/>
          <w:noProof/>
          <w:sz w:val="24"/>
        </w:rPr>
        <w:t>egulations</w:t>
      </w:r>
      <w:r w:rsidR="00BD5D35" w:rsidRPr="00E46B93">
        <w:rPr>
          <w:rFonts w:ascii="Times New Roman" w:hAnsi="Times New Roman" w:cs="Times New Roman"/>
          <w:noProof/>
          <w:sz w:val="24"/>
        </w:rPr>
        <w:t>. Pursuant to Article 77</w:t>
      </w:r>
      <w:r w:rsidR="001C262E">
        <w:rPr>
          <w:rFonts w:ascii="Times New Roman" w:hAnsi="Times New Roman" w:cs="Times New Roman"/>
          <w:noProof/>
          <w:sz w:val="24"/>
        </w:rPr>
        <w:t xml:space="preserve">, paragraph </w:t>
      </w:r>
      <w:r w:rsidR="00BD5D35" w:rsidRPr="00E46B93">
        <w:rPr>
          <w:rFonts w:ascii="Times New Roman" w:hAnsi="Times New Roman" w:cs="Times New Roman"/>
          <w:noProof/>
          <w:sz w:val="24"/>
        </w:rPr>
        <w:t xml:space="preserve">7 </w:t>
      </w:r>
      <w:r w:rsidR="00000D24">
        <w:rPr>
          <w:rFonts w:ascii="Times New Roman" w:hAnsi="Times New Roman" w:cs="Times New Roman"/>
          <w:noProof/>
          <w:sz w:val="24"/>
        </w:rPr>
        <w:t xml:space="preserve">of the </w:t>
      </w:r>
      <w:r w:rsidR="00BD5D35" w:rsidRPr="00E46B93">
        <w:rPr>
          <w:rFonts w:ascii="Times New Roman" w:hAnsi="Times New Roman" w:cs="Times New Roman"/>
          <w:noProof/>
          <w:sz w:val="24"/>
        </w:rPr>
        <w:t>S</w:t>
      </w:r>
      <w:r w:rsidR="00000D24">
        <w:rPr>
          <w:rFonts w:ascii="Times New Roman" w:hAnsi="Times New Roman" w:cs="Times New Roman"/>
          <w:noProof/>
          <w:sz w:val="24"/>
        </w:rPr>
        <w:t xml:space="preserve">taff </w:t>
      </w:r>
      <w:r w:rsidR="00BD5D35" w:rsidRPr="00E46B93">
        <w:rPr>
          <w:rFonts w:ascii="Times New Roman" w:hAnsi="Times New Roman" w:cs="Times New Roman"/>
          <w:noProof/>
          <w:sz w:val="24"/>
        </w:rPr>
        <w:t>R</w:t>
      </w:r>
      <w:r w:rsidR="00000D24">
        <w:rPr>
          <w:rFonts w:ascii="Times New Roman" w:hAnsi="Times New Roman" w:cs="Times New Roman"/>
          <w:noProof/>
          <w:sz w:val="24"/>
        </w:rPr>
        <w:t>egulations</w:t>
      </w:r>
      <w:r w:rsidR="00BD5D35" w:rsidRPr="00E46B93">
        <w:rPr>
          <w:rFonts w:ascii="Times New Roman" w:hAnsi="Times New Roman" w:cs="Times New Roman"/>
          <w:noProof/>
          <w:sz w:val="24"/>
        </w:rPr>
        <w:t xml:space="preserve">, </w:t>
      </w:r>
      <w:r>
        <w:rPr>
          <w:rFonts w:ascii="Times New Roman" w:hAnsi="Times New Roman" w:cs="Times New Roman"/>
          <w:noProof/>
          <w:sz w:val="24"/>
        </w:rPr>
        <w:t xml:space="preserve">the </w:t>
      </w:r>
      <w:r w:rsidR="00BD5D35" w:rsidRPr="00E46B93">
        <w:rPr>
          <w:rFonts w:ascii="Times New Roman" w:hAnsi="Times New Roman" w:cs="Times New Roman"/>
          <w:noProof/>
          <w:sz w:val="24"/>
        </w:rPr>
        <w:t>pensionable age shall be reviewed every five years on the basis of a Commission report</w:t>
      </w:r>
      <w:r w:rsidR="003127A9">
        <w:rPr>
          <w:rFonts w:ascii="Times New Roman" w:hAnsi="Times New Roman" w:cs="Times New Roman"/>
          <w:noProof/>
          <w:sz w:val="24"/>
        </w:rPr>
        <w:t xml:space="preserve"> assessing </w:t>
      </w:r>
      <w:r w:rsidR="00BD5D35" w:rsidRPr="00E46B93">
        <w:rPr>
          <w:rFonts w:ascii="Times New Roman" w:hAnsi="Times New Roman" w:cs="Times New Roman"/>
          <w:noProof/>
          <w:sz w:val="24"/>
        </w:rPr>
        <w:t xml:space="preserve">the evolution of </w:t>
      </w:r>
      <w:r>
        <w:rPr>
          <w:rFonts w:ascii="Times New Roman" w:hAnsi="Times New Roman" w:cs="Times New Roman"/>
          <w:noProof/>
          <w:sz w:val="24"/>
        </w:rPr>
        <w:t xml:space="preserve">the </w:t>
      </w:r>
      <w:r w:rsidR="00BD5D35" w:rsidRPr="00E46B93">
        <w:rPr>
          <w:rFonts w:ascii="Times New Roman" w:hAnsi="Times New Roman" w:cs="Times New Roman"/>
          <w:noProof/>
          <w:sz w:val="24"/>
        </w:rPr>
        <w:t xml:space="preserve">pensionable age for staff in the civil services of the Member States and the evolution of life expectancy of officials of the </w:t>
      </w:r>
      <w:r w:rsidR="003127A9">
        <w:rPr>
          <w:rFonts w:ascii="Times New Roman" w:hAnsi="Times New Roman" w:cs="Times New Roman"/>
          <w:noProof/>
          <w:sz w:val="24"/>
        </w:rPr>
        <w:t xml:space="preserve">EU </w:t>
      </w:r>
      <w:r w:rsidR="00BD5D35" w:rsidRPr="00E46B93">
        <w:rPr>
          <w:rFonts w:ascii="Times New Roman" w:hAnsi="Times New Roman" w:cs="Times New Roman"/>
          <w:noProof/>
          <w:sz w:val="24"/>
        </w:rPr>
        <w:t xml:space="preserve">institutions. </w:t>
      </w:r>
    </w:p>
    <w:p w14:paraId="068A46F8" w14:textId="0A686C5E" w:rsidR="00BD5D35" w:rsidRPr="00E46B93" w:rsidRDefault="003127A9"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I</w:t>
      </w:r>
      <w:r w:rsidR="00113037">
        <w:rPr>
          <w:rFonts w:ascii="Times New Roman" w:hAnsi="Times New Roman" w:cs="Times New Roman"/>
          <w:noProof/>
          <w:sz w:val="24"/>
        </w:rPr>
        <w:t xml:space="preserve">n its </w:t>
      </w:r>
      <w:r w:rsidR="00206D95">
        <w:rPr>
          <w:rFonts w:ascii="Times New Roman" w:hAnsi="Times New Roman" w:cs="Times New Roman"/>
          <w:noProof/>
          <w:sz w:val="24"/>
        </w:rPr>
        <w:t xml:space="preserve">2021 </w:t>
      </w:r>
      <w:r w:rsidR="00113037">
        <w:rPr>
          <w:rFonts w:ascii="Times New Roman" w:hAnsi="Times New Roman" w:cs="Times New Roman"/>
          <w:noProof/>
          <w:sz w:val="24"/>
        </w:rPr>
        <w:t>assessment of</w:t>
      </w:r>
      <w:r w:rsidR="00BD5D35" w:rsidRPr="00E46B93">
        <w:rPr>
          <w:rFonts w:ascii="Times New Roman" w:hAnsi="Times New Roman" w:cs="Times New Roman"/>
          <w:noProof/>
          <w:sz w:val="24"/>
        </w:rPr>
        <w:t xml:space="preserve"> the pensionable age</w:t>
      </w:r>
      <w:r w:rsidR="0067475F">
        <w:rPr>
          <w:rStyle w:val="FootnoteReference"/>
          <w:rFonts w:ascii="Times New Roman" w:hAnsi="Times New Roman" w:cs="Times New Roman"/>
          <w:noProof/>
          <w:sz w:val="24"/>
        </w:rPr>
        <w:footnoteReference w:id="13"/>
      </w:r>
      <w:r w:rsidR="00BD5D35" w:rsidRPr="00E46B93">
        <w:rPr>
          <w:rFonts w:ascii="Times New Roman" w:hAnsi="Times New Roman" w:cs="Times New Roman"/>
          <w:noProof/>
          <w:sz w:val="24"/>
        </w:rPr>
        <w:t xml:space="preserve"> the Commission observed that life expectancy of the PSEO population</w:t>
      </w:r>
      <w:r w:rsidR="00113037">
        <w:rPr>
          <w:rFonts w:ascii="Times New Roman" w:hAnsi="Times New Roman" w:cs="Times New Roman"/>
          <w:noProof/>
          <w:sz w:val="24"/>
        </w:rPr>
        <w:t>,</w:t>
      </w:r>
      <w:r w:rsidR="00BD5D35" w:rsidRPr="00E46B93">
        <w:rPr>
          <w:rFonts w:ascii="Times New Roman" w:hAnsi="Times New Roman" w:cs="Times New Roman"/>
          <w:noProof/>
          <w:sz w:val="24"/>
        </w:rPr>
        <w:t xml:space="preserve"> as assessed by Eurostat’s Life Tables</w:t>
      </w:r>
      <w:r w:rsidR="00113037">
        <w:rPr>
          <w:rFonts w:ascii="Times New Roman" w:hAnsi="Times New Roman" w:cs="Times New Roman"/>
          <w:noProof/>
          <w:sz w:val="24"/>
        </w:rPr>
        <w:t>,</w:t>
      </w:r>
      <w:r w:rsidR="00BD5D35" w:rsidRPr="00E46B93">
        <w:rPr>
          <w:rFonts w:ascii="Times New Roman" w:hAnsi="Times New Roman" w:cs="Times New Roman"/>
          <w:noProof/>
          <w:sz w:val="24"/>
        </w:rPr>
        <w:t xml:space="preserve"> did not increase significantly</w:t>
      </w:r>
      <w:r w:rsidR="00113037">
        <w:rPr>
          <w:rFonts w:ascii="Times New Roman" w:hAnsi="Times New Roman" w:cs="Times New Roman"/>
          <w:noProof/>
          <w:sz w:val="24"/>
        </w:rPr>
        <w:t>. Moreover, the</w:t>
      </w:r>
      <w:r w:rsidR="00BD5D35" w:rsidRPr="00E46B93">
        <w:rPr>
          <w:rFonts w:ascii="Times New Roman" w:hAnsi="Times New Roman" w:cs="Times New Roman"/>
          <w:noProof/>
          <w:sz w:val="24"/>
        </w:rPr>
        <w:t xml:space="preserve"> EU </w:t>
      </w:r>
      <w:r>
        <w:rPr>
          <w:rFonts w:ascii="Times New Roman" w:hAnsi="Times New Roman" w:cs="Times New Roman"/>
          <w:noProof/>
          <w:sz w:val="24"/>
        </w:rPr>
        <w:t xml:space="preserve">officials’ </w:t>
      </w:r>
      <w:r w:rsidR="00BD5D35" w:rsidRPr="00E46B93">
        <w:rPr>
          <w:rFonts w:ascii="Times New Roman" w:hAnsi="Times New Roman" w:cs="Times New Roman"/>
          <w:noProof/>
          <w:sz w:val="24"/>
        </w:rPr>
        <w:t xml:space="preserve">pensionable age </w:t>
      </w:r>
      <w:r w:rsidR="00597599">
        <w:rPr>
          <w:rFonts w:ascii="Times New Roman" w:hAnsi="Times New Roman" w:cs="Times New Roman"/>
          <w:noProof/>
          <w:sz w:val="24"/>
        </w:rPr>
        <w:t>i</w:t>
      </w:r>
      <w:r w:rsidR="00597599" w:rsidRPr="00E46B93">
        <w:rPr>
          <w:rFonts w:ascii="Times New Roman" w:hAnsi="Times New Roman" w:cs="Times New Roman"/>
          <w:noProof/>
          <w:sz w:val="24"/>
        </w:rPr>
        <w:t xml:space="preserve">s </w:t>
      </w:r>
      <w:r w:rsidR="00597599">
        <w:rPr>
          <w:rFonts w:ascii="Times New Roman" w:hAnsi="Times New Roman" w:cs="Times New Roman"/>
          <w:noProof/>
          <w:sz w:val="24"/>
        </w:rPr>
        <w:t>among</w:t>
      </w:r>
      <w:r w:rsidR="00BD5D35" w:rsidRPr="00E46B93">
        <w:rPr>
          <w:rFonts w:ascii="Times New Roman" w:hAnsi="Times New Roman" w:cs="Times New Roman"/>
          <w:noProof/>
          <w:sz w:val="24"/>
        </w:rPr>
        <w:t xml:space="preserve"> the highest</w:t>
      </w:r>
      <w:r w:rsidR="00665322">
        <w:rPr>
          <w:rFonts w:ascii="Times New Roman" w:hAnsi="Times New Roman" w:cs="Times New Roman"/>
          <w:noProof/>
          <w:sz w:val="24"/>
        </w:rPr>
        <w:t xml:space="preserve"> </w:t>
      </w:r>
      <w:r w:rsidR="00BD5D35" w:rsidRPr="00E46B93">
        <w:rPr>
          <w:rFonts w:ascii="Times New Roman" w:hAnsi="Times New Roman" w:cs="Times New Roman"/>
          <w:noProof/>
          <w:sz w:val="24"/>
        </w:rPr>
        <w:t xml:space="preserve">compared to </w:t>
      </w:r>
      <w:r w:rsidR="00597599">
        <w:rPr>
          <w:rFonts w:ascii="Times New Roman" w:hAnsi="Times New Roman" w:cs="Times New Roman"/>
          <w:noProof/>
          <w:sz w:val="24"/>
        </w:rPr>
        <w:t xml:space="preserve">the </w:t>
      </w:r>
      <w:r w:rsidR="00BD5D35" w:rsidRPr="00E46B93">
        <w:rPr>
          <w:rFonts w:ascii="Times New Roman" w:hAnsi="Times New Roman" w:cs="Times New Roman"/>
          <w:noProof/>
          <w:sz w:val="24"/>
        </w:rPr>
        <w:t xml:space="preserve">pensionable ages applicable in the </w:t>
      </w:r>
      <w:r w:rsidR="00597599">
        <w:rPr>
          <w:rFonts w:ascii="Times New Roman" w:hAnsi="Times New Roman" w:cs="Times New Roman"/>
          <w:noProof/>
          <w:sz w:val="24"/>
        </w:rPr>
        <w:t xml:space="preserve">EU </w:t>
      </w:r>
      <w:r w:rsidR="00BD5D35" w:rsidRPr="00E46B93">
        <w:rPr>
          <w:rFonts w:ascii="Times New Roman" w:hAnsi="Times New Roman" w:cs="Times New Roman"/>
          <w:noProof/>
          <w:sz w:val="24"/>
        </w:rPr>
        <w:t>Member States</w:t>
      </w:r>
      <w:r w:rsidR="00665322">
        <w:rPr>
          <w:rFonts w:ascii="Times New Roman" w:hAnsi="Times New Roman" w:cs="Times New Roman"/>
          <w:noProof/>
          <w:sz w:val="24"/>
        </w:rPr>
        <w:t>’ public services</w:t>
      </w:r>
      <w:r w:rsidR="00BD5D35" w:rsidRPr="00E46B93">
        <w:rPr>
          <w:rFonts w:ascii="Times New Roman" w:hAnsi="Times New Roman" w:cs="Times New Roman"/>
          <w:noProof/>
          <w:sz w:val="24"/>
        </w:rPr>
        <w:t xml:space="preserve">. As a result, </w:t>
      </w:r>
      <w:r w:rsidR="00665322">
        <w:rPr>
          <w:rFonts w:ascii="Times New Roman" w:hAnsi="Times New Roman" w:cs="Times New Roman"/>
          <w:noProof/>
          <w:sz w:val="24"/>
        </w:rPr>
        <w:t xml:space="preserve">this </w:t>
      </w:r>
      <w:r w:rsidR="00BD5D35" w:rsidRPr="00E46B93">
        <w:rPr>
          <w:rFonts w:ascii="Times New Roman" w:hAnsi="Times New Roman" w:cs="Times New Roman"/>
          <w:noProof/>
          <w:sz w:val="24"/>
        </w:rPr>
        <w:t xml:space="preserve">report concluded that the current pensionable age of 66 years for EU staff was appropriate and corresponded to the highest standards applicable in the national civil services of the Member States. </w:t>
      </w:r>
    </w:p>
    <w:p w14:paraId="01D150AB" w14:textId="77777777" w:rsidR="008C77CF" w:rsidRDefault="000305CE" w:rsidP="00170470">
      <w:pPr>
        <w:pStyle w:val="Heading1"/>
        <w:numPr>
          <w:ilvl w:val="0"/>
          <w:numId w:val="1"/>
        </w:numPr>
        <w:spacing w:after="120"/>
        <w:rPr>
          <w:rStyle w:val="Heading1Char"/>
          <w:rFonts w:ascii="Times New Roman Bold" w:hAnsi="Times New Roman Bold"/>
          <w:b/>
          <w:smallCaps/>
          <w:noProof/>
        </w:rPr>
      </w:pPr>
      <w:r w:rsidRPr="000305CE">
        <w:rPr>
          <w:rStyle w:val="Heading1Char"/>
          <w:rFonts w:ascii="Times New Roman Bold" w:hAnsi="Times New Roman Bold"/>
          <w:smallCaps/>
          <w:noProof/>
        </w:rPr>
        <w:t>B</w:t>
      </w:r>
      <w:r>
        <w:rPr>
          <w:rStyle w:val="Heading1Char"/>
          <w:rFonts w:ascii="Times New Roman Bold" w:hAnsi="Times New Roman Bold"/>
          <w:smallCaps/>
          <w:noProof/>
        </w:rPr>
        <w:t xml:space="preserve">udgetary implications of the PSEO </w:t>
      </w:r>
    </w:p>
    <w:p w14:paraId="561068EA" w14:textId="77777777" w:rsidR="00E43FB4" w:rsidRDefault="00E43FB4" w:rsidP="00170470">
      <w:pPr>
        <w:pStyle w:val="Heading2"/>
        <w:numPr>
          <w:ilvl w:val="1"/>
          <w:numId w:val="1"/>
        </w:numPr>
        <w:spacing w:after="120" w:line="240" w:lineRule="auto"/>
        <w:rPr>
          <w:noProof/>
        </w:rPr>
      </w:pPr>
      <w:r>
        <w:rPr>
          <w:noProof/>
        </w:rPr>
        <w:t>Background</w:t>
      </w:r>
    </w:p>
    <w:p w14:paraId="4E95CD13" w14:textId="77777777" w:rsidR="005C326F" w:rsidRDefault="009C6F8F" w:rsidP="00170470">
      <w:pPr>
        <w:pStyle w:val="Heading2"/>
        <w:numPr>
          <w:ilvl w:val="2"/>
          <w:numId w:val="1"/>
        </w:numPr>
        <w:spacing w:after="120" w:line="240" w:lineRule="auto"/>
        <w:rPr>
          <w:noProof/>
        </w:rPr>
      </w:pPr>
      <w:r>
        <w:rPr>
          <w:noProof/>
        </w:rPr>
        <w:t>Historical context of</w:t>
      </w:r>
      <w:r w:rsidR="00FA65D1">
        <w:rPr>
          <w:noProof/>
        </w:rPr>
        <w:t xml:space="preserve"> the PSEO</w:t>
      </w:r>
      <w:r w:rsidR="00246E42">
        <w:rPr>
          <w:noProof/>
        </w:rPr>
        <w:t xml:space="preserve"> </w:t>
      </w:r>
    </w:p>
    <w:p w14:paraId="63E92A3E" w14:textId="77777777" w:rsidR="006176C6" w:rsidRDefault="009C6F8F" w:rsidP="00170470">
      <w:pPr>
        <w:spacing w:after="120" w:line="240" w:lineRule="auto"/>
        <w:jc w:val="both"/>
        <w:rPr>
          <w:rFonts w:ascii="Times New Roman" w:hAnsi="Times New Roman" w:cs="Times New Roman"/>
          <w:noProof/>
          <w:sz w:val="24"/>
        </w:rPr>
      </w:pPr>
      <w:r w:rsidRPr="00E46B93">
        <w:rPr>
          <w:rFonts w:ascii="Times New Roman" w:hAnsi="Times New Roman" w:cs="Times New Roman"/>
          <w:noProof/>
          <w:sz w:val="24"/>
        </w:rPr>
        <w:t xml:space="preserve">In the 1960s, the Council decided that staff contributions would not be set aside in an actual pension fund, but would instead be credited to the EU budget at the time when they are collected and spent in accordance with the decisions of the budgetary authority, i.e. not assigned to any particular policy field. </w:t>
      </w:r>
    </w:p>
    <w:p w14:paraId="03066C49" w14:textId="77777777" w:rsidR="00F41A52" w:rsidRDefault="009C6F8F" w:rsidP="00EC01D0">
      <w:pPr>
        <w:spacing w:after="120" w:line="240" w:lineRule="auto"/>
        <w:jc w:val="both"/>
        <w:rPr>
          <w:rFonts w:ascii="Times New Roman" w:hAnsi="Times New Roman" w:cs="Times New Roman"/>
          <w:noProof/>
          <w:sz w:val="24"/>
        </w:rPr>
      </w:pPr>
      <w:r w:rsidRPr="00E46B93">
        <w:rPr>
          <w:rFonts w:ascii="Times New Roman" w:hAnsi="Times New Roman" w:cs="Times New Roman"/>
          <w:noProof/>
          <w:sz w:val="24"/>
        </w:rPr>
        <w:t xml:space="preserve">At the same time, the Council decided that the employer’s share of the contribution would not be collected. Instead, the EU institutions undertook to pay future pension benefits (to be charged to the Union budget) when staff retire. Although there is no actual investment fund, the amount that would have been collected by such a fund is considered to have been invested in Member States’ long-term bonds and is reflected in the pension liability that is registered in the annual accounts of the European Union. </w:t>
      </w:r>
    </w:p>
    <w:p w14:paraId="2874E53E" w14:textId="77777777" w:rsidR="00295124" w:rsidRDefault="006176C6" w:rsidP="00295124">
      <w:pPr>
        <w:jc w:val="both"/>
        <w:rPr>
          <w:rFonts w:ascii="Times New Roman" w:hAnsi="Times New Roman" w:cs="Times New Roman"/>
          <w:noProof/>
          <w:sz w:val="24"/>
        </w:rPr>
      </w:pPr>
      <w:r>
        <w:rPr>
          <w:rFonts w:ascii="Times New Roman" w:hAnsi="Times New Roman" w:cs="Times New Roman"/>
          <w:noProof/>
          <w:sz w:val="24"/>
        </w:rPr>
        <w:t xml:space="preserve">As </w:t>
      </w:r>
      <w:r w:rsidR="009C6F8F" w:rsidRPr="00E46B93">
        <w:rPr>
          <w:rFonts w:ascii="Times New Roman" w:hAnsi="Times New Roman" w:cs="Times New Roman"/>
          <w:noProof/>
          <w:sz w:val="24"/>
        </w:rPr>
        <w:t>Member States jointly guarantee the payment of the benefits pursuant to Article 83 of the Staff Regulations and Article 4(3) of the Treaty on European Union</w:t>
      </w:r>
      <w:r>
        <w:rPr>
          <w:rFonts w:ascii="Times New Roman" w:hAnsi="Times New Roman" w:cs="Times New Roman"/>
          <w:noProof/>
          <w:sz w:val="24"/>
        </w:rPr>
        <w:t xml:space="preserve">, </w:t>
      </w:r>
      <w:r w:rsidR="009C6F8F" w:rsidRPr="00E46B93">
        <w:rPr>
          <w:rFonts w:ascii="Times New Roman" w:hAnsi="Times New Roman" w:cs="Times New Roman"/>
          <w:noProof/>
          <w:sz w:val="24"/>
        </w:rPr>
        <w:t>the budget is, in effect, borrowing this money from the members of the scheme, in return for a guarantee to pay future benefits.</w:t>
      </w:r>
      <w:r w:rsidR="00295124" w:rsidRPr="00295124">
        <w:rPr>
          <w:rFonts w:ascii="Times New Roman" w:hAnsi="Times New Roman" w:cs="Times New Roman"/>
          <w:noProof/>
          <w:sz w:val="24"/>
        </w:rPr>
        <w:t xml:space="preserve"> </w:t>
      </w:r>
    </w:p>
    <w:p w14:paraId="278B4243" w14:textId="77777777" w:rsidR="00E43FB4" w:rsidRDefault="00E43FB4" w:rsidP="00170470">
      <w:pPr>
        <w:pStyle w:val="Heading2"/>
        <w:numPr>
          <w:ilvl w:val="2"/>
          <w:numId w:val="1"/>
        </w:numPr>
        <w:spacing w:after="120" w:line="240" w:lineRule="auto"/>
        <w:rPr>
          <w:noProof/>
        </w:rPr>
      </w:pPr>
      <w:r>
        <w:rPr>
          <w:noProof/>
        </w:rPr>
        <w:t xml:space="preserve">Creation of an actual pension fund </w:t>
      </w:r>
    </w:p>
    <w:p w14:paraId="2479BA71" w14:textId="77777777" w:rsidR="006176C6" w:rsidRDefault="006176C6" w:rsidP="006176C6">
      <w:pPr>
        <w:spacing w:after="120" w:line="240" w:lineRule="auto"/>
        <w:jc w:val="both"/>
        <w:rPr>
          <w:rFonts w:ascii="Times New Roman" w:hAnsi="Times New Roman" w:cs="Times New Roman"/>
          <w:noProof/>
          <w:sz w:val="24"/>
        </w:rPr>
      </w:pPr>
      <w:r>
        <w:rPr>
          <w:rFonts w:ascii="Times New Roman" w:hAnsi="Times New Roman" w:cs="Times New Roman"/>
          <w:noProof/>
          <w:sz w:val="24"/>
        </w:rPr>
        <w:t>Four possibilities for establishing an actual pension fund for the EU institutions have</w:t>
      </w:r>
      <w:r w:rsidR="00E43FB4">
        <w:rPr>
          <w:rFonts w:ascii="Times New Roman" w:hAnsi="Times New Roman" w:cs="Times New Roman"/>
          <w:noProof/>
          <w:sz w:val="24"/>
        </w:rPr>
        <w:t xml:space="preserve"> been e</w:t>
      </w:r>
      <w:r>
        <w:rPr>
          <w:rFonts w:ascii="Times New Roman" w:hAnsi="Times New Roman" w:cs="Times New Roman"/>
          <w:noProof/>
          <w:sz w:val="24"/>
        </w:rPr>
        <w:t>xplored</w:t>
      </w:r>
      <w:r w:rsidR="00E43FB4">
        <w:rPr>
          <w:rFonts w:ascii="Times New Roman" w:hAnsi="Times New Roman" w:cs="Times New Roman"/>
          <w:noProof/>
          <w:sz w:val="24"/>
        </w:rPr>
        <w:t xml:space="preserve"> by the Commission in 2012</w:t>
      </w:r>
      <w:r w:rsidR="00E43FB4">
        <w:rPr>
          <w:rStyle w:val="FootnoteReference"/>
          <w:rFonts w:ascii="Times New Roman" w:hAnsi="Times New Roman" w:cs="Times New Roman"/>
          <w:noProof/>
          <w:sz w:val="24"/>
        </w:rPr>
        <w:footnoteReference w:id="14"/>
      </w:r>
      <w:r>
        <w:rPr>
          <w:rFonts w:ascii="Times New Roman" w:hAnsi="Times New Roman" w:cs="Times New Roman"/>
          <w:noProof/>
          <w:sz w:val="24"/>
        </w:rPr>
        <w:t xml:space="preserve">. Each option </w:t>
      </w:r>
      <w:r w:rsidR="00E43FB4">
        <w:rPr>
          <w:rFonts w:ascii="Times New Roman" w:hAnsi="Times New Roman" w:cs="Times New Roman"/>
          <w:noProof/>
          <w:sz w:val="24"/>
        </w:rPr>
        <w:t>entail</w:t>
      </w:r>
      <w:r>
        <w:rPr>
          <w:rFonts w:ascii="Times New Roman" w:hAnsi="Times New Roman" w:cs="Times New Roman"/>
          <w:noProof/>
          <w:sz w:val="24"/>
        </w:rPr>
        <w:t>ed</w:t>
      </w:r>
      <w:r w:rsidR="00E43FB4">
        <w:rPr>
          <w:rFonts w:ascii="Times New Roman" w:hAnsi="Times New Roman" w:cs="Times New Roman"/>
          <w:noProof/>
          <w:sz w:val="24"/>
        </w:rPr>
        <w:t xml:space="preserve"> various costs depending on the envisaged transition. </w:t>
      </w:r>
      <w:r>
        <w:rPr>
          <w:rFonts w:ascii="Times New Roman" w:hAnsi="Times New Roman" w:cs="Times New Roman"/>
          <w:noProof/>
          <w:sz w:val="24"/>
        </w:rPr>
        <w:t>However, i</w:t>
      </w:r>
      <w:r w:rsidR="00E43FB4">
        <w:rPr>
          <w:rFonts w:ascii="Times New Roman" w:hAnsi="Times New Roman" w:cs="Times New Roman"/>
          <w:noProof/>
          <w:sz w:val="24"/>
        </w:rPr>
        <w:t xml:space="preserve">n 2013, when agreeing on the 2014 reform of the Staff Regulations, the co-legislator decided to maintain the principle of a notional pension fund for EU institutions. </w:t>
      </w:r>
    </w:p>
    <w:p w14:paraId="6CF23A12" w14:textId="2CC47075" w:rsidR="00E43FB4" w:rsidRPr="00627321" w:rsidRDefault="0040419E" w:rsidP="00BE6857">
      <w:pPr>
        <w:spacing w:after="120" w:line="240" w:lineRule="auto"/>
        <w:jc w:val="both"/>
        <w:rPr>
          <w:rFonts w:ascii="Times New Roman" w:hAnsi="Times New Roman" w:cs="Times New Roman"/>
          <w:noProof/>
          <w:sz w:val="24"/>
        </w:rPr>
      </w:pPr>
      <w:r>
        <w:rPr>
          <w:rFonts w:ascii="Times New Roman" w:hAnsi="Times New Roman" w:cs="Times New Roman"/>
          <w:noProof/>
          <w:sz w:val="24"/>
        </w:rPr>
        <w:t xml:space="preserve">In order to create an </w:t>
      </w:r>
      <w:r w:rsidR="00E43FB4">
        <w:rPr>
          <w:rFonts w:ascii="Times New Roman" w:hAnsi="Times New Roman" w:cs="Times New Roman"/>
          <w:noProof/>
          <w:sz w:val="24"/>
        </w:rPr>
        <w:t>actual pension fund</w:t>
      </w:r>
      <w:r w:rsidR="00ED280C">
        <w:rPr>
          <w:rFonts w:ascii="Times New Roman" w:hAnsi="Times New Roman" w:cs="Times New Roman"/>
          <w:noProof/>
          <w:sz w:val="24"/>
        </w:rPr>
        <w:t>,</w:t>
      </w:r>
      <w:r>
        <w:rPr>
          <w:rFonts w:ascii="Times New Roman" w:hAnsi="Times New Roman" w:cs="Times New Roman"/>
          <w:noProof/>
          <w:sz w:val="24"/>
        </w:rPr>
        <w:t xml:space="preserve"> </w:t>
      </w:r>
      <w:r w:rsidR="00E43FB4" w:rsidRPr="00290E50">
        <w:rPr>
          <w:rFonts w:ascii="Times New Roman" w:hAnsi="Times New Roman" w:cs="Times New Roman"/>
          <w:noProof/>
          <w:sz w:val="24"/>
        </w:rPr>
        <w:t xml:space="preserve">the EU budget would have to transfer </w:t>
      </w:r>
      <w:r w:rsidR="00E43FB4">
        <w:rPr>
          <w:rFonts w:ascii="Times New Roman" w:hAnsi="Times New Roman" w:cs="Times New Roman"/>
          <w:noProof/>
          <w:sz w:val="24"/>
        </w:rPr>
        <w:t>part</w:t>
      </w:r>
      <w:r w:rsidR="00E43FB4" w:rsidRPr="00290E50">
        <w:rPr>
          <w:rFonts w:ascii="Times New Roman" w:hAnsi="Times New Roman" w:cs="Times New Roman"/>
          <w:noProof/>
          <w:sz w:val="24"/>
        </w:rPr>
        <w:t xml:space="preserve"> of the PSEO liability into the fund</w:t>
      </w:r>
      <w:r w:rsidR="00E43FB4">
        <w:rPr>
          <w:rFonts w:ascii="Times New Roman" w:hAnsi="Times New Roman" w:cs="Times New Roman"/>
          <w:noProof/>
          <w:sz w:val="24"/>
        </w:rPr>
        <w:t xml:space="preserve">. </w:t>
      </w:r>
      <w:r>
        <w:rPr>
          <w:rFonts w:ascii="Times New Roman" w:hAnsi="Times New Roman" w:cs="Times New Roman"/>
          <w:noProof/>
          <w:sz w:val="24"/>
        </w:rPr>
        <w:t>However, the current value of the liability</w:t>
      </w:r>
      <w:r w:rsidR="00A95A45">
        <w:rPr>
          <w:rFonts w:ascii="Times New Roman" w:hAnsi="Times New Roman" w:cs="Times New Roman"/>
          <w:noProof/>
          <w:sz w:val="24"/>
        </w:rPr>
        <w:t>,</w:t>
      </w:r>
      <w:r>
        <w:rPr>
          <w:rFonts w:ascii="Times New Roman" w:hAnsi="Times New Roman" w:cs="Times New Roman"/>
          <w:noProof/>
          <w:sz w:val="24"/>
        </w:rPr>
        <w:t xml:space="preserve"> as calculated on the basis of the latest interest rates</w:t>
      </w:r>
      <w:r w:rsidR="00A95A45">
        <w:rPr>
          <w:rFonts w:ascii="Times New Roman" w:hAnsi="Times New Roman" w:cs="Times New Roman"/>
          <w:noProof/>
          <w:sz w:val="24"/>
        </w:rPr>
        <w:t>,</w:t>
      </w:r>
      <w:r>
        <w:rPr>
          <w:rFonts w:ascii="Times New Roman" w:hAnsi="Times New Roman" w:cs="Times New Roman"/>
          <w:noProof/>
          <w:sz w:val="24"/>
        </w:rPr>
        <w:t xml:space="preserve"> is very unfavourable for such a move. </w:t>
      </w:r>
      <w:r w:rsidR="00E43FB4">
        <w:rPr>
          <w:rFonts w:ascii="Times New Roman" w:hAnsi="Times New Roman" w:cs="Times New Roman"/>
          <w:noProof/>
          <w:sz w:val="24"/>
        </w:rPr>
        <w:t xml:space="preserve">In addition, the creation of an actual pension fund would necessarily increase the yearly pension expenditure and lower the revenues to the EU budget. </w:t>
      </w:r>
      <w:r w:rsidRPr="00B02B4B">
        <w:rPr>
          <w:rFonts w:ascii="Times New Roman" w:hAnsi="Times New Roman" w:cs="Times New Roman"/>
          <w:noProof/>
          <w:sz w:val="24"/>
        </w:rPr>
        <w:t>Therefore, i</w:t>
      </w:r>
      <w:r w:rsidR="00E43FB4" w:rsidRPr="00B02B4B">
        <w:rPr>
          <w:rFonts w:ascii="Times New Roman" w:hAnsi="Times New Roman" w:cs="Times New Roman"/>
          <w:noProof/>
          <w:sz w:val="24"/>
        </w:rPr>
        <w:t xml:space="preserve">n light of the current availabilities under the </w:t>
      </w:r>
      <w:r w:rsidR="00AC2379" w:rsidRPr="00B02B4B">
        <w:rPr>
          <w:rFonts w:ascii="Times New Roman" w:hAnsi="Times New Roman" w:cs="Times New Roman"/>
          <w:noProof/>
          <w:sz w:val="24"/>
        </w:rPr>
        <w:t>m</w:t>
      </w:r>
      <w:r w:rsidR="00E43FB4" w:rsidRPr="00B02B4B">
        <w:rPr>
          <w:rFonts w:ascii="Times New Roman" w:hAnsi="Times New Roman" w:cs="Times New Roman"/>
          <w:noProof/>
          <w:sz w:val="24"/>
        </w:rPr>
        <w:t>ulti</w:t>
      </w:r>
      <w:r w:rsidR="00AC2379" w:rsidRPr="00B02B4B">
        <w:rPr>
          <w:rFonts w:ascii="Times New Roman" w:hAnsi="Times New Roman" w:cs="Times New Roman"/>
          <w:noProof/>
          <w:sz w:val="24"/>
        </w:rPr>
        <w:t>a</w:t>
      </w:r>
      <w:r w:rsidR="00E43FB4" w:rsidRPr="00B02B4B">
        <w:rPr>
          <w:rFonts w:ascii="Times New Roman" w:hAnsi="Times New Roman" w:cs="Times New Roman"/>
          <w:noProof/>
          <w:sz w:val="24"/>
        </w:rPr>
        <w:t xml:space="preserve">nnual </w:t>
      </w:r>
      <w:r w:rsidR="00AC2379" w:rsidRPr="00B02B4B">
        <w:rPr>
          <w:rFonts w:ascii="Times New Roman" w:hAnsi="Times New Roman" w:cs="Times New Roman"/>
          <w:noProof/>
          <w:sz w:val="24"/>
        </w:rPr>
        <w:t>f</w:t>
      </w:r>
      <w:r w:rsidR="00E43FB4" w:rsidRPr="00B02B4B">
        <w:rPr>
          <w:rFonts w:ascii="Times New Roman" w:hAnsi="Times New Roman" w:cs="Times New Roman"/>
          <w:noProof/>
          <w:sz w:val="24"/>
        </w:rPr>
        <w:t xml:space="preserve">inancial </w:t>
      </w:r>
      <w:r w:rsidR="00AC2379" w:rsidRPr="00B02B4B">
        <w:rPr>
          <w:rFonts w:ascii="Times New Roman" w:hAnsi="Times New Roman" w:cs="Times New Roman"/>
          <w:noProof/>
          <w:sz w:val="24"/>
        </w:rPr>
        <w:t>f</w:t>
      </w:r>
      <w:r w:rsidR="00E43FB4" w:rsidRPr="00B02B4B">
        <w:rPr>
          <w:rFonts w:ascii="Times New Roman" w:hAnsi="Times New Roman" w:cs="Times New Roman"/>
          <w:noProof/>
          <w:sz w:val="24"/>
        </w:rPr>
        <w:t>ramework</w:t>
      </w:r>
      <w:r w:rsidR="00AC2379" w:rsidRPr="00B02B4B">
        <w:rPr>
          <w:rFonts w:ascii="Times New Roman" w:hAnsi="Times New Roman" w:cs="Times New Roman"/>
          <w:noProof/>
          <w:sz w:val="24"/>
        </w:rPr>
        <w:t xml:space="preserve"> (MFF)</w:t>
      </w:r>
      <w:r w:rsidR="00E43FB4" w:rsidRPr="00B02B4B">
        <w:rPr>
          <w:rFonts w:ascii="Times New Roman" w:hAnsi="Times New Roman" w:cs="Times New Roman"/>
          <w:noProof/>
          <w:sz w:val="24"/>
        </w:rPr>
        <w:t xml:space="preserve">, </w:t>
      </w:r>
      <w:r w:rsidRPr="00B02B4B">
        <w:rPr>
          <w:rFonts w:ascii="Times New Roman" w:hAnsi="Times New Roman" w:cs="Times New Roman"/>
          <w:noProof/>
          <w:sz w:val="24"/>
        </w:rPr>
        <w:t>such</w:t>
      </w:r>
      <w:r>
        <w:rPr>
          <w:rFonts w:ascii="Times New Roman" w:hAnsi="Times New Roman" w:cs="Times New Roman"/>
          <w:noProof/>
          <w:sz w:val="24"/>
        </w:rPr>
        <w:t xml:space="preserve"> </w:t>
      </w:r>
      <w:r w:rsidR="00E43FB4">
        <w:rPr>
          <w:rFonts w:ascii="Times New Roman" w:hAnsi="Times New Roman" w:cs="Times New Roman"/>
          <w:noProof/>
          <w:sz w:val="24"/>
        </w:rPr>
        <w:t xml:space="preserve">an approach </w:t>
      </w:r>
      <w:r>
        <w:rPr>
          <w:rFonts w:ascii="Times New Roman" w:hAnsi="Times New Roman" w:cs="Times New Roman"/>
          <w:noProof/>
          <w:sz w:val="24"/>
        </w:rPr>
        <w:t xml:space="preserve">is </w:t>
      </w:r>
      <w:r w:rsidR="00E43FB4">
        <w:rPr>
          <w:rFonts w:ascii="Times New Roman" w:hAnsi="Times New Roman" w:cs="Times New Roman"/>
          <w:noProof/>
          <w:sz w:val="24"/>
        </w:rPr>
        <w:t xml:space="preserve">not </w:t>
      </w:r>
      <w:r w:rsidR="00FB455F">
        <w:rPr>
          <w:rFonts w:ascii="Times New Roman" w:hAnsi="Times New Roman" w:cs="Times New Roman"/>
          <w:noProof/>
          <w:sz w:val="24"/>
        </w:rPr>
        <w:t>feasi</w:t>
      </w:r>
      <w:r w:rsidR="008E5131">
        <w:rPr>
          <w:rFonts w:ascii="Times New Roman" w:hAnsi="Times New Roman" w:cs="Times New Roman"/>
          <w:noProof/>
          <w:sz w:val="24"/>
        </w:rPr>
        <w:t>ble</w:t>
      </w:r>
      <w:r w:rsidR="00E43FB4">
        <w:rPr>
          <w:rFonts w:ascii="Times New Roman" w:hAnsi="Times New Roman" w:cs="Times New Roman"/>
          <w:noProof/>
          <w:sz w:val="24"/>
        </w:rPr>
        <w:t xml:space="preserve">. Moreover, </w:t>
      </w:r>
      <w:r>
        <w:rPr>
          <w:rFonts w:ascii="Times New Roman" w:hAnsi="Times New Roman" w:cs="Times New Roman"/>
          <w:noProof/>
          <w:sz w:val="24"/>
        </w:rPr>
        <w:t xml:space="preserve">even if an actual pension fund would have been created, </w:t>
      </w:r>
      <w:r w:rsidR="00E43FB4">
        <w:rPr>
          <w:rFonts w:ascii="Times New Roman" w:hAnsi="Times New Roman" w:cs="Times New Roman"/>
          <w:noProof/>
          <w:sz w:val="24"/>
        </w:rPr>
        <w:t>financial market</w:t>
      </w:r>
      <w:r w:rsidR="00BE6857">
        <w:rPr>
          <w:rFonts w:ascii="Times New Roman" w:hAnsi="Times New Roman" w:cs="Times New Roman"/>
          <w:noProof/>
          <w:sz w:val="24"/>
        </w:rPr>
        <w:t>s’ volatility</w:t>
      </w:r>
      <w:r w:rsidR="00E43FB4">
        <w:rPr>
          <w:rFonts w:ascii="Times New Roman" w:hAnsi="Times New Roman" w:cs="Times New Roman"/>
          <w:noProof/>
          <w:sz w:val="24"/>
        </w:rPr>
        <w:t xml:space="preserve"> could question the opportunity of investing the reserve of such a fund. </w:t>
      </w:r>
    </w:p>
    <w:p w14:paraId="23AAA726" w14:textId="77777777" w:rsidR="005F34A9" w:rsidRPr="00E46B93" w:rsidRDefault="005F34A9" w:rsidP="00170470">
      <w:pPr>
        <w:pStyle w:val="Heading2"/>
        <w:numPr>
          <w:ilvl w:val="1"/>
          <w:numId w:val="1"/>
        </w:numPr>
        <w:spacing w:after="120" w:line="240" w:lineRule="auto"/>
        <w:rPr>
          <w:b w:val="0"/>
          <w:noProof/>
        </w:rPr>
      </w:pPr>
      <w:r w:rsidRPr="00FD76CF">
        <w:rPr>
          <w:noProof/>
        </w:rPr>
        <w:t>Population of the PSEO</w:t>
      </w:r>
    </w:p>
    <w:p w14:paraId="64DB11C7" w14:textId="77777777" w:rsidR="00DC0260" w:rsidRDefault="00215EE8" w:rsidP="00170470">
      <w:pPr>
        <w:pStyle w:val="Heading2"/>
        <w:numPr>
          <w:ilvl w:val="2"/>
          <w:numId w:val="1"/>
        </w:numPr>
        <w:spacing w:after="120" w:line="240" w:lineRule="auto"/>
        <w:rPr>
          <w:noProof/>
        </w:rPr>
      </w:pPr>
      <w:r w:rsidRPr="00FD76CF">
        <w:rPr>
          <w:noProof/>
        </w:rPr>
        <w:t>Active staff</w:t>
      </w:r>
    </w:p>
    <w:p w14:paraId="4345E93E" w14:textId="77777777" w:rsidR="005F34A9" w:rsidRPr="00FD76CF" w:rsidRDefault="00DC0260" w:rsidP="00DC0260">
      <w:pPr>
        <w:pStyle w:val="Heading2"/>
        <w:numPr>
          <w:ilvl w:val="3"/>
          <w:numId w:val="1"/>
        </w:numPr>
        <w:spacing w:after="120" w:line="240" w:lineRule="auto"/>
        <w:rPr>
          <w:noProof/>
        </w:rPr>
      </w:pPr>
      <w:r>
        <w:rPr>
          <w:noProof/>
        </w:rPr>
        <w:t>Evolution of staff</w:t>
      </w:r>
    </w:p>
    <w:p w14:paraId="6C11C337" w14:textId="0F00467B" w:rsidR="005F34A9" w:rsidRPr="00E46B93" w:rsidRDefault="005F34A9" w:rsidP="00170470">
      <w:pPr>
        <w:spacing w:after="120" w:line="240" w:lineRule="auto"/>
        <w:jc w:val="both"/>
        <w:rPr>
          <w:rFonts w:ascii="Times New Roman" w:hAnsi="Times New Roman" w:cs="Times New Roman"/>
          <w:noProof/>
          <w:sz w:val="24"/>
        </w:rPr>
      </w:pPr>
      <w:r w:rsidRPr="00E46B93">
        <w:rPr>
          <w:rFonts w:ascii="Times New Roman" w:hAnsi="Times New Roman" w:cs="Times New Roman"/>
          <w:noProof/>
          <w:sz w:val="24"/>
        </w:rPr>
        <w:t>In the Interinstitution</w:t>
      </w:r>
      <w:r w:rsidR="00626772">
        <w:rPr>
          <w:rFonts w:ascii="Times New Roman" w:hAnsi="Times New Roman" w:cs="Times New Roman"/>
          <w:noProof/>
          <w:sz w:val="24"/>
        </w:rPr>
        <w:t>al Agreement of 2 December 2013</w:t>
      </w:r>
      <w:r w:rsidR="00626772">
        <w:rPr>
          <w:rStyle w:val="FootnoteReference"/>
          <w:rFonts w:ascii="Times New Roman" w:hAnsi="Times New Roman" w:cs="Times New Roman"/>
          <w:noProof/>
          <w:sz w:val="24"/>
        </w:rPr>
        <w:footnoteReference w:id="15"/>
      </w:r>
      <w:r w:rsidRPr="00E46B93">
        <w:rPr>
          <w:rFonts w:ascii="Times New Roman" w:hAnsi="Times New Roman" w:cs="Times New Roman"/>
          <w:noProof/>
          <w:sz w:val="24"/>
        </w:rPr>
        <w:t xml:space="preserve">, EU Institutions agreed on a 5% reduction of posts in the </w:t>
      </w:r>
      <w:r w:rsidR="0021496F">
        <w:rPr>
          <w:rFonts w:ascii="Times New Roman" w:hAnsi="Times New Roman" w:cs="Times New Roman"/>
          <w:noProof/>
          <w:sz w:val="24"/>
        </w:rPr>
        <w:t xml:space="preserve">respective </w:t>
      </w:r>
      <w:r w:rsidRPr="00E46B93">
        <w:rPr>
          <w:rFonts w:ascii="Times New Roman" w:hAnsi="Times New Roman" w:cs="Times New Roman"/>
          <w:noProof/>
          <w:sz w:val="24"/>
        </w:rPr>
        <w:t>establishment plan</w:t>
      </w:r>
      <w:r w:rsidR="0021496F">
        <w:rPr>
          <w:rFonts w:ascii="Times New Roman" w:hAnsi="Times New Roman" w:cs="Times New Roman"/>
          <w:noProof/>
          <w:sz w:val="24"/>
        </w:rPr>
        <w:t>s</w:t>
      </w:r>
      <w:r w:rsidRPr="00E46B93">
        <w:rPr>
          <w:rFonts w:ascii="Times New Roman" w:hAnsi="Times New Roman" w:cs="Times New Roman"/>
          <w:noProof/>
          <w:sz w:val="24"/>
        </w:rPr>
        <w:t xml:space="preserve">. In 2017, the European Court of Auditors </w:t>
      </w:r>
      <w:r w:rsidR="004F3F4F">
        <w:rPr>
          <w:rFonts w:ascii="Times New Roman" w:hAnsi="Times New Roman" w:cs="Times New Roman"/>
          <w:noProof/>
          <w:sz w:val="24"/>
        </w:rPr>
        <w:t xml:space="preserve">(ECA) </w:t>
      </w:r>
      <w:r w:rsidRPr="00E46B93">
        <w:rPr>
          <w:rFonts w:ascii="Times New Roman" w:hAnsi="Times New Roman" w:cs="Times New Roman"/>
          <w:noProof/>
          <w:sz w:val="24"/>
        </w:rPr>
        <w:t>confirmed that all EU Institutions and agencies implemented the 5% staff reduction between 2013 and</w:t>
      </w:r>
      <w:r w:rsidR="00626772">
        <w:rPr>
          <w:rFonts w:ascii="Times New Roman" w:hAnsi="Times New Roman" w:cs="Times New Roman"/>
          <w:noProof/>
          <w:sz w:val="24"/>
        </w:rPr>
        <w:t xml:space="preserve"> 2017, albeit with some delays</w:t>
      </w:r>
      <w:r w:rsidR="002B24B4">
        <w:rPr>
          <w:rStyle w:val="FootnoteReference"/>
          <w:rFonts w:ascii="Times New Roman" w:hAnsi="Times New Roman" w:cs="Times New Roman"/>
          <w:noProof/>
          <w:sz w:val="24"/>
        </w:rPr>
        <w:footnoteReference w:id="16"/>
      </w:r>
      <w:r w:rsidR="00FD76CF">
        <w:rPr>
          <w:rFonts w:ascii="Times New Roman" w:hAnsi="Times New Roman" w:cs="Times New Roman"/>
          <w:noProof/>
          <w:sz w:val="24"/>
        </w:rPr>
        <w:t>.</w:t>
      </w:r>
    </w:p>
    <w:p w14:paraId="007B1111" w14:textId="66AB5C71" w:rsidR="00995132" w:rsidRPr="00E46B93" w:rsidRDefault="005F34A9" w:rsidP="005F34A9">
      <w:pPr>
        <w:jc w:val="both"/>
        <w:rPr>
          <w:rFonts w:ascii="Times New Roman" w:hAnsi="Times New Roman" w:cs="Times New Roman"/>
          <w:noProof/>
          <w:sz w:val="24"/>
        </w:rPr>
      </w:pPr>
      <w:r w:rsidRPr="00E46B93">
        <w:rPr>
          <w:rFonts w:ascii="Times New Roman" w:hAnsi="Times New Roman" w:cs="Times New Roman"/>
          <w:noProof/>
          <w:sz w:val="24"/>
        </w:rPr>
        <w:t xml:space="preserve">At the same time, as already observed by the ECA in 2017, the budgetary authority granted new posts </w:t>
      </w:r>
      <w:r w:rsidR="00B66ADA">
        <w:rPr>
          <w:rFonts w:ascii="Times New Roman" w:hAnsi="Times New Roman" w:cs="Times New Roman"/>
          <w:noProof/>
          <w:sz w:val="24"/>
        </w:rPr>
        <w:t xml:space="preserve">and credits for the recruitment of contract agents </w:t>
      </w:r>
      <w:r w:rsidRPr="00E46B93">
        <w:rPr>
          <w:rFonts w:ascii="Times New Roman" w:hAnsi="Times New Roman" w:cs="Times New Roman"/>
          <w:noProof/>
          <w:sz w:val="24"/>
        </w:rPr>
        <w:t xml:space="preserve">to the institutions, bodies and agencies in the framework of the annual budgetary procedure. These posts were made available mostly </w:t>
      </w:r>
      <w:r w:rsidR="005C3EA1">
        <w:rPr>
          <w:rFonts w:ascii="Times New Roman" w:hAnsi="Times New Roman" w:cs="Times New Roman"/>
          <w:noProof/>
          <w:sz w:val="24"/>
        </w:rPr>
        <w:t xml:space="preserve">to cater for the additional tasks granted to EU institutions </w:t>
      </w:r>
      <w:r w:rsidRPr="00E46B93">
        <w:rPr>
          <w:rFonts w:ascii="Times New Roman" w:hAnsi="Times New Roman" w:cs="Times New Roman"/>
          <w:noProof/>
          <w:sz w:val="24"/>
        </w:rPr>
        <w:t>(this explains the significant increase in the number of posts granted to agencies), and the accession of Croatia.</w:t>
      </w:r>
    </w:p>
    <w:p w14:paraId="0C4A64DD" w14:textId="6BE3E947" w:rsidR="005F34A9" w:rsidRDefault="005F34A9" w:rsidP="005F34A9">
      <w:pPr>
        <w:jc w:val="both"/>
        <w:rPr>
          <w:rFonts w:ascii="Times New Roman" w:hAnsi="Times New Roman" w:cs="Times New Roman"/>
          <w:noProof/>
          <w:sz w:val="24"/>
        </w:rPr>
      </w:pPr>
      <w:r w:rsidRPr="00E46B93">
        <w:rPr>
          <w:rFonts w:ascii="Times New Roman" w:hAnsi="Times New Roman" w:cs="Times New Roman"/>
          <w:noProof/>
          <w:sz w:val="24"/>
        </w:rPr>
        <w:t xml:space="preserve">Hence, whilst the Commission staff slightly decreased </w:t>
      </w:r>
      <w:r w:rsidR="00ED280C">
        <w:rPr>
          <w:rFonts w:ascii="Times New Roman" w:hAnsi="Times New Roman" w:cs="Times New Roman"/>
          <w:noProof/>
          <w:sz w:val="24"/>
        </w:rPr>
        <w:t>between</w:t>
      </w:r>
      <w:r w:rsidR="00ED280C" w:rsidRPr="00E46B93">
        <w:rPr>
          <w:rFonts w:ascii="Times New Roman" w:hAnsi="Times New Roman" w:cs="Times New Roman"/>
          <w:noProof/>
          <w:sz w:val="24"/>
        </w:rPr>
        <w:t xml:space="preserve"> </w:t>
      </w:r>
      <w:r w:rsidRPr="00E46B93">
        <w:rPr>
          <w:rFonts w:ascii="Times New Roman" w:hAnsi="Times New Roman" w:cs="Times New Roman"/>
          <w:noProof/>
          <w:sz w:val="24"/>
        </w:rPr>
        <w:t>2014</w:t>
      </w:r>
      <w:r w:rsidR="00ED280C">
        <w:rPr>
          <w:rFonts w:ascii="Times New Roman" w:hAnsi="Times New Roman" w:cs="Times New Roman"/>
          <w:noProof/>
          <w:sz w:val="24"/>
        </w:rPr>
        <w:t xml:space="preserve"> and 2021</w:t>
      </w:r>
      <w:r w:rsidRPr="00E46B93">
        <w:rPr>
          <w:rFonts w:ascii="Times New Roman" w:hAnsi="Times New Roman" w:cs="Times New Roman"/>
          <w:noProof/>
          <w:sz w:val="24"/>
        </w:rPr>
        <w:t>, the</w:t>
      </w:r>
      <w:r w:rsidR="00995132">
        <w:rPr>
          <w:rFonts w:ascii="Times New Roman" w:hAnsi="Times New Roman" w:cs="Times New Roman"/>
          <w:noProof/>
          <w:sz w:val="24"/>
        </w:rPr>
        <w:t xml:space="preserve"> overall</w:t>
      </w:r>
      <w:r w:rsidRPr="00E46B93">
        <w:rPr>
          <w:rFonts w:ascii="Times New Roman" w:hAnsi="Times New Roman" w:cs="Times New Roman"/>
          <w:noProof/>
          <w:sz w:val="24"/>
        </w:rPr>
        <w:t xml:space="preserve"> active population of </w:t>
      </w:r>
      <w:r w:rsidR="00995132">
        <w:rPr>
          <w:rFonts w:ascii="Times New Roman" w:hAnsi="Times New Roman" w:cs="Times New Roman"/>
          <w:noProof/>
          <w:sz w:val="24"/>
        </w:rPr>
        <w:t xml:space="preserve">EU </w:t>
      </w:r>
      <w:r w:rsidRPr="00E46B93">
        <w:rPr>
          <w:rFonts w:ascii="Times New Roman" w:hAnsi="Times New Roman" w:cs="Times New Roman"/>
          <w:noProof/>
          <w:sz w:val="24"/>
        </w:rPr>
        <w:t>Institutions increase</w:t>
      </w:r>
      <w:r w:rsidR="00A179D6">
        <w:rPr>
          <w:rFonts w:ascii="Times New Roman" w:hAnsi="Times New Roman" w:cs="Times New Roman"/>
          <w:noProof/>
          <w:sz w:val="24"/>
        </w:rPr>
        <w:t xml:space="preserve">d from </w:t>
      </w:r>
      <w:r w:rsidR="008F0E4D">
        <w:rPr>
          <w:rFonts w:ascii="Times New Roman" w:hAnsi="Times New Roman" w:cs="Times New Roman"/>
          <w:noProof/>
          <w:sz w:val="24"/>
        </w:rPr>
        <w:t>58.567</w:t>
      </w:r>
      <w:r w:rsidR="007C41E3">
        <w:rPr>
          <w:rFonts w:ascii="Times New Roman" w:hAnsi="Times New Roman" w:cs="Times New Roman"/>
          <w:noProof/>
          <w:sz w:val="24"/>
        </w:rPr>
        <w:t xml:space="preserve"> </w:t>
      </w:r>
      <w:r w:rsidR="00A179D6">
        <w:rPr>
          <w:rFonts w:ascii="Times New Roman" w:hAnsi="Times New Roman" w:cs="Times New Roman"/>
          <w:noProof/>
          <w:sz w:val="24"/>
        </w:rPr>
        <w:t>to 66.</w:t>
      </w:r>
      <w:r w:rsidR="008F0E4D">
        <w:rPr>
          <w:rFonts w:ascii="Times New Roman" w:hAnsi="Times New Roman" w:cs="Times New Roman"/>
          <w:noProof/>
          <w:sz w:val="24"/>
        </w:rPr>
        <w:t>120</w:t>
      </w:r>
      <w:r w:rsidR="008F0E4D" w:rsidRPr="002C44F6">
        <w:rPr>
          <w:rFonts w:ascii="Times New Roman" w:hAnsi="Times New Roman" w:cs="Times New Roman"/>
          <w:noProof/>
          <w:sz w:val="24"/>
        </w:rPr>
        <w:t xml:space="preserve"> </w:t>
      </w:r>
      <w:r w:rsidR="002C44F6" w:rsidRPr="002C44F6">
        <w:rPr>
          <w:rFonts w:ascii="Times New Roman" w:hAnsi="Times New Roman" w:cs="Times New Roman"/>
          <w:noProof/>
          <w:sz w:val="24"/>
        </w:rPr>
        <w:t xml:space="preserve">(Annex </w:t>
      </w:r>
      <w:r w:rsidR="00947577">
        <w:rPr>
          <w:rFonts w:ascii="Times New Roman" w:hAnsi="Times New Roman" w:cs="Times New Roman"/>
          <w:noProof/>
          <w:sz w:val="24"/>
        </w:rPr>
        <w:t>6</w:t>
      </w:r>
      <w:r w:rsidRPr="00E46B93">
        <w:rPr>
          <w:rFonts w:ascii="Times New Roman" w:hAnsi="Times New Roman" w:cs="Times New Roman"/>
          <w:noProof/>
          <w:sz w:val="24"/>
        </w:rPr>
        <w:t>). The increase mainly stems from the executive and decentralised agencies and Joint Undertakings as a result of the decisions taken by the budgetary authority to extend certain fields of acti</w:t>
      </w:r>
      <w:r w:rsidR="004F3F4F">
        <w:rPr>
          <w:rFonts w:ascii="Times New Roman" w:hAnsi="Times New Roman" w:cs="Times New Roman"/>
          <w:noProof/>
          <w:sz w:val="24"/>
        </w:rPr>
        <w:t>vity</w:t>
      </w:r>
      <w:r w:rsidRPr="00E46B93">
        <w:rPr>
          <w:rFonts w:ascii="Times New Roman" w:hAnsi="Times New Roman" w:cs="Times New Roman"/>
          <w:noProof/>
          <w:sz w:val="24"/>
        </w:rPr>
        <w:t xml:space="preserve"> (</w:t>
      </w:r>
      <w:r w:rsidR="00206D95">
        <w:rPr>
          <w:rFonts w:ascii="Times New Roman" w:hAnsi="Times New Roman" w:cs="Times New Roman"/>
          <w:noProof/>
          <w:sz w:val="24"/>
        </w:rPr>
        <w:t>e</w:t>
      </w:r>
      <w:r w:rsidRPr="00E46B93">
        <w:rPr>
          <w:rFonts w:ascii="Times New Roman" w:hAnsi="Times New Roman" w:cs="Times New Roman"/>
          <w:noProof/>
          <w:sz w:val="24"/>
        </w:rPr>
        <w:t>.</w:t>
      </w:r>
      <w:r w:rsidR="00206D95">
        <w:rPr>
          <w:rFonts w:ascii="Times New Roman" w:hAnsi="Times New Roman" w:cs="Times New Roman"/>
          <w:noProof/>
          <w:sz w:val="24"/>
        </w:rPr>
        <w:t>g</w:t>
      </w:r>
      <w:r w:rsidRPr="00E46B93">
        <w:rPr>
          <w:rFonts w:ascii="Times New Roman" w:hAnsi="Times New Roman" w:cs="Times New Roman"/>
          <w:noProof/>
          <w:sz w:val="24"/>
        </w:rPr>
        <w:t xml:space="preserve">. Frontex) and to create new bodies and agencies, </w:t>
      </w:r>
      <w:r w:rsidR="005C3EA1">
        <w:rPr>
          <w:rFonts w:ascii="Times New Roman" w:hAnsi="Times New Roman" w:cs="Times New Roman"/>
          <w:noProof/>
          <w:sz w:val="24"/>
        </w:rPr>
        <w:t>e</w:t>
      </w:r>
      <w:r w:rsidR="00626772">
        <w:rPr>
          <w:rFonts w:ascii="Times New Roman" w:hAnsi="Times New Roman" w:cs="Times New Roman"/>
          <w:noProof/>
          <w:sz w:val="24"/>
        </w:rPr>
        <w:t>.</w:t>
      </w:r>
      <w:r w:rsidR="005C3EA1">
        <w:rPr>
          <w:rFonts w:ascii="Times New Roman" w:hAnsi="Times New Roman" w:cs="Times New Roman"/>
          <w:noProof/>
          <w:sz w:val="24"/>
        </w:rPr>
        <w:t>g</w:t>
      </w:r>
      <w:r w:rsidR="00626772">
        <w:rPr>
          <w:rFonts w:ascii="Times New Roman" w:hAnsi="Times New Roman" w:cs="Times New Roman"/>
          <w:noProof/>
          <w:sz w:val="24"/>
        </w:rPr>
        <w:t>. the Single Resolution Board</w:t>
      </w:r>
      <w:r w:rsidR="002B24B4">
        <w:rPr>
          <w:rStyle w:val="FootnoteReference"/>
          <w:rFonts w:ascii="Times New Roman" w:hAnsi="Times New Roman" w:cs="Times New Roman"/>
          <w:noProof/>
          <w:sz w:val="24"/>
        </w:rPr>
        <w:footnoteReference w:id="17"/>
      </w:r>
      <w:r w:rsidRPr="00E46B93">
        <w:rPr>
          <w:rFonts w:ascii="Times New Roman" w:hAnsi="Times New Roman" w:cs="Times New Roman"/>
          <w:noProof/>
          <w:sz w:val="24"/>
        </w:rPr>
        <w:t xml:space="preserve">, </w:t>
      </w:r>
      <w:r w:rsidR="008F0E4D">
        <w:rPr>
          <w:rFonts w:ascii="Times New Roman" w:hAnsi="Times New Roman" w:cs="Times New Roman"/>
          <w:noProof/>
          <w:sz w:val="24"/>
        </w:rPr>
        <w:t xml:space="preserve">the </w:t>
      </w:r>
      <w:r w:rsidRPr="00E46B93">
        <w:rPr>
          <w:rFonts w:ascii="Times New Roman" w:hAnsi="Times New Roman" w:cs="Times New Roman"/>
          <w:noProof/>
          <w:sz w:val="24"/>
        </w:rPr>
        <w:t>Eu</w:t>
      </w:r>
      <w:r w:rsidR="00626772">
        <w:rPr>
          <w:rFonts w:ascii="Times New Roman" w:hAnsi="Times New Roman" w:cs="Times New Roman"/>
          <w:noProof/>
          <w:sz w:val="24"/>
        </w:rPr>
        <w:t>ropean Public Prosecutor Office</w:t>
      </w:r>
      <w:r w:rsidR="002B24B4">
        <w:rPr>
          <w:rStyle w:val="FootnoteReference"/>
          <w:rFonts w:ascii="Times New Roman" w:hAnsi="Times New Roman" w:cs="Times New Roman"/>
          <w:noProof/>
          <w:sz w:val="24"/>
        </w:rPr>
        <w:footnoteReference w:id="18"/>
      </w:r>
      <w:r w:rsidRPr="00E46B93">
        <w:rPr>
          <w:rFonts w:ascii="Times New Roman" w:hAnsi="Times New Roman" w:cs="Times New Roman"/>
          <w:noProof/>
          <w:sz w:val="24"/>
        </w:rPr>
        <w:t xml:space="preserve">, </w:t>
      </w:r>
      <w:r w:rsidR="00206D95">
        <w:rPr>
          <w:rFonts w:ascii="Times New Roman" w:hAnsi="Times New Roman" w:cs="Times New Roman"/>
          <w:noProof/>
          <w:sz w:val="24"/>
        </w:rPr>
        <w:t>the European Labour Authority</w:t>
      </w:r>
      <w:r w:rsidR="00206D95">
        <w:rPr>
          <w:rStyle w:val="FootnoteReference"/>
          <w:rFonts w:ascii="Times New Roman" w:hAnsi="Times New Roman" w:cs="Times New Roman"/>
          <w:noProof/>
          <w:sz w:val="24"/>
        </w:rPr>
        <w:footnoteReference w:id="19"/>
      </w:r>
      <w:r w:rsidR="00206D95">
        <w:rPr>
          <w:rFonts w:ascii="Times New Roman" w:hAnsi="Times New Roman" w:cs="Times New Roman"/>
          <w:noProof/>
          <w:sz w:val="24"/>
        </w:rPr>
        <w:t xml:space="preserve"> and </w:t>
      </w:r>
      <w:r w:rsidRPr="00E46B93">
        <w:rPr>
          <w:rFonts w:ascii="Times New Roman" w:hAnsi="Times New Roman" w:cs="Times New Roman"/>
          <w:noProof/>
          <w:sz w:val="24"/>
        </w:rPr>
        <w:t>the European Health and Digital Executive Agency</w:t>
      </w:r>
      <w:r w:rsidR="00667A4A">
        <w:rPr>
          <w:rStyle w:val="FootnoteReference"/>
          <w:rFonts w:ascii="Times New Roman" w:hAnsi="Times New Roman" w:cs="Times New Roman"/>
          <w:noProof/>
          <w:sz w:val="24"/>
        </w:rPr>
        <w:footnoteReference w:id="20"/>
      </w:r>
      <w:r w:rsidRPr="00E46B93">
        <w:rPr>
          <w:rFonts w:ascii="Times New Roman" w:hAnsi="Times New Roman" w:cs="Times New Roman"/>
          <w:noProof/>
          <w:sz w:val="24"/>
        </w:rPr>
        <w:t>.</w:t>
      </w:r>
      <w:r w:rsidR="00405463">
        <w:rPr>
          <w:rFonts w:ascii="Times New Roman" w:hAnsi="Times New Roman" w:cs="Times New Roman"/>
          <w:noProof/>
          <w:sz w:val="24"/>
        </w:rPr>
        <w:t xml:space="preserve"> </w:t>
      </w:r>
    </w:p>
    <w:p w14:paraId="1D0C21CB" w14:textId="77777777" w:rsidR="00DC0260" w:rsidRPr="00DC0260" w:rsidRDefault="00DC0260" w:rsidP="00DC0260">
      <w:pPr>
        <w:pStyle w:val="Heading2"/>
        <w:numPr>
          <w:ilvl w:val="3"/>
          <w:numId w:val="1"/>
        </w:numPr>
        <w:spacing w:after="120" w:line="240" w:lineRule="auto"/>
        <w:rPr>
          <w:noProof/>
        </w:rPr>
      </w:pPr>
      <w:r>
        <w:rPr>
          <w:noProof/>
        </w:rPr>
        <w:t>Composition of staff</w:t>
      </w:r>
    </w:p>
    <w:p w14:paraId="75792DDD" w14:textId="1B3F468D" w:rsidR="005F34A9" w:rsidRPr="00E46B93" w:rsidRDefault="005F34A9" w:rsidP="005F34A9">
      <w:pPr>
        <w:jc w:val="both"/>
        <w:rPr>
          <w:rFonts w:ascii="Times New Roman" w:hAnsi="Times New Roman" w:cs="Times New Roman"/>
          <w:noProof/>
          <w:sz w:val="24"/>
        </w:rPr>
      </w:pPr>
      <w:r w:rsidRPr="00E46B93">
        <w:rPr>
          <w:rFonts w:ascii="Times New Roman" w:hAnsi="Times New Roman" w:cs="Times New Roman"/>
          <w:noProof/>
          <w:sz w:val="24"/>
        </w:rPr>
        <w:t xml:space="preserve">The staff increase observed in </w:t>
      </w:r>
      <w:r w:rsidR="008E5131">
        <w:rPr>
          <w:rFonts w:ascii="Times New Roman" w:hAnsi="Times New Roman" w:cs="Times New Roman"/>
          <w:noProof/>
          <w:sz w:val="24"/>
        </w:rPr>
        <w:t>a</w:t>
      </w:r>
      <w:r w:rsidRPr="00E46B93">
        <w:rPr>
          <w:rFonts w:ascii="Times New Roman" w:hAnsi="Times New Roman" w:cs="Times New Roman"/>
          <w:noProof/>
          <w:sz w:val="24"/>
        </w:rPr>
        <w:t xml:space="preserve">gencies and other bodies affects the overall composition of EU staff by increasing the share of </w:t>
      </w:r>
      <w:r w:rsidR="00B8273D">
        <w:rPr>
          <w:rFonts w:ascii="Times New Roman" w:hAnsi="Times New Roman" w:cs="Times New Roman"/>
          <w:noProof/>
          <w:sz w:val="24"/>
        </w:rPr>
        <w:t>t</w:t>
      </w:r>
      <w:r w:rsidRPr="00E46B93">
        <w:rPr>
          <w:rFonts w:ascii="Times New Roman" w:hAnsi="Times New Roman" w:cs="Times New Roman"/>
          <w:noProof/>
          <w:sz w:val="24"/>
        </w:rPr>
        <w:t xml:space="preserve">emporary and </w:t>
      </w:r>
      <w:r w:rsidR="00B8273D">
        <w:rPr>
          <w:rFonts w:ascii="Times New Roman" w:hAnsi="Times New Roman" w:cs="Times New Roman"/>
          <w:noProof/>
          <w:sz w:val="24"/>
        </w:rPr>
        <w:t>c</w:t>
      </w:r>
      <w:r w:rsidRPr="00E46B93">
        <w:rPr>
          <w:rFonts w:ascii="Times New Roman" w:hAnsi="Times New Roman" w:cs="Times New Roman"/>
          <w:noProof/>
          <w:sz w:val="24"/>
        </w:rPr>
        <w:t xml:space="preserve">ontract </w:t>
      </w:r>
      <w:r w:rsidR="00B8273D">
        <w:rPr>
          <w:rFonts w:ascii="Times New Roman" w:hAnsi="Times New Roman" w:cs="Times New Roman"/>
          <w:noProof/>
          <w:sz w:val="24"/>
        </w:rPr>
        <w:t>a</w:t>
      </w:r>
      <w:r w:rsidRPr="00E46B93">
        <w:rPr>
          <w:rFonts w:ascii="Times New Roman" w:hAnsi="Times New Roman" w:cs="Times New Roman"/>
          <w:noProof/>
          <w:sz w:val="24"/>
        </w:rPr>
        <w:t xml:space="preserve">gents. </w:t>
      </w:r>
      <w:r w:rsidR="00E260A7">
        <w:rPr>
          <w:rFonts w:ascii="Times New Roman" w:hAnsi="Times New Roman" w:cs="Times New Roman"/>
          <w:noProof/>
          <w:sz w:val="24"/>
        </w:rPr>
        <w:t>These agents</w:t>
      </w:r>
      <w:r w:rsidR="001D1288" w:rsidRPr="00B77CD5">
        <w:rPr>
          <w:rFonts w:ascii="Times New Roman" w:hAnsi="Times New Roman" w:cs="Times New Roman"/>
          <w:noProof/>
          <w:sz w:val="24"/>
        </w:rPr>
        <w:t xml:space="preserve">, regardless of the nature of their contracts, have </w:t>
      </w:r>
      <w:r w:rsidR="00B02B4B">
        <w:rPr>
          <w:rFonts w:ascii="Times New Roman" w:hAnsi="Times New Roman" w:cs="Times New Roman"/>
          <w:noProof/>
          <w:sz w:val="24"/>
        </w:rPr>
        <w:t>lower remuneration and/or</w:t>
      </w:r>
      <w:r w:rsidR="00B02B4B" w:rsidRPr="00B77CD5">
        <w:rPr>
          <w:rFonts w:ascii="Times New Roman" w:hAnsi="Times New Roman" w:cs="Times New Roman"/>
          <w:noProof/>
          <w:sz w:val="24"/>
        </w:rPr>
        <w:t xml:space="preserve"> </w:t>
      </w:r>
      <w:r w:rsidR="00995132">
        <w:rPr>
          <w:rFonts w:ascii="Times New Roman" w:hAnsi="Times New Roman" w:cs="Times New Roman"/>
          <w:noProof/>
          <w:sz w:val="24"/>
        </w:rPr>
        <w:t>s</w:t>
      </w:r>
      <w:r w:rsidR="00995132" w:rsidRPr="00B77CD5">
        <w:rPr>
          <w:rFonts w:ascii="Times New Roman" w:hAnsi="Times New Roman" w:cs="Times New Roman"/>
          <w:noProof/>
          <w:sz w:val="24"/>
        </w:rPr>
        <w:t xml:space="preserve">lower </w:t>
      </w:r>
      <w:r w:rsidR="001D1288" w:rsidRPr="00B77CD5">
        <w:rPr>
          <w:rFonts w:ascii="Times New Roman" w:hAnsi="Times New Roman" w:cs="Times New Roman"/>
          <w:noProof/>
          <w:sz w:val="24"/>
        </w:rPr>
        <w:t>career advancement</w:t>
      </w:r>
      <w:r w:rsidR="00322EB4">
        <w:rPr>
          <w:rFonts w:ascii="Times New Roman" w:hAnsi="Times New Roman" w:cs="Times New Roman"/>
          <w:noProof/>
          <w:sz w:val="24"/>
        </w:rPr>
        <w:t xml:space="preserve"> </w:t>
      </w:r>
      <w:r w:rsidR="001D1288" w:rsidRPr="00B77CD5">
        <w:rPr>
          <w:rFonts w:ascii="Times New Roman" w:hAnsi="Times New Roman" w:cs="Times New Roman"/>
          <w:noProof/>
          <w:sz w:val="24"/>
        </w:rPr>
        <w:t>than officials.</w:t>
      </w:r>
      <w:r w:rsidR="001D1288">
        <w:rPr>
          <w:rFonts w:ascii="Times New Roman" w:hAnsi="Times New Roman" w:cs="Times New Roman"/>
          <w:noProof/>
          <w:sz w:val="24"/>
        </w:rPr>
        <w:t xml:space="preserve"> In addition, contract agents fall </w:t>
      </w:r>
      <w:r w:rsidR="001D1288" w:rsidRPr="00826ADC">
        <w:rPr>
          <w:rFonts w:ascii="Times New Roman" w:hAnsi="Times New Roman" w:cs="Times New Roman"/>
          <w:noProof/>
          <w:sz w:val="24"/>
        </w:rPr>
        <w:t>under a diffe</w:t>
      </w:r>
      <w:r w:rsidR="001D1288">
        <w:rPr>
          <w:rFonts w:ascii="Times New Roman" w:hAnsi="Times New Roman" w:cs="Times New Roman"/>
          <w:noProof/>
          <w:sz w:val="24"/>
        </w:rPr>
        <w:t>rent salary grid than officials</w:t>
      </w:r>
      <w:r w:rsidR="001D1288">
        <w:rPr>
          <w:rStyle w:val="FootnoteReference"/>
          <w:rFonts w:ascii="Times New Roman" w:hAnsi="Times New Roman" w:cs="Times New Roman"/>
          <w:noProof/>
          <w:sz w:val="24"/>
        </w:rPr>
        <w:footnoteReference w:id="21"/>
      </w:r>
      <w:r w:rsidR="001D1288">
        <w:rPr>
          <w:rFonts w:ascii="Times New Roman" w:hAnsi="Times New Roman" w:cs="Times New Roman"/>
          <w:noProof/>
          <w:sz w:val="24"/>
        </w:rPr>
        <w:t xml:space="preserve"> and their pension entitlements are adjusted in case they would become officials</w:t>
      </w:r>
      <w:r w:rsidR="001D1288">
        <w:rPr>
          <w:rStyle w:val="FootnoteReference"/>
          <w:rFonts w:ascii="Times New Roman" w:hAnsi="Times New Roman" w:cs="Times New Roman"/>
          <w:noProof/>
          <w:sz w:val="24"/>
        </w:rPr>
        <w:footnoteReference w:id="22"/>
      </w:r>
      <w:r w:rsidRPr="00E46B93">
        <w:rPr>
          <w:rFonts w:ascii="Times New Roman" w:hAnsi="Times New Roman" w:cs="Times New Roman"/>
          <w:noProof/>
          <w:sz w:val="24"/>
        </w:rPr>
        <w:t>.</w:t>
      </w:r>
      <w:r w:rsidR="00405463">
        <w:rPr>
          <w:rFonts w:ascii="Times New Roman" w:hAnsi="Times New Roman" w:cs="Times New Roman"/>
          <w:noProof/>
          <w:sz w:val="24"/>
        </w:rPr>
        <w:t xml:space="preserve"> </w:t>
      </w:r>
    </w:p>
    <w:p w14:paraId="44E179EC" w14:textId="77777777" w:rsidR="005F34A9" w:rsidRPr="00E46B93" w:rsidRDefault="001D1288" w:rsidP="005F34A9">
      <w:pPr>
        <w:jc w:val="both"/>
        <w:rPr>
          <w:rFonts w:ascii="Times New Roman" w:hAnsi="Times New Roman" w:cs="Times New Roman"/>
          <w:noProof/>
          <w:sz w:val="24"/>
        </w:rPr>
      </w:pPr>
      <w:r>
        <w:rPr>
          <w:rFonts w:ascii="Times New Roman" w:hAnsi="Times New Roman" w:cs="Times New Roman"/>
          <w:noProof/>
          <w:sz w:val="24"/>
        </w:rPr>
        <w:t>Both, t</w:t>
      </w:r>
      <w:r w:rsidRPr="001D1288">
        <w:rPr>
          <w:rFonts w:ascii="Times New Roman" w:hAnsi="Times New Roman" w:cs="Times New Roman"/>
          <w:noProof/>
          <w:sz w:val="24"/>
        </w:rPr>
        <w:t xml:space="preserve">he </w:t>
      </w:r>
      <w:r>
        <w:rPr>
          <w:rFonts w:ascii="Times New Roman" w:hAnsi="Times New Roman" w:cs="Times New Roman"/>
          <w:noProof/>
          <w:sz w:val="24"/>
        </w:rPr>
        <w:t xml:space="preserve">2004 and 2014 </w:t>
      </w:r>
      <w:r w:rsidRPr="001D1288">
        <w:rPr>
          <w:rFonts w:ascii="Times New Roman" w:hAnsi="Times New Roman" w:cs="Times New Roman"/>
          <w:noProof/>
          <w:sz w:val="24"/>
        </w:rPr>
        <w:t>reforms</w:t>
      </w:r>
      <w:r>
        <w:rPr>
          <w:rFonts w:ascii="Times New Roman" w:hAnsi="Times New Roman" w:cs="Times New Roman"/>
          <w:noProof/>
          <w:sz w:val="24"/>
        </w:rPr>
        <w:t xml:space="preserve"> of the Staff Regulations </w:t>
      </w:r>
      <w:r w:rsidRPr="001D1288">
        <w:rPr>
          <w:rFonts w:ascii="Times New Roman" w:hAnsi="Times New Roman" w:cs="Times New Roman"/>
          <w:noProof/>
          <w:sz w:val="24"/>
        </w:rPr>
        <w:t xml:space="preserve">were subject to transitional provisions given that pension rights are protected under the principle of acquired rights. </w:t>
      </w:r>
      <w:r w:rsidR="005F34A9" w:rsidRPr="00E46B93">
        <w:rPr>
          <w:rFonts w:ascii="Times New Roman" w:hAnsi="Times New Roman" w:cs="Times New Roman"/>
          <w:noProof/>
          <w:sz w:val="24"/>
        </w:rPr>
        <w:t xml:space="preserve">By laying down transition rules under Annex XIII to the Staff Regulations, the co-legislator provided for the coexistence of three cohorts of staff members. </w:t>
      </w:r>
      <w:r w:rsidR="00746295">
        <w:rPr>
          <w:rFonts w:ascii="Times New Roman" w:hAnsi="Times New Roman" w:cs="Times New Roman"/>
          <w:noProof/>
          <w:sz w:val="24"/>
        </w:rPr>
        <w:t>For instance</w:t>
      </w:r>
      <w:r w:rsidR="005F34A9" w:rsidRPr="00E46B93">
        <w:rPr>
          <w:rFonts w:ascii="Times New Roman" w:hAnsi="Times New Roman" w:cs="Times New Roman"/>
          <w:noProof/>
          <w:sz w:val="24"/>
        </w:rPr>
        <w:t xml:space="preserve">, whilst the default annual accrual rate is 1.8% for staff recruited from 1 January 2014, it is 1.9% for staff recruited between 1 May 2004 and 31 December 2013 and 2% for those recruited till 30 April 2004. </w:t>
      </w:r>
    </w:p>
    <w:p w14:paraId="190F33EB" w14:textId="3138F233" w:rsidR="00ED3970" w:rsidRDefault="005F34A9" w:rsidP="005F34A9">
      <w:pPr>
        <w:jc w:val="both"/>
        <w:rPr>
          <w:rFonts w:ascii="Times New Roman" w:hAnsi="Times New Roman" w:cs="Times New Roman"/>
          <w:noProof/>
          <w:sz w:val="24"/>
        </w:rPr>
      </w:pPr>
      <w:r w:rsidRPr="00E46B93">
        <w:rPr>
          <w:rFonts w:ascii="Times New Roman" w:hAnsi="Times New Roman" w:cs="Times New Roman"/>
          <w:noProof/>
          <w:sz w:val="24"/>
        </w:rPr>
        <w:t xml:space="preserve">Since the 2014 reform of the Staff Regulations, the share of active staff members falling under the pre-2004 rules decreased </w:t>
      </w:r>
      <w:r w:rsidR="00374D7E">
        <w:rPr>
          <w:rFonts w:ascii="Times New Roman" w:hAnsi="Times New Roman" w:cs="Times New Roman"/>
          <w:noProof/>
          <w:sz w:val="24"/>
        </w:rPr>
        <w:t xml:space="preserve">from </w:t>
      </w:r>
      <w:r w:rsidR="00C00E71">
        <w:rPr>
          <w:rFonts w:ascii="Times New Roman" w:hAnsi="Times New Roman" w:cs="Times New Roman"/>
          <w:noProof/>
          <w:sz w:val="24"/>
        </w:rPr>
        <w:t>36</w:t>
      </w:r>
      <w:r w:rsidR="00374D7E">
        <w:rPr>
          <w:rFonts w:ascii="Times New Roman" w:hAnsi="Times New Roman" w:cs="Times New Roman"/>
          <w:noProof/>
          <w:sz w:val="24"/>
        </w:rPr>
        <w:t xml:space="preserve">% to </w:t>
      </w:r>
      <w:r w:rsidR="00C00E71">
        <w:rPr>
          <w:rFonts w:ascii="Times New Roman" w:hAnsi="Times New Roman" w:cs="Times New Roman"/>
          <w:noProof/>
          <w:sz w:val="24"/>
        </w:rPr>
        <w:t>19</w:t>
      </w:r>
      <w:r w:rsidR="00374D7E">
        <w:rPr>
          <w:rFonts w:ascii="Times New Roman" w:hAnsi="Times New Roman" w:cs="Times New Roman"/>
          <w:noProof/>
          <w:sz w:val="24"/>
        </w:rPr>
        <w:t xml:space="preserve">% </w:t>
      </w:r>
      <w:r w:rsidRPr="00E46B93">
        <w:rPr>
          <w:rFonts w:ascii="Times New Roman" w:hAnsi="Times New Roman" w:cs="Times New Roman"/>
          <w:noProof/>
          <w:sz w:val="24"/>
        </w:rPr>
        <w:t xml:space="preserve">whilst active staff members falling under the rules in place since </w:t>
      </w:r>
      <w:r w:rsidR="00ED3970">
        <w:rPr>
          <w:rFonts w:ascii="Times New Roman" w:hAnsi="Times New Roman" w:cs="Times New Roman"/>
          <w:noProof/>
          <w:sz w:val="24"/>
        </w:rPr>
        <w:t xml:space="preserve">1 January </w:t>
      </w:r>
      <w:r w:rsidRPr="00E46B93">
        <w:rPr>
          <w:rFonts w:ascii="Times New Roman" w:hAnsi="Times New Roman" w:cs="Times New Roman"/>
          <w:noProof/>
          <w:sz w:val="24"/>
        </w:rPr>
        <w:t xml:space="preserve">2014 represent almost </w:t>
      </w:r>
      <w:r w:rsidR="00C00E71">
        <w:rPr>
          <w:rFonts w:ascii="Times New Roman" w:hAnsi="Times New Roman" w:cs="Times New Roman"/>
          <w:noProof/>
          <w:sz w:val="24"/>
        </w:rPr>
        <w:t>48</w:t>
      </w:r>
      <w:r w:rsidR="00374D7E">
        <w:rPr>
          <w:rFonts w:ascii="Times New Roman" w:hAnsi="Times New Roman" w:cs="Times New Roman"/>
          <w:noProof/>
          <w:sz w:val="24"/>
        </w:rPr>
        <w:t>%</w:t>
      </w:r>
      <w:r w:rsidRPr="00E46B93">
        <w:rPr>
          <w:rFonts w:ascii="Times New Roman" w:hAnsi="Times New Roman" w:cs="Times New Roman"/>
          <w:noProof/>
          <w:sz w:val="24"/>
        </w:rPr>
        <w:t xml:space="preserve"> of active staff members</w:t>
      </w:r>
      <w:r w:rsidR="00947577">
        <w:rPr>
          <w:rFonts w:ascii="Times New Roman" w:hAnsi="Times New Roman" w:cs="Times New Roman"/>
          <w:noProof/>
          <w:sz w:val="24"/>
        </w:rPr>
        <w:t xml:space="preserve"> (Annex 7)</w:t>
      </w:r>
      <w:r w:rsidRPr="00E46B93">
        <w:rPr>
          <w:rFonts w:ascii="Times New Roman" w:hAnsi="Times New Roman" w:cs="Times New Roman"/>
          <w:noProof/>
          <w:sz w:val="24"/>
        </w:rPr>
        <w:t xml:space="preserve">. </w:t>
      </w:r>
    </w:p>
    <w:p w14:paraId="10CB953B" w14:textId="32DF6FE7" w:rsidR="005B5CB4" w:rsidRDefault="005F34A9" w:rsidP="005F34A9">
      <w:pPr>
        <w:jc w:val="both"/>
        <w:rPr>
          <w:rFonts w:ascii="Times New Roman" w:hAnsi="Times New Roman" w:cs="Times New Roman"/>
          <w:noProof/>
          <w:sz w:val="24"/>
        </w:rPr>
      </w:pPr>
      <w:r w:rsidRPr="00E46B93">
        <w:rPr>
          <w:rFonts w:ascii="Times New Roman" w:hAnsi="Times New Roman" w:cs="Times New Roman"/>
          <w:noProof/>
          <w:sz w:val="24"/>
        </w:rPr>
        <w:t xml:space="preserve">At the same time, and because staff members recruited after </w:t>
      </w:r>
      <w:r w:rsidR="00ED3970">
        <w:rPr>
          <w:rFonts w:ascii="Times New Roman" w:hAnsi="Times New Roman" w:cs="Times New Roman"/>
          <w:noProof/>
          <w:sz w:val="24"/>
        </w:rPr>
        <w:t xml:space="preserve">the 2004 and </w:t>
      </w:r>
      <w:r w:rsidRPr="00E46B93">
        <w:rPr>
          <w:rFonts w:ascii="Times New Roman" w:hAnsi="Times New Roman" w:cs="Times New Roman"/>
          <w:noProof/>
          <w:sz w:val="24"/>
        </w:rPr>
        <w:t xml:space="preserve">2014 </w:t>
      </w:r>
      <w:r w:rsidR="00ED3970">
        <w:rPr>
          <w:rFonts w:ascii="Times New Roman" w:hAnsi="Times New Roman" w:cs="Times New Roman"/>
          <w:noProof/>
          <w:sz w:val="24"/>
        </w:rPr>
        <w:t xml:space="preserve">reforms of the Staff Regulations </w:t>
      </w:r>
      <w:r w:rsidRPr="00E46B93">
        <w:rPr>
          <w:rFonts w:ascii="Times New Roman" w:hAnsi="Times New Roman" w:cs="Times New Roman"/>
          <w:noProof/>
          <w:sz w:val="24"/>
        </w:rPr>
        <w:t xml:space="preserve">are </w:t>
      </w:r>
      <w:r w:rsidR="00ED3970">
        <w:rPr>
          <w:rFonts w:ascii="Times New Roman" w:hAnsi="Times New Roman" w:cs="Times New Roman"/>
          <w:noProof/>
          <w:sz w:val="24"/>
        </w:rPr>
        <w:t xml:space="preserve">the most </w:t>
      </w:r>
      <w:r w:rsidRPr="00E46B93">
        <w:rPr>
          <w:rFonts w:ascii="Times New Roman" w:hAnsi="Times New Roman" w:cs="Times New Roman"/>
          <w:noProof/>
          <w:sz w:val="24"/>
        </w:rPr>
        <w:t xml:space="preserve">recent active members of the PSEO, the share of the pensionable years they acquired – which will be subject to the stricter conditions defined in </w:t>
      </w:r>
      <w:r w:rsidR="00ED3970">
        <w:rPr>
          <w:rFonts w:ascii="Times New Roman" w:hAnsi="Times New Roman" w:cs="Times New Roman"/>
          <w:noProof/>
          <w:sz w:val="24"/>
        </w:rPr>
        <w:t xml:space="preserve">2004 and </w:t>
      </w:r>
      <w:r w:rsidRPr="00E46B93">
        <w:rPr>
          <w:rFonts w:ascii="Times New Roman" w:hAnsi="Times New Roman" w:cs="Times New Roman"/>
          <w:noProof/>
          <w:sz w:val="24"/>
        </w:rPr>
        <w:t xml:space="preserve">2014 – </w:t>
      </w:r>
      <w:r w:rsidR="00394306">
        <w:rPr>
          <w:rFonts w:ascii="Times New Roman" w:hAnsi="Times New Roman" w:cs="Times New Roman"/>
          <w:noProof/>
          <w:sz w:val="24"/>
        </w:rPr>
        <w:t xml:space="preserve">is increasing progressively. </w:t>
      </w:r>
      <w:r w:rsidR="002C531C">
        <w:rPr>
          <w:rFonts w:ascii="Times New Roman" w:hAnsi="Times New Roman" w:cs="Times New Roman"/>
          <w:noProof/>
          <w:sz w:val="24"/>
        </w:rPr>
        <w:t xml:space="preserve">It represents </w:t>
      </w:r>
      <w:r w:rsidR="00F92890">
        <w:rPr>
          <w:rFonts w:ascii="Times New Roman" w:hAnsi="Times New Roman" w:cs="Times New Roman"/>
          <w:noProof/>
          <w:sz w:val="24"/>
        </w:rPr>
        <w:t>60</w:t>
      </w:r>
      <w:r w:rsidR="002C531C">
        <w:rPr>
          <w:rFonts w:ascii="Times New Roman" w:hAnsi="Times New Roman" w:cs="Times New Roman"/>
          <w:noProof/>
          <w:sz w:val="24"/>
        </w:rPr>
        <w:t>% of all pension rights acquired. When looking only at pe</w:t>
      </w:r>
      <w:r w:rsidR="00394306">
        <w:rPr>
          <w:rFonts w:ascii="Times New Roman" w:hAnsi="Times New Roman" w:cs="Times New Roman"/>
          <w:noProof/>
          <w:sz w:val="24"/>
        </w:rPr>
        <w:t xml:space="preserve">nsion rights acquired </w:t>
      </w:r>
      <w:r w:rsidR="002C531C">
        <w:rPr>
          <w:rFonts w:ascii="Times New Roman" w:hAnsi="Times New Roman" w:cs="Times New Roman"/>
          <w:noProof/>
          <w:sz w:val="24"/>
        </w:rPr>
        <w:t xml:space="preserve">under the post-2014 rules, it already represents </w:t>
      </w:r>
      <w:r w:rsidR="007209FA">
        <w:rPr>
          <w:rFonts w:ascii="Times New Roman" w:hAnsi="Times New Roman" w:cs="Times New Roman"/>
          <w:noProof/>
          <w:sz w:val="24"/>
        </w:rPr>
        <w:t>a significant part (</w:t>
      </w:r>
      <w:r w:rsidR="00F92890">
        <w:rPr>
          <w:rFonts w:ascii="Times New Roman" w:hAnsi="Times New Roman" w:cs="Times New Roman"/>
          <w:noProof/>
          <w:sz w:val="24"/>
        </w:rPr>
        <w:t>22%</w:t>
      </w:r>
      <w:r w:rsidR="007209FA">
        <w:rPr>
          <w:rFonts w:ascii="Times New Roman" w:hAnsi="Times New Roman" w:cs="Times New Roman"/>
          <w:noProof/>
          <w:sz w:val="24"/>
        </w:rPr>
        <w:t>)</w:t>
      </w:r>
      <w:r w:rsidRPr="00E46B93">
        <w:rPr>
          <w:rFonts w:ascii="Times New Roman" w:hAnsi="Times New Roman" w:cs="Times New Roman"/>
          <w:noProof/>
          <w:sz w:val="24"/>
        </w:rPr>
        <w:t xml:space="preserve"> of the overall share of pensionable years acquired by staff members (Annex</w:t>
      </w:r>
      <w:r w:rsidR="00F92890">
        <w:rPr>
          <w:rFonts w:ascii="Times New Roman" w:hAnsi="Times New Roman" w:cs="Times New Roman"/>
          <w:noProof/>
          <w:sz w:val="24"/>
        </w:rPr>
        <w:t>es</w:t>
      </w:r>
      <w:r w:rsidRPr="00E46B93">
        <w:rPr>
          <w:rFonts w:ascii="Times New Roman" w:hAnsi="Times New Roman" w:cs="Times New Roman"/>
          <w:noProof/>
          <w:sz w:val="24"/>
        </w:rPr>
        <w:t xml:space="preserve"> 8</w:t>
      </w:r>
      <w:r w:rsidR="00F92890">
        <w:rPr>
          <w:rFonts w:ascii="Times New Roman" w:hAnsi="Times New Roman" w:cs="Times New Roman"/>
          <w:noProof/>
          <w:sz w:val="24"/>
        </w:rPr>
        <w:t xml:space="preserve"> and 9</w:t>
      </w:r>
      <w:r w:rsidRPr="00E46B93">
        <w:rPr>
          <w:rFonts w:ascii="Times New Roman" w:hAnsi="Times New Roman" w:cs="Times New Roman"/>
          <w:noProof/>
          <w:sz w:val="24"/>
        </w:rPr>
        <w:t xml:space="preserve">). </w:t>
      </w:r>
      <w:r w:rsidR="003E486C">
        <w:rPr>
          <w:rFonts w:ascii="Times New Roman" w:hAnsi="Times New Roman" w:cs="Times New Roman"/>
          <w:noProof/>
          <w:sz w:val="24"/>
        </w:rPr>
        <w:t>This reflects the ever</w:t>
      </w:r>
      <w:r w:rsidR="00CE0590">
        <w:rPr>
          <w:rFonts w:ascii="Times New Roman" w:hAnsi="Times New Roman" w:cs="Times New Roman"/>
          <w:noProof/>
          <w:sz w:val="24"/>
        </w:rPr>
        <w:t>-</w:t>
      </w:r>
      <w:r w:rsidR="003E486C">
        <w:rPr>
          <w:rFonts w:ascii="Times New Roman" w:hAnsi="Times New Roman" w:cs="Times New Roman"/>
          <w:noProof/>
          <w:sz w:val="24"/>
        </w:rPr>
        <w:t xml:space="preserve">increasing effects the 2004 and 2014 reforms of the Staff Regulations will have in the future. </w:t>
      </w:r>
    </w:p>
    <w:p w14:paraId="12ABA66C" w14:textId="77777777" w:rsidR="005F34A9" w:rsidRPr="00FD76CF" w:rsidRDefault="00215EE8" w:rsidP="00170470">
      <w:pPr>
        <w:pStyle w:val="Heading2"/>
        <w:numPr>
          <w:ilvl w:val="2"/>
          <w:numId w:val="1"/>
        </w:numPr>
        <w:spacing w:after="120" w:line="240" w:lineRule="auto"/>
        <w:rPr>
          <w:noProof/>
        </w:rPr>
      </w:pPr>
      <w:r w:rsidRPr="00FD76CF">
        <w:rPr>
          <w:noProof/>
        </w:rPr>
        <w:t>Pensioners</w:t>
      </w:r>
    </w:p>
    <w:p w14:paraId="5E1C29BE" w14:textId="3CB74FAE" w:rsidR="005F34A9" w:rsidRPr="005F34A9" w:rsidRDefault="005F34A9" w:rsidP="00170470">
      <w:pPr>
        <w:spacing w:after="120" w:line="240" w:lineRule="auto"/>
        <w:jc w:val="both"/>
        <w:rPr>
          <w:rFonts w:ascii="Times New Roman" w:hAnsi="Times New Roman" w:cs="Times New Roman"/>
          <w:noProof/>
          <w:sz w:val="24"/>
        </w:rPr>
      </w:pPr>
      <w:r w:rsidRPr="005F34A9">
        <w:rPr>
          <w:rFonts w:ascii="Times New Roman" w:hAnsi="Times New Roman" w:cs="Times New Roman"/>
          <w:noProof/>
          <w:sz w:val="24"/>
        </w:rPr>
        <w:t xml:space="preserve">Since 2014, the number of pensioners increased. </w:t>
      </w:r>
      <w:r w:rsidR="00563FDE">
        <w:rPr>
          <w:rFonts w:ascii="Times New Roman" w:hAnsi="Times New Roman" w:cs="Times New Roman"/>
          <w:noProof/>
          <w:sz w:val="24"/>
        </w:rPr>
        <w:t xml:space="preserve">This results from </w:t>
      </w:r>
      <w:r w:rsidR="00E50FD8">
        <w:rPr>
          <w:rFonts w:ascii="Times New Roman" w:hAnsi="Times New Roman" w:cs="Times New Roman"/>
          <w:noProof/>
          <w:sz w:val="24"/>
        </w:rPr>
        <w:t xml:space="preserve">the progressive expansion of the EU workforce </w:t>
      </w:r>
      <w:r w:rsidR="00B14D55">
        <w:rPr>
          <w:rFonts w:ascii="Times New Roman" w:hAnsi="Times New Roman" w:cs="Times New Roman"/>
          <w:noProof/>
          <w:sz w:val="24"/>
        </w:rPr>
        <w:t xml:space="preserve">resulting from </w:t>
      </w:r>
      <w:r w:rsidR="00563FDE">
        <w:rPr>
          <w:rFonts w:ascii="Times New Roman" w:hAnsi="Times New Roman" w:cs="Times New Roman"/>
          <w:noProof/>
          <w:sz w:val="24"/>
        </w:rPr>
        <w:t>the successive enlargements of the EU</w:t>
      </w:r>
      <w:r w:rsidR="00B14D55">
        <w:rPr>
          <w:rFonts w:ascii="Times New Roman" w:hAnsi="Times New Roman" w:cs="Times New Roman"/>
          <w:noProof/>
          <w:sz w:val="24"/>
        </w:rPr>
        <w:t xml:space="preserve"> and the broadening of its tasks</w:t>
      </w:r>
      <w:r w:rsidR="00563FDE">
        <w:rPr>
          <w:rFonts w:ascii="Times New Roman" w:hAnsi="Times New Roman" w:cs="Times New Roman"/>
          <w:noProof/>
          <w:sz w:val="24"/>
        </w:rPr>
        <w:t xml:space="preserve">. </w:t>
      </w:r>
      <w:r w:rsidRPr="005F34A9">
        <w:rPr>
          <w:rFonts w:ascii="Times New Roman" w:hAnsi="Times New Roman" w:cs="Times New Roman"/>
          <w:noProof/>
          <w:sz w:val="24"/>
        </w:rPr>
        <w:t xml:space="preserve">In the longer term, as active staff move into retirement, </w:t>
      </w:r>
      <w:r w:rsidR="001F3F71">
        <w:rPr>
          <w:rFonts w:ascii="Times New Roman" w:hAnsi="Times New Roman" w:cs="Times New Roman"/>
          <w:noProof/>
          <w:sz w:val="24"/>
        </w:rPr>
        <w:t xml:space="preserve">the </w:t>
      </w:r>
      <w:r w:rsidRPr="005F34A9">
        <w:rPr>
          <w:rFonts w:ascii="Times New Roman" w:hAnsi="Times New Roman" w:cs="Times New Roman"/>
          <w:noProof/>
          <w:sz w:val="24"/>
        </w:rPr>
        <w:t xml:space="preserve">headcount of pensioners will necessarily increase. The increase will continue until the time </w:t>
      </w:r>
      <w:r w:rsidR="004F216F">
        <w:rPr>
          <w:rFonts w:ascii="Times New Roman" w:hAnsi="Times New Roman" w:cs="Times New Roman"/>
          <w:noProof/>
          <w:sz w:val="24"/>
        </w:rPr>
        <w:t>when</w:t>
      </w:r>
      <w:r w:rsidRPr="005F34A9">
        <w:rPr>
          <w:rFonts w:ascii="Times New Roman" w:hAnsi="Times New Roman" w:cs="Times New Roman"/>
          <w:noProof/>
          <w:sz w:val="24"/>
        </w:rPr>
        <w:t xml:space="preserve"> the number of retirees in a given year balances the number of </w:t>
      </w:r>
      <w:r w:rsidR="00D3369F">
        <w:rPr>
          <w:rFonts w:ascii="Times New Roman" w:hAnsi="Times New Roman" w:cs="Times New Roman"/>
          <w:noProof/>
          <w:sz w:val="24"/>
        </w:rPr>
        <w:t>actives</w:t>
      </w:r>
      <w:r w:rsidR="00612B08">
        <w:rPr>
          <w:rStyle w:val="FootnoteReference"/>
          <w:rFonts w:ascii="Times New Roman" w:hAnsi="Times New Roman" w:cs="Times New Roman"/>
          <w:noProof/>
          <w:sz w:val="24"/>
        </w:rPr>
        <w:footnoteReference w:id="23"/>
      </w:r>
      <w:r w:rsidRPr="005F34A9">
        <w:rPr>
          <w:rFonts w:ascii="Times New Roman" w:hAnsi="Times New Roman" w:cs="Times New Roman"/>
          <w:noProof/>
          <w:sz w:val="24"/>
        </w:rPr>
        <w:t>.</w:t>
      </w:r>
      <w:r w:rsidR="00C34204">
        <w:rPr>
          <w:rFonts w:ascii="Times New Roman" w:hAnsi="Times New Roman" w:cs="Times New Roman"/>
          <w:noProof/>
          <w:sz w:val="24"/>
        </w:rPr>
        <w:t xml:space="preserve"> </w:t>
      </w:r>
    </w:p>
    <w:p w14:paraId="797A33D0" w14:textId="12A9BB06" w:rsidR="005F34A9" w:rsidRDefault="005F34A9" w:rsidP="00295124">
      <w:pPr>
        <w:jc w:val="both"/>
        <w:rPr>
          <w:rFonts w:ascii="Times New Roman" w:hAnsi="Times New Roman" w:cs="Times New Roman"/>
          <w:noProof/>
          <w:sz w:val="24"/>
        </w:rPr>
      </w:pPr>
      <w:r w:rsidRPr="005F34A9">
        <w:rPr>
          <w:rFonts w:ascii="Times New Roman" w:hAnsi="Times New Roman" w:cs="Times New Roman"/>
          <w:noProof/>
          <w:sz w:val="24"/>
        </w:rPr>
        <w:t xml:space="preserve">Annex </w:t>
      </w:r>
      <w:r w:rsidR="00947577">
        <w:rPr>
          <w:rFonts w:ascii="Times New Roman" w:hAnsi="Times New Roman" w:cs="Times New Roman"/>
          <w:noProof/>
          <w:sz w:val="24"/>
        </w:rPr>
        <w:t>10</w:t>
      </w:r>
      <w:r w:rsidRPr="005F34A9">
        <w:rPr>
          <w:rFonts w:ascii="Times New Roman" w:hAnsi="Times New Roman" w:cs="Times New Roman"/>
          <w:noProof/>
          <w:sz w:val="24"/>
        </w:rPr>
        <w:t xml:space="preserve"> shows that </w:t>
      </w:r>
      <w:r w:rsidR="004F216F">
        <w:rPr>
          <w:rFonts w:ascii="Times New Roman" w:hAnsi="Times New Roman" w:cs="Times New Roman"/>
          <w:noProof/>
          <w:sz w:val="24"/>
        </w:rPr>
        <w:t xml:space="preserve">currently </w:t>
      </w:r>
      <w:r w:rsidRPr="005F34A9">
        <w:rPr>
          <w:rFonts w:ascii="Times New Roman" w:hAnsi="Times New Roman" w:cs="Times New Roman"/>
          <w:noProof/>
          <w:sz w:val="24"/>
        </w:rPr>
        <w:t>the pre-2004 cohort</w:t>
      </w:r>
      <w:r w:rsidR="00374D7E">
        <w:rPr>
          <w:rFonts w:ascii="Times New Roman" w:hAnsi="Times New Roman" w:cs="Times New Roman"/>
          <w:noProof/>
          <w:sz w:val="24"/>
        </w:rPr>
        <w:t xml:space="preserve"> </w:t>
      </w:r>
      <w:r w:rsidRPr="005F34A9">
        <w:rPr>
          <w:rFonts w:ascii="Times New Roman" w:hAnsi="Times New Roman" w:cs="Times New Roman"/>
          <w:noProof/>
          <w:sz w:val="24"/>
        </w:rPr>
        <w:t>represen</w:t>
      </w:r>
      <w:r w:rsidR="00626772">
        <w:rPr>
          <w:rFonts w:ascii="Times New Roman" w:hAnsi="Times New Roman" w:cs="Times New Roman"/>
          <w:noProof/>
          <w:sz w:val="24"/>
        </w:rPr>
        <w:t>ts almost 90% of all pensioners</w:t>
      </w:r>
      <w:r w:rsidRPr="005F34A9">
        <w:rPr>
          <w:rFonts w:ascii="Times New Roman" w:hAnsi="Times New Roman" w:cs="Times New Roman"/>
          <w:noProof/>
          <w:sz w:val="24"/>
        </w:rPr>
        <w:t>, whereas pensioners falling under pre-2014 rules represent 9%</w:t>
      </w:r>
      <w:r w:rsidR="00AA7C6F">
        <w:rPr>
          <w:rFonts w:ascii="Times New Roman" w:hAnsi="Times New Roman" w:cs="Times New Roman"/>
          <w:noProof/>
          <w:sz w:val="24"/>
        </w:rPr>
        <w:t>,</w:t>
      </w:r>
      <w:r w:rsidRPr="005F34A9">
        <w:rPr>
          <w:rFonts w:ascii="Times New Roman" w:hAnsi="Times New Roman" w:cs="Times New Roman"/>
          <w:noProof/>
          <w:sz w:val="24"/>
        </w:rPr>
        <w:t xml:space="preserve"> and those falling under the post-2014 rules represent only 1% of all pensioners. </w:t>
      </w:r>
      <w:r w:rsidR="003C67C2">
        <w:rPr>
          <w:rFonts w:ascii="Times New Roman" w:hAnsi="Times New Roman" w:cs="Times New Roman"/>
          <w:noProof/>
          <w:sz w:val="24"/>
        </w:rPr>
        <w:t xml:space="preserve">For the latter, this is only normal as </w:t>
      </w:r>
      <w:r w:rsidR="00FF1A80">
        <w:rPr>
          <w:rFonts w:ascii="Times New Roman" w:hAnsi="Times New Roman" w:cs="Times New Roman"/>
          <w:noProof/>
          <w:sz w:val="24"/>
        </w:rPr>
        <w:t xml:space="preserve">– as a general rule – </w:t>
      </w:r>
      <w:r w:rsidR="003C67C2">
        <w:rPr>
          <w:rFonts w:ascii="Times New Roman" w:hAnsi="Times New Roman" w:cs="Times New Roman"/>
          <w:noProof/>
          <w:sz w:val="24"/>
        </w:rPr>
        <w:t xml:space="preserve">10 years of service are required to </w:t>
      </w:r>
      <w:r w:rsidR="00D3369F">
        <w:rPr>
          <w:rFonts w:ascii="Times New Roman" w:hAnsi="Times New Roman" w:cs="Times New Roman"/>
          <w:noProof/>
          <w:sz w:val="24"/>
        </w:rPr>
        <w:t xml:space="preserve">be entitled to a </w:t>
      </w:r>
      <w:r w:rsidR="003C67C2">
        <w:rPr>
          <w:rFonts w:ascii="Times New Roman" w:hAnsi="Times New Roman" w:cs="Times New Roman"/>
          <w:noProof/>
          <w:sz w:val="24"/>
        </w:rPr>
        <w:t>PSEO</w:t>
      </w:r>
      <w:r w:rsidR="00D3369F">
        <w:rPr>
          <w:rFonts w:ascii="Times New Roman" w:hAnsi="Times New Roman" w:cs="Times New Roman"/>
          <w:noProof/>
          <w:sz w:val="24"/>
        </w:rPr>
        <w:t xml:space="preserve"> pension</w:t>
      </w:r>
      <w:r w:rsidR="00D3369F">
        <w:rPr>
          <w:rStyle w:val="FootnoteReference"/>
          <w:rFonts w:ascii="Times New Roman" w:hAnsi="Times New Roman" w:cs="Times New Roman"/>
          <w:noProof/>
          <w:sz w:val="24"/>
        </w:rPr>
        <w:t xml:space="preserve"> </w:t>
      </w:r>
      <w:r w:rsidR="003C67C2">
        <w:rPr>
          <w:rStyle w:val="FootnoteReference"/>
          <w:rFonts w:ascii="Times New Roman" w:hAnsi="Times New Roman" w:cs="Times New Roman"/>
          <w:noProof/>
          <w:sz w:val="24"/>
        </w:rPr>
        <w:footnoteReference w:id="24"/>
      </w:r>
      <w:r w:rsidR="003C67C2">
        <w:rPr>
          <w:rFonts w:ascii="Times New Roman" w:hAnsi="Times New Roman" w:cs="Times New Roman"/>
          <w:noProof/>
          <w:sz w:val="24"/>
        </w:rPr>
        <w:t xml:space="preserve">. </w:t>
      </w:r>
      <w:r w:rsidRPr="005F34A9">
        <w:rPr>
          <w:rFonts w:ascii="Times New Roman" w:hAnsi="Times New Roman" w:cs="Times New Roman"/>
          <w:noProof/>
          <w:sz w:val="24"/>
        </w:rPr>
        <w:t>I</w:t>
      </w:r>
      <w:r w:rsidR="00AA7C6F">
        <w:rPr>
          <w:rFonts w:ascii="Times New Roman" w:hAnsi="Times New Roman" w:cs="Times New Roman"/>
          <w:noProof/>
          <w:sz w:val="24"/>
        </w:rPr>
        <w:t xml:space="preserve">t follows that </w:t>
      </w:r>
      <w:r w:rsidR="008F03D8">
        <w:rPr>
          <w:rFonts w:ascii="Times New Roman" w:hAnsi="Times New Roman" w:cs="Times New Roman"/>
          <w:noProof/>
          <w:sz w:val="24"/>
        </w:rPr>
        <w:t xml:space="preserve">progressively </w:t>
      </w:r>
      <w:r w:rsidRPr="005F34A9">
        <w:rPr>
          <w:rFonts w:ascii="Times New Roman" w:hAnsi="Times New Roman" w:cs="Times New Roman"/>
          <w:noProof/>
          <w:sz w:val="24"/>
        </w:rPr>
        <w:t>staff members falling under the post-2004 and post-2014 rules will represent the majority of retired staff</w:t>
      </w:r>
      <w:r w:rsidR="00AA7C6F">
        <w:rPr>
          <w:rFonts w:ascii="Times New Roman" w:hAnsi="Times New Roman" w:cs="Times New Roman"/>
          <w:noProof/>
          <w:sz w:val="24"/>
        </w:rPr>
        <w:t>, the</w:t>
      </w:r>
      <w:r w:rsidRPr="005F34A9">
        <w:rPr>
          <w:rFonts w:ascii="Times New Roman" w:hAnsi="Times New Roman" w:cs="Times New Roman"/>
          <w:noProof/>
          <w:sz w:val="24"/>
        </w:rPr>
        <w:t xml:space="preserve"> </w:t>
      </w:r>
      <w:r w:rsidR="00AA7C6F">
        <w:rPr>
          <w:rFonts w:ascii="Times New Roman" w:hAnsi="Times New Roman" w:cs="Times New Roman"/>
          <w:noProof/>
          <w:sz w:val="24"/>
        </w:rPr>
        <w:t xml:space="preserve">effects </w:t>
      </w:r>
      <w:r w:rsidR="00AA7C6F" w:rsidRPr="005F34A9">
        <w:rPr>
          <w:rFonts w:ascii="Times New Roman" w:hAnsi="Times New Roman" w:cs="Times New Roman"/>
          <w:noProof/>
          <w:sz w:val="24"/>
        </w:rPr>
        <w:t xml:space="preserve">of the </w:t>
      </w:r>
      <w:r w:rsidR="00AA7C6F">
        <w:rPr>
          <w:rFonts w:ascii="Times New Roman" w:hAnsi="Times New Roman" w:cs="Times New Roman"/>
          <w:noProof/>
          <w:sz w:val="24"/>
        </w:rPr>
        <w:t xml:space="preserve">two successive </w:t>
      </w:r>
      <w:r w:rsidR="00AA7C6F" w:rsidRPr="005F34A9">
        <w:rPr>
          <w:rFonts w:ascii="Times New Roman" w:hAnsi="Times New Roman" w:cs="Times New Roman"/>
          <w:noProof/>
          <w:sz w:val="24"/>
        </w:rPr>
        <w:t>reforms introduced by the co-legislator</w:t>
      </w:r>
      <w:r w:rsidR="00AA7C6F">
        <w:rPr>
          <w:rFonts w:ascii="Times New Roman" w:hAnsi="Times New Roman" w:cs="Times New Roman"/>
          <w:noProof/>
          <w:sz w:val="24"/>
        </w:rPr>
        <w:t xml:space="preserve"> in 2004 and 2014 wi</w:t>
      </w:r>
      <w:r w:rsidRPr="005F34A9">
        <w:rPr>
          <w:rFonts w:ascii="Times New Roman" w:hAnsi="Times New Roman" w:cs="Times New Roman"/>
          <w:noProof/>
          <w:sz w:val="24"/>
        </w:rPr>
        <w:t xml:space="preserve">ll </w:t>
      </w:r>
      <w:r w:rsidR="00AA7C6F">
        <w:rPr>
          <w:rFonts w:ascii="Times New Roman" w:hAnsi="Times New Roman" w:cs="Times New Roman"/>
          <w:noProof/>
          <w:sz w:val="24"/>
        </w:rPr>
        <w:t xml:space="preserve">be further </w:t>
      </w:r>
      <w:r w:rsidR="008F03D8">
        <w:rPr>
          <w:rFonts w:ascii="Times New Roman" w:hAnsi="Times New Roman" w:cs="Times New Roman"/>
          <w:noProof/>
          <w:sz w:val="24"/>
        </w:rPr>
        <w:t xml:space="preserve">significantly </w:t>
      </w:r>
      <w:r w:rsidR="00B8273D">
        <w:rPr>
          <w:rFonts w:ascii="Times New Roman" w:hAnsi="Times New Roman" w:cs="Times New Roman"/>
          <w:noProof/>
          <w:sz w:val="24"/>
        </w:rPr>
        <w:t>reinforce</w:t>
      </w:r>
      <w:r w:rsidR="00AA7C6F">
        <w:rPr>
          <w:rFonts w:ascii="Times New Roman" w:hAnsi="Times New Roman" w:cs="Times New Roman"/>
          <w:noProof/>
          <w:sz w:val="24"/>
        </w:rPr>
        <w:t>d.</w:t>
      </w:r>
      <w:r w:rsidR="00B8273D">
        <w:rPr>
          <w:rFonts w:ascii="Times New Roman" w:hAnsi="Times New Roman" w:cs="Times New Roman"/>
          <w:noProof/>
          <w:sz w:val="24"/>
        </w:rPr>
        <w:t xml:space="preserve"> </w:t>
      </w:r>
    </w:p>
    <w:p w14:paraId="6022B1F0" w14:textId="77777777" w:rsidR="009C6F8F" w:rsidRDefault="009C6F8F" w:rsidP="00170470">
      <w:pPr>
        <w:pStyle w:val="Heading2"/>
        <w:numPr>
          <w:ilvl w:val="1"/>
          <w:numId w:val="1"/>
        </w:numPr>
        <w:spacing w:after="120" w:line="240" w:lineRule="auto"/>
        <w:rPr>
          <w:noProof/>
        </w:rPr>
      </w:pPr>
      <w:r w:rsidRPr="00E46B93">
        <w:rPr>
          <w:noProof/>
        </w:rPr>
        <w:t>Revenues from the PSEO</w:t>
      </w:r>
    </w:p>
    <w:p w14:paraId="2E113C4D" w14:textId="77777777" w:rsidR="002F27B7" w:rsidRPr="00622DE2" w:rsidRDefault="00AC0062" w:rsidP="00170470">
      <w:pPr>
        <w:spacing w:after="120" w:line="240" w:lineRule="auto"/>
        <w:jc w:val="both"/>
        <w:rPr>
          <w:rFonts w:cs="Times New Roman"/>
          <w:noProof/>
        </w:rPr>
      </w:pPr>
      <w:r>
        <w:rPr>
          <w:rFonts w:ascii="Times New Roman" w:hAnsi="Times New Roman" w:cs="Times New Roman"/>
          <w:noProof/>
          <w:sz w:val="24"/>
        </w:rPr>
        <w:t>Since 201</w:t>
      </w:r>
      <w:r w:rsidR="002F27B7">
        <w:rPr>
          <w:rFonts w:ascii="Times New Roman" w:hAnsi="Times New Roman" w:cs="Times New Roman"/>
          <w:noProof/>
          <w:sz w:val="24"/>
        </w:rPr>
        <w:t>4, the PSEO generated EUR 5.8 billion revenues for the EU budget. These are composed of staff members’ pension contributions</w:t>
      </w:r>
      <w:r>
        <w:rPr>
          <w:rFonts w:ascii="Times New Roman" w:hAnsi="Times New Roman" w:cs="Times New Roman"/>
          <w:noProof/>
          <w:sz w:val="24"/>
        </w:rPr>
        <w:t>,</w:t>
      </w:r>
      <w:r w:rsidR="002F27B7">
        <w:rPr>
          <w:rFonts w:ascii="Times New Roman" w:hAnsi="Times New Roman" w:cs="Times New Roman"/>
          <w:noProof/>
          <w:sz w:val="24"/>
        </w:rPr>
        <w:t xml:space="preserve"> </w:t>
      </w:r>
      <w:r w:rsidR="00441E10">
        <w:rPr>
          <w:rFonts w:ascii="Times New Roman" w:hAnsi="Times New Roman" w:cs="Times New Roman"/>
          <w:noProof/>
          <w:sz w:val="24"/>
        </w:rPr>
        <w:t xml:space="preserve">staff members’ </w:t>
      </w:r>
      <w:r w:rsidR="002F27B7">
        <w:rPr>
          <w:rFonts w:ascii="Times New Roman" w:hAnsi="Times New Roman" w:cs="Times New Roman"/>
          <w:noProof/>
          <w:sz w:val="24"/>
        </w:rPr>
        <w:t>transfers of pension rights, contributions paid by the United Kingdom on the basis of the Withdrawal Agreement</w:t>
      </w:r>
      <w:r w:rsidR="002F27B7">
        <w:rPr>
          <w:rStyle w:val="FootnoteReference"/>
          <w:rFonts w:ascii="Times New Roman" w:hAnsi="Times New Roman" w:cs="Times New Roman"/>
          <w:noProof/>
          <w:sz w:val="24"/>
        </w:rPr>
        <w:footnoteReference w:id="25"/>
      </w:r>
      <w:r w:rsidR="002F27B7">
        <w:rPr>
          <w:rFonts w:ascii="Times New Roman" w:hAnsi="Times New Roman" w:cs="Times New Roman"/>
          <w:noProof/>
          <w:sz w:val="24"/>
        </w:rPr>
        <w:t xml:space="preserve"> and contributions b</w:t>
      </w:r>
      <w:r w:rsidR="002F27B7" w:rsidRPr="002F27B7">
        <w:rPr>
          <w:rFonts w:ascii="Times New Roman" w:hAnsi="Times New Roman" w:cs="Times New Roman"/>
          <w:noProof/>
          <w:sz w:val="24"/>
        </w:rPr>
        <w:t>y decentralised agencies and international organisations</w:t>
      </w:r>
      <w:r w:rsidR="002F27B7">
        <w:rPr>
          <w:rFonts w:ascii="Times New Roman" w:hAnsi="Times New Roman" w:cs="Times New Roman"/>
          <w:noProof/>
          <w:sz w:val="24"/>
        </w:rPr>
        <w:t xml:space="preserve"> taking part to EU programmes. </w:t>
      </w:r>
    </w:p>
    <w:p w14:paraId="66430FF7" w14:textId="77777777" w:rsidR="00246E42" w:rsidRDefault="005C326F" w:rsidP="00170470">
      <w:pPr>
        <w:pStyle w:val="Heading2"/>
        <w:numPr>
          <w:ilvl w:val="2"/>
          <w:numId w:val="1"/>
        </w:numPr>
        <w:spacing w:after="120" w:line="240" w:lineRule="auto"/>
        <w:rPr>
          <w:noProof/>
        </w:rPr>
      </w:pPr>
      <w:r>
        <w:rPr>
          <w:noProof/>
        </w:rPr>
        <w:t>Proceeds of the pension contribution rate</w:t>
      </w:r>
    </w:p>
    <w:p w14:paraId="35C86733" w14:textId="24E35248" w:rsidR="00441E10" w:rsidRDefault="00441E10" w:rsidP="0024045E">
      <w:pPr>
        <w:spacing w:afterLines="120" w:after="288" w:line="240" w:lineRule="auto"/>
        <w:jc w:val="both"/>
        <w:rPr>
          <w:rFonts w:ascii="Times New Roman" w:hAnsi="Times New Roman" w:cs="Times New Roman"/>
          <w:noProof/>
          <w:sz w:val="24"/>
        </w:rPr>
      </w:pPr>
      <w:r w:rsidRPr="00441E10">
        <w:rPr>
          <w:rFonts w:ascii="Times New Roman" w:hAnsi="Times New Roman" w:cs="Times New Roman"/>
          <w:noProof/>
          <w:sz w:val="24"/>
        </w:rPr>
        <w:t xml:space="preserve">Pension contributions are based on actuarial calculations done by Eurostat </w:t>
      </w:r>
      <w:r w:rsidR="002C6029">
        <w:rPr>
          <w:rFonts w:ascii="Times New Roman" w:hAnsi="Times New Roman" w:cs="Times New Roman"/>
          <w:noProof/>
          <w:sz w:val="24"/>
        </w:rPr>
        <w:t xml:space="preserve">to </w:t>
      </w:r>
      <w:r w:rsidRPr="00441E10">
        <w:rPr>
          <w:rFonts w:ascii="Times New Roman" w:hAnsi="Times New Roman" w:cs="Times New Roman"/>
          <w:noProof/>
          <w:sz w:val="24"/>
        </w:rPr>
        <w:t>ensure the actuarial balance and the sustainability of the PSEO</w:t>
      </w:r>
      <w:r w:rsidR="002C6029">
        <w:rPr>
          <w:rFonts w:ascii="Times New Roman" w:hAnsi="Times New Roman" w:cs="Times New Roman"/>
          <w:noProof/>
          <w:sz w:val="24"/>
        </w:rPr>
        <w:t xml:space="preserve">. Whilst in certain Member States, national civil servants do not pay any pension contribution rate, the </w:t>
      </w:r>
      <w:r w:rsidR="00BB75E7">
        <w:rPr>
          <w:rFonts w:ascii="Times New Roman" w:hAnsi="Times New Roman" w:cs="Times New Roman"/>
          <w:noProof/>
          <w:sz w:val="24"/>
        </w:rPr>
        <w:t>PCR</w:t>
      </w:r>
      <w:r w:rsidR="002C6029">
        <w:rPr>
          <w:rFonts w:ascii="Times New Roman" w:hAnsi="Times New Roman" w:cs="Times New Roman"/>
          <w:noProof/>
          <w:sz w:val="24"/>
        </w:rPr>
        <w:t xml:space="preserve"> paid by EU staff </w:t>
      </w:r>
      <w:r w:rsidRPr="00441E10">
        <w:rPr>
          <w:rFonts w:ascii="Times New Roman" w:hAnsi="Times New Roman" w:cs="Times New Roman"/>
          <w:noProof/>
          <w:sz w:val="24"/>
        </w:rPr>
        <w:t>represent</w:t>
      </w:r>
      <w:r w:rsidR="002C6029">
        <w:rPr>
          <w:rFonts w:ascii="Times New Roman" w:hAnsi="Times New Roman" w:cs="Times New Roman"/>
          <w:noProof/>
          <w:sz w:val="24"/>
        </w:rPr>
        <w:t>s</w:t>
      </w:r>
      <w:r w:rsidRPr="00441E10">
        <w:rPr>
          <w:rFonts w:ascii="Times New Roman" w:hAnsi="Times New Roman" w:cs="Times New Roman"/>
          <w:noProof/>
          <w:sz w:val="24"/>
        </w:rPr>
        <w:t xml:space="preserve"> one of the highest rates compared to pension schemes</w:t>
      </w:r>
      <w:r w:rsidR="00ED280C">
        <w:rPr>
          <w:rFonts w:ascii="Times New Roman" w:hAnsi="Times New Roman" w:cs="Times New Roman"/>
          <w:noProof/>
          <w:sz w:val="24"/>
        </w:rPr>
        <w:t xml:space="preserve"> in the public services of </w:t>
      </w:r>
      <w:r w:rsidR="008F03D8">
        <w:rPr>
          <w:rFonts w:ascii="Times New Roman" w:hAnsi="Times New Roman" w:cs="Times New Roman"/>
          <w:noProof/>
          <w:sz w:val="24"/>
        </w:rPr>
        <w:t>the</w:t>
      </w:r>
      <w:r w:rsidRPr="00441E10">
        <w:rPr>
          <w:rFonts w:ascii="Times New Roman" w:hAnsi="Times New Roman" w:cs="Times New Roman"/>
          <w:noProof/>
          <w:sz w:val="24"/>
        </w:rPr>
        <w:t xml:space="preserve"> Member States</w:t>
      </w:r>
      <w:r w:rsidR="002C6029">
        <w:rPr>
          <w:rFonts w:ascii="Times New Roman" w:hAnsi="Times New Roman" w:cs="Times New Roman"/>
          <w:noProof/>
          <w:sz w:val="24"/>
        </w:rPr>
        <w:t xml:space="preserve"> (</w:t>
      </w:r>
      <w:r w:rsidR="002C6029" w:rsidRPr="00947577">
        <w:rPr>
          <w:rFonts w:ascii="Times New Roman" w:hAnsi="Times New Roman" w:cs="Times New Roman"/>
          <w:noProof/>
          <w:sz w:val="24"/>
        </w:rPr>
        <w:t>Annex</w:t>
      </w:r>
      <w:r w:rsidR="00206D95">
        <w:rPr>
          <w:rFonts w:ascii="Times New Roman" w:hAnsi="Times New Roman" w:cs="Times New Roman"/>
          <w:noProof/>
          <w:sz w:val="24"/>
        </w:rPr>
        <w:t>es</w:t>
      </w:r>
      <w:r w:rsidR="002C6029" w:rsidRPr="00947577">
        <w:rPr>
          <w:rFonts w:ascii="Times New Roman" w:hAnsi="Times New Roman" w:cs="Times New Roman"/>
          <w:noProof/>
          <w:sz w:val="24"/>
        </w:rPr>
        <w:t xml:space="preserve"> </w:t>
      </w:r>
      <w:r w:rsidR="00A12E9A" w:rsidRPr="00947577">
        <w:rPr>
          <w:rFonts w:ascii="Times New Roman" w:hAnsi="Times New Roman" w:cs="Times New Roman"/>
          <w:noProof/>
          <w:sz w:val="24"/>
        </w:rPr>
        <w:t>1</w:t>
      </w:r>
      <w:r w:rsidR="00A12E9A">
        <w:rPr>
          <w:rFonts w:ascii="Times New Roman" w:hAnsi="Times New Roman" w:cs="Times New Roman"/>
          <w:noProof/>
          <w:sz w:val="24"/>
        </w:rPr>
        <w:t>7 to 20</w:t>
      </w:r>
      <w:r w:rsidR="002C6029">
        <w:rPr>
          <w:rFonts w:ascii="Times New Roman" w:hAnsi="Times New Roman" w:cs="Times New Roman"/>
          <w:noProof/>
          <w:sz w:val="24"/>
        </w:rPr>
        <w:t>)</w:t>
      </w:r>
      <w:r w:rsidRPr="00441E10">
        <w:rPr>
          <w:rFonts w:ascii="Times New Roman" w:hAnsi="Times New Roman" w:cs="Times New Roman"/>
          <w:noProof/>
          <w:sz w:val="24"/>
        </w:rPr>
        <w:t>.</w:t>
      </w:r>
    </w:p>
    <w:p w14:paraId="642BDBA7" w14:textId="66DE984C" w:rsidR="00246E42" w:rsidRDefault="00246E42" w:rsidP="0024045E">
      <w:pPr>
        <w:spacing w:afterLines="120" w:after="288"/>
        <w:jc w:val="both"/>
        <w:rPr>
          <w:rFonts w:ascii="Times New Roman" w:hAnsi="Times New Roman" w:cs="Times New Roman"/>
          <w:noProof/>
          <w:sz w:val="24"/>
        </w:rPr>
      </w:pPr>
      <w:r>
        <w:rPr>
          <w:rFonts w:ascii="Times New Roman" w:hAnsi="Times New Roman" w:cs="Times New Roman"/>
          <w:noProof/>
          <w:sz w:val="24"/>
        </w:rPr>
        <w:t>T</w:t>
      </w:r>
      <w:r w:rsidRPr="006A7AC6">
        <w:rPr>
          <w:rFonts w:ascii="Times New Roman" w:hAnsi="Times New Roman" w:cs="Times New Roman"/>
          <w:noProof/>
          <w:sz w:val="24"/>
        </w:rPr>
        <w:t xml:space="preserve">he calculated contribution </w:t>
      </w:r>
      <w:r w:rsidR="00C34204">
        <w:rPr>
          <w:rFonts w:ascii="Times New Roman" w:hAnsi="Times New Roman" w:cs="Times New Roman"/>
          <w:noProof/>
          <w:sz w:val="24"/>
        </w:rPr>
        <w:t>makes that</w:t>
      </w:r>
      <w:r>
        <w:rPr>
          <w:rFonts w:ascii="Times New Roman" w:hAnsi="Times New Roman" w:cs="Times New Roman"/>
          <w:noProof/>
          <w:sz w:val="24"/>
        </w:rPr>
        <w:t xml:space="preserve"> staff members finance one third of the pension rights acquired every year. </w:t>
      </w:r>
      <w:r w:rsidRPr="006A7AC6">
        <w:rPr>
          <w:rFonts w:ascii="Times New Roman" w:hAnsi="Times New Roman" w:cs="Times New Roman"/>
          <w:noProof/>
          <w:sz w:val="24"/>
        </w:rPr>
        <w:t>The proceeds from such contributions are not assigned to any specific budget line and are used to finance EU policies</w:t>
      </w:r>
      <w:r w:rsidR="002B293B" w:rsidRPr="006A7AC6">
        <w:rPr>
          <w:rFonts w:ascii="Times New Roman" w:hAnsi="Times New Roman" w:cs="Times New Roman"/>
          <w:noProof/>
          <w:sz w:val="24"/>
        </w:rPr>
        <w:t>,</w:t>
      </w:r>
      <w:r w:rsidR="002B293B">
        <w:rPr>
          <w:rFonts w:ascii="Times New Roman" w:hAnsi="Times New Roman" w:cs="Times New Roman"/>
          <w:noProof/>
          <w:sz w:val="24"/>
        </w:rPr>
        <w:t xml:space="preserve"> limiting contributions required from Member States for</w:t>
      </w:r>
      <w:r w:rsidR="002B293B" w:rsidRPr="006A7AC6">
        <w:rPr>
          <w:rFonts w:ascii="Times New Roman" w:hAnsi="Times New Roman" w:cs="Times New Roman"/>
          <w:noProof/>
          <w:sz w:val="24"/>
        </w:rPr>
        <w:t xml:space="preserve"> supporting the EU Institutions to deliver on the many tasks </w:t>
      </w:r>
      <w:r w:rsidR="00626772">
        <w:rPr>
          <w:rFonts w:ascii="Times New Roman" w:hAnsi="Times New Roman" w:cs="Times New Roman"/>
          <w:noProof/>
          <w:sz w:val="24"/>
        </w:rPr>
        <w:t>they have</w:t>
      </w:r>
      <w:r w:rsidR="002B293B" w:rsidRPr="006A7AC6">
        <w:rPr>
          <w:rFonts w:ascii="Times New Roman" w:hAnsi="Times New Roman" w:cs="Times New Roman"/>
          <w:noProof/>
          <w:sz w:val="24"/>
        </w:rPr>
        <w:t xml:space="preserve"> been entrusted with.</w:t>
      </w:r>
      <w:r w:rsidRPr="006A7AC6">
        <w:rPr>
          <w:rFonts w:ascii="Times New Roman" w:hAnsi="Times New Roman" w:cs="Times New Roman"/>
          <w:noProof/>
          <w:sz w:val="24"/>
        </w:rPr>
        <w:t xml:space="preserve"> </w:t>
      </w:r>
      <w:r w:rsidR="00AC0062">
        <w:rPr>
          <w:rFonts w:ascii="Times New Roman" w:hAnsi="Times New Roman" w:cs="Times New Roman"/>
          <w:noProof/>
          <w:sz w:val="24"/>
        </w:rPr>
        <w:t>Since 2014, this amounts to EUR 4.2 billion euros that were used to finance the budget. In 2022</w:t>
      </w:r>
      <w:r w:rsidR="00622DE2">
        <w:rPr>
          <w:rFonts w:ascii="Times New Roman" w:hAnsi="Times New Roman" w:cs="Times New Roman"/>
          <w:noProof/>
          <w:sz w:val="24"/>
        </w:rPr>
        <w:t xml:space="preserve"> alone</w:t>
      </w:r>
      <w:r w:rsidR="00AC0062">
        <w:rPr>
          <w:rFonts w:ascii="Times New Roman" w:hAnsi="Times New Roman" w:cs="Times New Roman"/>
          <w:noProof/>
          <w:sz w:val="24"/>
        </w:rPr>
        <w:t xml:space="preserve">, it represented more that EUR 500 million. </w:t>
      </w:r>
    </w:p>
    <w:p w14:paraId="0196847E" w14:textId="77777777" w:rsidR="00AC0062" w:rsidRDefault="00AC0062" w:rsidP="00170470">
      <w:pPr>
        <w:pStyle w:val="Heading2"/>
        <w:numPr>
          <w:ilvl w:val="2"/>
          <w:numId w:val="1"/>
        </w:numPr>
        <w:spacing w:after="120" w:line="240" w:lineRule="auto"/>
        <w:rPr>
          <w:noProof/>
        </w:rPr>
      </w:pPr>
      <w:r>
        <w:rPr>
          <w:noProof/>
        </w:rPr>
        <w:t>Revenues from staff members’ transfers of pension rights</w:t>
      </w:r>
    </w:p>
    <w:p w14:paraId="2D80E699" w14:textId="7D70D722" w:rsidR="00A12E9A" w:rsidRPr="008E5131" w:rsidRDefault="009B3D01" w:rsidP="00170470">
      <w:pPr>
        <w:spacing w:after="120" w:line="240" w:lineRule="auto"/>
        <w:jc w:val="both"/>
        <w:rPr>
          <w:rFonts w:ascii="Times New Roman" w:hAnsi="Times New Roman" w:cs="Times New Roman"/>
          <w:noProof/>
          <w:sz w:val="24"/>
        </w:rPr>
      </w:pPr>
      <w:r w:rsidRPr="00170470">
        <w:rPr>
          <w:rFonts w:ascii="Times New Roman" w:hAnsi="Times New Roman" w:cs="Times New Roman"/>
          <w:noProof/>
          <w:sz w:val="24"/>
        </w:rPr>
        <w:t xml:space="preserve">Staff members have the possibility </w:t>
      </w:r>
      <w:r>
        <w:rPr>
          <w:rFonts w:ascii="Times New Roman" w:hAnsi="Times New Roman" w:cs="Times New Roman"/>
          <w:noProof/>
          <w:sz w:val="24"/>
        </w:rPr>
        <w:t xml:space="preserve">to transfer under the PSEO </w:t>
      </w:r>
      <w:r w:rsidRPr="009B3D01">
        <w:rPr>
          <w:rFonts w:ascii="Times New Roman" w:hAnsi="Times New Roman" w:cs="Times New Roman"/>
          <w:noProof/>
          <w:sz w:val="24"/>
        </w:rPr>
        <w:t xml:space="preserve">the pension </w:t>
      </w:r>
      <w:r w:rsidR="00A12E9A">
        <w:rPr>
          <w:rFonts w:ascii="Times New Roman" w:hAnsi="Times New Roman" w:cs="Times New Roman"/>
          <w:noProof/>
          <w:sz w:val="24"/>
        </w:rPr>
        <w:t>rights</w:t>
      </w:r>
      <w:r w:rsidR="00A12E9A" w:rsidRPr="009B3D01">
        <w:rPr>
          <w:rFonts w:ascii="Times New Roman" w:hAnsi="Times New Roman" w:cs="Times New Roman"/>
          <w:noProof/>
          <w:sz w:val="24"/>
        </w:rPr>
        <w:t xml:space="preserve"> </w:t>
      </w:r>
      <w:r>
        <w:rPr>
          <w:rFonts w:ascii="Times New Roman" w:hAnsi="Times New Roman" w:cs="Times New Roman"/>
          <w:noProof/>
          <w:sz w:val="24"/>
        </w:rPr>
        <w:t>they</w:t>
      </w:r>
      <w:r w:rsidRPr="009B3D01">
        <w:rPr>
          <w:rFonts w:ascii="Times New Roman" w:hAnsi="Times New Roman" w:cs="Times New Roman"/>
          <w:noProof/>
          <w:sz w:val="24"/>
        </w:rPr>
        <w:t xml:space="preserve"> acquired under national pension scheme</w:t>
      </w:r>
      <w:r w:rsidR="00BA7810">
        <w:rPr>
          <w:rFonts w:ascii="Times New Roman" w:hAnsi="Times New Roman" w:cs="Times New Roman"/>
          <w:noProof/>
          <w:sz w:val="24"/>
        </w:rPr>
        <w:t>s</w:t>
      </w:r>
      <w:r w:rsidRPr="009B3D01">
        <w:rPr>
          <w:rFonts w:ascii="Times New Roman" w:hAnsi="Times New Roman" w:cs="Times New Roman"/>
          <w:noProof/>
          <w:sz w:val="24"/>
        </w:rPr>
        <w:t xml:space="preserve"> or pension fund</w:t>
      </w:r>
      <w:r w:rsidR="00BA7810">
        <w:rPr>
          <w:rFonts w:ascii="Times New Roman" w:hAnsi="Times New Roman" w:cs="Times New Roman"/>
          <w:noProof/>
          <w:sz w:val="24"/>
        </w:rPr>
        <w:t>s</w:t>
      </w:r>
      <w:r>
        <w:rPr>
          <w:rStyle w:val="FootnoteReference"/>
          <w:rFonts w:ascii="Times New Roman" w:hAnsi="Times New Roman" w:cs="Times New Roman"/>
          <w:noProof/>
          <w:sz w:val="24"/>
        </w:rPr>
        <w:footnoteReference w:id="26"/>
      </w:r>
      <w:r w:rsidR="00D43482">
        <w:rPr>
          <w:rFonts w:ascii="Times New Roman" w:hAnsi="Times New Roman" w:cs="Times New Roman"/>
          <w:noProof/>
          <w:sz w:val="24"/>
        </w:rPr>
        <w:t xml:space="preserve">. </w:t>
      </w:r>
      <w:r w:rsidR="00D43482" w:rsidRPr="00D43482">
        <w:rPr>
          <w:rFonts w:ascii="Times New Roman" w:hAnsi="Times New Roman" w:cs="Times New Roman"/>
          <w:noProof/>
          <w:sz w:val="24"/>
        </w:rPr>
        <w:t xml:space="preserve">This involves the transfer of capital representing the rights which </w:t>
      </w:r>
      <w:r w:rsidR="00D43482">
        <w:rPr>
          <w:rFonts w:ascii="Times New Roman" w:hAnsi="Times New Roman" w:cs="Times New Roman"/>
          <w:noProof/>
          <w:sz w:val="24"/>
        </w:rPr>
        <w:t>they</w:t>
      </w:r>
      <w:r w:rsidR="00D43482" w:rsidRPr="00D43482">
        <w:rPr>
          <w:rFonts w:ascii="Times New Roman" w:hAnsi="Times New Roman" w:cs="Times New Roman"/>
          <w:noProof/>
          <w:sz w:val="24"/>
        </w:rPr>
        <w:t xml:space="preserve"> have acquired through </w:t>
      </w:r>
      <w:r w:rsidR="00D43482">
        <w:rPr>
          <w:rFonts w:ascii="Times New Roman" w:hAnsi="Times New Roman" w:cs="Times New Roman"/>
          <w:noProof/>
          <w:sz w:val="24"/>
        </w:rPr>
        <w:t xml:space="preserve">their </w:t>
      </w:r>
      <w:r w:rsidR="00D43482" w:rsidRPr="00D43482">
        <w:rPr>
          <w:rFonts w:ascii="Times New Roman" w:hAnsi="Times New Roman" w:cs="Times New Roman"/>
          <w:noProof/>
          <w:sz w:val="24"/>
        </w:rPr>
        <w:t>professio</w:t>
      </w:r>
      <w:r w:rsidR="00D43482">
        <w:rPr>
          <w:rFonts w:ascii="Times New Roman" w:hAnsi="Times New Roman" w:cs="Times New Roman"/>
          <w:noProof/>
          <w:sz w:val="24"/>
        </w:rPr>
        <w:t xml:space="preserve">nal activities performed before entering into the service of the EU. </w:t>
      </w:r>
      <w:r w:rsidR="00D43482" w:rsidRPr="00D43482">
        <w:rPr>
          <w:rFonts w:ascii="Times New Roman" w:hAnsi="Times New Roman" w:cs="Times New Roman"/>
          <w:noProof/>
          <w:sz w:val="24"/>
        </w:rPr>
        <w:t>The capital equivalent to the pension rights is transferred by the original pension scheme and converted into the PSE</w:t>
      </w:r>
      <w:r w:rsidR="00D43482">
        <w:rPr>
          <w:rFonts w:ascii="Times New Roman" w:hAnsi="Times New Roman" w:cs="Times New Roman"/>
          <w:noProof/>
          <w:sz w:val="24"/>
        </w:rPr>
        <w:t>O</w:t>
      </w:r>
      <w:r w:rsidR="00D43482" w:rsidRPr="00D43482">
        <w:rPr>
          <w:rFonts w:ascii="Times New Roman" w:hAnsi="Times New Roman" w:cs="Times New Roman"/>
          <w:noProof/>
          <w:sz w:val="24"/>
        </w:rPr>
        <w:t xml:space="preserve"> as </w:t>
      </w:r>
      <w:r w:rsidR="00073A43">
        <w:rPr>
          <w:rFonts w:ascii="Times New Roman" w:hAnsi="Times New Roman" w:cs="Times New Roman"/>
          <w:noProof/>
          <w:sz w:val="24"/>
        </w:rPr>
        <w:t>years of pensionable service</w:t>
      </w:r>
      <w:r w:rsidR="00D43482" w:rsidRPr="00D43482">
        <w:rPr>
          <w:rFonts w:ascii="Times New Roman" w:hAnsi="Times New Roman" w:cs="Times New Roman"/>
          <w:noProof/>
          <w:sz w:val="24"/>
        </w:rPr>
        <w:t xml:space="preserve">. These </w:t>
      </w:r>
      <w:r w:rsidR="00073A43">
        <w:rPr>
          <w:rFonts w:ascii="Times New Roman" w:hAnsi="Times New Roman" w:cs="Times New Roman"/>
          <w:noProof/>
          <w:sz w:val="24"/>
        </w:rPr>
        <w:t xml:space="preserve">years of pensionable service </w:t>
      </w:r>
      <w:r w:rsidR="00A12E9A">
        <w:rPr>
          <w:rFonts w:ascii="Times New Roman" w:hAnsi="Times New Roman" w:cs="Times New Roman"/>
          <w:noProof/>
          <w:sz w:val="24"/>
        </w:rPr>
        <w:t xml:space="preserve">are taken into account in </w:t>
      </w:r>
      <w:r w:rsidR="00D43482" w:rsidRPr="00D43482">
        <w:rPr>
          <w:rFonts w:ascii="Times New Roman" w:hAnsi="Times New Roman" w:cs="Times New Roman"/>
          <w:noProof/>
          <w:sz w:val="24"/>
        </w:rPr>
        <w:t xml:space="preserve">the calculation </w:t>
      </w:r>
      <w:r w:rsidR="00ED00E7">
        <w:rPr>
          <w:rFonts w:ascii="Times New Roman" w:hAnsi="Times New Roman" w:cs="Times New Roman"/>
          <w:noProof/>
          <w:sz w:val="24"/>
        </w:rPr>
        <w:t xml:space="preserve">of </w:t>
      </w:r>
      <w:r w:rsidR="00D43482" w:rsidRPr="00D43482">
        <w:rPr>
          <w:rFonts w:ascii="Times New Roman" w:hAnsi="Times New Roman" w:cs="Times New Roman"/>
          <w:noProof/>
          <w:sz w:val="24"/>
        </w:rPr>
        <w:t>the retirement pension</w:t>
      </w:r>
      <w:r w:rsidR="00A12E9A">
        <w:rPr>
          <w:rFonts w:ascii="Times New Roman" w:hAnsi="Times New Roman" w:cs="Times New Roman"/>
          <w:noProof/>
          <w:sz w:val="24"/>
        </w:rPr>
        <w:t xml:space="preserve"> under the PSEO</w:t>
      </w:r>
      <w:r w:rsidR="00622DE2">
        <w:rPr>
          <w:rFonts w:ascii="Times New Roman" w:hAnsi="Times New Roman" w:cs="Times New Roman"/>
          <w:noProof/>
          <w:sz w:val="24"/>
        </w:rPr>
        <w:t xml:space="preserve">. </w:t>
      </w:r>
      <w:r w:rsidR="00763E26">
        <w:rPr>
          <w:rFonts w:ascii="Times New Roman" w:hAnsi="Times New Roman" w:cs="Times New Roman"/>
          <w:noProof/>
          <w:sz w:val="24"/>
        </w:rPr>
        <w:t xml:space="preserve">These transfers </w:t>
      </w:r>
      <w:r w:rsidR="003208C8">
        <w:rPr>
          <w:rFonts w:ascii="Times New Roman" w:hAnsi="Times New Roman" w:cs="Times New Roman"/>
          <w:noProof/>
          <w:sz w:val="24"/>
        </w:rPr>
        <w:t>represent</w:t>
      </w:r>
      <w:r w:rsidR="00763E26">
        <w:rPr>
          <w:rFonts w:ascii="Times New Roman" w:hAnsi="Times New Roman" w:cs="Times New Roman"/>
          <w:noProof/>
          <w:sz w:val="24"/>
        </w:rPr>
        <w:t xml:space="preserve"> the </w:t>
      </w:r>
      <w:r w:rsidR="003208C8">
        <w:rPr>
          <w:rFonts w:ascii="Times New Roman" w:hAnsi="Times New Roman" w:cs="Times New Roman"/>
          <w:noProof/>
          <w:sz w:val="24"/>
        </w:rPr>
        <w:t>entirety of the capital (3/3), corresponding to the actuarial equivalent of</w:t>
      </w:r>
      <w:r w:rsidR="00763E26">
        <w:rPr>
          <w:rFonts w:ascii="Times New Roman" w:hAnsi="Times New Roman" w:cs="Times New Roman"/>
          <w:noProof/>
          <w:sz w:val="24"/>
        </w:rPr>
        <w:t xml:space="preserve"> the pension rights acknowledged under the PSEO</w:t>
      </w:r>
      <w:r w:rsidR="003208C8">
        <w:rPr>
          <w:rFonts w:ascii="Times New Roman" w:hAnsi="Times New Roman" w:cs="Times New Roman"/>
          <w:noProof/>
          <w:sz w:val="24"/>
        </w:rPr>
        <w:t>. They</w:t>
      </w:r>
      <w:r w:rsidR="00763E26">
        <w:rPr>
          <w:rFonts w:ascii="Times New Roman" w:hAnsi="Times New Roman" w:cs="Times New Roman"/>
          <w:noProof/>
          <w:sz w:val="24"/>
        </w:rPr>
        <w:t xml:space="preserve"> brought </w:t>
      </w:r>
      <w:r w:rsidR="003208C8">
        <w:rPr>
          <w:rFonts w:ascii="Times New Roman" w:hAnsi="Times New Roman" w:cs="Times New Roman"/>
          <w:noProof/>
          <w:sz w:val="24"/>
        </w:rPr>
        <w:t xml:space="preserve">to the EU </w:t>
      </w:r>
      <w:r w:rsidR="00A12E9A">
        <w:rPr>
          <w:rFonts w:ascii="Times New Roman" w:hAnsi="Times New Roman" w:cs="Times New Roman"/>
          <w:noProof/>
          <w:sz w:val="24"/>
        </w:rPr>
        <w:t>b</w:t>
      </w:r>
      <w:r w:rsidR="003208C8">
        <w:rPr>
          <w:rFonts w:ascii="Times New Roman" w:hAnsi="Times New Roman" w:cs="Times New Roman"/>
          <w:noProof/>
          <w:sz w:val="24"/>
        </w:rPr>
        <w:t xml:space="preserve">udget </w:t>
      </w:r>
      <w:r w:rsidR="00763E26">
        <w:rPr>
          <w:rFonts w:ascii="Times New Roman" w:hAnsi="Times New Roman" w:cs="Times New Roman"/>
          <w:noProof/>
          <w:sz w:val="24"/>
        </w:rPr>
        <w:t>EUR 950 million euros since 2014 and bring on average more than EUR 100 million per year</w:t>
      </w:r>
      <w:r w:rsidR="00622DE2">
        <w:rPr>
          <w:rFonts w:ascii="Times New Roman" w:hAnsi="Times New Roman" w:cs="Times New Roman"/>
          <w:noProof/>
          <w:sz w:val="24"/>
        </w:rPr>
        <w:t xml:space="preserve"> to the EU budget</w:t>
      </w:r>
      <w:r w:rsidR="00947577">
        <w:rPr>
          <w:rFonts w:ascii="Times New Roman" w:hAnsi="Times New Roman" w:cs="Times New Roman"/>
          <w:noProof/>
          <w:sz w:val="24"/>
        </w:rPr>
        <w:t xml:space="preserve"> (Annex 12)</w:t>
      </w:r>
      <w:r w:rsidR="00763E26">
        <w:rPr>
          <w:rFonts w:ascii="Times New Roman" w:hAnsi="Times New Roman" w:cs="Times New Roman"/>
          <w:noProof/>
          <w:sz w:val="24"/>
        </w:rPr>
        <w:t xml:space="preserve">. </w:t>
      </w:r>
    </w:p>
    <w:p w14:paraId="7E46E554" w14:textId="77777777" w:rsidR="00246E42" w:rsidRDefault="005C326F" w:rsidP="00170470">
      <w:pPr>
        <w:pStyle w:val="Heading2"/>
        <w:numPr>
          <w:ilvl w:val="2"/>
          <w:numId w:val="1"/>
        </w:numPr>
        <w:spacing w:after="120" w:line="240" w:lineRule="auto"/>
        <w:rPr>
          <w:noProof/>
        </w:rPr>
      </w:pPr>
      <w:r>
        <w:rPr>
          <w:noProof/>
        </w:rPr>
        <w:t xml:space="preserve">Contributions from the United Kingdom </w:t>
      </w:r>
    </w:p>
    <w:p w14:paraId="00D8BD6A" w14:textId="77777777" w:rsidR="00246E42" w:rsidRDefault="00441E10"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The Withdrawal Agreement</w:t>
      </w:r>
      <w:r w:rsidRPr="006A369F">
        <w:rPr>
          <w:rFonts w:ascii="Times New Roman" w:hAnsi="Times New Roman" w:cs="Times New Roman"/>
          <w:noProof/>
          <w:vertAlign w:val="superscript"/>
        </w:rPr>
        <w:footnoteReference w:id="27"/>
      </w:r>
      <w:r>
        <w:rPr>
          <w:rFonts w:ascii="Times New Roman" w:hAnsi="Times New Roman" w:cs="Times New Roman"/>
          <w:noProof/>
          <w:sz w:val="24"/>
        </w:rPr>
        <w:t xml:space="preserve"> provides that</w:t>
      </w:r>
      <w:r w:rsidR="00246E42" w:rsidRPr="006908EB">
        <w:rPr>
          <w:rFonts w:ascii="Times New Roman" w:hAnsi="Times New Roman" w:cs="Times New Roman"/>
          <w:noProof/>
          <w:sz w:val="24"/>
        </w:rPr>
        <w:t xml:space="preserve"> the contracting parties agreed that the United Kingdom shall be liable for its share of the Union's liability for pension rights and rights to other employment-related benefits accrued on or before </w:t>
      </w:r>
      <w:r w:rsidR="00246E42">
        <w:rPr>
          <w:rFonts w:ascii="Times New Roman" w:hAnsi="Times New Roman" w:cs="Times New Roman"/>
          <w:noProof/>
          <w:sz w:val="24"/>
        </w:rPr>
        <w:t xml:space="preserve">the end of the transition period on </w:t>
      </w:r>
      <w:r w:rsidR="00246E42" w:rsidRPr="006908EB">
        <w:rPr>
          <w:rFonts w:ascii="Times New Roman" w:hAnsi="Times New Roman" w:cs="Times New Roman"/>
          <w:noProof/>
          <w:sz w:val="24"/>
        </w:rPr>
        <w:t>31 December 2020.</w:t>
      </w:r>
      <w:r w:rsidR="00405463">
        <w:rPr>
          <w:rFonts w:ascii="Times New Roman" w:hAnsi="Times New Roman" w:cs="Times New Roman"/>
          <w:noProof/>
          <w:sz w:val="24"/>
        </w:rPr>
        <w:t xml:space="preserve"> </w:t>
      </w:r>
      <w:r w:rsidR="005C277C">
        <w:rPr>
          <w:rFonts w:ascii="Times New Roman" w:hAnsi="Times New Roman" w:cs="Times New Roman"/>
          <w:noProof/>
          <w:sz w:val="24"/>
        </w:rPr>
        <w:t>This liability covers pension rights of all staff members regardless of their nationality.</w:t>
      </w:r>
    </w:p>
    <w:p w14:paraId="15E74355" w14:textId="77777777" w:rsidR="00246E42" w:rsidRDefault="00246E42" w:rsidP="00246E42">
      <w:pPr>
        <w:jc w:val="both"/>
        <w:rPr>
          <w:rFonts w:ascii="Times New Roman" w:hAnsi="Times New Roman" w:cs="Times New Roman"/>
          <w:noProof/>
          <w:sz w:val="24"/>
        </w:rPr>
      </w:pPr>
      <w:r w:rsidRPr="006908EB">
        <w:rPr>
          <w:rFonts w:ascii="Times New Roman" w:hAnsi="Times New Roman" w:cs="Times New Roman"/>
          <w:noProof/>
          <w:sz w:val="24"/>
        </w:rPr>
        <w:t>The W</w:t>
      </w:r>
      <w:r>
        <w:rPr>
          <w:rFonts w:ascii="Times New Roman" w:hAnsi="Times New Roman" w:cs="Times New Roman"/>
          <w:noProof/>
          <w:sz w:val="24"/>
        </w:rPr>
        <w:t xml:space="preserve">ithdrawal </w:t>
      </w:r>
      <w:r w:rsidRPr="006908EB">
        <w:rPr>
          <w:rFonts w:ascii="Times New Roman" w:hAnsi="Times New Roman" w:cs="Times New Roman"/>
          <w:noProof/>
          <w:sz w:val="24"/>
        </w:rPr>
        <w:t>A</w:t>
      </w:r>
      <w:r>
        <w:rPr>
          <w:rFonts w:ascii="Times New Roman" w:hAnsi="Times New Roman" w:cs="Times New Roman"/>
          <w:noProof/>
          <w:sz w:val="24"/>
        </w:rPr>
        <w:t>greement</w:t>
      </w:r>
      <w:r w:rsidRPr="006908EB">
        <w:rPr>
          <w:rFonts w:ascii="Times New Roman" w:hAnsi="Times New Roman" w:cs="Times New Roman"/>
          <w:noProof/>
          <w:sz w:val="24"/>
        </w:rPr>
        <w:t xml:space="preserve"> further provides that the United Kingdom shall contribute annually to the net payments made from the Union budget to each beneficiary. Alternatively, under the last paragraph of Article 142(6), the United Kingdom may request to pay the outstanding liability at 31 December of a given year. </w:t>
      </w:r>
    </w:p>
    <w:p w14:paraId="640ED3B8" w14:textId="5FEAC767" w:rsidR="00442561" w:rsidRDefault="00687AD7" w:rsidP="00246E42">
      <w:pPr>
        <w:jc w:val="both"/>
        <w:rPr>
          <w:rFonts w:ascii="Times New Roman" w:hAnsi="Times New Roman" w:cs="Times New Roman"/>
          <w:noProof/>
          <w:sz w:val="24"/>
        </w:rPr>
      </w:pPr>
      <w:r>
        <w:rPr>
          <w:rFonts w:ascii="Times New Roman" w:hAnsi="Times New Roman" w:cs="Times New Roman"/>
          <w:noProof/>
          <w:sz w:val="24"/>
        </w:rPr>
        <w:t>Regarding staff pensions, t</w:t>
      </w:r>
      <w:r w:rsidR="00C34204">
        <w:rPr>
          <w:rFonts w:ascii="Times New Roman" w:hAnsi="Times New Roman" w:cs="Times New Roman"/>
          <w:noProof/>
          <w:sz w:val="24"/>
        </w:rPr>
        <w:t>he</w:t>
      </w:r>
      <w:r w:rsidR="00246E42" w:rsidRPr="006908EB">
        <w:rPr>
          <w:rFonts w:ascii="Times New Roman" w:hAnsi="Times New Roman" w:cs="Times New Roman"/>
          <w:noProof/>
          <w:sz w:val="24"/>
        </w:rPr>
        <w:t xml:space="preserve"> United Kingdom has chosen the option of the annual instalments. In 2022, the </w:t>
      </w:r>
      <w:r w:rsidR="00246E42">
        <w:rPr>
          <w:rFonts w:ascii="Times New Roman" w:hAnsi="Times New Roman" w:cs="Times New Roman"/>
          <w:noProof/>
          <w:sz w:val="24"/>
        </w:rPr>
        <w:t>United Kingdom</w:t>
      </w:r>
      <w:r w:rsidR="00246E42" w:rsidRPr="006908EB">
        <w:rPr>
          <w:rFonts w:ascii="Times New Roman" w:hAnsi="Times New Roman" w:cs="Times New Roman"/>
          <w:noProof/>
          <w:sz w:val="24"/>
        </w:rPr>
        <w:t xml:space="preserve"> contributed </w:t>
      </w:r>
      <w:r w:rsidR="00246E42">
        <w:rPr>
          <w:rFonts w:ascii="Times New Roman" w:hAnsi="Times New Roman" w:cs="Times New Roman"/>
          <w:noProof/>
          <w:sz w:val="24"/>
        </w:rPr>
        <w:t xml:space="preserve">EUR </w:t>
      </w:r>
      <w:r w:rsidR="00374D7E" w:rsidRPr="006908EB">
        <w:rPr>
          <w:rFonts w:ascii="Times New Roman" w:hAnsi="Times New Roman" w:cs="Times New Roman"/>
          <w:noProof/>
          <w:sz w:val="24"/>
        </w:rPr>
        <w:t>2</w:t>
      </w:r>
      <w:r w:rsidR="00374D7E">
        <w:rPr>
          <w:rFonts w:ascii="Times New Roman" w:hAnsi="Times New Roman" w:cs="Times New Roman"/>
          <w:noProof/>
          <w:sz w:val="24"/>
        </w:rPr>
        <w:t>3</w:t>
      </w:r>
      <w:r w:rsidR="00374D7E" w:rsidRPr="006908EB">
        <w:rPr>
          <w:rFonts w:ascii="Times New Roman" w:hAnsi="Times New Roman" w:cs="Times New Roman"/>
          <w:noProof/>
          <w:sz w:val="24"/>
        </w:rPr>
        <w:t xml:space="preserve">5 </w:t>
      </w:r>
      <w:r w:rsidR="00246E42" w:rsidRPr="006908EB">
        <w:rPr>
          <w:rFonts w:ascii="Times New Roman" w:hAnsi="Times New Roman" w:cs="Times New Roman"/>
          <w:noProof/>
          <w:sz w:val="24"/>
        </w:rPr>
        <w:t xml:space="preserve">million to the net payments made from the Union budget </w:t>
      </w:r>
      <w:r w:rsidR="00246E42">
        <w:rPr>
          <w:rFonts w:ascii="Times New Roman" w:hAnsi="Times New Roman" w:cs="Times New Roman"/>
          <w:noProof/>
          <w:sz w:val="24"/>
        </w:rPr>
        <w:t xml:space="preserve">for pensions of former EU staff. </w:t>
      </w:r>
      <w:r w:rsidR="00374D7E">
        <w:rPr>
          <w:rFonts w:ascii="Times New Roman" w:hAnsi="Times New Roman" w:cs="Times New Roman"/>
          <w:noProof/>
          <w:sz w:val="24"/>
        </w:rPr>
        <w:t xml:space="preserve">In the coming years, the United Kingdom will continue financing its share of the pension expenditure </w:t>
      </w:r>
      <w:r w:rsidR="007E62D4">
        <w:rPr>
          <w:rFonts w:ascii="Times New Roman" w:hAnsi="Times New Roman" w:cs="Times New Roman"/>
          <w:noProof/>
          <w:sz w:val="24"/>
        </w:rPr>
        <w:t>calculated as a fixed percentage of the evolving pension expenditure</w:t>
      </w:r>
      <w:r w:rsidR="00374D7E">
        <w:rPr>
          <w:rFonts w:ascii="Times New Roman" w:hAnsi="Times New Roman" w:cs="Times New Roman"/>
          <w:noProof/>
          <w:sz w:val="24"/>
        </w:rPr>
        <w:t>.</w:t>
      </w:r>
    </w:p>
    <w:p w14:paraId="27DD15E5" w14:textId="77777777" w:rsidR="00246E42" w:rsidRPr="008E7D53" w:rsidRDefault="00470F2F" w:rsidP="00246E42">
      <w:pPr>
        <w:jc w:val="both"/>
        <w:rPr>
          <w:rFonts w:ascii="Times New Roman" w:hAnsi="Times New Roman" w:cs="Times New Roman"/>
          <w:noProof/>
          <w:sz w:val="24"/>
        </w:rPr>
      </w:pPr>
      <w:r>
        <w:rPr>
          <w:rFonts w:ascii="Times New Roman" w:hAnsi="Times New Roman" w:cs="Times New Roman"/>
          <w:noProof/>
          <w:sz w:val="24"/>
        </w:rPr>
        <w:t xml:space="preserve">By ensuring the United Kingdom’s recognition of </w:t>
      </w:r>
      <w:r w:rsidR="006751BE">
        <w:rPr>
          <w:rFonts w:ascii="Times New Roman" w:hAnsi="Times New Roman" w:cs="Times New Roman"/>
          <w:noProof/>
          <w:sz w:val="24"/>
        </w:rPr>
        <w:t xml:space="preserve">its liability for </w:t>
      </w:r>
      <w:r>
        <w:rPr>
          <w:rFonts w:ascii="Times New Roman" w:hAnsi="Times New Roman" w:cs="Times New Roman"/>
          <w:noProof/>
          <w:sz w:val="24"/>
        </w:rPr>
        <w:t xml:space="preserve">the pension rights acquired by all EU staff before the end of the transition period, the Withdrawal Agreement </w:t>
      </w:r>
      <w:r w:rsidR="004541F5">
        <w:rPr>
          <w:rFonts w:ascii="Times New Roman" w:hAnsi="Times New Roman" w:cs="Times New Roman"/>
          <w:noProof/>
          <w:sz w:val="24"/>
        </w:rPr>
        <w:t xml:space="preserve">guarantees </w:t>
      </w:r>
      <w:r w:rsidR="00246E42">
        <w:rPr>
          <w:rFonts w:ascii="Times New Roman" w:hAnsi="Times New Roman" w:cs="Times New Roman"/>
          <w:noProof/>
          <w:sz w:val="24"/>
        </w:rPr>
        <w:t xml:space="preserve">the continued contribution of the United Kingdom to </w:t>
      </w:r>
      <w:r w:rsidR="006751BE">
        <w:rPr>
          <w:rFonts w:ascii="Times New Roman" w:hAnsi="Times New Roman" w:cs="Times New Roman"/>
          <w:noProof/>
          <w:sz w:val="24"/>
        </w:rPr>
        <w:t>the PSEO notional fund. Thus</w:t>
      </w:r>
      <w:r w:rsidR="00BA7810">
        <w:rPr>
          <w:rFonts w:ascii="Times New Roman" w:hAnsi="Times New Roman" w:cs="Times New Roman"/>
          <w:noProof/>
          <w:sz w:val="24"/>
        </w:rPr>
        <w:t>,</w:t>
      </w:r>
      <w:r w:rsidR="006751BE">
        <w:rPr>
          <w:rFonts w:ascii="Times New Roman" w:hAnsi="Times New Roman" w:cs="Times New Roman"/>
          <w:noProof/>
          <w:sz w:val="24"/>
        </w:rPr>
        <w:t xml:space="preserve"> the</w:t>
      </w:r>
      <w:r w:rsidR="00246E42">
        <w:rPr>
          <w:rFonts w:ascii="Times New Roman" w:hAnsi="Times New Roman" w:cs="Times New Roman"/>
          <w:noProof/>
          <w:sz w:val="24"/>
        </w:rPr>
        <w:t xml:space="preserve"> United Kingdom’s decision to withdraw from the EU would </w:t>
      </w:r>
      <w:r w:rsidR="006751BE">
        <w:rPr>
          <w:rFonts w:ascii="Times New Roman" w:hAnsi="Times New Roman" w:cs="Times New Roman"/>
          <w:noProof/>
          <w:sz w:val="24"/>
        </w:rPr>
        <w:t xml:space="preserve">not </w:t>
      </w:r>
      <w:r w:rsidR="00246E42">
        <w:rPr>
          <w:rFonts w:ascii="Times New Roman" w:hAnsi="Times New Roman" w:cs="Times New Roman"/>
          <w:noProof/>
          <w:sz w:val="24"/>
        </w:rPr>
        <w:t xml:space="preserve">entail any additional cost for the EU budget. </w:t>
      </w:r>
    </w:p>
    <w:p w14:paraId="679DBE77" w14:textId="26DC6389" w:rsidR="00246E42" w:rsidRDefault="00452663" w:rsidP="00170470">
      <w:pPr>
        <w:pStyle w:val="Heading2"/>
        <w:numPr>
          <w:ilvl w:val="2"/>
          <w:numId w:val="1"/>
        </w:numPr>
        <w:spacing w:after="120" w:line="240" w:lineRule="auto"/>
        <w:rPr>
          <w:noProof/>
        </w:rPr>
      </w:pPr>
      <w:r>
        <w:rPr>
          <w:noProof/>
        </w:rPr>
        <w:t xml:space="preserve">Contributions </w:t>
      </w:r>
      <w:r w:rsidR="00C339CE">
        <w:rPr>
          <w:noProof/>
        </w:rPr>
        <w:t>from</w:t>
      </w:r>
      <w:r w:rsidR="00B02B4B">
        <w:rPr>
          <w:noProof/>
        </w:rPr>
        <w:t xml:space="preserve"> non-subsidised agencies and</w:t>
      </w:r>
      <w:r w:rsidR="00246E42">
        <w:rPr>
          <w:noProof/>
        </w:rPr>
        <w:t xml:space="preserve"> </w:t>
      </w:r>
      <w:r w:rsidR="00246E42" w:rsidRPr="00515559">
        <w:rPr>
          <w:noProof/>
        </w:rPr>
        <w:t xml:space="preserve">third parties taking part to </w:t>
      </w:r>
      <w:r w:rsidR="00C339CE" w:rsidRPr="00515559">
        <w:rPr>
          <w:noProof/>
        </w:rPr>
        <w:t xml:space="preserve">EU </w:t>
      </w:r>
      <w:r w:rsidR="00246E42" w:rsidRPr="00515559">
        <w:rPr>
          <w:noProof/>
        </w:rPr>
        <w:t>programmes</w:t>
      </w:r>
      <w:r w:rsidR="00246E42">
        <w:rPr>
          <w:noProof/>
        </w:rPr>
        <w:t xml:space="preserve"> </w:t>
      </w:r>
    </w:p>
    <w:p w14:paraId="3ACD837B" w14:textId="65078F6E" w:rsidR="00B02B4B" w:rsidRDefault="00B02B4B"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 xml:space="preserve">In line with </w:t>
      </w:r>
      <w:r w:rsidR="00B4032B">
        <w:rPr>
          <w:rFonts w:ascii="Times New Roman" w:hAnsi="Times New Roman" w:cs="Times New Roman"/>
          <w:noProof/>
          <w:sz w:val="24"/>
        </w:rPr>
        <w:t xml:space="preserve">Article 83a, paragraph </w:t>
      </w:r>
      <w:r>
        <w:rPr>
          <w:rFonts w:ascii="Times New Roman" w:hAnsi="Times New Roman" w:cs="Times New Roman"/>
          <w:noProof/>
          <w:sz w:val="24"/>
        </w:rPr>
        <w:t>2</w:t>
      </w:r>
      <w:r w:rsidR="00B4032B">
        <w:rPr>
          <w:rFonts w:ascii="Times New Roman" w:hAnsi="Times New Roman" w:cs="Times New Roman"/>
          <w:noProof/>
          <w:sz w:val="24"/>
        </w:rPr>
        <w:t xml:space="preserve"> of the Staff Regulations,</w:t>
      </w:r>
      <w:r>
        <w:rPr>
          <w:rFonts w:ascii="Times New Roman" w:hAnsi="Times New Roman" w:cs="Times New Roman"/>
          <w:noProof/>
          <w:sz w:val="24"/>
        </w:rPr>
        <w:t xml:space="preserve"> </w:t>
      </w:r>
      <w:r w:rsidR="008E5131">
        <w:rPr>
          <w:rFonts w:ascii="Times New Roman" w:hAnsi="Times New Roman" w:cs="Times New Roman"/>
          <w:noProof/>
          <w:sz w:val="24"/>
        </w:rPr>
        <w:t>a</w:t>
      </w:r>
      <w:r w:rsidRPr="00B02B4B">
        <w:rPr>
          <w:rFonts w:ascii="Times New Roman" w:hAnsi="Times New Roman" w:cs="Times New Roman"/>
          <w:noProof/>
          <w:sz w:val="24"/>
        </w:rPr>
        <w:t>gencies which do not receive a subsidy from the general budget of the European Union shall pay into that budget the entire amount of the contributions needed to finance the scheme.</w:t>
      </w:r>
      <w:r>
        <w:rPr>
          <w:rFonts w:ascii="Times New Roman" w:hAnsi="Times New Roman" w:cs="Times New Roman"/>
          <w:noProof/>
          <w:sz w:val="24"/>
        </w:rPr>
        <w:t xml:space="preserve"> </w:t>
      </w:r>
    </w:p>
    <w:p w14:paraId="7B19B329" w14:textId="77777777" w:rsidR="00B02B4B" w:rsidRDefault="00B02B4B"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 xml:space="preserve">In addition, </w:t>
      </w:r>
      <w:r w:rsidR="00805876" w:rsidRPr="00E46B93">
        <w:rPr>
          <w:rFonts w:ascii="Times New Roman" w:hAnsi="Times New Roman" w:cs="Times New Roman"/>
          <w:noProof/>
          <w:sz w:val="24"/>
        </w:rPr>
        <w:t xml:space="preserve">EU programmes and actions sometimes involve </w:t>
      </w:r>
      <w:r w:rsidR="003E7742">
        <w:rPr>
          <w:rFonts w:ascii="Times New Roman" w:hAnsi="Times New Roman" w:cs="Times New Roman"/>
          <w:noProof/>
          <w:sz w:val="24"/>
        </w:rPr>
        <w:t xml:space="preserve">the participation of </w:t>
      </w:r>
      <w:r w:rsidR="00805876" w:rsidRPr="00E46B93">
        <w:rPr>
          <w:rFonts w:ascii="Times New Roman" w:hAnsi="Times New Roman" w:cs="Times New Roman"/>
          <w:noProof/>
          <w:sz w:val="24"/>
        </w:rPr>
        <w:t>third parties</w:t>
      </w:r>
      <w:r w:rsidR="003E7742">
        <w:rPr>
          <w:rFonts w:ascii="Times New Roman" w:hAnsi="Times New Roman" w:cs="Times New Roman"/>
          <w:noProof/>
          <w:sz w:val="24"/>
        </w:rPr>
        <w:t xml:space="preserve"> </w:t>
      </w:r>
      <w:r w:rsidR="00EB55B3" w:rsidRPr="00E46B93">
        <w:rPr>
          <w:rFonts w:ascii="Times New Roman" w:hAnsi="Times New Roman" w:cs="Times New Roman"/>
          <w:noProof/>
          <w:sz w:val="24"/>
        </w:rPr>
        <w:t>(e.g. third countries). Because the</w:t>
      </w:r>
      <w:r w:rsidR="003E7742">
        <w:rPr>
          <w:rFonts w:ascii="Times New Roman" w:hAnsi="Times New Roman" w:cs="Times New Roman"/>
          <w:noProof/>
          <w:sz w:val="24"/>
        </w:rPr>
        <w:t>ir</w:t>
      </w:r>
      <w:r w:rsidR="00EB55B3" w:rsidRPr="00E46B93">
        <w:rPr>
          <w:rFonts w:ascii="Times New Roman" w:hAnsi="Times New Roman" w:cs="Times New Roman"/>
          <w:noProof/>
          <w:sz w:val="24"/>
        </w:rPr>
        <w:t xml:space="preserve"> participation may require the recruitment of additional staff members for the </w:t>
      </w:r>
      <w:r w:rsidR="003E7742">
        <w:rPr>
          <w:rFonts w:ascii="Times New Roman" w:hAnsi="Times New Roman" w:cs="Times New Roman"/>
          <w:noProof/>
          <w:sz w:val="24"/>
        </w:rPr>
        <w:t xml:space="preserve">implementation of </w:t>
      </w:r>
      <w:r w:rsidR="007D32CC" w:rsidRPr="00E46B93">
        <w:rPr>
          <w:rFonts w:ascii="Times New Roman" w:hAnsi="Times New Roman" w:cs="Times New Roman"/>
          <w:noProof/>
          <w:sz w:val="24"/>
        </w:rPr>
        <w:t xml:space="preserve">programmes, the Commission ensures that </w:t>
      </w:r>
      <w:r w:rsidR="00374D7E">
        <w:rPr>
          <w:rFonts w:ascii="Times New Roman" w:hAnsi="Times New Roman" w:cs="Times New Roman"/>
          <w:noProof/>
          <w:sz w:val="24"/>
        </w:rPr>
        <w:t xml:space="preserve">third parties’ </w:t>
      </w:r>
      <w:r w:rsidR="007D32CC" w:rsidRPr="00E46B93">
        <w:rPr>
          <w:rFonts w:ascii="Times New Roman" w:hAnsi="Times New Roman" w:cs="Times New Roman"/>
          <w:noProof/>
          <w:sz w:val="24"/>
        </w:rPr>
        <w:t xml:space="preserve">contributions </w:t>
      </w:r>
      <w:r w:rsidR="00374D7E">
        <w:rPr>
          <w:rFonts w:ascii="Times New Roman" w:hAnsi="Times New Roman" w:cs="Times New Roman"/>
          <w:noProof/>
          <w:sz w:val="24"/>
        </w:rPr>
        <w:t xml:space="preserve">to the budget also </w:t>
      </w:r>
      <w:r w:rsidR="007D32CC" w:rsidRPr="00E46B93">
        <w:rPr>
          <w:rFonts w:ascii="Times New Roman" w:hAnsi="Times New Roman" w:cs="Times New Roman"/>
          <w:noProof/>
          <w:sz w:val="24"/>
        </w:rPr>
        <w:t xml:space="preserve">cover the </w:t>
      </w:r>
      <w:r w:rsidR="00374D7E">
        <w:rPr>
          <w:rFonts w:ascii="Times New Roman" w:hAnsi="Times New Roman" w:cs="Times New Roman"/>
          <w:noProof/>
          <w:sz w:val="24"/>
        </w:rPr>
        <w:t xml:space="preserve">employer </w:t>
      </w:r>
      <w:r w:rsidR="007D32CC" w:rsidRPr="00E46B93">
        <w:rPr>
          <w:rFonts w:ascii="Times New Roman" w:hAnsi="Times New Roman" w:cs="Times New Roman"/>
          <w:noProof/>
          <w:sz w:val="24"/>
        </w:rPr>
        <w:t xml:space="preserve">share of staff </w:t>
      </w:r>
      <w:r w:rsidR="00EF244B">
        <w:rPr>
          <w:rFonts w:ascii="Times New Roman" w:hAnsi="Times New Roman" w:cs="Times New Roman"/>
          <w:noProof/>
          <w:sz w:val="24"/>
        </w:rPr>
        <w:t xml:space="preserve">future </w:t>
      </w:r>
      <w:r w:rsidR="00374D7E">
        <w:rPr>
          <w:rFonts w:ascii="Times New Roman" w:hAnsi="Times New Roman" w:cs="Times New Roman"/>
          <w:noProof/>
          <w:sz w:val="24"/>
        </w:rPr>
        <w:t xml:space="preserve">pension </w:t>
      </w:r>
      <w:r w:rsidR="007D32CC" w:rsidRPr="00E46B93">
        <w:rPr>
          <w:rFonts w:ascii="Times New Roman" w:hAnsi="Times New Roman" w:cs="Times New Roman"/>
          <w:noProof/>
          <w:sz w:val="24"/>
        </w:rPr>
        <w:t>entitlements.</w:t>
      </w:r>
      <w:r w:rsidR="003E7742">
        <w:rPr>
          <w:rFonts w:ascii="Times New Roman" w:hAnsi="Times New Roman" w:cs="Times New Roman"/>
          <w:noProof/>
          <w:sz w:val="24"/>
        </w:rPr>
        <w:t xml:space="preserve"> </w:t>
      </w:r>
    </w:p>
    <w:p w14:paraId="29A0D7FD" w14:textId="21393D4A" w:rsidR="00374D7E" w:rsidRPr="00E46B93" w:rsidRDefault="007D32CC" w:rsidP="00170470">
      <w:pPr>
        <w:spacing w:after="120" w:line="240" w:lineRule="auto"/>
        <w:jc w:val="both"/>
        <w:rPr>
          <w:rFonts w:ascii="Times New Roman" w:hAnsi="Times New Roman" w:cs="Times New Roman"/>
          <w:noProof/>
          <w:sz w:val="24"/>
        </w:rPr>
      </w:pPr>
      <w:r w:rsidRPr="00E46B93">
        <w:rPr>
          <w:rFonts w:ascii="Times New Roman" w:hAnsi="Times New Roman" w:cs="Times New Roman"/>
          <w:noProof/>
          <w:sz w:val="24"/>
        </w:rPr>
        <w:t>Th</w:t>
      </w:r>
      <w:r w:rsidR="003E7742">
        <w:rPr>
          <w:rFonts w:ascii="Times New Roman" w:hAnsi="Times New Roman" w:cs="Times New Roman"/>
          <w:noProof/>
          <w:sz w:val="24"/>
        </w:rPr>
        <w:t>ese contributions</w:t>
      </w:r>
      <w:r w:rsidRPr="00E46B93">
        <w:rPr>
          <w:rFonts w:ascii="Times New Roman" w:hAnsi="Times New Roman" w:cs="Times New Roman"/>
          <w:noProof/>
          <w:sz w:val="24"/>
        </w:rPr>
        <w:t xml:space="preserve"> generate revenues for the budget whilst ensuring that future pension costs have been </w:t>
      </w:r>
      <w:r w:rsidR="003E7742">
        <w:rPr>
          <w:rFonts w:ascii="Times New Roman" w:hAnsi="Times New Roman" w:cs="Times New Roman"/>
          <w:noProof/>
          <w:sz w:val="24"/>
        </w:rPr>
        <w:t>covered</w:t>
      </w:r>
      <w:r w:rsidRPr="00E46B93">
        <w:rPr>
          <w:rFonts w:ascii="Times New Roman" w:hAnsi="Times New Roman" w:cs="Times New Roman"/>
          <w:noProof/>
          <w:sz w:val="24"/>
        </w:rPr>
        <w:t xml:space="preserve">. </w:t>
      </w:r>
      <w:r w:rsidR="00374D7E">
        <w:rPr>
          <w:rFonts w:ascii="Times New Roman" w:hAnsi="Times New Roman" w:cs="Times New Roman"/>
          <w:noProof/>
          <w:sz w:val="24"/>
        </w:rPr>
        <w:t>Since 2014, this represents almost EUR 400 million</w:t>
      </w:r>
      <w:r w:rsidR="00C34204">
        <w:rPr>
          <w:rFonts w:ascii="Times New Roman" w:hAnsi="Times New Roman" w:cs="Times New Roman"/>
          <w:noProof/>
          <w:sz w:val="24"/>
        </w:rPr>
        <w:t xml:space="preserve"> of</w:t>
      </w:r>
      <w:r w:rsidR="00374D7E">
        <w:rPr>
          <w:rFonts w:ascii="Times New Roman" w:hAnsi="Times New Roman" w:cs="Times New Roman"/>
          <w:noProof/>
          <w:sz w:val="24"/>
        </w:rPr>
        <w:t xml:space="preserve"> revenues for the budget</w:t>
      </w:r>
      <w:r w:rsidR="001C721C">
        <w:rPr>
          <w:rFonts w:ascii="Times New Roman" w:hAnsi="Times New Roman" w:cs="Times New Roman"/>
          <w:noProof/>
          <w:sz w:val="24"/>
        </w:rPr>
        <w:t xml:space="preserve"> (Annex 13)</w:t>
      </w:r>
      <w:r w:rsidR="00374D7E">
        <w:rPr>
          <w:rFonts w:ascii="Times New Roman" w:hAnsi="Times New Roman" w:cs="Times New Roman"/>
          <w:noProof/>
          <w:sz w:val="24"/>
        </w:rPr>
        <w:t>.</w:t>
      </w:r>
    </w:p>
    <w:p w14:paraId="1A8AC8F3" w14:textId="77777777" w:rsidR="00FA65D1" w:rsidRDefault="006A369F" w:rsidP="00170470">
      <w:pPr>
        <w:pStyle w:val="Heading2"/>
        <w:numPr>
          <w:ilvl w:val="1"/>
          <w:numId w:val="1"/>
        </w:numPr>
        <w:spacing w:after="120" w:line="240" w:lineRule="auto"/>
        <w:rPr>
          <w:noProof/>
        </w:rPr>
      </w:pPr>
      <w:r>
        <w:rPr>
          <w:noProof/>
        </w:rPr>
        <w:t>Expenditure from the PSEO</w:t>
      </w:r>
    </w:p>
    <w:p w14:paraId="594BC30E" w14:textId="4E517E86" w:rsidR="0045771E" w:rsidRDefault="00EF244B"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During the first years of its implementation</w:t>
      </w:r>
      <w:r w:rsidR="004231E0">
        <w:rPr>
          <w:rFonts w:ascii="Times New Roman" w:hAnsi="Times New Roman" w:cs="Times New Roman"/>
          <w:noProof/>
          <w:sz w:val="24"/>
        </w:rPr>
        <w:t>,</w:t>
      </w:r>
      <w:r>
        <w:rPr>
          <w:rFonts w:ascii="Times New Roman" w:hAnsi="Times New Roman" w:cs="Times New Roman"/>
          <w:noProof/>
          <w:sz w:val="24"/>
        </w:rPr>
        <w:t xml:space="preserve"> </w:t>
      </w:r>
      <w:r w:rsidR="0045771E" w:rsidRPr="0045771E">
        <w:rPr>
          <w:rFonts w:ascii="Times New Roman" w:hAnsi="Times New Roman" w:cs="Times New Roman"/>
          <w:noProof/>
          <w:sz w:val="24"/>
        </w:rPr>
        <w:t xml:space="preserve">the EU pension scheme has produced </w:t>
      </w:r>
      <w:r>
        <w:rPr>
          <w:rFonts w:ascii="Times New Roman" w:hAnsi="Times New Roman" w:cs="Times New Roman"/>
          <w:noProof/>
          <w:sz w:val="24"/>
        </w:rPr>
        <w:t xml:space="preserve">– in budgetary terms – </w:t>
      </w:r>
      <w:r w:rsidR="0045771E" w:rsidRPr="0045771E">
        <w:rPr>
          <w:rFonts w:ascii="Times New Roman" w:hAnsi="Times New Roman" w:cs="Times New Roman"/>
          <w:noProof/>
          <w:sz w:val="24"/>
        </w:rPr>
        <w:t>net</w:t>
      </w:r>
      <w:r>
        <w:rPr>
          <w:rFonts w:ascii="Times New Roman" w:hAnsi="Times New Roman" w:cs="Times New Roman"/>
          <w:noProof/>
          <w:sz w:val="24"/>
        </w:rPr>
        <w:t xml:space="preserve"> </w:t>
      </w:r>
      <w:r w:rsidR="0045771E" w:rsidRPr="0045771E">
        <w:rPr>
          <w:rFonts w:ascii="Times New Roman" w:hAnsi="Times New Roman" w:cs="Times New Roman"/>
          <w:noProof/>
          <w:sz w:val="24"/>
        </w:rPr>
        <w:t xml:space="preserve">revenue, i.e. the contributions from active staff acquiring pension rights have outweighed the benefits drawn by a limited number of retirees. Pension scheme revenue has consisted of staff and employer contributions; the latter were not paid into a fund, but only reflected in the pension liability. In this way, the EU budget was actually borrowing money from scheme members in return for a guarantee to pay future benefits. </w:t>
      </w:r>
    </w:p>
    <w:p w14:paraId="4A86D371" w14:textId="3BE487FF" w:rsidR="0045771E" w:rsidRDefault="001708E5" w:rsidP="00215EE8">
      <w:pPr>
        <w:jc w:val="both"/>
        <w:rPr>
          <w:rFonts w:ascii="Times New Roman" w:hAnsi="Times New Roman" w:cs="Times New Roman"/>
          <w:noProof/>
          <w:sz w:val="24"/>
        </w:rPr>
      </w:pPr>
      <w:r>
        <w:rPr>
          <w:rFonts w:ascii="Times New Roman" w:hAnsi="Times New Roman" w:cs="Times New Roman"/>
          <w:noProof/>
          <w:sz w:val="24"/>
        </w:rPr>
        <w:t>Annex 14</w:t>
      </w:r>
      <w:r w:rsidR="00904C3F">
        <w:rPr>
          <w:rFonts w:ascii="Times New Roman" w:hAnsi="Times New Roman" w:cs="Times New Roman"/>
          <w:noProof/>
          <w:sz w:val="24"/>
        </w:rPr>
        <w:t xml:space="preserve"> shows the evolution of the pension expenditure between </w:t>
      </w:r>
      <w:r w:rsidR="00C62FD8">
        <w:rPr>
          <w:rFonts w:ascii="Times New Roman" w:hAnsi="Times New Roman" w:cs="Times New Roman"/>
          <w:noProof/>
          <w:sz w:val="24"/>
        </w:rPr>
        <w:t>2014</w:t>
      </w:r>
      <w:r w:rsidR="00904C3F">
        <w:rPr>
          <w:rFonts w:ascii="Times New Roman" w:hAnsi="Times New Roman" w:cs="Times New Roman"/>
          <w:noProof/>
          <w:sz w:val="24"/>
        </w:rPr>
        <w:t xml:space="preserve"> and </w:t>
      </w:r>
      <w:r w:rsidR="00C62FD8">
        <w:rPr>
          <w:rFonts w:ascii="Times New Roman" w:hAnsi="Times New Roman" w:cs="Times New Roman"/>
          <w:noProof/>
          <w:sz w:val="24"/>
        </w:rPr>
        <w:t>2022</w:t>
      </w:r>
      <w:r w:rsidR="0045771E">
        <w:rPr>
          <w:rFonts w:ascii="Times New Roman" w:hAnsi="Times New Roman" w:cs="Times New Roman"/>
          <w:noProof/>
          <w:sz w:val="24"/>
        </w:rPr>
        <w:t xml:space="preserve">. </w:t>
      </w:r>
      <w:r w:rsidR="00904C3F">
        <w:rPr>
          <w:rFonts w:ascii="Times New Roman" w:hAnsi="Times New Roman" w:cs="Times New Roman"/>
          <w:noProof/>
          <w:sz w:val="24"/>
        </w:rPr>
        <w:t xml:space="preserve">It </w:t>
      </w:r>
      <w:r w:rsidR="00FA65D1" w:rsidRPr="002F6C02">
        <w:rPr>
          <w:rFonts w:ascii="Times New Roman" w:hAnsi="Times New Roman" w:cs="Times New Roman"/>
          <w:noProof/>
          <w:sz w:val="24"/>
        </w:rPr>
        <w:t>increased</w:t>
      </w:r>
      <w:r w:rsidR="00FA65D1">
        <w:rPr>
          <w:rFonts w:ascii="Times New Roman" w:hAnsi="Times New Roman" w:cs="Times New Roman"/>
          <w:noProof/>
          <w:sz w:val="24"/>
        </w:rPr>
        <w:t xml:space="preserve"> at an </w:t>
      </w:r>
      <w:r w:rsidR="00FA65D1" w:rsidRPr="00515559">
        <w:rPr>
          <w:rFonts w:ascii="Times New Roman" w:hAnsi="Times New Roman" w:cs="Times New Roman"/>
          <w:noProof/>
          <w:sz w:val="24"/>
        </w:rPr>
        <w:t xml:space="preserve">average </w:t>
      </w:r>
      <w:r w:rsidR="00FA65D1" w:rsidRPr="009D5924">
        <w:rPr>
          <w:rFonts w:ascii="Times New Roman" w:hAnsi="Times New Roman" w:cs="Times New Roman"/>
          <w:noProof/>
          <w:sz w:val="24"/>
        </w:rPr>
        <w:t xml:space="preserve">of </w:t>
      </w:r>
      <w:r w:rsidR="00D53E8D" w:rsidRPr="009D5924">
        <w:rPr>
          <w:rFonts w:ascii="Times New Roman" w:hAnsi="Times New Roman" w:cs="Times New Roman"/>
          <w:noProof/>
          <w:sz w:val="24"/>
        </w:rPr>
        <w:t>6</w:t>
      </w:r>
      <w:r w:rsidR="00FA65D1" w:rsidRPr="009D5924">
        <w:rPr>
          <w:rFonts w:ascii="Times New Roman" w:hAnsi="Times New Roman" w:cs="Times New Roman"/>
          <w:noProof/>
          <w:sz w:val="24"/>
        </w:rPr>
        <w:t>.</w:t>
      </w:r>
      <w:r w:rsidR="00D53E8D" w:rsidRPr="009D5924">
        <w:rPr>
          <w:rFonts w:ascii="Times New Roman" w:hAnsi="Times New Roman" w:cs="Times New Roman"/>
          <w:noProof/>
          <w:sz w:val="24"/>
        </w:rPr>
        <w:t>2</w:t>
      </w:r>
      <w:r w:rsidR="00FA65D1" w:rsidRPr="009D5924">
        <w:rPr>
          <w:rFonts w:ascii="Times New Roman" w:hAnsi="Times New Roman" w:cs="Times New Roman"/>
          <w:noProof/>
          <w:sz w:val="24"/>
        </w:rPr>
        <w:t>%</w:t>
      </w:r>
      <w:r w:rsidR="002303DF" w:rsidRPr="009D5924">
        <w:rPr>
          <w:rFonts w:ascii="Times New Roman" w:hAnsi="Times New Roman" w:cs="Times New Roman"/>
          <w:noProof/>
          <w:sz w:val="24"/>
        </w:rPr>
        <w:t xml:space="preserve"> </w:t>
      </w:r>
      <w:r w:rsidR="00FA65D1" w:rsidRPr="009D5924">
        <w:rPr>
          <w:rFonts w:ascii="Times New Roman" w:hAnsi="Times New Roman" w:cs="Times New Roman"/>
          <w:noProof/>
          <w:sz w:val="24"/>
        </w:rPr>
        <w:t>per year.</w:t>
      </w:r>
      <w:r w:rsidR="00FA65D1" w:rsidRPr="00FA65D1">
        <w:rPr>
          <w:rFonts w:ascii="Times New Roman" w:hAnsi="Times New Roman" w:cs="Times New Roman"/>
          <w:noProof/>
          <w:sz w:val="24"/>
        </w:rPr>
        <w:t xml:space="preserve"> </w:t>
      </w:r>
      <w:r w:rsidR="00852FB7">
        <w:rPr>
          <w:rFonts w:ascii="Times New Roman" w:hAnsi="Times New Roman" w:cs="Times New Roman"/>
          <w:noProof/>
          <w:sz w:val="24"/>
        </w:rPr>
        <w:t xml:space="preserve">This includes the effects of the update of remuneration and pensions. </w:t>
      </w:r>
    </w:p>
    <w:p w14:paraId="316A6A59" w14:textId="2C448FDF" w:rsidR="00215EE8" w:rsidRDefault="00215EE8" w:rsidP="00215EE8">
      <w:pPr>
        <w:jc w:val="both"/>
        <w:rPr>
          <w:rFonts w:ascii="Times New Roman" w:hAnsi="Times New Roman" w:cs="Times New Roman"/>
          <w:noProof/>
          <w:sz w:val="24"/>
        </w:rPr>
      </w:pPr>
      <w:r w:rsidRPr="002F6C02">
        <w:rPr>
          <w:rFonts w:ascii="Times New Roman" w:hAnsi="Times New Roman" w:cs="Times New Roman"/>
          <w:noProof/>
          <w:sz w:val="24"/>
        </w:rPr>
        <w:t>The current level of</w:t>
      </w:r>
      <w:r>
        <w:rPr>
          <w:rFonts w:ascii="Times New Roman" w:hAnsi="Times New Roman" w:cs="Times New Roman"/>
          <w:noProof/>
          <w:sz w:val="24"/>
        </w:rPr>
        <w:t xml:space="preserve"> pension expenditure reflects to a very large extent the payment of the pension rights acquired under the pre-2004 rules</w:t>
      </w:r>
      <w:r w:rsidR="001067EE">
        <w:rPr>
          <w:rFonts w:ascii="Times New Roman" w:hAnsi="Times New Roman" w:cs="Times New Roman"/>
          <w:noProof/>
          <w:sz w:val="24"/>
        </w:rPr>
        <w:t>, which apply</w:t>
      </w:r>
      <w:r>
        <w:rPr>
          <w:rFonts w:ascii="Times New Roman" w:hAnsi="Times New Roman" w:cs="Times New Roman"/>
          <w:noProof/>
          <w:sz w:val="24"/>
        </w:rPr>
        <w:t xml:space="preserve"> to 90% of the pensioners. These rules provided notably for a 2% </w:t>
      </w:r>
      <w:r w:rsidR="004D5F5F">
        <w:rPr>
          <w:rFonts w:ascii="Times New Roman" w:hAnsi="Times New Roman" w:cs="Times New Roman"/>
          <w:noProof/>
          <w:sz w:val="24"/>
        </w:rPr>
        <w:t xml:space="preserve">yearly </w:t>
      </w:r>
      <w:r>
        <w:rPr>
          <w:rFonts w:ascii="Times New Roman" w:hAnsi="Times New Roman" w:cs="Times New Roman"/>
          <w:noProof/>
          <w:sz w:val="24"/>
        </w:rPr>
        <w:t xml:space="preserve">pension accrual rate, the application of pension correction coefficients, higher entry salaries, lower pensionable age and a staff composed of officials and </w:t>
      </w:r>
      <w:r w:rsidR="002F26B0">
        <w:rPr>
          <w:rFonts w:ascii="Times New Roman" w:hAnsi="Times New Roman" w:cs="Times New Roman"/>
          <w:noProof/>
          <w:sz w:val="24"/>
        </w:rPr>
        <w:t xml:space="preserve">temporary agents only. </w:t>
      </w:r>
      <w:r w:rsidR="002F26B0" w:rsidRPr="001708E5">
        <w:rPr>
          <w:rFonts w:ascii="Times New Roman" w:hAnsi="Times New Roman" w:cs="Times New Roman"/>
          <w:noProof/>
          <w:sz w:val="24"/>
        </w:rPr>
        <w:t xml:space="preserve">Annex </w:t>
      </w:r>
      <w:r w:rsidR="001708E5" w:rsidRPr="001708E5">
        <w:rPr>
          <w:rFonts w:ascii="Times New Roman" w:hAnsi="Times New Roman" w:cs="Times New Roman"/>
          <w:noProof/>
          <w:sz w:val="24"/>
        </w:rPr>
        <w:t>1</w:t>
      </w:r>
      <w:r w:rsidR="001708E5">
        <w:rPr>
          <w:rFonts w:ascii="Times New Roman" w:hAnsi="Times New Roman" w:cs="Times New Roman"/>
          <w:noProof/>
          <w:sz w:val="24"/>
        </w:rPr>
        <w:t>5</w:t>
      </w:r>
      <w:r w:rsidR="005C1865">
        <w:rPr>
          <w:rFonts w:ascii="Times New Roman" w:hAnsi="Times New Roman" w:cs="Times New Roman"/>
          <w:noProof/>
          <w:sz w:val="24"/>
        </w:rPr>
        <w:t xml:space="preserve"> </w:t>
      </w:r>
      <w:r w:rsidR="00B845CF">
        <w:rPr>
          <w:rFonts w:ascii="Times New Roman" w:hAnsi="Times New Roman" w:cs="Times New Roman"/>
          <w:noProof/>
          <w:sz w:val="24"/>
        </w:rPr>
        <w:t>shows</w:t>
      </w:r>
      <w:r>
        <w:rPr>
          <w:rFonts w:ascii="Times New Roman" w:hAnsi="Times New Roman" w:cs="Times New Roman"/>
          <w:noProof/>
          <w:sz w:val="24"/>
        </w:rPr>
        <w:t xml:space="preserve"> the evolution of the costs attached to the payment of pension correction coefficients. </w:t>
      </w:r>
    </w:p>
    <w:p w14:paraId="5A7E9912" w14:textId="69BB7E1B" w:rsidR="00215EE8" w:rsidRDefault="00215EE8" w:rsidP="00215EE8">
      <w:pPr>
        <w:jc w:val="both"/>
        <w:rPr>
          <w:rFonts w:ascii="Times New Roman" w:hAnsi="Times New Roman" w:cs="Times New Roman"/>
          <w:noProof/>
          <w:sz w:val="24"/>
        </w:rPr>
      </w:pPr>
      <w:r>
        <w:rPr>
          <w:rFonts w:ascii="Times New Roman" w:hAnsi="Times New Roman" w:cs="Times New Roman"/>
          <w:noProof/>
          <w:sz w:val="24"/>
        </w:rPr>
        <w:t xml:space="preserve">The share of pensioners falling under the scope of post-2004 rules </w:t>
      </w:r>
      <w:r w:rsidR="00A41D09">
        <w:rPr>
          <w:rFonts w:ascii="Times New Roman" w:hAnsi="Times New Roman" w:cs="Times New Roman"/>
          <w:noProof/>
          <w:sz w:val="24"/>
        </w:rPr>
        <w:t>has increased</w:t>
      </w:r>
      <w:r>
        <w:rPr>
          <w:rFonts w:ascii="Times New Roman" w:hAnsi="Times New Roman" w:cs="Times New Roman"/>
          <w:noProof/>
          <w:sz w:val="24"/>
        </w:rPr>
        <w:t xml:space="preserve"> steadily. Whilst staff members recruited after </w:t>
      </w:r>
      <w:r w:rsidR="004D5F5F">
        <w:rPr>
          <w:rFonts w:ascii="Times New Roman" w:hAnsi="Times New Roman" w:cs="Times New Roman"/>
          <w:noProof/>
          <w:sz w:val="24"/>
        </w:rPr>
        <w:t>1</w:t>
      </w:r>
      <w:r w:rsidR="004D5F5F" w:rsidRPr="001A515A">
        <w:rPr>
          <w:rFonts w:ascii="Times New Roman" w:hAnsi="Times New Roman" w:cs="Times New Roman"/>
          <w:noProof/>
          <w:sz w:val="24"/>
          <w:vertAlign w:val="superscript"/>
        </w:rPr>
        <w:t>st</w:t>
      </w:r>
      <w:r w:rsidR="004D5F5F">
        <w:rPr>
          <w:rFonts w:ascii="Times New Roman" w:hAnsi="Times New Roman" w:cs="Times New Roman"/>
          <w:noProof/>
          <w:sz w:val="24"/>
        </w:rPr>
        <w:t xml:space="preserve"> of May </w:t>
      </w:r>
      <w:r>
        <w:rPr>
          <w:rFonts w:ascii="Times New Roman" w:hAnsi="Times New Roman" w:cs="Times New Roman"/>
          <w:noProof/>
          <w:sz w:val="24"/>
        </w:rPr>
        <w:t xml:space="preserve">2004 but before </w:t>
      </w:r>
      <w:r w:rsidR="00012FA5">
        <w:rPr>
          <w:rFonts w:ascii="Times New Roman" w:hAnsi="Times New Roman" w:cs="Times New Roman"/>
          <w:noProof/>
          <w:sz w:val="24"/>
        </w:rPr>
        <w:t>1</w:t>
      </w:r>
      <w:r w:rsidR="00012FA5" w:rsidRPr="001A515A">
        <w:rPr>
          <w:rFonts w:ascii="Times New Roman" w:hAnsi="Times New Roman" w:cs="Times New Roman"/>
          <w:noProof/>
          <w:sz w:val="24"/>
          <w:vertAlign w:val="superscript"/>
        </w:rPr>
        <w:t>st</w:t>
      </w:r>
      <w:r w:rsidR="00012FA5">
        <w:rPr>
          <w:rFonts w:ascii="Times New Roman" w:hAnsi="Times New Roman" w:cs="Times New Roman"/>
          <w:noProof/>
          <w:sz w:val="24"/>
        </w:rPr>
        <w:t xml:space="preserve"> of January </w:t>
      </w:r>
      <w:r>
        <w:rPr>
          <w:rFonts w:ascii="Times New Roman" w:hAnsi="Times New Roman" w:cs="Times New Roman"/>
          <w:noProof/>
          <w:sz w:val="24"/>
        </w:rPr>
        <w:t xml:space="preserve">2014 </w:t>
      </w:r>
      <w:r w:rsidRPr="002F6C02">
        <w:rPr>
          <w:rFonts w:ascii="Times New Roman" w:hAnsi="Times New Roman" w:cs="Times New Roman"/>
          <w:noProof/>
          <w:sz w:val="24"/>
        </w:rPr>
        <w:t>currently r</w:t>
      </w:r>
      <w:r>
        <w:rPr>
          <w:rFonts w:ascii="Times New Roman" w:hAnsi="Times New Roman" w:cs="Times New Roman"/>
          <w:noProof/>
          <w:sz w:val="24"/>
        </w:rPr>
        <w:t>epresent 9% of the pensioners, all active staff members falling under these rules will have lower pension entitlements</w:t>
      </w:r>
      <w:r w:rsidR="009C67C5">
        <w:rPr>
          <w:rFonts w:ascii="Times New Roman" w:hAnsi="Times New Roman" w:cs="Times New Roman"/>
          <w:noProof/>
          <w:sz w:val="24"/>
        </w:rPr>
        <w:t xml:space="preserve"> as a result of lower entry grades, lower accrual rate and the absence of pension coefficients</w:t>
      </w:r>
      <w:r>
        <w:rPr>
          <w:rFonts w:ascii="Times New Roman" w:hAnsi="Times New Roman" w:cs="Times New Roman"/>
          <w:noProof/>
          <w:sz w:val="24"/>
        </w:rPr>
        <w:t>.</w:t>
      </w:r>
      <w:r w:rsidR="001067EE">
        <w:rPr>
          <w:rFonts w:ascii="Times New Roman" w:hAnsi="Times New Roman" w:cs="Times New Roman"/>
          <w:noProof/>
          <w:sz w:val="24"/>
        </w:rPr>
        <w:t xml:space="preserve"> This</w:t>
      </w:r>
      <w:r>
        <w:rPr>
          <w:rFonts w:ascii="Times New Roman" w:hAnsi="Times New Roman" w:cs="Times New Roman"/>
          <w:noProof/>
          <w:sz w:val="24"/>
        </w:rPr>
        <w:t xml:space="preserve"> will be fully reflected in the pension expenditure once </w:t>
      </w:r>
      <w:r w:rsidR="001067EE">
        <w:rPr>
          <w:rFonts w:ascii="Times New Roman" w:hAnsi="Times New Roman" w:cs="Times New Roman"/>
          <w:noProof/>
          <w:sz w:val="24"/>
        </w:rPr>
        <w:t xml:space="preserve">these </w:t>
      </w:r>
      <w:r>
        <w:rPr>
          <w:rFonts w:ascii="Times New Roman" w:hAnsi="Times New Roman" w:cs="Times New Roman"/>
          <w:noProof/>
          <w:sz w:val="24"/>
        </w:rPr>
        <w:t>staff members will reach pensionable age. In the longer term, savings</w:t>
      </w:r>
      <w:r w:rsidR="009C67C5">
        <w:rPr>
          <w:rFonts w:ascii="Times New Roman" w:hAnsi="Times New Roman" w:cs="Times New Roman"/>
          <w:noProof/>
          <w:sz w:val="24"/>
        </w:rPr>
        <w:t xml:space="preserve"> resulting from the 2004 reform</w:t>
      </w:r>
      <w:r>
        <w:rPr>
          <w:rFonts w:ascii="Times New Roman" w:hAnsi="Times New Roman" w:cs="Times New Roman"/>
          <w:noProof/>
          <w:sz w:val="24"/>
        </w:rPr>
        <w:t xml:space="preserve"> w</w:t>
      </w:r>
      <w:r w:rsidR="002B33C2">
        <w:rPr>
          <w:rFonts w:ascii="Times New Roman" w:hAnsi="Times New Roman" w:cs="Times New Roman"/>
          <w:noProof/>
          <w:sz w:val="24"/>
        </w:rPr>
        <w:t>ill continue increasing, up to one</w:t>
      </w:r>
      <w:r>
        <w:rPr>
          <w:rFonts w:ascii="Times New Roman" w:hAnsi="Times New Roman" w:cs="Times New Roman"/>
          <w:noProof/>
          <w:sz w:val="24"/>
        </w:rPr>
        <w:t xml:space="preserve"> billion per year in the long term</w:t>
      </w:r>
      <w:r>
        <w:rPr>
          <w:rStyle w:val="FootnoteReference"/>
          <w:rFonts w:ascii="Times New Roman" w:hAnsi="Times New Roman" w:cs="Times New Roman"/>
          <w:noProof/>
          <w:sz w:val="24"/>
        </w:rPr>
        <w:footnoteReference w:id="28"/>
      </w:r>
      <w:r>
        <w:rPr>
          <w:rFonts w:ascii="Times New Roman" w:hAnsi="Times New Roman" w:cs="Times New Roman"/>
          <w:noProof/>
          <w:sz w:val="24"/>
        </w:rPr>
        <w:t xml:space="preserve">. </w:t>
      </w:r>
    </w:p>
    <w:p w14:paraId="45C31EFB" w14:textId="6AAB528D" w:rsidR="003E7742" w:rsidRPr="000532DE" w:rsidRDefault="00215EE8" w:rsidP="003E7742">
      <w:pPr>
        <w:jc w:val="both"/>
        <w:rPr>
          <w:rFonts w:ascii="Times New Roman" w:hAnsi="Times New Roman" w:cs="Times New Roman"/>
          <w:noProof/>
          <w:sz w:val="24"/>
        </w:rPr>
      </w:pPr>
      <w:r>
        <w:rPr>
          <w:rFonts w:ascii="Times New Roman" w:hAnsi="Times New Roman" w:cs="Times New Roman"/>
          <w:noProof/>
          <w:sz w:val="24"/>
        </w:rPr>
        <w:t xml:space="preserve">Given that only 1% of current pensioners fall under post-2014 rules, the structural changes introduced by the co-legislator in 2014 (i.e. increased retirement age, reduced </w:t>
      </w:r>
      <w:r w:rsidR="005C26C5">
        <w:rPr>
          <w:rFonts w:ascii="Times New Roman" w:hAnsi="Times New Roman" w:cs="Times New Roman"/>
          <w:noProof/>
          <w:sz w:val="24"/>
        </w:rPr>
        <w:t xml:space="preserve">yearly pension </w:t>
      </w:r>
      <w:r>
        <w:rPr>
          <w:rFonts w:ascii="Times New Roman" w:hAnsi="Times New Roman" w:cs="Times New Roman"/>
          <w:noProof/>
          <w:sz w:val="24"/>
        </w:rPr>
        <w:t xml:space="preserve">accrual rate, reduced career progression, creation of a lower salary scale for </w:t>
      </w:r>
      <w:r w:rsidRPr="0013386C">
        <w:rPr>
          <w:rFonts w:ascii="Times New Roman" w:hAnsi="Times New Roman" w:cs="Times New Roman"/>
          <w:noProof/>
          <w:sz w:val="24"/>
        </w:rPr>
        <w:t>secretarial and clerical jobs</w:t>
      </w:r>
      <w:r>
        <w:rPr>
          <w:rFonts w:ascii="Times New Roman" w:hAnsi="Times New Roman" w:cs="Times New Roman"/>
          <w:noProof/>
          <w:sz w:val="24"/>
        </w:rPr>
        <w:t xml:space="preserve">) will fully materialise </w:t>
      </w:r>
      <w:r w:rsidR="005C26C5">
        <w:rPr>
          <w:rFonts w:ascii="Times New Roman" w:hAnsi="Times New Roman" w:cs="Times New Roman"/>
          <w:noProof/>
          <w:sz w:val="24"/>
        </w:rPr>
        <w:t>only when</w:t>
      </w:r>
      <w:r w:rsidR="000B4EAD">
        <w:rPr>
          <w:rFonts w:ascii="Times New Roman" w:hAnsi="Times New Roman" w:cs="Times New Roman"/>
          <w:noProof/>
          <w:sz w:val="24"/>
        </w:rPr>
        <w:t xml:space="preserve"> </w:t>
      </w:r>
      <w:r>
        <w:rPr>
          <w:rFonts w:ascii="Times New Roman" w:hAnsi="Times New Roman" w:cs="Times New Roman"/>
          <w:noProof/>
          <w:sz w:val="24"/>
        </w:rPr>
        <w:t xml:space="preserve">staff members falling under the </w:t>
      </w:r>
      <w:r w:rsidR="00DE7BF1">
        <w:rPr>
          <w:rFonts w:ascii="Times New Roman" w:hAnsi="Times New Roman" w:cs="Times New Roman"/>
          <w:noProof/>
          <w:sz w:val="24"/>
        </w:rPr>
        <w:t>post-</w:t>
      </w:r>
      <w:r>
        <w:rPr>
          <w:rFonts w:ascii="Times New Roman" w:hAnsi="Times New Roman" w:cs="Times New Roman"/>
          <w:noProof/>
          <w:sz w:val="24"/>
        </w:rPr>
        <w:t xml:space="preserve">2014 pension rules will take their pensions. </w:t>
      </w:r>
      <w:r w:rsidR="001067EE">
        <w:rPr>
          <w:rFonts w:ascii="Times New Roman" w:hAnsi="Times New Roman" w:cs="Times New Roman"/>
          <w:noProof/>
          <w:sz w:val="24"/>
        </w:rPr>
        <w:t>This means that t</w:t>
      </w:r>
      <w:r w:rsidR="003E7742" w:rsidRPr="008E7D53">
        <w:rPr>
          <w:rFonts w:ascii="Times New Roman" w:hAnsi="Times New Roman" w:cs="Times New Roman"/>
          <w:noProof/>
          <w:sz w:val="24"/>
        </w:rPr>
        <w:t xml:space="preserve">he </w:t>
      </w:r>
      <w:r w:rsidR="003E7742">
        <w:rPr>
          <w:rFonts w:ascii="Times New Roman" w:hAnsi="Times New Roman" w:cs="Times New Roman"/>
          <w:noProof/>
          <w:sz w:val="24"/>
        </w:rPr>
        <w:t xml:space="preserve">effects </w:t>
      </w:r>
      <w:r w:rsidR="001067EE">
        <w:rPr>
          <w:rFonts w:ascii="Times New Roman" w:hAnsi="Times New Roman" w:cs="Times New Roman"/>
          <w:noProof/>
          <w:sz w:val="24"/>
        </w:rPr>
        <w:t>on</w:t>
      </w:r>
      <w:r w:rsidR="00FE60F4">
        <w:rPr>
          <w:rFonts w:ascii="Times New Roman" w:hAnsi="Times New Roman" w:cs="Times New Roman"/>
          <w:noProof/>
          <w:sz w:val="24"/>
        </w:rPr>
        <w:t xml:space="preserve"> the</w:t>
      </w:r>
      <w:r w:rsidR="001067EE">
        <w:rPr>
          <w:rFonts w:ascii="Times New Roman" w:hAnsi="Times New Roman" w:cs="Times New Roman"/>
          <w:noProof/>
          <w:sz w:val="24"/>
        </w:rPr>
        <w:t xml:space="preserve"> pension expenditure </w:t>
      </w:r>
      <w:r w:rsidR="003E7742">
        <w:rPr>
          <w:rFonts w:ascii="Times New Roman" w:hAnsi="Times New Roman" w:cs="Times New Roman"/>
          <w:noProof/>
          <w:sz w:val="24"/>
        </w:rPr>
        <w:t xml:space="preserve">of the most recent </w:t>
      </w:r>
      <w:r w:rsidR="00393E44">
        <w:rPr>
          <w:rFonts w:ascii="Times New Roman" w:hAnsi="Times New Roman" w:cs="Times New Roman"/>
          <w:noProof/>
          <w:sz w:val="24"/>
        </w:rPr>
        <w:t xml:space="preserve">structural </w:t>
      </w:r>
      <w:r w:rsidR="003E7742">
        <w:rPr>
          <w:rFonts w:ascii="Times New Roman" w:hAnsi="Times New Roman" w:cs="Times New Roman"/>
          <w:noProof/>
          <w:sz w:val="24"/>
        </w:rPr>
        <w:t>changes introduced by the co-legislator in 2014 will gradually increase as an increasing share of staff members recruited after 2014 will become pensioners</w:t>
      </w:r>
      <w:r w:rsidR="003E7742">
        <w:rPr>
          <w:rStyle w:val="FootnoteReference"/>
          <w:rFonts w:ascii="Times New Roman" w:hAnsi="Times New Roman" w:cs="Times New Roman"/>
          <w:noProof/>
          <w:sz w:val="24"/>
        </w:rPr>
        <w:footnoteReference w:id="29"/>
      </w:r>
      <w:r w:rsidR="003E7742">
        <w:rPr>
          <w:rFonts w:ascii="Times New Roman" w:hAnsi="Times New Roman" w:cs="Times New Roman"/>
          <w:noProof/>
          <w:sz w:val="24"/>
        </w:rPr>
        <w:t xml:space="preserve">. </w:t>
      </w:r>
    </w:p>
    <w:p w14:paraId="69885C0C" w14:textId="78FD2FC4" w:rsidR="00F57398" w:rsidRPr="00511B6F" w:rsidRDefault="001067EE" w:rsidP="00170470">
      <w:pPr>
        <w:jc w:val="both"/>
        <w:rPr>
          <w:rFonts w:cs="Times New Roman"/>
          <w:noProof/>
        </w:rPr>
      </w:pPr>
      <w:r>
        <w:rPr>
          <w:rFonts w:ascii="Times New Roman" w:hAnsi="Times New Roman" w:cs="Times New Roman"/>
          <w:noProof/>
          <w:sz w:val="24"/>
        </w:rPr>
        <w:t xml:space="preserve">In light of the above, </w:t>
      </w:r>
      <w:r w:rsidR="0067475F">
        <w:rPr>
          <w:rFonts w:ascii="Times New Roman" w:hAnsi="Times New Roman" w:cs="Times New Roman"/>
          <w:noProof/>
          <w:sz w:val="24"/>
        </w:rPr>
        <w:t>the</w:t>
      </w:r>
      <w:r w:rsidR="00215EE8" w:rsidRPr="004A6E6D">
        <w:rPr>
          <w:rFonts w:ascii="Times New Roman" w:hAnsi="Times New Roman" w:cs="Times New Roman"/>
          <w:noProof/>
          <w:sz w:val="24"/>
        </w:rPr>
        <w:t xml:space="preserve"> pension expenditure will continue growing </w:t>
      </w:r>
      <w:r w:rsidR="005B0871">
        <w:rPr>
          <w:rFonts w:ascii="Times New Roman" w:hAnsi="Times New Roman" w:cs="Times New Roman"/>
          <w:noProof/>
          <w:sz w:val="24"/>
        </w:rPr>
        <w:t>reflecting the increase of the workforce of the EU institutions, especially in agencies or through the creation of new bodies</w:t>
      </w:r>
      <w:r w:rsidR="00A41D09">
        <w:rPr>
          <w:rFonts w:ascii="Times New Roman" w:hAnsi="Times New Roman" w:cs="Times New Roman"/>
          <w:noProof/>
          <w:sz w:val="24"/>
        </w:rPr>
        <w:t>.</w:t>
      </w:r>
      <w:r w:rsidR="00215EE8">
        <w:rPr>
          <w:rFonts w:ascii="Times New Roman" w:hAnsi="Times New Roman" w:cs="Times New Roman"/>
          <w:noProof/>
          <w:sz w:val="24"/>
        </w:rPr>
        <w:t xml:space="preserve"> </w:t>
      </w:r>
      <w:r w:rsidR="00FA65D1" w:rsidRPr="004A6E6D">
        <w:rPr>
          <w:rFonts w:ascii="Times New Roman" w:hAnsi="Times New Roman" w:cs="Times New Roman"/>
          <w:noProof/>
          <w:sz w:val="24"/>
        </w:rPr>
        <w:t xml:space="preserve">At the same time, </w:t>
      </w:r>
      <w:r>
        <w:rPr>
          <w:rFonts w:ascii="Times New Roman" w:hAnsi="Times New Roman" w:cs="Times New Roman"/>
          <w:noProof/>
          <w:sz w:val="24"/>
        </w:rPr>
        <w:t xml:space="preserve">the </w:t>
      </w:r>
      <w:r w:rsidR="00393E44">
        <w:rPr>
          <w:rFonts w:ascii="Times New Roman" w:hAnsi="Times New Roman" w:cs="Times New Roman"/>
          <w:noProof/>
          <w:sz w:val="24"/>
        </w:rPr>
        <w:t>two successive reforms o</w:t>
      </w:r>
      <w:r w:rsidR="00EC3EFD">
        <w:rPr>
          <w:rFonts w:ascii="Times New Roman" w:hAnsi="Times New Roman" w:cs="Times New Roman"/>
          <w:noProof/>
          <w:sz w:val="24"/>
        </w:rPr>
        <w:t>f</w:t>
      </w:r>
      <w:r w:rsidR="00393E44">
        <w:rPr>
          <w:rFonts w:ascii="Times New Roman" w:hAnsi="Times New Roman" w:cs="Times New Roman"/>
          <w:noProof/>
          <w:sz w:val="24"/>
        </w:rPr>
        <w:t xml:space="preserve"> the Staff Regulations </w:t>
      </w:r>
      <w:r w:rsidR="00A41D09">
        <w:rPr>
          <w:rFonts w:ascii="Times New Roman" w:hAnsi="Times New Roman" w:cs="Times New Roman"/>
          <w:noProof/>
          <w:sz w:val="24"/>
        </w:rPr>
        <w:t xml:space="preserve">have </w:t>
      </w:r>
      <w:r w:rsidR="005A1045">
        <w:rPr>
          <w:rFonts w:ascii="Times New Roman" w:hAnsi="Times New Roman" w:cs="Times New Roman"/>
          <w:noProof/>
          <w:sz w:val="24"/>
        </w:rPr>
        <w:t xml:space="preserve">already </w:t>
      </w:r>
      <w:r w:rsidR="00A41D09">
        <w:rPr>
          <w:rFonts w:ascii="Times New Roman" w:hAnsi="Times New Roman" w:cs="Times New Roman"/>
          <w:noProof/>
          <w:sz w:val="24"/>
        </w:rPr>
        <w:t>generated</w:t>
      </w:r>
      <w:r w:rsidR="00393E44">
        <w:rPr>
          <w:rFonts w:ascii="Times New Roman" w:hAnsi="Times New Roman" w:cs="Times New Roman"/>
          <w:noProof/>
          <w:sz w:val="24"/>
        </w:rPr>
        <w:t xml:space="preserve"> </w:t>
      </w:r>
      <w:r w:rsidR="005B0788">
        <w:rPr>
          <w:rFonts w:ascii="Times New Roman" w:hAnsi="Times New Roman" w:cs="Times New Roman"/>
          <w:noProof/>
          <w:sz w:val="24"/>
        </w:rPr>
        <w:t>significant</w:t>
      </w:r>
      <w:r w:rsidR="00393E44">
        <w:rPr>
          <w:rFonts w:ascii="Times New Roman" w:hAnsi="Times New Roman" w:cs="Times New Roman"/>
          <w:noProof/>
          <w:sz w:val="24"/>
        </w:rPr>
        <w:t xml:space="preserve"> savings</w:t>
      </w:r>
      <w:r w:rsidR="005C1865">
        <w:rPr>
          <w:rFonts w:ascii="Times New Roman" w:hAnsi="Times New Roman" w:cs="Times New Roman"/>
          <w:noProof/>
          <w:sz w:val="24"/>
        </w:rPr>
        <w:t>. These savings</w:t>
      </w:r>
      <w:r w:rsidR="00393E44">
        <w:rPr>
          <w:rFonts w:ascii="Times New Roman" w:hAnsi="Times New Roman" w:cs="Times New Roman"/>
          <w:noProof/>
          <w:sz w:val="24"/>
        </w:rPr>
        <w:t xml:space="preserve"> </w:t>
      </w:r>
      <w:r w:rsidR="00EC3EFD">
        <w:rPr>
          <w:rFonts w:ascii="Times New Roman" w:hAnsi="Times New Roman" w:cs="Times New Roman"/>
          <w:noProof/>
          <w:sz w:val="24"/>
        </w:rPr>
        <w:t xml:space="preserve">will </w:t>
      </w:r>
      <w:r w:rsidR="005B0788">
        <w:rPr>
          <w:rFonts w:ascii="Times New Roman" w:hAnsi="Times New Roman" w:cs="Times New Roman"/>
          <w:noProof/>
          <w:sz w:val="24"/>
        </w:rPr>
        <w:t xml:space="preserve">keep </w:t>
      </w:r>
      <w:r w:rsidR="00EC3EFD">
        <w:rPr>
          <w:rFonts w:ascii="Times New Roman" w:hAnsi="Times New Roman" w:cs="Times New Roman"/>
          <w:noProof/>
          <w:sz w:val="24"/>
        </w:rPr>
        <w:t>increas</w:t>
      </w:r>
      <w:r w:rsidR="005B0788">
        <w:rPr>
          <w:rFonts w:ascii="Times New Roman" w:hAnsi="Times New Roman" w:cs="Times New Roman"/>
          <w:noProof/>
          <w:sz w:val="24"/>
        </w:rPr>
        <w:t xml:space="preserve">ing </w:t>
      </w:r>
      <w:r w:rsidR="00EC3EFD">
        <w:rPr>
          <w:rFonts w:ascii="Times New Roman" w:hAnsi="Times New Roman" w:cs="Times New Roman"/>
          <w:noProof/>
          <w:sz w:val="24"/>
        </w:rPr>
        <w:t xml:space="preserve">as staff members falling under the </w:t>
      </w:r>
      <w:r w:rsidR="005C26C5">
        <w:rPr>
          <w:rFonts w:ascii="Times New Roman" w:hAnsi="Times New Roman" w:cs="Times New Roman"/>
          <w:noProof/>
          <w:sz w:val="24"/>
        </w:rPr>
        <w:t xml:space="preserve">2004 and 2014 </w:t>
      </w:r>
      <w:r w:rsidR="00EC3EFD">
        <w:rPr>
          <w:rFonts w:ascii="Times New Roman" w:hAnsi="Times New Roman" w:cs="Times New Roman"/>
          <w:noProof/>
          <w:sz w:val="24"/>
        </w:rPr>
        <w:t>stricter rules will start receiving a pension</w:t>
      </w:r>
      <w:r w:rsidR="00FA65D1" w:rsidRPr="004A6E6D">
        <w:rPr>
          <w:rFonts w:ascii="Times New Roman" w:hAnsi="Times New Roman" w:cs="Times New Roman"/>
          <w:noProof/>
          <w:sz w:val="24"/>
        </w:rPr>
        <w:t>.</w:t>
      </w:r>
      <w:r w:rsidR="00F57398" w:rsidRPr="00170470">
        <w:rPr>
          <w:rFonts w:ascii="Times New Roman" w:hAnsi="Times New Roman" w:cs="Times New Roman"/>
          <w:noProof/>
          <w:sz w:val="24"/>
        </w:rPr>
        <w:t xml:space="preserve"> </w:t>
      </w:r>
    </w:p>
    <w:p w14:paraId="2F402289" w14:textId="77777777" w:rsidR="00F57398" w:rsidRPr="00E569DE" w:rsidRDefault="00F57398" w:rsidP="00170470">
      <w:pPr>
        <w:pStyle w:val="Heading2"/>
        <w:numPr>
          <w:ilvl w:val="1"/>
          <w:numId w:val="1"/>
        </w:numPr>
        <w:spacing w:after="120" w:line="240" w:lineRule="auto"/>
        <w:rPr>
          <w:noProof/>
        </w:rPr>
      </w:pPr>
      <w:r w:rsidRPr="00E569DE">
        <w:rPr>
          <w:noProof/>
        </w:rPr>
        <w:t>PSEO liability</w:t>
      </w:r>
    </w:p>
    <w:p w14:paraId="4A79A401" w14:textId="5F60842C" w:rsidR="00F57398" w:rsidRPr="00E569DE" w:rsidRDefault="00F57398">
      <w:pPr>
        <w:pStyle w:val="Text2"/>
        <w:ind w:left="0"/>
        <w:rPr>
          <w:noProof/>
        </w:rPr>
      </w:pPr>
      <w:r w:rsidRPr="00E569DE">
        <w:rPr>
          <w:noProof/>
          <w:lang w:val="en-IE"/>
        </w:rPr>
        <w:t>T</w:t>
      </w:r>
      <w:r w:rsidRPr="00E569DE">
        <w:rPr>
          <w:noProof/>
        </w:rPr>
        <w:t xml:space="preserve">he PSEO is a notional (virtual) fund with defined benefits. Because there is no actual investment fund, the amount that would have been collected by such a fund is considered to have been invested in the Member States’ long-term bonds and is reflected in the pension liability that is registered in the annual accounts of the European Union. </w:t>
      </w:r>
    </w:p>
    <w:p w14:paraId="3795AA15" w14:textId="123A87A1" w:rsidR="00F57398" w:rsidRPr="00E569DE" w:rsidRDefault="00F57398" w:rsidP="00F57398">
      <w:pPr>
        <w:pStyle w:val="Text2"/>
        <w:ind w:left="0"/>
        <w:rPr>
          <w:noProof/>
        </w:rPr>
      </w:pPr>
      <w:r w:rsidRPr="00E569DE">
        <w:rPr>
          <w:noProof/>
        </w:rPr>
        <w:t>The EU annual accounts are prepared according to accounting rules based on Internationally Accepted Accounting Standards (IPSAS 39), the highest available standards. The figure for pension and other post-employment liabilities presented on the EU balance sheet represents the actuarial valuation</w:t>
      </w:r>
      <w:r w:rsidR="00517695">
        <w:rPr>
          <w:noProof/>
        </w:rPr>
        <w:t>, at</w:t>
      </w:r>
      <w:r w:rsidRPr="00E569DE">
        <w:rPr>
          <w:noProof/>
        </w:rPr>
        <w:t xml:space="preserve"> current monetary value</w:t>
      </w:r>
      <w:r w:rsidR="00517695">
        <w:rPr>
          <w:noProof/>
        </w:rPr>
        <w:t>s,</w:t>
      </w:r>
      <w:r w:rsidRPr="00E569DE">
        <w:rPr>
          <w:noProof/>
        </w:rPr>
        <w:t xml:space="preserve"> of the </w:t>
      </w:r>
      <w:r w:rsidR="00517695">
        <w:rPr>
          <w:noProof/>
        </w:rPr>
        <w:t xml:space="preserve">EU </w:t>
      </w:r>
      <w:r w:rsidRPr="00E569DE">
        <w:rPr>
          <w:noProof/>
        </w:rPr>
        <w:t>obligation to pay</w:t>
      </w:r>
      <w:r w:rsidR="00517695">
        <w:rPr>
          <w:noProof/>
        </w:rPr>
        <w:t xml:space="preserve"> </w:t>
      </w:r>
      <w:r w:rsidRPr="00E569DE">
        <w:rPr>
          <w:noProof/>
        </w:rPr>
        <w:t>the future</w:t>
      </w:r>
      <w:r w:rsidR="00517695">
        <w:rPr>
          <w:noProof/>
        </w:rPr>
        <w:t xml:space="preserve"> </w:t>
      </w:r>
      <w:r w:rsidRPr="00E569DE">
        <w:rPr>
          <w:noProof/>
        </w:rPr>
        <w:t>pension</w:t>
      </w:r>
      <w:r w:rsidR="00517695">
        <w:rPr>
          <w:noProof/>
        </w:rPr>
        <w:t>s</w:t>
      </w:r>
      <w:r w:rsidRPr="00E569DE">
        <w:rPr>
          <w:noProof/>
        </w:rPr>
        <w:t xml:space="preserve"> and other rights</w:t>
      </w:r>
      <w:r w:rsidR="00517695">
        <w:rPr>
          <w:noProof/>
        </w:rPr>
        <w:t>,</w:t>
      </w:r>
      <w:r w:rsidRPr="00E569DE">
        <w:rPr>
          <w:noProof/>
        </w:rPr>
        <w:t xml:space="preserve"> acquired by its staff (active</w:t>
      </w:r>
      <w:r w:rsidR="00517695">
        <w:rPr>
          <w:noProof/>
        </w:rPr>
        <w:t xml:space="preserve">s, invalids </w:t>
      </w:r>
      <w:r w:rsidRPr="00E569DE">
        <w:rPr>
          <w:noProof/>
        </w:rPr>
        <w:t xml:space="preserve">and </w:t>
      </w:r>
      <w:r w:rsidR="00517695" w:rsidRPr="00E569DE">
        <w:rPr>
          <w:noProof/>
        </w:rPr>
        <w:t>retire</w:t>
      </w:r>
      <w:r w:rsidR="00517695">
        <w:rPr>
          <w:noProof/>
        </w:rPr>
        <w:t>es</w:t>
      </w:r>
      <w:r w:rsidRPr="00E569DE">
        <w:rPr>
          <w:noProof/>
        </w:rPr>
        <w:t xml:space="preserve">). This valuation is based on the forecasted payments to be made by the EU budget to </w:t>
      </w:r>
      <w:r w:rsidR="00517695">
        <w:rPr>
          <w:noProof/>
        </w:rPr>
        <w:t xml:space="preserve">the current and future </w:t>
      </w:r>
      <w:r w:rsidRPr="00E569DE">
        <w:rPr>
          <w:noProof/>
        </w:rPr>
        <w:t>r</w:t>
      </w:r>
      <w:r w:rsidR="00517695">
        <w:rPr>
          <w:noProof/>
        </w:rPr>
        <w:t>etiree</w:t>
      </w:r>
      <w:r w:rsidRPr="00E569DE">
        <w:rPr>
          <w:noProof/>
        </w:rPr>
        <w:t>s over a time horizon of several decades.</w:t>
      </w:r>
    </w:p>
    <w:p w14:paraId="03AABACE" w14:textId="1A88C817" w:rsidR="00F57398" w:rsidRPr="00E569DE" w:rsidRDefault="00F57398" w:rsidP="00F57398">
      <w:pPr>
        <w:pStyle w:val="Text2"/>
        <w:ind w:left="0"/>
        <w:rPr>
          <w:noProof/>
        </w:rPr>
      </w:pPr>
      <w:r w:rsidRPr="00E569DE">
        <w:rPr>
          <w:noProof/>
        </w:rPr>
        <w:t xml:space="preserve">One of the key variables required for the calculations is the </w:t>
      </w:r>
      <w:r w:rsidR="00517695">
        <w:rPr>
          <w:noProof/>
        </w:rPr>
        <w:t>Real Discount Rate</w:t>
      </w:r>
      <w:r w:rsidR="00012FA5">
        <w:rPr>
          <w:noProof/>
        </w:rPr>
        <w:t>.</w:t>
      </w:r>
      <w:r w:rsidR="00517695">
        <w:rPr>
          <w:noProof/>
        </w:rPr>
        <w:t xml:space="preserve"> </w:t>
      </w:r>
      <w:r w:rsidR="00012FA5">
        <w:rPr>
          <w:noProof/>
        </w:rPr>
        <w:t>This</w:t>
      </w:r>
      <w:r w:rsidR="00517695">
        <w:rPr>
          <w:noProof/>
        </w:rPr>
        <w:t xml:space="preserve"> rate is necessary</w:t>
      </w:r>
      <w:r w:rsidR="00012FA5">
        <w:rPr>
          <w:noProof/>
        </w:rPr>
        <w:t xml:space="preserve"> </w:t>
      </w:r>
      <w:r w:rsidR="00517695">
        <w:rPr>
          <w:noProof/>
        </w:rPr>
        <w:t>to</w:t>
      </w:r>
      <w:r w:rsidRPr="00E569DE">
        <w:rPr>
          <w:noProof/>
        </w:rPr>
        <w:t xml:space="preserve"> </w:t>
      </w:r>
      <w:r w:rsidR="00517695">
        <w:rPr>
          <w:noProof/>
        </w:rPr>
        <w:t xml:space="preserve">calculate the present value of the expected </w:t>
      </w:r>
      <w:r w:rsidRPr="00E569DE">
        <w:rPr>
          <w:noProof/>
        </w:rPr>
        <w:t xml:space="preserve">future </w:t>
      </w:r>
      <w:r w:rsidR="008F1277">
        <w:rPr>
          <w:noProof/>
        </w:rPr>
        <w:t>benefits</w:t>
      </w:r>
      <w:r w:rsidRPr="00E569DE">
        <w:rPr>
          <w:noProof/>
        </w:rPr>
        <w:t xml:space="preserve">. </w:t>
      </w:r>
      <w:r w:rsidR="00517695">
        <w:rPr>
          <w:noProof/>
        </w:rPr>
        <w:t>That interest rate is obtained from the nominal interest rates and the inflation rates</w:t>
      </w:r>
      <w:r w:rsidR="00012FA5">
        <w:rPr>
          <w:rStyle w:val="FootnoteReference"/>
          <w:noProof/>
        </w:rPr>
        <w:footnoteReference w:id="30"/>
      </w:r>
      <w:r w:rsidR="00517695">
        <w:rPr>
          <w:noProof/>
        </w:rPr>
        <w:t>, thus involving a double source of volatility</w:t>
      </w:r>
      <w:r w:rsidRPr="00E569DE">
        <w:rPr>
          <w:noProof/>
        </w:rPr>
        <w:t xml:space="preserve">. </w:t>
      </w:r>
      <w:r w:rsidR="00445606">
        <w:rPr>
          <w:noProof/>
        </w:rPr>
        <w:t>In that respect, the r</w:t>
      </w:r>
      <w:r w:rsidRPr="00E569DE">
        <w:rPr>
          <w:noProof/>
        </w:rPr>
        <w:t>ecent increases of the liability resulted almost entirely from the sharp decline of the long-term interest rate used to value employee benefit obligations</w:t>
      </w:r>
      <w:r w:rsidR="00445606">
        <w:rPr>
          <w:noProof/>
        </w:rPr>
        <w:t xml:space="preserve">: the real discount rate </w:t>
      </w:r>
      <w:r w:rsidRPr="00E569DE">
        <w:rPr>
          <w:noProof/>
        </w:rPr>
        <w:t>became</w:t>
      </w:r>
      <w:r w:rsidR="00445606">
        <w:rPr>
          <w:noProof/>
        </w:rPr>
        <w:t xml:space="preserve"> recently even</w:t>
      </w:r>
      <w:r w:rsidRPr="00E569DE">
        <w:rPr>
          <w:noProof/>
        </w:rPr>
        <w:t xml:space="preserve"> negative, meaning that any given amount is worth more today than in the future. For instance, in 2021, the real discount rate passed from -0.2% to -0.8%. This change led to an increase of the liability of almost </w:t>
      </w:r>
      <w:r w:rsidR="0082207B">
        <w:rPr>
          <w:noProof/>
        </w:rPr>
        <w:br/>
        <w:t xml:space="preserve">EUR </w:t>
      </w:r>
      <w:r w:rsidRPr="00E569DE">
        <w:rPr>
          <w:noProof/>
        </w:rPr>
        <w:t xml:space="preserve">14 billion </w:t>
      </w:r>
      <w:r w:rsidR="0082207B">
        <w:rPr>
          <w:noProof/>
        </w:rPr>
        <w:t>(</w:t>
      </w:r>
      <w:r w:rsidRPr="00E569DE">
        <w:rPr>
          <w:noProof/>
        </w:rPr>
        <w:t>+14.5%)</w:t>
      </w:r>
      <w:r w:rsidR="005B0788" w:rsidRPr="00E569DE">
        <w:rPr>
          <w:noProof/>
        </w:rPr>
        <w:t xml:space="preserve"> to </w:t>
      </w:r>
      <w:r w:rsidR="0082207B" w:rsidRPr="00E569DE">
        <w:rPr>
          <w:noProof/>
        </w:rPr>
        <w:t>EUR</w:t>
      </w:r>
      <w:r w:rsidR="0082207B">
        <w:rPr>
          <w:noProof/>
        </w:rPr>
        <w:t xml:space="preserve"> </w:t>
      </w:r>
      <w:r w:rsidR="005B0788" w:rsidRPr="00E569DE">
        <w:rPr>
          <w:noProof/>
        </w:rPr>
        <w:t>126 billion</w:t>
      </w:r>
      <w:r w:rsidR="0082207B" w:rsidRPr="00E569DE">
        <w:rPr>
          <w:rStyle w:val="FootnoteReference"/>
          <w:noProof/>
        </w:rPr>
        <w:footnoteReference w:id="31"/>
      </w:r>
      <w:r w:rsidR="0082207B">
        <w:rPr>
          <w:noProof/>
        </w:rPr>
        <w:t>.</w:t>
      </w:r>
      <w:r w:rsidR="005B0788" w:rsidRPr="00E569DE">
        <w:rPr>
          <w:noProof/>
        </w:rPr>
        <w:t xml:space="preserve"> </w:t>
      </w:r>
    </w:p>
    <w:p w14:paraId="47CD15C7" w14:textId="77777777" w:rsidR="00F83187" w:rsidRPr="00E569DE" w:rsidRDefault="00D77361" w:rsidP="00F57398">
      <w:pPr>
        <w:pStyle w:val="Text2"/>
        <w:ind w:left="0"/>
        <w:rPr>
          <w:noProof/>
        </w:rPr>
      </w:pPr>
      <w:r w:rsidRPr="00E569DE">
        <w:rPr>
          <w:noProof/>
        </w:rPr>
        <w:t xml:space="preserve">The figure for pension and other post-employment liabilities presented on the EU balance sheet has clear accounting purposes. However, </w:t>
      </w:r>
      <w:r w:rsidR="00F83187" w:rsidRPr="00E569DE">
        <w:rPr>
          <w:noProof/>
        </w:rPr>
        <w:t xml:space="preserve">it is a very volatile figure subject to market conditions and macroeconomic fluctuations. Therefore, </w:t>
      </w:r>
      <w:r w:rsidRPr="00E569DE">
        <w:rPr>
          <w:noProof/>
        </w:rPr>
        <w:t xml:space="preserve">it has limited value in terms of assessing the real budgetary implications of PSEO. </w:t>
      </w:r>
    </w:p>
    <w:p w14:paraId="21C93BD3" w14:textId="48FE3BE2" w:rsidR="00B222CA" w:rsidRPr="00E569DE" w:rsidRDefault="00B222CA" w:rsidP="00F57398">
      <w:pPr>
        <w:pStyle w:val="Text2"/>
        <w:ind w:left="0"/>
        <w:rPr>
          <w:noProof/>
        </w:rPr>
      </w:pPr>
      <w:r w:rsidRPr="00E569DE">
        <w:rPr>
          <w:noProof/>
        </w:rPr>
        <w:t xml:space="preserve">The above conclusion is further illustrated with the following two </w:t>
      </w:r>
      <w:r w:rsidR="00AD15A9">
        <w:rPr>
          <w:noProof/>
        </w:rPr>
        <w:t>considerations</w:t>
      </w:r>
      <w:r w:rsidRPr="00E569DE">
        <w:rPr>
          <w:noProof/>
        </w:rPr>
        <w:t>:</w:t>
      </w:r>
    </w:p>
    <w:p w14:paraId="4008E0E6" w14:textId="77777777" w:rsidR="00F57398" w:rsidRPr="00E569DE" w:rsidRDefault="00D77361" w:rsidP="00F57398">
      <w:pPr>
        <w:pStyle w:val="Text2"/>
        <w:ind w:left="0"/>
        <w:rPr>
          <w:noProof/>
        </w:rPr>
      </w:pPr>
      <w:r w:rsidRPr="00E569DE">
        <w:rPr>
          <w:noProof/>
        </w:rPr>
        <w:t>First, i</w:t>
      </w:r>
      <w:r w:rsidR="00F57398" w:rsidRPr="00E569DE">
        <w:rPr>
          <w:noProof/>
        </w:rPr>
        <w:t xml:space="preserve">t should be noted that while the rate of interest significantly impacts the current value of the EU’s future pension obligations as presented on the balance sheet at a particular point in time, it does not change the amount of pensions that will have to be actually paid – it only reflects the current value of those amounts at a particular moment in time. </w:t>
      </w:r>
    </w:p>
    <w:p w14:paraId="2FA8A9D4" w14:textId="403C545D" w:rsidR="00F57398" w:rsidRPr="00E569DE" w:rsidRDefault="00D77361" w:rsidP="00F57398">
      <w:pPr>
        <w:pStyle w:val="Text2"/>
        <w:ind w:left="0"/>
        <w:rPr>
          <w:noProof/>
        </w:rPr>
      </w:pPr>
      <w:r w:rsidRPr="00E569DE">
        <w:rPr>
          <w:noProof/>
        </w:rPr>
        <w:t>Second, an estimation of the same liability calculated by u</w:t>
      </w:r>
      <w:r w:rsidR="00F57398" w:rsidRPr="00E569DE">
        <w:rPr>
          <w:noProof/>
        </w:rPr>
        <w:t xml:space="preserve">sing the interest rate applicable for the calculation of the PCR </w:t>
      </w:r>
      <w:r w:rsidR="00F83187" w:rsidRPr="00E569DE">
        <w:rPr>
          <w:noProof/>
        </w:rPr>
        <w:t xml:space="preserve">under the Staff Regulations </w:t>
      </w:r>
      <w:r w:rsidR="00F57398" w:rsidRPr="00E569DE">
        <w:rPr>
          <w:noProof/>
        </w:rPr>
        <w:t xml:space="preserve">would reduce </w:t>
      </w:r>
      <w:r w:rsidRPr="00E569DE">
        <w:rPr>
          <w:noProof/>
        </w:rPr>
        <w:t xml:space="preserve">drastically the amount and the </w:t>
      </w:r>
      <w:r w:rsidR="00F57398" w:rsidRPr="00E569DE">
        <w:rPr>
          <w:noProof/>
        </w:rPr>
        <w:t>volatility</w:t>
      </w:r>
      <w:r w:rsidR="00F83187" w:rsidRPr="00E569DE">
        <w:rPr>
          <w:noProof/>
        </w:rPr>
        <w:t xml:space="preserve"> of the liability</w:t>
      </w:r>
      <w:r w:rsidR="00D01023">
        <w:rPr>
          <w:noProof/>
        </w:rPr>
        <w:t xml:space="preserve"> as calculated according to IPSAS 39 standards</w:t>
      </w:r>
      <w:r w:rsidR="00F57398" w:rsidRPr="00E569DE">
        <w:rPr>
          <w:noProof/>
        </w:rPr>
        <w:t xml:space="preserve">. </w:t>
      </w:r>
      <w:r w:rsidR="00F83187" w:rsidRPr="00E569DE">
        <w:rPr>
          <w:noProof/>
        </w:rPr>
        <w:t>For example, by applying the</w:t>
      </w:r>
      <w:r w:rsidR="00F57398" w:rsidRPr="00E569DE">
        <w:rPr>
          <w:noProof/>
        </w:rPr>
        <w:t xml:space="preserve"> interest rate</w:t>
      </w:r>
      <w:r w:rsidR="00F83187" w:rsidRPr="00E569DE">
        <w:rPr>
          <w:noProof/>
        </w:rPr>
        <w:t xml:space="preserve"> used for the calculation of the PCR</w:t>
      </w:r>
      <w:r w:rsidR="00405463">
        <w:rPr>
          <w:noProof/>
        </w:rPr>
        <w:t xml:space="preserve"> </w:t>
      </w:r>
      <w:r w:rsidR="00F57398" w:rsidRPr="00E569DE">
        <w:rPr>
          <w:noProof/>
        </w:rPr>
        <w:t>(+2.7% in 2021)</w:t>
      </w:r>
      <w:r w:rsidR="00F83187" w:rsidRPr="00E569DE">
        <w:rPr>
          <w:noProof/>
        </w:rPr>
        <w:t>, which</w:t>
      </w:r>
      <w:r w:rsidR="00F57398" w:rsidRPr="00E569DE">
        <w:rPr>
          <w:noProof/>
        </w:rPr>
        <w:t xml:space="preserve"> is calculate</w:t>
      </w:r>
      <w:r w:rsidR="00F83187" w:rsidRPr="00E569DE">
        <w:rPr>
          <w:noProof/>
        </w:rPr>
        <w:t xml:space="preserve">d </w:t>
      </w:r>
      <w:r w:rsidR="00F57398" w:rsidRPr="00E569DE">
        <w:rPr>
          <w:noProof/>
        </w:rPr>
        <w:t>in line with the Staff Regulations</w:t>
      </w:r>
      <w:r w:rsidR="00F57398" w:rsidRPr="00E569DE">
        <w:rPr>
          <w:rStyle w:val="FootnoteReference"/>
          <w:noProof/>
        </w:rPr>
        <w:footnoteReference w:id="32"/>
      </w:r>
      <w:r w:rsidR="00F57398" w:rsidRPr="00E569DE">
        <w:rPr>
          <w:noProof/>
        </w:rPr>
        <w:t xml:space="preserve"> and along the best actuarial standards</w:t>
      </w:r>
      <w:r w:rsidR="00F83187" w:rsidRPr="00E569DE">
        <w:rPr>
          <w:noProof/>
        </w:rPr>
        <w:t xml:space="preserve"> </w:t>
      </w:r>
      <w:r w:rsidR="00F57398" w:rsidRPr="00E569DE">
        <w:rPr>
          <w:noProof/>
        </w:rPr>
        <w:t>on a long term moving average over 30 years of interest rates of long term public debt of Member States</w:t>
      </w:r>
      <w:r w:rsidR="00F83187" w:rsidRPr="00E569DE">
        <w:rPr>
          <w:noProof/>
        </w:rPr>
        <w:t>, t</w:t>
      </w:r>
      <w:r w:rsidR="00F57398" w:rsidRPr="00E569DE">
        <w:rPr>
          <w:noProof/>
        </w:rPr>
        <w:t xml:space="preserve">he hypothetical value of the pension liability with the actuarial assumptions of the pension assessment would </w:t>
      </w:r>
      <w:r w:rsidR="00F83187" w:rsidRPr="00E569DE">
        <w:rPr>
          <w:noProof/>
        </w:rPr>
        <w:t>decrease</w:t>
      </w:r>
      <w:r w:rsidR="00F57398" w:rsidRPr="00E569DE">
        <w:rPr>
          <w:noProof/>
        </w:rPr>
        <w:t xml:space="preserve"> from EUR 126 billion to EUR 62.6 billion, a reduction of more than a half (Annex 1</w:t>
      </w:r>
      <w:r w:rsidR="001708E5" w:rsidRPr="00E569DE">
        <w:rPr>
          <w:noProof/>
        </w:rPr>
        <w:t>6</w:t>
      </w:r>
      <w:r w:rsidR="00F57398" w:rsidRPr="00E569DE">
        <w:rPr>
          <w:noProof/>
        </w:rPr>
        <w:t>).</w:t>
      </w:r>
    </w:p>
    <w:p w14:paraId="7487EE6C" w14:textId="77777777" w:rsidR="00B45232" w:rsidRDefault="004A05AA" w:rsidP="00170470">
      <w:pPr>
        <w:pStyle w:val="Heading1"/>
        <w:numPr>
          <w:ilvl w:val="0"/>
          <w:numId w:val="1"/>
        </w:numPr>
        <w:spacing w:after="120"/>
        <w:rPr>
          <w:rStyle w:val="Heading1Char"/>
          <w:rFonts w:ascii="Times New Roman Bold" w:hAnsi="Times New Roman Bold"/>
          <w:b/>
          <w:smallCaps/>
          <w:noProof/>
        </w:rPr>
      </w:pPr>
      <w:r w:rsidRPr="00E46B93">
        <w:rPr>
          <w:rStyle w:val="Heading1Char"/>
          <w:rFonts w:ascii="Times New Roman Bold" w:hAnsi="Times New Roman Bold"/>
          <w:smallCaps/>
          <w:noProof/>
        </w:rPr>
        <w:t xml:space="preserve">The </w:t>
      </w:r>
      <w:r w:rsidR="00A41D09">
        <w:rPr>
          <w:rStyle w:val="Heading1Char"/>
          <w:rFonts w:ascii="Times New Roman Bold" w:hAnsi="Times New Roman Bold"/>
          <w:smallCaps/>
          <w:noProof/>
        </w:rPr>
        <w:t xml:space="preserve">2004 and 2014 </w:t>
      </w:r>
      <w:r w:rsidRPr="00E46B93">
        <w:rPr>
          <w:rStyle w:val="Heading1Char"/>
          <w:rFonts w:ascii="Times New Roman Bold" w:hAnsi="Times New Roman Bold"/>
          <w:smallCaps/>
          <w:noProof/>
        </w:rPr>
        <w:t xml:space="preserve">reforms of the Staff Regulations </w:t>
      </w:r>
      <w:r w:rsidR="0001147A">
        <w:rPr>
          <w:rStyle w:val="Heading1Char"/>
          <w:rFonts w:ascii="Times New Roman Bold" w:hAnsi="Times New Roman Bold"/>
          <w:smallCaps/>
          <w:noProof/>
        </w:rPr>
        <w:t>and their effects</w:t>
      </w:r>
    </w:p>
    <w:p w14:paraId="1DD29F38" w14:textId="77777777" w:rsidR="001A53E3" w:rsidRDefault="00B45232" w:rsidP="00170470">
      <w:pPr>
        <w:pStyle w:val="Heading1"/>
        <w:numPr>
          <w:ilvl w:val="1"/>
          <w:numId w:val="1"/>
        </w:numPr>
        <w:spacing w:after="120"/>
        <w:rPr>
          <w:rStyle w:val="Heading1Char"/>
          <w:rFonts w:ascii="Times New Roman Bold" w:hAnsi="Times New Roman Bold"/>
          <w:b/>
          <w:smallCaps/>
          <w:noProof/>
        </w:rPr>
      </w:pPr>
      <w:r>
        <w:rPr>
          <w:rStyle w:val="Heading1Char"/>
          <w:rFonts w:ascii="Times New Roman Bold" w:hAnsi="Times New Roman Bold"/>
          <w:smallCaps/>
          <w:noProof/>
        </w:rPr>
        <w:t>The 2004</w:t>
      </w:r>
      <w:r w:rsidR="00A41D81">
        <w:rPr>
          <w:rStyle w:val="Heading1Char"/>
          <w:rFonts w:ascii="Times New Roman Bold" w:hAnsi="Times New Roman Bold"/>
          <w:smallCaps/>
          <w:noProof/>
        </w:rPr>
        <w:t xml:space="preserve"> and 2014</w:t>
      </w:r>
      <w:r>
        <w:rPr>
          <w:rStyle w:val="Heading1Char"/>
          <w:rFonts w:ascii="Times New Roman Bold" w:hAnsi="Times New Roman Bold"/>
          <w:smallCaps/>
          <w:noProof/>
        </w:rPr>
        <w:t xml:space="preserve"> reform</w:t>
      </w:r>
      <w:r w:rsidR="00A41D81">
        <w:rPr>
          <w:rStyle w:val="Heading1Char"/>
          <w:rFonts w:ascii="Times New Roman Bold" w:hAnsi="Times New Roman Bold"/>
          <w:smallCaps/>
          <w:noProof/>
        </w:rPr>
        <w:t>s</w:t>
      </w:r>
      <w:r>
        <w:rPr>
          <w:rStyle w:val="Heading1Char"/>
          <w:rFonts w:ascii="Times New Roman Bold" w:hAnsi="Times New Roman Bold"/>
          <w:smallCaps/>
          <w:noProof/>
        </w:rPr>
        <w:t xml:space="preserve"> of the Staff Regulations </w:t>
      </w:r>
    </w:p>
    <w:p w14:paraId="27E696A3" w14:textId="2AA3365B" w:rsidR="00E740E7" w:rsidRDefault="00445606"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 xml:space="preserve">With the </w:t>
      </w:r>
      <w:r w:rsidR="001A53E3">
        <w:rPr>
          <w:rFonts w:ascii="Times New Roman" w:hAnsi="Times New Roman" w:cs="Times New Roman"/>
          <w:noProof/>
          <w:sz w:val="24"/>
        </w:rPr>
        <w:t>2004</w:t>
      </w:r>
      <w:r>
        <w:rPr>
          <w:rFonts w:ascii="Times New Roman" w:hAnsi="Times New Roman" w:cs="Times New Roman"/>
          <w:noProof/>
          <w:sz w:val="24"/>
        </w:rPr>
        <w:t xml:space="preserve"> reform of the Staff Regulations</w:t>
      </w:r>
      <w:r w:rsidR="001A53E3">
        <w:rPr>
          <w:rFonts w:ascii="Times New Roman" w:hAnsi="Times New Roman" w:cs="Times New Roman"/>
          <w:noProof/>
          <w:sz w:val="24"/>
        </w:rPr>
        <w:t xml:space="preserve">, the co-legislator decided to make significant structural changes to </w:t>
      </w:r>
      <w:r w:rsidR="007E350C">
        <w:rPr>
          <w:rFonts w:ascii="Times New Roman" w:hAnsi="Times New Roman" w:cs="Times New Roman"/>
          <w:noProof/>
          <w:sz w:val="24"/>
        </w:rPr>
        <w:t>statutory</w:t>
      </w:r>
      <w:r w:rsidR="001A53E3">
        <w:rPr>
          <w:rFonts w:ascii="Times New Roman" w:hAnsi="Times New Roman" w:cs="Times New Roman"/>
          <w:noProof/>
          <w:sz w:val="24"/>
        </w:rPr>
        <w:t xml:space="preserve"> r</w:t>
      </w:r>
      <w:r w:rsidR="00897D5B">
        <w:rPr>
          <w:rFonts w:ascii="Times New Roman" w:hAnsi="Times New Roman" w:cs="Times New Roman"/>
          <w:noProof/>
          <w:sz w:val="24"/>
        </w:rPr>
        <w:t xml:space="preserve">ules </w:t>
      </w:r>
      <w:r w:rsidR="007E350C">
        <w:rPr>
          <w:rFonts w:ascii="Times New Roman" w:hAnsi="Times New Roman" w:cs="Times New Roman"/>
          <w:noProof/>
          <w:sz w:val="24"/>
        </w:rPr>
        <w:t>affecting directly pension entitlements</w:t>
      </w:r>
      <w:r w:rsidR="00897D5B">
        <w:rPr>
          <w:rFonts w:ascii="Times New Roman" w:hAnsi="Times New Roman" w:cs="Times New Roman"/>
          <w:noProof/>
          <w:sz w:val="24"/>
        </w:rPr>
        <w:t>. In particular</w:t>
      </w:r>
      <w:r w:rsidR="00E740E7">
        <w:rPr>
          <w:rFonts w:ascii="Times New Roman" w:hAnsi="Times New Roman" w:cs="Times New Roman"/>
          <w:noProof/>
          <w:sz w:val="24"/>
        </w:rPr>
        <w:t>, this involved:</w:t>
      </w:r>
    </w:p>
    <w:p w14:paraId="77887204" w14:textId="213A6945" w:rsidR="00E740E7" w:rsidRDefault="00E740E7" w:rsidP="001A515A">
      <w:pPr>
        <w:pStyle w:val="ListParagraph"/>
        <w:numPr>
          <w:ilvl w:val="0"/>
          <w:numId w:val="29"/>
        </w:numPr>
        <w:spacing w:after="120" w:line="240" w:lineRule="auto"/>
        <w:jc w:val="both"/>
        <w:rPr>
          <w:rFonts w:ascii="Times New Roman" w:hAnsi="Times New Roman" w:cs="Times New Roman"/>
          <w:noProof/>
          <w:sz w:val="24"/>
        </w:rPr>
      </w:pPr>
      <w:r>
        <w:rPr>
          <w:rFonts w:ascii="Times New Roman" w:hAnsi="Times New Roman" w:cs="Times New Roman"/>
          <w:noProof/>
          <w:sz w:val="24"/>
        </w:rPr>
        <w:t>increased</w:t>
      </w:r>
      <w:r w:rsidR="00897D5B" w:rsidRPr="001A515A">
        <w:rPr>
          <w:rFonts w:ascii="Times New Roman" w:hAnsi="Times New Roman" w:cs="Times New Roman"/>
          <w:noProof/>
          <w:sz w:val="24"/>
        </w:rPr>
        <w:t xml:space="preserve"> pensionable age from 60 to </w:t>
      </w:r>
      <w:r w:rsidR="0071534E" w:rsidRPr="001A515A">
        <w:rPr>
          <w:rFonts w:ascii="Times New Roman" w:hAnsi="Times New Roman" w:cs="Times New Roman"/>
          <w:noProof/>
          <w:sz w:val="24"/>
        </w:rPr>
        <w:t xml:space="preserve">63 years, </w:t>
      </w:r>
    </w:p>
    <w:p w14:paraId="58FED92B" w14:textId="36973197" w:rsidR="00E740E7" w:rsidRDefault="0071534E" w:rsidP="001A515A">
      <w:pPr>
        <w:pStyle w:val="ListParagraph"/>
        <w:numPr>
          <w:ilvl w:val="0"/>
          <w:numId w:val="29"/>
        </w:numPr>
        <w:spacing w:after="120" w:line="240" w:lineRule="auto"/>
        <w:jc w:val="both"/>
        <w:rPr>
          <w:rFonts w:ascii="Times New Roman" w:hAnsi="Times New Roman" w:cs="Times New Roman"/>
          <w:noProof/>
          <w:sz w:val="24"/>
        </w:rPr>
      </w:pPr>
      <w:r w:rsidRPr="001A515A">
        <w:rPr>
          <w:rFonts w:ascii="Times New Roman" w:hAnsi="Times New Roman" w:cs="Times New Roman"/>
          <w:noProof/>
          <w:sz w:val="24"/>
        </w:rPr>
        <w:t>lower entry salary levels</w:t>
      </w:r>
      <w:r w:rsidR="00E740E7" w:rsidRPr="001A515A">
        <w:rPr>
          <w:rFonts w:ascii="Times New Roman" w:hAnsi="Times New Roman" w:cs="Times New Roman"/>
          <w:noProof/>
          <w:sz w:val="24"/>
        </w:rPr>
        <w:t xml:space="preserve"> – </w:t>
      </w:r>
      <w:r w:rsidR="003C6600" w:rsidRPr="001A515A">
        <w:rPr>
          <w:rFonts w:ascii="Times New Roman" w:hAnsi="Times New Roman" w:cs="Times New Roman"/>
          <w:noProof/>
          <w:sz w:val="24"/>
        </w:rPr>
        <w:t>in</w:t>
      </w:r>
      <w:r w:rsidR="00E740E7" w:rsidRPr="001A515A">
        <w:rPr>
          <w:rFonts w:ascii="Times New Roman" w:hAnsi="Times New Roman" w:cs="Times New Roman"/>
          <w:noProof/>
          <w:sz w:val="24"/>
        </w:rPr>
        <w:t xml:space="preserve"> </w:t>
      </w:r>
      <w:r w:rsidR="003C6600" w:rsidRPr="001A515A">
        <w:rPr>
          <w:rFonts w:ascii="Times New Roman" w:hAnsi="Times New Roman" w:cs="Times New Roman"/>
          <w:noProof/>
          <w:sz w:val="24"/>
        </w:rPr>
        <w:t>particular for administrators</w:t>
      </w:r>
      <w:r w:rsidR="00E740E7">
        <w:rPr>
          <w:rFonts w:ascii="Times New Roman" w:hAnsi="Times New Roman" w:cs="Times New Roman"/>
          <w:noProof/>
          <w:sz w:val="24"/>
        </w:rPr>
        <w:t xml:space="preserve">, </w:t>
      </w:r>
    </w:p>
    <w:p w14:paraId="25F71847" w14:textId="15D621E5" w:rsidR="00E740E7" w:rsidRDefault="0071534E" w:rsidP="001A515A">
      <w:pPr>
        <w:pStyle w:val="ListParagraph"/>
        <w:numPr>
          <w:ilvl w:val="0"/>
          <w:numId w:val="29"/>
        </w:numPr>
        <w:spacing w:after="120" w:line="240" w:lineRule="auto"/>
        <w:jc w:val="both"/>
        <w:rPr>
          <w:rFonts w:ascii="Times New Roman" w:hAnsi="Times New Roman" w:cs="Times New Roman"/>
          <w:noProof/>
          <w:sz w:val="24"/>
        </w:rPr>
      </w:pPr>
      <w:r w:rsidRPr="001A515A">
        <w:rPr>
          <w:rFonts w:ascii="Times New Roman" w:hAnsi="Times New Roman" w:cs="Times New Roman"/>
          <w:noProof/>
          <w:sz w:val="24"/>
        </w:rPr>
        <w:t xml:space="preserve">lower </w:t>
      </w:r>
      <w:r w:rsidR="00445606" w:rsidRPr="001A515A">
        <w:rPr>
          <w:rFonts w:ascii="Times New Roman" w:hAnsi="Times New Roman" w:cs="Times New Roman"/>
          <w:noProof/>
          <w:sz w:val="24"/>
        </w:rPr>
        <w:t xml:space="preserve">yearly pension </w:t>
      </w:r>
      <w:r w:rsidRPr="001A515A">
        <w:rPr>
          <w:rFonts w:ascii="Times New Roman" w:hAnsi="Times New Roman" w:cs="Times New Roman"/>
          <w:noProof/>
          <w:sz w:val="24"/>
        </w:rPr>
        <w:t>accrual rate</w:t>
      </w:r>
      <w:r w:rsidR="007E350C" w:rsidRPr="001A515A">
        <w:rPr>
          <w:rFonts w:ascii="Times New Roman" w:hAnsi="Times New Roman" w:cs="Times New Roman"/>
          <w:noProof/>
          <w:sz w:val="24"/>
        </w:rPr>
        <w:t xml:space="preserve"> (1.9%)</w:t>
      </w:r>
      <w:r w:rsidR="00E740E7">
        <w:rPr>
          <w:rFonts w:ascii="Times New Roman" w:hAnsi="Times New Roman" w:cs="Times New Roman"/>
          <w:noProof/>
          <w:sz w:val="24"/>
        </w:rPr>
        <w:t>,</w:t>
      </w:r>
    </w:p>
    <w:p w14:paraId="1757475C" w14:textId="08D0BBDA" w:rsidR="00E740E7" w:rsidRDefault="008F1277" w:rsidP="001A515A">
      <w:pPr>
        <w:pStyle w:val="ListParagraph"/>
        <w:numPr>
          <w:ilvl w:val="0"/>
          <w:numId w:val="29"/>
        </w:numPr>
        <w:spacing w:after="120" w:line="240" w:lineRule="auto"/>
        <w:jc w:val="both"/>
        <w:rPr>
          <w:rFonts w:ascii="Times New Roman" w:hAnsi="Times New Roman" w:cs="Times New Roman"/>
          <w:noProof/>
          <w:sz w:val="24"/>
        </w:rPr>
      </w:pPr>
      <w:r>
        <w:rPr>
          <w:rFonts w:ascii="Times New Roman" w:hAnsi="Times New Roman" w:cs="Times New Roman"/>
          <w:noProof/>
          <w:sz w:val="24"/>
        </w:rPr>
        <w:t xml:space="preserve">a new staff </w:t>
      </w:r>
      <w:r w:rsidRPr="001A515A">
        <w:rPr>
          <w:rFonts w:ascii="Times New Roman" w:hAnsi="Times New Roman" w:cs="Times New Roman"/>
          <w:noProof/>
          <w:sz w:val="24"/>
        </w:rPr>
        <w:t xml:space="preserve">category </w:t>
      </w:r>
      <w:r>
        <w:rPr>
          <w:rFonts w:ascii="Times New Roman" w:hAnsi="Times New Roman" w:cs="Times New Roman"/>
          <w:noProof/>
          <w:sz w:val="24"/>
        </w:rPr>
        <w:t xml:space="preserve">with a </w:t>
      </w:r>
      <w:r w:rsidRPr="001A515A">
        <w:rPr>
          <w:rFonts w:ascii="Times New Roman" w:hAnsi="Times New Roman" w:cs="Times New Roman"/>
          <w:noProof/>
          <w:sz w:val="24"/>
        </w:rPr>
        <w:t>lower salary scale</w:t>
      </w:r>
      <w:r w:rsidR="007E350C" w:rsidRPr="001A515A">
        <w:rPr>
          <w:rFonts w:ascii="Times New Roman" w:hAnsi="Times New Roman" w:cs="Times New Roman"/>
          <w:noProof/>
          <w:sz w:val="24"/>
        </w:rPr>
        <w:t xml:space="preserve"> </w:t>
      </w:r>
      <w:r w:rsidR="00E740E7">
        <w:rPr>
          <w:rFonts w:ascii="Times New Roman" w:hAnsi="Times New Roman" w:cs="Times New Roman"/>
          <w:noProof/>
          <w:sz w:val="24"/>
        </w:rPr>
        <w:t>(</w:t>
      </w:r>
      <w:r w:rsidR="007E350C" w:rsidRPr="001A515A">
        <w:rPr>
          <w:rFonts w:ascii="Times New Roman" w:hAnsi="Times New Roman" w:cs="Times New Roman"/>
          <w:noProof/>
          <w:sz w:val="24"/>
        </w:rPr>
        <w:t>contract agents</w:t>
      </w:r>
      <w:r w:rsidR="00E740E7">
        <w:rPr>
          <w:rFonts w:ascii="Times New Roman" w:hAnsi="Times New Roman" w:cs="Times New Roman"/>
          <w:noProof/>
          <w:sz w:val="24"/>
        </w:rPr>
        <w:t>),</w:t>
      </w:r>
    </w:p>
    <w:p w14:paraId="3432F618" w14:textId="06F75432" w:rsidR="001A53E3" w:rsidRPr="001A515A" w:rsidRDefault="00E740E7" w:rsidP="001A515A">
      <w:pPr>
        <w:pStyle w:val="ListParagraph"/>
        <w:numPr>
          <w:ilvl w:val="0"/>
          <w:numId w:val="29"/>
        </w:numPr>
        <w:spacing w:after="120" w:line="240" w:lineRule="auto"/>
        <w:jc w:val="both"/>
        <w:rPr>
          <w:rFonts w:ascii="Times New Roman" w:hAnsi="Times New Roman" w:cs="Times New Roman"/>
          <w:noProof/>
          <w:sz w:val="24"/>
        </w:rPr>
      </w:pPr>
      <w:r>
        <w:rPr>
          <w:rFonts w:ascii="Times New Roman" w:hAnsi="Times New Roman" w:cs="Times New Roman"/>
          <w:noProof/>
          <w:sz w:val="24"/>
        </w:rPr>
        <w:t xml:space="preserve">phasing out of </w:t>
      </w:r>
      <w:r w:rsidR="007E350C" w:rsidRPr="001A515A">
        <w:rPr>
          <w:rFonts w:ascii="Times New Roman" w:hAnsi="Times New Roman" w:cs="Times New Roman"/>
          <w:noProof/>
          <w:sz w:val="24"/>
        </w:rPr>
        <w:t xml:space="preserve">correction coefficients applicable to pensions. </w:t>
      </w:r>
    </w:p>
    <w:p w14:paraId="08E9BE7F" w14:textId="31AD1140" w:rsidR="00E740E7" w:rsidRDefault="00445606" w:rsidP="001A53E3">
      <w:pPr>
        <w:jc w:val="both"/>
        <w:rPr>
          <w:rFonts w:ascii="Times New Roman" w:hAnsi="Times New Roman" w:cs="Times New Roman"/>
          <w:noProof/>
          <w:sz w:val="24"/>
        </w:rPr>
      </w:pPr>
      <w:r>
        <w:rPr>
          <w:rFonts w:ascii="Times New Roman" w:hAnsi="Times New Roman" w:cs="Times New Roman"/>
          <w:noProof/>
          <w:sz w:val="24"/>
        </w:rPr>
        <w:t xml:space="preserve">With the </w:t>
      </w:r>
      <w:r w:rsidR="001A53E3">
        <w:rPr>
          <w:rFonts w:ascii="Times New Roman" w:hAnsi="Times New Roman" w:cs="Times New Roman"/>
          <w:noProof/>
          <w:sz w:val="24"/>
        </w:rPr>
        <w:t>2014</w:t>
      </w:r>
      <w:r>
        <w:rPr>
          <w:rFonts w:ascii="Times New Roman" w:hAnsi="Times New Roman" w:cs="Times New Roman"/>
          <w:noProof/>
          <w:sz w:val="24"/>
        </w:rPr>
        <w:t xml:space="preserve"> reform of the Staff Regulations</w:t>
      </w:r>
      <w:r w:rsidR="001A53E3">
        <w:rPr>
          <w:rFonts w:ascii="Times New Roman" w:hAnsi="Times New Roman" w:cs="Times New Roman"/>
          <w:noProof/>
          <w:sz w:val="24"/>
        </w:rPr>
        <w:t xml:space="preserve">, the co-legislator decided to introduce additional changes affecting significantly pension entitlements of the staff members recruited after 2014. </w:t>
      </w:r>
      <w:r w:rsidR="00E740E7">
        <w:rPr>
          <w:rFonts w:ascii="Times New Roman" w:hAnsi="Times New Roman" w:cs="Times New Roman"/>
          <w:noProof/>
          <w:sz w:val="24"/>
        </w:rPr>
        <w:t>This involved in particular:</w:t>
      </w:r>
    </w:p>
    <w:p w14:paraId="32C3B271" w14:textId="2FC3A7EF" w:rsidR="00E740E7" w:rsidRDefault="00E740E7" w:rsidP="001A515A">
      <w:pPr>
        <w:pStyle w:val="ListParagraph"/>
        <w:numPr>
          <w:ilvl w:val="0"/>
          <w:numId w:val="29"/>
        </w:numPr>
        <w:jc w:val="both"/>
        <w:rPr>
          <w:rFonts w:ascii="Times New Roman" w:hAnsi="Times New Roman" w:cs="Times New Roman"/>
          <w:noProof/>
          <w:sz w:val="24"/>
        </w:rPr>
      </w:pPr>
      <w:r>
        <w:rPr>
          <w:rFonts w:ascii="Times New Roman" w:hAnsi="Times New Roman" w:cs="Times New Roman"/>
          <w:noProof/>
          <w:sz w:val="24"/>
        </w:rPr>
        <w:t xml:space="preserve">increased </w:t>
      </w:r>
      <w:r w:rsidR="007E350C" w:rsidRPr="001A515A">
        <w:rPr>
          <w:rFonts w:ascii="Times New Roman" w:hAnsi="Times New Roman" w:cs="Times New Roman"/>
          <w:noProof/>
          <w:sz w:val="24"/>
        </w:rPr>
        <w:t xml:space="preserve">pensionable age to </w:t>
      </w:r>
      <w:r w:rsidR="001A53E3" w:rsidRPr="001A515A">
        <w:rPr>
          <w:rFonts w:ascii="Times New Roman" w:hAnsi="Times New Roman" w:cs="Times New Roman"/>
          <w:noProof/>
          <w:sz w:val="24"/>
        </w:rPr>
        <w:t>66 years</w:t>
      </w:r>
      <w:r w:rsidR="007E350C" w:rsidRPr="001A515A">
        <w:rPr>
          <w:rFonts w:ascii="Times New Roman" w:hAnsi="Times New Roman" w:cs="Times New Roman"/>
          <w:noProof/>
          <w:sz w:val="24"/>
        </w:rPr>
        <w:t xml:space="preserve">, </w:t>
      </w:r>
    </w:p>
    <w:p w14:paraId="38D961E2" w14:textId="696866D4" w:rsidR="00E740E7" w:rsidRDefault="00E740E7" w:rsidP="001A515A">
      <w:pPr>
        <w:pStyle w:val="ListParagraph"/>
        <w:numPr>
          <w:ilvl w:val="0"/>
          <w:numId w:val="29"/>
        </w:numPr>
        <w:jc w:val="both"/>
        <w:rPr>
          <w:rFonts w:ascii="Times New Roman" w:hAnsi="Times New Roman" w:cs="Times New Roman"/>
          <w:noProof/>
          <w:sz w:val="24"/>
        </w:rPr>
      </w:pPr>
      <w:r>
        <w:rPr>
          <w:rFonts w:ascii="Times New Roman" w:hAnsi="Times New Roman" w:cs="Times New Roman"/>
          <w:noProof/>
          <w:sz w:val="24"/>
        </w:rPr>
        <w:t>lower yearly pension accrual rate (</w:t>
      </w:r>
      <w:r w:rsidR="007E350C" w:rsidRPr="001A515A">
        <w:rPr>
          <w:rFonts w:ascii="Times New Roman" w:hAnsi="Times New Roman" w:cs="Times New Roman"/>
          <w:noProof/>
          <w:sz w:val="24"/>
        </w:rPr>
        <w:t>1.8%</w:t>
      </w:r>
      <w:r>
        <w:rPr>
          <w:rFonts w:ascii="Times New Roman" w:hAnsi="Times New Roman" w:cs="Times New Roman"/>
          <w:noProof/>
          <w:sz w:val="24"/>
        </w:rPr>
        <w:t>),</w:t>
      </w:r>
      <w:r w:rsidR="007E350C" w:rsidRPr="001A515A">
        <w:rPr>
          <w:rFonts w:ascii="Times New Roman" w:hAnsi="Times New Roman" w:cs="Times New Roman"/>
          <w:noProof/>
          <w:sz w:val="24"/>
        </w:rPr>
        <w:t xml:space="preserve"> </w:t>
      </w:r>
    </w:p>
    <w:p w14:paraId="70DFCD52" w14:textId="71B8A34B" w:rsidR="00E740E7" w:rsidRDefault="00E740E7" w:rsidP="001A515A">
      <w:pPr>
        <w:pStyle w:val="ListParagraph"/>
        <w:numPr>
          <w:ilvl w:val="0"/>
          <w:numId w:val="29"/>
        </w:numPr>
        <w:jc w:val="both"/>
        <w:rPr>
          <w:rFonts w:ascii="Times New Roman" w:hAnsi="Times New Roman" w:cs="Times New Roman"/>
          <w:noProof/>
          <w:sz w:val="24"/>
        </w:rPr>
      </w:pPr>
      <w:r>
        <w:rPr>
          <w:rFonts w:ascii="Times New Roman" w:hAnsi="Times New Roman" w:cs="Times New Roman"/>
          <w:noProof/>
          <w:sz w:val="24"/>
        </w:rPr>
        <w:t xml:space="preserve">reduced </w:t>
      </w:r>
      <w:r w:rsidR="007E350C" w:rsidRPr="001A515A">
        <w:rPr>
          <w:rFonts w:ascii="Times New Roman" w:hAnsi="Times New Roman" w:cs="Times New Roman"/>
          <w:noProof/>
          <w:sz w:val="24"/>
        </w:rPr>
        <w:t>career perspectives</w:t>
      </w:r>
      <w:r w:rsidR="000B4EAD">
        <w:rPr>
          <w:rFonts w:ascii="Times New Roman" w:hAnsi="Times New Roman" w:cs="Times New Roman"/>
          <w:noProof/>
          <w:sz w:val="24"/>
        </w:rPr>
        <w:t xml:space="preserve"> </w:t>
      </w:r>
      <w:r w:rsidR="007E350C" w:rsidRPr="001A515A">
        <w:rPr>
          <w:rFonts w:ascii="Times New Roman" w:hAnsi="Times New Roman" w:cs="Times New Roman"/>
          <w:noProof/>
          <w:sz w:val="24"/>
        </w:rPr>
        <w:t>to ensure a stronger correlation between the grade and the function</w:t>
      </w:r>
      <w:r>
        <w:rPr>
          <w:rFonts w:ascii="Times New Roman" w:hAnsi="Times New Roman" w:cs="Times New Roman"/>
          <w:noProof/>
          <w:sz w:val="24"/>
        </w:rPr>
        <w:t>,</w:t>
      </w:r>
      <w:r w:rsidR="007E350C" w:rsidRPr="001A515A">
        <w:rPr>
          <w:rFonts w:ascii="Times New Roman" w:hAnsi="Times New Roman" w:cs="Times New Roman"/>
          <w:noProof/>
          <w:sz w:val="24"/>
        </w:rPr>
        <w:t xml:space="preserve"> </w:t>
      </w:r>
    </w:p>
    <w:p w14:paraId="13C73741" w14:textId="025B4E76" w:rsidR="00E740E7" w:rsidRDefault="008F1277" w:rsidP="001A515A">
      <w:pPr>
        <w:pStyle w:val="ListParagraph"/>
        <w:numPr>
          <w:ilvl w:val="0"/>
          <w:numId w:val="29"/>
        </w:numPr>
        <w:jc w:val="both"/>
        <w:rPr>
          <w:rFonts w:ascii="Times New Roman" w:hAnsi="Times New Roman" w:cs="Times New Roman"/>
          <w:noProof/>
          <w:sz w:val="24"/>
        </w:rPr>
      </w:pPr>
      <w:r>
        <w:rPr>
          <w:rFonts w:ascii="Times New Roman" w:hAnsi="Times New Roman" w:cs="Times New Roman"/>
          <w:noProof/>
          <w:sz w:val="24"/>
        </w:rPr>
        <w:t xml:space="preserve">a new staff </w:t>
      </w:r>
      <w:r w:rsidRPr="001A515A">
        <w:rPr>
          <w:rFonts w:ascii="Times New Roman" w:hAnsi="Times New Roman" w:cs="Times New Roman"/>
          <w:noProof/>
          <w:sz w:val="24"/>
        </w:rPr>
        <w:t xml:space="preserve">category </w:t>
      </w:r>
      <w:r>
        <w:rPr>
          <w:rFonts w:ascii="Times New Roman" w:hAnsi="Times New Roman" w:cs="Times New Roman"/>
          <w:noProof/>
          <w:sz w:val="24"/>
        </w:rPr>
        <w:t xml:space="preserve">with a </w:t>
      </w:r>
      <w:r w:rsidR="007E350C" w:rsidRPr="001A515A">
        <w:rPr>
          <w:rFonts w:ascii="Times New Roman" w:hAnsi="Times New Roman" w:cs="Times New Roman"/>
          <w:noProof/>
          <w:sz w:val="24"/>
        </w:rPr>
        <w:t xml:space="preserve">lower salary scale </w:t>
      </w:r>
      <w:r>
        <w:rPr>
          <w:rFonts w:ascii="Times New Roman" w:hAnsi="Times New Roman" w:cs="Times New Roman"/>
          <w:noProof/>
          <w:sz w:val="24"/>
        </w:rPr>
        <w:t>(</w:t>
      </w:r>
      <w:r w:rsidR="007E350C" w:rsidRPr="001A515A">
        <w:rPr>
          <w:rFonts w:ascii="Times New Roman" w:hAnsi="Times New Roman" w:cs="Times New Roman"/>
          <w:noProof/>
          <w:sz w:val="24"/>
        </w:rPr>
        <w:t>secretarial and clerical jobs</w:t>
      </w:r>
      <w:r>
        <w:rPr>
          <w:rFonts w:ascii="Times New Roman" w:hAnsi="Times New Roman" w:cs="Times New Roman"/>
          <w:noProof/>
          <w:sz w:val="24"/>
        </w:rPr>
        <w:t>)</w:t>
      </w:r>
      <w:r w:rsidR="007E350C" w:rsidRPr="001A515A">
        <w:rPr>
          <w:rFonts w:ascii="Times New Roman" w:hAnsi="Times New Roman" w:cs="Times New Roman"/>
          <w:noProof/>
          <w:sz w:val="24"/>
        </w:rPr>
        <w:t xml:space="preserve">. </w:t>
      </w:r>
    </w:p>
    <w:p w14:paraId="061BF5F6" w14:textId="03633938" w:rsidR="001A53E3" w:rsidRPr="001A515A" w:rsidRDefault="005A1045" w:rsidP="009308A1">
      <w:pPr>
        <w:jc w:val="both"/>
        <w:rPr>
          <w:rFonts w:ascii="Times New Roman" w:hAnsi="Times New Roman" w:cs="Times New Roman"/>
          <w:noProof/>
          <w:sz w:val="24"/>
        </w:rPr>
      </w:pPr>
      <w:r w:rsidRPr="001A515A">
        <w:rPr>
          <w:rFonts w:ascii="Times New Roman" w:hAnsi="Times New Roman" w:cs="Times New Roman"/>
          <w:noProof/>
          <w:sz w:val="24"/>
        </w:rPr>
        <w:t>At the same time</w:t>
      </w:r>
      <w:r w:rsidR="00E50FD8" w:rsidRPr="001A515A">
        <w:rPr>
          <w:rFonts w:ascii="Times New Roman" w:hAnsi="Times New Roman" w:cs="Times New Roman"/>
          <w:noProof/>
          <w:sz w:val="24"/>
        </w:rPr>
        <w:t>, the co-legislator provided for a more favourable salary scale for staff members recruited before 2014, as a compensation to the limitations of careers introduced at the occasion of the 2014 reform of the Staff Regulations</w:t>
      </w:r>
      <w:r w:rsidR="009308A1">
        <w:rPr>
          <w:rStyle w:val="FootnoteReference"/>
          <w:rFonts w:ascii="Times New Roman" w:hAnsi="Times New Roman" w:cs="Times New Roman"/>
          <w:noProof/>
          <w:sz w:val="24"/>
        </w:rPr>
        <w:footnoteReference w:id="33"/>
      </w:r>
      <w:r w:rsidR="00E50FD8" w:rsidRPr="001A515A">
        <w:rPr>
          <w:rFonts w:ascii="Times New Roman" w:hAnsi="Times New Roman" w:cs="Times New Roman"/>
          <w:noProof/>
          <w:sz w:val="24"/>
        </w:rPr>
        <w:t>. Finally</w:t>
      </w:r>
      <w:r w:rsidR="007E350C" w:rsidRPr="001A515A">
        <w:rPr>
          <w:rFonts w:ascii="Times New Roman" w:hAnsi="Times New Roman" w:cs="Times New Roman"/>
          <w:noProof/>
          <w:sz w:val="24"/>
        </w:rPr>
        <w:t xml:space="preserve">, </w:t>
      </w:r>
      <w:r w:rsidR="00726FC0" w:rsidRPr="001A515A">
        <w:rPr>
          <w:rFonts w:ascii="Times New Roman" w:hAnsi="Times New Roman" w:cs="Times New Roman"/>
          <w:noProof/>
          <w:sz w:val="24"/>
        </w:rPr>
        <w:t xml:space="preserve">in addition to these structural changes, </w:t>
      </w:r>
      <w:r w:rsidR="003A0036" w:rsidRPr="001A515A">
        <w:rPr>
          <w:rFonts w:ascii="Times New Roman" w:hAnsi="Times New Roman" w:cs="Times New Roman"/>
          <w:noProof/>
          <w:sz w:val="24"/>
        </w:rPr>
        <w:t xml:space="preserve">the co-legislator provided for freezes (2011, 2013 and 2014) and </w:t>
      </w:r>
      <w:r w:rsidR="00AD15A9">
        <w:rPr>
          <w:rFonts w:ascii="Times New Roman" w:hAnsi="Times New Roman" w:cs="Times New Roman"/>
          <w:noProof/>
          <w:sz w:val="24"/>
        </w:rPr>
        <w:t xml:space="preserve">a </w:t>
      </w:r>
      <w:r w:rsidR="003A0036" w:rsidRPr="001A515A">
        <w:rPr>
          <w:rFonts w:ascii="Times New Roman" w:hAnsi="Times New Roman" w:cs="Times New Roman"/>
          <w:noProof/>
          <w:sz w:val="24"/>
        </w:rPr>
        <w:t>lower adjustment (2012) of pay and pensions.</w:t>
      </w:r>
    </w:p>
    <w:p w14:paraId="79B79B81" w14:textId="77777777" w:rsidR="00A26C01" w:rsidRPr="00A26C01" w:rsidRDefault="001A53E3" w:rsidP="00170470">
      <w:pPr>
        <w:pStyle w:val="Heading1"/>
        <w:numPr>
          <w:ilvl w:val="1"/>
          <w:numId w:val="1"/>
        </w:numPr>
        <w:spacing w:after="120"/>
        <w:rPr>
          <w:rStyle w:val="Heading1Char"/>
          <w:rFonts w:ascii="Times New Roman Bold" w:hAnsi="Times New Roman Bold"/>
          <w:b/>
          <w:smallCaps/>
          <w:noProof/>
        </w:rPr>
      </w:pPr>
      <w:r>
        <w:rPr>
          <w:rStyle w:val="Heading1Char"/>
          <w:rFonts w:ascii="Times New Roman Bold" w:hAnsi="Times New Roman Bold"/>
          <w:smallCaps/>
          <w:noProof/>
        </w:rPr>
        <w:t>Effects of the 2004 and 2014 reforms of the Staff Regulations</w:t>
      </w:r>
    </w:p>
    <w:p w14:paraId="13D5AC76" w14:textId="77777777" w:rsidR="00A26C01" w:rsidRDefault="00A26C01" w:rsidP="00170470">
      <w:pPr>
        <w:pStyle w:val="Heading1"/>
        <w:numPr>
          <w:ilvl w:val="2"/>
          <w:numId w:val="1"/>
        </w:numPr>
        <w:spacing w:after="120"/>
        <w:rPr>
          <w:rStyle w:val="Heading1Char"/>
          <w:rFonts w:ascii="Times New Roman Bold" w:hAnsi="Times New Roman Bold"/>
          <w:b/>
          <w:smallCaps/>
          <w:noProof/>
        </w:rPr>
      </w:pPr>
      <w:r>
        <w:rPr>
          <w:rStyle w:val="Heading1Char"/>
          <w:rFonts w:ascii="Times New Roman Bold" w:hAnsi="Times New Roman Bold"/>
          <w:smallCaps/>
          <w:noProof/>
        </w:rPr>
        <w:t>Effects on the functioning of the scheme</w:t>
      </w:r>
    </w:p>
    <w:p w14:paraId="0745E371" w14:textId="01AA265D" w:rsidR="00407C5D" w:rsidRDefault="00A75B2C" w:rsidP="00170470">
      <w:pPr>
        <w:spacing w:after="120" w:line="240" w:lineRule="auto"/>
        <w:jc w:val="both"/>
        <w:rPr>
          <w:rFonts w:cs="Times New Roman"/>
          <w:noProof/>
        </w:rPr>
      </w:pPr>
      <w:r>
        <w:rPr>
          <w:rFonts w:ascii="Times New Roman" w:hAnsi="Times New Roman" w:cs="Times New Roman"/>
          <w:noProof/>
          <w:sz w:val="24"/>
        </w:rPr>
        <w:t>T</w:t>
      </w:r>
      <w:r w:rsidR="00407C5D">
        <w:rPr>
          <w:rFonts w:ascii="Times New Roman" w:hAnsi="Times New Roman" w:cs="Times New Roman"/>
          <w:noProof/>
          <w:sz w:val="24"/>
        </w:rPr>
        <w:t xml:space="preserve">he two successive reforms of the Staff Regulations </w:t>
      </w:r>
      <w:r w:rsidR="00343E5B">
        <w:rPr>
          <w:rFonts w:ascii="Times New Roman" w:hAnsi="Times New Roman" w:cs="Times New Roman"/>
          <w:noProof/>
          <w:sz w:val="24"/>
        </w:rPr>
        <w:t xml:space="preserve">generated and will continue to generate </w:t>
      </w:r>
      <w:r w:rsidRPr="00A75B2C">
        <w:rPr>
          <w:rFonts w:ascii="Times New Roman" w:hAnsi="Times New Roman" w:cs="Times New Roman"/>
          <w:noProof/>
          <w:sz w:val="24"/>
        </w:rPr>
        <w:t>significant savings</w:t>
      </w:r>
      <w:r w:rsidR="00343E5B">
        <w:rPr>
          <w:rFonts w:ascii="Times New Roman" w:hAnsi="Times New Roman" w:cs="Times New Roman"/>
          <w:noProof/>
          <w:sz w:val="24"/>
        </w:rPr>
        <w:t xml:space="preserve">. These reforms </w:t>
      </w:r>
      <w:r w:rsidR="00407C5D">
        <w:rPr>
          <w:rFonts w:ascii="Times New Roman" w:hAnsi="Times New Roman" w:cs="Times New Roman"/>
          <w:noProof/>
          <w:sz w:val="24"/>
        </w:rPr>
        <w:t xml:space="preserve">have </w:t>
      </w:r>
      <w:r>
        <w:rPr>
          <w:rFonts w:ascii="Times New Roman" w:hAnsi="Times New Roman" w:cs="Times New Roman"/>
          <w:noProof/>
          <w:sz w:val="24"/>
        </w:rPr>
        <w:t>put</w:t>
      </w:r>
      <w:r w:rsidR="00407C5D">
        <w:rPr>
          <w:rFonts w:ascii="Times New Roman" w:hAnsi="Times New Roman" w:cs="Times New Roman"/>
          <w:noProof/>
          <w:sz w:val="24"/>
        </w:rPr>
        <w:t xml:space="preserve"> the PSEO at the forefront when compared to national pension schemes</w:t>
      </w:r>
      <w:r>
        <w:rPr>
          <w:rFonts w:ascii="Times New Roman" w:hAnsi="Times New Roman" w:cs="Times New Roman"/>
          <w:noProof/>
          <w:sz w:val="24"/>
        </w:rPr>
        <w:t xml:space="preserve">. </w:t>
      </w:r>
      <w:r w:rsidR="00407C5D">
        <w:rPr>
          <w:rFonts w:ascii="Times New Roman" w:hAnsi="Times New Roman" w:cs="Times New Roman"/>
          <w:noProof/>
          <w:sz w:val="24"/>
        </w:rPr>
        <w:t>At the same time</w:t>
      </w:r>
      <w:r>
        <w:rPr>
          <w:rFonts w:ascii="Times New Roman" w:hAnsi="Times New Roman" w:cs="Times New Roman"/>
          <w:noProof/>
          <w:sz w:val="24"/>
        </w:rPr>
        <w:t xml:space="preserve"> the reforms of</w:t>
      </w:r>
      <w:r w:rsidR="005A1045">
        <w:rPr>
          <w:rFonts w:ascii="Times New Roman" w:hAnsi="Times New Roman" w:cs="Times New Roman"/>
          <w:noProof/>
          <w:sz w:val="24"/>
        </w:rPr>
        <w:t xml:space="preserve"> the</w:t>
      </w:r>
      <w:r>
        <w:rPr>
          <w:rFonts w:ascii="Times New Roman" w:hAnsi="Times New Roman" w:cs="Times New Roman"/>
          <w:noProof/>
          <w:sz w:val="24"/>
        </w:rPr>
        <w:t xml:space="preserve"> PSEO impacted the attractiveness of t</w:t>
      </w:r>
      <w:r w:rsidR="00407C5D">
        <w:rPr>
          <w:rFonts w:ascii="Times New Roman" w:hAnsi="Times New Roman" w:cs="Times New Roman"/>
          <w:noProof/>
          <w:sz w:val="24"/>
        </w:rPr>
        <w:t xml:space="preserve">he </w:t>
      </w:r>
      <w:r>
        <w:rPr>
          <w:rFonts w:ascii="Times New Roman" w:hAnsi="Times New Roman" w:cs="Times New Roman"/>
          <w:noProof/>
          <w:sz w:val="24"/>
        </w:rPr>
        <w:t xml:space="preserve">EU institutions, as </w:t>
      </w:r>
      <w:r w:rsidR="005A1045">
        <w:rPr>
          <w:rFonts w:ascii="Times New Roman" w:hAnsi="Times New Roman" w:cs="Times New Roman"/>
          <w:noProof/>
          <w:sz w:val="24"/>
        </w:rPr>
        <w:t xml:space="preserve">the </w:t>
      </w:r>
      <w:r>
        <w:rPr>
          <w:rFonts w:ascii="Times New Roman" w:hAnsi="Times New Roman" w:cs="Times New Roman"/>
          <w:noProof/>
          <w:sz w:val="24"/>
        </w:rPr>
        <w:t xml:space="preserve">PSEO </w:t>
      </w:r>
      <w:r w:rsidR="00407C5D">
        <w:rPr>
          <w:rFonts w:ascii="Times New Roman" w:hAnsi="Times New Roman" w:cs="Times New Roman"/>
          <w:noProof/>
          <w:sz w:val="24"/>
        </w:rPr>
        <w:t>remains an essential feature of</w:t>
      </w:r>
      <w:r>
        <w:rPr>
          <w:rFonts w:ascii="Times New Roman" w:hAnsi="Times New Roman" w:cs="Times New Roman"/>
          <w:noProof/>
          <w:sz w:val="24"/>
        </w:rPr>
        <w:t xml:space="preserve"> the remuneration package of the EU civil servants</w:t>
      </w:r>
      <w:r w:rsidR="009F1DEE">
        <w:rPr>
          <w:rStyle w:val="FootnoteReference"/>
          <w:rFonts w:ascii="Times New Roman" w:hAnsi="Times New Roman" w:cs="Times New Roman"/>
          <w:noProof/>
          <w:sz w:val="24"/>
        </w:rPr>
        <w:footnoteReference w:id="34"/>
      </w:r>
      <w:r w:rsidR="00407C5D">
        <w:rPr>
          <w:rFonts w:ascii="Times New Roman" w:hAnsi="Times New Roman" w:cs="Times New Roman"/>
          <w:noProof/>
          <w:sz w:val="24"/>
        </w:rPr>
        <w:t xml:space="preserve">. </w:t>
      </w:r>
    </w:p>
    <w:p w14:paraId="1F331ED9" w14:textId="77777777" w:rsidR="00407C5D" w:rsidRPr="00170470" w:rsidRDefault="00407C5D" w:rsidP="00170470">
      <w:pPr>
        <w:pStyle w:val="Heading1"/>
        <w:numPr>
          <w:ilvl w:val="3"/>
          <w:numId w:val="1"/>
        </w:numPr>
        <w:spacing w:after="120"/>
        <w:rPr>
          <w:rStyle w:val="Heading1Char"/>
          <w:rFonts w:ascii="Times New Roman Bold" w:hAnsi="Times New Roman Bold"/>
          <w:smallCaps/>
          <w:noProof/>
        </w:rPr>
      </w:pPr>
      <w:r>
        <w:rPr>
          <w:rStyle w:val="Heading1Char"/>
          <w:rFonts w:ascii="Times New Roman Bold" w:hAnsi="Times New Roman Bold"/>
          <w:smallCaps/>
          <w:noProof/>
        </w:rPr>
        <w:t xml:space="preserve">The </w:t>
      </w:r>
      <w:r w:rsidR="004231E0">
        <w:rPr>
          <w:rStyle w:val="Heading1Char"/>
          <w:rFonts w:ascii="Times New Roman Bold" w:hAnsi="Times New Roman Bold"/>
          <w:smallCaps/>
          <w:noProof/>
        </w:rPr>
        <w:t>regular update of key parameters</w:t>
      </w:r>
    </w:p>
    <w:p w14:paraId="07333889" w14:textId="09C23F19" w:rsidR="00276551" w:rsidRDefault="00276551"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The PSEO is a</w:t>
      </w:r>
      <w:r w:rsidR="00D95B0A">
        <w:rPr>
          <w:rFonts w:ascii="Times New Roman" w:hAnsi="Times New Roman" w:cs="Times New Roman"/>
          <w:noProof/>
          <w:sz w:val="24"/>
        </w:rPr>
        <w:t xml:space="preserve"> very flexible</w:t>
      </w:r>
      <w:r>
        <w:rPr>
          <w:rFonts w:ascii="Times New Roman" w:hAnsi="Times New Roman" w:cs="Times New Roman"/>
          <w:noProof/>
          <w:sz w:val="24"/>
        </w:rPr>
        <w:t xml:space="preserve"> scheme </w:t>
      </w:r>
      <w:r w:rsidR="00D95B0A">
        <w:rPr>
          <w:rFonts w:ascii="Times New Roman" w:hAnsi="Times New Roman" w:cs="Times New Roman"/>
          <w:noProof/>
          <w:sz w:val="24"/>
        </w:rPr>
        <w:t>continuo</w:t>
      </w:r>
      <w:r w:rsidR="009308A1">
        <w:rPr>
          <w:rFonts w:ascii="Times New Roman" w:hAnsi="Times New Roman" w:cs="Times New Roman"/>
          <w:noProof/>
          <w:sz w:val="24"/>
        </w:rPr>
        <w:t>u</w:t>
      </w:r>
      <w:r w:rsidR="00D95B0A">
        <w:rPr>
          <w:rFonts w:ascii="Times New Roman" w:hAnsi="Times New Roman" w:cs="Times New Roman"/>
          <w:noProof/>
          <w:sz w:val="24"/>
        </w:rPr>
        <w:t xml:space="preserve">sly monitored, </w:t>
      </w:r>
      <w:r>
        <w:rPr>
          <w:rFonts w:ascii="Times New Roman" w:hAnsi="Times New Roman" w:cs="Times New Roman"/>
          <w:noProof/>
          <w:sz w:val="24"/>
        </w:rPr>
        <w:t xml:space="preserve">as key assumptions such as the </w:t>
      </w:r>
      <w:r w:rsidR="00D95B0A">
        <w:rPr>
          <w:rFonts w:ascii="Times New Roman" w:hAnsi="Times New Roman" w:cs="Times New Roman"/>
          <w:noProof/>
          <w:sz w:val="24"/>
        </w:rPr>
        <w:t xml:space="preserve">PCR </w:t>
      </w:r>
      <w:r>
        <w:rPr>
          <w:rFonts w:ascii="Times New Roman" w:hAnsi="Times New Roman" w:cs="Times New Roman"/>
          <w:noProof/>
          <w:sz w:val="24"/>
        </w:rPr>
        <w:t>and the pensionable age are regularly assessed and updated if necessary.</w:t>
      </w:r>
    </w:p>
    <w:p w14:paraId="530CA11B" w14:textId="2885DCE2" w:rsidR="00421057" w:rsidRDefault="00421057" w:rsidP="00170470">
      <w:pPr>
        <w:spacing w:after="120" w:line="240" w:lineRule="auto"/>
        <w:jc w:val="both"/>
        <w:rPr>
          <w:rFonts w:ascii="Times New Roman" w:hAnsi="Times New Roman" w:cs="Times New Roman"/>
          <w:noProof/>
          <w:sz w:val="24"/>
        </w:rPr>
      </w:pPr>
      <w:r>
        <w:rPr>
          <w:rFonts w:ascii="Times New Roman" w:hAnsi="Times New Roman" w:cs="Times New Roman"/>
          <w:noProof/>
          <w:sz w:val="24"/>
        </w:rPr>
        <w:t>T</w:t>
      </w:r>
      <w:r w:rsidR="00407C5D" w:rsidRPr="00170470">
        <w:rPr>
          <w:rFonts w:ascii="Times New Roman" w:hAnsi="Times New Roman" w:cs="Times New Roman"/>
          <w:noProof/>
          <w:sz w:val="24"/>
        </w:rPr>
        <w:t xml:space="preserve">he PCR is </w:t>
      </w:r>
      <w:r w:rsidR="00856BDF">
        <w:rPr>
          <w:rFonts w:ascii="Times New Roman" w:hAnsi="Times New Roman" w:cs="Times New Roman"/>
          <w:noProof/>
          <w:sz w:val="24"/>
        </w:rPr>
        <w:t xml:space="preserve">assessed every year and updated if necessary. </w:t>
      </w:r>
      <w:r w:rsidR="00407C5D" w:rsidRPr="00170470">
        <w:rPr>
          <w:rFonts w:ascii="Times New Roman" w:hAnsi="Times New Roman" w:cs="Times New Roman"/>
          <w:noProof/>
          <w:sz w:val="24"/>
        </w:rPr>
        <w:t>As shown in Annex 1</w:t>
      </w:r>
      <w:r w:rsidR="001708E5">
        <w:rPr>
          <w:rFonts w:ascii="Times New Roman" w:hAnsi="Times New Roman" w:cs="Times New Roman"/>
          <w:noProof/>
          <w:sz w:val="24"/>
        </w:rPr>
        <w:t>7</w:t>
      </w:r>
      <w:r w:rsidR="00407C5D" w:rsidRPr="00170470">
        <w:rPr>
          <w:rFonts w:ascii="Times New Roman" w:hAnsi="Times New Roman" w:cs="Times New Roman"/>
          <w:noProof/>
          <w:sz w:val="24"/>
        </w:rPr>
        <w:t>, only one Member State has a system based on an automatic update of the PCR as it is the case under the PSEO. Other Member States update it only occasionally, based on political decisions</w:t>
      </w:r>
      <w:r w:rsidR="00F90202">
        <w:rPr>
          <w:rFonts w:ascii="Times New Roman" w:hAnsi="Times New Roman" w:cs="Times New Roman"/>
          <w:noProof/>
          <w:sz w:val="24"/>
        </w:rPr>
        <w:t>,</w:t>
      </w:r>
      <w:r w:rsidR="00407C5D" w:rsidRPr="00170470">
        <w:rPr>
          <w:rFonts w:ascii="Times New Roman" w:hAnsi="Times New Roman" w:cs="Times New Roman"/>
          <w:noProof/>
          <w:sz w:val="24"/>
        </w:rPr>
        <w:t xml:space="preserve"> rather than actuarial calculations or do not update it at all.</w:t>
      </w:r>
    </w:p>
    <w:p w14:paraId="268D71A3" w14:textId="2E5F84E6" w:rsidR="00407C5D" w:rsidRPr="00170470" w:rsidRDefault="00421057" w:rsidP="00170470">
      <w:pPr>
        <w:spacing w:line="240" w:lineRule="auto"/>
        <w:jc w:val="both"/>
        <w:rPr>
          <w:rFonts w:ascii="Times New Roman" w:hAnsi="Times New Roman" w:cs="Times New Roman"/>
          <w:noProof/>
          <w:sz w:val="24"/>
        </w:rPr>
      </w:pPr>
      <w:r>
        <w:rPr>
          <w:rFonts w:ascii="Times New Roman" w:hAnsi="Times New Roman" w:cs="Times New Roman"/>
          <w:noProof/>
          <w:sz w:val="24"/>
        </w:rPr>
        <w:t xml:space="preserve">This automatic update mechanism ensures that </w:t>
      </w:r>
      <w:r w:rsidR="00856BDF">
        <w:rPr>
          <w:rFonts w:ascii="Times New Roman" w:hAnsi="Times New Roman" w:cs="Times New Roman"/>
          <w:noProof/>
          <w:sz w:val="24"/>
        </w:rPr>
        <w:t>the level of contribution paid by EU staff (i.e. 10.1%</w:t>
      </w:r>
      <w:r w:rsidR="00D95B0A">
        <w:rPr>
          <w:rFonts w:ascii="Times New Roman" w:hAnsi="Times New Roman" w:cs="Times New Roman"/>
          <w:noProof/>
          <w:sz w:val="24"/>
        </w:rPr>
        <w:t xml:space="preserve"> </w:t>
      </w:r>
      <w:r w:rsidR="009308A1">
        <w:rPr>
          <w:rFonts w:ascii="Times New Roman" w:hAnsi="Times New Roman" w:cs="Times New Roman"/>
          <w:noProof/>
          <w:sz w:val="24"/>
        </w:rPr>
        <w:t xml:space="preserve">in </w:t>
      </w:r>
      <w:r w:rsidR="00D95B0A">
        <w:rPr>
          <w:rFonts w:ascii="Times New Roman" w:hAnsi="Times New Roman" w:cs="Times New Roman"/>
          <w:noProof/>
          <w:sz w:val="24"/>
        </w:rPr>
        <w:t>2022</w:t>
      </w:r>
      <w:r w:rsidR="00856BDF">
        <w:rPr>
          <w:rFonts w:ascii="Times New Roman" w:hAnsi="Times New Roman" w:cs="Times New Roman"/>
          <w:noProof/>
          <w:sz w:val="24"/>
        </w:rPr>
        <w:t xml:space="preserve">) </w:t>
      </w:r>
      <w:r>
        <w:rPr>
          <w:rFonts w:ascii="Times New Roman" w:hAnsi="Times New Roman" w:cs="Times New Roman"/>
          <w:noProof/>
          <w:sz w:val="24"/>
        </w:rPr>
        <w:t xml:space="preserve">is </w:t>
      </w:r>
      <w:r w:rsidR="00D95B0A">
        <w:rPr>
          <w:rFonts w:ascii="Times New Roman" w:hAnsi="Times New Roman" w:cs="Times New Roman"/>
          <w:noProof/>
          <w:sz w:val="24"/>
        </w:rPr>
        <w:t xml:space="preserve">the one required </w:t>
      </w:r>
      <w:r>
        <w:rPr>
          <w:rFonts w:ascii="Times New Roman" w:hAnsi="Times New Roman" w:cs="Times New Roman"/>
          <w:noProof/>
          <w:sz w:val="24"/>
        </w:rPr>
        <w:t xml:space="preserve">to finance their </w:t>
      </w:r>
      <w:r w:rsidR="00D95B0A">
        <w:rPr>
          <w:rFonts w:ascii="Times New Roman" w:hAnsi="Times New Roman" w:cs="Times New Roman"/>
          <w:noProof/>
          <w:sz w:val="24"/>
        </w:rPr>
        <w:t xml:space="preserve">accrued </w:t>
      </w:r>
      <w:r>
        <w:rPr>
          <w:rFonts w:ascii="Times New Roman" w:hAnsi="Times New Roman" w:cs="Times New Roman"/>
          <w:noProof/>
          <w:sz w:val="24"/>
        </w:rPr>
        <w:t>pension entitlements</w:t>
      </w:r>
      <w:r w:rsidR="00D95B0A">
        <w:rPr>
          <w:rFonts w:ascii="Times New Roman" w:hAnsi="Times New Roman" w:cs="Times New Roman"/>
          <w:noProof/>
          <w:sz w:val="24"/>
        </w:rPr>
        <w:t xml:space="preserve">, which </w:t>
      </w:r>
      <w:r w:rsidR="003C6600">
        <w:rPr>
          <w:rFonts w:ascii="Times New Roman" w:hAnsi="Times New Roman" w:cs="Times New Roman"/>
          <w:noProof/>
          <w:sz w:val="24"/>
        </w:rPr>
        <w:t>ensur</w:t>
      </w:r>
      <w:r w:rsidR="00D95B0A">
        <w:rPr>
          <w:rFonts w:ascii="Times New Roman" w:hAnsi="Times New Roman" w:cs="Times New Roman"/>
          <w:noProof/>
          <w:sz w:val="24"/>
        </w:rPr>
        <w:t>es</w:t>
      </w:r>
      <w:r w:rsidR="003C6600">
        <w:rPr>
          <w:rFonts w:ascii="Times New Roman" w:hAnsi="Times New Roman" w:cs="Times New Roman"/>
          <w:noProof/>
          <w:sz w:val="24"/>
        </w:rPr>
        <w:t xml:space="preserve"> the actuarial balance of the PSEO</w:t>
      </w:r>
      <w:r>
        <w:rPr>
          <w:rFonts w:ascii="Times New Roman" w:hAnsi="Times New Roman" w:cs="Times New Roman"/>
          <w:noProof/>
          <w:sz w:val="24"/>
        </w:rPr>
        <w:t xml:space="preserve">. </w:t>
      </w:r>
      <w:r w:rsidR="003C6600">
        <w:rPr>
          <w:rFonts w:ascii="Times New Roman" w:hAnsi="Times New Roman" w:cs="Times New Roman"/>
          <w:noProof/>
          <w:sz w:val="24"/>
        </w:rPr>
        <w:t xml:space="preserve">The level of contributions </w:t>
      </w:r>
      <w:r w:rsidR="00856BDF">
        <w:rPr>
          <w:rFonts w:ascii="Times New Roman" w:hAnsi="Times New Roman" w:cs="Times New Roman"/>
          <w:noProof/>
          <w:sz w:val="24"/>
        </w:rPr>
        <w:t>is among the highest when compared</w:t>
      </w:r>
      <w:r w:rsidR="003C6600">
        <w:rPr>
          <w:rFonts w:ascii="Times New Roman" w:hAnsi="Times New Roman" w:cs="Times New Roman"/>
          <w:noProof/>
          <w:sz w:val="24"/>
        </w:rPr>
        <w:t xml:space="preserve"> to</w:t>
      </w:r>
      <w:r w:rsidR="00856BDF">
        <w:rPr>
          <w:rFonts w:ascii="Times New Roman" w:hAnsi="Times New Roman" w:cs="Times New Roman"/>
          <w:noProof/>
          <w:sz w:val="24"/>
        </w:rPr>
        <w:t xml:space="preserve"> that paid by national civil servants</w:t>
      </w:r>
      <w:r w:rsidR="00834917">
        <w:rPr>
          <w:rFonts w:ascii="Times New Roman" w:hAnsi="Times New Roman" w:cs="Times New Roman"/>
          <w:noProof/>
          <w:sz w:val="24"/>
        </w:rPr>
        <w:t xml:space="preserve"> (Annex 18)</w:t>
      </w:r>
      <w:r w:rsidR="00856BDF">
        <w:rPr>
          <w:rFonts w:ascii="Times New Roman" w:hAnsi="Times New Roman" w:cs="Times New Roman"/>
          <w:noProof/>
          <w:sz w:val="24"/>
        </w:rPr>
        <w:t xml:space="preserve">. Moreover, in </w:t>
      </w:r>
      <w:r w:rsidR="00834917">
        <w:rPr>
          <w:rFonts w:ascii="Times New Roman" w:hAnsi="Times New Roman" w:cs="Times New Roman"/>
          <w:noProof/>
          <w:sz w:val="24"/>
        </w:rPr>
        <w:t>several</w:t>
      </w:r>
      <w:r w:rsidR="00856BDF">
        <w:rPr>
          <w:rFonts w:ascii="Times New Roman" w:hAnsi="Times New Roman" w:cs="Times New Roman"/>
          <w:noProof/>
          <w:sz w:val="24"/>
        </w:rPr>
        <w:t xml:space="preserve"> Member States, civil servants </w:t>
      </w:r>
      <w:r w:rsidR="00821296">
        <w:rPr>
          <w:rFonts w:ascii="Times New Roman" w:hAnsi="Times New Roman" w:cs="Times New Roman"/>
          <w:noProof/>
          <w:sz w:val="24"/>
        </w:rPr>
        <w:t xml:space="preserve">are not subject to any contribution </w:t>
      </w:r>
      <w:r w:rsidR="00856BDF">
        <w:rPr>
          <w:rFonts w:ascii="Times New Roman" w:hAnsi="Times New Roman" w:cs="Times New Roman"/>
          <w:noProof/>
          <w:sz w:val="24"/>
        </w:rPr>
        <w:t>t</w:t>
      </w:r>
      <w:r w:rsidR="00821296">
        <w:rPr>
          <w:rFonts w:ascii="Times New Roman" w:hAnsi="Times New Roman" w:cs="Times New Roman"/>
          <w:noProof/>
          <w:sz w:val="24"/>
        </w:rPr>
        <w:t>o</w:t>
      </w:r>
      <w:r w:rsidR="00856BDF">
        <w:rPr>
          <w:rFonts w:ascii="Times New Roman" w:hAnsi="Times New Roman" w:cs="Times New Roman"/>
          <w:noProof/>
          <w:sz w:val="24"/>
        </w:rPr>
        <w:t xml:space="preserve"> finance their pension benefits. </w:t>
      </w:r>
    </w:p>
    <w:p w14:paraId="1B4D321D" w14:textId="25DC65E0" w:rsidR="00407C5D" w:rsidRPr="00170470" w:rsidRDefault="00F90202" w:rsidP="00170470">
      <w:pPr>
        <w:spacing w:line="240" w:lineRule="auto"/>
        <w:jc w:val="both"/>
        <w:rPr>
          <w:rFonts w:ascii="Times New Roman" w:hAnsi="Times New Roman" w:cs="Times New Roman"/>
          <w:noProof/>
          <w:sz w:val="24"/>
        </w:rPr>
      </w:pPr>
      <w:r>
        <w:rPr>
          <w:rFonts w:ascii="Times New Roman" w:hAnsi="Times New Roman" w:cs="Times New Roman"/>
          <w:noProof/>
          <w:sz w:val="24"/>
        </w:rPr>
        <w:t>In line with Article 77</w:t>
      </w:r>
      <w:r w:rsidR="0042375C">
        <w:rPr>
          <w:rFonts w:ascii="Times New Roman" w:hAnsi="Times New Roman" w:cs="Times New Roman"/>
          <w:noProof/>
          <w:sz w:val="24"/>
        </w:rPr>
        <w:t xml:space="preserve"> of the Staff Regulations</w:t>
      </w:r>
      <w:r>
        <w:rPr>
          <w:rFonts w:ascii="Times New Roman" w:hAnsi="Times New Roman" w:cs="Times New Roman"/>
          <w:noProof/>
          <w:sz w:val="24"/>
        </w:rPr>
        <w:t xml:space="preserve">, the </w:t>
      </w:r>
      <w:r w:rsidR="00421057">
        <w:rPr>
          <w:rFonts w:ascii="Times New Roman" w:hAnsi="Times New Roman" w:cs="Times New Roman"/>
          <w:noProof/>
          <w:sz w:val="24"/>
        </w:rPr>
        <w:t xml:space="preserve">EU staff pensionable age can be adjusted. </w:t>
      </w:r>
      <w:r w:rsidR="00407C5D" w:rsidRPr="00170470">
        <w:rPr>
          <w:rFonts w:ascii="Times New Roman" w:hAnsi="Times New Roman" w:cs="Times New Roman"/>
          <w:noProof/>
          <w:sz w:val="24"/>
        </w:rPr>
        <w:t xml:space="preserve">As shown in </w:t>
      </w:r>
      <w:r w:rsidR="001708E5">
        <w:rPr>
          <w:rFonts w:ascii="Times New Roman" w:hAnsi="Times New Roman" w:cs="Times New Roman"/>
          <w:noProof/>
          <w:sz w:val="24"/>
        </w:rPr>
        <w:t xml:space="preserve">Annex </w:t>
      </w:r>
      <w:r w:rsidR="004A36ED">
        <w:rPr>
          <w:rFonts w:ascii="Times New Roman" w:hAnsi="Times New Roman" w:cs="Times New Roman"/>
          <w:noProof/>
          <w:sz w:val="24"/>
        </w:rPr>
        <w:t>19</w:t>
      </w:r>
      <w:r w:rsidR="00407C5D" w:rsidRPr="00170470">
        <w:rPr>
          <w:rFonts w:ascii="Times New Roman" w:hAnsi="Times New Roman" w:cs="Times New Roman"/>
          <w:noProof/>
          <w:sz w:val="24"/>
        </w:rPr>
        <w:t xml:space="preserve">, only one Member State has a pensionable age higher than the </w:t>
      </w:r>
      <w:r w:rsidR="00821296">
        <w:rPr>
          <w:rFonts w:ascii="Times New Roman" w:hAnsi="Times New Roman" w:cs="Times New Roman"/>
          <w:noProof/>
          <w:sz w:val="24"/>
        </w:rPr>
        <w:t>EU</w:t>
      </w:r>
      <w:r w:rsidR="00407C5D" w:rsidRPr="00170470">
        <w:rPr>
          <w:rFonts w:ascii="Times New Roman" w:hAnsi="Times New Roman" w:cs="Times New Roman"/>
          <w:noProof/>
          <w:sz w:val="24"/>
        </w:rPr>
        <w:t xml:space="preserve">. In most of the </w:t>
      </w:r>
      <w:r w:rsidR="00821296">
        <w:rPr>
          <w:rFonts w:ascii="Times New Roman" w:hAnsi="Times New Roman" w:cs="Times New Roman"/>
          <w:noProof/>
          <w:sz w:val="24"/>
        </w:rPr>
        <w:t xml:space="preserve">EU </w:t>
      </w:r>
      <w:r w:rsidR="00407C5D" w:rsidRPr="00170470">
        <w:rPr>
          <w:rFonts w:ascii="Times New Roman" w:hAnsi="Times New Roman" w:cs="Times New Roman"/>
          <w:noProof/>
          <w:sz w:val="24"/>
        </w:rPr>
        <w:t xml:space="preserve">Member States, the pensionable age is updated either regularly or occasionally, to reflect the </w:t>
      </w:r>
      <w:r w:rsidR="00821296">
        <w:rPr>
          <w:rFonts w:ascii="Times New Roman" w:hAnsi="Times New Roman" w:cs="Times New Roman"/>
          <w:noProof/>
          <w:sz w:val="24"/>
        </w:rPr>
        <w:t>evolving</w:t>
      </w:r>
      <w:r w:rsidR="00821296" w:rsidRPr="00170470">
        <w:rPr>
          <w:rFonts w:ascii="Times New Roman" w:hAnsi="Times New Roman" w:cs="Times New Roman"/>
          <w:noProof/>
          <w:sz w:val="24"/>
        </w:rPr>
        <w:t xml:space="preserve"> </w:t>
      </w:r>
      <w:r w:rsidR="00407C5D" w:rsidRPr="00170470">
        <w:rPr>
          <w:rFonts w:ascii="Times New Roman" w:hAnsi="Times New Roman" w:cs="Times New Roman"/>
          <w:noProof/>
          <w:sz w:val="24"/>
        </w:rPr>
        <w:t>life expectancy</w:t>
      </w:r>
      <w:r w:rsidR="009308A1">
        <w:rPr>
          <w:rFonts w:ascii="Times New Roman" w:hAnsi="Times New Roman" w:cs="Times New Roman"/>
          <w:noProof/>
          <w:sz w:val="24"/>
        </w:rPr>
        <w:t>.</w:t>
      </w:r>
      <w:r w:rsidR="00821296">
        <w:rPr>
          <w:rFonts w:ascii="Times New Roman" w:hAnsi="Times New Roman" w:cs="Times New Roman"/>
          <w:noProof/>
          <w:sz w:val="24"/>
        </w:rPr>
        <w:t xml:space="preserve"> </w:t>
      </w:r>
      <w:r w:rsidR="009308A1">
        <w:rPr>
          <w:rFonts w:ascii="Times New Roman" w:hAnsi="Times New Roman" w:cs="Times New Roman"/>
          <w:noProof/>
          <w:sz w:val="24"/>
        </w:rPr>
        <w:t>At the same time</w:t>
      </w:r>
      <w:r w:rsidR="00407C5D" w:rsidRPr="00170470">
        <w:rPr>
          <w:rFonts w:ascii="Times New Roman" w:hAnsi="Times New Roman" w:cs="Times New Roman"/>
          <w:noProof/>
          <w:sz w:val="24"/>
        </w:rPr>
        <w:t xml:space="preserve">, for one third of </w:t>
      </w:r>
      <w:r w:rsidR="00821296" w:rsidRPr="00170470">
        <w:rPr>
          <w:rFonts w:ascii="Times New Roman" w:hAnsi="Times New Roman" w:cs="Times New Roman"/>
          <w:noProof/>
          <w:sz w:val="24"/>
        </w:rPr>
        <w:t>the</w:t>
      </w:r>
      <w:r w:rsidR="00821296">
        <w:rPr>
          <w:rFonts w:ascii="Times New Roman" w:hAnsi="Times New Roman" w:cs="Times New Roman"/>
          <w:noProof/>
          <w:sz w:val="24"/>
        </w:rPr>
        <w:t xml:space="preserve"> EU Member States</w:t>
      </w:r>
      <w:r w:rsidR="00407C5D" w:rsidRPr="00170470">
        <w:rPr>
          <w:rFonts w:ascii="Times New Roman" w:hAnsi="Times New Roman" w:cs="Times New Roman"/>
          <w:noProof/>
          <w:sz w:val="24"/>
        </w:rPr>
        <w:t xml:space="preserve">, such a link </w:t>
      </w:r>
      <w:r w:rsidR="00B714F9">
        <w:rPr>
          <w:rFonts w:ascii="Times New Roman" w:hAnsi="Times New Roman" w:cs="Times New Roman"/>
          <w:noProof/>
          <w:sz w:val="24"/>
        </w:rPr>
        <w:t>does not exist</w:t>
      </w:r>
      <w:r w:rsidR="004A36ED">
        <w:rPr>
          <w:rFonts w:ascii="Times New Roman" w:hAnsi="Times New Roman" w:cs="Times New Roman"/>
          <w:noProof/>
          <w:sz w:val="24"/>
        </w:rPr>
        <w:t>. Annex 20</w:t>
      </w:r>
      <w:r w:rsidR="00407C5D" w:rsidRPr="00170470">
        <w:rPr>
          <w:rFonts w:ascii="Times New Roman" w:hAnsi="Times New Roman" w:cs="Times New Roman"/>
          <w:noProof/>
          <w:sz w:val="24"/>
        </w:rPr>
        <w:t xml:space="preserve"> shows that the PSEO not only has such link in place, but also that the rules governing the PSEO envisage regular updates of the pensionable age, as underlined in chapter </w:t>
      </w:r>
      <w:r w:rsidR="00421057">
        <w:rPr>
          <w:rFonts w:ascii="Times New Roman" w:hAnsi="Times New Roman" w:cs="Times New Roman"/>
          <w:noProof/>
          <w:sz w:val="24"/>
        </w:rPr>
        <w:t>3.</w:t>
      </w:r>
      <w:r w:rsidR="00407C5D" w:rsidRPr="00170470">
        <w:rPr>
          <w:rFonts w:ascii="Times New Roman" w:hAnsi="Times New Roman" w:cs="Times New Roman"/>
          <w:noProof/>
          <w:sz w:val="24"/>
        </w:rPr>
        <w:t>4. Such updates are based on mortality tables, thereby linking pensionable age to life expectancy</w:t>
      </w:r>
      <w:r w:rsidR="00BF5569">
        <w:rPr>
          <w:rStyle w:val="FootnoteReference"/>
          <w:rFonts w:ascii="Times New Roman" w:hAnsi="Times New Roman" w:cs="Times New Roman"/>
          <w:noProof/>
          <w:sz w:val="24"/>
        </w:rPr>
        <w:footnoteReference w:id="35"/>
      </w:r>
      <w:r w:rsidR="00407C5D" w:rsidRPr="00170470">
        <w:rPr>
          <w:rFonts w:ascii="Times New Roman" w:hAnsi="Times New Roman" w:cs="Times New Roman"/>
          <w:noProof/>
          <w:sz w:val="24"/>
        </w:rPr>
        <w:t>.</w:t>
      </w:r>
    </w:p>
    <w:p w14:paraId="7B884957" w14:textId="77777777" w:rsidR="00407C5D" w:rsidRPr="004164CF" w:rsidRDefault="00421057" w:rsidP="00170470">
      <w:pPr>
        <w:spacing w:line="240" w:lineRule="auto"/>
        <w:jc w:val="both"/>
        <w:rPr>
          <w:noProof/>
        </w:rPr>
      </w:pPr>
      <w:r>
        <w:rPr>
          <w:rFonts w:ascii="Times New Roman" w:hAnsi="Times New Roman" w:cs="Times New Roman"/>
          <w:noProof/>
          <w:sz w:val="24"/>
        </w:rPr>
        <w:t xml:space="preserve">These adaptations ensure that the PSEO remains sustainable whilst corresponding to the highest standards when compared to pension schemes from the Member States. </w:t>
      </w:r>
    </w:p>
    <w:p w14:paraId="36728166" w14:textId="77777777" w:rsidR="00407C5D" w:rsidRPr="00170470" w:rsidRDefault="00856BDF" w:rsidP="00170470">
      <w:pPr>
        <w:pStyle w:val="Heading1"/>
        <w:numPr>
          <w:ilvl w:val="3"/>
          <w:numId w:val="1"/>
        </w:numPr>
        <w:spacing w:after="120"/>
        <w:rPr>
          <w:rFonts w:ascii="Times New Roman Bold" w:hAnsi="Times New Roman Bold"/>
          <w:b w:val="0"/>
          <w:smallCaps/>
          <w:noProof/>
        </w:rPr>
      </w:pPr>
      <w:r>
        <w:rPr>
          <w:rStyle w:val="Heading1Char"/>
          <w:rFonts w:ascii="Times New Roman Bold" w:hAnsi="Times New Roman Bold"/>
          <w:smallCaps/>
          <w:noProof/>
        </w:rPr>
        <w:t>Role of the PSEO in the attractiveness of EU institutions</w:t>
      </w:r>
    </w:p>
    <w:p w14:paraId="61DAE405" w14:textId="7821C8B3" w:rsidR="00F57398" w:rsidRPr="006822F7" w:rsidRDefault="00407C5D" w:rsidP="006822F7">
      <w:pPr>
        <w:spacing w:line="240" w:lineRule="auto"/>
        <w:jc w:val="both"/>
        <w:rPr>
          <w:rFonts w:ascii="Times New Roman" w:hAnsi="Times New Roman" w:cs="Times New Roman"/>
          <w:noProof/>
          <w:sz w:val="24"/>
        </w:rPr>
      </w:pPr>
      <w:r w:rsidRPr="006822F7">
        <w:rPr>
          <w:rFonts w:ascii="Times New Roman" w:hAnsi="Times New Roman" w:cs="Times New Roman"/>
          <w:noProof/>
          <w:sz w:val="24"/>
        </w:rPr>
        <w:t xml:space="preserve">When being offered a job, </w:t>
      </w:r>
      <w:r w:rsidR="00B347AF">
        <w:rPr>
          <w:rFonts w:ascii="Times New Roman" w:hAnsi="Times New Roman" w:cs="Times New Roman"/>
          <w:noProof/>
          <w:sz w:val="24"/>
        </w:rPr>
        <w:t>highly qualified experienced professionals</w:t>
      </w:r>
      <w:r w:rsidRPr="006822F7">
        <w:rPr>
          <w:rFonts w:ascii="Times New Roman" w:hAnsi="Times New Roman" w:cs="Times New Roman"/>
          <w:noProof/>
          <w:sz w:val="24"/>
        </w:rPr>
        <w:t xml:space="preserve"> seeking employment are likely to give more consideration to the role of pensions in the reward package than are younger candidates. Also, candidates who have previously worked in the private or public sector have acquired some experience and sensitivity in dealing with retirement issues. Candidates who leave the system with which they are familiar to enter a new, unfamiliar system are likely to pay particular attention to this new system. Lastly, candidates who </w:t>
      </w:r>
      <w:r w:rsidR="00226EF9">
        <w:rPr>
          <w:rFonts w:ascii="Times New Roman" w:hAnsi="Times New Roman" w:cs="Times New Roman"/>
          <w:noProof/>
          <w:sz w:val="24"/>
        </w:rPr>
        <w:t>favour</w:t>
      </w:r>
      <w:r w:rsidRPr="006822F7">
        <w:rPr>
          <w:rFonts w:ascii="Times New Roman" w:hAnsi="Times New Roman" w:cs="Times New Roman"/>
          <w:noProof/>
          <w:sz w:val="24"/>
        </w:rPr>
        <w:t xml:space="preserve"> (job) security and a predictable career over top salaries in less stable employment will pay greater attention to the pension scheme. The typical </w:t>
      </w:r>
      <w:r w:rsidR="00B714F9">
        <w:rPr>
          <w:rFonts w:ascii="Times New Roman" w:hAnsi="Times New Roman" w:cs="Times New Roman"/>
          <w:noProof/>
          <w:sz w:val="24"/>
        </w:rPr>
        <w:t>staff member</w:t>
      </w:r>
      <w:r w:rsidRPr="006822F7">
        <w:rPr>
          <w:rFonts w:ascii="Times New Roman" w:hAnsi="Times New Roman" w:cs="Times New Roman"/>
          <w:noProof/>
          <w:sz w:val="24"/>
        </w:rPr>
        <w:t xml:space="preserve"> newly recruited by the EU Institutions is likely to fall into one of these categories. As the institutions typically employ persons who started their career elsewhere and who are therefore 36 years old on average, the importance of the pension system in the overall </w:t>
      </w:r>
      <w:r w:rsidR="00F317E3">
        <w:rPr>
          <w:rFonts w:ascii="Times New Roman" w:hAnsi="Times New Roman" w:cs="Times New Roman"/>
          <w:noProof/>
          <w:sz w:val="24"/>
        </w:rPr>
        <w:t xml:space="preserve">attractiveness of the </w:t>
      </w:r>
      <w:r w:rsidRPr="006822F7">
        <w:rPr>
          <w:rFonts w:ascii="Times New Roman" w:hAnsi="Times New Roman" w:cs="Times New Roman"/>
          <w:noProof/>
          <w:sz w:val="24"/>
        </w:rPr>
        <w:t xml:space="preserve">reward package is believed to be higher than, for example, for public employees in Member States who start their careers in public administration immediately after </w:t>
      </w:r>
      <w:r w:rsidR="00E34B38" w:rsidRPr="006822F7">
        <w:rPr>
          <w:rFonts w:ascii="Times New Roman" w:hAnsi="Times New Roman" w:cs="Times New Roman"/>
          <w:noProof/>
          <w:sz w:val="24"/>
        </w:rPr>
        <w:t>graduat</w:t>
      </w:r>
      <w:r w:rsidR="00E34B38">
        <w:rPr>
          <w:rFonts w:ascii="Times New Roman" w:hAnsi="Times New Roman" w:cs="Times New Roman"/>
          <w:noProof/>
          <w:sz w:val="24"/>
        </w:rPr>
        <w:t>ing</w:t>
      </w:r>
      <w:r w:rsidRPr="006822F7">
        <w:rPr>
          <w:rFonts w:ascii="Times New Roman" w:hAnsi="Times New Roman" w:cs="Times New Roman"/>
          <w:noProof/>
          <w:sz w:val="24"/>
        </w:rPr>
        <w:t xml:space="preserve">. The fact that almost all new recruits have previously worked elsewhere is also </w:t>
      </w:r>
      <w:r w:rsidR="00E34B38">
        <w:rPr>
          <w:rFonts w:ascii="Times New Roman" w:hAnsi="Times New Roman" w:cs="Times New Roman"/>
          <w:noProof/>
          <w:sz w:val="24"/>
        </w:rPr>
        <w:t>proved</w:t>
      </w:r>
      <w:r w:rsidRPr="006822F7">
        <w:rPr>
          <w:rFonts w:ascii="Times New Roman" w:hAnsi="Times New Roman" w:cs="Times New Roman"/>
          <w:noProof/>
          <w:sz w:val="24"/>
        </w:rPr>
        <w:t xml:space="preserve"> by the number of transfers </w:t>
      </w:r>
      <w:r w:rsidR="00226EF9" w:rsidRPr="006822F7">
        <w:rPr>
          <w:rFonts w:ascii="Times New Roman" w:hAnsi="Times New Roman" w:cs="Times New Roman"/>
          <w:noProof/>
          <w:sz w:val="24"/>
        </w:rPr>
        <w:t xml:space="preserve">of pension rights acquired outside the </w:t>
      </w:r>
      <w:r w:rsidR="00226EF9">
        <w:rPr>
          <w:rFonts w:ascii="Times New Roman" w:hAnsi="Times New Roman" w:cs="Times New Roman"/>
          <w:noProof/>
          <w:sz w:val="24"/>
        </w:rPr>
        <w:t xml:space="preserve">EU </w:t>
      </w:r>
      <w:r w:rsidR="00226EF9" w:rsidRPr="006822F7">
        <w:rPr>
          <w:rFonts w:ascii="Times New Roman" w:hAnsi="Times New Roman" w:cs="Times New Roman"/>
          <w:noProof/>
          <w:sz w:val="24"/>
        </w:rPr>
        <w:t xml:space="preserve">institutions </w:t>
      </w:r>
      <w:r w:rsidRPr="006822F7">
        <w:rPr>
          <w:rFonts w:ascii="Times New Roman" w:hAnsi="Times New Roman" w:cs="Times New Roman"/>
          <w:noProof/>
          <w:sz w:val="24"/>
        </w:rPr>
        <w:t xml:space="preserve">to the PSEO. </w:t>
      </w:r>
    </w:p>
    <w:p w14:paraId="256A75F9" w14:textId="77777777" w:rsidR="00B45232" w:rsidRDefault="00A26C01" w:rsidP="00170470">
      <w:pPr>
        <w:pStyle w:val="Heading1"/>
        <w:numPr>
          <w:ilvl w:val="2"/>
          <w:numId w:val="1"/>
        </w:numPr>
        <w:spacing w:after="120"/>
        <w:rPr>
          <w:rStyle w:val="Heading1Char"/>
          <w:rFonts w:ascii="Times New Roman Bold" w:hAnsi="Times New Roman Bold"/>
          <w:b/>
          <w:smallCaps/>
          <w:noProof/>
        </w:rPr>
      </w:pPr>
      <w:r>
        <w:rPr>
          <w:rStyle w:val="Heading1Char"/>
          <w:rFonts w:ascii="Times New Roman Bold" w:hAnsi="Times New Roman Bold"/>
          <w:smallCaps/>
          <w:noProof/>
        </w:rPr>
        <w:t>Savings resulting from the 2004 and 2014 reforms of the Staff Regulations</w:t>
      </w:r>
    </w:p>
    <w:p w14:paraId="003CA95A" w14:textId="77777777" w:rsidR="001A53E3" w:rsidRPr="00170470" w:rsidRDefault="001A53E3" w:rsidP="00170470">
      <w:pPr>
        <w:spacing w:after="120" w:line="240" w:lineRule="auto"/>
        <w:jc w:val="both"/>
        <w:rPr>
          <w:rFonts w:ascii="Times New Roman" w:hAnsi="Times New Roman" w:cs="Times New Roman"/>
          <w:noProof/>
          <w:sz w:val="24"/>
        </w:rPr>
      </w:pPr>
      <w:r w:rsidRPr="00170470">
        <w:rPr>
          <w:rFonts w:ascii="Times New Roman" w:hAnsi="Times New Roman" w:cs="Times New Roman"/>
          <w:noProof/>
          <w:sz w:val="24"/>
        </w:rPr>
        <w:t xml:space="preserve">Both reforms of the Staff Regulations </w:t>
      </w:r>
      <w:r w:rsidR="0029024C">
        <w:rPr>
          <w:rFonts w:ascii="Times New Roman" w:hAnsi="Times New Roman" w:cs="Times New Roman"/>
          <w:noProof/>
          <w:sz w:val="24"/>
        </w:rPr>
        <w:t>introduced</w:t>
      </w:r>
      <w:r w:rsidR="00A24494">
        <w:rPr>
          <w:rFonts w:ascii="Times New Roman" w:hAnsi="Times New Roman" w:cs="Times New Roman"/>
          <w:noProof/>
          <w:sz w:val="24"/>
        </w:rPr>
        <w:t xml:space="preserve"> </w:t>
      </w:r>
      <w:r w:rsidRPr="00170470">
        <w:rPr>
          <w:rFonts w:ascii="Times New Roman" w:hAnsi="Times New Roman" w:cs="Times New Roman"/>
          <w:noProof/>
          <w:sz w:val="24"/>
        </w:rPr>
        <w:t xml:space="preserve">structural changes </w:t>
      </w:r>
      <w:r w:rsidR="0029024C">
        <w:rPr>
          <w:rFonts w:ascii="Times New Roman" w:hAnsi="Times New Roman" w:cs="Times New Roman"/>
          <w:noProof/>
          <w:sz w:val="24"/>
        </w:rPr>
        <w:t xml:space="preserve">affecting pension entitlements </w:t>
      </w:r>
      <w:r w:rsidRPr="00170470">
        <w:rPr>
          <w:rFonts w:ascii="Times New Roman" w:hAnsi="Times New Roman" w:cs="Times New Roman"/>
          <w:noProof/>
          <w:sz w:val="24"/>
        </w:rPr>
        <w:t xml:space="preserve">such as </w:t>
      </w:r>
      <w:r w:rsidR="00CD12D0">
        <w:rPr>
          <w:rFonts w:ascii="Times New Roman" w:hAnsi="Times New Roman" w:cs="Times New Roman"/>
          <w:noProof/>
          <w:sz w:val="24"/>
        </w:rPr>
        <w:t xml:space="preserve">the </w:t>
      </w:r>
      <w:r w:rsidRPr="00170470">
        <w:rPr>
          <w:rFonts w:ascii="Times New Roman" w:hAnsi="Times New Roman" w:cs="Times New Roman"/>
          <w:noProof/>
          <w:sz w:val="24"/>
        </w:rPr>
        <w:t>increases of the retirement age,</w:t>
      </w:r>
      <w:r w:rsidR="00CD12D0">
        <w:rPr>
          <w:rFonts w:ascii="Times New Roman" w:hAnsi="Times New Roman" w:cs="Times New Roman"/>
          <w:noProof/>
          <w:sz w:val="24"/>
        </w:rPr>
        <w:t xml:space="preserve"> the</w:t>
      </w:r>
      <w:r w:rsidRPr="00170470">
        <w:rPr>
          <w:rFonts w:ascii="Times New Roman" w:hAnsi="Times New Roman" w:cs="Times New Roman"/>
          <w:noProof/>
          <w:sz w:val="24"/>
        </w:rPr>
        <w:t xml:space="preserve"> reductions of the accrual rate, </w:t>
      </w:r>
      <w:r w:rsidR="00CD12D0">
        <w:rPr>
          <w:rFonts w:ascii="Times New Roman" w:hAnsi="Times New Roman" w:cs="Times New Roman"/>
          <w:noProof/>
          <w:sz w:val="24"/>
        </w:rPr>
        <w:t xml:space="preserve">the </w:t>
      </w:r>
      <w:r w:rsidRPr="00170470">
        <w:rPr>
          <w:rFonts w:ascii="Times New Roman" w:hAnsi="Times New Roman" w:cs="Times New Roman"/>
          <w:noProof/>
          <w:sz w:val="24"/>
        </w:rPr>
        <w:t>limitation</w:t>
      </w:r>
      <w:r>
        <w:rPr>
          <w:rFonts w:ascii="Times New Roman" w:hAnsi="Times New Roman" w:cs="Times New Roman"/>
          <w:noProof/>
          <w:sz w:val="24"/>
        </w:rPr>
        <w:t>s</w:t>
      </w:r>
      <w:r w:rsidRPr="00170470">
        <w:rPr>
          <w:rFonts w:ascii="Times New Roman" w:hAnsi="Times New Roman" w:cs="Times New Roman"/>
          <w:noProof/>
          <w:sz w:val="24"/>
        </w:rPr>
        <w:t xml:space="preserve"> of the remuneration levels by reducing career perspectives and introducing new salary scales (e.g. contract agents and secretaries and clerks)</w:t>
      </w:r>
      <w:r w:rsidR="00A26C01">
        <w:rPr>
          <w:rFonts w:ascii="Times New Roman" w:hAnsi="Times New Roman" w:cs="Times New Roman"/>
          <w:noProof/>
          <w:sz w:val="24"/>
        </w:rPr>
        <w:t>,</w:t>
      </w:r>
      <w:r w:rsidR="008C4115">
        <w:rPr>
          <w:rFonts w:ascii="Times New Roman" w:hAnsi="Times New Roman" w:cs="Times New Roman"/>
          <w:noProof/>
          <w:sz w:val="24"/>
        </w:rPr>
        <w:t xml:space="preserve"> and </w:t>
      </w:r>
      <w:r w:rsidR="008C4115" w:rsidRPr="00897691">
        <w:rPr>
          <w:rFonts w:ascii="Times New Roman" w:hAnsi="Times New Roman" w:cs="Times New Roman"/>
          <w:noProof/>
          <w:sz w:val="24"/>
        </w:rPr>
        <w:t>the suppression of pension coefficients</w:t>
      </w:r>
      <w:r w:rsidRPr="00170470">
        <w:rPr>
          <w:rFonts w:ascii="Times New Roman" w:hAnsi="Times New Roman" w:cs="Times New Roman"/>
          <w:noProof/>
          <w:sz w:val="24"/>
        </w:rPr>
        <w:t>.</w:t>
      </w:r>
      <w:r w:rsidR="008C4115">
        <w:rPr>
          <w:rFonts w:ascii="Times New Roman" w:hAnsi="Times New Roman" w:cs="Times New Roman"/>
          <w:noProof/>
          <w:sz w:val="24"/>
        </w:rPr>
        <w:t xml:space="preserve"> </w:t>
      </w:r>
      <w:r w:rsidR="00166AB8">
        <w:rPr>
          <w:rFonts w:ascii="Times New Roman" w:hAnsi="Times New Roman" w:cs="Times New Roman"/>
          <w:noProof/>
          <w:sz w:val="24"/>
        </w:rPr>
        <w:t>T</w:t>
      </w:r>
      <w:r w:rsidR="00166AB8" w:rsidRPr="00166AB8">
        <w:rPr>
          <w:rFonts w:ascii="Times New Roman" w:hAnsi="Times New Roman" w:cs="Times New Roman"/>
          <w:noProof/>
          <w:sz w:val="24"/>
        </w:rPr>
        <w:t xml:space="preserve">hese </w:t>
      </w:r>
      <w:r w:rsidR="00166AB8">
        <w:rPr>
          <w:rFonts w:ascii="Times New Roman" w:hAnsi="Times New Roman" w:cs="Times New Roman"/>
          <w:noProof/>
          <w:sz w:val="24"/>
        </w:rPr>
        <w:t xml:space="preserve">changes </w:t>
      </w:r>
      <w:r w:rsidR="00166AB8" w:rsidRPr="00166AB8">
        <w:rPr>
          <w:rFonts w:ascii="Times New Roman" w:hAnsi="Times New Roman" w:cs="Times New Roman"/>
          <w:noProof/>
          <w:sz w:val="24"/>
        </w:rPr>
        <w:t xml:space="preserve">were subject to transitional provisions given that pension rights are protected under the principle of acquired rights. </w:t>
      </w:r>
      <w:r w:rsidR="008C4115">
        <w:rPr>
          <w:rFonts w:ascii="Times New Roman" w:hAnsi="Times New Roman" w:cs="Times New Roman"/>
          <w:noProof/>
          <w:sz w:val="24"/>
        </w:rPr>
        <w:t>The 2014 reform of the Staff Regulations also imposed freeze</w:t>
      </w:r>
      <w:r w:rsidR="005F1674">
        <w:rPr>
          <w:rFonts w:ascii="Times New Roman" w:hAnsi="Times New Roman" w:cs="Times New Roman"/>
          <w:noProof/>
          <w:sz w:val="24"/>
        </w:rPr>
        <w:t>s</w:t>
      </w:r>
      <w:r w:rsidR="008C4115">
        <w:rPr>
          <w:rFonts w:ascii="Times New Roman" w:hAnsi="Times New Roman" w:cs="Times New Roman"/>
          <w:noProof/>
          <w:sz w:val="24"/>
        </w:rPr>
        <w:t xml:space="preserve"> that affected</w:t>
      </w:r>
      <w:r w:rsidR="00061774">
        <w:rPr>
          <w:rFonts w:ascii="Times New Roman" w:hAnsi="Times New Roman" w:cs="Times New Roman"/>
          <w:noProof/>
          <w:sz w:val="24"/>
        </w:rPr>
        <w:t xml:space="preserve"> directly the level of </w:t>
      </w:r>
      <w:r w:rsidR="008C4115">
        <w:rPr>
          <w:rFonts w:ascii="Times New Roman" w:hAnsi="Times New Roman" w:cs="Times New Roman"/>
          <w:noProof/>
          <w:sz w:val="24"/>
        </w:rPr>
        <w:t>pensions.</w:t>
      </w:r>
      <w:r w:rsidRPr="00170470">
        <w:rPr>
          <w:rFonts w:ascii="Times New Roman" w:hAnsi="Times New Roman" w:cs="Times New Roman"/>
          <w:noProof/>
          <w:sz w:val="24"/>
        </w:rPr>
        <w:t xml:space="preserve"> </w:t>
      </w:r>
    </w:p>
    <w:p w14:paraId="022EB219" w14:textId="6EFD9C13" w:rsidR="00726FC0" w:rsidRDefault="00E34B38" w:rsidP="00726FC0">
      <w:pPr>
        <w:jc w:val="both"/>
        <w:rPr>
          <w:rFonts w:ascii="Times New Roman" w:hAnsi="Times New Roman" w:cs="Times New Roman"/>
          <w:noProof/>
          <w:sz w:val="24"/>
        </w:rPr>
      </w:pPr>
      <w:r>
        <w:rPr>
          <w:rFonts w:ascii="Times New Roman" w:hAnsi="Times New Roman" w:cs="Times New Roman"/>
          <w:noProof/>
          <w:sz w:val="24"/>
        </w:rPr>
        <w:t>T</w:t>
      </w:r>
      <w:r w:rsidR="00726FC0" w:rsidRPr="0040165C">
        <w:rPr>
          <w:rFonts w:ascii="Times New Roman" w:hAnsi="Times New Roman" w:cs="Times New Roman"/>
          <w:noProof/>
          <w:sz w:val="24"/>
        </w:rPr>
        <w:t xml:space="preserve">he structural effects of the </w:t>
      </w:r>
      <w:r w:rsidR="00726FC0">
        <w:rPr>
          <w:rFonts w:ascii="Times New Roman" w:hAnsi="Times New Roman" w:cs="Times New Roman"/>
          <w:noProof/>
          <w:sz w:val="24"/>
        </w:rPr>
        <w:t xml:space="preserve">2004 and </w:t>
      </w:r>
      <w:r w:rsidR="00726FC0" w:rsidRPr="0040165C">
        <w:rPr>
          <w:rFonts w:ascii="Times New Roman" w:hAnsi="Times New Roman" w:cs="Times New Roman"/>
          <w:noProof/>
          <w:sz w:val="24"/>
        </w:rPr>
        <w:t>2014 reform of the Staff Regulations</w:t>
      </w:r>
      <w:r>
        <w:rPr>
          <w:rFonts w:ascii="Times New Roman" w:hAnsi="Times New Roman" w:cs="Times New Roman"/>
          <w:noProof/>
          <w:sz w:val="24"/>
        </w:rPr>
        <w:t xml:space="preserve"> can be better appreciated if one looks at </w:t>
      </w:r>
      <w:r w:rsidR="00726FC0">
        <w:rPr>
          <w:rFonts w:ascii="Times New Roman" w:hAnsi="Times New Roman" w:cs="Times New Roman"/>
          <w:noProof/>
          <w:sz w:val="24"/>
        </w:rPr>
        <w:t>the active population</w:t>
      </w:r>
      <w:r>
        <w:rPr>
          <w:rFonts w:ascii="Times New Roman" w:hAnsi="Times New Roman" w:cs="Times New Roman"/>
          <w:noProof/>
          <w:sz w:val="24"/>
        </w:rPr>
        <w:t>, given that only</w:t>
      </w:r>
      <w:r w:rsidR="00726FC0">
        <w:rPr>
          <w:rFonts w:ascii="Times New Roman" w:hAnsi="Times New Roman" w:cs="Times New Roman"/>
          <w:noProof/>
          <w:sz w:val="24"/>
        </w:rPr>
        <w:t xml:space="preserve"> </w:t>
      </w:r>
      <w:r w:rsidR="00624484">
        <w:rPr>
          <w:rFonts w:ascii="Times New Roman" w:hAnsi="Times New Roman" w:cs="Times New Roman"/>
          <w:noProof/>
          <w:sz w:val="24"/>
        </w:rPr>
        <w:t xml:space="preserve">9% </w:t>
      </w:r>
      <w:r>
        <w:rPr>
          <w:rFonts w:ascii="Times New Roman" w:hAnsi="Times New Roman" w:cs="Times New Roman"/>
          <w:noProof/>
          <w:sz w:val="24"/>
        </w:rPr>
        <w:t xml:space="preserve">of </w:t>
      </w:r>
      <w:r w:rsidR="00624484">
        <w:rPr>
          <w:rFonts w:ascii="Times New Roman" w:hAnsi="Times New Roman" w:cs="Times New Roman"/>
          <w:noProof/>
          <w:sz w:val="24"/>
        </w:rPr>
        <w:t>the current beneficiaries fall under the post</w:t>
      </w:r>
      <w:r w:rsidR="00226EF9">
        <w:rPr>
          <w:rFonts w:ascii="Times New Roman" w:hAnsi="Times New Roman" w:cs="Times New Roman"/>
          <w:noProof/>
          <w:sz w:val="24"/>
        </w:rPr>
        <w:t>-</w:t>
      </w:r>
      <w:r w:rsidR="00624484">
        <w:rPr>
          <w:rFonts w:ascii="Times New Roman" w:hAnsi="Times New Roman" w:cs="Times New Roman"/>
          <w:noProof/>
          <w:sz w:val="24"/>
        </w:rPr>
        <w:t xml:space="preserve">2004 rules and </w:t>
      </w:r>
      <w:r>
        <w:rPr>
          <w:rFonts w:ascii="Times New Roman" w:hAnsi="Times New Roman" w:cs="Times New Roman"/>
          <w:noProof/>
          <w:sz w:val="24"/>
        </w:rPr>
        <w:t xml:space="preserve">just </w:t>
      </w:r>
      <w:r w:rsidR="00726FC0">
        <w:rPr>
          <w:rFonts w:ascii="Times New Roman" w:hAnsi="Times New Roman" w:cs="Times New Roman"/>
          <w:noProof/>
          <w:sz w:val="24"/>
        </w:rPr>
        <w:t xml:space="preserve">1% </w:t>
      </w:r>
      <w:r>
        <w:rPr>
          <w:rFonts w:ascii="Times New Roman" w:hAnsi="Times New Roman" w:cs="Times New Roman"/>
          <w:noProof/>
          <w:sz w:val="24"/>
        </w:rPr>
        <w:t xml:space="preserve">is covered by the </w:t>
      </w:r>
      <w:r w:rsidR="00226EF9">
        <w:rPr>
          <w:rFonts w:ascii="Times New Roman" w:hAnsi="Times New Roman" w:cs="Times New Roman"/>
          <w:noProof/>
          <w:sz w:val="24"/>
        </w:rPr>
        <w:t>post-</w:t>
      </w:r>
      <w:r w:rsidR="00D851B6">
        <w:rPr>
          <w:rFonts w:ascii="Times New Roman" w:hAnsi="Times New Roman" w:cs="Times New Roman"/>
          <w:noProof/>
          <w:sz w:val="24"/>
        </w:rPr>
        <w:t xml:space="preserve">2014 </w:t>
      </w:r>
      <w:r>
        <w:rPr>
          <w:rFonts w:ascii="Times New Roman" w:hAnsi="Times New Roman" w:cs="Times New Roman"/>
          <w:noProof/>
          <w:sz w:val="24"/>
        </w:rPr>
        <w:t>rules</w:t>
      </w:r>
      <w:r w:rsidR="00726FC0">
        <w:rPr>
          <w:rFonts w:ascii="Times New Roman" w:hAnsi="Times New Roman" w:cs="Times New Roman"/>
          <w:noProof/>
          <w:sz w:val="24"/>
        </w:rPr>
        <w:t xml:space="preserve"> (Annex 10). </w:t>
      </w:r>
    </w:p>
    <w:p w14:paraId="56365E50" w14:textId="046D349C" w:rsidR="00E34B38" w:rsidRDefault="00CD12D0" w:rsidP="00170470">
      <w:pPr>
        <w:jc w:val="both"/>
        <w:rPr>
          <w:rFonts w:ascii="Times New Roman" w:hAnsi="Times New Roman" w:cs="Times New Roman"/>
          <w:noProof/>
          <w:sz w:val="24"/>
        </w:rPr>
      </w:pPr>
      <w:r>
        <w:rPr>
          <w:rFonts w:ascii="Times New Roman" w:hAnsi="Times New Roman" w:cs="Times New Roman"/>
          <w:noProof/>
          <w:sz w:val="24"/>
        </w:rPr>
        <w:t xml:space="preserve">Since 2004, </w:t>
      </w:r>
      <w:r w:rsidR="00E34B38">
        <w:rPr>
          <w:rFonts w:ascii="Times New Roman" w:hAnsi="Times New Roman" w:cs="Times New Roman"/>
          <w:noProof/>
          <w:sz w:val="24"/>
        </w:rPr>
        <w:t xml:space="preserve">the </w:t>
      </w:r>
      <w:r w:rsidR="00775EEF">
        <w:rPr>
          <w:rFonts w:ascii="Times New Roman" w:hAnsi="Times New Roman" w:cs="Times New Roman"/>
          <w:noProof/>
          <w:sz w:val="24"/>
        </w:rPr>
        <w:t>average</w:t>
      </w:r>
      <w:r w:rsidRPr="00417AE0">
        <w:rPr>
          <w:rFonts w:ascii="Times New Roman" w:hAnsi="Times New Roman" w:cs="Times New Roman"/>
          <w:noProof/>
          <w:sz w:val="24"/>
        </w:rPr>
        <w:t xml:space="preserve"> pension rights accrued by benef</w:t>
      </w:r>
      <w:r>
        <w:rPr>
          <w:rFonts w:ascii="Times New Roman" w:hAnsi="Times New Roman" w:cs="Times New Roman"/>
          <w:noProof/>
          <w:sz w:val="24"/>
        </w:rPr>
        <w:t>iciaries of a pension</w:t>
      </w:r>
      <w:r w:rsidRPr="00417AE0">
        <w:rPr>
          <w:rFonts w:ascii="Times New Roman" w:hAnsi="Times New Roman" w:cs="Times New Roman"/>
          <w:noProof/>
          <w:sz w:val="24"/>
        </w:rPr>
        <w:t xml:space="preserve"> </w:t>
      </w:r>
      <w:r>
        <w:rPr>
          <w:rFonts w:ascii="Times New Roman" w:hAnsi="Times New Roman" w:cs="Times New Roman"/>
          <w:noProof/>
          <w:sz w:val="24"/>
        </w:rPr>
        <w:t>decreased</w:t>
      </w:r>
      <w:r w:rsidRPr="00417AE0">
        <w:rPr>
          <w:rFonts w:ascii="Times New Roman" w:hAnsi="Times New Roman" w:cs="Times New Roman"/>
          <w:noProof/>
          <w:sz w:val="24"/>
        </w:rPr>
        <w:t xml:space="preserve"> from 6</w:t>
      </w:r>
      <w:r w:rsidR="00046642">
        <w:rPr>
          <w:rFonts w:ascii="Times New Roman" w:hAnsi="Times New Roman" w:cs="Times New Roman"/>
          <w:noProof/>
          <w:sz w:val="24"/>
        </w:rPr>
        <w:t>4</w:t>
      </w:r>
      <w:r w:rsidRPr="00417AE0">
        <w:rPr>
          <w:rFonts w:ascii="Times New Roman" w:hAnsi="Times New Roman" w:cs="Times New Roman"/>
          <w:noProof/>
          <w:sz w:val="24"/>
        </w:rPr>
        <w:t>.</w:t>
      </w:r>
      <w:r w:rsidR="00046642">
        <w:rPr>
          <w:rFonts w:ascii="Times New Roman" w:hAnsi="Times New Roman" w:cs="Times New Roman"/>
          <w:noProof/>
          <w:sz w:val="24"/>
        </w:rPr>
        <w:t>6</w:t>
      </w:r>
      <w:r w:rsidRPr="00417AE0">
        <w:rPr>
          <w:rFonts w:ascii="Times New Roman" w:hAnsi="Times New Roman" w:cs="Times New Roman"/>
          <w:noProof/>
          <w:sz w:val="24"/>
        </w:rPr>
        <w:t>% in 2004 to 61.</w:t>
      </w:r>
      <w:r w:rsidR="00046642">
        <w:rPr>
          <w:rFonts w:ascii="Times New Roman" w:hAnsi="Times New Roman" w:cs="Times New Roman"/>
          <w:noProof/>
          <w:sz w:val="24"/>
        </w:rPr>
        <w:t>7</w:t>
      </w:r>
      <w:r w:rsidRPr="00417AE0">
        <w:rPr>
          <w:rFonts w:ascii="Times New Roman" w:hAnsi="Times New Roman" w:cs="Times New Roman"/>
          <w:noProof/>
          <w:sz w:val="24"/>
        </w:rPr>
        <w:t xml:space="preserve">% </w:t>
      </w:r>
      <w:r w:rsidR="00FB515E">
        <w:rPr>
          <w:rFonts w:ascii="Times New Roman" w:hAnsi="Times New Roman" w:cs="Times New Roman"/>
          <w:noProof/>
          <w:sz w:val="24"/>
        </w:rPr>
        <w:t xml:space="preserve">at the end of 2021 </w:t>
      </w:r>
      <w:r w:rsidRPr="00417AE0">
        <w:rPr>
          <w:rFonts w:ascii="Times New Roman" w:hAnsi="Times New Roman" w:cs="Times New Roman"/>
          <w:noProof/>
          <w:sz w:val="24"/>
        </w:rPr>
        <w:t>(</w:t>
      </w:r>
      <w:r w:rsidRPr="004A36ED">
        <w:rPr>
          <w:rFonts w:ascii="Times New Roman" w:hAnsi="Times New Roman" w:cs="Times New Roman"/>
          <w:noProof/>
          <w:sz w:val="24"/>
        </w:rPr>
        <w:t>Annex</w:t>
      </w:r>
      <w:r w:rsidR="004A36ED">
        <w:rPr>
          <w:rFonts w:ascii="Times New Roman" w:hAnsi="Times New Roman" w:cs="Times New Roman"/>
          <w:noProof/>
          <w:sz w:val="24"/>
        </w:rPr>
        <w:t xml:space="preserve"> 21</w:t>
      </w:r>
      <w:r w:rsidRPr="00417AE0">
        <w:rPr>
          <w:rFonts w:ascii="Times New Roman" w:hAnsi="Times New Roman" w:cs="Times New Roman"/>
          <w:noProof/>
          <w:sz w:val="24"/>
        </w:rPr>
        <w:t xml:space="preserve">). </w:t>
      </w:r>
      <w:r>
        <w:rPr>
          <w:rFonts w:ascii="Times New Roman" w:hAnsi="Times New Roman" w:cs="Times New Roman"/>
          <w:noProof/>
          <w:sz w:val="24"/>
        </w:rPr>
        <w:t>This result</w:t>
      </w:r>
      <w:r w:rsidR="00E34B38">
        <w:rPr>
          <w:rFonts w:ascii="Times New Roman" w:hAnsi="Times New Roman" w:cs="Times New Roman"/>
          <w:noProof/>
          <w:sz w:val="24"/>
        </w:rPr>
        <w:t>ed</w:t>
      </w:r>
      <w:r>
        <w:rPr>
          <w:rFonts w:ascii="Times New Roman" w:hAnsi="Times New Roman" w:cs="Times New Roman"/>
          <w:noProof/>
          <w:sz w:val="24"/>
        </w:rPr>
        <w:t xml:space="preserve"> </w:t>
      </w:r>
      <w:r w:rsidR="001A53E3" w:rsidRPr="00170470">
        <w:rPr>
          <w:rFonts w:ascii="Times New Roman" w:hAnsi="Times New Roman" w:cs="Times New Roman"/>
          <w:noProof/>
          <w:sz w:val="24"/>
        </w:rPr>
        <w:t>both</w:t>
      </w:r>
      <w:r w:rsidR="00FB515E">
        <w:rPr>
          <w:rFonts w:ascii="Times New Roman" w:hAnsi="Times New Roman" w:cs="Times New Roman"/>
          <w:noProof/>
          <w:sz w:val="24"/>
        </w:rPr>
        <w:t xml:space="preserve"> from</w:t>
      </w:r>
      <w:r w:rsidR="00E34B38">
        <w:rPr>
          <w:rFonts w:ascii="Times New Roman" w:hAnsi="Times New Roman" w:cs="Times New Roman"/>
          <w:noProof/>
          <w:sz w:val="24"/>
        </w:rPr>
        <w:t>:</w:t>
      </w:r>
    </w:p>
    <w:p w14:paraId="5994692A" w14:textId="6C8809D4" w:rsidR="00E34B38" w:rsidRDefault="001A53E3" w:rsidP="001A515A">
      <w:pPr>
        <w:pStyle w:val="ListParagraph"/>
        <w:numPr>
          <w:ilvl w:val="0"/>
          <w:numId w:val="68"/>
        </w:numPr>
        <w:jc w:val="both"/>
        <w:rPr>
          <w:rFonts w:ascii="Times New Roman" w:hAnsi="Times New Roman" w:cs="Times New Roman"/>
          <w:noProof/>
          <w:sz w:val="24"/>
        </w:rPr>
      </w:pPr>
      <w:r w:rsidRPr="001A515A">
        <w:rPr>
          <w:rFonts w:ascii="Times New Roman" w:hAnsi="Times New Roman" w:cs="Times New Roman"/>
          <w:noProof/>
          <w:sz w:val="24"/>
        </w:rPr>
        <w:t>the lower accrual rate</w:t>
      </w:r>
      <w:r w:rsidR="00061774" w:rsidRPr="001A515A">
        <w:rPr>
          <w:rFonts w:ascii="Times New Roman" w:hAnsi="Times New Roman" w:cs="Times New Roman"/>
          <w:noProof/>
          <w:sz w:val="24"/>
        </w:rPr>
        <w:t>s</w:t>
      </w:r>
      <w:r w:rsidRPr="001A515A">
        <w:rPr>
          <w:rFonts w:ascii="Times New Roman" w:hAnsi="Times New Roman" w:cs="Times New Roman"/>
          <w:noProof/>
          <w:sz w:val="24"/>
        </w:rPr>
        <w:t xml:space="preserve"> introduced </w:t>
      </w:r>
      <w:r w:rsidR="00061774" w:rsidRPr="001A515A">
        <w:rPr>
          <w:rFonts w:ascii="Times New Roman" w:hAnsi="Times New Roman" w:cs="Times New Roman"/>
          <w:noProof/>
          <w:sz w:val="24"/>
        </w:rPr>
        <w:t xml:space="preserve">in 2004 and 2014 </w:t>
      </w:r>
      <w:r w:rsidRPr="001A515A">
        <w:rPr>
          <w:rFonts w:ascii="Times New Roman" w:hAnsi="Times New Roman" w:cs="Times New Roman"/>
          <w:noProof/>
          <w:sz w:val="24"/>
        </w:rPr>
        <w:t xml:space="preserve">and </w:t>
      </w:r>
    </w:p>
    <w:p w14:paraId="323997A5" w14:textId="37426481" w:rsidR="00A92AD4" w:rsidRPr="001A515A" w:rsidRDefault="001A53E3" w:rsidP="001A515A">
      <w:pPr>
        <w:pStyle w:val="ListParagraph"/>
        <w:numPr>
          <w:ilvl w:val="0"/>
          <w:numId w:val="68"/>
        </w:numPr>
        <w:jc w:val="both"/>
        <w:rPr>
          <w:rFonts w:ascii="Times New Roman" w:hAnsi="Times New Roman" w:cs="Times New Roman"/>
          <w:noProof/>
          <w:sz w:val="24"/>
        </w:rPr>
      </w:pPr>
      <w:r w:rsidRPr="001A515A">
        <w:rPr>
          <w:rFonts w:ascii="Times New Roman" w:hAnsi="Times New Roman" w:cs="Times New Roman"/>
          <w:noProof/>
          <w:sz w:val="24"/>
        </w:rPr>
        <w:t xml:space="preserve">the ever </w:t>
      </w:r>
      <w:r w:rsidR="007E31F0">
        <w:rPr>
          <w:rFonts w:ascii="Times New Roman" w:hAnsi="Times New Roman" w:cs="Times New Roman"/>
          <w:noProof/>
          <w:sz w:val="24"/>
        </w:rPr>
        <w:t>increasing</w:t>
      </w:r>
      <w:r w:rsidR="007E31F0" w:rsidRPr="001A515A">
        <w:rPr>
          <w:rFonts w:ascii="Times New Roman" w:hAnsi="Times New Roman" w:cs="Times New Roman"/>
          <w:noProof/>
          <w:sz w:val="24"/>
        </w:rPr>
        <w:t xml:space="preserve"> </w:t>
      </w:r>
      <w:r w:rsidRPr="001A515A">
        <w:rPr>
          <w:rFonts w:ascii="Times New Roman" w:hAnsi="Times New Roman" w:cs="Times New Roman"/>
          <w:noProof/>
          <w:sz w:val="24"/>
        </w:rPr>
        <w:t xml:space="preserve">average age of entry into the </w:t>
      </w:r>
      <w:r w:rsidR="00F90202">
        <w:rPr>
          <w:rFonts w:ascii="Times New Roman" w:hAnsi="Times New Roman" w:cs="Times New Roman"/>
          <w:noProof/>
          <w:sz w:val="24"/>
        </w:rPr>
        <w:t>EU</w:t>
      </w:r>
      <w:r w:rsidR="00F90202" w:rsidRPr="001A515A">
        <w:rPr>
          <w:rFonts w:ascii="Times New Roman" w:hAnsi="Times New Roman" w:cs="Times New Roman"/>
          <w:noProof/>
          <w:sz w:val="24"/>
        </w:rPr>
        <w:t xml:space="preserve"> </w:t>
      </w:r>
      <w:r w:rsidRPr="001A515A">
        <w:rPr>
          <w:rFonts w:ascii="Times New Roman" w:hAnsi="Times New Roman" w:cs="Times New Roman"/>
          <w:noProof/>
          <w:sz w:val="24"/>
        </w:rPr>
        <w:t>civil service</w:t>
      </w:r>
      <w:r w:rsidR="00514DAA" w:rsidRPr="001A515A">
        <w:rPr>
          <w:rFonts w:ascii="Times New Roman" w:hAnsi="Times New Roman" w:cs="Times New Roman"/>
          <w:noProof/>
          <w:sz w:val="24"/>
        </w:rPr>
        <w:t>.</w:t>
      </w:r>
      <w:r w:rsidR="00775EEF" w:rsidRPr="001A515A">
        <w:rPr>
          <w:rFonts w:ascii="Times New Roman" w:hAnsi="Times New Roman" w:cs="Times New Roman"/>
          <w:noProof/>
          <w:sz w:val="24"/>
        </w:rPr>
        <w:t xml:space="preserve"> </w:t>
      </w:r>
    </w:p>
    <w:p w14:paraId="667B6663" w14:textId="015B3323" w:rsidR="001A53E3" w:rsidRPr="00170470" w:rsidRDefault="00E34B38" w:rsidP="00170470">
      <w:pPr>
        <w:jc w:val="both"/>
        <w:rPr>
          <w:rFonts w:ascii="Times New Roman" w:hAnsi="Times New Roman" w:cs="Times New Roman"/>
          <w:noProof/>
          <w:sz w:val="24"/>
        </w:rPr>
      </w:pPr>
      <w:r>
        <w:rPr>
          <w:rFonts w:ascii="Times New Roman" w:hAnsi="Times New Roman" w:cs="Times New Roman"/>
          <w:noProof/>
          <w:sz w:val="24"/>
        </w:rPr>
        <w:t>Given that</w:t>
      </w:r>
      <w:r w:rsidR="001A53E3" w:rsidRPr="00170470">
        <w:rPr>
          <w:rFonts w:ascii="Times New Roman" w:hAnsi="Times New Roman" w:cs="Times New Roman"/>
          <w:noProof/>
          <w:sz w:val="24"/>
        </w:rPr>
        <w:t xml:space="preserve"> th</w:t>
      </w:r>
      <w:r w:rsidR="00A92AD4">
        <w:rPr>
          <w:rFonts w:ascii="Times New Roman" w:hAnsi="Times New Roman" w:cs="Times New Roman"/>
          <w:noProof/>
          <w:sz w:val="24"/>
        </w:rPr>
        <w:t>e share of pensioners falling under post</w:t>
      </w:r>
      <w:r w:rsidR="00226EF9">
        <w:rPr>
          <w:rFonts w:ascii="Times New Roman" w:hAnsi="Times New Roman" w:cs="Times New Roman"/>
          <w:noProof/>
          <w:sz w:val="24"/>
        </w:rPr>
        <w:t>-</w:t>
      </w:r>
      <w:r w:rsidR="00A92AD4">
        <w:rPr>
          <w:rFonts w:ascii="Times New Roman" w:hAnsi="Times New Roman" w:cs="Times New Roman"/>
          <w:noProof/>
          <w:sz w:val="24"/>
        </w:rPr>
        <w:t>2004 and post</w:t>
      </w:r>
      <w:r w:rsidR="00226EF9">
        <w:rPr>
          <w:rFonts w:ascii="Times New Roman" w:hAnsi="Times New Roman" w:cs="Times New Roman"/>
          <w:noProof/>
          <w:sz w:val="24"/>
        </w:rPr>
        <w:t>-</w:t>
      </w:r>
      <w:r w:rsidR="00A92AD4">
        <w:rPr>
          <w:rFonts w:ascii="Times New Roman" w:hAnsi="Times New Roman" w:cs="Times New Roman"/>
          <w:noProof/>
          <w:sz w:val="24"/>
        </w:rPr>
        <w:t>2014 rules will increase</w:t>
      </w:r>
      <w:r w:rsidR="00061774">
        <w:rPr>
          <w:rFonts w:ascii="Times New Roman" w:hAnsi="Times New Roman" w:cs="Times New Roman"/>
          <w:noProof/>
          <w:sz w:val="24"/>
        </w:rPr>
        <w:t xml:space="preserve"> in the future</w:t>
      </w:r>
      <w:r w:rsidR="00A92AD4">
        <w:rPr>
          <w:rFonts w:ascii="Times New Roman" w:hAnsi="Times New Roman" w:cs="Times New Roman"/>
          <w:noProof/>
          <w:sz w:val="24"/>
        </w:rPr>
        <w:t xml:space="preserve">, the observed </w:t>
      </w:r>
      <w:r w:rsidR="00061774">
        <w:rPr>
          <w:rFonts w:ascii="Times New Roman" w:hAnsi="Times New Roman" w:cs="Times New Roman"/>
          <w:noProof/>
          <w:sz w:val="24"/>
        </w:rPr>
        <w:t xml:space="preserve">sharp </w:t>
      </w:r>
      <w:r w:rsidR="00A92AD4">
        <w:rPr>
          <w:rFonts w:ascii="Times New Roman" w:hAnsi="Times New Roman" w:cs="Times New Roman"/>
          <w:noProof/>
          <w:sz w:val="24"/>
        </w:rPr>
        <w:t>decrease of the average pension right</w:t>
      </w:r>
      <w:r w:rsidR="00E47902">
        <w:rPr>
          <w:rFonts w:ascii="Times New Roman" w:hAnsi="Times New Roman" w:cs="Times New Roman"/>
          <w:noProof/>
          <w:sz w:val="24"/>
        </w:rPr>
        <w:t>s</w:t>
      </w:r>
      <w:r w:rsidR="00A92AD4">
        <w:rPr>
          <w:rFonts w:ascii="Times New Roman" w:hAnsi="Times New Roman" w:cs="Times New Roman"/>
          <w:noProof/>
          <w:sz w:val="24"/>
        </w:rPr>
        <w:t xml:space="preserve"> acquired </w:t>
      </w:r>
      <w:r w:rsidR="00061774">
        <w:rPr>
          <w:rFonts w:ascii="Times New Roman" w:hAnsi="Times New Roman" w:cs="Times New Roman"/>
          <w:noProof/>
          <w:sz w:val="24"/>
        </w:rPr>
        <w:t xml:space="preserve">by beneficiaries </w:t>
      </w:r>
      <w:r w:rsidR="00A92AD4">
        <w:rPr>
          <w:rFonts w:ascii="Times New Roman" w:hAnsi="Times New Roman" w:cs="Times New Roman"/>
          <w:noProof/>
          <w:sz w:val="24"/>
        </w:rPr>
        <w:t xml:space="preserve">will </w:t>
      </w:r>
      <w:r w:rsidR="001A53E3" w:rsidRPr="00170470">
        <w:rPr>
          <w:rFonts w:ascii="Times New Roman" w:hAnsi="Times New Roman" w:cs="Times New Roman"/>
          <w:noProof/>
          <w:sz w:val="24"/>
        </w:rPr>
        <w:t xml:space="preserve">continue decreasing over the next years. </w:t>
      </w:r>
      <w:r w:rsidR="00166AB8">
        <w:rPr>
          <w:rFonts w:ascii="Times New Roman" w:hAnsi="Times New Roman" w:cs="Times New Roman"/>
          <w:noProof/>
          <w:sz w:val="24"/>
        </w:rPr>
        <w:t>In addition, t</w:t>
      </w:r>
      <w:r w:rsidR="008C4115">
        <w:rPr>
          <w:rFonts w:ascii="Times New Roman" w:hAnsi="Times New Roman" w:cs="Times New Roman"/>
          <w:noProof/>
          <w:sz w:val="24"/>
        </w:rPr>
        <w:t xml:space="preserve">he progressive phasing out of pension correction coefficients will also result in </w:t>
      </w:r>
      <w:r w:rsidR="000D0BE4">
        <w:rPr>
          <w:rFonts w:ascii="Times New Roman" w:hAnsi="Times New Roman" w:cs="Times New Roman"/>
          <w:noProof/>
          <w:sz w:val="24"/>
        </w:rPr>
        <w:t>considerable</w:t>
      </w:r>
      <w:r w:rsidR="008C4115">
        <w:rPr>
          <w:rFonts w:ascii="Times New Roman" w:hAnsi="Times New Roman" w:cs="Times New Roman"/>
          <w:noProof/>
          <w:sz w:val="24"/>
        </w:rPr>
        <w:t xml:space="preserve"> savings</w:t>
      </w:r>
      <w:r w:rsidR="008C4115" w:rsidRPr="00515559">
        <w:rPr>
          <w:rStyle w:val="FootnoteReference"/>
          <w:rFonts w:ascii="Times New Roman" w:hAnsi="Times New Roman" w:cs="Times New Roman"/>
          <w:noProof/>
          <w:sz w:val="24"/>
        </w:rPr>
        <w:footnoteReference w:id="36"/>
      </w:r>
      <w:r w:rsidR="00AA5FBB" w:rsidRPr="00515559">
        <w:rPr>
          <w:rFonts w:ascii="Times New Roman" w:hAnsi="Times New Roman" w:cs="Times New Roman"/>
          <w:noProof/>
          <w:sz w:val="24"/>
        </w:rPr>
        <w:t xml:space="preserve"> (Annex 15)</w:t>
      </w:r>
      <w:r w:rsidR="00A92AD4" w:rsidRPr="00515559">
        <w:rPr>
          <w:rFonts w:ascii="Times New Roman" w:hAnsi="Times New Roman" w:cs="Times New Roman"/>
          <w:noProof/>
          <w:sz w:val="24"/>
        </w:rPr>
        <w:t>.</w:t>
      </w:r>
    </w:p>
    <w:p w14:paraId="4019C352" w14:textId="073F090F" w:rsidR="00AC54B3" w:rsidRPr="0040165C" w:rsidRDefault="00726FC0" w:rsidP="00AC54B3">
      <w:pPr>
        <w:jc w:val="both"/>
        <w:rPr>
          <w:rFonts w:ascii="Times New Roman" w:hAnsi="Times New Roman" w:cs="Times New Roman"/>
          <w:noProof/>
          <w:sz w:val="24"/>
        </w:rPr>
      </w:pPr>
      <w:r>
        <w:rPr>
          <w:rFonts w:ascii="Times New Roman" w:hAnsi="Times New Roman" w:cs="Times New Roman"/>
          <w:noProof/>
          <w:sz w:val="24"/>
        </w:rPr>
        <w:t>These structural changes are also</w:t>
      </w:r>
      <w:r w:rsidR="00AE7B65">
        <w:rPr>
          <w:rFonts w:ascii="Times New Roman" w:hAnsi="Times New Roman" w:cs="Times New Roman"/>
          <w:noProof/>
          <w:sz w:val="24"/>
        </w:rPr>
        <w:t xml:space="preserve"> reflected by the </w:t>
      </w:r>
      <w:r w:rsidR="00AE7B65" w:rsidRPr="00E569DE">
        <w:rPr>
          <w:rFonts w:ascii="Times New Roman" w:hAnsi="Times New Roman" w:cs="Times New Roman"/>
          <w:noProof/>
          <w:sz w:val="24"/>
        </w:rPr>
        <w:t xml:space="preserve">evolution </w:t>
      </w:r>
      <w:r w:rsidR="00AE7B65" w:rsidRPr="007E31F0">
        <w:rPr>
          <w:rFonts w:ascii="Times New Roman" w:hAnsi="Times New Roman" w:cs="Times New Roman"/>
          <w:noProof/>
          <w:sz w:val="24"/>
        </w:rPr>
        <w:t>of</w:t>
      </w:r>
      <w:r w:rsidR="00ED6726" w:rsidRPr="007E31F0">
        <w:rPr>
          <w:rFonts w:ascii="Times New Roman" w:hAnsi="Times New Roman" w:cs="Times New Roman"/>
          <w:noProof/>
          <w:sz w:val="24"/>
        </w:rPr>
        <w:t xml:space="preserve"> the average basic salary </w:t>
      </w:r>
      <w:r w:rsidR="00046642" w:rsidRPr="007E31F0">
        <w:rPr>
          <w:rFonts w:ascii="Times New Roman" w:hAnsi="Times New Roman" w:cs="Times New Roman"/>
          <w:noProof/>
          <w:sz w:val="24"/>
        </w:rPr>
        <w:t xml:space="preserve">when entering the service </w:t>
      </w:r>
      <w:r w:rsidR="00AE7B65" w:rsidRPr="007E31F0">
        <w:rPr>
          <w:rFonts w:ascii="Times New Roman" w:hAnsi="Times New Roman" w:cs="Times New Roman"/>
          <w:noProof/>
          <w:sz w:val="24"/>
        </w:rPr>
        <w:t>(-</w:t>
      </w:r>
      <w:r w:rsidR="00ED6726" w:rsidRPr="005A4C74">
        <w:rPr>
          <w:rFonts w:ascii="Times New Roman" w:hAnsi="Times New Roman" w:cs="Times New Roman"/>
          <w:noProof/>
          <w:sz w:val="24"/>
        </w:rPr>
        <w:t>15%</w:t>
      </w:r>
      <w:r w:rsidR="00AE7B65" w:rsidRPr="005A4C74">
        <w:rPr>
          <w:rFonts w:ascii="Times New Roman" w:hAnsi="Times New Roman" w:cs="Times New Roman"/>
          <w:noProof/>
          <w:sz w:val="24"/>
        </w:rPr>
        <w:t>)</w:t>
      </w:r>
      <w:r w:rsidR="00ED6726" w:rsidRPr="007173AC">
        <w:rPr>
          <w:rFonts w:ascii="Times New Roman" w:hAnsi="Times New Roman" w:cs="Times New Roman"/>
          <w:noProof/>
          <w:sz w:val="24"/>
        </w:rPr>
        <w:t xml:space="preserve"> </w:t>
      </w:r>
      <w:r w:rsidR="000818C3" w:rsidRPr="007173AC">
        <w:rPr>
          <w:rFonts w:ascii="Times New Roman" w:hAnsi="Times New Roman" w:cs="Times New Roman"/>
          <w:noProof/>
          <w:sz w:val="24"/>
        </w:rPr>
        <w:t xml:space="preserve">and </w:t>
      </w:r>
      <w:r w:rsidR="00AE7B65" w:rsidRPr="007173AC">
        <w:rPr>
          <w:rFonts w:ascii="Times New Roman" w:hAnsi="Times New Roman" w:cs="Times New Roman"/>
          <w:noProof/>
          <w:sz w:val="24"/>
        </w:rPr>
        <w:t>when leaving the service (-</w:t>
      </w:r>
      <w:r w:rsidR="000818C3" w:rsidRPr="007173AC">
        <w:rPr>
          <w:rFonts w:ascii="Times New Roman" w:hAnsi="Times New Roman" w:cs="Times New Roman"/>
          <w:noProof/>
          <w:sz w:val="24"/>
        </w:rPr>
        <w:t>11</w:t>
      </w:r>
      <w:r w:rsidR="000818C3" w:rsidRPr="007E31F0">
        <w:rPr>
          <w:rFonts w:ascii="Times New Roman" w:hAnsi="Times New Roman" w:cs="Times New Roman"/>
          <w:noProof/>
          <w:sz w:val="24"/>
        </w:rPr>
        <w:t>%</w:t>
      </w:r>
      <w:r w:rsidR="00AE7B65" w:rsidRPr="007E31F0">
        <w:rPr>
          <w:rFonts w:ascii="Times New Roman" w:hAnsi="Times New Roman" w:cs="Times New Roman"/>
          <w:noProof/>
          <w:sz w:val="24"/>
        </w:rPr>
        <w:t>)</w:t>
      </w:r>
      <w:r w:rsidR="000818C3" w:rsidRPr="007E31F0">
        <w:rPr>
          <w:rFonts w:ascii="Times New Roman" w:hAnsi="Times New Roman" w:cs="Times New Roman"/>
          <w:noProof/>
          <w:sz w:val="24"/>
        </w:rPr>
        <w:t>.</w:t>
      </w:r>
      <w:r w:rsidR="00AE7B65" w:rsidRPr="00E569DE">
        <w:rPr>
          <w:rFonts w:ascii="Times New Roman" w:hAnsi="Times New Roman" w:cs="Times New Roman"/>
          <w:noProof/>
          <w:sz w:val="24"/>
        </w:rPr>
        <w:t xml:space="preserve"> </w:t>
      </w:r>
      <w:r w:rsidR="00D046AC">
        <w:rPr>
          <w:rFonts w:ascii="Times New Roman" w:hAnsi="Times New Roman" w:cs="Times New Roman"/>
          <w:noProof/>
          <w:sz w:val="24"/>
        </w:rPr>
        <w:t>This confirms</w:t>
      </w:r>
      <w:r w:rsidR="00ED6726" w:rsidRPr="00E569DE">
        <w:rPr>
          <w:rFonts w:ascii="Times New Roman" w:hAnsi="Times New Roman" w:cs="Times New Roman"/>
          <w:noProof/>
          <w:sz w:val="24"/>
        </w:rPr>
        <w:t xml:space="preserve"> the far reaching effects of the </w:t>
      </w:r>
      <w:r w:rsidR="00E34B38">
        <w:rPr>
          <w:rFonts w:ascii="Times New Roman" w:hAnsi="Times New Roman" w:cs="Times New Roman"/>
          <w:noProof/>
          <w:sz w:val="24"/>
        </w:rPr>
        <w:t xml:space="preserve">two </w:t>
      </w:r>
      <w:r w:rsidR="00ED6726" w:rsidRPr="00E569DE">
        <w:rPr>
          <w:rFonts w:ascii="Times New Roman" w:hAnsi="Times New Roman" w:cs="Times New Roman"/>
          <w:noProof/>
          <w:sz w:val="24"/>
        </w:rPr>
        <w:t>reform</w:t>
      </w:r>
      <w:r w:rsidR="00046642" w:rsidRPr="00E569DE">
        <w:rPr>
          <w:rFonts w:ascii="Times New Roman" w:hAnsi="Times New Roman" w:cs="Times New Roman"/>
          <w:noProof/>
          <w:sz w:val="24"/>
        </w:rPr>
        <w:t>s</w:t>
      </w:r>
      <w:r w:rsidR="00ED6726" w:rsidRPr="00E569DE">
        <w:rPr>
          <w:rFonts w:ascii="Times New Roman" w:hAnsi="Times New Roman" w:cs="Times New Roman"/>
          <w:noProof/>
          <w:sz w:val="24"/>
        </w:rPr>
        <w:t xml:space="preserve"> of the Staff Regulations</w:t>
      </w:r>
      <w:r w:rsidR="00BF15F4">
        <w:rPr>
          <w:rFonts w:ascii="Times New Roman" w:hAnsi="Times New Roman" w:cs="Times New Roman"/>
          <w:noProof/>
          <w:sz w:val="24"/>
        </w:rPr>
        <w:t xml:space="preserve"> on the level of remuneration</w:t>
      </w:r>
      <w:r w:rsidR="00253CA6">
        <w:rPr>
          <w:rFonts w:ascii="Times New Roman" w:hAnsi="Times New Roman" w:cs="Times New Roman"/>
          <w:noProof/>
          <w:sz w:val="24"/>
        </w:rPr>
        <w:t>, which directly affect the level of ensuing pension benefits</w:t>
      </w:r>
      <w:r w:rsidR="00AD6B66" w:rsidRPr="00E569DE">
        <w:rPr>
          <w:rFonts w:ascii="Times New Roman" w:hAnsi="Times New Roman" w:cs="Times New Roman"/>
          <w:noProof/>
          <w:sz w:val="24"/>
        </w:rPr>
        <w:t>.</w:t>
      </w:r>
    </w:p>
    <w:p w14:paraId="3766F9CE" w14:textId="3D02F3F9" w:rsidR="001A53E3" w:rsidRPr="00170470" w:rsidRDefault="00061774" w:rsidP="00170470">
      <w:pPr>
        <w:jc w:val="both"/>
        <w:rPr>
          <w:rFonts w:ascii="Times New Roman" w:hAnsi="Times New Roman" w:cs="Times New Roman"/>
          <w:noProof/>
          <w:sz w:val="24"/>
        </w:rPr>
      </w:pPr>
      <w:r>
        <w:rPr>
          <w:rFonts w:ascii="Times New Roman" w:hAnsi="Times New Roman" w:cs="Times New Roman"/>
          <w:noProof/>
          <w:sz w:val="24"/>
        </w:rPr>
        <w:t xml:space="preserve">In </w:t>
      </w:r>
      <w:r w:rsidRPr="00405463">
        <w:rPr>
          <w:rFonts w:ascii="Times New Roman" w:hAnsi="Times New Roman" w:cs="Times New Roman"/>
          <w:noProof/>
          <w:sz w:val="24"/>
        </w:rPr>
        <w:t>addition to the</w:t>
      </w:r>
      <w:r w:rsidR="00A92AD4" w:rsidRPr="00405463">
        <w:rPr>
          <w:rFonts w:ascii="Times New Roman" w:hAnsi="Times New Roman" w:cs="Times New Roman"/>
          <w:noProof/>
          <w:sz w:val="24"/>
        </w:rPr>
        <w:t>s</w:t>
      </w:r>
      <w:r w:rsidRPr="00405463">
        <w:rPr>
          <w:rFonts w:ascii="Times New Roman" w:hAnsi="Times New Roman" w:cs="Times New Roman"/>
          <w:noProof/>
          <w:sz w:val="24"/>
        </w:rPr>
        <w:t>e structural changes</w:t>
      </w:r>
      <w:r w:rsidR="00A92AD4" w:rsidRPr="00405463">
        <w:rPr>
          <w:rFonts w:ascii="Times New Roman" w:hAnsi="Times New Roman" w:cs="Times New Roman"/>
          <w:noProof/>
          <w:sz w:val="24"/>
        </w:rPr>
        <w:t xml:space="preserve">, the 2014 reform of the Staff Regulations </w:t>
      </w:r>
      <w:r w:rsidR="00726FC0">
        <w:rPr>
          <w:rFonts w:ascii="Times New Roman" w:hAnsi="Times New Roman" w:cs="Times New Roman"/>
          <w:noProof/>
          <w:sz w:val="24"/>
        </w:rPr>
        <w:t xml:space="preserve">alone </w:t>
      </w:r>
      <w:r w:rsidR="006911BD" w:rsidRPr="00405463">
        <w:rPr>
          <w:rFonts w:ascii="Times New Roman" w:hAnsi="Times New Roman" w:cs="Times New Roman"/>
          <w:noProof/>
          <w:sz w:val="24"/>
        </w:rPr>
        <w:t xml:space="preserve">already generated </w:t>
      </w:r>
      <w:r w:rsidR="00DE3E4B">
        <w:rPr>
          <w:rFonts w:ascii="Times New Roman" w:hAnsi="Times New Roman" w:cs="Times New Roman"/>
          <w:noProof/>
          <w:sz w:val="24"/>
        </w:rPr>
        <w:t xml:space="preserve">around </w:t>
      </w:r>
      <w:r w:rsidR="006911BD" w:rsidRPr="00405463">
        <w:rPr>
          <w:rFonts w:ascii="Times New Roman" w:hAnsi="Times New Roman" w:cs="Times New Roman"/>
          <w:noProof/>
          <w:sz w:val="24"/>
        </w:rPr>
        <w:t xml:space="preserve">EUR </w:t>
      </w:r>
      <w:r w:rsidR="00557150">
        <w:rPr>
          <w:rFonts w:ascii="Times New Roman" w:hAnsi="Times New Roman" w:cs="Times New Roman"/>
          <w:noProof/>
          <w:sz w:val="24"/>
        </w:rPr>
        <w:t>1.5</w:t>
      </w:r>
      <w:r w:rsidR="00DA7381">
        <w:rPr>
          <w:rFonts w:ascii="Times New Roman" w:hAnsi="Times New Roman" w:cs="Times New Roman"/>
          <w:noProof/>
          <w:sz w:val="24"/>
        </w:rPr>
        <w:t xml:space="preserve"> </w:t>
      </w:r>
      <w:r w:rsidR="00DE3E4B">
        <w:rPr>
          <w:rFonts w:ascii="Times New Roman" w:hAnsi="Times New Roman" w:cs="Times New Roman"/>
          <w:noProof/>
          <w:sz w:val="24"/>
        </w:rPr>
        <w:t xml:space="preserve">billion </w:t>
      </w:r>
      <w:r w:rsidRPr="00405463">
        <w:rPr>
          <w:rFonts w:ascii="Times New Roman" w:hAnsi="Times New Roman" w:cs="Times New Roman"/>
          <w:noProof/>
          <w:sz w:val="24"/>
        </w:rPr>
        <w:t xml:space="preserve">savings </w:t>
      </w:r>
      <w:r w:rsidR="00557150">
        <w:rPr>
          <w:rFonts w:ascii="Times New Roman" w:hAnsi="Times New Roman" w:cs="Times New Roman"/>
          <w:noProof/>
          <w:sz w:val="24"/>
        </w:rPr>
        <w:t>i</w:t>
      </w:r>
      <w:r w:rsidR="00557150" w:rsidRPr="00405463">
        <w:rPr>
          <w:rFonts w:ascii="Times New Roman" w:hAnsi="Times New Roman" w:cs="Times New Roman"/>
          <w:noProof/>
          <w:sz w:val="24"/>
        </w:rPr>
        <w:t xml:space="preserve">n </w:t>
      </w:r>
      <w:r>
        <w:rPr>
          <w:rFonts w:ascii="Times New Roman" w:hAnsi="Times New Roman" w:cs="Times New Roman"/>
          <w:noProof/>
          <w:sz w:val="24"/>
        </w:rPr>
        <w:t>pension expenditure</w:t>
      </w:r>
      <w:r w:rsidR="006911BD">
        <w:rPr>
          <w:rFonts w:ascii="Times New Roman" w:hAnsi="Times New Roman" w:cs="Times New Roman"/>
          <w:noProof/>
          <w:sz w:val="24"/>
        </w:rPr>
        <w:t xml:space="preserve"> </w:t>
      </w:r>
      <w:r w:rsidR="005015B4">
        <w:rPr>
          <w:rFonts w:ascii="Times New Roman" w:hAnsi="Times New Roman" w:cs="Times New Roman"/>
          <w:noProof/>
          <w:sz w:val="24"/>
        </w:rPr>
        <w:t>a</w:t>
      </w:r>
      <w:r>
        <w:rPr>
          <w:rFonts w:ascii="Times New Roman" w:hAnsi="Times New Roman" w:cs="Times New Roman"/>
          <w:noProof/>
          <w:sz w:val="24"/>
        </w:rPr>
        <w:t xml:space="preserve">s compared </w:t>
      </w:r>
      <w:r w:rsidR="001A53E3" w:rsidRPr="00170470">
        <w:rPr>
          <w:rFonts w:ascii="Times New Roman" w:hAnsi="Times New Roman" w:cs="Times New Roman"/>
          <w:noProof/>
          <w:sz w:val="24"/>
        </w:rPr>
        <w:t>to the budgetary estimates preceding the 2014 reform of the Staff Regulations</w:t>
      </w:r>
      <w:r w:rsidR="00C240F4">
        <w:rPr>
          <w:rFonts w:ascii="Times New Roman" w:hAnsi="Times New Roman" w:cs="Times New Roman"/>
          <w:noProof/>
          <w:sz w:val="24"/>
        </w:rPr>
        <w:t xml:space="preserve"> (Annex </w:t>
      </w:r>
      <w:r w:rsidR="00D046AC">
        <w:rPr>
          <w:rFonts w:ascii="Times New Roman" w:hAnsi="Times New Roman" w:cs="Times New Roman"/>
          <w:noProof/>
          <w:sz w:val="24"/>
        </w:rPr>
        <w:t>22</w:t>
      </w:r>
      <w:r w:rsidR="00C240F4">
        <w:rPr>
          <w:rFonts w:ascii="Times New Roman" w:hAnsi="Times New Roman" w:cs="Times New Roman"/>
          <w:noProof/>
          <w:sz w:val="24"/>
        </w:rPr>
        <w:t>)</w:t>
      </w:r>
      <w:r w:rsidR="001A53E3" w:rsidRPr="00170470">
        <w:rPr>
          <w:rFonts w:ascii="Times New Roman" w:hAnsi="Times New Roman" w:cs="Times New Roman"/>
          <w:noProof/>
          <w:sz w:val="24"/>
        </w:rPr>
        <w:t xml:space="preserve">. </w:t>
      </w:r>
    </w:p>
    <w:p w14:paraId="048A2596" w14:textId="40833165" w:rsidR="00FA65D1" w:rsidRDefault="00904CDB" w:rsidP="00170470">
      <w:pPr>
        <w:jc w:val="both"/>
        <w:rPr>
          <w:rFonts w:ascii="Times New Roman" w:hAnsi="Times New Roman" w:cs="Times New Roman"/>
          <w:noProof/>
          <w:sz w:val="24"/>
        </w:rPr>
      </w:pPr>
      <w:r w:rsidRPr="00170470">
        <w:rPr>
          <w:rFonts w:ascii="Times New Roman" w:hAnsi="Times New Roman" w:cs="Times New Roman"/>
          <w:noProof/>
          <w:sz w:val="24"/>
        </w:rPr>
        <w:t>Finally</w:t>
      </w:r>
      <w:r>
        <w:rPr>
          <w:rFonts w:ascii="Times New Roman" w:hAnsi="Times New Roman" w:cs="Times New Roman"/>
          <w:noProof/>
          <w:sz w:val="24"/>
        </w:rPr>
        <w:t xml:space="preserve">, </w:t>
      </w:r>
      <w:r w:rsidR="00F73B60">
        <w:rPr>
          <w:rFonts w:ascii="Times New Roman" w:hAnsi="Times New Roman" w:cs="Times New Roman"/>
          <w:noProof/>
          <w:sz w:val="24"/>
        </w:rPr>
        <w:t xml:space="preserve">going beyond the actuarial logic on which the PSEO is based, from budgetary perspective </w:t>
      </w:r>
      <w:r>
        <w:rPr>
          <w:rFonts w:ascii="Times New Roman" w:hAnsi="Times New Roman" w:cs="Times New Roman"/>
          <w:noProof/>
          <w:sz w:val="24"/>
        </w:rPr>
        <w:t xml:space="preserve">it is interesting to note that the current level </w:t>
      </w:r>
      <w:r w:rsidRPr="006D49A2">
        <w:rPr>
          <w:rFonts w:ascii="Times New Roman" w:hAnsi="Times New Roman" w:cs="Times New Roman"/>
          <w:noProof/>
          <w:sz w:val="24"/>
        </w:rPr>
        <w:t xml:space="preserve">of the service cost (i.e. </w:t>
      </w:r>
      <w:r w:rsidR="00C240F4" w:rsidRPr="006D49A2">
        <w:rPr>
          <w:rFonts w:ascii="Times New Roman" w:hAnsi="Times New Roman" w:cs="Times New Roman"/>
          <w:noProof/>
          <w:sz w:val="24"/>
        </w:rPr>
        <w:t xml:space="preserve">EUR </w:t>
      </w:r>
      <w:r w:rsidR="00405463" w:rsidRPr="006D49A2">
        <w:rPr>
          <w:rFonts w:ascii="Times New Roman" w:hAnsi="Times New Roman" w:cs="Times New Roman"/>
          <w:noProof/>
          <w:sz w:val="24"/>
        </w:rPr>
        <w:t xml:space="preserve">1700 million </w:t>
      </w:r>
      <w:r w:rsidR="00C240F4" w:rsidRPr="006D49A2">
        <w:rPr>
          <w:rFonts w:ascii="Times New Roman" w:hAnsi="Times New Roman" w:cs="Times New Roman"/>
          <w:noProof/>
          <w:sz w:val="24"/>
        </w:rPr>
        <w:t xml:space="preserve">representing </w:t>
      </w:r>
      <w:r w:rsidRPr="006D49A2">
        <w:rPr>
          <w:rFonts w:ascii="Times New Roman" w:hAnsi="Times New Roman" w:cs="Times New Roman"/>
          <w:noProof/>
          <w:sz w:val="24"/>
        </w:rPr>
        <w:t xml:space="preserve">the sum of the actuarial values of rights acquired by </w:t>
      </w:r>
      <w:r w:rsidR="00E34B38" w:rsidRPr="006D49A2">
        <w:rPr>
          <w:rFonts w:ascii="Times New Roman" w:hAnsi="Times New Roman" w:cs="Times New Roman"/>
          <w:noProof/>
          <w:sz w:val="24"/>
        </w:rPr>
        <w:t xml:space="preserve">contributing </w:t>
      </w:r>
      <w:r w:rsidRPr="006D49A2">
        <w:rPr>
          <w:rFonts w:ascii="Times New Roman" w:hAnsi="Times New Roman" w:cs="Times New Roman"/>
          <w:noProof/>
          <w:sz w:val="24"/>
        </w:rPr>
        <w:t>members of staff in a given year) is lower than the current level of the pension expenditure</w:t>
      </w:r>
      <w:r w:rsidR="007173AC" w:rsidRPr="006D49A2">
        <w:rPr>
          <w:rFonts w:ascii="Times New Roman" w:hAnsi="Times New Roman" w:cs="Times New Roman"/>
          <w:noProof/>
          <w:sz w:val="24"/>
        </w:rPr>
        <w:t xml:space="preserve"> (EUR </w:t>
      </w:r>
      <w:r w:rsidR="00534BE1" w:rsidRPr="006D49A2">
        <w:rPr>
          <w:rFonts w:ascii="Times New Roman" w:hAnsi="Times New Roman" w:cs="Times New Roman"/>
          <w:noProof/>
          <w:sz w:val="24"/>
        </w:rPr>
        <w:t>2</w:t>
      </w:r>
      <w:r w:rsidR="00534BE1">
        <w:rPr>
          <w:rFonts w:ascii="Times New Roman" w:hAnsi="Times New Roman" w:cs="Times New Roman"/>
          <w:noProof/>
          <w:sz w:val="24"/>
        </w:rPr>
        <w:t>4</w:t>
      </w:r>
      <w:r w:rsidR="00534BE1" w:rsidRPr="006D49A2">
        <w:rPr>
          <w:rFonts w:ascii="Times New Roman" w:hAnsi="Times New Roman" w:cs="Times New Roman"/>
          <w:noProof/>
          <w:sz w:val="24"/>
        </w:rPr>
        <w:t xml:space="preserve">00 </w:t>
      </w:r>
      <w:r w:rsidR="007173AC" w:rsidRPr="006D49A2">
        <w:rPr>
          <w:rFonts w:ascii="Times New Roman" w:hAnsi="Times New Roman" w:cs="Times New Roman"/>
          <w:noProof/>
          <w:sz w:val="24"/>
        </w:rPr>
        <w:t>million)</w:t>
      </w:r>
      <w:r w:rsidRPr="006D49A2">
        <w:rPr>
          <w:rFonts w:ascii="Times New Roman" w:hAnsi="Times New Roman" w:cs="Times New Roman"/>
          <w:noProof/>
          <w:sz w:val="24"/>
        </w:rPr>
        <w:t xml:space="preserve">. In other words, </w:t>
      </w:r>
      <w:r w:rsidR="007173AC" w:rsidRPr="006D49A2">
        <w:rPr>
          <w:rFonts w:ascii="Times New Roman" w:hAnsi="Times New Roman" w:cs="Times New Roman"/>
          <w:noProof/>
          <w:sz w:val="24"/>
        </w:rPr>
        <w:t xml:space="preserve">if the </w:t>
      </w:r>
      <w:r w:rsidRPr="006D49A2">
        <w:rPr>
          <w:rFonts w:ascii="Times New Roman" w:hAnsi="Times New Roman" w:cs="Times New Roman"/>
          <w:noProof/>
          <w:sz w:val="24"/>
        </w:rPr>
        <w:t>entirety of</w:t>
      </w:r>
      <w:r w:rsidR="00D06F56" w:rsidRPr="006D49A2">
        <w:rPr>
          <w:rFonts w:ascii="Times New Roman" w:hAnsi="Times New Roman" w:cs="Times New Roman"/>
          <w:noProof/>
          <w:sz w:val="24"/>
        </w:rPr>
        <w:t xml:space="preserve"> the pension</w:t>
      </w:r>
      <w:r w:rsidRPr="006D49A2">
        <w:rPr>
          <w:rFonts w:ascii="Times New Roman" w:hAnsi="Times New Roman" w:cs="Times New Roman"/>
          <w:noProof/>
          <w:sz w:val="24"/>
        </w:rPr>
        <w:t xml:space="preserve"> rights</w:t>
      </w:r>
      <w:r>
        <w:rPr>
          <w:rFonts w:ascii="Times New Roman" w:hAnsi="Times New Roman" w:cs="Times New Roman"/>
          <w:noProof/>
          <w:sz w:val="24"/>
        </w:rPr>
        <w:t xml:space="preserve"> acquired </w:t>
      </w:r>
      <w:r w:rsidR="00D06F56">
        <w:rPr>
          <w:rFonts w:ascii="Times New Roman" w:hAnsi="Times New Roman" w:cs="Times New Roman"/>
          <w:noProof/>
          <w:sz w:val="24"/>
        </w:rPr>
        <w:t xml:space="preserve">by staff members </w:t>
      </w:r>
      <w:r>
        <w:rPr>
          <w:rFonts w:ascii="Times New Roman" w:hAnsi="Times New Roman" w:cs="Times New Roman"/>
          <w:noProof/>
          <w:sz w:val="24"/>
        </w:rPr>
        <w:t xml:space="preserve">in 2022 </w:t>
      </w:r>
      <w:r w:rsidR="007173AC">
        <w:rPr>
          <w:rFonts w:ascii="Times New Roman" w:hAnsi="Times New Roman" w:cs="Times New Roman"/>
          <w:noProof/>
          <w:sz w:val="24"/>
        </w:rPr>
        <w:t xml:space="preserve">were </w:t>
      </w:r>
      <w:r w:rsidR="001A5E4B">
        <w:rPr>
          <w:rFonts w:ascii="Times New Roman" w:hAnsi="Times New Roman" w:cs="Times New Roman"/>
          <w:noProof/>
          <w:sz w:val="24"/>
        </w:rPr>
        <w:t xml:space="preserve">put aside </w:t>
      </w:r>
      <w:r w:rsidR="00276551">
        <w:rPr>
          <w:rFonts w:ascii="Times New Roman" w:hAnsi="Times New Roman" w:cs="Times New Roman"/>
          <w:noProof/>
          <w:sz w:val="24"/>
        </w:rPr>
        <w:t xml:space="preserve">in a </w:t>
      </w:r>
      <w:r w:rsidR="00DE559A">
        <w:rPr>
          <w:rFonts w:ascii="Times New Roman" w:hAnsi="Times New Roman" w:cs="Times New Roman"/>
          <w:noProof/>
          <w:sz w:val="24"/>
        </w:rPr>
        <w:t xml:space="preserve">funded </w:t>
      </w:r>
      <w:r w:rsidR="00276551">
        <w:rPr>
          <w:rFonts w:ascii="Times New Roman" w:hAnsi="Times New Roman" w:cs="Times New Roman"/>
          <w:noProof/>
          <w:sz w:val="24"/>
        </w:rPr>
        <w:t>pension fund</w:t>
      </w:r>
      <w:r w:rsidR="007173AC">
        <w:rPr>
          <w:rFonts w:ascii="Times New Roman" w:hAnsi="Times New Roman" w:cs="Times New Roman"/>
          <w:noProof/>
          <w:sz w:val="24"/>
        </w:rPr>
        <w:t xml:space="preserve">, it would be </w:t>
      </w:r>
      <w:r w:rsidR="00557150">
        <w:rPr>
          <w:rFonts w:ascii="Times New Roman" w:hAnsi="Times New Roman" w:cs="Times New Roman"/>
          <w:noProof/>
          <w:sz w:val="24"/>
        </w:rPr>
        <w:t>a lower amount</w:t>
      </w:r>
      <w:r w:rsidR="00D06F56">
        <w:rPr>
          <w:rFonts w:ascii="Times New Roman" w:hAnsi="Times New Roman" w:cs="Times New Roman"/>
          <w:noProof/>
          <w:sz w:val="24"/>
        </w:rPr>
        <w:t xml:space="preserve"> than </w:t>
      </w:r>
      <w:r w:rsidR="00557150">
        <w:rPr>
          <w:rFonts w:ascii="Times New Roman" w:hAnsi="Times New Roman" w:cs="Times New Roman"/>
          <w:noProof/>
          <w:sz w:val="24"/>
        </w:rPr>
        <w:t xml:space="preserve">that of </w:t>
      </w:r>
      <w:r w:rsidR="00D06F56">
        <w:rPr>
          <w:rFonts w:ascii="Times New Roman" w:hAnsi="Times New Roman" w:cs="Times New Roman"/>
          <w:noProof/>
          <w:sz w:val="24"/>
        </w:rPr>
        <w:t>pension expenditure</w:t>
      </w:r>
      <w:r w:rsidR="007173AC">
        <w:rPr>
          <w:rFonts w:ascii="Times New Roman" w:hAnsi="Times New Roman" w:cs="Times New Roman"/>
          <w:noProof/>
          <w:sz w:val="24"/>
        </w:rPr>
        <w:t xml:space="preserve"> in current prices</w:t>
      </w:r>
      <w:r w:rsidR="00D06F56">
        <w:rPr>
          <w:rFonts w:ascii="Times New Roman" w:hAnsi="Times New Roman" w:cs="Times New Roman"/>
          <w:noProof/>
          <w:sz w:val="24"/>
        </w:rPr>
        <w:t>. This</w:t>
      </w:r>
      <w:r w:rsidR="007173AC">
        <w:rPr>
          <w:rFonts w:ascii="Times New Roman" w:hAnsi="Times New Roman" w:cs="Times New Roman"/>
          <w:noProof/>
          <w:sz w:val="24"/>
        </w:rPr>
        <w:t xml:space="preserve"> is another</w:t>
      </w:r>
      <w:r w:rsidR="00D06F56">
        <w:rPr>
          <w:rFonts w:ascii="Times New Roman" w:hAnsi="Times New Roman" w:cs="Times New Roman"/>
          <w:noProof/>
          <w:sz w:val="24"/>
        </w:rPr>
        <w:t xml:space="preserve"> </w:t>
      </w:r>
      <w:r w:rsidR="007173AC">
        <w:rPr>
          <w:rFonts w:ascii="Times New Roman" w:hAnsi="Times New Roman" w:cs="Times New Roman"/>
          <w:noProof/>
          <w:sz w:val="24"/>
        </w:rPr>
        <w:t xml:space="preserve">illustration of </w:t>
      </w:r>
      <w:r w:rsidR="00405463">
        <w:rPr>
          <w:rFonts w:ascii="Times New Roman" w:hAnsi="Times New Roman" w:cs="Times New Roman"/>
          <w:noProof/>
          <w:sz w:val="24"/>
        </w:rPr>
        <w:t>the effectiveness</w:t>
      </w:r>
      <w:r w:rsidR="00D06F56">
        <w:rPr>
          <w:rFonts w:ascii="Times New Roman" w:hAnsi="Times New Roman" w:cs="Times New Roman"/>
          <w:noProof/>
          <w:sz w:val="24"/>
        </w:rPr>
        <w:t xml:space="preserve"> of the two successive reforms of the Staff Regulations</w:t>
      </w:r>
      <w:r w:rsidR="007173AC">
        <w:rPr>
          <w:rFonts w:ascii="Times New Roman" w:hAnsi="Times New Roman" w:cs="Times New Roman"/>
          <w:noProof/>
          <w:sz w:val="24"/>
        </w:rPr>
        <w:t>.</w:t>
      </w:r>
      <w:r w:rsidR="00D06F56">
        <w:rPr>
          <w:rFonts w:ascii="Times New Roman" w:hAnsi="Times New Roman" w:cs="Times New Roman"/>
          <w:noProof/>
          <w:sz w:val="24"/>
        </w:rPr>
        <w:t xml:space="preserve"> </w:t>
      </w:r>
      <w:r w:rsidR="007173AC">
        <w:rPr>
          <w:rFonts w:ascii="Times New Roman" w:hAnsi="Times New Roman" w:cs="Times New Roman"/>
          <w:noProof/>
          <w:sz w:val="24"/>
        </w:rPr>
        <w:t xml:space="preserve">As </w:t>
      </w:r>
      <w:r w:rsidR="00D06F56">
        <w:rPr>
          <w:rFonts w:ascii="Times New Roman" w:hAnsi="Times New Roman" w:cs="Times New Roman"/>
          <w:noProof/>
          <w:sz w:val="24"/>
        </w:rPr>
        <w:t>a result</w:t>
      </w:r>
      <w:r w:rsidR="007173AC">
        <w:rPr>
          <w:rFonts w:ascii="Times New Roman" w:hAnsi="Times New Roman" w:cs="Times New Roman"/>
          <w:noProof/>
          <w:sz w:val="24"/>
        </w:rPr>
        <w:t>,</w:t>
      </w:r>
      <w:r w:rsidR="00D06F56">
        <w:rPr>
          <w:rFonts w:ascii="Times New Roman" w:hAnsi="Times New Roman" w:cs="Times New Roman"/>
          <w:noProof/>
          <w:sz w:val="24"/>
        </w:rPr>
        <w:t xml:space="preserve"> </w:t>
      </w:r>
      <w:r w:rsidR="001A53E3" w:rsidRPr="00170470">
        <w:rPr>
          <w:rFonts w:ascii="Times New Roman" w:hAnsi="Times New Roman" w:cs="Times New Roman"/>
          <w:noProof/>
          <w:sz w:val="24"/>
        </w:rPr>
        <w:t xml:space="preserve">though more staff members are acquiring pension rights, they acquire </w:t>
      </w:r>
      <w:r w:rsidR="00E76DEE">
        <w:rPr>
          <w:rFonts w:ascii="Times New Roman" w:hAnsi="Times New Roman" w:cs="Times New Roman"/>
          <w:noProof/>
          <w:sz w:val="24"/>
        </w:rPr>
        <w:t xml:space="preserve">significantly </w:t>
      </w:r>
      <w:r w:rsidR="001A53E3" w:rsidRPr="00170470">
        <w:rPr>
          <w:rFonts w:ascii="Times New Roman" w:hAnsi="Times New Roman" w:cs="Times New Roman"/>
          <w:noProof/>
          <w:sz w:val="24"/>
        </w:rPr>
        <w:t>lower pension entitlements</w:t>
      </w:r>
      <w:r w:rsidR="00D06F56">
        <w:rPr>
          <w:rFonts w:ascii="Times New Roman" w:hAnsi="Times New Roman" w:cs="Times New Roman"/>
          <w:noProof/>
          <w:sz w:val="24"/>
        </w:rPr>
        <w:t>.</w:t>
      </w:r>
      <w:r w:rsidR="000B4EAD">
        <w:rPr>
          <w:rFonts w:ascii="Times New Roman" w:hAnsi="Times New Roman" w:cs="Times New Roman"/>
          <w:noProof/>
          <w:sz w:val="24"/>
        </w:rPr>
        <w:t xml:space="preserve"> </w:t>
      </w:r>
    </w:p>
    <w:p w14:paraId="42D0A57D" w14:textId="77777777" w:rsidR="00500B95" w:rsidRDefault="0082049C" w:rsidP="00170470">
      <w:pPr>
        <w:pStyle w:val="Heading1"/>
        <w:numPr>
          <w:ilvl w:val="0"/>
          <w:numId w:val="1"/>
        </w:numPr>
        <w:spacing w:after="120"/>
        <w:rPr>
          <w:rStyle w:val="Heading1Char"/>
          <w:rFonts w:ascii="Times New Roman Bold" w:hAnsi="Times New Roman Bold"/>
          <w:b/>
          <w:noProof/>
        </w:rPr>
      </w:pPr>
      <w:r w:rsidRPr="0013386C">
        <w:rPr>
          <w:rStyle w:val="Heading1Char"/>
          <w:rFonts w:ascii="Times New Roman Bold" w:hAnsi="Times New Roman Bold"/>
          <w:noProof/>
        </w:rPr>
        <w:t>Conclusions</w:t>
      </w:r>
    </w:p>
    <w:p w14:paraId="59697683" w14:textId="2A21F7C4" w:rsidR="00721DB2" w:rsidRPr="00E46B93" w:rsidRDefault="0088797F" w:rsidP="00170470">
      <w:pPr>
        <w:spacing w:after="120" w:line="240" w:lineRule="auto"/>
        <w:jc w:val="both"/>
        <w:rPr>
          <w:rFonts w:cs="Times New Roman"/>
          <w:noProof/>
        </w:rPr>
      </w:pPr>
      <w:r w:rsidRPr="00E46B93">
        <w:rPr>
          <w:rFonts w:ascii="Times New Roman" w:hAnsi="Times New Roman" w:cs="Times New Roman"/>
          <w:noProof/>
          <w:sz w:val="24"/>
        </w:rPr>
        <w:t xml:space="preserve">The system put in place by Annex XII of the Staff Regulations has ensured the correct implementation of the rules by keeping the PSEO in actuarial balance, providing stability for staff and </w:t>
      </w:r>
      <w:r w:rsidR="00CF2CB8">
        <w:rPr>
          <w:rFonts w:ascii="Times New Roman" w:hAnsi="Times New Roman" w:cs="Times New Roman"/>
          <w:noProof/>
          <w:sz w:val="24"/>
        </w:rPr>
        <w:t>ensuring a continuous progressive</w:t>
      </w:r>
      <w:r w:rsidR="000B4EAD">
        <w:rPr>
          <w:rFonts w:ascii="Times New Roman" w:hAnsi="Times New Roman" w:cs="Times New Roman"/>
          <w:noProof/>
          <w:sz w:val="24"/>
        </w:rPr>
        <w:t xml:space="preserve"> </w:t>
      </w:r>
      <w:r w:rsidR="00CF2CB8">
        <w:rPr>
          <w:rFonts w:ascii="Times New Roman" w:hAnsi="Times New Roman" w:cs="Times New Roman"/>
          <w:noProof/>
          <w:sz w:val="24"/>
        </w:rPr>
        <w:t xml:space="preserve">pension </w:t>
      </w:r>
      <w:r w:rsidRPr="00E46B93">
        <w:rPr>
          <w:rFonts w:ascii="Times New Roman" w:hAnsi="Times New Roman" w:cs="Times New Roman"/>
          <w:noProof/>
          <w:sz w:val="24"/>
        </w:rPr>
        <w:t>contributions flow</w:t>
      </w:r>
      <w:r w:rsidR="006D49A2">
        <w:rPr>
          <w:rFonts w:ascii="Times New Roman" w:hAnsi="Times New Roman" w:cs="Times New Roman"/>
          <w:noProof/>
          <w:sz w:val="24"/>
        </w:rPr>
        <w:t xml:space="preserve"> </w:t>
      </w:r>
      <w:r w:rsidRPr="00E46B93">
        <w:rPr>
          <w:rFonts w:ascii="Times New Roman" w:hAnsi="Times New Roman" w:cs="Times New Roman"/>
          <w:noProof/>
          <w:sz w:val="24"/>
        </w:rPr>
        <w:t>into the EU budget.</w:t>
      </w:r>
    </w:p>
    <w:p w14:paraId="3DF47215" w14:textId="45B7E33D" w:rsidR="00CF746F" w:rsidRDefault="003924D3" w:rsidP="00E46B93">
      <w:pPr>
        <w:jc w:val="both"/>
        <w:rPr>
          <w:rFonts w:ascii="Times New Roman" w:hAnsi="Times New Roman" w:cs="Times New Roman"/>
          <w:noProof/>
          <w:sz w:val="24"/>
        </w:rPr>
      </w:pPr>
      <w:r>
        <w:rPr>
          <w:rFonts w:ascii="Times New Roman" w:hAnsi="Times New Roman" w:cs="Times New Roman"/>
          <w:noProof/>
          <w:sz w:val="24"/>
        </w:rPr>
        <w:t xml:space="preserve">While </w:t>
      </w:r>
      <w:r w:rsidR="0088797F" w:rsidRPr="00E46B93">
        <w:rPr>
          <w:rFonts w:ascii="Times New Roman" w:hAnsi="Times New Roman" w:cs="Times New Roman"/>
          <w:noProof/>
          <w:sz w:val="24"/>
        </w:rPr>
        <w:t>PSEO has not reached maturity</w:t>
      </w:r>
      <w:r>
        <w:rPr>
          <w:rFonts w:ascii="Times New Roman" w:hAnsi="Times New Roman" w:cs="Times New Roman"/>
          <w:noProof/>
          <w:sz w:val="24"/>
        </w:rPr>
        <w:t xml:space="preserve"> yet, </w:t>
      </w:r>
      <w:r w:rsidR="00CF746F">
        <w:rPr>
          <w:rFonts w:ascii="Times New Roman" w:hAnsi="Times New Roman" w:cs="Times New Roman"/>
          <w:noProof/>
          <w:sz w:val="24"/>
        </w:rPr>
        <w:t xml:space="preserve">both the 2004 and the 2014 reforms of the Staff Regulations are already generating significant savings on the current pension expenditures. </w:t>
      </w:r>
      <w:r>
        <w:rPr>
          <w:rFonts w:ascii="Times New Roman" w:hAnsi="Times New Roman" w:cs="Times New Roman"/>
          <w:noProof/>
          <w:sz w:val="24"/>
        </w:rPr>
        <w:t>K</w:t>
      </w:r>
      <w:r w:rsidR="00CF746F">
        <w:rPr>
          <w:rFonts w:ascii="Times New Roman" w:hAnsi="Times New Roman" w:cs="Times New Roman"/>
          <w:noProof/>
          <w:sz w:val="24"/>
        </w:rPr>
        <w:t xml:space="preserve">ey indicators such as the average level of pension rights acquired as well as average basic salaries, confirm that the structural </w:t>
      </w:r>
      <w:r w:rsidR="00B65030">
        <w:rPr>
          <w:rFonts w:ascii="Times New Roman" w:hAnsi="Times New Roman" w:cs="Times New Roman"/>
          <w:noProof/>
          <w:sz w:val="24"/>
        </w:rPr>
        <w:t>changes introduced by</w:t>
      </w:r>
      <w:r w:rsidR="00CF746F">
        <w:rPr>
          <w:rFonts w:ascii="Times New Roman" w:hAnsi="Times New Roman" w:cs="Times New Roman"/>
          <w:noProof/>
          <w:sz w:val="24"/>
        </w:rPr>
        <w:t xml:space="preserve"> the 2004 and 2014 reforms of the Staff Regulations will</w:t>
      </w:r>
      <w:r>
        <w:rPr>
          <w:rFonts w:ascii="Times New Roman" w:hAnsi="Times New Roman" w:cs="Times New Roman"/>
          <w:noProof/>
          <w:sz w:val="24"/>
        </w:rPr>
        <w:t xml:space="preserve"> </w:t>
      </w:r>
      <w:r w:rsidR="00CF746F">
        <w:rPr>
          <w:rFonts w:ascii="Times New Roman" w:hAnsi="Times New Roman" w:cs="Times New Roman"/>
          <w:noProof/>
          <w:sz w:val="24"/>
        </w:rPr>
        <w:t>progressively generate increasing savings</w:t>
      </w:r>
      <w:r>
        <w:rPr>
          <w:rFonts w:ascii="Times New Roman" w:hAnsi="Times New Roman" w:cs="Times New Roman"/>
          <w:noProof/>
          <w:sz w:val="24"/>
        </w:rPr>
        <w:t xml:space="preserve"> and thus considerably slow-down the evolution of the impact of PSEO </w:t>
      </w:r>
      <w:r w:rsidR="00826EF7">
        <w:rPr>
          <w:rFonts w:ascii="Times New Roman" w:hAnsi="Times New Roman" w:cs="Times New Roman"/>
          <w:noProof/>
          <w:sz w:val="24"/>
        </w:rPr>
        <w:t xml:space="preserve">on </w:t>
      </w:r>
      <w:r>
        <w:rPr>
          <w:rFonts w:ascii="Times New Roman" w:hAnsi="Times New Roman" w:cs="Times New Roman"/>
          <w:noProof/>
          <w:sz w:val="24"/>
        </w:rPr>
        <w:t>the EU budget.</w:t>
      </w:r>
    </w:p>
    <w:p w14:paraId="65C95815" w14:textId="77777777" w:rsidR="003924D3" w:rsidRDefault="003924D3" w:rsidP="00E46B93">
      <w:pPr>
        <w:jc w:val="both"/>
        <w:rPr>
          <w:rFonts w:ascii="Times New Roman" w:hAnsi="Times New Roman" w:cs="Times New Roman"/>
          <w:noProof/>
          <w:sz w:val="24"/>
        </w:rPr>
      </w:pPr>
      <w:r>
        <w:rPr>
          <w:rFonts w:ascii="Times New Roman" w:hAnsi="Times New Roman" w:cs="Times New Roman"/>
          <w:noProof/>
          <w:sz w:val="24"/>
        </w:rPr>
        <w:t>Compared to the pension systems applicable to the civil servants of the Member States,</w:t>
      </w:r>
      <w:r w:rsidR="00472D7C">
        <w:rPr>
          <w:rFonts w:ascii="Times New Roman" w:hAnsi="Times New Roman" w:cs="Times New Roman"/>
          <w:noProof/>
          <w:sz w:val="24"/>
        </w:rPr>
        <w:t xml:space="preserve"> the</w:t>
      </w:r>
      <w:r>
        <w:rPr>
          <w:rFonts w:ascii="Times New Roman" w:hAnsi="Times New Roman" w:cs="Times New Roman"/>
          <w:noProof/>
          <w:sz w:val="24"/>
        </w:rPr>
        <w:t xml:space="preserve"> </w:t>
      </w:r>
      <w:r w:rsidR="00CF746F">
        <w:rPr>
          <w:rFonts w:ascii="Times New Roman" w:hAnsi="Times New Roman" w:cs="Times New Roman"/>
          <w:noProof/>
          <w:sz w:val="24"/>
        </w:rPr>
        <w:t xml:space="preserve">PSEO remains at the forefront </w:t>
      </w:r>
      <w:r>
        <w:rPr>
          <w:rFonts w:ascii="Times New Roman" w:hAnsi="Times New Roman" w:cs="Times New Roman"/>
          <w:noProof/>
          <w:sz w:val="24"/>
        </w:rPr>
        <w:t xml:space="preserve">in most of the key indicators such as </w:t>
      </w:r>
      <w:r w:rsidR="00CF746F">
        <w:rPr>
          <w:rFonts w:ascii="Times New Roman" w:hAnsi="Times New Roman" w:cs="Times New Roman"/>
          <w:noProof/>
          <w:sz w:val="24"/>
        </w:rPr>
        <w:t xml:space="preserve">pensionable age, level of pension contributions, </w:t>
      </w:r>
      <w:r w:rsidR="00AB20C5">
        <w:rPr>
          <w:rFonts w:ascii="Times New Roman" w:hAnsi="Times New Roman" w:cs="Times New Roman"/>
          <w:noProof/>
          <w:sz w:val="24"/>
        </w:rPr>
        <w:t xml:space="preserve">adjustment to </w:t>
      </w:r>
      <w:r w:rsidR="00CF746F">
        <w:rPr>
          <w:rFonts w:ascii="Times New Roman" w:hAnsi="Times New Roman" w:cs="Times New Roman"/>
          <w:noProof/>
          <w:sz w:val="24"/>
        </w:rPr>
        <w:t xml:space="preserve">the evolution of </w:t>
      </w:r>
      <w:r w:rsidR="00F70643">
        <w:rPr>
          <w:rFonts w:ascii="Times New Roman" w:hAnsi="Times New Roman" w:cs="Times New Roman"/>
          <w:noProof/>
          <w:sz w:val="24"/>
        </w:rPr>
        <w:t xml:space="preserve">actuarial </w:t>
      </w:r>
      <w:r w:rsidR="00CF746F">
        <w:rPr>
          <w:rFonts w:ascii="Times New Roman" w:hAnsi="Times New Roman" w:cs="Times New Roman"/>
          <w:noProof/>
          <w:sz w:val="24"/>
        </w:rPr>
        <w:t>parameters.</w:t>
      </w:r>
      <w:r>
        <w:rPr>
          <w:rFonts w:ascii="Times New Roman" w:hAnsi="Times New Roman" w:cs="Times New Roman"/>
          <w:noProof/>
          <w:sz w:val="24"/>
        </w:rPr>
        <w:t xml:space="preserve"> </w:t>
      </w:r>
      <w:r w:rsidR="00CF746F">
        <w:rPr>
          <w:rFonts w:ascii="Times New Roman" w:hAnsi="Times New Roman" w:cs="Times New Roman"/>
          <w:noProof/>
          <w:sz w:val="24"/>
        </w:rPr>
        <w:t>At the same time, the</w:t>
      </w:r>
      <w:r>
        <w:rPr>
          <w:rFonts w:ascii="Times New Roman" w:hAnsi="Times New Roman" w:cs="Times New Roman"/>
          <w:noProof/>
          <w:sz w:val="24"/>
        </w:rPr>
        <w:t xml:space="preserve"> effects of the 2004 and 2014 reforms of the Staff Regulations on PSEO pose a </w:t>
      </w:r>
      <w:r w:rsidR="00CF746F">
        <w:rPr>
          <w:rFonts w:ascii="Times New Roman" w:hAnsi="Times New Roman" w:cs="Times New Roman"/>
          <w:noProof/>
          <w:sz w:val="24"/>
        </w:rPr>
        <w:t xml:space="preserve">challenge to the attractiveness of the EU public service. </w:t>
      </w:r>
    </w:p>
    <w:p w14:paraId="78451044" w14:textId="415F18B3" w:rsidR="0088797F" w:rsidRPr="00E46B93" w:rsidRDefault="00A241A2" w:rsidP="00E46B93">
      <w:pPr>
        <w:jc w:val="both"/>
        <w:rPr>
          <w:rFonts w:cs="Times New Roman"/>
          <w:noProof/>
        </w:rPr>
      </w:pPr>
      <w:r>
        <w:rPr>
          <w:rFonts w:ascii="Times New Roman" w:hAnsi="Times New Roman" w:cs="Times New Roman"/>
          <w:noProof/>
          <w:sz w:val="24"/>
        </w:rPr>
        <w:t>I</w:t>
      </w:r>
      <w:r w:rsidR="00CF746F">
        <w:rPr>
          <w:rFonts w:ascii="Times New Roman" w:hAnsi="Times New Roman" w:cs="Times New Roman"/>
          <w:noProof/>
          <w:sz w:val="24"/>
        </w:rPr>
        <w:t xml:space="preserve">n view of </w:t>
      </w:r>
      <w:r w:rsidR="00826EF7">
        <w:rPr>
          <w:rFonts w:ascii="Times New Roman" w:hAnsi="Times New Roman" w:cs="Times New Roman"/>
          <w:noProof/>
          <w:sz w:val="24"/>
        </w:rPr>
        <w:t xml:space="preserve">the </w:t>
      </w:r>
      <w:r>
        <w:rPr>
          <w:rFonts w:ascii="Times New Roman" w:hAnsi="Times New Roman" w:cs="Times New Roman"/>
          <w:noProof/>
          <w:sz w:val="24"/>
        </w:rPr>
        <w:t xml:space="preserve">assessment of the actuarial balance and the budgetary implications of </w:t>
      </w:r>
      <w:r w:rsidR="00472D7C">
        <w:rPr>
          <w:rFonts w:ascii="Times New Roman" w:hAnsi="Times New Roman" w:cs="Times New Roman"/>
          <w:noProof/>
          <w:sz w:val="24"/>
        </w:rPr>
        <w:t xml:space="preserve">the </w:t>
      </w:r>
      <w:r>
        <w:rPr>
          <w:rFonts w:ascii="Times New Roman" w:hAnsi="Times New Roman" w:cs="Times New Roman"/>
          <w:noProof/>
          <w:sz w:val="24"/>
        </w:rPr>
        <w:t>PSEO by the present report</w:t>
      </w:r>
      <w:r w:rsidR="00CF746F">
        <w:rPr>
          <w:rFonts w:ascii="Times New Roman" w:hAnsi="Times New Roman" w:cs="Times New Roman"/>
          <w:noProof/>
          <w:sz w:val="24"/>
        </w:rPr>
        <w:t>, the Commission,</w:t>
      </w:r>
      <w:r w:rsidR="00CF746F" w:rsidRPr="00CF746F">
        <w:rPr>
          <w:rFonts w:ascii="Times New Roman" w:hAnsi="Times New Roman" w:cs="Times New Roman"/>
          <w:noProof/>
          <w:sz w:val="24"/>
        </w:rPr>
        <w:t xml:space="preserve"> </w:t>
      </w:r>
      <w:r w:rsidR="00CF746F" w:rsidRPr="00ED1456">
        <w:rPr>
          <w:rFonts w:ascii="Times New Roman" w:hAnsi="Times New Roman" w:cs="Times New Roman"/>
          <w:noProof/>
          <w:sz w:val="24"/>
        </w:rPr>
        <w:t xml:space="preserve">in line with Article 14(1) of Annex XII </w:t>
      </w:r>
      <w:r w:rsidR="00000D24">
        <w:rPr>
          <w:rFonts w:ascii="Times New Roman" w:hAnsi="Times New Roman" w:cs="Times New Roman"/>
          <w:noProof/>
          <w:sz w:val="24"/>
        </w:rPr>
        <w:t xml:space="preserve">to the </w:t>
      </w:r>
      <w:r w:rsidR="00CF746F" w:rsidRPr="00ED1456">
        <w:rPr>
          <w:rFonts w:ascii="Times New Roman" w:hAnsi="Times New Roman" w:cs="Times New Roman"/>
          <w:noProof/>
          <w:sz w:val="24"/>
        </w:rPr>
        <w:t>S</w:t>
      </w:r>
      <w:r w:rsidR="00000D24">
        <w:rPr>
          <w:rFonts w:ascii="Times New Roman" w:hAnsi="Times New Roman" w:cs="Times New Roman"/>
          <w:noProof/>
          <w:sz w:val="24"/>
        </w:rPr>
        <w:t xml:space="preserve">taff </w:t>
      </w:r>
      <w:r w:rsidR="00CF746F" w:rsidRPr="00ED1456">
        <w:rPr>
          <w:rFonts w:ascii="Times New Roman" w:hAnsi="Times New Roman" w:cs="Times New Roman"/>
          <w:noProof/>
          <w:sz w:val="24"/>
        </w:rPr>
        <w:t>R</w:t>
      </w:r>
      <w:r w:rsidR="00000D24">
        <w:rPr>
          <w:rFonts w:ascii="Times New Roman" w:hAnsi="Times New Roman" w:cs="Times New Roman"/>
          <w:noProof/>
          <w:sz w:val="24"/>
        </w:rPr>
        <w:t>egulations</w:t>
      </w:r>
      <w:r w:rsidR="00CF746F" w:rsidRPr="00ED1456">
        <w:rPr>
          <w:rFonts w:ascii="Times New Roman" w:hAnsi="Times New Roman" w:cs="Times New Roman"/>
          <w:noProof/>
          <w:sz w:val="24"/>
        </w:rPr>
        <w:t xml:space="preserve">, </w:t>
      </w:r>
      <w:r w:rsidR="00CF746F">
        <w:rPr>
          <w:rFonts w:ascii="Times New Roman" w:hAnsi="Times New Roman" w:cs="Times New Roman"/>
          <w:noProof/>
          <w:sz w:val="24"/>
        </w:rPr>
        <w:t xml:space="preserve">does not deem </w:t>
      </w:r>
      <w:r w:rsidR="00AB20C5">
        <w:rPr>
          <w:rFonts w:ascii="Times New Roman" w:hAnsi="Times New Roman" w:cs="Times New Roman"/>
          <w:noProof/>
          <w:sz w:val="24"/>
        </w:rPr>
        <w:t xml:space="preserve">it </w:t>
      </w:r>
      <w:r w:rsidR="00CF746F">
        <w:rPr>
          <w:rFonts w:ascii="Times New Roman" w:hAnsi="Times New Roman" w:cs="Times New Roman"/>
          <w:noProof/>
          <w:sz w:val="24"/>
        </w:rPr>
        <w:t xml:space="preserve">appropriate </w:t>
      </w:r>
      <w:r>
        <w:rPr>
          <w:rFonts w:ascii="Times New Roman" w:hAnsi="Times New Roman" w:cs="Times New Roman"/>
          <w:noProof/>
          <w:sz w:val="24"/>
        </w:rPr>
        <w:t xml:space="preserve">at this stage </w:t>
      </w:r>
      <w:r w:rsidR="00CF746F">
        <w:rPr>
          <w:rFonts w:ascii="Times New Roman" w:hAnsi="Times New Roman" w:cs="Times New Roman"/>
          <w:noProof/>
          <w:sz w:val="24"/>
        </w:rPr>
        <w:t xml:space="preserve">to </w:t>
      </w:r>
      <w:r w:rsidR="00AB20C5">
        <w:rPr>
          <w:rFonts w:ascii="Times New Roman" w:hAnsi="Times New Roman" w:cs="Times New Roman"/>
          <w:noProof/>
          <w:sz w:val="24"/>
        </w:rPr>
        <w:t xml:space="preserve">propose to </w:t>
      </w:r>
      <w:r w:rsidR="00CF746F">
        <w:rPr>
          <w:rFonts w:ascii="Times New Roman" w:hAnsi="Times New Roman" w:cs="Times New Roman"/>
          <w:noProof/>
          <w:sz w:val="24"/>
        </w:rPr>
        <w:t xml:space="preserve">amend Annex XII to the Staff Regulations. </w:t>
      </w:r>
    </w:p>
    <w:p w14:paraId="0C8DFD76" w14:textId="77777777" w:rsidR="00BB4D7C" w:rsidRDefault="00BB4D7C">
      <w:pPr>
        <w:rPr>
          <w:rFonts w:ascii="Times New Roman Bold" w:eastAsiaTheme="majorEastAsia" w:hAnsi="Times New Roman Bold" w:cstheme="majorBidi"/>
          <w:b/>
          <w:smallCaps/>
          <w:noProof/>
          <w:color w:val="000000" w:themeColor="text1"/>
          <w:sz w:val="24"/>
          <w:szCs w:val="32"/>
          <w:lang w:val="en-GB"/>
        </w:rPr>
      </w:pPr>
      <w:r>
        <w:rPr>
          <w:rFonts w:ascii="Times New Roman Bold" w:hAnsi="Times New Roman Bold"/>
          <w:smallCaps/>
          <w:noProof/>
          <w:lang w:val="en-GB"/>
        </w:rPr>
        <w:br w:type="page"/>
      </w:r>
    </w:p>
    <w:p w14:paraId="3E415BFA" w14:textId="77777777" w:rsidR="000929DD" w:rsidRDefault="000929DD" w:rsidP="000929DD">
      <w:pPr>
        <w:pStyle w:val="Heading1"/>
        <w:rPr>
          <w:rFonts w:ascii="Times New Roman Bold" w:hAnsi="Times New Roman Bold"/>
          <w:smallCaps/>
          <w:noProof/>
          <w:lang w:val="en-GB"/>
        </w:rPr>
      </w:pPr>
      <w:r>
        <w:rPr>
          <w:rFonts w:ascii="Times New Roman Bold" w:hAnsi="Times New Roman Bold"/>
          <w:smallCaps/>
          <w:noProof/>
          <w:lang w:val="en-GB"/>
        </w:rPr>
        <w:t>Annexes</w:t>
      </w:r>
    </w:p>
    <w:p w14:paraId="60C25F51" w14:textId="77777777" w:rsidR="008E5131" w:rsidRDefault="008E5131" w:rsidP="000929DD">
      <w:pPr>
        <w:rPr>
          <w:noProof/>
          <w:lang w:val="en-GB"/>
        </w:rPr>
      </w:pPr>
    </w:p>
    <w:p w14:paraId="7B7080B1" w14:textId="5B582CFA" w:rsidR="000929DD" w:rsidRDefault="000929DD" w:rsidP="000929DD">
      <w:pPr>
        <w:rPr>
          <w:rFonts w:ascii="Times New Roman" w:hAnsi="Times New Roman" w:cs="Times New Roman"/>
          <w:noProof/>
          <w:sz w:val="24"/>
          <w:lang w:val="en-GB"/>
        </w:rPr>
      </w:pPr>
      <w:r>
        <w:rPr>
          <w:rFonts w:ascii="Times New Roman" w:hAnsi="Times New Roman" w:cs="Times New Roman"/>
          <w:noProof/>
          <w:sz w:val="24"/>
          <w:lang w:val="en-GB"/>
        </w:rPr>
        <w:t>Annex 1: Main statutory parameters used in the 2022 actuarial assessment</w:t>
      </w:r>
    </w:p>
    <w:tbl>
      <w:tblPr>
        <w:tblStyle w:val="TableGrid"/>
        <w:tblW w:w="0" w:type="auto"/>
        <w:tblLook w:val="04A0" w:firstRow="1" w:lastRow="0" w:firstColumn="1" w:lastColumn="0" w:noHBand="0" w:noVBand="1"/>
      </w:tblPr>
      <w:tblGrid>
        <w:gridCol w:w="4219"/>
        <w:gridCol w:w="5023"/>
      </w:tblGrid>
      <w:tr w:rsidR="000929DD" w:rsidRPr="00627321" w14:paraId="37EAA477" w14:textId="77777777" w:rsidTr="00BE6857">
        <w:trPr>
          <w:trHeight w:val="310"/>
        </w:trPr>
        <w:tc>
          <w:tcPr>
            <w:tcW w:w="4219" w:type="dxa"/>
            <w:shd w:val="clear" w:color="auto" w:fill="E2EFD9" w:themeFill="accent6" w:themeFillTint="33"/>
            <w:noWrap/>
            <w:hideMark/>
          </w:tcPr>
          <w:p w14:paraId="26060169" w14:textId="77777777" w:rsidR="000929DD" w:rsidRPr="00170470" w:rsidRDefault="000929DD" w:rsidP="00BE6857">
            <w:pPr>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Parameter</w:t>
            </w:r>
          </w:p>
        </w:tc>
        <w:tc>
          <w:tcPr>
            <w:tcW w:w="5023" w:type="dxa"/>
            <w:shd w:val="clear" w:color="auto" w:fill="E2EFD9" w:themeFill="accent6" w:themeFillTint="33"/>
            <w:noWrap/>
            <w:hideMark/>
          </w:tcPr>
          <w:p w14:paraId="4F70DD67" w14:textId="77777777" w:rsidR="000929DD" w:rsidRPr="00170470" w:rsidRDefault="000929DD" w:rsidP="00BE6857">
            <w:pPr>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Value</w:t>
            </w:r>
          </w:p>
        </w:tc>
      </w:tr>
      <w:tr w:rsidR="000929DD" w:rsidRPr="00627321" w14:paraId="75DBC829" w14:textId="77777777" w:rsidTr="00BE6857">
        <w:trPr>
          <w:trHeight w:val="290"/>
        </w:trPr>
        <w:tc>
          <w:tcPr>
            <w:tcW w:w="4219" w:type="dxa"/>
            <w:hideMark/>
          </w:tcPr>
          <w:p w14:paraId="3FB44039"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Legal source</w:t>
            </w:r>
          </w:p>
        </w:tc>
        <w:tc>
          <w:tcPr>
            <w:tcW w:w="5023" w:type="dxa"/>
            <w:hideMark/>
          </w:tcPr>
          <w:p w14:paraId="0110A021"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Staff Regulations in force from 01.01.2014</w:t>
            </w:r>
          </w:p>
        </w:tc>
      </w:tr>
      <w:tr w:rsidR="000929DD" w:rsidRPr="00627321" w14:paraId="2348024F" w14:textId="77777777" w:rsidTr="00BE6857">
        <w:trPr>
          <w:trHeight w:val="580"/>
        </w:trPr>
        <w:tc>
          <w:tcPr>
            <w:tcW w:w="4219" w:type="dxa"/>
            <w:hideMark/>
          </w:tcPr>
          <w:p w14:paraId="0B9AB340"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Reference date for the population (Annex XII Article 1)</w:t>
            </w:r>
          </w:p>
        </w:tc>
        <w:tc>
          <w:tcPr>
            <w:tcW w:w="5023" w:type="dxa"/>
            <w:hideMark/>
          </w:tcPr>
          <w:p w14:paraId="48DB61E9"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31.12.2021</w:t>
            </w:r>
          </w:p>
        </w:tc>
      </w:tr>
      <w:tr w:rsidR="000929DD" w:rsidRPr="00627321" w14:paraId="75399540" w14:textId="77777777" w:rsidTr="00BE6857">
        <w:trPr>
          <w:trHeight w:val="580"/>
        </w:trPr>
        <w:tc>
          <w:tcPr>
            <w:tcW w:w="4219" w:type="dxa"/>
            <w:hideMark/>
          </w:tcPr>
          <w:p w14:paraId="1C8D624C"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Maximum retirement age (Staff Regulations Article 52)</w:t>
            </w:r>
          </w:p>
        </w:tc>
        <w:tc>
          <w:tcPr>
            <w:tcW w:w="5023" w:type="dxa"/>
            <w:hideMark/>
          </w:tcPr>
          <w:p w14:paraId="7700D007" w14:textId="1E27ACED" w:rsidR="000929DD" w:rsidRPr="00627321" w:rsidRDefault="000929DD" w:rsidP="002E61D0">
            <w:pPr>
              <w:jc w:val="center"/>
              <w:rPr>
                <w:rFonts w:ascii="Times New Roman" w:hAnsi="Times New Roman" w:cs="Times New Roman"/>
                <w:noProof/>
                <w:sz w:val="24"/>
              </w:rPr>
            </w:pPr>
            <w:r w:rsidRPr="00627321">
              <w:rPr>
                <w:rFonts w:ascii="Times New Roman" w:hAnsi="Times New Roman" w:cs="Times New Roman"/>
                <w:noProof/>
                <w:sz w:val="24"/>
              </w:rPr>
              <w:t>65 (automatically officials in service before 01.01.2014), 66 (automatically new officials) or</w:t>
            </w:r>
            <w:r w:rsidR="00405463">
              <w:rPr>
                <w:rFonts w:ascii="Times New Roman" w:hAnsi="Times New Roman" w:cs="Times New Roman"/>
                <w:noProof/>
                <w:sz w:val="24"/>
              </w:rPr>
              <w:t xml:space="preserve"> </w:t>
            </w:r>
            <w:r w:rsidRPr="00627321">
              <w:rPr>
                <w:rFonts w:ascii="Times New Roman" w:hAnsi="Times New Roman" w:cs="Times New Roman"/>
                <w:noProof/>
                <w:sz w:val="24"/>
              </w:rPr>
              <w:t>67 (at staff' request) or until 70 (exceptionally)</w:t>
            </w:r>
          </w:p>
        </w:tc>
      </w:tr>
      <w:tr w:rsidR="000929DD" w:rsidRPr="00627321" w14:paraId="6CA978D0" w14:textId="77777777" w:rsidTr="00BE6857">
        <w:trPr>
          <w:trHeight w:val="580"/>
        </w:trPr>
        <w:tc>
          <w:tcPr>
            <w:tcW w:w="4219" w:type="dxa"/>
            <w:hideMark/>
          </w:tcPr>
          <w:p w14:paraId="3D1FAA11"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Normal retirement age (Staff Regulations Article 52 and Annex XIII Article 22)</w:t>
            </w:r>
          </w:p>
        </w:tc>
        <w:tc>
          <w:tcPr>
            <w:tcW w:w="5023" w:type="dxa"/>
            <w:hideMark/>
          </w:tcPr>
          <w:p w14:paraId="02CC24B9" w14:textId="62314884" w:rsidR="000929DD" w:rsidRPr="00627321" w:rsidRDefault="000929DD" w:rsidP="002E61D0">
            <w:pPr>
              <w:jc w:val="center"/>
              <w:rPr>
                <w:rFonts w:ascii="Times New Roman" w:hAnsi="Times New Roman" w:cs="Times New Roman"/>
                <w:noProof/>
                <w:sz w:val="24"/>
              </w:rPr>
            </w:pPr>
            <w:r w:rsidRPr="00627321">
              <w:rPr>
                <w:rFonts w:ascii="Times New Roman" w:hAnsi="Times New Roman" w:cs="Times New Roman"/>
                <w:noProof/>
                <w:sz w:val="24"/>
              </w:rPr>
              <w:t>60 to 66 depending on years</w:t>
            </w:r>
            <w:r w:rsidR="002E61D0">
              <w:rPr>
                <w:rFonts w:ascii="Times New Roman" w:hAnsi="Times New Roman" w:cs="Times New Roman"/>
                <w:noProof/>
                <w:sz w:val="24"/>
              </w:rPr>
              <w:t xml:space="preserve"> of</w:t>
            </w:r>
            <w:r w:rsidRPr="00627321">
              <w:rPr>
                <w:rFonts w:ascii="Times New Roman" w:hAnsi="Times New Roman" w:cs="Times New Roman"/>
                <w:noProof/>
                <w:sz w:val="24"/>
              </w:rPr>
              <w:t xml:space="preserve"> service, age and entry date in service</w:t>
            </w:r>
          </w:p>
        </w:tc>
      </w:tr>
      <w:tr w:rsidR="000929DD" w:rsidRPr="00627321" w14:paraId="4F680A06" w14:textId="77777777" w:rsidTr="00BE6857">
        <w:trPr>
          <w:trHeight w:val="870"/>
        </w:trPr>
        <w:tc>
          <w:tcPr>
            <w:tcW w:w="4219" w:type="dxa"/>
            <w:hideMark/>
          </w:tcPr>
          <w:p w14:paraId="3C8CB8D4"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Minimum retirement age (Staff Regulations Article 52(b), Annex VIII Article 9 and Annex XIII Article 23)</w:t>
            </w:r>
          </w:p>
        </w:tc>
        <w:tc>
          <w:tcPr>
            <w:tcW w:w="5023" w:type="dxa"/>
            <w:hideMark/>
          </w:tcPr>
          <w:p w14:paraId="43CB7F7B" w14:textId="77777777" w:rsidR="002E61D0" w:rsidRDefault="002E61D0" w:rsidP="00BE6857">
            <w:pPr>
              <w:jc w:val="center"/>
              <w:rPr>
                <w:rFonts w:ascii="Times New Roman" w:hAnsi="Times New Roman" w:cs="Times New Roman"/>
                <w:noProof/>
                <w:sz w:val="24"/>
              </w:rPr>
            </w:pPr>
          </w:p>
          <w:p w14:paraId="7D9B71C2" w14:textId="384B821E"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58</w:t>
            </w:r>
          </w:p>
        </w:tc>
      </w:tr>
      <w:tr w:rsidR="000929DD" w:rsidRPr="00627321" w14:paraId="23C6132F" w14:textId="77777777" w:rsidTr="00BE6857">
        <w:trPr>
          <w:trHeight w:val="580"/>
        </w:trPr>
        <w:tc>
          <w:tcPr>
            <w:tcW w:w="4219" w:type="dxa"/>
            <w:hideMark/>
          </w:tcPr>
          <w:p w14:paraId="65556D68"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Category and grade for the minimum subsistence figure (Annex VIII Article 6)</w:t>
            </w:r>
          </w:p>
        </w:tc>
        <w:tc>
          <w:tcPr>
            <w:tcW w:w="5023" w:type="dxa"/>
            <w:hideMark/>
          </w:tcPr>
          <w:p w14:paraId="195317D5"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Grade AST 1 Step 1</w:t>
            </w:r>
          </w:p>
        </w:tc>
      </w:tr>
      <w:tr w:rsidR="000929DD" w:rsidRPr="00627321" w14:paraId="4281196A" w14:textId="77777777" w:rsidTr="00BE6857">
        <w:trPr>
          <w:trHeight w:val="580"/>
        </w:trPr>
        <w:tc>
          <w:tcPr>
            <w:tcW w:w="4219" w:type="dxa"/>
            <w:hideMark/>
          </w:tcPr>
          <w:p w14:paraId="00DAAC86"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Maximum retirement pension (Staff Regulations Article 77)</w:t>
            </w:r>
          </w:p>
        </w:tc>
        <w:tc>
          <w:tcPr>
            <w:tcW w:w="5023" w:type="dxa"/>
            <w:hideMark/>
          </w:tcPr>
          <w:p w14:paraId="601937DE"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70% of the basic salary at the retirement date</w:t>
            </w:r>
          </w:p>
        </w:tc>
      </w:tr>
      <w:tr w:rsidR="000929DD" w:rsidRPr="00627321" w14:paraId="416C5C2F" w14:textId="77777777" w:rsidTr="00BE6857">
        <w:trPr>
          <w:trHeight w:val="580"/>
        </w:trPr>
        <w:tc>
          <w:tcPr>
            <w:tcW w:w="4219" w:type="dxa"/>
            <w:hideMark/>
          </w:tcPr>
          <w:p w14:paraId="6DB8CDAC"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Annual accrual rate (Article 77 of the Staff Regulations and Article 21 of Annex XIII)</w:t>
            </w:r>
          </w:p>
        </w:tc>
        <w:tc>
          <w:tcPr>
            <w:tcW w:w="5023" w:type="dxa"/>
            <w:hideMark/>
          </w:tcPr>
          <w:p w14:paraId="1E7533C2" w14:textId="77777777" w:rsidR="002E61D0"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 xml:space="preserve">1.8% (officials in service from </w:t>
            </w:r>
            <w:r w:rsidR="002E61D0">
              <w:rPr>
                <w:rFonts w:ascii="Times New Roman" w:hAnsi="Times New Roman" w:cs="Times New Roman"/>
                <w:noProof/>
                <w:sz w:val="24"/>
              </w:rPr>
              <w:t>0</w:t>
            </w:r>
            <w:r w:rsidRPr="00627321">
              <w:rPr>
                <w:rFonts w:ascii="Times New Roman" w:hAnsi="Times New Roman" w:cs="Times New Roman"/>
                <w:noProof/>
                <w:sz w:val="24"/>
              </w:rPr>
              <w:t xml:space="preserve">1.01.2014) </w:t>
            </w:r>
          </w:p>
          <w:p w14:paraId="65B73B57" w14:textId="661F67FF" w:rsidR="000929DD" w:rsidRPr="00627321" w:rsidRDefault="000929DD" w:rsidP="001827F3">
            <w:pPr>
              <w:jc w:val="center"/>
              <w:rPr>
                <w:rFonts w:ascii="Times New Roman" w:hAnsi="Times New Roman" w:cs="Times New Roman"/>
                <w:noProof/>
                <w:sz w:val="24"/>
              </w:rPr>
            </w:pPr>
            <w:r w:rsidRPr="00627321">
              <w:rPr>
                <w:rFonts w:ascii="Times New Roman" w:hAnsi="Times New Roman" w:cs="Times New Roman"/>
                <w:noProof/>
                <w:sz w:val="24"/>
              </w:rPr>
              <w:t xml:space="preserve">1.9% (officials in service from </w:t>
            </w:r>
            <w:r w:rsidR="002E61D0">
              <w:rPr>
                <w:rFonts w:ascii="Times New Roman" w:hAnsi="Times New Roman" w:cs="Times New Roman"/>
                <w:noProof/>
                <w:sz w:val="24"/>
              </w:rPr>
              <w:t>0</w:t>
            </w:r>
            <w:r w:rsidRPr="00627321">
              <w:rPr>
                <w:rFonts w:ascii="Times New Roman" w:hAnsi="Times New Roman" w:cs="Times New Roman"/>
                <w:noProof/>
                <w:sz w:val="24"/>
              </w:rPr>
              <w:t xml:space="preserve">1.05.2004), or 2% (officials in service before 01.05.2004), of </w:t>
            </w:r>
            <w:r w:rsidR="001827F3">
              <w:rPr>
                <w:rFonts w:ascii="Times New Roman" w:hAnsi="Times New Roman" w:cs="Times New Roman"/>
                <w:noProof/>
                <w:sz w:val="24"/>
              </w:rPr>
              <w:t>basic salary</w:t>
            </w:r>
          </w:p>
        </w:tc>
      </w:tr>
      <w:tr w:rsidR="000929DD" w:rsidRPr="00627321" w14:paraId="366AA243" w14:textId="77777777" w:rsidTr="00BE6857">
        <w:trPr>
          <w:trHeight w:val="870"/>
        </w:trPr>
        <w:tc>
          <w:tcPr>
            <w:tcW w:w="4219" w:type="dxa"/>
            <w:hideMark/>
          </w:tcPr>
          <w:p w14:paraId="75196045"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Bonus for officials in service after the normal retirement age (Annex VIII Article 5 and Annex XIII Article 22)</w:t>
            </w:r>
          </w:p>
        </w:tc>
        <w:tc>
          <w:tcPr>
            <w:tcW w:w="5023" w:type="dxa"/>
            <w:hideMark/>
          </w:tcPr>
          <w:p w14:paraId="698F382A" w14:textId="5CA8696C" w:rsidR="000929DD" w:rsidRPr="00627321" w:rsidRDefault="000929DD" w:rsidP="001827F3">
            <w:pPr>
              <w:jc w:val="center"/>
              <w:rPr>
                <w:rFonts w:ascii="Times New Roman" w:hAnsi="Times New Roman" w:cs="Times New Roman"/>
                <w:noProof/>
                <w:sz w:val="24"/>
              </w:rPr>
            </w:pPr>
            <w:r w:rsidRPr="00627321">
              <w:rPr>
                <w:rFonts w:ascii="Times New Roman" w:hAnsi="Times New Roman" w:cs="Times New Roman"/>
                <w:noProof/>
                <w:sz w:val="24"/>
              </w:rPr>
              <w:t xml:space="preserve">1.5% (new officials) or 2.5% of the </w:t>
            </w:r>
            <w:r w:rsidR="001827F3">
              <w:rPr>
                <w:rFonts w:ascii="Times New Roman" w:hAnsi="Times New Roman" w:cs="Times New Roman"/>
                <w:noProof/>
                <w:sz w:val="24"/>
              </w:rPr>
              <w:t>basic salary</w:t>
            </w:r>
            <w:r w:rsidRPr="00627321">
              <w:rPr>
                <w:rFonts w:ascii="Times New Roman" w:hAnsi="Times New Roman" w:cs="Times New Roman"/>
                <w:noProof/>
                <w:sz w:val="24"/>
              </w:rPr>
              <w:t>, or 5%</w:t>
            </w:r>
            <w:r w:rsidR="00405463">
              <w:rPr>
                <w:rFonts w:ascii="Times New Roman" w:hAnsi="Times New Roman" w:cs="Times New Roman"/>
                <w:noProof/>
                <w:sz w:val="24"/>
              </w:rPr>
              <w:t xml:space="preserve"> </w:t>
            </w:r>
            <w:r w:rsidRPr="00627321">
              <w:rPr>
                <w:rFonts w:ascii="Times New Roman" w:hAnsi="Times New Roman" w:cs="Times New Roman"/>
                <w:noProof/>
                <w:sz w:val="24"/>
              </w:rPr>
              <w:t xml:space="preserve">of the amount of pension rights acquired at 60, depending on the entry date in service, the years of service at 1st May 2004 and the age </w:t>
            </w:r>
            <w:r w:rsidR="001827F3" w:rsidRPr="00627321">
              <w:rPr>
                <w:rFonts w:ascii="Times New Roman" w:hAnsi="Times New Roman" w:cs="Times New Roman"/>
                <w:noProof/>
                <w:sz w:val="24"/>
              </w:rPr>
              <w:t xml:space="preserve">of the official </w:t>
            </w:r>
            <w:r w:rsidRPr="00627321">
              <w:rPr>
                <w:rFonts w:ascii="Times New Roman" w:hAnsi="Times New Roman" w:cs="Times New Roman"/>
                <w:noProof/>
                <w:sz w:val="24"/>
              </w:rPr>
              <w:t xml:space="preserve">on 1st May 2004 </w:t>
            </w:r>
          </w:p>
        </w:tc>
      </w:tr>
      <w:tr w:rsidR="000929DD" w:rsidRPr="00627321" w14:paraId="437399A9" w14:textId="77777777" w:rsidTr="00BE6857">
        <w:trPr>
          <w:trHeight w:val="580"/>
        </w:trPr>
        <w:tc>
          <w:tcPr>
            <w:tcW w:w="4219" w:type="dxa"/>
            <w:hideMark/>
          </w:tcPr>
          <w:p w14:paraId="33DFB99C"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Penalty for early retirement (Annex VIII, Article 9 and Annex XIII, Article 22, point 3)</w:t>
            </w:r>
          </w:p>
        </w:tc>
        <w:tc>
          <w:tcPr>
            <w:tcW w:w="5023" w:type="dxa"/>
            <w:hideMark/>
          </w:tcPr>
          <w:p w14:paraId="28E06446"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3.5% (new officials) or 1.75% (former officials)</w:t>
            </w:r>
            <w:r w:rsidR="00405463">
              <w:rPr>
                <w:rFonts w:ascii="Times New Roman" w:hAnsi="Times New Roman" w:cs="Times New Roman"/>
                <w:noProof/>
                <w:sz w:val="24"/>
              </w:rPr>
              <w:t xml:space="preserve"> </w:t>
            </w:r>
            <w:r w:rsidRPr="00627321">
              <w:rPr>
                <w:rFonts w:ascii="Times New Roman" w:hAnsi="Times New Roman" w:cs="Times New Roman"/>
                <w:noProof/>
                <w:sz w:val="24"/>
              </w:rPr>
              <w:t>of the pension, for every year before the normal retirement age</w:t>
            </w:r>
          </w:p>
        </w:tc>
      </w:tr>
      <w:tr w:rsidR="000929DD" w:rsidRPr="00627321" w14:paraId="640EDC4C" w14:textId="77777777" w:rsidTr="00BE6857">
        <w:trPr>
          <w:trHeight w:val="580"/>
        </w:trPr>
        <w:tc>
          <w:tcPr>
            <w:tcW w:w="4219" w:type="dxa"/>
            <w:hideMark/>
          </w:tcPr>
          <w:p w14:paraId="44DAC621"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Minimum retirement pension (Staff Regulations Article 77)</w:t>
            </w:r>
          </w:p>
        </w:tc>
        <w:tc>
          <w:tcPr>
            <w:tcW w:w="5023" w:type="dxa"/>
            <w:hideMark/>
          </w:tcPr>
          <w:p w14:paraId="17EFC2BF"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4% of the minimum subsistence figure per year of service</w:t>
            </w:r>
          </w:p>
        </w:tc>
      </w:tr>
      <w:tr w:rsidR="000929DD" w:rsidRPr="00627321" w14:paraId="38136DB0" w14:textId="77777777" w:rsidTr="00BE6857">
        <w:trPr>
          <w:trHeight w:val="580"/>
        </w:trPr>
        <w:tc>
          <w:tcPr>
            <w:tcW w:w="4219" w:type="dxa"/>
            <w:hideMark/>
          </w:tcPr>
          <w:p w14:paraId="29263151"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Invalidity allowance (Staff Regulations Article 78)</w:t>
            </w:r>
          </w:p>
        </w:tc>
        <w:tc>
          <w:tcPr>
            <w:tcW w:w="5023" w:type="dxa"/>
            <w:hideMark/>
          </w:tcPr>
          <w:p w14:paraId="393EC4DF"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70% of the basic salary</w:t>
            </w:r>
          </w:p>
        </w:tc>
      </w:tr>
      <w:tr w:rsidR="000929DD" w:rsidRPr="00627321" w14:paraId="0D3C39A6" w14:textId="77777777" w:rsidTr="00BE6857">
        <w:trPr>
          <w:trHeight w:val="580"/>
        </w:trPr>
        <w:tc>
          <w:tcPr>
            <w:tcW w:w="4219" w:type="dxa"/>
            <w:hideMark/>
          </w:tcPr>
          <w:p w14:paraId="5C63C823"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Minimum invalidity allowance (Staff Regulations Article 78)</w:t>
            </w:r>
          </w:p>
        </w:tc>
        <w:tc>
          <w:tcPr>
            <w:tcW w:w="5023" w:type="dxa"/>
            <w:hideMark/>
          </w:tcPr>
          <w:p w14:paraId="7B01C053"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100% of the minimum subsistence figure</w:t>
            </w:r>
          </w:p>
        </w:tc>
      </w:tr>
      <w:tr w:rsidR="000929DD" w:rsidRPr="00627321" w14:paraId="445F8869" w14:textId="77777777" w:rsidTr="00BE6857">
        <w:trPr>
          <w:trHeight w:val="580"/>
        </w:trPr>
        <w:tc>
          <w:tcPr>
            <w:tcW w:w="4219" w:type="dxa"/>
            <w:hideMark/>
          </w:tcPr>
          <w:p w14:paraId="5A7C54C5"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Reversion pension (Staff Regulations Article 79 and Annex VIII Article 18)</w:t>
            </w:r>
          </w:p>
        </w:tc>
        <w:tc>
          <w:tcPr>
            <w:tcW w:w="5023" w:type="dxa"/>
            <w:hideMark/>
          </w:tcPr>
          <w:p w14:paraId="6ECCDDA2"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60% of the retirement pension</w:t>
            </w:r>
          </w:p>
        </w:tc>
      </w:tr>
      <w:tr w:rsidR="000929DD" w:rsidRPr="00627321" w14:paraId="55FE7115" w14:textId="77777777" w:rsidTr="00BE6857">
        <w:trPr>
          <w:trHeight w:val="580"/>
        </w:trPr>
        <w:tc>
          <w:tcPr>
            <w:tcW w:w="4219" w:type="dxa"/>
            <w:hideMark/>
          </w:tcPr>
          <w:p w14:paraId="20010807"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Minimum reversionary pension (Staff Regulations Article 79 and Annex VIII Article 18)</w:t>
            </w:r>
          </w:p>
        </w:tc>
        <w:tc>
          <w:tcPr>
            <w:tcW w:w="5023" w:type="dxa"/>
            <w:hideMark/>
          </w:tcPr>
          <w:p w14:paraId="629DACE3"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35% of the last basic salary</w:t>
            </w:r>
          </w:p>
        </w:tc>
      </w:tr>
      <w:tr w:rsidR="000929DD" w:rsidRPr="00627321" w14:paraId="3B9B2CC4" w14:textId="77777777" w:rsidTr="00BE6857">
        <w:trPr>
          <w:trHeight w:val="580"/>
        </w:trPr>
        <w:tc>
          <w:tcPr>
            <w:tcW w:w="4219" w:type="dxa"/>
            <w:hideMark/>
          </w:tcPr>
          <w:p w14:paraId="1D450CB2"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Survivor's pension (Staff Regulations Article 79 and Annex VIII Article 17)</w:t>
            </w:r>
          </w:p>
        </w:tc>
        <w:tc>
          <w:tcPr>
            <w:tcW w:w="5023" w:type="dxa"/>
            <w:hideMark/>
          </w:tcPr>
          <w:p w14:paraId="7D04C8E0"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60% of the retirement pension that would have been payable to the official</w:t>
            </w:r>
          </w:p>
        </w:tc>
      </w:tr>
      <w:tr w:rsidR="000929DD" w:rsidRPr="00627321" w14:paraId="763368D1" w14:textId="77777777" w:rsidTr="00BE6857">
        <w:trPr>
          <w:trHeight w:val="590"/>
        </w:trPr>
        <w:tc>
          <w:tcPr>
            <w:tcW w:w="4219" w:type="dxa"/>
            <w:hideMark/>
          </w:tcPr>
          <w:p w14:paraId="4B112A8D" w14:textId="77777777" w:rsidR="000929DD" w:rsidRPr="00627321" w:rsidRDefault="000929DD" w:rsidP="00BE6857">
            <w:pPr>
              <w:rPr>
                <w:rFonts w:ascii="Times New Roman" w:hAnsi="Times New Roman" w:cs="Times New Roman"/>
                <w:noProof/>
                <w:sz w:val="24"/>
              </w:rPr>
            </w:pPr>
            <w:r w:rsidRPr="00627321">
              <w:rPr>
                <w:rFonts w:ascii="Times New Roman" w:hAnsi="Times New Roman" w:cs="Times New Roman"/>
                <w:noProof/>
                <w:sz w:val="24"/>
              </w:rPr>
              <w:t>Minimum survivor's pension (Staff Regulations Article 79)</w:t>
            </w:r>
          </w:p>
        </w:tc>
        <w:tc>
          <w:tcPr>
            <w:tcW w:w="5023" w:type="dxa"/>
            <w:hideMark/>
          </w:tcPr>
          <w:p w14:paraId="6C9A4AC5" w14:textId="77777777" w:rsidR="000929DD" w:rsidRPr="00627321" w:rsidRDefault="000929DD" w:rsidP="00BE6857">
            <w:pPr>
              <w:jc w:val="center"/>
              <w:rPr>
                <w:rFonts w:ascii="Times New Roman" w:hAnsi="Times New Roman" w:cs="Times New Roman"/>
                <w:noProof/>
                <w:sz w:val="24"/>
              </w:rPr>
            </w:pPr>
            <w:r w:rsidRPr="00627321">
              <w:rPr>
                <w:rFonts w:ascii="Times New Roman" w:hAnsi="Times New Roman" w:cs="Times New Roman"/>
                <w:noProof/>
                <w:sz w:val="24"/>
              </w:rPr>
              <w:t>35% of the last basic salary or minimum subsistence figure</w:t>
            </w:r>
          </w:p>
        </w:tc>
      </w:tr>
    </w:tbl>
    <w:p w14:paraId="0AC19660" w14:textId="77777777" w:rsidR="008E5131" w:rsidRDefault="008E5131" w:rsidP="000929DD">
      <w:pPr>
        <w:rPr>
          <w:rFonts w:ascii="Times New Roman" w:hAnsi="Times New Roman" w:cs="Times New Roman"/>
          <w:noProof/>
          <w:sz w:val="24"/>
          <w:lang w:val="en-GB"/>
        </w:rPr>
      </w:pPr>
    </w:p>
    <w:p w14:paraId="64A521F6" w14:textId="7ACC4D62" w:rsidR="000929DD" w:rsidRDefault="000929DD" w:rsidP="000929DD">
      <w:pPr>
        <w:rPr>
          <w:rFonts w:ascii="Times New Roman" w:hAnsi="Times New Roman" w:cs="Times New Roman"/>
          <w:noProof/>
          <w:sz w:val="24"/>
        </w:rPr>
      </w:pPr>
      <w:r>
        <w:rPr>
          <w:rFonts w:ascii="Times New Roman" w:hAnsi="Times New Roman" w:cs="Times New Roman"/>
          <w:noProof/>
          <w:sz w:val="24"/>
        </w:rPr>
        <w:t xml:space="preserve">Annex 2: Extract from the EU Life Tables </w:t>
      </w:r>
    </w:p>
    <w:tbl>
      <w:tblPr>
        <w:tblW w:w="5712" w:type="dxa"/>
        <w:tblInd w:w="123" w:type="dxa"/>
        <w:tblLook w:val="04A0" w:firstRow="1" w:lastRow="0" w:firstColumn="1" w:lastColumn="0" w:noHBand="0" w:noVBand="1"/>
      </w:tblPr>
      <w:tblGrid>
        <w:gridCol w:w="960"/>
        <w:gridCol w:w="1280"/>
        <w:gridCol w:w="1255"/>
        <w:gridCol w:w="1280"/>
        <w:gridCol w:w="1255"/>
      </w:tblGrid>
      <w:tr w:rsidR="000929DD" w:rsidRPr="00A56AEF" w14:paraId="6AAAD712" w14:textId="77777777" w:rsidTr="00BE6857">
        <w:trPr>
          <w:trHeight w:val="315"/>
        </w:trPr>
        <w:tc>
          <w:tcPr>
            <w:tcW w:w="960" w:type="dxa"/>
            <w:vMerge w:val="restart"/>
            <w:tcBorders>
              <w:top w:val="single" w:sz="12" w:space="0" w:color="auto"/>
              <w:left w:val="single" w:sz="12" w:space="0" w:color="auto"/>
              <w:bottom w:val="single" w:sz="8" w:space="0" w:color="000000"/>
              <w:right w:val="nil"/>
            </w:tcBorders>
            <w:shd w:val="clear" w:color="000000" w:fill="E2EFDA"/>
            <w:vAlign w:val="center"/>
            <w:hideMark/>
          </w:tcPr>
          <w:p w14:paraId="2E14D70D" w14:textId="6BDF2398"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Age</w:t>
            </w:r>
            <w:r w:rsidR="000B4EAD">
              <w:rPr>
                <w:rFonts w:ascii="Times New Roman" w:eastAsia="Times New Roman" w:hAnsi="Times New Roman" w:cs="Times New Roman"/>
                <w:b/>
                <w:bCs/>
                <w:noProof/>
                <w:lang w:eastAsia="en-IE"/>
              </w:rPr>
              <w:t xml:space="preserve"> </w:t>
            </w:r>
            <w:r w:rsidR="00405463">
              <w:rPr>
                <w:rFonts w:ascii="Times New Roman" w:eastAsia="Times New Roman" w:hAnsi="Times New Roman" w:cs="Times New Roman"/>
                <w:b/>
                <w:bCs/>
                <w:noProof/>
                <w:lang w:eastAsia="en-IE"/>
              </w:rPr>
              <w:t xml:space="preserve"> </w:t>
            </w:r>
          </w:p>
        </w:tc>
        <w:tc>
          <w:tcPr>
            <w:tcW w:w="2346" w:type="dxa"/>
            <w:gridSpan w:val="2"/>
            <w:tcBorders>
              <w:top w:val="single" w:sz="12" w:space="0" w:color="auto"/>
              <w:left w:val="single" w:sz="8" w:space="0" w:color="auto"/>
              <w:bottom w:val="single" w:sz="4" w:space="0" w:color="auto"/>
              <w:right w:val="single" w:sz="8" w:space="0" w:color="000000"/>
            </w:tcBorders>
            <w:shd w:val="clear" w:color="000000" w:fill="E2EFDA"/>
            <w:vAlign w:val="center"/>
            <w:hideMark/>
          </w:tcPr>
          <w:p w14:paraId="708ACAC9"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Men</w:t>
            </w:r>
          </w:p>
        </w:tc>
        <w:tc>
          <w:tcPr>
            <w:tcW w:w="2406" w:type="dxa"/>
            <w:gridSpan w:val="2"/>
            <w:tcBorders>
              <w:top w:val="single" w:sz="12" w:space="0" w:color="auto"/>
              <w:left w:val="nil"/>
              <w:bottom w:val="single" w:sz="4" w:space="0" w:color="auto"/>
              <w:right w:val="single" w:sz="12" w:space="0" w:color="000000"/>
            </w:tcBorders>
            <w:shd w:val="clear" w:color="000000" w:fill="E2EFDA"/>
            <w:vAlign w:val="center"/>
            <w:hideMark/>
          </w:tcPr>
          <w:p w14:paraId="179282A6"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Women</w:t>
            </w:r>
          </w:p>
        </w:tc>
      </w:tr>
      <w:tr w:rsidR="000929DD" w:rsidRPr="00A56AEF" w14:paraId="22A7D890" w14:textId="77777777" w:rsidTr="00BE6857">
        <w:trPr>
          <w:trHeight w:val="795"/>
        </w:trPr>
        <w:tc>
          <w:tcPr>
            <w:tcW w:w="960" w:type="dxa"/>
            <w:vMerge/>
            <w:tcBorders>
              <w:top w:val="single" w:sz="12" w:space="0" w:color="auto"/>
              <w:left w:val="single" w:sz="12" w:space="0" w:color="auto"/>
              <w:bottom w:val="single" w:sz="8" w:space="0" w:color="000000"/>
              <w:right w:val="single" w:sz="4" w:space="0" w:color="auto"/>
            </w:tcBorders>
            <w:vAlign w:val="center"/>
            <w:hideMark/>
          </w:tcPr>
          <w:p w14:paraId="3709B34B" w14:textId="77777777" w:rsidR="000929DD" w:rsidRPr="00170470" w:rsidRDefault="000929DD" w:rsidP="00BE6857">
            <w:pPr>
              <w:spacing w:after="0" w:line="240" w:lineRule="auto"/>
              <w:rPr>
                <w:rFonts w:ascii="Times New Roman" w:eastAsia="Times New Roman" w:hAnsi="Times New Roman" w:cs="Times New Roman"/>
                <w:b/>
                <w:bCs/>
                <w:noProof/>
                <w:lang w:eastAsia="en-IE"/>
              </w:rPr>
            </w:pPr>
          </w:p>
        </w:tc>
        <w:tc>
          <w:tcPr>
            <w:tcW w:w="116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A30115A" w14:textId="232A5CFD"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Prob</w:t>
            </w:r>
            <w:r w:rsidR="001827F3">
              <w:rPr>
                <w:rFonts w:ascii="Times New Roman" w:eastAsia="Times New Roman" w:hAnsi="Times New Roman" w:cs="Times New Roman"/>
                <w:b/>
                <w:bCs/>
                <w:noProof/>
                <w:lang w:eastAsia="en-IE"/>
              </w:rPr>
              <w:t>ability</w:t>
            </w:r>
            <w:r w:rsidRPr="00170470">
              <w:rPr>
                <w:rFonts w:ascii="Times New Roman" w:eastAsia="Times New Roman" w:hAnsi="Times New Roman" w:cs="Times New Roman"/>
                <w:b/>
                <w:bCs/>
                <w:noProof/>
                <w:lang w:eastAsia="en-IE"/>
              </w:rPr>
              <w:t xml:space="preserve"> to die at age x</w:t>
            </w:r>
          </w:p>
          <w:p w14:paraId="711659A6"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p>
        </w:tc>
        <w:tc>
          <w:tcPr>
            <w:tcW w:w="118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17A18BD"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Life expectancy</w:t>
            </w:r>
          </w:p>
          <w:p w14:paraId="4413BFA2"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p>
        </w:tc>
        <w:tc>
          <w:tcPr>
            <w:tcW w:w="116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4AB93CD" w14:textId="1A9DF57B"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Prob</w:t>
            </w:r>
            <w:r w:rsidR="001827F3">
              <w:rPr>
                <w:rFonts w:ascii="Times New Roman" w:eastAsia="Times New Roman" w:hAnsi="Times New Roman" w:cs="Times New Roman"/>
                <w:b/>
                <w:bCs/>
                <w:noProof/>
                <w:lang w:eastAsia="en-IE"/>
              </w:rPr>
              <w:t>ability</w:t>
            </w:r>
            <w:r w:rsidRPr="00170470">
              <w:rPr>
                <w:rFonts w:ascii="Times New Roman" w:eastAsia="Times New Roman" w:hAnsi="Times New Roman" w:cs="Times New Roman"/>
                <w:b/>
                <w:bCs/>
                <w:noProof/>
                <w:lang w:eastAsia="en-IE"/>
              </w:rPr>
              <w:t xml:space="preserve"> to die at age </w:t>
            </w:r>
            <w:r w:rsidR="001827F3">
              <w:rPr>
                <w:rFonts w:ascii="Times New Roman" w:eastAsia="Times New Roman" w:hAnsi="Times New Roman" w:cs="Times New Roman"/>
                <w:b/>
                <w:bCs/>
                <w:noProof/>
                <w:lang w:eastAsia="en-IE"/>
              </w:rPr>
              <w:t>x</w:t>
            </w:r>
          </w:p>
          <w:p w14:paraId="0551FEA3"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p>
        </w:tc>
        <w:tc>
          <w:tcPr>
            <w:tcW w:w="124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5A25A8E"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Life expectancy</w:t>
            </w:r>
          </w:p>
          <w:p w14:paraId="3078BAED"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p>
        </w:tc>
      </w:tr>
      <w:tr w:rsidR="000929DD" w:rsidRPr="00A56AEF" w14:paraId="6792467E"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1C2BC436"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40</w:t>
            </w:r>
          </w:p>
        </w:tc>
        <w:tc>
          <w:tcPr>
            <w:tcW w:w="1166" w:type="dxa"/>
            <w:tcBorders>
              <w:top w:val="single" w:sz="4" w:space="0" w:color="auto"/>
              <w:left w:val="single" w:sz="8" w:space="0" w:color="auto"/>
              <w:bottom w:val="nil"/>
              <w:right w:val="single" w:sz="4" w:space="0" w:color="auto"/>
            </w:tcBorders>
            <w:shd w:val="clear" w:color="auto" w:fill="auto"/>
            <w:noWrap/>
            <w:vAlign w:val="center"/>
            <w:hideMark/>
          </w:tcPr>
          <w:p w14:paraId="5613126C"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0,00048544</w:t>
            </w:r>
          </w:p>
        </w:tc>
        <w:tc>
          <w:tcPr>
            <w:tcW w:w="1180" w:type="dxa"/>
            <w:tcBorders>
              <w:top w:val="single" w:sz="4" w:space="0" w:color="auto"/>
              <w:left w:val="nil"/>
              <w:bottom w:val="nil"/>
              <w:right w:val="single" w:sz="8" w:space="0" w:color="auto"/>
            </w:tcBorders>
            <w:shd w:val="clear" w:color="auto" w:fill="auto"/>
            <w:noWrap/>
            <w:vAlign w:val="center"/>
            <w:hideMark/>
          </w:tcPr>
          <w:p w14:paraId="34B6AC07"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44</w:t>
            </w:r>
          </w:p>
        </w:tc>
        <w:tc>
          <w:tcPr>
            <w:tcW w:w="1166" w:type="dxa"/>
            <w:tcBorders>
              <w:top w:val="single" w:sz="4" w:space="0" w:color="auto"/>
              <w:left w:val="nil"/>
              <w:bottom w:val="nil"/>
              <w:right w:val="single" w:sz="4" w:space="0" w:color="auto"/>
            </w:tcBorders>
            <w:shd w:val="clear" w:color="auto" w:fill="auto"/>
            <w:noWrap/>
            <w:vAlign w:val="center"/>
            <w:hideMark/>
          </w:tcPr>
          <w:p w14:paraId="5EF24682"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0,00037417</w:t>
            </w:r>
          </w:p>
        </w:tc>
        <w:tc>
          <w:tcPr>
            <w:tcW w:w="1240" w:type="dxa"/>
            <w:tcBorders>
              <w:top w:val="single" w:sz="4" w:space="0" w:color="auto"/>
              <w:left w:val="nil"/>
              <w:bottom w:val="nil"/>
              <w:right w:val="single" w:sz="12" w:space="0" w:color="auto"/>
            </w:tcBorders>
            <w:shd w:val="clear" w:color="auto" w:fill="auto"/>
            <w:noWrap/>
            <w:vAlign w:val="center"/>
            <w:hideMark/>
          </w:tcPr>
          <w:p w14:paraId="0F87CB63"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46</w:t>
            </w:r>
          </w:p>
        </w:tc>
      </w:tr>
      <w:tr w:rsidR="000929DD" w:rsidRPr="00A56AEF" w14:paraId="55DDB777"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71A72C15"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45</w:t>
            </w:r>
          </w:p>
        </w:tc>
        <w:tc>
          <w:tcPr>
            <w:tcW w:w="1166" w:type="dxa"/>
            <w:tcBorders>
              <w:top w:val="nil"/>
              <w:left w:val="single" w:sz="8" w:space="0" w:color="auto"/>
              <w:bottom w:val="nil"/>
              <w:right w:val="single" w:sz="4" w:space="0" w:color="auto"/>
            </w:tcBorders>
            <w:shd w:val="clear" w:color="auto" w:fill="auto"/>
            <w:noWrap/>
            <w:vAlign w:val="center"/>
            <w:hideMark/>
          </w:tcPr>
          <w:p w14:paraId="35531971"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0,00083219</w:t>
            </w:r>
          </w:p>
        </w:tc>
        <w:tc>
          <w:tcPr>
            <w:tcW w:w="1180" w:type="dxa"/>
            <w:tcBorders>
              <w:top w:val="nil"/>
              <w:left w:val="nil"/>
              <w:bottom w:val="nil"/>
              <w:right w:val="single" w:sz="8" w:space="0" w:color="auto"/>
            </w:tcBorders>
            <w:shd w:val="clear" w:color="auto" w:fill="auto"/>
            <w:noWrap/>
            <w:vAlign w:val="center"/>
            <w:hideMark/>
          </w:tcPr>
          <w:p w14:paraId="5003C89C"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39</w:t>
            </w:r>
          </w:p>
        </w:tc>
        <w:tc>
          <w:tcPr>
            <w:tcW w:w="1166" w:type="dxa"/>
            <w:tcBorders>
              <w:top w:val="nil"/>
              <w:left w:val="nil"/>
              <w:bottom w:val="nil"/>
              <w:right w:val="single" w:sz="4" w:space="0" w:color="auto"/>
            </w:tcBorders>
            <w:shd w:val="clear" w:color="auto" w:fill="auto"/>
            <w:noWrap/>
            <w:vAlign w:val="center"/>
            <w:hideMark/>
          </w:tcPr>
          <w:p w14:paraId="3C33EA3B"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0,00064198</w:t>
            </w:r>
          </w:p>
        </w:tc>
        <w:tc>
          <w:tcPr>
            <w:tcW w:w="1240" w:type="dxa"/>
            <w:tcBorders>
              <w:top w:val="nil"/>
              <w:left w:val="nil"/>
              <w:bottom w:val="nil"/>
              <w:right w:val="single" w:sz="12" w:space="0" w:color="auto"/>
            </w:tcBorders>
            <w:shd w:val="clear" w:color="auto" w:fill="auto"/>
            <w:noWrap/>
            <w:vAlign w:val="center"/>
            <w:hideMark/>
          </w:tcPr>
          <w:p w14:paraId="2EAD9FF1"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42</w:t>
            </w:r>
          </w:p>
        </w:tc>
      </w:tr>
      <w:tr w:rsidR="000929DD" w:rsidRPr="00A56AEF" w14:paraId="7BB635FC"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35D4450B"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50</w:t>
            </w:r>
          </w:p>
        </w:tc>
        <w:tc>
          <w:tcPr>
            <w:tcW w:w="1166" w:type="dxa"/>
            <w:tcBorders>
              <w:top w:val="nil"/>
              <w:left w:val="single" w:sz="8" w:space="0" w:color="auto"/>
              <w:bottom w:val="nil"/>
              <w:right w:val="single" w:sz="4" w:space="0" w:color="auto"/>
            </w:tcBorders>
            <w:shd w:val="clear" w:color="auto" w:fill="auto"/>
            <w:noWrap/>
            <w:vAlign w:val="center"/>
            <w:hideMark/>
          </w:tcPr>
          <w:p w14:paraId="2B6997A8"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0,00140284</w:t>
            </w:r>
          </w:p>
        </w:tc>
        <w:tc>
          <w:tcPr>
            <w:tcW w:w="1180" w:type="dxa"/>
            <w:tcBorders>
              <w:top w:val="nil"/>
              <w:left w:val="nil"/>
              <w:bottom w:val="nil"/>
              <w:right w:val="single" w:sz="8" w:space="0" w:color="auto"/>
            </w:tcBorders>
            <w:shd w:val="clear" w:color="auto" w:fill="auto"/>
            <w:noWrap/>
            <w:vAlign w:val="center"/>
            <w:hideMark/>
          </w:tcPr>
          <w:p w14:paraId="0CEBC7A6"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34</w:t>
            </w:r>
          </w:p>
        </w:tc>
        <w:tc>
          <w:tcPr>
            <w:tcW w:w="1166" w:type="dxa"/>
            <w:tcBorders>
              <w:top w:val="nil"/>
              <w:left w:val="nil"/>
              <w:bottom w:val="nil"/>
              <w:right w:val="single" w:sz="4" w:space="0" w:color="auto"/>
            </w:tcBorders>
            <w:shd w:val="clear" w:color="auto" w:fill="auto"/>
            <w:noWrap/>
            <w:vAlign w:val="center"/>
            <w:hideMark/>
          </w:tcPr>
          <w:p w14:paraId="4C56E6F2"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0,00110248</w:t>
            </w:r>
          </w:p>
        </w:tc>
        <w:tc>
          <w:tcPr>
            <w:tcW w:w="1240" w:type="dxa"/>
            <w:tcBorders>
              <w:top w:val="nil"/>
              <w:left w:val="nil"/>
              <w:bottom w:val="nil"/>
              <w:right w:val="single" w:sz="12" w:space="0" w:color="auto"/>
            </w:tcBorders>
            <w:shd w:val="clear" w:color="auto" w:fill="auto"/>
            <w:noWrap/>
            <w:vAlign w:val="center"/>
            <w:hideMark/>
          </w:tcPr>
          <w:p w14:paraId="3CE6C23B"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37</w:t>
            </w:r>
          </w:p>
        </w:tc>
      </w:tr>
      <w:tr w:rsidR="000929DD" w:rsidRPr="00A56AEF" w14:paraId="4E5C4F8A"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1841FB9C"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55</w:t>
            </w:r>
          </w:p>
        </w:tc>
        <w:tc>
          <w:tcPr>
            <w:tcW w:w="1166" w:type="dxa"/>
            <w:tcBorders>
              <w:top w:val="nil"/>
              <w:left w:val="single" w:sz="8" w:space="0" w:color="auto"/>
              <w:bottom w:val="nil"/>
              <w:right w:val="single" w:sz="4" w:space="0" w:color="auto"/>
            </w:tcBorders>
            <w:shd w:val="clear" w:color="auto" w:fill="auto"/>
            <w:noWrap/>
            <w:vAlign w:val="center"/>
            <w:hideMark/>
          </w:tcPr>
          <w:p w14:paraId="365E5B47"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0,00236193</w:t>
            </w:r>
          </w:p>
        </w:tc>
        <w:tc>
          <w:tcPr>
            <w:tcW w:w="1180" w:type="dxa"/>
            <w:tcBorders>
              <w:top w:val="nil"/>
              <w:left w:val="nil"/>
              <w:bottom w:val="nil"/>
              <w:right w:val="single" w:sz="8" w:space="0" w:color="auto"/>
            </w:tcBorders>
            <w:shd w:val="clear" w:color="auto" w:fill="auto"/>
            <w:noWrap/>
            <w:vAlign w:val="center"/>
            <w:hideMark/>
          </w:tcPr>
          <w:p w14:paraId="5CE070D5"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30</w:t>
            </w:r>
          </w:p>
        </w:tc>
        <w:tc>
          <w:tcPr>
            <w:tcW w:w="1166" w:type="dxa"/>
            <w:tcBorders>
              <w:top w:val="nil"/>
              <w:left w:val="nil"/>
              <w:bottom w:val="nil"/>
              <w:right w:val="single" w:sz="4" w:space="0" w:color="auto"/>
            </w:tcBorders>
            <w:shd w:val="clear" w:color="auto" w:fill="auto"/>
            <w:noWrap/>
            <w:vAlign w:val="center"/>
            <w:hideMark/>
          </w:tcPr>
          <w:p w14:paraId="29558481"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0,00189106</w:t>
            </w:r>
          </w:p>
        </w:tc>
        <w:tc>
          <w:tcPr>
            <w:tcW w:w="1240" w:type="dxa"/>
            <w:tcBorders>
              <w:top w:val="nil"/>
              <w:left w:val="nil"/>
              <w:bottom w:val="nil"/>
              <w:right w:val="single" w:sz="12" w:space="0" w:color="auto"/>
            </w:tcBorders>
            <w:shd w:val="clear" w:color="auto" w:fill="auto"/>
            <w:noWrap/>
            <w:vAlign w:val="center"/>
            <w:hideMark/>
          </w:tcPr>
          <w:p w14:paraId="50C91CA2"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32</w:t>
            </w:r>
          </w:p>
        </w:tc>
      </w:tr>
      <w:tr w:rsidR="000929DD" w:rsidRPr="00A56AEF" w14:paraId="7A32BB44"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46642F0F"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60</w:t>
            </w:r>
          </w:p>
        </w:tc>
        <w:tc>
          <w:tcPr>
            <w:tcW w:w="1166" w:type="dxa"/>
            <w:tcBorders>
              <w:top w:val="nil"/>
              <w:left w:val="single" w:sz="8" w:space="0" w:color="auto"/>
              <w:bottom w:val="nil"/>
              <w:right w:val="single" w:sz="4" w:space="0" w:color="auto"/>
            </w:tcBorders>
            <w:shd w:val="clear" w:color="auto" w:fill="auto"/>
            <w:noWrap/>
            <w:vAlign w:val="center"/>
            <w:hideMark/>
          </w:tcPr>
          <w:p w14:paraId="0C6E28B2"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0,00398328</w:t>
            </w:r>
          </w:p>
        </w:tc>
        <w:tc>
          <w:tcPr>
            <w:tcW w:w="1180" w:type="dxa"/>
            <w:tcBorders>
              <w:top w:val="nil"/>
              <w:left w:val="nil"/>
              <w:bottom w:val="nil"/>
              <w:right w:val="single" w:sz="8" w:space="0" w:color="auto"/>
            </w:tcBorders>
            <w:shd w:val="clear" w:color="auto" w:fill="auto"/>
            <w:noWrap/>
            <w:vAlign w:val="center"/>
            <w:hideMark/>
          </w:tcPr>
          <w:p w14:paraId="791BEAC2"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25</w:t>
            </w:r>
          </w:p>
        </w:tc>
        <w:tc>
          <w:tcPr>
            <w:tcW w:w="1166" w:type="dxa"/>
            <w:tcBorders>
              <w:top w:val="nil"/>
              <w:left w:val="nil"/>
              <w:bottom w:val="nil"/>
              <w:right w:val="single" w:sz="4" w:space="0" w:color="auto"/>
            </w:tcBorders>
            <w:shd w:val="clear" w:color="auto" w:fill="auto"/>
            <w:noWrap/>
            <w:vAlign w:val="center"/>
            <w:hideMark/>
          </w:tcPr>
          <w:p w14:paraId="3F0A1A39"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0,00324918</w:t>
            </w:r>
          </w:p>
        </w:tc>
        <w:tc>
          <w:tcPr>
            <w:tcW w:w="1240" w:type="dxa"/>
            <w:tcBorders>
              <w:top w:val="nil"/>
              <w:left w:val="nil"/>
              <w:bottom w:val="nil"/>
              <w:right w:val="single" w:sz="12" w:space="0" w:color="auto"/>
            </w:tcBorders>
            <w:shd w:val="clear" w:color="auto" w:fill="auto"/>
            <w:noWrap/>
            <w:vAlign w:val="center"/>
            <w:hideMark/>
          </w:tcPr>
          <w:p w14:paraId="019CDF64"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27</w:t>
            </w:r>
          </w:p>
        </w:tc>
      </w:tr>
      <w:tr w:rsidR="000929DD" w:rsidRPr="00A56AEF" w14:paraId="309F1603"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07472BE6"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65</w:t>
            </w:r>
          </w:p>
        </w:tc>
        <w:tc>
          <w:tcPr>
            <w:tcW w:w="1166" w:type="dxa"/>
            <w:tcBorders>
              <w:top w:val="nil"/>
              <w:left w:val="single" w:sz="8" w:space="0" w:color="auto"/>
              <w:bottom w:val="nil"/>
              <w:right w:val="single" w:sz="4" w:space="0" w:color="auto"/>
            </w:tcBorders>
            <w:shd w:val="clear" w:color="auto" w:fill="auto"/>
            <w:noWrap/>
            <w:vAlign w:val="center"/>
            <w:hideMark/>
          </w:tcPr>
          <w:p w14:paraId="506BCFE0"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0,00643074</w:t>
            </w:r>
          </w:p>
        </w:tc>
        <w:tc>
          <w:tcPr>
            <w:tcW w:w="1180" w:type="dxa"/>
            <w:tcBorders>
              <w:top w:val="nil"/>
              <w:left w:val="nil"/>
              <w:bottom w:val="nil"/>
              <w:right w:val="single" w:sz="8" w:space="0" w:color="auto"/>
            </w:tcBorders>
            <w:shd w:val="clear" w:color="auto" w:fill="auto"/>
            <w:noWrap/>
            <w:vAlign w:val="center"/>
            <w:hideMark/>
          </w:tcPr>
          <w:p w14:paraId="53129C7D"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21</w:t>
            </w:r>
          </w:p>
        </w:tc>
        <w:tc>
          <w:tcPr>
            <w:tcW w:w="1166" w:type="dxa"/>
            <w:tcBorders>
              <w:top w:val="nil"/>
              <w:left w:val="nil"/>
              <w:bottom w:val="nil"/>
              <w:right w:val="single" w:sz="4" w:space="0" w:color="auto"/>
            </w:tcBorders>
            <w:shd w:val="clear" w:color="auto" w:fill="auto"/>
            <w:noWrap/>
            <w:vAlign w:val="center"/>
            <w:hideMark/>
          </w:tcPr>
          <w:p w14:paraId="0C0A58A1"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0,00558535</w:t>
            </w:r>
          </w:p>
        </w:tc>
        <w:tc>
          <w:tcPr>
            <w:tcW w:w="1240" w:type="dxa"/>
            <w:tcBorders>
              <w:top w:val="nil"/>
              <w:left w:val="nil"/>
              <w:bottom w:val="nil"/>
              <w:right w:val="single" w:sz="12" w:space="0" w:color="auto"/>
            </w:tcBorders>
            <w:shd w:val="clear" w:color="auto" w:fill="auto"/>
            <w:noWrap/>
            <w:vAlign w:val="center"/>
            <w:hideMark/>
          </w:tcPr>
          <w:p w14:paraId="03F6DD93"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23</w:t>
            </w:r>
          </w:p>
        </w:tc>
      </w:tr>
      <w:tr w:rsidR="000929DD" w:rsidRPr="00A56AEF" w14:paraId="2490B261"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621C411D"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70</w:t>
            </w:r>
          </w:p>
        </w:tc>
        <w:tc>
          <w:tcPr>
            <w:tcW w:w="1166" w:type="dxa"/>
            <w:tcBorders>
              <w:top w:val="nil"/>
              <w:left w:val="single" w:sz="8" w:space="0" w:color="auto"/>
              <w:bottom w:val="nil"/>
              <w:right w:val="single" w:sz="4" w:space="0" w:color="auto"/>
            </w:tcBorders>
            <w:shd w:val="clear" w:color="auto" w:fill="auto"/>
            <w:noWrap/>
            <w:vAlign w:val="center"/>
            <w:hideMark/>
          </w:tcPr>
          <w:p w14:paraId="70FACF12"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0,01187197</w:t>
            </w:r>
          </w:p>
        </w:tc>
        <w:tc>
          <w:tcPr>
            <w:tcW w:w="1180" w:type="dxa"/>
            <w:tcBorders>
              <w:top w:val="nil"/>
              <w:left w:val="nil"/>
              <w:bottom w:val="nil"/>
              <w:right w:val="single" w:sz="8" w:space="0" w:color="auto"/>
            </w:tcBorders>
            <w:shd w:val="clear" w:color="auto" w:fill="auto"/>
            <w:noWrap/>
            <w:vAlign w:val="center"/>
            <w:hideMark/>
          </w:tcPr>
          <w:p w14:paraId="60E6E810"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16</w:t>
            </w:r>
          </w:p>
        </w:tc>
        <w:tc>
          <w:tcPr>
            <w:tcW w:w="1166" w:type="dxa"/>
            <w:tcBorders>
              <w:top w:val="nil"/>
              <w:left w:val="nil"/>
              <w:bottom w:val="nil"/>
              <w:right w:val="single" w:sz="4" w:space="0" w:color="auto"/>
            </w:tcBorders>
            <w:shd w:val="clear" w:color="auto" w:fill="auto"/>
            <w:noWrap/>
            <w:vAlign w:val="center"/>
            <w:hideMark/>
          </w:tcPr>
          <w:p w14:paraId="156197D7"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0,00864211</w:t>
            </w:r>
          </w:p>
        </w:tc>
        <w:tc>
          <w:tcPr>
            <w:tcW w:w="1240" w:type="dxa"/>
            <w:tcBorders>
              <w:top w:val="nil"/>
              <w:left w:val="nil"/>
              <w:bottom w:val="nil"/>
              <w:right w:val="single" w:sz="12" w:space="0" w:color="auto"/>
            </w:tcBorders>
            <w:shd w:val="clear" w:color="auto" w:fill="auto"/>
            <w:noWrap/>
            <w:vAlign w:val="center"/>
            <w:hideMark/>
          </w:tcPr>
          <w:p w14:paraId="5C0AC767"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19</w:t>
            </w:r>
          </w:p>
        </w:tc>
      </w:tr>
      <w:tr w:rsidR="000929DD" w:rsidRPr="00A56AEF" w14:paraId="1B49C0A8"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5E1805A8"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75</w:t>
            </w:r>
          </w:p>
        </w:tc>
        <w:tc>
          <w:tcPr>
            <w:tcW w:w="1166" w:type="dxa"/>
            <w:tcBorders>
              <w:top w:val="nil"/>
              <w:left w:val="single" w:sz="8" w:space="0" w:color="auto"/>
              <w:bottom w:val="nil"/>
              <w:right w:val="single" w:sz="4" w:space="0" w:color="auto"/>
            </w:tcBorders>
            <w:shd w:val="clear" w:color="auto" w:fill="auto"/>
            <w:noWrap/>
            <w:vAlign w:val="center"/>
            <w:hideMark/>
          </w:tcPr>
          <w:p w14:paraId="5A9DF6BD"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0,02186383</w:t>
            </w:r>
          </w:p>
        </w:tc>
        <w:tc>
          <w:tcPr>
            <w:tcW w:w="1180" w:type="dxa"/>
            <w:tcBorders>
              <w:top w:val="nil"/>
              <w:left w:val="nil"/>
              <w:bottom w:val="nil"/>
              <w:right w:val="single" w:sz="8" w:space="0" w:color="auto"/>
            </w:tcBorders>
            <w:shd w:val="clear" w:color="auto" w:fill="auto"/>
            <w:noWrap/>
            <w:vAlign w:val="center"/>
            <w:hideMark/>
          </w:tcPr>
          <w:p w14:paraId="790FA266"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13</w:t>
            </w:r>
          </w:p>
        </w:tc>
        <w:tc>
          <w:tcPr>
            <w:tcW w:w="1166" w:type="dxa"/>
            <w:tcBorders>
              <w:top w:val="nil"/>
              <w:left w:val="nil"/>
              <w:bottom w:val="nil"/>
              <w:right w:val="single" w:sz="4" w:space="0" w:color="auto"/>
            </w:tcBorders>
            <w:shd w:val="clear" w:color="auto" w:fill="auto"/>
            <w:noWrap/>
            <w:vAlign w:val="center"/>
            <w:hideMark/>
          </w:tcPr>
          <w:p w14:paraId="67D618EA"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0,01470951</w:t>
            </w:r>
          </w:p>
        </w:tc>
        <w:tc>
          <w:tcPr>
            <w:tcW w:w="1240" w:type="dxa"/>
            <w:tcBorders>
              <w:top w:val="nil"/>
              <w:left w:val="nil"/>
              <w:bottom w:val="nil"/>
              <w:right w:val="single" w:sz="12" w:space="0" w:color="auto"/>
            </w:tcBorders>
            <w:shd w:val="clear" w:color="auto" w:fill="auto"/>
            <w:noWrap/>
            <w:vAlign w:val="center"/>
            <w:hideMark/>
          </w:tcPr>
          <w:p w14:paraId="1B86BE93"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14</w:t>
            </w:r>
          </w:p>
        </w:tc>
      </w:tr>
      <w:tr w:rsidR="000929DD" w:rsidRPr="00A56AEF" w14:paraId="5902CDE7"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7770A9CC"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80</w:t>
            </w:r>
          </w:p>
        </w:tc>
        <w:tc>
          <w:tcPr>
            <w:tcW w:w="1166" w:type="dxa"/>
            <w:tcBorders>
              <w:top w:val="nil"/>
              <w:left w:val="single" w:sz="8" w:space="0" w:color="auto"/>
              <w:bottom w:val="nil"/>
              <w:right w:val="single" w:sz="4" w:space="0" w:color="auto"/>
            </w:tcBorders>
            <w:shd w:val="clear" w:color="auto" w:fill="auto"/>
            <w:noWrap/>
            <w:vAlign w:val="center"/>
            <w:hideMark/>
          </w:tcPr>
          <w:p w14:paraId="382EDCDD"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0,04016587</w:t>
            </w:r>
          </w:p>
        </w:tc>
        <w:tc>
          <w:tcPr>
            <w:tcW w:w="1180" w:type="dxa"/>
            <w:tcBorders>
              <w:top w:val="nil"/>
              <w:left w:val="nil"/>
              <w:bottom w:val="nil"/>
              <w:right w:val="single" w:sz="8" w:space="0" w:color="auto"/>
            </w:tcBorders>
            <w:shd w:val="clear" w:color="auto" w:fill="auto"/>
            <w:noWrap/>
            <w:vAlign w:val="center"/>
            <w:hideMark/>
          </w:tcPr>
          <w:p w14:paraId="78DBD788"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9</w:t>
            </w:r>
          </w:p>
        </w:tc>
        <w:tc>
          <w:tcPr>
            <w:tcW w:w="1166" w:type="dxa"/>
            <w:tcBorders>
              <w:top w:val="nil"/>
              <w:left w:val="nil"/>
              <w:bottom w:val="nil"/>
              <w:right w:val="single" w:sz="4" w:space="0" w:color="auto"/>
            </w:tcBorders>
            <w:shd w:val="clear" w:color="auto" w:fill="auto"/>
            <w:noWrap/>
            <w:vAlign w:val="center"/>
            <w:hideMark/>
          </w:tcPr>
          <w:p w14:paraId="24E88707"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0,02826935</w:t>
            </w:r>
          </w:p>
        </w:tc>
        <w:tc>
          <w:tcPr>
            <w:tcW w:w="1240" w:type="dxa"/>
            <w:tcBorders>
              <w:top w:val="nil"/>
              <w:left w:val="nil"/>
              <w:bottom w:val="nil"/>
              <w:right w:val="single" w:sz="12" w:space="0" w:color="auto"/>
            </w:tcBorders>
            <w:shd w:val="clear" w:color="auto" w:fill="auto"/>
            <w:noWrap/>
            <w:vAlign w:val="center"/>
            <w:hideMark/>
          </w:tcPr>
          <w:p w14:paraId="0790CC85"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11</w:t>
            </w:r>
          </w:p>
        </w:tc>
      </w:tr>
      <w:tr w:rsidR="000929DD" w:rsidRPr="00A56AEF" w14:paraId="427A2C0A" w14:textId="77777777" w:rsidTr="00BE6857">
        <w:trPr>
          <w:trHeight w:val="300"/>
        </w:trPr>
        <w:tc>
          <w:tcPr>
            <w:tcW w:w="960" w:type="dxa"/>
            <w:tcBorders>
              <w:top w:val="nil"/>
              <w:left w:val="single" w:sz="12" w:space="0" w:color="auto"/>
              <w:bottom w:val="nil"/>
              <w:right w:val="nil"/>
            </w:tcBorders>
            <w:shd w:val="clear" w:color="auto" w:fill="auto"/>
            <w:noWrap/>
            <w:vAlign w:val="center"/>
            <w:hideMark/>
          </w:tcPr>
          <w:p w14:paraId="5BA1EA9D"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85</w:t>
            </w:r>
          </w:p>
        </w:tc>
        <w:tc>
          <w:tcPr>
            <w:tcW w:w="1166" w:type="dxa"/>
            <w:tcBorders>
              <w:top w:val="nil"/>
              <w:left w:val="single" w:sz="8" w:space="0" w:color="auto"/>
              <w:bottom w:val="nil"/>
              <w:right w:val="single" w:sz="4" w:space="0" w:color="auto"/>
            </w:tcBorders>
            <w:shd w:val="clear" w:color="auto" w:fill="auto"/>
            <w:noWrap/>
            <w:vAlign w:val="center"/>
            <w:hideMark/>
          </w:tcPr>
          <w:p w14:paraId="6DB25EC0"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0,07362888</w:t>
            </w:r>
          </w:p>
        </w:tc>
        <w:tc>
          <w:tcPr>
            <w:tcW w:w="1180" w:type="dxa"/>
            <w:tcBorders>
              <w:top w:val="nil"/>
              <w:left w:val="nil"/>
              <w:bottom w:val="nil"/>
              <w:right w:val="single" w:sz="8" w:space="0" w:color="auto"/>
            </w:tcBorders>
            <w:shd w:val="clear" w:color="auto" w:fill="auto"/>
            <w:noWrap/>
            <w:vAlign w:val="center"/>
            <w:hideMark/>
          </w:tcPr>
          <w:p w14:paraId="6EE9E428"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6</w:t>
            </w:r>
          </w:p>
        </w:tc>
        <w:tc>
          <w:tcPr>
            <w:tcW w:w="1166" w:type="dxa"/>
            <w:tcBorders>
              <w:top w:val="nil"/>
              <w:left w:val="nil"/>
              <w:bottom w:val="nil"/>
              <w:right w:val="single" w:sz="4" w:space="0" w:color="auto"/>
            </w:tcBorders>
            <w:shd w:val="clear" w:color="auto" w:fill="auto"/>
            <w:noWrap/>
            <w:vAlign w:val="center"/>
            <w:hideMark/>
          </w:tcPr>
          <w:p w14:paraId="1DE2CED7"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0,05429701</w:t>
            </w:r>
          </w:p>
        </w:tc>
        <w:tc>
          <w:tcPr>
            <w:tcW w:w="1240" w:type="dxa"/>
            <w:tcBorders>
              <w:top w:val="nil"/>
              <w:left w:val="nil"/>
              <w:bottom w:val="nil"/>
              <w:right w:val="single" w:sz="12" w:space="0" w:color="auto"/>
            </w:tcBorders>
            <w:shd w:val="clear" w:color="auto" w:fill="auto"/>
            <w:noWrap/>
            <w:vAlign w:val="center"/>
            <w:hideMark/>
          </w:tcPr>
          <w:p w14:paraId="2125CEC5"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8</w:t>
            </w:r>
          </w:p>
        </w:tc>
      </w:tr>
      <w:tr w:rsidR="000929DD" w:rsidRPr="00A56AEF" w14:paraId="7B0CEC2B" w14:textId="77777777" w:rsidTr="00BE6857">
        <w:trPr>
          <w:trHeight w:val="315"/>
        </w:trPr>
        <w:tc>
          <w:tcPr>
            <w:tcW w:w="960" w:type="dxa"/>
            <w:tcBorders>
              <w:top w:val="nil"/>
              <w:left w:val="single" w:sz="12" w:space="0" w:color="auto"/>
              <w:bottom w:val="single" w:sz="12" w:space="0" w:color="auto"/>
              <w:right w:val="nil"/>
            </w:tcBorders>
            <w:shd w:val="clear" w:color="auto" w:fill="auto"/>
            <w:noWrap/>
            <w:vAlign w:val="center"/>
            <w:hideMark/>
          </w:tcPr>
          <w:p w14:paraId="63F8589E"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90</w:t>
            </w:r>
          </w:p>
        </w:tc>
        <w:tc>
          <w:tcPr>
            <w:tcW w:w="1166" w:type="dxa"/>
            <w:tcBorders>
              <w:top w:val="nil"/>
              <w:left w:val="single" w:sz="8" w:space="0" w:color="auto"/>
              <w:bottom w:val="single" w:sz="12" w:space="0" w:color="auto"/>
              <w:right w:val="single" w:sz="4" w:space="0" w:color="auto"/>
            </w:tcBorders>
            <w:shd w:val="clear" w:color="auto" w:fill="auto"/>
            <w:noWrap/>
            <w:vAlign w:val="center"/>
            <w:hideMark/>
          </w:tcPr>
          <w:p w14:paraId="496C8F32"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0,12980921</w:t>
            </w:r>
          </w:p>
        </w:tc>
        <w:tc>
          <w:tcPr>
            <w:tcW w:w="1180" w:type="dxa"/>
            <w:tcBorders>
              <w:top w:val="nil"/>
              <w:left w:val="nil"/>
              <w:bottom w:val="single" w:sz="12" w:space="0" w:color="auto"/>
              <w:right w:val="single" w:sz="8" w:space="0" w:color="auto"/>
            </w:tcBorders>
            <w:shd w:val="clear" w:color="auto" w:fill="auto"/>
            <w:noWrap/>
            <w:vAlign w:val="center"/>
            <w:hideMark/>
          </w:tcPr>
          <w:p w14:paraId="64BE5D49"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4</w:t>
            </w:r>
          </w:p>
        </w:tc>
        <w:tc>
          <w:tcPr>
            <w:tcW w:w="1166" w:type="dxa"/>
            <w:tcBorders>
              <w:top w:val="nil"/>
              <w:left w:val="nil"/>
              <w:bottom w:val="single" w:sz="12" w:space="0" w:color="auto"/>
              <w:right w:val="single" w:sz="4" w:space="0" w:color="auto"/>
            </w:tcBorders>
            <w:shd w:val="clear" w:color="auto" w:fill="auto"/>
            <w:noWrap/>
            <w:vAlign w:val="center"/>
            <w:hideMark/>
          </w:tcPr>
          <w:p w14:paraId="760D977A"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0,10494797</w:t>
            </w:r>
          </w:p>
        </w:tc>
        <w:tc>
          <w:tcPr>
            <w:tcW w:w="1240" w:type="dxa"/>
            <w:tcBorders>
              <w:top w:val="nil"/>
              <w:left w:val="nil"/>
              <w:bottom w:val="single" w:sz="12" w:space="0" w:color="auto"/>
              <w:right w:val="single" w:sz="12" w:space="0" w:color="auto"/>
            </w:tcBorders>
            <w:shd w:val="clear" w:color="auto" w:fill="auto"/>
            <w:noWrap/>
            <w:vAlign w:val="center"/>
            <w:hideMark/>
          </w:tcPr>
          <w:p w14:paraId="02791AFC" w14:textId="77777777" w:rsidR="000929DD" w:rsidRPr="00170470" w:rsidRDefault="000929DD" w:rsidP="00BE6857">
            <w:pPr>
              <w:spacing w:after="0" w:line="240" w:lineRule="auto"/>
              <w:jc w:val="center"/>
              <w:rPr>
                <w:rFonts w:ascii="Times New Roman" w:eastAsia="Times New Roman" w:hAnsi="Times New Roman" w:cs="Times New Roman"/>
                <w:noProof/>
                <w:sz w:val="20"/>
                <w:szCs w:val="20"/>
                <w:lang w:eastAsia="en-IE"/>
              </w:rPr>
            </w:pPr>
            <w:r w:rsidRPr="00170470">
              <w:rPr>
                <w:rFonts w:ascii="Times New Roman" w:eastAsia="Times New Roman" w:hAnsi="Times New Roman" w:cs="Times New Roman"/>
                <w:noProof/>
                <w:sz w:val="20"/>
                <w:szCs w:val="20"/>
                <w:lang w:eastAsia="en-IE"/>
              </w:rPr>
              <w:t>5</w:t>
            </w:r>
          </w:p>
        </w:tc>
      </w:tr>
    </w:tbl>
    <w:p w14:paraId="39CD176C" w14:textId="77777777" w:rsidR="000929DD" w:rsidRDefault="000929DD" w:rsidP="000929DD">
      <w:pPr>
        <w:rPr>
          <w:rFonts w:ascii="Times New Roman" w:hAnsi="Times New Roman" w:cs="Times New Roman"/>
          <w:noProof/>
          <w:sz w:val="24"/>
          <w:lang w:val="en-GB"/>
        </w:rPr>
      </w:pPr>
    </w:p>
    <w:p w14:paraId="0C086713" w14:textId="77777777" w:rsidR="000929DD" w:rsidRDefault="000929DD" w:rsidP="000929DD">
      <w:pPr>
        <w:rPr>
          <w:rFonts w:ascii="Times New Roman" w:hAnsi="Times New Roman" w:cs="Times New Roman"/>
          <w:noProof/>
          <w:sz w:val="24"/>
        </w:rPr>
      </w:pPr>
      <w:r>
        <w:rPr>
          <w:rFonts w:ascii="Times New Roman" w:hAnsi="Times New Roman" w:cs="Times New Roman"/>
          <w:noProof/>
          <w:sz w:val="24"/>
        </w:rPr>
        <w:t>Annex 3: Demographic assumptions for the 2022 actuarial assessment</w:t>
      </w:r>
    </w:p>
    <w:tbl>
      <w:tblPr>
        <w:tblW w:w="5240" w:type="dxa"/>
        <w:tblInd w:w="123" w:type="dxa"/>
        <w:tblLook w:val="04A0" w:firstRow="1" w:lastRow="0" w:firstColumn="1" w:lastColumn="0" w:noHBand="0" w:noVBand="1"/>
      </w:tblPr>
      <w:tblGrid>
        <w:gridCol w:w="2920"/>
        <w:gridCol w:w="2320"/>
      </w:tblGrid>
      <w:tr w:rsidR="000929DD" w:rsidRPr="00A56AEF" w14:paraId="041B9016" w14:textId="77777777" w:rsidTr="00BE6857">
        <w:trPr>
          <w:trHeight w:val="330"/>
        </w:trPr>
        <w:tc>
          <w:tcPr>
            <w:tcW w:w="2920" w:type="dxa"/>
            <w:tcBorders>
              <w:top w:val="single" w:sz="12" w:space="0" w:color="auto"/>
              <w:left w:val="single" w:sz="12" w:space="0" w:color="auto"/>
              <w:bottom w:val="single" w:sz="8" w:space="0" w:color="auto"/>
              <w:right w:val="single" w:sz="4" w:space="0" w:color="auto"/>
            </w:tcBorders>
            <w:shd w:val="clear" w:color="000000" w:fill="E2EFDA"/>
            <w:noWrap/>
            <w:vAlign w:val="center"/>
            <w:hideMark/>
          </w:tcPr>
          <w:p w14:paraId="3966F967"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Demographic assumptions</w:t>
            </w:r>
          </w:p>
        </w:tc>
        <w:tc>
          <w:tcPr>
            <w:tcW w:w="2320" w:type="dxa"/>
            <w:tcBorders>
              <w:top w:val="single" w:sz="12" w:space="0" w:color="auto"/>
              <w:left w:val="nil"/>
              <w:bottom w:val="single" w:sz="8" w:space="0" w:color="auto"/>
              <w:right w:val="single" w:sz="12" w:space="0" w:color="auto"/>
            </w:tcBorders>
            <w:shd w:val="clear" w:color="000000" w:fill="E2EFDA"/>
            <w:noWrap/>
            <w:vAlign w:val="center"/>
            <w:hideMark/>
          </w:tcPr>
          <w:p w14:paraId="3E7AB26B"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2022 assessment</w:t>
            </w:r>
          </w:p>
        </w:tc>
      </w:tr>
      <w:tr w:rsidR="000929DD" w:rsidRPr="00A56AEF" w14:paraId="07114448" w14:textId="77777777" w:rsidTr="00BE6857">
        <w:trPr>
          <w:trHeight w:val="300"/>
        </w:trPr>
        <w:tc>
          <w:tcPr>
            <w:tcW w:w="2920" w:type="dxa"/>
            <w:tcBorders>
              <w:top w:val="nil"/>
              <w:left w:val="single" w:sz="12" w:space="0" w:color="auto"/>
              <w:bottom w:val="nil"/>
              <w:right w:val="single" w:sz="4" w:space="0" w:color="auto"/>
            </w:tcBorders>
            <w:shd w:val="clear" w:color="auto" w:fill="auto"/>
            <w:vAlign w:val="center"/>
            <w:hideMark/>
          </w:tcPr>
          <w:p w14:paraId="30734DF8"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Life Table (healthy members)</w:t>
            </w:r>
          </w:p>
        </w:tc>
        <w:tc>
          <w:tcPr>
            <w:tcW w:w="2320" w:type="dxa"/>
            <w:tcBorders>
              <w:top w:val="nil"/>
              <w:left w:val="nil"/>
              <w:bottom w:val="nil"/>
              <w:right w:val="single" w:sz="12" w:space="0" w:color="auto"/>
            </w:tcBorders>
            <w:shd w:val="clear" w:color="auto" w:fill="auto"/>
            <w:vAlign w:val="center"/>
            <w:hideMark/>
          </w:tcPr>
          <w:p w14:paraId="528302DA"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2018 EULT</w:t>
            </w:r>
          </w:p>
        </w:tc>
      </w:tr>
      <w:tr w:rsidR="000929DD" w:rsidRPr="00A56AEF" w14:paraId="3A0B6CF8" w14:textId="77777777" w:rsidTr="00BE6857">
        <w:trPr>
          <w:trHeight w:val="600"/>
        </w:trPr>
        <w:tc>
          <w:tcPr>
            <w:tcW w:w="292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C7544E4"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Life Table (disabled members)</w:t>
            </w:r>
          </w:p>
        </w:tc>
        <w:tc>
          <w:tcPr>
            <w:tcW w:w="2320" w:type="dxa"/>
            <w:tcBorders>
              <w:top w:val="single" w:sz="4" w:space="0" w:color="auto"/>
              <w:left w:val="nil"/>
              <w:bottom w:val="single" w:sz="4" w:space="0" w:color="auto"/>
              <w:right w:val="single" w:sz="12" w:space="0" w:color="auto"/>
            </w:tcBorders>
            <w:shd w:val="clear" w:color="auto" w:fill="auto"/>
            <w:vAlign w:val="center"/>
            <w:hideMark/>
          </w:tcPr>
          <w:p w14:paraId="79E0A449"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2018 EULT + 3 years</w:t>
            </w:r>
          </w:p>
        </w:tc>
      </w:tr>
      <w:tr w:rsidR="000929DD" w:rsidRPr="00A56AEF" w14:paraId="4F9FDEB8" w14:textId="77777777" w:rsidTr="00BE6857">
        <w:trPr>
          <w:trHeight w:val="300"/>
        </w:trPr>
        <w:tc>
          <w:tcPr>
            <w:tcW w:w="2920" w:type="dxa"/>
            <w:tcBorders>
              <w:top w:val="nil"/>
              <w:left w:val="single" w:sz="12" w:space="0" w:color="auto"/>
              <w:bottom w:val="single" w:sz="4" w:space="0" w:color="auto"/>
              <w:right w:val="single" w:sz="4" w:space="0" w:color="auto"/>
            </w:tcBorders>
            <w:shd w:val="clear" w:color="auto" w:fill="auto"/>
            <w:vAlign w:val="center"/>
            <w:hideMark/>
          </w:tcPr>
          <w:p w14:paraId="63604806"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Invalidity Table</w:t>
            </w:r>
          </w:p>
        </w:tc>
        <w:tc>
          <w:tcPr>
            <w:tcW w:w="2320" w:type="dxa"/>
            <w:tcBorders>
              <w:top w:val="nil"/>
              <w:left w:val="nil"/>
              <w:bottom w:val="single" w:sz="4" w:space="0" w:color="auto"/>
              <w:right w:val="single" w:sz="12" w:space="0" w:color="auto"/>
            </w:tcBorders>
            <w:shd w:val="clear" w:color="auto" w:fill="auto"/>
            <w:vAlign w:val="center"/>
            <w:hideMark/>
          </w:tcPr>
          <w:p w14:paraId="7FB7F786"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2018 EU Invalidity Table</w:t>
            </w:r>
          </w:p>
        </w:tc>
      </w:tr>
      <w:tr w:rsidR="000929DD" w:rsidRPr="00A56AEF" w14:paraId="29474D0E" w14:textId="77777777" w:rsidTr="00BE6857">
        <w:trPr>
          <w:trHeight w:val="600"/>
        </w:trPr>
        <w:tc>
          <w:tcPr>
            <w:tcW w:w="2920" w:type="dxa"/>
            <w:tcBorders>
              <w:top w:val="nil"/>
              <w:left w:val="single" w:sz="12" w:space="0" w:color="auto"/>
              <w:bottom w:val="single" w:sz="4" w:space="0" w:color="auto"/>
              <w:right w:val="single" w:sz="4" w:space="0" w:color="auto"/>
            </w:tcBorders>
            <w:shd w:val="clear" w:color="auto" w:fill="auto"/>
            <w:vAlign w:val="center"/>
            <w:hideMark/>
          </w:tcPr>
          <w:p w14:paraId="4330093E"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Current Marital Status</w:t>
            </w:r>
          </w:p>
        </w:tc>
        <w:tc>
          <w:tcPr>
            <w:tcW w:w="2320" w:type="dxa"/>
            <w:tcBorders>
              <w:top w:val="nil"/>
              <w:left w:val="nil"/>
              <w:bottom w:val="single" w:sz="4" w:space="0" w:color="auto"/>
              <w:right w:val="single" w:sz="12" w:space="0" w:color="auto"/>
            </w:tcBorders>
            <w:shd w:val="clear" w:color="auto" w:fill="auto"/>
            <w:vAlign w:val="center"/>
            <w:hideMark/>
          </w:tcPr>
          <w:p w14:paraId="24DF658B"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Marital Status at evaluation date</w:t>
            </w:r>
          </w:p>
        </w:tc>
      </w:tr>
      <w:tr w:rsidR="000929DD" w:rsidRPr="00A56AEF" w14:paraId="5E32D6CE" w14:textId="77777777" w:rsidTr="00BE6857">
        <w:trPr>
          <w:trHeight w:val="600"/>
        </w:trPr>
        <w:tc>
          <w:tcPr>
            <w:tcW w:w="2920" w:type="dxa"/>
            <w:tcBorders>
              <w:top w:val="nil"/>
              <w:left w:val="single" w:sz="12" w:space="0" w:color="auto"/>
              <w:bottom w:val="single" w:sz="4" w:space="0" w:color="auto"/>
              <w:right w:val="single" w:sz="4" w:space="0" w:color="auto"/>
            </w:tcBorders>
            <w:shd w:val="clear" w:color="000000" w:fill="FFFFFF"/>
            <w:vAlign w:val="center"/>
            <w:hideMark/>
          </w:tcPr>
          <w:p w14:paraId="2F63D779"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Probability of being married at retirement age, for men</w:t>
            </w:r>
          </w:p>
        </w:tc>
        <w:tc>
          <w:tcPr>
            <w:tcW w:w="2320" w:type="dxa"/>
            <w:tcBorders>
              <w:top w:val="nil"/>
              <w:left w:val="nil"/>
              <w:bottom w:val="single" w:sz="4" w:space="0" w:color="auto"/>
              <w:right w:val="single" w:sz="12" w:space="0" w:color="auto"/>
            </w:tcBorders>
            <w:shd w:val="clear" w:color="000000" w:fill="FFFFFF"/>
            <w:vAlign w:val="center"/>
            <w:hideMark/>
          </w:tcPr>
          <w:p w14:paraId="244DF814"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82,0%</w:t>
            </w:r>
          </w:p>
        </w:tc>
      </w:tr>
      <w:tr w:rsidR="000929DD" w:rsidRPr="00A56AEF" w14:paraId="712811F4" w14:textId="77777777" w:rsidTr="00BE6857">
        <w:trPr>
          <w:trHeight w:val="600"/>
        </w:trPr>
        <w:tc>
          <w:tcPr>
            <w:tcW w:w="2920" w:type="dxa"/>
            <w:tcBorders>
              <w:top w:val="nil"/>
              <w:left w:val="single" w:sz="12" w:space="0" w:color="auto"/>
              <w:bottom w:val="single" w:sz="4" w:space="0" w:color="auto"/>
              <w:right w:val="single" w:sz="4" w:space="0" w:color="auto"/>
            </w:tcBorders>
            <w:shd w:val="clear" w:color="000000" w:fill="FFFFFF"/>
            <w:vAlign w:val="center"/>
            <w:hideMark/>
          </w:tcPr>
          <w:p w14:paraId="5F6777DF"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Probability of being married at retirement age, for women</w:t>
            </w:r>
          </w:p>
        </w:tc>
        <w:tc>
          <w:tcPr>
            <w:tcW w:w="2320" w:type="dxa"/>
            <w:tcBorders>
              <w:top w:val="nil"/>
              <w:left w:val="nil"/>
              <w:bottom w:val="single" w:sz="4" w:space="0" w:color="auto"/>
              <w:right w:val="single" w:sz="12" w:space="0" w:color="auto"/>
            </w:tcBorders>
            <w:shd w:val="clear" w:color="000000" w:fill="FFFFFF"/>
            <w:vAlign w:val="center"/>
            <w:hideMark/>
          </w:tcPr>
          <w:p w14:paraId="1F6E9A74"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52,0%</w:t>
            </w:r>
          </w:p>
        </w:tc>
      </w:tr>
      <w:tr w:rsidR="000929DD" w:rsidRPr="00A56AEF" w14:paraId="48460DAB" w14:textId="77777777" w:rsidTr="00BE6857">
        <w:trPr>
          <w:trHeight w:val="900"/>
        </w:trPr>
        <w:tc>
          <w:tcPr>
            <w:tcW w:w="2920" w:type="dxa"/>
            <w:tcBorders>
              <w:top w:val="nil"/>
              <w:left w:val="single" w:sz="12" w:space="0" w:color="auto"/>
              <w:bottom w:val="single" w:sz="4" w:space="0" w:color="auto"/>
              <w:right w:val="single" w:sz="4" w:space="0" w:color="auto"/>
            </w:tcBorders>
            <w:shd w:val="clear" w:color="000000" w:fill="FFFFFF"/>
            <w:vAlign w:val="center"/>
            <w:hideMark/>
          </w:tcPr>
          <w:p w14:paraId="2945B83A"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Average age difference between an official and his/her partner</w:t>
            </w:r>
          </w:p>
        </w:tc>
        <w:tc>
          <w:tcPr>
            <w:tcW w:w="2320" w:type="dxa"/>
            <w:tcBorders>
              <w:top w:val="nil"/>
              <w:left w:val="nil"/>
              <w:bottom w:val="single" w:sz="4" w:space="0" w:color="auto"/>
              <w:right w:val="single" w:sz="12" w:space="0" w:color="auto"/>
            </w:tcBorders>
            <w:shd w:val="clear" w:color="000000" w:fill="FFFFFF"/>
            <w:vAlign w:val="center"/>
            <w:hideMark/>
          </w:tcPr>
          <w:p w14:paraId="72B942D6"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1 year</w:t>
            </w:r>
          </w:p>
        </w:tc>
      </w:tr>
      <w:tr w:rsidR="000929DD" w:rsidRPr="00A56AEF" w14:paraId="51BE8FC5" w14:textId="77777777" w:rsidTr="00BE6857">
        <w:trPr>
          <w:trHeight w:val="300"/>
        </w:trPr>
        <w:tc>
          <w:tcPr>
            <w:tcW w:w="2920" w:type="dxa"/>
            <w:tcBorders>
              <w:top w:val="nil"/>
              <w:left w:val="single" w:sz="12" w:space="0" w:color="auto"/>
              <w:bottom w:val="single" w:sz="4" w:space="0" w:color="auto"/>
              <w:right w:val="single" w:sz="4" w:space="0" w:color="auto"/>
            </w:tcBorders>
            <w:shd w:val="clear" w:color="auto" w:fill="auto"/>
            <w:vAlign w:val="center"/>
            <w:hideMark/>
          </w:tcPr>
          <w:p w14:paraId="428731C3"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Assumed Retirement Age</w:t>
            </w:r>
          </w:p>
        </w:tc>
        <w:tc>
          <w:tcPr>
            <w:tcW w:w="2320" w:type="dxa"/>
            <w:tcBorders>
              <w:top w:val="nil"/>
              <w:left w:val="nil"/>
              <w:bottom w:val="single" w:sz="4" w:space="0" w:color="auto"/>
              <w:right w:val="single" w:sz="12" w:space="0" w:color="auto"/>
            </w:tcBorders>
            <w:shd w:val="clear" w:color="auto" w:fill="auto"/>
            <w:vAlign w:val="center"/>
            <w:hideMark/>
          </w:tcPr>
          <w:p w14:paraId="578CDB1B"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 xml:space="preserve">63 to 66 </w:t>
            </w:r>
          </w:p>
        </w:tc>
      </w:tr>
      <w:tr w:rsidR="000929DD" w:rsidRPr="00A56AEF" w14:paraId="50C29C3E" w14:textId="77777777" w:rsidTr="00BE6857">
        <w:trPr>
          <w:trHeight w:val="300"/>
        </w:trPr>
        <w:tc>
          <w:tcPr>
            <w:tcW w:w="2920" w:type="dxa"/>
            <w:tcBorders>
              <w:top w:val="nil"/>
              <w:left w:val="single" w:sz="12" w:space="0" w:color="auto"/>
              <w:bottom w:val="nil"/>
              <w:right w:val="single" w:sz="4" w:space="0" w:color="auto"/>
            </w:tcBorders>
            <w:shd w:val="clear" w:color="auto" w:fill="auto"/>
            <w:vAlign w:val="center"/>
            <w:hideMark/>
          </w:tcPr>
          <w:p w14:paraId="169E672A"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Turnover</w:t>
            </w:r>
          </w:p>
        </w:tc>
        <w:tc>
          <w:tcPr>
            <w:tcW w:w="2320" w:type="dxa"/>
            <w:tcBorders>
              <w:top w:val="nil"/>
              <w:left w:val="nil"/>
              <w:bottom w:val="nil"/>
              <w:right w:val="single" w:sz="12" w:space="0" w:color="auto"/>
            </w:tcBorders>
            <w:shd w:val="clear" w:color="auto" w:fill="auto"/>
            <w:vAlign w:val="center"/>
            <w:hideMark/>
          </w:tcPr>
          <w:p w14:paraId="55E86DA1"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2018 Turnover</w:t>
            </w:r>
          </w:p>
        </w:tc>
      </w:tr>
      <w:tr w:rsidR="000929DD" w:rsidRPr="00A56AEF" w14:paraId="53C9045E" w14:textId="77777777" w:rsidTr="00BE6857">
        <w:trPr>
          <w:trHeight w:val="915"/>
        </w:trPr>
        <w:tc>
          <w:tcPr>
            <w:tcW w:w="2920" w:type="dxa"/>
            <w:tcBorders>
              <w:top w:val="single" w:sz="4" w:space="0" w:color="auto"/>
              <w:left w:val="single" w:sz="12" w:space="0" w:color="auto"/>
              <w:bottom w:val="single" w:sz="12" w:space="0" w:color="auto"/>
              <w:right w:val="single" w:sz="4" w:space="0" w:color="auto"/>
            </w:tcBorders>
            <w:shd w:val="clear" w:color="000000" w:fill="FFFFFF"/>
            <w:vAlign w:val="center"/>
            <w:hideMark/>
          </w:tcPr>
          <w:p w14:paraId="54F0DFCC"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Loading Coefficient for orphan's and divorced spouse's pension</w:t>
            </w:r>
          </w:p>
        </w:tc>
        <w:tc>
          <w:tcPr>
            <w:tcW w:w="2320" w:type="dxa"/>
            <w:tcBorders>
              <w:top w:val="single" w:sz="4" w:space="0" w:color="auto"/>
              <w:left w:val="nil"/>
              <w:bottom w:val="single" w:sz="12" w:space="0" w:color="auto"/>
              <w:right w:val="single" w:sz="12" w:space="0" w:color="auto"/>
            </w:tcBorders>
            <w:shd w:val="clear" w:color="000000" w:fill="FFFFFF"/>
            <w:vAlign w:val="center"/>
            <w:hideMark/>
          </w:tcPr>
          <w:p w14:paraId="37C676D1"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9,6%</w:t>
            </w:r>
          </w:p>
        </w:tc>
      </w:tr>
    </w:tbl>
    <w:p w14:paraId="61B97F2F" w14:textId="77777777" w:rsidR="000929DD" w:rsidRDefault="000929DD" w:rsidP="000929DD">
      <w:pPr>
        <w:rPr>
          <w:rFonts w:ascii="Times New Roman" w:hAnsi="Times New Roman" w:cs="Times New Roman"/>
          <w:noProof/>
          <w:sz w:val="24"/>
        </w:rPr>
      </w:pPr>
    </w:p>
    <w:p w14:paraId="392A46DA" w14:textId="77777777" w:rsidR="001827F3" w:rsidRDefault="001827F3" w:rsidP="000929DD">
      <w:pPr>
        <w:rPr>
          <w:rFonts w:ascii="Times New Roman" w:hAnsi="Times New Roman" w:cs="Times New Roman"/>
          <w:noProof/>
          <w:sz w:val="24"/>
        </w:rPr>
      </w:pPr>
    </w:p>
    <w:p w14:paraId="3FC7FF00" w14:textId="77777777" w:rsidR="001827F3" w:rsidRDefault="001827F3" w:rsidP="000929DD">
      <w:pPr>
        <w:rPr>
          <w:rFonts w:ascii="Times New Roman" w:hAnsi="Times New Roman" w:cs="Times New Roman"/>
          <w:noProof/>
          <w:sz w:val="24"/>
        </w:rPr>
      </w:pPr>
    </w:p>
    <w:p w14:paraId="75176813" w14:textId="77777777" w:rsidR="001827F3" w:rsidRDefault="001827F3" w:rsidP="000929DD">
      <w:pPr>
        <w:rPr>
          <w:rFonts w:ascii="Times New Roman" w:hAnsi="Times New Roman" w:cs="Times New Roman"/>
          <w:noProof/>
          <w:sz w:val="24"/>
        </w:rPr>
      </w:pPr>
    </w:p>
    <w:p w14:paraId="245123A4" w14:textId="4D73F8AA" w:rsidR="000929DD" w:rsidRDefault="000929DD" w:rsidP="000929DD">
      <w:pPr>
        <w:rPr>
          <w:rFonts w:ascii="Times New Roman" w:hAnsi="Times New Roman" w:cs="Times New Roman"/>
          <w:noProof/>
          <w:sz w:val="24"/>
        </w:rPr>
      </w:pPr>
      <w:r>
        <w:rPr>
          <w:rFonts w:ascii="Times New Roman" w:hAnsi="Times New Roman" w:cs="Times New Roman"/>
          <w:noProof/>
          <w:sz w:val="24"/>
        </w:rPr>
        <w:t>Annex 4: Financial assumptions for the 2022 actuarial assessment</w:t>
      </w:r>
    </w:p>
    <w:tbl>
      <w:tblPr>
        <w:tblW w:w="5400" w:type="dxa"/>
        <w:tblInd w:w="123" w:type="dxa"/>
        <w:tblLook w:val="04A0" w:firstRow="1" w:lastRow="0" w:firstColumn="1" w:lastColumn="0" w:noHBand="0" w:noVBand="1"/>
      </w:tblPr>
      <w:tblGrid>
        <w:gridCol w:w="3040"/>
        <w:gridCol w:w="2360"/>
      </w:tblGrid>
      <w:tr w:rsidR="000929DD" w:rsidRPr="00993AF4" w14:paraId="1C1B1E32" w14:textId="77777777" w:rsidTr="00BE6857">
        <w:trPr>
          <w:trHeight w:val="330"/>
        </w:trPr>
        <w:tc>
          <w:tcPr>
            <w:tcW w:w="3040" w:type="dxa"/>
            <w:tcBorders>
              <w:top w:val="single" w:sz="12" w:space="0" w:color="auto"/>
              <w:left w:val="single" w:sz="12" w:space="0" w:color="auto"/>
              <w:bottom w:val="single" w:sz="8" w:space="0" w:color="auto"/>
              <w:right w:val="single" w:sz="4" w:space="0" w:color="auto"/>
            </w:tcBorders>
            <w:shd w:val="clear" w:color="000000" w:fill="E2EFDA"/>
            <w:vAlign w:val="center"/>
            <w:hideMark/>
          </w:tcPr>
          <w:p w14:paraId="57D0FDD4"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Financial assumptions</w:t>
            </w:r>
          </w:p>
        </w:tc>
        <w:tc>
          <w:tcPr>
            <w:tcW w:w="2360" w:type="dxa"/>
            <w:tcBorders>
              <w:top w:val="single" w:sz="12" w:space="0" w:color="auto"/>
              <w:left w:val="nil"/>
              <w:bottom w:val="single" w:sz="8" w:space="0" w:color="auto"/>
              <w:right w:val="single" w:sz="12" w:space="0" w:color="auto"/>
            </w:tcBorders>
            <w:shd w:val="clear" w:color="000000" w:fill="E2EFDA"/>
            <w:noWrap/>
            <w:vAlign w:val="center"/>
            <w:hideMark/>
          </w:tcPr>
          <w:p w14:paraId="07A69126"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2022 assessment</w:t>
            </w:r>
          </w:p>
        </w:tc>
      </w:tr>
      <w:tr w:rsidR="000929DD" w:rsidRPr="00993AF4" w14:paraId="06BAA740" w14:textId="77777777" w:rsidTr="00BE6857">
        <w:trPr>
          <w:trHeight w:val="300"/>
        </w:trPr>
        <w:tc>
          <w:tcPr>
            <w:tcW w:w="3040" w:type="dxa"/>
            <w:tcBorders>
              <w:top w:val="nil"/>
              <w:left w:val="single" w:sz="12" w:space="0" w:color="auto"/>
              <w:bottom w:val="nil"/>
              <w:right w:val="single" w:sz="4" w:space="0" w:color="auto"/>
            </w:tcBorders>
            <w:shd w:val="clear" w:color="auto" w:fill="auto"/>
            <w:vAlign w:val="center"/>
            <w:hideMark/>
          </w:tcPr>
          <w:p w14:paraId="57623144"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Salary Grid</w:t>
            </w:r>
          </w:p>
        </w:tc>
        <w:tc>
          <w:tcPr>
            <w:tcW w:w="2360" w:type="dxa"/>
            <w:tcBorders>
              <w:top w:val="nil"/>
              <w:left w:val="nil"/>
              <w:bottom w:val="nil"/>
              <w:right w:val="single" w:sz="12" w:space="0" w:color="auto"/>
            </w:tcBorders>
            <w:shd w:val="clear" w:color="000000" w:fill="FFFFFF"/>
            <w:vAlign w:val="center"/>
            <w:hideMark/>
          </w:tcPr>
          <w:p w14:paraId="6D08D405"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In force from 01.07.2021</w:t>
            </w:r>
          </w:p>
        </w:tc>
      </w:tr>
      <w:tr w:rsidR="000929DD" w:rsidRPr="00993AF4" w14:paraId="28E413BA" w14:textId="77777777" w:rsidTr="00BE6857">
        <w:trPr>
          <w:trHeight w:val="300"/>
        </w:trPr>
        <w:tc>
          <w:tcPr>
            <w:tcW w:w="304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1AEF739"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Duration</w:t>
            </w:r>
          </w:p>
        </w:tc>
        <w:tc>
          <w:tcPr>
            <w:tcW w:w="2360" w:type="dxa"/>
            <w:tcBorders>
              <w:top w:val="single" w:sz="4" w:space="0" w:color="auto"/>
              <w:left w:val="nil"/>
              <w:bottom w:val="single" w:sz="4" w:space="0" w:color="auto"/>
              <w:right w:val="single" w:sz="12" w:space="0" w:color="auto"/>
            </w:tcBorders>
            <w:shd w:val="clear" w:color="000000" w:fill="FFFFFF"/>
            <w:vAlign w:val="center"/>
            <w:hideMark/>
          </w:tcPr>
          <w:p w14:paraId="704F2FA7"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23 years</w:t>
            </w:r>
          </w:p>
        </w:tc>
      </w:tr>
      <w:tr w:rsidR="000929DD" w:rsidRPr="00993AF4" w14:paraId="7D79AE37" w14:textId="77777777" w:rsidTr="00BE6857">
        <w:trPr>
          <w:trHeight w:val="300"/>
        </w:trPr>
        <w:tc>
          <w:tcPr>
            <w:tcW w:w="3040" w:type="dxa"/>
            <w:tcBorders>
              <w:top w:val="nil"/>
              <w:left w:val="single" w:sz="12" w:space="0" w:color="auto"/>
              <w:bottom w:val="single" w:sz="4" w:space="0" w:color="auto"/>
              <w:right w:val="single" w:sz="4" w:space="0" w:color="auto"/>
            </w:tcBorders>
            <w:shd w:val="clear" w:color="auto" w:fill="auto"/>
            <w:vAlign w:val="center"/>
            <w:hideMark/>
          </w:tcPr>
          <w:p w14:paraId="50D59C5D"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Nominal Discount Rate (NDR)</w:t>
            </w:r>
          </w:p>
        </w:tc>
        <w:tc>
          <w:tcPr>
            <w:tcW w:w="2360" w:type="dxa"/>
            <w:tcBorders>
              <w:top w:val="nil"/>
              <w:left w:val="nil"/>
              <w:bottom w:val="single" w:sz="4" w:space="0" w:color="auto"/>
              <w:right w:val="single" w:sz="12" w:space="0" w:color="auto"/>
            </w:tcBorders>
            <w:shd w:val="clear" w:color="auto" w:fill="auto"/>
            <w:vAlign w:val="center"/>
            <w:hideMark/>
          </w:tcPr>
          <w:p w14:paraId="2DDC74CD"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4,6%</w:t>
            </w:r>
          </w:p>
        </w:tc>
      </w:tr>
      <w:tr w:rsidR="000929DD" w:rsidRPr="00993AF4" w14:paraId="7FC03500" w14:textId="77777777" w:rsidTr="00BE6857">
        <w:trPr>
          <w:trHeight w:val="300"/>
        </w:trPr>
        <w:tc>
          <w:tcPr>
            <w:tcW w:w="3040" w:type="dxa"/>
            <w:tcBorders>
              <w:top w:val="nil"/>
              <w:left w:val="single" w:sz="12" w:space="0" w:color="auto"/>
              <w:bottom w:val="single" w:sz="4" w:space="0" w:color="auto"/>
              <w:right w:val="single" w:sz="4" w:space="0" w:color="auto"/>
            </w:tcBorders>
            <w:shd w:val="clear" w:color="auto" w:fill="auto"/>
            <w:vAlign w:val="center"/>
            <w:hideMark/>
          </w:tcPr>
          <w:p w14:paraId="401D7AB4"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Inflation Rate (IR)</w:t>
            </w:r>
          </w:p>
        </w:tc>
        <w:tc>
          <w:tcPr>
            <w:tcW w:w="2360" w:type="dxa"/>
            <w:tcBorders>
              <w:top w:val="nil"/>
              <w:left w:val="nil"/>
              <w:bottom w:val="single" w:sz="4" w:space="0" w:color="auto"/>
              <w:right w:val="single" w:sz="12" w:space="0" w:color="auto"/>
            </w:tcBorders>
            <w:shd w:val="clear" w:color="auto" w:fill="auto"/>
            <w:vAlign w:val="center"/>
            <w:hideMark/>
          </w:tcPr>
          <w:p w14:paraId="45F915A5"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1,8%</w:t>
            </w:r>
          </w:p>
        </w:tc>
      </w:tr>
      <w:tr w:rsidR="000929DD" w:rsidRPr="00993AF4" w14:paraId="68EA53FC" w14:textId="77777777" w:rsidTr="00BE6857">
        <w:trPr>
          <w:trHeight w:val="300"/>
        </w:trPr>
        <w:tc>
          <w:tcPr>
            <w:tcW w:w="3040" w:type="dxa"/>
            <w:tcBorders>
              <w:top w:val="nil"/>
              <w:left w:val="single" w:sz="12" w:space="0" w:color="auto"/>
              <w:bottom w:val="single" w:sz="4" w:space="0" w:color="auto"/>
              <w:right w:val="single" w:sz="4" w:space="0" w:color="auto"/>
            </w:tcBorders>
            <w:shd w:val="clear" w:color="auto" w:fill="auto"/>
            <w:vAlign w:val="center"/>
            <w:hideMark/>
          </w:tcPr>
          <w:p w14:paraId="0BBE4DF2"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Real Discount Rate (RDR)</w:t>
            </w:r>
          </w:p>
        </w:tc>
        <w:tc>
          <w:tcPr>
            <w:tcW w:w="2360" w:type="dxa"/>
            <w:tcBorders>
              <w:top w:val="nil"/>
              <w:left w:val="nil"/>
              <w:bottom w:val="single" w:sz="4" w:space="0" w:color="auto"/>
              <w:right w:val="single" w:sz="12" w:space="0" w:color="auto"/>
            </w:tcBorders>
            <w:shd w:val="clear" w:color="auto" w:fill="auto"/>
            <w:vAlign w:val="center"/>
            <w:hideMark/>
          </w:tcPr>
          <w:p w14:paraId="1EC0E3A8"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2,7%</w:t>
            </w:r>
          </w:p>
        </w:tc>
      </w:tr>
      <w:tr w:rsidR="000929DD" w:rsidRPr="00993AF4" w14:paraId="1441C79D" w14:textId="77777777" w:rsidTr="00BE6857">
        <w:trPr>
          <w:trHeight w:val="300"/>
        </w:trPr>
        <w:tc>
          <w:tcPr>
            <w:tcW w:w="3040" w:type="dxa"/>
            <w:tcBorders>
              <w:top w:val="nil"/>
              <w:left w:val="single" w:sz="12" w:space="0" w:color="auto"/>
              <w:bottom w:val="single" w:sz="4" w:space="0" w:color="auto"/>
              <w:right w:val="single" w:sz="4" w:space="0" w:color="auto"/>
            </w:tcBorders>
            <w:shd w:val="clear" w:color="auto" w:fill="auto"/>
            <w:vAlign w:val="center"/>
            <w:hideMark/>
          </w:tcPr>
          <w:p w14:paraId="00A4CDFB"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General Salary Growth (GSG)</w:t>
            </w:r>
          </w:p>
        </w:tc>
        <w:tc>
          <w:tcPr>
            <w:tcW w:w="2360" w:type="dxa"/>
            <w:tcBorders>
              <w:top w:val="nil"/>
              <w:left w:val="nil"/>
              <w:bottom w:val="single" w:sz="4" w:space="0" w:color="auto"/>
              <w:right w:val="single" w:sz="12" w:space="0" w:color="auto"/>
            </w:tcBorders>
            <w:shd w:val="clear" w:color="auto" w:fill="auto"/>
            <w:vAlign w:val="center"/>
            <w:hideMark/>
          </w:tcPr>
          <w:p w14:paraId="4D7ECB15"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-0,1%</w:t>
            </w:r>
          </w:p>
        </w:tc>
      </w:tr>
      <w:tr w:rsidR="000929DD" w:rsidRPr="00993AF4" w14:paraId="2F9F35F4" w14:textId="77777777" w:rsidTr="00BE6857">
        <w:trPr>
          <w:trHeight w:val="600"/>
        </w:trPr>
        <w:tc>
          <w:tcPr>
            <w:tcW w:w="3040" w:type="dxa"/>
            <w:tcBorders>
              <w:top w:val="nil"/>
              <w:left w:val="single" w:sz="12" w:space="0" w:color="auto"/>
              <w:bottom w:val="single" w:sz="4" w:space="0" w:color="auto"/>
              <w:right w:val="single" w:sz="4" w:space="0" w:color="auto"/>
            </w:tcBorders>
            <w:shd w:val="clear" w:color="auto" w:fill="auto"/>
            <w:vAlign w:val="center"/>
            <w:hideMark/>
          </w:tcPr>
          <w:p w14:paraId="3A938EF4"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General Pension Revaluation (GPR)</w:t>
            </w:r>
            <w:r w:rsidR="00405463">
              <w:rPr>
                <w:rFonts w:ascii="Times New Roman" w:eastAsia="Times New Roman" w:hAnsi="Times New Roman" w:cs="Times New Roman"/>
                <w:noProof/>
                <w:lang w:eastAsia="en-IE"/>
              </w:rPr>
              <w:t xml:space="preserve"> </w:t>
            </w:r>
          </w:p>
        </w:tc>
        <w:tc>
          <w:tcPr>
            <w:tcW w:w="2360" w:type="dxa"/>
            <w:tcBorders>
              <w:top w:val="nil"/>
              <w:left w:val="nil"/>
              <w:bottom w:val="single" w:sz="4" w:space="0" w:color="auto"/>
              <w:right w:val="single" w:sz="12" w:space="0" w:color="auto"/>
            </w:tcBorders>
            <w:shd w:val="clear" w:color="auto" w:fill="auto"/>
            <w:vAlign w:val="center"/>
            <w:hideMark/>
          </w:tcPr>
          <w:p w14:paraId="49DFF3F7"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-0,1%</w:t>
            </w:r>
          </w:p>
        </w:tc>
      </w:tr>
      <w:tr w:rsidR="000929DD" w:rsidRPr="00993AF4" w14:paraId="1259B17F" w14:textId="77777777" w:rsidTr="00BE6857">
        <w:trPr>
          <w:trHeight w:val="600"/>
        </w:trPr>
        <w:tc>
          <w:tcPr>
            <w:tcW w:w="3040" w:type="dxa"/>
            <w:tcBorders>
              <w:top w:val="nil"/>
              <w:left w:val="single" w:sz="12" w:space="0" w:color="auto"/>
              <w:bottom w:val="single" w:sz="4" w:space="0" w:color="auto"/>
              <w:right w:val="single" w:sz="4" w:space="0" w:color="auto"/>
            </w:tcBorders>
            <w:shd w:val="clear" w:color="auto" w:fill="auto"/>
            <w:vAlign w:val="center"/>
            <w:hideMark/>
          </w:tcPr>
          <w:p w14:paraId="09E5A8B6"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Individual Salary Progression (ISP)</w:t>
            </w:r>
          </w:p>
        </w:tc>
        <w:tc>
          <w:tcPr>
            <w:tcW w:w="2360" w:type="dxa"/>
            <w:tcBorders>
              <w:top w:val="nil"/>
              <w:left w:val="nil"/>
              <w:bottom w:val="single" w:sz="4" w:space="0" w:color="auto"/>
              <w:right w:val="single" w:sz="12" w:space="0" w:color="auto"/>
            </w:tcBorders>
            <w:shd w:val="clear" w:color="auto" w:fill="auto"/>
            <w:vAlign w:val="center"/>
            <w:hideMark/>
          </w:tcPr>
          <w:p w14:paraId="4A860424"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2018 ISP Table</w:t>
            </w:r>
          </w:p>
        </w:tc>
      </w:tr>
      <w:tr w:rsidR="000929DD" w:rsidRPr="00993AF4" w14:paraId="02BC5E57" w14:textId="77777777" w:rsidTr="00BE6857">
        <w:trPr>
          <w:trHeight w:val="915"/>
        </w:trPr>
        <w:tc>
          <w:tcPr>
            <w:tcW w:w="3040" w:type="dxa"/>
            <w:tcBorders>
              <w:top w:val="nil"/>
              <w:left w:val="single" w:sz="12" w:space="0" w:color="auto"/>
              <w:bottom w:val="single" w:sz="12" w:space="0" w:color="auto"/>
              <w:right w:val="single" w:sz="4" w:space="0" w:color="auto"/>
            </w:tcBorders>
            <w:shd w:val="clear" w:color="000000" w:fill="FFFFFF"/>
            <w:vAlign w:val="center"/>
            <w:hideMark/>
          </w:tcPr>
          <w:p w14:paraId="15FB1581" w14:textId="4C72689F"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Correction Coefficients</w:t>
            </w:r>
            <w:r w:rsidR="000B4EAD">
              <w:rPr>
                <w:rFonts w:ascii="Times New Roman" w:eastAsia="Times New Roman" w:hAnsi="Times New Roman" w:cs="Times New Roman"/>
                <w:noProof/>
                <w:lang w:eastAsia="en-IE"/>
              </w:rPr>
              <w:t xml:space="preserve">      </w:t>
            </w:r>
            <w:r w:rsidRPr="00170470">
              <w:rPr>
                <w:rFonts w:ascii="Times New Roman" w:eastAsia="Times New Roman" w:hAnsi="Times New Roman" w:cs="Times New Roman"/>
                <w:noProof/>
                <w:lang w:eastAsia="en-IE"/>
              </w:rPr>
              <w:t xml:space="preserve">(art. 3.5 of Annex XI &amp; art. 20 of Annex XIII) </w:t>
            </w:r>
          </w:p>
        </w:tc>
        <w:tc>
          <w:tcPr>
            <w:tcW w:w="2360" w:type="dxa"/>
            <w:tcBorders>
              <w:top w:val="nil"/>
              <w:left w:val="nil"/>
              <w:bottom w:val="single" w:sz="12" w:space="0" w:color="auto"/>
              <w:right w:val="single" w:sz="12" w:space="0" w:color="auto"/>
            </w:tcBorders>
            <w:shd w:val="clear" w:color="000000" w:fill="FFFFFF"/>
            <w:vAlign w:val="center"/>
            <w:hideMark/>
          </w:tcPr>
          <w:p w14:paraId="5C74AA76"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0,0%</w:t>
            </w:r>
          </w:p>
        </w:tc>
      </w:tr>
    </w:tbl>
    <w:p w14:paraId="0F7BF18C" w14:textId="77777777" w:rsidR="000929DD" w:rsidRDefault="000929DD" w:rsidP="000929DD">
      <w:pPr>
        <w:rPr>
          <w:rFonts w:ascii="Times New Roman" w:hAnsi="Times New Roman" w:cs="Times New Roman"/>
          <w:noProof/>
          <w:sz w:val="24"/>
          <w:lang w:val="en-GB"/>
        </w:rPr>
      </w:pPr>
    </w:p>
    <w:p w14:paraId="20EE3558" w14:textId="2B9463F2" w:rsidR="000929DD" w:rsidRDefault="000929DD" w:rsidP="000929DD">
      <w:pPr>
        <w:rPr>
          <w:rFonts w:ascii="Times New Roman" w:hAnsi="Times New Roman" w:cs="Times New Roman"/>
          <w:noProof/>
          <w:sz w:val="24"/>
          <w:lang w:val="en-GB"/>
        </w:rPr>
      </w:pPr>
      <w:r>
        <w:rPr>
          <w:noProof/>
          <w:lang w:val="en-GB" w:eastAsia="en-GB"/>
        </w:rPr>
        <w:drawing>
          <wp:inline distT="0" distB="0" distL="0" distR="0" wp14:anchorId="2FECA013" wp14:editId="0B984615">
            <wp:extent cx="4572000" cy="2419643"/>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814543" w14:textId="77777777" w:rsidR="000929DD" w:rsidRDefault="000929DD" w:rsidP="000929DD">
      <w:pPr>
        <w:rPr>
          <w:rFonts w:ascii="Times New Roman" w:hAnsi="Times New Roman" w:cs="Times New Roman"/>
          <w:noProof/>
          <w:sz w:val="24"/>
          <w:lang w:val="en-GB"/>
        </w:rPr>
      </w:pPr>
      <w:r>
        <w:rPr>
          <w:noProof/>
          <w:lang w:val="en-GB" w:eastAsia="en-GB"/>
        </w:rPr>
        <w:drawing>
          <wp:inline distT="0" distB="0" distL="0" distR="0" wp14:anchorId="76D978B4" wp14:editId="0B60EF64">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A9807E" w14:textId="77777777" w:rsidR="000929DD" w:rsidRDefault="000929DD" w:rsidP="000929DD">
      <w:pPr>
        <w:rPr>
          <w:rFonts w:ascii="Times New Roman" w:hAnsi="Times New Roman" w:cs="Times New Roman"/>
          <w:noProof/>
          <w:sz w:val="24"/>
          <w:lang w:val="en-GB"/>
        </w:rPr>
      </w:pPr>
      <w:r w:rsidRPr="005A10F3">
        <w:rPr>
          <w:rFonts w:ascii="Times New Roman" w:hAnsi="Times New Roman" w:cs="Times New Roman"/>
          <w:noProof/>
          <w:sz w:val="24"/>
          <w:lang w:val="en-GB"/>
        </w:rPr>
        <w:t xml:space="preserve">Annex </w:t>
      </w:r>
      <w:r>
        <w:rPr>
          <w:rFonts w:ascii="Times New Roman" w:hAnsi="Times New Roman" w:cs="Times New Roman"/>
          <w:noProof/>
          <w:sz w:val="24"/>
          <w:lang w:val="en-GB"/>
        </w:rPr>
        <w:t>5: Pension contribution by year between 2014 and 2022</w:t>
      </w:r>
    </w:p>
    <w:tbl>
      <w:tblPr>
        <w:tblW w:w="8866" w:type="dxa"/>
        <w:tblInd w:w="-34" w:type="dxa"/>
        <w:tblLook w:val="04A0" w:firstRow="1" w:lastRow="0" w:firstColumn="1" w:lastColumn="0" w:noHBand="0" w:noVBand="1"/>
      </w:tblPr>
      <w:tblGrid>
        <w:gridCol w:w="2737"/>
        <w:gridCol w:w="681"/>
        <w:gridCol w:w="681"/>
        <w:gridCol w:w="681"/>
        <w:gridCol w:w="681"/>
        <w:gridCol w:w="681"/>
        <w:gridCol w:w="681"/>
        <w:gridCol w:w="681"/>
        <w:gridCol w:w="681"/>
        <w:gridCol w:w="681"/>
      </w:tblGrid>
      <w:tr w:rsidR="000929DD" w:rsidRPr="00BB4D7C" w14:paraId="5C9FAA31" w14:textId="77777777" w:rsidTr="00BE6857">
        <w:trPr>
          <w:trHeight w:val="573"/>
        </w:trPr>
        <w:tc>
          <w:tcPr>
            <w:tcW w:w="2737" w:type="dxa"/>
            <w:tcBorders>
              <w:top w:val="single" w:sz="12" w:space="0" w:color="auto"/>
              <w:left w:val="single" w:sz="12" w:space="0" w:color="auto"/>
              <w:bottom w:val="nil"/>
              <w:right w:val="single" w:sz="4" w:space="0" w:color="auto"/>
            </w:tcBorders>
            <w:shd w:val="clear" w:color="000000" w:fill="E2EFDA"/>
            <w:vAlign w:val="center"/>
            <w:hideMark/>
          </w:tcPr>
          <w:p w14:paraId="64B33AA3" w14:textId="77777777" w:rsidR="000929DD" w:rsidRPr="00170470" w:rsidRDefault="000929DD" w:rsidP="00BE6857">
            <w:pPr>
              <w:spacing w:after="0" w:line="240" w:lineRule="auto"/>
              <w:jc w:val="center"/>
              <w:rPr>
                <w:rFonts w:ascii="Times New Roman" w:eastAsia="Times New Roman" w:hAnsi="Times New Roman" w:cs="Times New Roman"/>
                <w:noProof/>
                <w:lang w:eastAsia="en-IE"/>
              </w:rPr>
            </w:pPr>
            <w:r w:rsidRPr="00170470">
              <w:rPr>
                <w:rFonts w:ascii="Times New Roman" w:eastAsia="Times New Roman" w:hAnsi="Times New Roman" w:cs="Times New Roman"/>
                <w:noProof/>
                <w:lang w:eastAsia="en-IE"/>
              </w:rPr>
              <w:t> </w:t>
            </w:r>
          </w:p>
        </w:tc>
        <w:tc>
          <w:tcPr>
            <w:tcW w:w="681" w:type="dxa"/>
            <w:tcBorders>
              <w:top w:val="single" w:sz="12" w:space="0" w:color="auto"/>
              <w:left w:val="nil"/>
              <w:bottom w:val="nil"/>
              <w:right w:val="single" w:sz="4" w:space="0" w:color="auto"/>
            </w:tcBorders>
            <w:shd w:val="clear" w:color="000000" w:fill="E2EFDA"/>
            <w:vAlign w:val="center"/>
            <w:hideMark/>
          </w:tcPr>
          <w:p w14:paraId="4ADD6963" w14:textId="77777777" w:rsidR="000929DD" w:rsidRPr="00170470" w:rsidRDefault="000929DD" w:rsidP="00BE6857">
            <w:pPr>
              <w:spacing w:after="0" w:line="240" w:lineRule="auto"/>
              <w:jc w:val="center"/>
              <w:rPr>
                <w:rFonts w:ascii="Times New Roman" w:eastAsia="Times New Roman" w:hAnsi="Times New Roman" w:cs="Times New Roman"/>
                <w:b/>
                <w:bCs/>
                <w:noProof/>
                <w:sz w:val="18"/>
                <w:szCs w:val="18"/>
                <w:lang w:eastAsia="en-IE"/>
              </w:rPr>
            </w:pPr>
            <w:r w:rsidRPr="00170470">
              <w:rPr>
                <w:rFonts w:ascii="Times New Roman" w:eastAsia="Times New Roman" w:hAnsi="Times New Roman" w:cs="Times New Roman"/>
                <w:b/>
                <w:bCs/>
                <w:noProof/>
                <w:sz w:val="18"/>
                <w:szCs w:val="18"/>
                <w:lang w:eastAsia="en-IE"/>
              </w:rPr>
              <w:t>2014</w:t>
            </w:r>
          </w:p>
        </w:tc>
        <w:tc>
          <w:tcPr>
            <w:tcW w:w="681" w:type="dxa"/>
            <w:tcBorders>
              <w:top w:val="single" w:sz="12" w:space="0" w:color="auto"/>
              <w:left w:val="nil"/>
              <w:bottom w:val="nil"/>
              <w:right w:val="single" w:sz="4" w:space="0" w:color="auto"/>
            </w:tcBorders>
            <w:shd w:val="clear" w:color="000000" w:fill="E2EFDA"/>
            <w:vAlign w:val="center"/>
            <w:hideMark/>
          </w:tcPr>
          <w:p w14:paraId="2B20E391" w14:textId="77777777" w:rsidR="000929DD" w:rsidRPr="00170470" w:rsidRDefault="000929DD" w:rsidP="00BE6857">
            <w:pPr>
              <w:spacing w:after="0" w:line="240" w:lineRule="auto"/>
              <w:jc w:val="center"/>
              <w:rPr>
                <w:rFonts w:ascii="Times New Roman" w:eastAsia="Times New Roman" w:hAnsi="Times New Roman" w:cs="Times New Roman"/>
                <w:b/>
                <w:bCs/>
                <w:noProof/>
                <w:sz w:val="18"/>
                <w:szCs w:val="18"/>
                <w:lang w:eastAsia="en-IE"/>
              </w:rPr>
            </w:pPr>
            <w:r w:rsidRPr="00170470">
              <w:rPr>
                <w:rFonts w:ascii="Times New Roman" w:eastAsia="Times New Roman" w:hAnsi="Times New Roman" w:cs="Times New Roman"/>
                <w:b/>
                <w:bCs/>
                <w:noProof/>
                <w:sz w:val="18"/>
                <w:szCs w:val="18"/>
                <w:lang w:eastAsia="en-IE"/>
              </w:rPr>
              <w:t>2015</w:t>
            </w:r>
          </w:p>
        </w:tc>
        <w:tc>
          <w:tcPr>
            <w:tcW w:w="681" w:type="dxa"/>
            <w:tcBorders>
              <w:top w:val="single" w:sz="12" w:space="0" w:color="auto"/>
              <w:left w:val="nil"/>
              <w:bottom w:val="nil"/>
              <w:right w:val="single" w:sz="4" w:space="0" w:color="auto"/>
            </w:tcBorders>
            <w:shd w:val="clear" w:color="000000" w:fill="E2EFDA"/>
            <w:vAlign w:val="center"/>
            <w:hideMark/>
          </w:tcPr>
          <w:p w14:paraId="27C6FB08" w14:textId="77777777" w:rsidR="000929DD" w:rsidRPr="00170470" w:rsidRDefault="000929DD" w:rsidP="00BE6857">
            <w:pPr>
              <w:spacing w:after="0" w:line="240" w:lineRule="auto"/>
              <w:jc w:val="center"/>
              <w:rPr>
                <w:rFonts w:ascii="Times New Roman" w:eastAsia="Times New Roman" w:hAnsi="Times New Roman" w:cs="Times New Roman"/>
                <w:b/>
                <w:bCs/>
                <w:noProof/>
                <w:sz w:val="18"/>
                <w:szCs w:val="18"/>
                <w:lang w:eastAsia="en-IE"/>
              </w:rPr>
            </w:pPr>
            <w:r w:rsidRPr="00170470">
              <w:rPr>
                <w:rFonts w:ascii="Times New Roman" w:eastAsia="Times New Roman" w:hAnsi="Times New Roman" w:cs="Times New Roman"/>
                <w:b/>
                <w:bCs/>
                <w:noProof/>
                <w:sz w:val="18"/>
                <w:szCs w:val="18"/>
                <w:lang w:eastAsia="en-IE"/>
              </w:rPr>
              <w:t>2016</w:t>
            </w:r>
          </w:p>
        </w:tc>
        <w:tc>
          <w:tcPr>
            <w:tcW w:w="681" w:type="dxa"/>
            <w:tcBorders>
              <w:top w:val="single" w:sz="12" w:space="0" w:color="auto"/>
              <w:left w:val="nil"/>
              <w:bottom w:val="nil"/>
              <w:right w:val="single" w:sz="4" w:space="0" w:color="auto"/>
            </w:tcBorders>
            <w:shd w:val="clear" w:color="000000" w:fill="E2EFDA"/>
            <w:vAlign w:val="center"/>
            <w:hideMark/>
          </w:tcPr>
          <w:p w14:paraId="17993514" w14:textId="77777777" w:rsidR="000929DD" w:rsidRPr="00170470" w:rsidRDefault="000929DD" w:rsidP="00BE6857">
            <w:pPr>
              <w:spacing w:after="0" w:line="240" w:lineRule="auto"/>
              <w:jc w:val="center"/>
              <w:rPr>
                <w:rFonts w:ascii="Times New Roman" w:eastAsia="Times New Roman" w:hAnsi="Times New Roman" w:cs="Times New Roman"/>
                <w:b/>
                <w:bCs/>
                <w:noProof/>
                <w:sz w:val="18"/>
                <w:szCs w:val="18"/>
                <w:lang w:eastAsia="en-IE"/>
              </w:rPr>
            </w:pPr>
            <w:r w:rsidRPr="00170470">
              <w:rPr>
                <w:rFonts w:ascii="Times New Roman" w:eastAsia="Times New Roman" w:hAnsi="Times New Roman" w:cs="Times New Roman"/>
                <w:b/>
                <w:bCs/>
                <w:noProof/>
                <w:sz w:val="18"/>
                <w:szCs w:val="18"/>
                <w:lang w:eastAsia="en-IE"/>
              </w:rPr>
              <w:t>2017</w:t>
            </w:r>
          </w:p>
        </w:tc>
        <w:tc>
          <w:tcPr>
            <w:tcW w:w="681" w:type="dxa"/>
            <w:tcBorders>
              <w:top w:val="single" w:sz="12" w:space="0" w:color="auto"/>
              <w:left w:val="nil"/>
              <w:bottom w:val="nil"/>
              <w:right w:val="single" w:sz="4" w:space="0" w:color="auto"/>
            </w:tcBorders>
            <w:shd w:val="clear" w:color="000000" w:fill="E2EFDA"/>
            <w:vAlign w:val="center"/>
            <w:hideMark/>
          </w:tcPr>
          <w:p w14:paraId="6B960B91" w14:textId="77777777" w:rsidR="000929DD" w:rsidRPr="00170470" w:rsidRDefault="000929DD" w:rsidP="00BE6857">
            <w:pPr>
              <w:spacing w:after="0" w:line="240" w:lineRule="auto"/>
              <w:jc w:val="center"/>
              <w:rPr>
                <w:rFonts w:ascii="Times New Roman" w:eastAsia="Times New Roman" w:hAnsi="Times New Roman" w:cs="Times New Roman"/>
                <w:b/>
                <w:bCs/>
                <w:noProof/>
                <w:sz w:val="18"/>
                <w:szCs w:val="18"/>
                <w:lang w:eastAsia="en-IE"/>
              </w:rPr>
            </w:pPr>
            <w:r w:rsidRPr="00170470">
              <w:rPr>
                <w:rFonts w:ascii="Times New Roman" w:eastAsia="Times New Roman" w:hAnsi="Times New Roman" w:cs="Times New Roman"/>
                <w:b/>
                <w:bCs/>
                <w:noProof/>
                <w:sz w:val="18"/>
                <w:szCs w:val="18"/>
                <w:lang w:eastAsia="en-IE"/>
              </w:rPr>
              <w:t>2018</w:t>
            </w:r>
          </w:p>
        </w:tc>
        <w:tc>
          <w:tcPr>
            <w:tcW w:w="681" w:type="dxa"/>
            <w:tcBorders>
              <w:top w:val="single" w:sz="12" w:space="0" w:color="auto"/>
              <w:left w:val="nil"/>
              <w:bottom w:val="nil"/>
              <w:right w:val="single" w:sz="4" w:space="0" w:color="auto"/>
            </w:tcBorders>
            <w:shd w:val="clear" w:color="000000" w:fill="E2EFDA"/>
            <w:vAlign w:val="center"/>
            <w:hideMark/>
          </w:tcPr>
          <w:p w14:paraId="7646A891" w14:textId="77777777" w:rsidR="000929DD" w:rsidRPr="00170470" w:rsidRDefault="000929DD" w:rsidP="00BE6857">
            <w:pPr>
              <w:spacing w:after="0" w:line="240" w:lineRule="auto"/>
              <w:jc w:val="center"/>
              <w:rPr>
                <w:rFonts w:ascii="Times New Roman" w:eastAsia="Times New Roman" w:hAnsi="Times New Roman" w:cs="Times New Roman"/>
                <w:b/>
                <w:bCs/>
                <w:noProof/>
                <w:sz w:val="18"/>
                <w:szCs w:val="18"/>
                <w:lang w:eastAsia="en-IE"/>
              </w:rPr>
            </w:pPr>
            <w:r w:rsidRPr="00170470">
              <w:rPr>
                <w:rFonts w:ascii="Times New Roman" w:eastAsia="Times New Roman" w:hAnsi="Times New Roman" w:cs="Times New Roman"/>
                <w:b/>
                <w:bCs/>
                <w:noProof/>
                <w:sz w:val="18"/>
                <w:szCs w:val="18"/>
                <w:lang w:eastAsia="en-IE"/>
              </w:rPr>
              <w:t>2019</w:t>
            </w:r>
          </w:p>
        </w:tc>
        <w:tc>
          <w:tcPr>
            <w:tcW w:w="681" w:type="dxa"/>
            <w:tcBorders>
              <w:top w:val="single" w:sz="12" w:space="0" w:color="auto"/>
              <w:left w:val="nil"/>
              <w:bottom w:val="nil"/>
              <w:right w:val="single" w:sz="4" w:space="0" w:color="auto"/>
            </w:tcBorders>
            <w:shd w:val="clear" w:color="000000" w:fill="E2EFDA"/>
            <w:vAlign w:val="center"/>
            <w:hideMark/>
          </w:tcPr>
          <w:p w14:paraId="0FBDBC4A" w14:textId="77777777" w:rsidR="000929DD" w:rsidRPr="00170470" w:rsidRDefault="000929DD" w:rsidP="00BE6857">
            <w:pPr>
              <w:spacing w:after="0" w:line="240" w:lineRule="auto"/>
              <w:jc w:val="center"/>
              <w:rPr>
                <w:rFonts w:ascii="Times New Roman" w:eastAsia="Times New Roman" w:hAnsi="Times New Roman" w:cs="Times New Roman"/>
                <w:b/>
                <w:bCs/>
                <w:noProof/>
                <w:sz w:val="18"/>
                <w:szCs w:val="18"/>
                <w:lang w:eastAsia="en-IE"/>
              </w:rPr>
            </w:pPr>
            <w:r w:rsidRPr="00170470">
              <w:rPr>
                <w:rFonts w:ascii="Times New Roman" w:eastAsia="Times New Roman" w:hAnsi="Times New Roman" w:cs="Times New Roman"/>
                <w:b/>
                <w:bCs/>
                <w:noProof/>
                <w:sz w:val="18"/>
                <w:szCs w:val="18"/>
                <w:lang w:eastAsia="en-IE"/>
              </w:rPr>
              <w:t>2020</w:t>
            </w:r>
          </w:p>
        </w:tc>
        <w:tc>
          <w:tcPr>
            <w:tcW w:w="681" w:type="dxa"/>
            <w:tcBorders>
              <w:top w:val="single" w:sz="12" w:space="0" w:color="auto"/>
              <w:left w:val="nil"/>
              <w:bottom w:val="nil"/>
              <w:right w:val="single" w:sz="4" w:space="0" w:color="auto"/>
            </w:tcBorders>
            <w:shd w:val="clear" w:color="000000" w:fill="E2EFDA"/>
            <w:vAlign w:val="center"/>
            <w:hideMark/>
          </w:tcPr>
          <w:p w14:paraId="7CED0EDD" w14:textId="77777777" w:rsidR="000929DD" w:rsidRPr="00170470" w:rsidRDefault="000929DD" w:rsidP="00BE6857">
            <w:pPr>
              <w:spacing w:after="0" w:line="240" w:lineRule="auto"/>
              <w:jc w:val="center"/>
              <w:rPr>
                <w:rFonts w:ascii="Times New Roman" w:eastAsia="Times New Roman" w:hAnsi="Times New Roman" w:cs="Times New Roman"/>
                <w:b/>
                <w:bCs/>
                <w:noProof/>
                <w:sz w:val="18"/>
                <w:szCs w:val="18"/>
                <w:lang w:eastAsia="en-IE"/>
              </w:rPr>
            </w:pPr>
            <w:r w:rsidRPr="00170470">
              <w:rPr>
                <w:rFonts w:ascii="Times New Roman" w:eastAsia="Times New Roman" w:hAnsi="Times New Roman" w:cs="Times New Roman"/>
                <w:b/>
                <w:bCs/>
                <w:noProof/>
                <w:sz w:val="18"/>
                <w:szCs w:val="18"/>
                <w:lang w:eastAsia="en-IE"/>
              </w:rPr>
              <w:t>2021</w:t>
            </w:r>
          </w:p>
        </w:tc>
        <w:tc>
          <w:tcPr>
            <w:tcW w:w="681" w:type="dxa"/>
            <w:tcBorders>
              <w:top w:val="single" w:sz="12" w:space="0" w:color="auto"/>
              <w:left w:val="nil"/>
              <w:bottom w:val="nil"/>
              <w:right w:val="single" w:sz="12" w:space="0" w:color="auto"/>
            </w:tcBorders>
            <w:shd w:val="clear" w:color="000000" w:fill="E2EFDA"/>
            <w:vAlign w:val="center"/>
            <w:hideMark/>
          </w:tcPr>
          <w:p w14:paraId="2D602607" w14:textId="77777777" w:rsidR="000929DD" w:rsidRPr="00170470" w:rsidRDefault="000929DD" w:rsidP="00BE6857">
            <w:pPr>
              <w:spacing w:after="0" w:line="240" w:lineRule="auto"/>
              <w:jc w:val="center"/>
              <w:rPr>
                <w:rFonts w:ascii="Times New Roman" w:eastAsia="Times New Roman" w:hAnsi="Times New Roman" w:cs="Times New Roman"/>
                <w:b/>
                <w:bCs/>
                <w:noProof/>
                <w:sz w:val="18"/>
                <w:szCs w:val="18"/>
                <w:lang w:eastAsia="en-IE"/>
              </w:rPr>
            </w:pPr>
            <w:r w:rsidRPr="00170470">
              <w:rPr>
                <w:rFonts w:ascii="Times New Roman" w:eastAsia="Times New Roman" w:hAnsi="Times New Roman" w:cs="Times New Roman"/>
                <w:b/>
                <w:bCs/>
                <w:noProof/>
                <w:sz w:val="18"/>
                <w:szCs w:val="18"/>
                <w:lang w:eastAsia="en-IE"/>
              </w:rPr>
              <w:t>2022</w:t>
            </w:r>
          </w:p>
        </w:tc>
      </w:tr>
      <w:tr w:rsidR="000929DD" w:rsidRPr="00BB4D7C" w14:paraId="7C78BE29" w14:textId="77777777" w:rsidTr="00BE6857">
        <w:trPr>
          <w:trHeight w:val="521"/>
        </w:trPr>
        <w:tc>
          <w:tcPr>
            <w:tcW w:w="2737" w:type="dxa"/>
            <w:tcBorders>
              <w:top w:val="single" w:sz="8" w:space="0" w:color="auto"/>
              <w:left w:val="single" w:sz="12" w:space="0" w:color="auto"/>
              <w:bottom w:val="single" w:sz="4" w:space="0" w:color="auto"/>
              <w:right w:val="single" w:sz="4" w:space="0" w:color="auto"/>
            </w:tcBorders>
            <w:shd w:val="clear" w:color="auto" w:fill="auto"/>
            <w:vAlign w:val="center"/>
            <w:hideMark/>
          </w:tcPr>
          <w:p w14:paraId="7450F6DC" w14:textId="77777777" w:rsidR="000929DD" w:rsidRPr="00170470" w:rsidRDefault="000929DD" w:rsidP="00BE6857">
            <w:pPr>
              <w:spacing w:after="0" w:line="240" w:lineRule="auto"/>
              <w:jc w:val="center"/>
              <w:rPr>
                <w:rFonts w:ascii="Times New Roman" w:eastAsia="Times New Roman" w:hAnsi="Times New Roman" w:cs="Times New Roman"/>
                <w:b/>
                <w:noProof/>
                <w:lang w:eastAsia="en-IE"/>
              </w:rPr>
            </w:pPr>
            <w:r w:rsidRPr="00170470">
              <w:rPr>
                <w:rFonts w:ascii="Times New Roman" w:eastAsia="Times New Roman" w:hAnsi="Times New Roman" w:cs="Times New Roman"/>
                <w:b/>
                <w:noProof/>
                <w:lang w:eastAsia="en-IE"/>
              </w:rPr>
              <w:t>Service cost for retirement /Basic salaries</w:t>
            </w:r>
          </w:p>
        </w:tc>
        <w:tc>
          <w:tcPr>
            <w:tcW w:w="681" w:type="dxa"/>
            <w:tcBorders>
              <w:top w:val="single" w:sz="8" w:space="0" w:color="auto"/>
              <w:left w:val="nil"/>
              <w:bottom w:val="single" w:sz="4" w:space="0" w:color="auto"/>
              <w:right w:val="single" w:sz="4" w:space="0" w:color="auto"/>
            </w:tcBorders>
            <w:shd w:val="clear" w:color="auto" w:fill="auto"/>
            <w:vAlign w:val="center"/>
            <w:hideMark/>
          </w:tcPr>
          <w:p w14:paraId="611B46B0"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28,3%</w:t>
            </w:r>
          </w:p>
        </w:tc>
        <w:tc>
          <w:tcPr>
            <w:tcW w:w="681" w:type="dxa"/>
            <w:tcBorders>
              <w:top w:val="single" w:sz="8" w:space="0" w:color="auto"/>
              <w:left w:val="nil"/>
              <w:bottom w:val="single" w:sz="4" w:space="0" w:color="auto"/>
              <w:right w:val="single" w:sz="4" w:space="0" w:color="auto"/>
            </w:tcBorders>
            <w:shd w:val="clear" w:color="auto" w:fill="auto"/>
            <w:noWrap/>
            <w:vAlign w:val="center"/>
            <w:hideMark/>
          </w:tcPr>
          <w:p w14:paraId="6E73B603"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28,2%</w:t>
            </w:r>
          </w:p>
        </w:tc>
        <w:tc>
          <w:tcPr>
            <w:tcW w:w="681" w:type="dxa"/>
            <w:tcBorders>
              <w:top w:val="single" w:sz="8" w:space="0" w:color="auto"/>
              <w:left w:val="nil"/>
              <w:bottom w:val="single" w:sz="4" w:space="0" w:color="auto"/>
              <w:right w:val="single" w:sz="4" w:space="0" w:color="auto"/>
            </w:tcBorders>
            <w:shd w:val="clear" w:color="000000" w:fill="FFFFFF"/>
            <w:noWrap/>
            <w:vAlign w:val="center"/>
            <w:hideMark/>
          </w:tcPr>
          <w:p w14:paraId="681A7664"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27,2%</w:t>
            </w:r>
          </w:p>
        </w:tc>
        <w:tc>
          <w:tcPr>
            <w:tcW w:w="681" w:type="dxa"/>
            <w:tcBorders>
              <w:top w:val="single" w:sz="8" w:space="0" w:color="auto"/>
              <w:left w:val="nil"/>
              <w:bottom w:val="single" w:sz="4" w:space="0" w:color="auto"/>
              <w:right w:val="single" w:sz="4" w:space="0" w:color="auto"/>
            </w:tcBorders>
            <w:shd w:val="clear" w:color="auto" w:fill="auto"/>
            <w:noWrap/>
            <w:vAlign w:val="center"/>
            <w:hideMark/>
          </w:tcPr>
          <w:p w14:paraId="5A3CCA58"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27,1%</w:t>
            </w:r>
          </w:p>
        </w:tc>
        <w:tc>
          <w:tcPr>
            <w:tcW w:w="681" w:type="dxa"/>
            <w:tcBorders>
              <w:top w:val="single" w:sz="8" w:space="0" w:color="auto"/>
              <w:left w:val="nil"/>
              <w:bottom w:val="single" w:sz="4" w:space="0" w:color="auto"/>
              <w:right w:val="single" w:sz="4" w:space="0" w:color="auto"/>
            </w:tcBorders>
            <w:shd w:val="clear" w:color="auto" w:fill="auto"/>
            <w:noWrap/>
            <w:vAlign w:val="center"/>
            <w:hideMark/>
          </w:tcPr>
          <w:p w14:paraId="692B8103"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27,4%</w:t>
            </w:r>
          </w:p>
        </w:tc>
        <w:tc>
          <w:tcPr>
            <w:tcW w:w="681" w:type="dxa"/>
            <w:tcBorders>
              <w:top w:val="single" w:sz="8" w:space="0" w:color="auto"/>
              <w:left w:val="nil"/>
              <w:bottom w:val="single" w:sz="4" w:space="0" w:color="auto"/>
              <w:right w:val="single" w:sz="4" w:space="0" w:color="auto"/>
            </w:tcBorders>
            <w:shd w:val="clear" w:color="auto" w:fill="auto"/>
            <w:noWrap/>
            <w:vAlign w:val="center"/>
            <w:hideMark/>
          </w:tcPr>
          <w:p w14:paraId="45013146"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26,9%</w:t>
            </w:r>
          </w:p>
        </w:tc>
        <w:tc>
          <w:tcPr>
            <w:tcW w:w="681" w:type="dxa"/>
            <w:tcBorders>
              <w:top w:val="single" w:sz="8" w:space="0" w:color="auto"/>
              <w:left w:val="nil"/>
              <w:bottom w:val="single" w:sz="4" w:space="0" w:color="auto"/>
              <w:right w:val="single" w:sz="4" w:space="0" w:color="auto"/>
            </w:tcBorders>
            <w:shd w:val="clear" w:color="auto" w:fill="auto"/>
            <w:noWrap/>
            <w:vAlign w:val="center"/>
            <w:hideMark/>
          </w:tcPr>
          <w:p w14:paraId="59CC1475"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27,8%</w:t>
            </w:r>
          </w:p>
        </w:tc>
        <w:tc>
          <w:tcPr>
            <w:tcW w:w="681" w:type="dxa"/>
            <w:tcBorders>
              <w:top w:val="single" w:sz="8" w:space="0" w:color="auto"/>
              <w:left w:val="nil"/>
              <w:bottom w:val="single" w:sz="4" w:space="0" w:color="auto"/>
              <w:right w:val="single" w:sz="4" w:space="0" w:color="auto"/>
            </w:tcBorders>
            <w:shd w:val="clear" w:color="auto" w:fill="auto"/>
            <w:noWrap/>
            <w:vAlign w:val="center"/>
            <w:hideMark/>
          </w:tcPr>
          <w:p w14:paraId="0539B808"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27,5%</w:t>
            </w:r>
          </w:p>
        </w:tc>
        <w:tc>
          <w:tcPr>
            <w:tcW w:w="681" w:type="dxa"/>
            <w:tcBorders>
              <w:top w:val="single" w:sz="8" w:space="0" w:color="auto"/>
              <w:left w:val="nil"/>
              <w:bottom w:val="single" w:sz="4" w:space="0" w:color="auto"/>
              <w:right w:val="single" w:sz="12" w:space="0" w:color="auto"/>
            </w:tcBorders>
            <w:shd w:val="clear" w:color="auto" w:fill="auto"/>
            <w:noWrap/>
            <w:vAlign w:val="center"/>
            <w:hideMark/>
          </w:tcPr>
          <w:p w14:paraId="1255B11F"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28,6%</w:t>
            </w:r>
          </w:p>
        </w:tc>
      </w:tr>
      <w:tr w:rsidR="000929DD" w:rsidRPr="00BB4D7C" w14:paraId="346D0C19" w14:textId="77777777" w:rsidTr="00BE6857">
        <w:trPr>
          <w:trHeight w:val="521"/>
        </w:trPr>
        <w:tc>
          <w:tcPr>
            <w:tcW w:w="2737" w:type="dxa"/>
            <w:tcBorders>
              <w:top w:val="nil"/>
              <w:left w:val="single" w:sz="12" w:space="0" w:color="auto"/>
              <w:bottom w:val="single" w:sz="4" w:space="0" w:color="auto"/>
              <w:right w:val="single" w:sz="4" w:space="0" w:color="auto"/>
            </w:tcBorders>
            <w:shd w:val="clear" w:color="auto" w:fill="auto"/>
            <w:vAlign w:val="center"/>
            <w:hideMark/>
          </w:tcPr>
          <w:p w14:paraId="3F242B2C" w14:textId="77777777" w:rsidR="000929DD" w:rsidRPr="00170470" w:rsidRDefault="000929DD" w:rsidP="00BE6857">
            <w:pPr>
              <w:spacing w:after="0" w:line="240" w:lineRule="auto"/>
              <w:jc w:val="center"/>
              <w:rPr>
                <w:rFonts w:ascii="Times New Roman" w:eastAsia="Times New Roman" w:hAnsi="Times New Roman" w:cs="Times New Roman"/>
                <w:b/>
                <w:noProof/>
                <w:lang w:eastAsia="en-IE"/>
              </w:rPr>
            </w:pPr>
            <w:r w:rsidRPr="00170470">
              <w:rPr>
                <w:rFonts w:ascii="Times New Roman" w:eastAsia="Times New Roman" w:hAnsi="Times New Roman" w:cs="Times New Roman"/>
                <w:b/>
                <w:noProof/>
                <w:lang w:eastAsia="en-IE"/>
              </w:rPr>
              <w:t>Service cost for invalidity / Basic salaries</w:t>
            </w:r>
            <w:r w:rsidRPr="00170470" w:rsidDel="00BB4D7C">
              <w:rPr>
                <w:rFonts w:ascii="Times New Roman" w:eastAsia="Times New Roman" w:hAnsi="Times New Roman" w:cs="Times New Roman"/>
                <w:b/>
                <w:noProof/>
                <w:lang w:eastAsia="en-IE"/>
              </w:rPr>
              <w:t xml:space="preserve"> </w:t>
            </w:r>
          </w:p>
        </w:tc>
        <w:tc>
          <w:tcPr>
            <w:tcW w:w="681" w:type="dxa"/>
            <w:tcBorders>
              <w:top w:val="nil"/>
              <w:left w:val="nil"/>
              <w:bottom w:val="single" w:sz="4" w:space="0" w:color="auto"/>
              <w:right w:val="single" w:sz="4" w:space="0" w:color="auto"/>
            </w:tcBorders>
            <w:shd w:val="clear" w:color="000000" w:fill="FFFFFF"/>
            <w:vAlign w:val="center"/>
            <w:hideMark/>
          </w:tcPr>
          <w:p w14:paraId="69990F9F"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1,2%</w:t>
            </w:r>
          </w:p>
        </w:tc>
        <w:tc>
          <w:tcPr>
            <w:tcW w:w="681" w:type="dxa"/>
            <w:tcBorders>
              <w:top w:val="nil"/>
              <w:left w:val="nil"/>
              <w:bottom w:val="single" w:sz="4" w:space="0" w:color="auto"/>
              <w:right w:val="single" w:sz="4" w:space="0" w:color="auto"/>
            </w:tcBorders>
            <w:shd w:val="clear" w:color="auto" w:fill="auto"/>
            <w:noWrap/>
            <w:vAlign w:val="center"/>
            <w:hideMark/>
          </w:tcPr>
          <w:p w14:paraId="2FF94265"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1,3%</w:t>
            </w:r>
          </w:p>
        </w:tc>
        <w:tc>
          <w:tcPr>
            <w:tcW w:w="681" w:type="dxa"/>
            <w:tcBorders>
              <w:top w:val="nil"/>
              <w:left w:val="nil"/>
              <w:bottom w:val="single" w:sz="4" w:space="0" w:color="auto"/>
              <w:right w:val="single" w:sz="4" w:space="0" w:color="auto"/>
            </w:tcBorders>
            <w:shd w:val="clear" w:color="000000" w:fill="FFFFFF"/>
            <w:noWrap/>
            <w:vAlign w:val="center"/>
            <w:hideMark/>
          </w:tcPr>
          <w:p w14:paraId="0874EB4B"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1,3%</w:t>
            </w:r>
          </w:p>
        </w:tc>
        <w:tc>
          <w:tcPr>
            <w:tcW w:w="681" w:type="dxa"/>
            <w:tcBorders>
              <w:top w:val="nil"/>
              <w:left w:val="nil"/>
              <w:bottom w:val="single" w:sz="4" w:space="0" w:color="auto"/>
              <w:right w:val="single" w:sz="4" w:space="0" w:color="auto"/>
            </w:tcBorders>
            <w:shd w:val="clear" w:color="auto" w:fill="auto"/>
            <w:noWrap/>
            <w:vAlign w:val="center"/>
            <w:hideMark/>
          </w:tcPr>
          <w:p w14:paraId="0873647B"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1,3%</w:t>
            </w:r>
          </w:p>
        </w:tc>
        <w:tc>
          <w:tcPr>
            <w:tcW w:w="681" w:type="dxa"/>
            <w:tcBorders>
              <w:top w:val="nil"/>
              <w:left w:val="nil"/>
              <w:bottom w:val="single" w:sz="4" w:space="0" w:color="auto"/>
              <w:right w:val="single" w:sz="4" w:space="0" w:color="auto"/>
            </w:tcBorders>
            <w:shd w:val="clear" w:color="000000" w:fill="FFFFFF"/>
            <w:noWrap/>
            <w:vAlign w:val="center"/>
            <w:hideMark/>
          </w:tcPr>
          <w:p w14:paraId="4DE27A0E"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1,6%</w:t>
            </w:r>
          </w:p>
        </w:tc>
        <w:tc>
          <w:tcPr>
            <w:tcW w:w="681" w:type="dxa"/>
            <w:tcBorders>
              <w:top w:val="nil"/>
              <w:left w:val="nil"/>
              <w:bottom w:val="single" w:sz="4" w:space="0" w:color="auto"/>
              <w:right w:val="single" w:sz="4" w:space="0" w:color="auto"/>
            </w:tcBorders>
            <w:shd w:val="clear" w:color="auto" w:fill="auto"/>
            <w:noWrap/>
            <w:vAlign w:val="center"/>
            <w:hideMark/>
          </w:tcPr>
          <w:p w14:paraId="04714DD8"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1,7%</w:t>
            </w:r>
          </w:p>
        </w:tc>
        <w:tc>
          <w:tcPr>
            <w:tcW w:w="681" w:type="dxa"/>
            <w:tcBorders>
              <w:top w:val="nil"/>
              <w:left w:val="nil"/>
              <w:bottom w:val="single" w:sz="4" w:space="0" w:color="auto"/>
              <w:right w:val="single" w:sz="4" w:space="0" w:color="auto"/>
            </w:tcBorders>
            <w:shd w:val="clear" w:color="auto" w:fill="auto"/>
            <w:noWrap/>
            <w:vAlign w:val="center"/>
            <w:hideMark/>
          </w:tcPr>
          <w:p w14:paraId="09C41A62"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1,7%</w:t>
            </w:r>
          </w:p>
        </w:tc>
        <w:tc>
          <w:tcPr>
            <w:tcW w:w="681" w:type="dxa"/>
            <w:tcBorders>
              <w:top w:val="nil"/>
              <w:left w:val="nil"/>
              <w:bottom w:val="single" w:sz="4" w:space="0" w:color="auto"/>
              <w:right w:val="single" w:sz="4" w:space="0" w:color="auto"/>
            </w:tcBorders>
            <w:shd w:val="clear" w:color="auto" w:fill="auto"/>
            <w:noWrap/>
            <w:vAlign w:val="center"/>
            <w:hideMark/>
          </w:tcPr>
          <w:p w14:paraId="4334DCF2"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1,7%</w:t>
            </w:r>
          </w:p>
        </w:tc>
        <w:tc>
          <w:tcPr>
            <w:tcW w:w="681" w:type="dxa"/>
            <w:tcBorders>
              <w:top w:val="nil"/>
              <w:left w:val="nil"/>
              <w:bottom w:val="single" w:sz="4" w:space="0" w:color="auto"/>
              <w:right w:val="single" w:sz="12" w:space="0" w:color="auto"/>
            </w:tcBorders>
            <w:shd w:val="clear" w:color="auto" w:fill="auto"/>
            <w:noWrap/>
            <w:vAlign w:val="center"/>
            <w:hideMark/>
          </w:tcPr>
          <w:p w14:paraId="5E0D045B"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1,7%</w:t>
            </w:r>
          </w:p>
        </w:tc>
      </w:tr>
      <w:tr w:rsidR="000929DD" w:rsidRPr="00BB4D7C" w14:paraId="2251C4F1" w14:textId="77777777" w:rsidTr="00BE6857">
        <w:trPr>
          <w:trHeight w:val="547"/>
        </w:trPr>
        <w:tc>
          <w:tcPr>
            <w:tcW w:w="2737" w:type="dxa"/>
            <w:tcBorders>
              <w:top w:val="nil"/>
              <w:left w:val="single" w:sz="12" w:space="0" w:color="auto"/>
              <w:bottom w:val="single" w:sz="8" w:space="0" w:color="auto"/>
              <w:right w:val="single" w:sz="4" w:space="0" w:color="auto"/>
            </w:tcBorders>
            <w:shd w:val="clear" w:color="auto" w:fill="auto"/>
            <w:vAlign w:val="center"/>
            <w:hideMark/>
          </w:tcPr>
          <w:p w14:paraId="5675EA48" w14:textId="77777777" w:rsidR="000929DD" w:rsidRPr="00170470" w:rsidRDefault="000929DD" w:rsidP="00BE6857">
            <w:pPr>
              <w:spacing w:after="0" w:line="240" w:lineRule="auto"/>
              <w:jc w:val="center"/>
              <w:rPr>
                <w:rFonts w:ascii="Times New Roman" w:eastAsia="Times New Roman" w:hAnsi="Times New Roman" w:cs="Times New Roman"/>
                <w:b/>
                <w:noProof/>
                <w:lang w:eastAsia="en-IE"/>
              </w:rPr>
            </w:pPr>
            <w:r w:rsidRPr="00170470">
              <w:rPr>
                <w:rFonts w:ascii="Times New Roman" w:eastAsia="Times New Roman" w:hAnsi="Times New Roman" w:cs="Times New Roman"/>
                <w:b/>
                <w:noProof/>
                <w:lang w:eastAsia="en-IE"/>
              </w:rPr>
              <w:t>Service cost for death / Basic salaries</w:t>
            </w:r>
          </w:p>
        </w:tc>
        <w:tc>
          <w:tcPr>
            <w:tcW w:w="681" w:type="dxa"/>
            <w:tcBorders>
              <w:top w:val="nil"/>
              <w:left w:val="nil"/>
              <w:bottom w:val="single" w:sz="8" w:space="0" w:color="auto"/>
              <w:right w:val="single" w:sz="4" w:space="0" w:color="auto"/>
            </w:tcBorders>
            <w:shd w:val="clear" w:color="auto" w:fill="auto"/>
            <w:vAlign w:val="center"/>
            <w:hideMark/>
          </w:tcPr>
          <w:p w14:paraId="04A9A5C6"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0,9%</w:t>
            </w:r>
          </w:p>
        </w:tc>
        <w:tc>
          <w:tcPr>
            <w:tcW w:w="681" w:type="dxa"/>
            <w:tcBorders>
              <w:top w:val="nil"/>
              <w:left w:val="nil"/>
              <w:bottom w:val="single" w:sz="8" w:space="0" w:color="auto"/>
              <w:right w:val="single" w:sz="4" w:space="0" w:color="auto"/>
            </w:tcBorders>
            <w:shd w:val="clear" w:color="auto" w:fill="auto"/>
            <w:noWrap/>
            <w:vAlign w:val="center"/>
            <w:hideMark/>
          </w:tcPr>
          <w:p w14:paraId="7B4959B1"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0,9%</w:t>
            </w:r>
          </w:p>
        </w:tc>
        <w:tc>
          <w:tcPr>
            <w:tcW w:w="681" w:type="dxa"/>
            <w:tcBorders>
              <w:top w:val="nil"/>
              <w:left w:val="nil"/>
              <w:bottom w:val="single" w:sz="8" w:space="0" w:color="auto"/>
              <w:right w:val="single" w:sz="4" w:space="0" w:color="auto"/>
            </w:tcBorders>
            <w:shd w:val="clear" w:color="000000" w:fill="FFFFFF"/>
            <w:noWrap/>
            <w:vAlign w:val="center"/>
            <w:hideMark/>
          </w:tcPr>
          <w:p w14:paraId="4802E76B"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0,9%</w:t>
            </w:r>
          </w:p>
        </w:tc>
        <w:tc>
          <w:tcPr>
            <w:tcW w:w="681" w:type="dxa"/>
            <w:tcBorders>
              <w:top w:val="nil"/>
              <w:left w:val="nil"/>
              <w:bottom w:val="single" w:sz="8" w:space="0" w:color="auto"/>
              <w:right w:val="single" w:sz="4" w:space="0" w:color="auto"/>
            </w:tcBorders>
            <w:shd w:val="clear" w:color="auto" w:fill="auto"/>
            <w:noWrap/>
            <w:vAlign w:val="center"/>
            <w:hideMark/>
          </w:tcPr>
          <w:p w14:paraId="3274C120"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0,9%</w:t>
            </w:r>
          </w:p>
        </w:tc>
        <w:tc>
          <w:tcPr>
            <w:tcW w:w="681" w:type="dxa"/>
            <w:tcBorders>
              <w:top w:val="nil"/>
              <w:left w:val="nil"/>
              <w:bottom w:val="single" w:sz="8" w:space="0" w:color="auto"/>
              <w:right w:val="single" w:sz="4" w:space="0" w:color="auto"/>
            </w:tcBorders>
            <w:shd w:val="clear" w:color="auto" w:fill="auto"/>
            <w:noWrap/>
            <w:vAlign w:val="center"/>
            <w:hideMark/>
          </w:tcPr>
          <w:p w14:paraId="4421A684"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0,9%</w:t>
            </w:r>
          </w:p>
        </w:tc>
        <w:tc>
          <w:tcPr>
            <w:tcW w:w="681" w:type="dxa"/>
            <w:tcBorders>
              <w:top w:val="nil"/>
              <w:left w:val="nil"/>
              <w:bottom w:val="single" w:sz="8" w:space="0" w:color="auto"/>
              <w:right w:val="single" w:sz="4" w:space="0" w:color="auto"/>
            </w:tcBorders>
            <w:shd w:val="clear" w:color="auto" w:fill="auto"/>
            <w:noWrap/>
            <w:vAlign w:val="center"/>
            <w:hideMark/>
          </w:tcPr>
          <w:p w14:paraId="59FDF124"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0,6%</w:t>
            </w:r>
          </w:p>
        </w:tc>
        <w:tc>
          <w:tcPr>
            <w:tcW w:w="681" w:type="dxa"/>
            <w:tcBorders>
              <w:top w:val="nil"/>
              <w:left w:val="nil"/>
              <w:bottom w:val="single" w:sz="8" w:space="0" w:color="auto"/>
              <w:right w:val="single" w:sz="4" w:space="0" w:color="auto"/>
            </w:tcBorders>
            <w:shd w:val="clear" w:color="auto" w:fill="auto"/>
            <w:noWrap/>
            <w:vAlign w:val="center"/>
            <w:hideMark/>
          </w:tcPr>
          <w:p w14:paraId="7E18CE16"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0,6%</w:t>
            </w:r>
          </w:p>
        </w:tc>
        <w:tc>
          <w:tcPr>
            <w:tcW w:w="681" w:type="dxa"/>
            <w:tcBorders>
              <w:top w:val="nil"/>
              <w:left w:val="nil"/>
              <w:bottom w:val="single" w:sz="8" w:space="0" w:color="auto"/>
              <w:right w:val="single" w:sz="4" w:space="0" w:color="auto"/>
            </w:tcBorders>
            <w:shd w:val="clear" w:color="auto" w:fill="auto"/>
            <w:noWrap/>
            <w:vAlign w:val="center"/>
            <w:hideMark/>
          </w:tcPr>
          <w:p w14:paraId="18A7244C"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0,6%</w:t>
            </w:r>
          </w:p>
        </w:tc>
        <w:tc>
          <w:tcPr>
            <w:tcW w:w="681" w:type="dxa"/>
            <w:tcBorders>
              <w:top w:val="nil"/>
              <w:left w:val="nil"/>
              <w:bottom w:val="single" w:sz="8" w:space="0" w:color="auto"/>
              <w:right w:val="single" w:sz="12" w:space="0" w:color="auto"/>
            </w:tcBorders>
            <w:shd w:val="clear" w:color="auto" w:fill="auto"/>
            <w:noWrap/>
            <w:vAlign w:val="center"/>
            <w:hideMark/>
          </w:tcPr>
          <w:p w14:paraId="5F28264A" w14:textId="77777777" w:rsidR="000929DD" w:rsidRPr="00170470" w:rsidRDefault="000929DD" w:rsidP="00BE6857">
            <w:pPr>
              <w:spacing w:after="0" w:line="240" w:lineRule="auto"/>
              <w:jc w:val="center"/>
              <w:rPr>
                <w:rFonts w:ascii="Times New Roman" w:eastAsia="Times New Roman" w:hAnsi="Times New Roman" w:cs="Times New Roman"/>
                <w:noProof/>
                <w:sz w:val="18"/>
                <w:szCs w:val="18"/>
                <w:lang w:eastAsia="en-IE"/>
              </w:rPr>
            </w:pPr>
            <w:r w:rsidRPr="00170470">
              <w:rPr>
                <w:rFonts w:ascii="Times New Roman" w:eastAsia="Times New Roman" w:hAnsi="Times New Roman" w:cs="Times New Roman"/>
                <w:noProof/>
                <w:sz w:val="18"/>
                <w:szCs w:val="18"/>
                <w:lang w:eastAsia="en-IE"/>
              </w:rPr>
              <w:t>0,6%</w:t>
            </w:r>
          </w:p>
        </w:tc>
      </w:tr>
      <w:tr w:rsidR="000929DD" w:rsidRPr="00BB4D7C" w14:paraId="58FFAC6C" w14:textId="77777777" w:rsidTr="00BE6857">
        <w:trPr>
          <w:trHeight w:val="547"/>
        </w:trPr>
        <w:tc>
          <w:tcPr>
            <w:tcW w:w="2737" w:type="dxa"/>
            <w:tcBorders>
              <w:top w:val="nil"/>
              <w:left w:val="single" w:sz="12" w:space="0" w:color="auto"/>
              <w:bottom w:val="nil"/>
              <w:right w:val="single" w:sz="4" w:space="0" w:color="auto"/>
            </w:tcBorders>
            <w:shd w:val="clear" w:color="auto" w:fill="auto"/>
            <w:noWrap/>
            <w:vAlign w:val="center"/>
            <w:hideMark/>
          </w:tcPr>
          <w:p w14:paraId="35FD2625"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Service Cost / Basic salaries</w:t>
            </w:r>
          </w:p>
        </w:tc>
        <w:tc>
          <w:tcPr>
            <w:tcW w:w="681" w:type="dxa"/>
            <w:tcBorders>
              <w:top w:val="nil"/>
              <w:left w:val="nil"/>
              <w:bottom w:val="nil"/>
              <w:right w:val="single" w:sz="4" w:space="0" w:color="auto"/>
            </w:tcBorders>
            <w:shd w:val="clear" w:color="auto" w:fill="auto"/>
            <w:noWrap/>
            <w:vAlign w:val="center"/>
            <w:hideMark/>
          </w:tcPr>
          <w:p w14:paraId="4BAD360D"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30,4%</w:t>
            </w:r>
          </w:p>
        </w:tc>
        <w:tc>
          <w:tcPr>
            <w:tcW w:w="681" w:type="dxa"/>
            <w:tcBorders>
              <w:top w:val="nil"/>
              <w:left w:val="nil"/>
              <w:bottom w:val="nil"/>
              <w:right w:val="single" w:sz="4" w:space="0" w:color="auto"/>
            </w:tcBorders>
            <w:shd w:val="clear" w:color="auto" w:fill="auto"/>
            <w:noWrap/>
            <w:vAlign w:val="center"/>
            <w:hideMark/>
          </w:tcPr>
          <w:p w14:paraId="4EFF7E0B"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30,5%</w:t>
            </w:r>
          </w:p>
        </w:tc>
        <w:tc>
          <w:tcPr>
            <w:tcW w:w="681" w:type="dxa"/>
            <w:tcBorders>
              <w:top w:val="nil"/>
              <w:left w:val="nil"/>
              <w:bottom w:val="nil"/>
              <w:right w:val="single" w:sz="4" w:space="0" w:color="auto"/>
            </w:tcBorders>
            <w:shd w:val="clear" w:color="000000" w:fill="FFFFFF"/>
            <w:noWrap/>
            <w:vAlign w:val="center"/>
            <w:hideMark/>
          </w:tcPr>
          <w:p w14:paraId="3A93465C"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29,5%</w:t>
            </w:r>
          </w:p>
        </w:tc>
        <w:tc>
          <w:tcPr>
            <w:tcW w:w="681" w:type="dxa"/>
            <w:tcBorders>
              <w:top w:val="nil"/>
              <w:left w:val="nil"/>
              <w:bottom w:val="nil"/>
              <w:right w:val="single" w:sz="4" w:space="0" w:color="auto"/>
            </w:tcBorders>
            <w:shd w:val="clear" w:color="auto" w:fill="auto"/>
            <w:noWrap/>
            <w:vAlign w:val="center"/>
            <w:hideMark/>
          </w:tcPr>
          <w:p w14:paraId="3EFF1382"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29,3%</w:t>
            </w:r>
          </w:p>
        </w:tc>
        <w:tc>
          <w:tcPr>
            <w:tcW w:w="681" w:type="dxa"/>
            <w:tcBorders>
              <w:top w:val="nil"/>
              <w:left w:val="nil"/>
              <w:bottom w:val="nil"/>
              <w:right w:val="single" w:sz="4" w:space="0" w:color="auto"/>
            </w:tcBorders>
            <w:shd w:val="clear" w:color="000000" w:fill="FFFFFF"/>
            <w:noWrap/>
            <w:vAlign w:val="center"/>
            <w:hideMark/>
          </w:tcPr>
          <w:p w14:paraId="5A9C4521"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30,0%</w:t>
            </w:r>
          </w:p>
        </w:tc>
        <w:tc>
          <w:tcPr>
            <w:tcW w:w="681" w:type="dxa"/>
            <w:tcBorders>
              <w:top w:val="nil"/>
              <w:left w:val="nil"/>
              <w:bottom w:val="nil"/>
              <w:right w:val="single" w:sz="4" w:space="0" w:color="auto"/>
            </w:tcBorders>
            <w:shd w:val="clear" w:color="auto" w:fill="auto"/>
            <w:noWrap/>
            <w:vAlign w:val="center"/>
            <w:hideMark/>
          </w:tcPr>
          <w:p w14:paraId="3814FA33"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29,2%</w:t>
            </w:r>
          </w:p>
        </w:tc>
        <w:tc>
          <w:tcPr>
            <w:tcW w:w="681" w:type="dxa"/>
            <w:tcBorders>
              <w:top w:val="nil"/>
              <w:left w:val="nil"/>
              <w:bottom w:val="nil"/>
              <w:right w:val="single" w:sz="4" w:space="0" w:color="auto"/>
            </w:tcBorders>
            <w:shd w:val="clear" w:color="auto" w:fill="auto"/>
            <w:noWrap/>
            <w:vAlign w:val="center"/>
            <w:hideMark/>
          </w:tcPr>
          <w:p w14:paraId="17CF4FFF"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30,2%</w:t>
            </w:r>
          </w:p>
        </w:tc>
        <w:tc>
          <w:tcPr>
            <w:tcW w:w="681" w:type="dxa"/>
            <w:tcBorders>
              <w:top w:val="nil"/>
              <w:left w:val="nil"/>
              <w:bottom w:val="nil"/>
              <w:right w:val="single" w:sz="4" w:space="0" w:color="auto"/>
            </w:tcBorders>
            <w:shd w:val="clear" w:color="auto" w:fill="auto"/>
            <w:noWrap/>
            <w:vAlign w:val="center"/>
            <w:hideMark/>
          </w:tcPr>
          <w:p w14:paraId="073C9878"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29,8%</w:t>
            </w:r>
          </w:p>
        </w:tc>
        <w:tc>
          <w:tcPr>
            <w:tcW w:w="681" w:type="dxa"/>
            <w:tcBorders>
              <w:top w:val="nil"/>
              <w:left w:val="nil"/>
              <w:bottom w:val="nil"/>
              <w:right w:val="single" w:sz="12" w:space="0" w:color="auto"/>
            </w:tcBorders>
            <w:shd w:val="clear" w:color="auto" w:fill="auto"/>
            <w:noWrap/>
            <w:vAlign w:val="center"/>
            <w:hideMark/>
          </w:tcPr>
          <w:p w14:paraId="3AB1FB3A"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30,9%</w:t>
            </w:r>
          </w:p>
        </w:tc>
      </w:tr>
      <w:tr w:rsidR="000929DD" w:rsidRPr="00BB4D7C" w14:paraId="29D63FEB" w14:textId="77777777" w:rsidTr="00BE6857">
        <w:trPr>
          <w:trHeight w:val="547"/>
        </w:trPr>
        <w:tc>
          <w:tcPr>
            <w:tcW w:w="2737" w:type="dxa"/>
            <w:tcBorders>
              <w:top w:val="single" w:sz="8" w:space="0" w:color="auto"/>
              <w:left w:val="single" w:sz="12" w:space="0" w:color="auto"/>
              <w:bottom w:val="single" w:sz="8" w:space="0" w:color="auto"/>
              <w:right w:val="single" w:sz="4" w:space="0" w:color="auto"/>
            </w:tcBorders>
            <w:shd w:val="clear" w:color="auto" w:fill="auto"/>
            <w:noWrap/>
            <w:vAlign w:val="center"/>
            <w:hideMark/>
          </w:tcPr>
          <w:p w14:paraId="63868898"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Calculated PCR (staff share)</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3B33157F"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10,1%</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31CC80A7"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10,2%</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0D706681"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9,8%</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2C19228E"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9,8%</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5B4F6432"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10,0%</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0FC3BE5D"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9,7%</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636AB459"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10,1%</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0F95ADE0"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9,9%</w:t>
            </w:r>
          </w:p>
        </w:tc>
        <w:tc>
          <w:tcPr>
            <w:tcW w:w="681" w:type="dxa"/>
            <w:tcBorders>
              <w:top w:val="single" w:sz="8" w:space="0" w:color="auto"/>
              <w:left w:val="nil"/>
              <w:bottom w:val="single" w:sz="8" w:space="0" w:color="auto"/>
              <w:right w:val="single" w:sz="12" w:space="0" w:color="auto"/>
            </w:tcBorders>
            <w:shd w:val="clear" w:color="auto" w:fill="auto"/>
            <w:noWrap/>
            <w:vAlign w:val="center"/>
            <w:hideMark/>
          </w:tcPr>
          <w:p w14:paraId="7C3C214B"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10,3%</w:t>
            </w:r>
          </w:p>
        </w:tc>
      </w:tr>
      <w:tr w:rsidR="000929DD" w:rsidRPr="00BB4D7C" w14:paraId="7E1977F6" w14:textId="77777777" w:rsidTr="00BE6857">
        <w:trPr>
          <w:trHeight w:val="547"/>
        </w:trPr>
        <w:tc>
          <w:tcPr>
            <w:tcW w:w="2737" w:type="dxa"/>
            <w:tcBorders>
              <w:top w:val="nil"/>
              <w:left w:val="single" w:sz="12" w:space="0" w:color="auto"/>
              <w:bottom w:val="single" w:sz="12" w:space="0" w:color="auto"/>
              <w:right w:val="single" w:sz="4" w:space="0" w:color="auto"/>
            </w:tcBorders>
            <w:shd w:val="clear" w:color="auto" w:fill="auto"/>
            <w:noWrap/>
            <w:vAlign w:val="center"/>
            <w:hideMark/>
          </w:tcPr>
          <w:p w14:paraId="1B5EF603" w14:textId="77777777" w:rsidR="000929DD" w:rsidRPr="00170470" w:rsidRDefault="000929DD" w:rsidP="00BE6857">
            <w:pPr>
              <w:spacing w:after="0" w:line="240" w:lineRule="auto"/>
              <w:jc w:val="center"/>
              <w:rPr>
                <w:rFonts w:ascii="Times New Roman" w:eastAsia="Times New Roman" w:hAnsi="Times New Roman" w:cs="Times New Roman"/>
                <w:b/>
                <w:bCs/>
                <w:noProof/>
                <w:lang w:eastAsia="en-IE"/>
              </w:rPr>
            </w:pPr>
            <w:r w:rsidRPr="00170470">
              <w:rPr>
                <w:rFonts w:ascii="Times New Roman" w:eastAsia="Times New Roman" w:hAnsi="Times New Roman" w:cs="Times New Roman"/>
                <w:b/>
                <w:bCs/>
                <w:noProof/>
                <w:lang w:eastAsia="en-IE"/>
              </w:rPr>
              <w:t>Applied PCR (staff share)</w:t>
            </w:r>
          </w:p>
        </w:tc>
        <w:tc>
          <w:tcPr>
            <w:tcW w:w="681" w:type="dxa"/>
            <w:tcBorders>
              <w:top w:val="nil"/>
              <w:left w:val="nil"/>
              <w:bottom w:val="single" w:sz="12" w:space="0" w:color="auto"/>
              <w:right w:val="single" w:sz="4" w:space="0" w:color="auto"/>
            </w:tcBorders>
            <w:shd w:val="clear" w:color="auto" w:fill="auto"/>
            <w:noWrap/>
            <w:vAlign w:val="center"/>
            <w:hideMark/>
          </w:tcPr>
          <w:p w14:paraId="25108A30"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10,1%</w:t>
            </w:r>
          </w:p>
        </w:tc>
        <w:tc>
          <w:tcPr>
            <w:tcW w:w="681" w:type="dxa"/>
            <w:tcBorders>
              <w:top w:val="nil"/>
              <w:left w:val="nil"/>
              <w:bottom w:val="single" w:sz="12" w:space="0" w:color="auto"/>
              <w:right w:val="single" w:sz="4" w:space="0" w:color="auto"/>
            </w:tcBorders>
            <w:shd w:val="clear" w:color="auto" w:fill="auto"/>
            <w:noWrap/>
            <w:vAlign w:val="center"/>
            <w:hideMark/>
          </w:tcPr>
          <w:p w14:paraId="069216A7"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10,1%</w:t>
            </w:r>
          </w:p>
        </w:tc>
        <w:tc>
          <w:tcPr>
            <w:tcW w:w="681" w:type="dxa"/>
            <w:tcBorders>
              <w:top w:val="nil"/>
              <w:left w:val="nil"/>
              <w:bottom w:val="single" w:sz="12" w:space="0" w:color="auto"/>
              <w:right w:val="single" w:sz="4" w:space="0" w:color="auto"/>
            </w:tcBorders>
            <w:shd w:val="clear" w:color="auto" w:fill="auto"/>
            <w:noWrap/>
            <w:vAlign w:val="center"/>
            <w:hideMark/>
          </w:tcPr>
          <w:p w14:paraId="2D7BB586"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9,8%</w:t>
            </w:r>
          </w:p>
        </w:tc>
        <w:tc>
          <w:tcPr>
            <w:tcW w:w="681" w:type="dxa"/>
            <w:tcBorders>
              <w:top w:val="nil"/>
              <w:left w:val="nil"/>
              <w:bottom w:val="single" w:sz="12" w:space="0" w:color="auto"/>
              <w:right w:val="single" w:sz="4" w:space="0" w:color="auto"/>
            </w:tcBorders>
            <w:shd w:val="clear" w:color="auto" w:fill="auto"/>
            <w:noWrap/>
            <w:vAlign w:val="center"/>
            <w:hideMark/>
          </w:tcPr>
          <w:p w14:paraId="7DEF99A3"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9,8%</w:t>
            </w:r>
          </w:p>
        </w:tc>
        <w:tc>
          <w:tcPr>
            <w:tcW w:w="681" w:type="dxa"/>
            <w:tcBorders>
              <w:top w:val="nil"/>
              <w:left w:val="nil"/>
              <w:bottom w:val="single" w:sz="12" w:space="0" w:color="auto"/>
              <w:right w:val="single" w:sz="4" w:space="0" w:color="auto"/>
            </w:tcBorders>
            <w:shd w:val="clear" w:color="auto" w:fill="auto"/>
            <w:noWrap/>
            <w:vAlign w:val="center"/>
            <w:hideMark/>
          </w:tcPr>
          <w:p w14:paraId="6BE5F8C0"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10,0%</w:t>
            </w:r>
          </w:p>
        </w:tc>
        <w:tc>
          <w:tcPr>
            <w:tcW w:w="681" w:type="dxa"/>
            <w:tcBorders>
              <w:top w:val="nil"/>
              <w:left w:val="nil"/>
              <w:bottom w:val="single" w:sz="12" w:space="0" w:color="auto"/>
              <w:right w:val="single" w:sz="4" w:space="0" w:color="auto"/>
            </w:tcBorders>
            <w:shd w:val="clear" w:color="auto" w:fill="auto"/>
            <w:noWrap/>
            <w:vAlign w:val="center"/>
            <w:hideMark/>
          </w:tcPr>
          <w:p w14:paraId="7084C560"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9,7%</w:t>
            </w:r>
          </w:p>
        </w:tc>
        <w:tc>
          <w:tcPr>
            <w:tcW w:w="681" w:type="dxa"/>
            <w:tcBorders>
              <w:top w:val="nil"/>
              <w:left w:val="nil"/>
              <w:bottom w:val="single" w:sz="12" w:space="0" w:color="auto"/>
              <w:right w:val="single" w:sz="4" w:space="0" w:color="auto"/>
            </w:tcBorders>
            <w:shd w:val="clear" w:color="auto" w:fill="auto"/>
            <w:noWrap/>
            <w:vAlign w:val="center"/>
            <w:hideMark/>
          </w:tcPr>
          <w:p w14:paraId="3094D5CF"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10,1%</w:t>
            </w:r>
          </w:p>
        </w:tc>
        <w:tc>
          <w:tcPr>
            <w:tcW w:w="681" w:type="dxa"/>
            <w:tcBorders>
              <w:top w:val="nil"/>
              <w:left w:val="nil"/>
              <w:bottom w:val="single" w:sz="12" w:space="0" w:color="auto"/>
              <w:right w:val="single" w:sz="4" w:space="0" w:color="auto"/>
            </w:tcBorders>
            <w:shd w:val="clear" w:color="auto" w:fill="auto"/>
            <w:noWrap/>
            <w:vAlign w:val="center"/>
            <w:hideMark/>
          </w:tcPr>
          <w:p w14:paraId="58DB2942" w14:textId="77777777" w:rsidR="000929DD" w:rsidRPr="00170470" w:rsidRDefault="000929DD" w:rsidP="00BE6857">
            <w:pPr>
              <w:spacing w:after="0" w:line="240" w:lineRule="auto"/>
              <w:jc w:val="center"/>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10,1%</w:t>
            </w:r>
          </w:p>
        </w:tc>
        <w:tc>
          <w:tcPr>
            <w:tcW w:w="681" w:type="dxa"/>
            <w:tcBorders>
              <w:top w:val="nil"/>
              <w:left w:val="nil"/>
              <w:bottom w:val="single" w:sz="12" w:space="0" w:color="auto"/>
              <w:right w:val="single" w:sz="12" w:space="0" w:color="auto"/>
            </w:tcBorders>
            <w:shd w:val="clear" w:color="auto" w:fill="auto"/>
            <w:noWrap/>
            <w:vAlign w:val="bottom"/>
            <w:hideMark/>
          </w:tcPr>
          <w:p w14:paraId="6ACAB89E" w14:textId="77777777" w:rsidR="000929DD" w:rsidRPr="00170470" w:rsidRDefault="000929DD" w:rsidP="00BE6857">
            <w:pPr>
              <w:spacing w:after="0" w:line="480" w:lineRule="auto"/>
              <w:rPr>
                <w:rFonts w:ascii="Times New Roman" w:eastAsia="Times New Roman" w:hAnsi="Times New Roman" w:cs="Times New Roman"/>
                <w:bCs/>
                <w:noProof/>
                <w:sz w:val="18"/>
                <w:szCs w:val="18"/>
                <w:lang w:eastAsia="en-IE"/>
              </w:rPr>
            </w:pPr>
            <w:r w:rsidRPr="00170470">
              <w:rPr>
                <w:rFonts w:ascii="Times New Roman" w:eastAsia="Times New Roman" w:hAnsi="Times New Roman" w:cs="Times New Roman"/>
                <w:bCs/>
                <w:noProof/>
                <w:sz w:val="18"/>
                <w:szCs w:val="18"/>
                <w:lang w:eastAsia="en-IE"/>
              </w:rPr>
              <w:t>10,1%</w:t>
            </w:r>
          </w:p>
        </w:tc>
      </w:tr>
    </w:tbl>
    <w:p w14:paraId="321C0E3B" w14:textId="77777777" w:rsidR="000929DD" w:rsidRDefault="000929DD" w:rsidP="000929DD">
      <w:pPr>
        <w:rPr>
          <w:rFonts w:ascii="Times New Roman" w:hAnsi="Times New Roman" w:cs="Times New Roman"/>
          <w:noProof/>
          <w:sz w:val="24"/>
          <w:lang w:val="en-GB"/>
        </w:rPr>
      </w:pPr>
    </w:p>
    <w:p w14:paraId="795ABCA1" w14:textId="77777777" w:rsidR="000929DD" w:rsidRDefault="000929DD" w:rsidP="000929DD">
      <w:pPr>
        <w:rPr>
          <w:rFonts w:ascii="Times New Roman" w:hAnsi="Times New Roman" w:cs="Times New Roman"/>
          <w:noProof/>
          <w:sz w:val="24"/>
          <w:lang w:val="en-GB"/>
        </w:rPr>
      </w:pPr>
      <w:r>
        <w:rPr>
          <w:noProof/>
          <w:lang w:val="en-GB" w:eastAsia="en-GB"/>
        </w:rPr>
        <w:drawing>
          <wp:inline distT="0" distB="0" distL="0" distR="0" wp14:anchorId="4A0B132D" wp14:editId="12F61E55">
            <wp:extent cx="4572000" cy="205105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036C78" w14:textId="77777777" w:rsidR="000929DD" w:rsidRDefault="000929DD" w:rsidP="000929DD">
      <w:pPr>
        <w:rPr>
          <w:rFonts w:ascii="Times New Roman" w:hAnsi="Times New Roman" w:cs="Times New Roman"/>
          <w:noProof/>
          <w:sz w:val="24"/>
          <w:lang w:val="en-GB"/>
        </w:rPr>
      </w:pPr>
    </w:p>
    <w:p w14:paraId="0364F45D" w14:textId="0C0A0593" w:rsidR="000929DD" w:rsidRDefault="000929DD" w:rsidP="000929DD">
      <w:pPr>
        <w:rPr>
          <w:rFonts w:ascii="Times New Roman" w:hAnsi="Times New Roman" w:cs="Times New Roman"/>
          <w:noProof/>
          <w:sz w:val="24"/>
        </w:rPr>
      </w:pPr>
      <w:r w:rsidRPr="00931B3F">
        <w:rPr>
          <w:rFonts w:ascii="Times New Roman" w:hAnsi="Times New Roman" w:cs="Times New Roman"/>
          <w:noProof/>
          <w:sz w:val="24"/>
        </w:rPr>
        <w:t xml:space="preserve">Annex </w:t>
      </w:r>
      <w:r>
        <w:rPr>
          <w:rFonts w:ascii="Times New Roman" w:hAnsi="Times New Roman" w:cs="Times New Roman"/>
          <w:noProof/>
          <w:sz w:val="24"/>
        </w:rPr>
        <w:t>6</w:t>
      </w:r>
      <w:r w:rsidRPr="00931B3F">
        <w:rPr>
          <w:rFonts w:ascii="Times New Roman" w:hAnsi="Times New Roman" w:cs="Times New Roman"/>
          <w:noProof/>
          <w:sz w:val="24"/>
        </w:rPr>
        <w:t xml:space="preserve">: Evolution of </w:t>
      </w:r>
      <w:r w:rsidR="007E6FC3">
        <w:rPr>
          <w:rFonts w:ascii="Times New Roman" w:hAnsi="Times New Roman" w:cs="Times New Roman"/>
          <w:noProof/>
          <w:sz w:val="24"/>
        </w:rPr>
        <w:t xml:space="preserve">active </w:t>
      </w:r>
      <w:r w:rsidRPr="00931B3F">
        <w:rPr>
          <w:rFonts w:ascii="Times New Roman" w:hAnsi="Times New Roman" w:cs="Times New Roman"/>
          <w:noProof/>
          <w:sz w:val="24"/>
        </w:rPr>
        <w:t xml:space="preserve">staff at the </w:t>
      </w:r>
      <w:r w:rsidR="00417668">
        <w:rPr>
          <w:rFonts w:ascii="Times New Roman" w:hAnsi="Times New Roman" w:cs="Times New Roman"/>
          <w:noProof/>
          <w:sz w:val="24"/>
        </w:rPr>
        <w:t xml:space="preserve">EU </w:t>
      </w:r>
      <w:r w:rsidRPr="00931B3F">
        <w:rPr>
          <w:rFonts w:ascii="Times New Roman" w:hAnsi="Times New Roman" w:cs="Times New Roman"/>
          <w:noProof/>
          <w:sz w:val="24"/>
        </w:rPr>
        <w:t>Institutions</w:t>
      </w:r>
    </w:p>
    <w:tbl>
      <w:tblPr>
        <w:tblW w:w="10087" w:type="dxa"/>
        <w:tblInd w:w="70" w:type="dxa"/>
        <w:tblCellMar>
          <w:left w:w="70" w:type="dxa"/>
          <w:right w:w="70" w:type="dxa"/>
        </w:tblCellMar>
        <w:tblLook w:val="04A0" w:firstRow="1" w:lastRow="0" w:firstColumn="1" w:lastColumn="0" w:noHBand="0" w:noVBand="1"/>
      </w:tblPr>
      <w:tblGrid>
        <w:gridCol w:w="2720"/>
        <w:gridCol w:w="800"/>
        <w:gridCol w:w="840"/>
        <w:gridCol w:w="800"/>
        <w:gridCol w:w="800"/>
        <w:gridCol w:w="800"/>
        <w:gridCol w:w="800"/>
        <w:gridCol w:w="800"/>
        <w:gridCol w:w="800"/>
        <w:gridCol w:w="927"/>
      </w:tblGrid>
      <w:tr w:rsidR="00182CB7" w:rsidRPr="00182CB7" w14:paraId="39158B57" w14:textId="77777777" w:rsidTr="00515559">
        <w:trPr>
          <w:trHeight w:val="310"/>
        </w:trPr>
        <w:tc>
          <w:tcPr>
            <w:tcW w:w="272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20F1A645" w14:textId="77777777" w:rsidR="00182CB7" w:rsidRPr="00182CB7" w:rsidRDefault="00182CB7" w:rsidP="00182CB7">
            <w:pPr>
              <w:spacing w:after="0" w:line="240" w:lineRule="auto"/>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 xml:space="preserve">Active population </w:t>
            </w:r>
          </w:p>
        </w:tc>
        <w:tc>
          <w:tcPr>
            <w:tcW w:w="800" w:type="dxa"/>
            <w:tcBorders>
              <w:top w:val="single" w:sz="4" w:space="0" w:color="auto"/>
              <w:left w:val="nil"/>
              <w:bottom w:val="single" w:sz="4" w:space="0" w:color="auto"/>
              <w:right w:val="single" w:sz="4" w:space="0" w:color="auto"/>
            </w:tcBorders>
            <w:shd w:val="clear" w:color="000000" w:fill="E2EFDA"/>
            <w:vAlign w:val="bottom"/>
            <w:hideMark/>
          </w:tcPr>
          <w:p w14:paraId="718474A3"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2014</w:t>
            </w:r>
          </w:p>
        </w:tc>
        <w:tc>
          <w:tcPr>
            <w:tcW w:w="840" w:type="dxa"/>
            <w:tcBorders>
              <w:top w:val="single" w:sz="4" w:space="0" w:color="auto"/>
              <w:left w:val="nil"/>
              <w:bottom w:val="single" w:sz="4" w:space="0" w:color="auto"/>
              <w:right w:val="single" w:sz="4" w:space="0" w:color="auto"/>
            </w:tcBorders>
            <w:shd w:val="clear" w:color="000000" w:fill="E2EFDA"/>
            <w:vAlign w:val="bottom"/>
            <w:hideMark/>
          </w:tcPr>
          <w:p w14:paraId="017B8DAD"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2015</w:t>
            </w:r>
          </w:p>
        </w:tc>
        <w:tc>
          <w:tcPr>
            <w:tcW w:w="800" w:type="dxa"/>
            <w:tcBorders>
              <w:top w:val="single" w:sz="4" w:space="0" w:color="auto"/>
              <w:left w:val="nil"/>
              <w:bottom w:val="single" w:sz="4" w:space="0" w:color="auto"/>
              <w:right w:val="single" w:sz="4" w:space="0" w:color="auto"/>
            </w:tcBorders>
            <w:shd w:val="clear" w:color="000000" w:fill="E2EFDA"/>
            <w:vAlign w:val="bottom"/>
            <w:hideMark/>
          </w:tcPr>
          <w:p w14:paraId="7BF6CE15"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2016</w:t>
            </w:r>
          </w:p>
        </w:tc>
        <w:tc>
          <w:tcPr>
            <w:tcW w:w="800" w:type="dxa"/>
            <w:tcBorders>
              <w:top w:val="single" w:sz="4" w:space="0" w:color="auto"/>
              <w:left w:val="nil"/>
              <w:bottom w:val="single" w:sz="4" w:space="0" w:color="auto"/>
              <w:right w:val="single" w:sz="4" w:space="0" w:color="auto"/>
            </w:tcBorders>
            <w:shd w:val="clear" w:color="000000" w:fill="E2EFDA"/>
            <w:vAlign w:val="bottom"/>
            <w:hideMark/>
          </w:tcPr>
          <w:p w14:paraId="464CEA39"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2017</w:t>
            </w:r>
          </w:p>
        </w:tc>
        <w:tc>
          <w:tcPr>
            <w:tcW w:w="800" w:type="dxa"/>
            <w:tcBorders>
              <w:top w:val="single" w:sz="4" w:space="0" w:color="auto"/>
              <w:left w:val="nil"/>
              <w:bottom w:val="single" w:sz="4" w:space="0" w:color="auto"/>
              <w:right w:val="single" w:sz="4" w:space="0" w:color="auto"/>
            </w:tcBorders>
            <w:shd w:val="clear" w:color="000000" w:fill="E2EFDA"/>
            <w:vAlign w:val="bottom"/>
            <w:hideMark/>
          </w:tcPr>
          <w:p w14:paraId="0FC275FC"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2018</w:t>
            </w:r>
          </w:p>
        </w:tc>
        <w:tc>
          <w:tcPr>
            <w:tcW w:w="800" w:type="dxa"/>
            <w:tcBorders>
              <w:top w:val="single" w:sz="4" w:space="0" w:color="auto"/>
              <w:left w:val="nil"/>
              <w:bottom w:val="single" w:sz="4" w:space="0" w:color="auto"/>
              <w:right w:val="single" w:sz="4" w:space="0" w:color="auto"/>
            </w:tcBorders>
            <w:shd w:val="clear" w:color="000000" w:fill="E2EFDA"/>
            <w:vAlign w:val="bottom"/>
            <w:hideMark/>
          </w:tcPr>
          <w:p w14:paraId="3234FFE4"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2019</w:t>
            </w:r>
          </w:p>
        </w:tc>
        <w:tc>
          <w:tcPr>
            <w:tcW w:w="800" w:type="dxa"/>
            <w:tcBorders>
              <w:top w:val="single" w:sz="4" w:space="0" w:color="auto"/>
              <w:left w:val="nil"/>
              <w:bottom w:val="single" w:sz="4" w:space="0" w:color="auto"/>
              <w:right w:val="single" w:sz="4" w:space="0" w:color="auto"/>
            </w:tcBorders>
            <w:shd w:val="clear" w:color="000000" w:fill="E2EFDA"/>
            <w:vAlign w:val="bottom"/>
            <w:hideMark/>
          </w:tcPr>
          <w:p w14:paraId="3649A246"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2020</w:t>
            </w:r>
          </w:p>
        </w:tc>
        <w:tc>
          <w:tcPr>
            <w:tcW w:w="800" w:type="dxa"/>
            <w:tcBorders>
              <w:top w:val="single" w:sz="4" w:space="0" w:color="auto"/>
              <w:left w:val="nil"/>
              <w:bottom w:val="single" w:sz="4" w:space="0" w:color="auto"/>
              <w:right w:val="single" w:sz="4" w:space="0" w:color="auto"/>
            </w:tcBorders>
            <w:shd w:val="clear" w:color="000000" w:fill="E2EFDA"/>
            <w:vAlign w:val="bottom"/>
            <w:hideMark/>
          </w:tcPr>
          <w:p w14:paraId="41E3261B"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2021</w:t>
            </w:r>
          </w:p>
        </w:tc>
        <w:tc>
          <w:tcPr>
            <w:tcW w:w="927" w:type="dxa"/>
            <w:tcBorders>
              <w:top w:val="single" w:sz="4" w:space="0" w:color="auto"/>
              <w:left w:val="nil"/>
              <w:bottom w:val="single" w:sz="4" w:space="0" w:color="auto"/>
              <w:right w:val="single" w:sz="4" w:space="0" w:color="auto"/>
            </w:tcBorders>
            <w:shd w:val="clear" w:color="000000" w:fill="E2EFDA"/>
            <w:vAlign w:val="bottom"/>
            <w:hideMark/>
          </w:tcPr>
          <w:p w14:paraId="4239A902" w14:textId="77777777" w:rsidR="00182CB7" w:rsidRPr="00182CB7" w:rsidRDefault="00182CB7" w:rsidP="00182CB7">
            <w:pPr>
              <w:spacing w:after="0" w:line="240" w:lineRule="auto"/>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Change</w:t>
            </w:r>
          </w:p>
        </w:tc>
      </w:tr>
      <w:tr w:rsidR="00182CB7" w:rsidRPr="00182CB7" w14:paraId="3A73FE5B" w14:textId="77777777" w:rsidTr="00515559">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A8F6BBD" w14:textId="77777777" w:rsidR="00182CB7" w:rsidRPr="00182CB7" w:rsidRDefault="00182CB7" w:rsidP="00182CB7">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Parliament</w:t>
            </w:r>
          </w:p>
        </w:tc>
        <w:tc>
          <w:tcPr>
            <w:tcW w:w="800" w:type="dxa"/>
            <w:tcBorders>
              <w:top w:val="nil"/>
              <w:left w:val="nil"/>
              <w:bottom w:val="single" w:sz="4" w:space="0" w:color="auto"/>
              <w:right w:val="single" w:sz="4" w:space="0" w:color="auto"/>
            </w:tcBorders>
            <w:shd w:val="clear" w:color="auto" w:fill="auto"/>
            <w:vAlign w:val="bottom"/>
            <w:hideMark/>
          </w:tcPr>
          <w:p w14:paraId="3B24F10D"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9.074</w:t>
            </w:r>
          </w:p>
        </w:tc>
        <w:tc>
          <w:tcPr>
            <w:tcW w:w="840" w:type="dxa"/>
            <w:tcBorders>
              <w:top w:val="nil"/>
              <w:left w:val="nil"/>
              <w:bottom w:val="single" w:sz="4" w:space="0" w:color="auto"/>
              <w:right w:val="single" w:sz="4" w:space="0" w:color="auto"/>
            </w:tcBorders>
            <w:shd w:val="clear" w:color="auto" w:fill="auto"/>
            <w:vAlign w:val="bottom"/>
            <w:hideMark/>
          </w:tcPr>
          <w:p w14:paraId="13404CD4"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9.464</w:t>
            </w:r>
          </w:p>
        </w:tc>
        <w:tc>
          <w:tcPr>
            <w:tcW w:w="800" w:type="dxa"/>
            <w:tcBorders>
              <w:top w:val="nil"/>
              <w:left w:val="nil"/>
              <w:bottom w:val="single" w:sz="4" w:space="0" w:color="auto"/>
              <w:right w:val="single" w:sz="4" w:space="0" w:color="auto"/>
            </w:tcBorders>
            <w:shd w:val="clear" w:color="auto" w:fill="auto"/>
            <w:vAlign w:val="bottom"/>
            <w:hideMark/>
          </w:tcPr>
          <w:p w14:paraId="24D010F9"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9.872</w:t>
            </w:r>
          </w:p>
        </w:tc>
        <w:tc>
          <w:tcPr>
            <w:tcW w:w="800" w:type="dxa"/>
            <w:tcBorders>
              <w:top w:val="nil"/>
              <w:left w:val="nil"/>
              <w:bottom w:val="single" w:sz="4" w:space="0" w:color="auto"/>
              <w:right w:val="single" w:sz="4" w:space="0" w:color="auto"/>
            </w:tcBorders>
            <w:shd w:val="clear" w:color="auto" w:fill="auto"/>
            <w:vAlign w:val="bottom"/>
            <w:hideMark/>
          </w:tcPr>
          <w:p w14:paraId="5D27DD86"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9.959</w:t>
            </w:r>
          </w:p>
        </w:tc>
        <w:tc>
          <w:tcPr>
            <w:tcW w:w="800" w:type="dxa"/>
            <w:tcBorders>
              <w:top w:val="nil"/>
              <w:left w:val="nil"/>
              <w:bottom w:val="single" w:sz="4" w:space="0" w:color="auto"/>
              <w:right w:val="single" w:sz="4" w:space="0" w:color="auto"/>
            </w:tcBorders>
            <w:shd w:val="clear" w:color="auto" w:fill="auto"/>
            <w:vAlign w:val="bottom"/>
            <w:hideMark/>
          </w:tcPr>
          <w:p w14:paraId="5D6A38F1"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10.305</w:t>
            </w:r>
          </w:p>
        </w:tc>
        <w:tc>
          <w:tcPr>
            <w:tcW w:w="800" w:type="dxa"/>
            <w:tcBorders>
              <w:top w:val="nil"/>
              <w:left w:val="nil"/>
              <w:bottom w:val="single" w:sz="4" w:space="0" w:color="auto"/>
              <w:right w:val="single" w:sz="4" w:space="0" w:color="auto"/>
            </w:tcBorders>
            <w:shd w:val="clear" w:color="auto" w:fill="auto"/>
            <w:vAlign w:val="bottom"/>
            <w:hideMark/>
          </w:tcPr>
          <w:p w14:paraId="4F175888"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9.895</w:t>
            </w:r>
          </w:p>
        </w:tc>
        <w:tc>
          <w:tcPr>
            <w:tcW w:w="800" w:type="dxa"/>
            <w:tcBorders>
              <w:top w:val="nil"/>
              <w:left w:val="nil"/>
              <w:bottom w:val="single" w:sz="4" w:space="0" w:color="auto"/>
              <w:right w:val="single" w:sz="4" w:space="0" w:color="auto"/>
            </w:tcBorders>
            <w:shd w:val="clear" w:color="auto" w:fill="auto"/>
            <w:vAlign w:val="bottom"/>
            <w:hideMark/>
          </w:tcPr>
          <w:p w14:paraId="4DAC3139"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9.987</w:t>
            </w:r>
          </w:p>
        </w:tc>
        <w:tc>
          <w:tcPr>
            <w:tcW w:w="800" w:type="dxa"/>
            <w:tcBorders>
              <w:top w:val="nil"/>
              <w:left w:val="nil"/>
              <w:bottom w:val="single" w:sz="4" w:space="0" w:color="auto"/>
              <w:right w:val="single" w:sz="4" w:space="0" w:color="auto"/>
            </w:tcBorders>
            <w:shd w:val="clear" w:color="auto" w:fill="auto"/>
            <w:noWrap/>
            <w:vAlign w:val="bottom"/>
            <w:hideMark/>
          </w:tcPr>
          <w:p w14:paraId="61E92D0C"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10.357</w:t>
            </w:r>
          </w:p>
        </w:tc>
        <w:tc>
          <w:tcPr>
            <w:tcW w:w="927" w:type="dxa"/>
            <w:tcBorders>
              <w:top w:val="nil"/>
              <w:left w:val="nil"/>
              <w:bottom w:val="single" w:sz="4" w:space="0" w:color="auto"/>
              <w:right w:val="single" w:sz="4" w:space="0" w:color="auto"/>
            </w:tcBorders>
            <w:shd w:val="clear" w:color="auto" w:fill="auto"/>
            <w:noWrap/>
            <w:vAlign w:val="bottom"/>
            <w:hideMark/>
          </w:tcPr>
          <w:p w14:paraId="4972214A"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14,1%</w:t>
            </w:r>
          </w:p>
        </w:tc>
      </w:tr>
      <w:tr w:rsidR="00182CB7" w:rsidRPr="00182CB7" w14:paraId="738B8FBC" w14:textId="77777777" w:rsidTr="00515559">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EF1C72C" w14:textId="77777777" w:rsidR="00182CB7" w:rsidRPr="00182CB7" w:rsidRDefault="00182CB7" w:rsidP="00182CB7">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Council</w:t>
            </w:r>
          </w:p>
        </w:tc>
        <w:tc>
          <w:tcPr>
            <w:tcW w:w="800" w:type="dxa"/>
            <w:tcBorders>
              <w:top w:val="nil"/>
              <w:left w:val="nil"/>
              <w:bottom w:val="single" w:sz="4" w:space="0" w:color="auto"/>
              <w:right w:val="single" w:sz="4" w:space="0" w:color="auto"/>
            </w:tcBorders>
            <w:shd w:val="clear" w:color="auto" w:fill="auto"/>
            <w:vAlign w:val="bottom"/>
            <w:hideMark/>
          </w:tcPr>
          <w:p w14:paraId="6C729BDA"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2.985</w:t>
            </w:r>
          </w:p>
        </w:tc>
        <w:tc>
          <w:tcPr>
            <w:tcW w:w="840" w:type="dxa"/>
            <w:tcBorders>
              <w:top w:val="nil"/>
              <w:left w:val="nil"/>
              <w:bottom w:val="single" w:sz="4" w:space="0" w:color="auto"/>
              <w:right w:val="single" w:sz="4" w:space="0" w:color="auto"/>
            </w:tcBorders>
            <w:shd w:val="clear" w:color="auto" w:fill="auto"/>
            <w:vAlign w:val="bottom"/>
            <w:hideMark/>
          </w:tcPr>
          <w:p w14:paraId="03D1F53B"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3.026</w:t>
            </w:r>
          </w:p>
        </w:tc>
        <w:tc>
          <w:tcPr>
            <w:tcW w:w="800" w:type="dxa"/>
            <w:tcBorders>
              <w:top w:val="nil"/>
              <w:left w:val="nil"/>
              <w:bottom w:val="single" w:sz="4" w:space="0" w:color="auto"/>
              <w:right w:val="single" w:sz="4" w:space="0" w:color="auto"/>
            </w:tcBorders>
            <w:shd w:val="clear" w:color="auto" w:fill="auto"/>
            <w:vAlign w:val="bottom"/>
            <w:hideMark/>
          </w:tcPr>
          <w:p w14:paraId="28B995CD"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3.162</w:t>
            </w:r>
          </w:p>
        </w:tc>
        <w:tc>
          <w:tcPr>
            <w:tcW w:w="800" w:type="dxa"/>
            <w:tcBorders>
              <w:top w:val="nil"/>
              <w:left w:val="nil"/>
              <w:bottom w:val="single" w:sz="4" w:space="0" w:color="auto"/>
              <w:right w:val="single" w:sz="4" w:space="0" w:color="auto"/>
            </w:tcBorders>
            <w:shd w:val="clear" w:color="auto" w:fill="auto"/>
            <w:vAlign w:val="bottom"/>
            <w:hideMark/>
          </w:tcPr>
          <w:p w14:paraId="72B4AA3E"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3.162</w:t>
            </w:r>
          </w:p>
        </w:tc>
        <w:tc>
          <w:tcPr>
            <w:tcW w:w="800" w:type="dxa"/>
            <w:tcBorders>
              <w:top w:val="nil"/>
              <w:left w:val="nil"/>
              <w:bottom w:val="single" w:sz="4" w:space="0" w:color="auto"/>
              <w:right w:val="single" w:sz="4" w:space="0" w:color="auto"/>
            </w:tcBorders>
            <w:shd w:val="clear" w:color="auto" w:fill="auto"/>
            <w:vAlign w:val="bottom"/>
            <w:hideMark/>
          </w:tcPr>
          <w:p w14:paraId="17F40563"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3.111</w:t>
            </w:r>
          </w:p>
        </w:tc>
        <w:tc>
          <w:tcPr>
            <w:tcW w:w="800" w:type="dxa"/>
            <w:tcBorders>
              <w:top w:val="nil"/>
              <w:left w:val="nil"/>
              <w:bottom w:val="single" w:sz="4" w:space="0" w:color="auto"/>
              <w:right w:val="single" w:sz="4" w:space="0" w:color="auto"/>
            </w:tcBorders>
            <w:shd w:val="clear" w:color="auto" w:fill="auto"/>
            <w:vAlign w:val="bottom"/>
            <w:hideMark/>
          </w:tcPr>
          <w:p w14:paraId="077F59FF"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3.160</w:t>
            </w:r>
          </w:p>
        </w:tc>
        <w:tc>
          <w:tcPr>
            <w:tcW w:w="800" w:type="dxa"/>
            <w:tcBorders>
              <w:top w:val="nil"/>
              <w:left w:val="nil"/>
              <w:bottom w:val="single" w:sz="4" w:space="0" w:color="auto"/>
              <w:right w:val="single" w:sz="4" w:space="0" w:color="auto"/>
            </w:tcBorders>
            <w:shd w:val="clear" w:color="auto" w:fill="auto"/>
            <w:vAlign w:val="bottom"/>
            <w:hideMark/>
          </w:tcPr>
          <w:p w14:paraId="3BAC3380"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3.206</w:t>
            </w:r>
          </w:p>
        </w:tc>
        <w:tc>
          <w:tcPr>
            <w:tcW w:w="800" w:type="dxa"/>
            <w:tcBorders>
              <w:top w:val="nil"/>
              <w:left w:val="nil"/>
              <w:bottom w:val="single" w:sz="4" w:space="0" w:color="auto"/>
              <w:right w:val="single" w:sz="4" w:space="0" w:color="auto"/>
            </w:tcBorders>
            <w:shd w:val="clear" w:color="auto" w:fill="auto"/>
            <w:noWrap/>
            <w:vAlign w:val="bottom"/>
            <w:hideMark/>
          </w:tcPr>
          <w:p w14:paraId="58408140"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3.246</w:t>
            </w:r>
          </w:p>
        </w:tc>
        <w:tc>
          <w:tcPr>
            <w:tcW w:w="927" w:type="dxa"/>
            <w:tcBorders>
              <w:top w:val="nil"/>
              <w:left w:val="nil"/>
              <w:bottom w:val="single" w:sz="4" w:space="0" w:color="auto"/>
              <w:right w:val="single" w:sz="4" w:space="0" w:color="auto"/>
            </w:tcBorders>
            <w:shd w:val="clear" w:color="auto" w:fill="auto"/>
            <w:noWrap/>
            <w:vAlign w:val="bottom"/>
            <w:hideMark/>
          </w:tcPr>
          <w:p w14:paraId="3DAB6697"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8,7%</w:t>
            </w:r>
          </w:p>
        </w:tc>
      </w:tr>
      <w:tr w:rsidR="00182CB7" w:rsidRPr="00182CB7" w14:paraId="6CFFDE44" w14:textId="77777777" w:rsidTr="00515559">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C161A2E" w14:textId="77777777" w:rsidR="00182CB7" w:rsidRPr="00182CB7" w:rsidRDefault="00182CB7" w:rsidP="00182CB7">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Commission</w:t>
            </w:r>
          </w:p>
        </w:tc>
        <w:tc>
          <w:tcPr>
            <w:tcW w:w="800" w:type="dxa"/>
            <w:tcBorders>
              <w:top w:val="nil"/>
              <w:left w:val="nil"/>
              <w:bottom w:val="single" w:sz="4" w:space="0" w:color="auto"/>
              <w:right w:val="single" w:sz="4" w:space="0" w:color="auto"/>
            </w:tcBorders>
            <w:shd w:val="clear" w:color="auto" w:fill="auto"/>
            <w:vAlign w:val="bottom"/>
            <w:hideMark/>
          </w:tcPr>
          <w:p w14:paraId="06F72C5C"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31.015</w:t>
            </w:r>
          </w:p>
        </w:tc>
        <w:tc>
          <w:tcPr>
            <w:tcW w:w="840" w:type="dxa"/>
            <w:tcBorders>
              <w:top w:val="nil"/>
              <w:left w:val="nil"/>
              <w:bottom w:val="single" w:sz="4" w:space="0" w:color="auto"/>
              <w:right w:val="single" w:sz="4" w:space="0" w:color="auto"/>
            </w:tcBorders>
            <w:shd w:val="clear" w:color="auto" w:fill="auto"/>
            <w:vAlign w:val="bottom"/>
            <w:hideMark/>
          </w:tcPr>
          <w:p w14:paraId="536D6A23"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31.359</w:t>
            </w:r>
          </w:p>
        </w:tc>
        <w:tc>
          <w:tcPr>
            <w:tcW w:w="800" w:type="dxa"/>
            <w:tcBorders>
              <w:top w:val="nil"/>
              <w:left w:val="nil"/>
              <w:bottom w:val="single" w:sz="4" w:space="0" w:color="auto"/>
              <w:right w:val="single" w:sz="4" w:space="0" w:color="auto"/>
            </w:tcBorders>
            <w:shd w:val="clear" w:color="auto" w:fill="auto"/>
            <w:vAlign w:val="bottom"/>
            <w:hideMark/>
          </w:tcPr>
          <w:p w14:paraId="278D9AB5"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30.889</w:t>
            </w:r>
          </w:p>
        </w:tc>
        <w:tc>
          <w:tcPr>
            <w:tcW w:w="800" w:type="dxa"/>
            <w:tcBorders>
              <w:top w:val="nil"/>
              <w:left w:val="nil"/>
              <w:bottom w:val="single" w:sz="4" w:space="0" w:color="auto"/>
              <w:right w:val="single" w:sz="4" w:space="0" w:color="auto"/>
            </w:tcBorders>
            <w:shd w:val="clear" w:color="auto" w:fill="auto"/>
            <w:vAlign w:val="bottom"/>
            <w:hideMark/>
          </w:tcPr>
          <w:p w14:paraId="7E74CAFF"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30.448</w:t>
            </w:r>
          </w:p>
        </w:tc>
        <w:tc>
          <w:tcPr>
            <w:tcW w:w="800" w:type="dxa"/>
            <w:tcBorders>
              <w:top w:val="nil"/>
              <w:left w:val="nil"/>
              <w:bottom w:val="single" w:sz="4" w:space="0" w:color="auto"/>
              <w:right w:val="single" w:sz="4" w:space="0" w:color="auto"/>
            </w:tcBorders>
            <w:shd w:val="clear" w:color="auto" w:fill="auto"/>
            <w:vAlign w:val="bottom"/>
            <w:hideMark/>
          </w:tcPr>
          <w:p w14:paraId="619C9025"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30.765</w:t>
            </w:r>
          </w:p>
        </w:tc>
        <w:tc>
          <w:tcPr>
            <w:tcW w:w="800" w:type="dxa"/>
            <w:tcBorders>
              <w:top w:val="nil"/>
              <w:left w:val="nil"/>
              <w:bottom w:val="single" w:sz="4" w:space="0" w:color="auto"/>
              <w:right w:val="single" w:sz="4" w:space="0" w:color="auto"/>
            </w:tcBorders>
            <w:shd w:val="clear" w:color="auto" w:fill="auto"/>
            <w:vAlign w:val="bottom"/>
            <w:hideMark/>
          </w:tcPr>
          <w:p w14:paraId="4E52D0DA"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31.248</w:t>
            </w:r>
          </w:p>
        </w:tc>
        <w:tc>
          <w:tcPr>
            <w:tcW w:w="800" w:type="dxa"/>
            <w:tcBorders>
              <w:top w:val="nil"/>
              <w:left w:val="nil"/>
              <w:bottom w:val="single" w:sz="4" w:space="0" w:color="auto"/>
              <w:right w:val="single" w:sz="4" w:space="0" w:color="auto"/>
            </w:tcBorders>
            <w:shd w:val="clear" w:color="auto" w:fill="auto"/>
            <w:vAlign w:val="bottom"/>
            <w:hideMark/>
          </w:tcPr>
          <w:p w14:paraId="5A232D3C"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31.115</w:t>
            </w:r>
          </w:p>
        </w:tc>
        <w:tc>
          <w:tcPr>
            <w:tcW w:w="800" w:type="dxa"/>
            <w:tcBorders>
              <w:top w:val="nil"/>
              <w:left w:val="nil"/>
              <w:bottom w:val="single" w:sz="4" w:space="0" w:color="auto"/>
              <w:right w:val="single" w:sz="4" w:space="0" w:color="auto"/>
            </w:tcBorders>
            <w:shd w:val="clear" w:color="auto" w:fill="auto"/>
            <w:noWrap/>
            <w:vAlign w:val="bottom"/>
            <w:hideMark/>
          </w:tcPr>
          <w:p w14:paraId="128B422C"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31.005</w:t>
            </w:r>
          </w:p>
        </w:tc>
        <w:tc>
          <w:tcPr>
            <w:tcW w:w="927" w:type="dxa"/>
            <w:tcBorders>
              <w:top w:val="nil"/>
              <w:left w:val="nil"/>
              <w:bottom w:val="single" w:sz="4" w:space="0" w:color="auto"/>
              <w:right w:val="single" w:sz="4" w:space="0" w:color="auto"/>
            </w:tcBorders>
            <w:shd w:val="clear" w:color="auto" w:fill="auto"/>
            <w:noWrap/>
            <w:vAlign w:val="bottom"/>
            <w:hideMark/>
          </w:tcPr>
          <w:p w14:paraId="037650A1"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0,0%</w:t>
            </w:r>
          </w:p>
        </w:tc>
      </w:tr>
      <w:tr w:rsidR="00182CB7" w:rsidRPr="00182CB7" w14:paraId="1DEF5DD9" w14:textId="77777777" w:rsidTr="00515559">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2EFED63C" w14:textId="77777777" w:rsidR="00182CB7" w:rsidRPr="00182CB7" w:rsidRDefault="00182CB7" w:rsidP="00182CB7">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CJEU</w:t>
            </w:r>
          </w:p>
        </w:tc>
        <w:tc>
          <w:tcPr>
            <w:tcW w:w="800" w:type="dxa"/>
            <w:tcBorders>
              <w:top w:val="nil"/>
              <w:left w:val="nil"/>
              <w:bottom w:val="single" w:sz="4" w:space="0" w:color="auto"/>
              <w:right w:val="single" w:sz="4" w:space="0" w:color="auto"/>
            </w:tcBorders>
            <w:shd w:val="clear" w:color="auto" w:fill="auto"/>
            <w:vAlign w:val="bottom"/>
            <w:hideMark/>
          </w:tcPr>
          <w:p w14:paraId="016D7545"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2.101</w:t>
            </w:r>
          </w:p>
        </w:tc>
        <w:tc>
          <w:tcPr>
            <w:tcW w:w="840" w:type="dxa"/>
            <w:tcBorders>
              <w:top w:val="nil"/>
              <w:left w:val="nil"/>
              <w:bottom w:val="single" w:sz="4" w:space="0" w:color="auto"/>
              <w:right w:val="single" w:sz="4" w:space="0" w:color="auto"/>
            </w:tcBorders>
            <w:shd w:val="clear" w:color="auto" w:fill="auto"/>
            <w:vAlign w:val="bottom"/>
            <w:hideMark/>
          </w:tcPr>
          <w:p w14:paraId="5F3897C1"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2.244</w:t>
            </w:r>
          </w:p>
        </w:tc>
        <w:tc>
          <w:tcPr>
            <w:tcW w:w="800" w:type="dxa"/>
            <w:tcBorders>
              <w:top w:val="nil"/>
              <w:left w:val="nil"/>
              <w:bottom w:val="single" w:sz="4" w:space="0" w:color="auto"/>
              <w:right w:val="single" w:sz="4" w:space="0" w:color="auto"/>
            </w:tcBorders>
            <w:shd w:val="clear" w:color="auto" w:fill="auto"/>
            <w:vAlign w:val="bottom"/>
            <w:hideMark/>
          </w:tcPr>
          <w:p w14:paraId="1922B017"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2.273</w:t>
            </w:r>
          </w:p>
        </w:tc>
        <w:tc>
          <w:tcPr>
            <w:tcW w:w="800" w:type="dxa"/>
            <w:tcBorders>
              <w:top w:val="nil"/>
              <w:left w:val="nil"/>
              <w:bottom w:val="single" w:sz="4" w:space="0" w:color="auto"/>
              <w:right w:val="single" w:sz="4" w:space="0" w:color="auto"/>
            </w:tcBorders>
            <w:shd w:val="clear" w:color="auto" w:fill="auto"/>
            <w:vAlign w:val="bottom"/>
            <w:hideMark/>
          </w:tcPr>
          <w:p w14:paraId="62CA33A7"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2.311</w:t>
            </w:r>
          </w:p>
        </w:tc>
        <w:tc>
          <w:tcPr>
            <w:tcW w:w="800" w:type="dxa"/>
            <w:tcBorders>
              <w:top w:val="nil"/>
              <w:left w:val="nil"/>
              <w:bottom w:val="single" w:sz="4" w:space="0" w:color="auto"/>
              <w:right w:val="single" w:sz="4" w:space="0" w:color="auto"/>
            </w:tcBorders>
            <w:shd w:val="clear" w:color="auto" w:fill="auto"/>
            <w:vAlign w:val="bottom"/>
            <w:hideMark/>
          </w:tcPr>
          <w:p w14:paraId="022C6A95"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2.293</w:t>
            </w:r>
          </w:p>
        </w:tc>
        <w:tc>
          <w:tcPr>
            <w:tcW w:w="800" w:type="dxa"/>
            <w:tcBorders>
              <w:top w:val="nil"/>
              <w:left w:val="nil"/>
              <w:bottom w:val="single" w:sz="4" w:space="0" w:color="auto"/>
              <w:right w:val="single" w:sz="4" w:space="0" w:color="auto"/>
            </w:tcBorders>
            <w:shd w:val="clear" w:color="auto" w:fill="auto"/>
            <w:vAlign w:val="bottom"/>
            <w:hideMark/>
          </w:tcPr>
          <w:p w14:paraId="7D019298"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2.327</w:t>
            </w:r>
          </w:p>
        </w:tc>
        <w:tc>
          <w:tcPr>
            <w:tcW w:w="800" w:type="dxa"/>
            <w:tcBorders>
              <w:top w:val="nil"/>
              <w:left w:val="nil"/>
              <w:bottom w:val="single" w:sz="4" w:space="0" w:color="auto"/>
              <w:right w:val="single" w:sz="4" w:space="0" w:color="auto"/>
            </w:tcBorders>
            <w:shd w:val="clear" w:color="auto" w:fill="auto"/>
            <w:vAlign w:val="bottom"/>
            <w:hideMark/>
          </w:tcPr>
          <w:p w14:paraId="4061C177"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2.303</w:t>
            </w:r>
          </w:p>
        </w:tc>
        <w:tc>
          <w:tcPr>
            <w:tcW w:w="800" w:type="dxa"/>
            <w:tcBorders>
              <w:top w:val="nil"/>
              <w:left w:val="nil"/>
              <w:bottom w:val="single" w:sz="4" w:space="0" w:color="auto"/>
              <w:right w:val="single" w:sz="4" w:space="0" w:color="auto"/>
            </w:tcBorders>
            <w:shd w:val="clear" w:color="auto" w:fill="auto"/>
            <w:noWrap/>
            <w:vAlign w:val="bottom"/>
            <w:hideMark/>
          </w:tcPr>
          <w:p w14:paraId="0147C089"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2.309</w:t>
            </w:r>
          </w:p>
        </w:tc>
        <w:tc>
          <w:tcPr>
            <w:tcW w:w="927" w:type="dxa"/>
            <w:tcBorders>
              <w:top w:val="nil"/>
              <w:left w:val="nil"/>
              <w:bottom w:val="single" w:sz="4" w:space="0" w:color="auto"/>
              <w:right w:val="single" w:sz="4" w:space="0" w:color="auto"/>
            </w:tcBorders>
            <w:shd w:val="clear" w:color="auto" w:fill="auto"/>
            <w:noWrap/>
            <w:vAlign w:val="bottom"/>
            <w:hideMark/>
          </w:tcPr>
          <w:p w14:paraId="38B1F421"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9,9%</w:t>
            </w:r>
          </w:p>
        </w:tc>
      </w:tr>
      <w:tr w:rsidR="00182CB7" w:rsidRPr="00182CB7" w14:paraId="4D5E53FE" w14:textId="77777777" w:rsidTr="00515559">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2F01432" w14:textId="77777777" w:rsidR="00182CB7" w:rsidRPr="00182CB7" w:rsidRDefault="00182CB7" w:rsidP="00182CB7">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ECA</w:t>
            </w:r>
          </w:p>
        </w:tc>
        <w:tc>
          <w:tcPr>
            <w:tcW w:w="800" w:type="dxa"/>
            <w:tcBorders>
              <w:top w:val="nil"/>
              <w:left w:val="nil"/>
              <w:bottom w:val="single" w:sz="4" w:space="0" w:color="auto"/>
              <w:right w:val="single" w:sz="4" w:space="0" w:color="auto"/>
            </w:tcBorders>
            <w:shd w:val="clear" w:color="auto" w:fill="auto"/>
            <w:vAlign w:val="bottom"/>
            <w:hideMark/>
          </w:tcPr>
          <w:p w14:paraId="4F4364C8"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902</w:t>
            </w:r>
          </w:p>
        </w:tc>
        <w:tc>
          <w:tcPr>
            <w:tcW w:w="840" w:type="dxa"/>
            <w:tcBorders>
              <w:top w:val="nil"/>
              <w:left w:val="nil"/>
              <w:bottom w:val="single" w:sz="4" w:space="0" w:color="auto"/>
              <w:right w:val="single" w:sz="4" w:space="0" w:color="auto"/>
            </w:tcBorders>
            <w:shd w:val="clear" w:color="auto" w:fill="auto"/>
            <w:vAlign w:val="bottom"/>
            <w:hideMark/>
          </w:tcPr>
          <w:p w14:paraId="677E2359"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931</w:t>
            </w:r>
          </w:p>
        </w:tc>
        <w:tc>
          <w:tcPr>
            <w:tcW w:w="800" w:type="dxa"/>
            <w:tcBorders>
              <w:top w:val="nil"/>
              <w:left w:val="nil"/>
              <w:bottom w:val="single" w:sz="4" w:space="0" w:color="auto"/>
              <w:right w:val="single" w:sz="4" w:space="0" w:color="auto"/>
            </w:tcBorders>
            <w:shd w:val="clear" w:color="auto" w:fill="auto"/>
            <w:vAlign w:val="bottom"/>
            <w:hideMark/>
          </w:tcPr>
          <w:p w14:paraId="6D1F043E"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934</w:t>
            </w:r>
          </w:p>
        </w:tc>
        <w:tc>
          <w:tcPr>
            <w:tcW w:w="800" w:type="dxa"/>
            <w:tcBorders>
              <w:top w:val="nil"/>
              <w:left w:val="nil"/>
              <w:bottom w:val="single" w:sz="4" w:space="0" w:color="auto"/>
              <w:right w:val="single" w:sz="4" w:space="0" w:color="auto"/>
            </w:tcBorders>
            <w:shd w:val="clear" w:color="auto" w:fill="auto"/>
            <w:vAlign w:val="bottom"/>
            <w:hideMark/>
          </w:tcPr>
          <w:p w14:paraId="59F2A27A"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938</w:t>
            </w:r>
          </w:p>
        </w:tc>
        <w:tc>
          <w:tcPr>
            <w:tcW w:w="800" w:type="dxa"/>
            <w:tcBorders>
              <w:top w:val="nil"/>
              <w:left w:val="nil"/>
              <w:bottom w:val="single" w:sz="4" w:space="0" w:color="auto"/>
              <w:right w:val="single" w:sz="4" w:space="0" w:color="auto"/>
            </w:tcBorders>
            <w:shd w:val="clear" w:color="auto" w:fill="auto"/>
            <w:vAlign w:val="bottom"/>
            <w:hideMark/>
          </w:tcPr>
          <w:p w14:paraId="4C500826"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943</w:t>
            </w:r>
          </w:p>
        </w:tc>
        <w:tc>
          <w:tcPr>
            <w:tcW w:w="800" w:type="dxa"/>
            <w:tcBorders>
              <w:top w:val="nil"/>
              <w:left w:val="nil"/>
              <w:bottom w:val="single" w:sz="4" w:space="0" w:color="auto"/>
              <w:right w:val="single" w:sz="4" w:space="0" w:color="auto"/>
            </w:tcBorders>
            <w:shd w:val="clear" w:color="auto" w:fill="auto"/>
            <w:vAlign w:val="bottom"/>
            <w:hideMark/>
          </w:tcPr>
          <w:p w14:paraId="35556DE0"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943</w:t>
            </w:r>
          </w:p>
        </w:tc>
        <w:tc>
          <w:tcPr>
            <w:tcW w:w="800" w:type="dxa"/>
            <w:tcBorders>
              <w:top w:val="nil"/>
              <w:left w:val="nil"/>
              <w:bottom w:val="single" w:sz="4" w:space="0" w:color="auto"/>
              <w:right w:val="single" w:sz="4" w:space="0" w:color="auto"/>
            </w:tcBorders>
            <w:shd w:val="clear" w:color="auto" w:fill="auto"/>
            <w:vAlign w:val="bottom"/>
            <w:hideMark/>
          </w:tcPr>
          <w:p w14:paraId="2964FC93"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945</w:t>
            </w:r>
          </w:p>
        </w:tc>
        <w:tc>
          <w:tcPr>
            <w:tcW w:w="800" w:type="dxa"/>
            <w:tcBorders>
              <w:top w:val="nil"/>
              <w:left w:val="nil"/>
              <w:bottom w:val="single" w:sz="4" w:space="0" w:color="auto"/>
              <w:right w:val="single" w:sz="4" w:space="0" w:color="auto"/>
            </w:tcBorders>
            <w:shd w:val="clear" w:color="auto" w:fill="auto"/>
            <w:noWrap/>
            <w:vAlign w:val="bottom"/>
            <w:hideMark/>
          </w:tcPr>
          <w:p w14:paraId="223A50D8"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950</w:t>
            </w:r>
          </w:p>
        </w:tc>
        <w:tc>
          <w:tcPr>
            <w:tcW w:w="927" w:type="dxa"/>
            <w:tcBorders>
              <w:top w:val="nil"/>
              <w:left w:val="nil"/>
              <w:bottom w:val="single" w:sz="4" w:space="0" w:color="auto"/>
              <w:right w:val="single" w:sz="4" w:space="0" w:color="auto"/>
            </w:tcBorders>
            <w:shd w:val="clear" w:color="auto" w:fill="auto"/>
            <w:noWrap/>
            <w:vAlign w:val="bottom"/>
            <w:hideMark/>
          </w:tcPr>
          <w:p w14:paraId="323C4636"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5,3%</w:t>
            </w:r>
          </w:p>
        </w:tc>
      </w:tr>
      <w:tr w:rsidR="00182CB7" w:rsidRPr="00182CB7" w14:paraId="7FEE4034" w14:textId="77777777" w:rsidTr="00515559">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CD3FB27" w14:textId="77777777" w:rsidR="00182CB7" w:rsidRPr="00182CB7" w:rsidRDefault="00182CB7" w:rsidP="00182CB7">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EESC</w:t>
            </w:r>
          </w:p>
        </w:tc>
        <w:tc>
          <w:tcPr>
            <w:tcW w:w="800" w:type="dxa"/>
            <w:tcBorders>
              <w:top w:val="nil"/>
              <w:left w:val="nil"/>
              <w:bottom w:val="single" w:sz="4" w:space="0" w:color="auto"/>
              <w:right w:val="single" w:sz="4" w:space="0" w:color="auto"/>
            </w:tcBorders>
            <w:shd w:val="clear" w:color="auto" w:fill="auto"/>
            <w:vAlign w:val="bottom"/>
            <w:hideMark/>
          </w:tcPr>
          <w:p w14:paraId="1B56FF6E"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741</w:t>
            </w:r>
          </w:p>
        </w:tc>
        <w:tc>
          <w:tcPr>
            <w:tcW w:w="840" w:type="dxa"/>
            <w:tcBorders>
              <w:top w:val="nil"/>
              <w:left w:val="nil"/>
              <w:bottom w:val="single" w:sz="4" w:space="0" w:color="auto"/>
              <w:right w:val="single" w:sz="4" w:space="0" w:color="auto"/>
            </w:tcBorders>
            <w:shd w:val="clear" w:color="auto" w:fill="auto"/>
            <w:vAlign w:val="bottom"/>
            <w:hideMark/>
          </w:tcPr>
          <w:p w14:paraId="7391E6F7"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739</w:t>
            </w:r>
          </w:p>
        </w:tc>
        <w:tc>
          <w:tcPr>
            <w:tcW w:w="800" w:type="dxa"/>
            <w:tcBorders>
              <w:top w:val="nil"/>
              <w:left w:val="nil"/>
              <w:bottom w:val="single" w:sz="4" w:space="0" w:color="auto"/>
              <w:right w:val="single" w:sz="4" w:space="0" w:color="auto"/>
            </w:tcBorders>
            <w:shd w:val="clear" w:color="auto" w:fill="auto"/>
            <w:vAlign w:val="bottom"/>
            <w:hideMark/>
          </w:tcPr>
          <w:p w14:paraId="3F5680ED"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739</w:t>
            </w:r>
          </w:p>
        </w:tc>
        <w:tc>
          <w:tcPr>
            <w:tcW w:w="800" w:type="dxa"/>
            <w:tcBorders>
              <w:top w:val="nil"/>
              <w:left w:val="nil"/>
              <w:bottom w:val="single" w:sz="4" w:space="0" w:color="auto"/>
              <w:right w:val="single" w:sz="4" w:space="0" w:color="auto"/>
            </w:tcBorders>
            <w:shd w:val="clear" w:color="auto" w:fill="auto"/>
            <w:vAlign w:val="bottom"/>
            <w:hideMark/>
          </w:tcPr>
          <w:p w14:paraId="749CCCDA"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738</w:t>
            </w:r>
          </w:p>
        </w:tc>
        <w:tc>
          <w:tcPr>
            <w:tcW w:w="800" w:type="dxa"/>
            <w:tcBorders>
              <w:top w:val="nil"/>
              <w:left w:val="nil"/>
              <w:bottom w:val="single" w:sz="4" w:space="0" w:color="auto"/>
              <w:right w:val="single" w:sz="4" w:space="0" w:color="auto"/>
            </w:tcBorders>
            <w:shd w:val="clear" w:color="auto" w:fill="auto"/>
            <w:vAlign w:val="bottom"/>
            <w:hideMark/>
          </w:tcPr>
          <w:p w14:paraId="3E6BAF59"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737</w:t>
            </w:r>
          </w:p>
        </w:tc>
        <w:tc>
          <w:tcPr>
            <w:tcW w:w="800" w:type="dxa"/>
            <w:tcBorders>
              <w:top w:val="nil"/>
              <w:left w:val="nil"/>
              <w:bottom w:val="single" w:sz="4" w:space="0" w:color="auto"/>
              <w:right w:val="single" w:sz="4" w:space="0" w:color="auto"/>
            </w:tcBorders>
            <w:shd w:val="clear" w:color="auto" w:fill="auto"/>
            <w:vAlign w:val="bottom"/>
            <w:hideMark/>
          </w:tcPr>
          <w:p w14:paraId="4432AF64"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737</w:t>
            </w:r>
          </w:p>
        </w:tc>
        <w:tc>
          <w:tcPr>
            <w:tcW w:w="800" w:type="dxa"/>
            <w:tcBorders>
              <w:top w:val="nil"/>
              <w:left w:val="nil"/>
              <w:bottom w:val="single" w:sz="4" w:space="0" w:color="auto"/>
              <w:right w:val="single" w:sz="4" w:space="0" w:color="auto"/>
            </w:tcBorders>
            <w:shd w:val="clear" w:color="auto" w:fill="auto"/>
            <w:vAlign w:val="bottom"/>
            <w:hideMark/>
          </w:tcPr>
          <w:p w14:paraId="677F62CC"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730</w:t>
            </w:r>
          </w:p>
        </w:tc>
        <w:tc>
          <w:tcPr>
            <w:tcW w:w="800" w:type="dxa"/>
            <w:tcBorders>
              <w:top w:val="nil"/>
              <w:left w:val="nil"/>
              <w:bottom w:val="single" w:sz="4" w:space="0" w:color="auto"/>
              <w:right w:val="single" w:sz="4" w:space="0" w:color="auto"/>
            </w:tcBorders>
            <w:shd w:val="clear" w:color="auto" w:fill="auto"/>
            <w:noWrap/>
            <w:vAlign w:val="bottom"/>
            <w:hideMark/>
          </w:tcPr>
          <w:p w14:paraId="1CFE134A"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727</w:t>
            </w:r>
          </w:p>
        </w:tc>
        <w:tc>
          <w:tcPr>
            <w:tcW w:w="927" w:type="dxa"/>
            <w:tcBorders>
              <w:top w:val="nil"/>
              <w:left w:val="nil"/>
              <w:bottom w:val="single" w:sz="4" w:space="0" w:color="auto"/>
              <w:right w:val="single" w:sz="4" w:space="0" w:color="auto"/>
            </w:tcBorders>
            <w:shd w:val="clear" w:color="auto" w:fill="auto"/>
            <w:noWrap/>
            <w:vAlign w:val="bottom"/>
            <w:hideMark/>
          </w:tcPr>
          <w:p w14:paraId="5A36B5EE"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-1,9%</w:t>
            </w:r>
          </w:p>
        </w:tc>
      </w:tr>
      <w:tr w:rsidR="00182CB7" w:rsidRPr="00182CB7" w14:paraId="613D6C27" w14:textId="77777777" w:rsidTr="00515559">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221F570" w14:textId="77777777" w:rsidR="00182CB7" w:rsidRPr="00182CB7" w:rsidRDefault="00182CB7" w:rsidP="00182CB7">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CoR</w:t>
            </w:r>
          </w:p>
        </w:tc>
        <w:tc>
          <w:tcPr>
            <w:tcW w:w="800" w:type="dxa"/>
            <w:tcBorders>
              <w:top w:val="nil"/>
              <w:left w:val="nil"/>
              <w:bottom w:val="single" w:sz="4" w:space="0" w:color="auto"/>
              <w:right w:val="single" w:sz="4" w:space="0" w:color="auto"/>
            </w:tcBorders>
            <w:shd w:val="clear" w:color="auto" w:fill="auto"/>
            <w:vAlign w:val="bottom"/>
            <w:hideMark/>
          </w:tcPr>
          <w:p w14:paraId="1BD1AEEB"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542</w:t>
            </w:r>
          </w:p>
        </w:tc>
        <w:tc>
          <w:tcPr>
            <w:tcW w:w="840" w:type="dxa"/>
            <w:tcBorders>
              <w:top w:val="nil"/>
              <w:left w:val="nil"/>
              <w:bottom w:val="single" w:sz="4" w:space="0" w:color="auto"/>
              <w:right w:val="single" w:sz="4" w:space="0" w:color="auto"/>
            </w:tcBorders>
            <w:shd w:val="clear" w:color="auto" w:fill="auto"/>
            <w:vAlign w:val="bottom"/>
            <w:hideMark/>
          </w:tcPr>
          <w:p w14:paraId="56303022"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558</w:t>
            </w:r>
          </w:p>
        </w:tc>
        <w:tc>
          <w:tcPr>
            <w:tcW w:w="800" w:type="dxa"/>
            <w:tcBorders>
              <w:top w:val="nil"/>
              <w:left w:val="nil"/>
              <w:bottom w:val="single" w:sz="4" w:space="0" w:color="auto"/>
              <w:right w:val="single" w:sz="4" w:space="0" w:color="auto"/>
            </w:tcBorders>
            <w:shd w:val="clear" w:color="auto" w:fill="auto"/>
            <w:vAlign w:val="bottom"/>
            <w:hideMark/>
          </w:tcPr>
          <w:p w14:paraId="11B35C20"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548</w:t>
            </w:r>
          </w:p>
        </w:tc>
        <w:tc>
          <w:tcPr>
            <w:tcW w:w="800" w:type="dxa"/>
            <w:tcBorders>
              <w:top w:val="nil"/>
              <w:left w:val="nil"/>
              <w:bottom w:val="single" w:sz="4" w:space="0" w:color="auto"/>
              <w:right w:val="single" w:sz="4" w:space="0" w:color="auto"/>
            </w:tcBorders>
            <w:shd w:val="clear" w:color="auto" w:fill="auto"/>
            <w:vAlign w:val="bottom"/>
            <w:hideMark/>
          </w:tcPr>
          <w:p w14:paraId="28E1EDF3"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552</w:t>
            </w:r>
          </w:p>
        </w:tc>
        <w:tc>
          <w:tcPr>
            <w:tcW w:w="800" w:type="dxa"/>
            <w:tcBorders>
              <w:top w:val="nil"/>
              <w:left w:val="nil"/>
              <w:bottom w:val="single" w:sz="4" w:space="0" w:color="auto"/>
              <w:right w:val="single" w:sz="4" w:space="0" w:color="auto"/>
            </w:tcBorders>
            <w:shd w:val="clear" w:color="auto" w:fill="auto"/>
            <w:vAlign w:val="bottom"/>
            <w:hideMark/>
          </w:tcPr>
          <w:p w14:paraId="7E725133"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560</w:t>
            </w:r>
          </w:p>
        </w:tc>
        <w:tc>
          <w:tcPr>
            <w:tcW w:w="800" w:type="dxa"/>
            <w:tcBorders>
              <w:top w:val="nil"/>
              <w:left w:val="nil"/>
              <w:bottom w:val="single" w:sz="4" w:space="0" w:color="auto"/>
              <w:right w:val="single" w:sz="4" w:space="0" w:color="auto"/>
            </w:tcBorders>
            <w:shd w:val="clear" w:color="auto" w:fill="auto"/>
            <w:vAlign w:val="bottom"/>
            <w:hideMark/>
          </w:tcPr>
          <w:p w14:paraId="02A20E23"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569</w:t>
            </w:r>
          </w:p>
        </w:tc>
        <w:tc>
          <w:tcPr>
            <w:tcW w:w="800" w:type="dxa"/>
            <w:tcBorders>
              <w:top w:val="nil"/>
              <w:left w:val="nil"/>
              <w:bottom w:val="single" w:sz="4" w:space="0" w:color="auto"/>
              <w:right w:val="single" w:sz="4" w:space="0" w:color="auto"/>
            </w:tcBorders>
            <w:shd w:val="clear" w:color="auto" w:fill="auto"/>
            <w:vAlign w:val="bottom"/>
            <w:hideMark/>
          </w:tcPr>
          <w:p w14:paraId="1E050AE4"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560</w:t>
            </w:r>
          </w:p>
        </w:tc>
        <w:tc>
          <w:tcPr>
            <w:tcW w:w="800" w:type="dxa"/>
            <w:tcBorders>
              <w:top w:val="nil"/>
              <w:left w:val="nil"/>
              <w:bottom w:val="single" w:sz="4" w:space="0" w:color="auto"/>
              <w:right w:val="single" w:sz="4" w:space="0" w:color="auto"/>
            </w:tcBorders>
            <w:shd w:val="clear" w:color="auto" w:fill="auto"/>
            <w:noWrap/>
            <w:vAlign w:val="bottom"/>
            <w:hideMark/>
          </w:tcPr>
          <w:p w14:paraId="427F8CD2"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574</w:t>
            </w:r>
          </w:p>
        </w:tc>
        <w:tc>
          <w:tcPr>
            <w:tcW w:w="927" w:type="dxa"/>
            <w:tcBorders>
              <w:top w:val="nil"/>
              <w:left w:val="nil"/>
              <w:bottom w:val="single" w:sz="4" w:space="0" w:color="auto"/>
              <w:right w:val="single" w:sz="4" w:space="0" w:color="auto"/>
            </w:tcBorders>
            <w:shd w:val="clear" w:color="auto" w:fill="auto"/>
            <w:noWrap/>
            <w:vAlign w:val="bottom"/>
            <w:hideMark/>
          </w:tcPr>
          <w:p w14:paraId="324A236A"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5,9%</w:t>
            </w:r>
          </w:p>
        </w:tc>
      </w:tr>
      <w:tr w:rsidR="00182CB7" w:rsidRPr="00182CB7" w14:paraId="1C820BD5" w14:textId="77777777" w:rsidTr="00515559">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C6AFB6C" w14:textId="77777777" w:rsidR="00182CB7" w:rsidRPr="00182CB7" w:rsidRDefault="00182CB7" w:rsidP="00182CB7">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Ombudsman</w:t>
            </w:r>
          </w:p>
        </w:tc>
        <w:tc>
          <w:tcPr>
            <w:tcW w:w="800" w:type="dxa"/>
            <w:tcBorders>
              <w:top w:val="nil"/>
              <w:left w:val="nil"/>
              <w:bottom w:val="single" w:sz="4" w:space="0" w:color="auto"/>
              <w:right w:val="single" w:sz="4" w:space="0" w:color="auto"/>
            </w:tcBorders>
            <w:shd w:val="clear" w:color="auto" w:fill="auto"/>
            <w:vAlign w:val="bottom"/>
            <w:hideMark/>
          </w:tcPr>
          <w:p w14:paraId="7F3C1D3F"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73</w:t>
            </w:r>
          </w:p>
        </w:tc>
        <w:tc>
          <w:tcPr>
            <w:tcW w:w="840" w:type="dxa"/>
            <w:tcBorders>
              <w:top w:val="nil"/>
              <w:left w:val="nil"/>
              <w:bottom w:val="single" w:sz="4" w:space="0" w:color="auto"/>
              <w:right w:val="single" w:sz="4" w:space="0" w:color="auto"/>
            </w:tcBorders>
            <w:shd w:val="clear" w:color="auto" w:fill="auto"/>
            <w:vAlign w:val="bottom"/>
            <w:hideMark/>
          </w:tcPr>
          <w:p w14:paraId="403AF0E0"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73</w:t>
            </w:r>
          </w:p>
        </w:tc>
        <w:tc>
          <w:tcPr>
            <w:tcW w:w="800" w:type="dxa"/>
            <w:tcBorders>
              <w:top w:val="nil"/>
              <w:left w:val="nil"/>
              <w:bottom w:val="single" w:sz="4" w:space="0" w:color="auto"/>
              <w:right w:val="single" w:sz="4" w:space="0" w:color="auto"/>
            </w:tcBorders>
            <w:shd w:val="clear" w:color="auto" w:fill="auto"/>
            <w:vAlign w:val="bottom"/>
            <w:hideMark/>
          </w:tcPr>
          <w:p w14:paraId="303785F0"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76</w:t>
            </w:r>
          </w:p>
        </w:tc>
        <w:tc>
          <w:tcPr>
            <w:tcW w:w="800" w:type="dxa"/>
            <w:tcBorders>
              <w:top w:val="nil"/>
              <w:left w:val="nil"/>
              <w:bottom w:val="single" w:sz="4" w:space="0" w:color="auto"/>
              <w:right w:val="single" w:sz="4" w:space="0" w:color="auto"/>
            </w:tcBorders>
            <w:shd w:val="clear" w:color="auto" w:fill="auto"/>
            <w:vAlign w:val="bottom"/>
            <w:hideMark/>
          </w:tcPr>
          <w:p w14:paraId="5D1A0361"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82</w:t>
            </w:r>
          </w:p>
        </w:tc>
        <w:tc>
          <w:tcPr>
            <w:tcW w:w="800" w:type="dxa"/>
            <w:tcBorders>
              <w:top w:val="nil"/>
              <w:left w:val="nil"/>
              <w:bottom w:val="single" w:sz="4" w:space="0" w:color="auto"/>
              <w:right w:val="single" w:sz="4" w:space="0" w:color="auto"/>
            </w:tcBorders>
            <w:shd w:val="clear" w:color="auto" w:fill="auto"/>
            <w:vAlign w:val="bottom"/>
            <w:hideMark/>
          </w:tcPr>
          <w:p w14:paraId="4A008D1C"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78</w:t>
            </w:r>
          </w:p>
        </w:tc>
        <w:tc>
          <w:tcPr>
            <w:tcW w:w="800" w:type="dxa"/>
            <w:tcBorders>
              <w:top w:val="nil"/>
              <w:left w:val="nil"/>
              <w:bottom w:val="single" w:sz="4" w:space="0" w:color="auto"/>
              <w:right w:val="single" w:sz="4" w:space="0" w:color="auto"/>
            </w:tcBorders>
            <w:shd w:val="clear" w:color="auto" w:fill="auto"/>
            <w:vAlign w:val="bottom"/>
            <w:hideMark/>
          </w:tcPr>
          <w:p w14:paraId="12324218"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75</w:t>
            </w:r>
          </w:p>
        </w:tc>
        <w:tc>
          <w:tcPr>
            <w:tcW w:w="800" w:type="dxa"/>
            <w:tcBorders>
              <w:top w:val="nil"/>
              <w:left w:val="nil"/>
              <w:bottom w:val="single" w:sz="4" w:space="0" w:color="auto"/>
              <w:right w:val="single" w:sz="4" w:space="0" w:color="auto"/>
            </w:tcBorders>
            <w:shd w:val="clear" w:color="auto" w:fill="auto"/>
            <w:vAlign w:val="bottom"/>
            <w:hideMark/>
          </w:tcPr>
          <w:p w14:paraId="2D1E3ACF"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73</w:t>
            </w:r>
          </w:p>
        </w:tc>
        <w:tc>
          <w:tcPr>
            <w:tcW w:w="800" w:type="dxa"/>
            <w:tcBorders>
              <w:top w:val="nil"/>
              <w:left w:val="nil"/>
              <w:bottom w:val="single" w:sz="4" w:space="0" w:color="auto"/>
              <w:right w:val="single" w:sz="4" w:space="0" w:color="auto"/>
            </w:tcBorders>
            <w:shd w:val="clear" w:color="auto" w:fill="auto"/>
            <w:noWrap/>
            <w:vAlign w:val="bottom"/>
            <w:hideMark/>
          </w:tcPr>
          <w:p w14:paraId="7BC2D17D"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74</w:t>
            </w:r>
          </w:p>
        </w:tc>
        <w:tc>
          <w:tcPr>
            <w:tcW w:w="927" w:type="dxa"/>
            <w:tcBorders>
              <w:top w:val="nil"/>
              <w:left w:val="nil"/>
              <w:bottom w:val="single" w:sz="4" w:space="0" w:color="auto"/>
              <w:right w:val="single" w:sz="4" w:space="0" w:color="auto"/>
            </w:tcBorders>
            <w:shd w:val="clear" w:color="auto" w:fill="auto"/>
            <w:noWrap/>
            <w:vAlign w:val="bottom"/>
            <w:hideMark/>
          </w:tcPr>
          <w:p w14:paraId="7BEBB4BF"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1,4%</w:t>
            </w:r>
          </w:p>
        </w:tc>
      </w:tr>
      <w:tr w:rsidR="00182CB7" w:rsidRPr="00182CB7" w14:paraId="241C29FD" w14:textId="77777777" w:rsidTr="00515559">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40CBB60" w14:textId="77777777" w:rsidR="00182CB7" w:rsidRPr="00182CB7" w:rsidRDefault="00182CB7" w:rsidP="00182CB7">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EDPS</w:t>
            </w:r>
          </w:p>
        </w:tc>
        <w:tc>
          <w:tcPr>
            <w:tcW w:w="800" w:type="dxa"/>
            <w:tcBorders>
              <w:top w:val="nil"/>
              <w:left w:val="nil"/>
              <w:bottom w:val="single" w:sz="4" w:space="0" w:color="auto"/>
              <w:right w:val="single" w:sz="4" w:space="0" w:color="auto"/>
            </w:tcBorders>
            <w:shd w:val="clear" w:color="auto" w:fill="auto"/>
            <w:vAlign w:val="bottom"/>
            <w:hideMark/>
          </w:tcPr>
          <w:p w14:paraId="377D3947"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58</w:t>
            </w:r>
          </w:p>
        </w:tc>
        <w:tc>
          <w:tcPr>
            <w:tcW w:w="840" w:type="dxa"/>
            <w:tcBorders>
              <w:top w:val="nil"/>
              <w:left w:val="nil"/>
              <w:bottom w:val="single" w:sz="4" w:space="0" w:color="auto"/>
              <w:right w:val="single" w:sz="4" w:space="0" w:color="auto"/>
            </w:tcBorders>
            <w:shd w:val="clear" w:color="auto" w:fill="auto"/>
            <w:vAlign w:val="bottom"/>
            <w:hideMark/>
          </w:tcPr>
          <w:p w14:paraId="5A0B25BE"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62</w:t>
            </w:r>
          </w:p>
        </w:tc>
        <w:tc>
          <w:tcPr>
            <w:tcW w:w="800" w:type="dxa"/>
            <w:tcBorders>
              <w:top w:val="nil"/>
              <w:left w:val="nil"/>
              <w:bottom w:val="single" w:sz="4" w:space="0" w:color="auto"/>
              <w:right w:val="single" w:sz="4" w:space="0" w:color="auto"/>
            </w:tcBorders>
            <w:shd w:val="clear" w:color="auto" w:fill="auto"/>
            <w:vAlign w:val="bottom"/>
            <w:hideMark/>
          </w:tcPr>
          <w:p w14:paraId="78B3D8C4"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63</w:t>
            </w:r>
          </w:p>
        </w:tc>
        <w:tc>
          <w:tcPr>
            <w:tcW w:w="800" w:type="dxa"/>
            <w:tcBorders>
              <w:top w:val="nil"/>
              <w:left w:val="nil"/>
              <w:bottom w:val="single" w:sz="4" w:space="0" w:color="auto"/>
              <w:right w:val="single" w:sz="4" w:space="0" w:color="auto"/>
            </w:tcBorders>
            <w:shd w:val="clear" w:color="auto" w:fill="auto"/>
            <w:vAlign w:val="bottom"/>
            <w:hideMark/>
          </w:tcPr>
          <w:p w14:paraId="268FC2E1"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72</w:t>
            </w:r>
          </w:p>
        </w:tc>
        <w:tc>
          <w:tcPr>
            <w:tcW w:w="800" w:type="dxa"/>
            <w:tcBorders>
              <w:top w:val="nil"/>
              <w:left w:val="nil"/>
              <w:bottom w:val="single" w:sz="4" w:space="0" w:color="auto"/>
              <w:right w:val="single" w:sz="4" w:space="0" w:color="auto"/>
            </w:tcBorders>
            <w:shd w:val="clear" w:color="auto" w:fill="auto"/>
            <w:vAlign w:val="bottom"/>
            <w:hideMark/>
          </w:tcPr>
          <w:p w14:paraId="7433E5F6"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96</w:t>
            </w:r>
          </w:p>
        </w:tc>
        <w:tc>
          <w:tcPr>
            <w:tcW w:w="800" w:type="dxa"/>
            <w:tcBorders>
              <w:top w:val="nil"/>
              <w:left w:val="nil"/>
              <w:bottom w:val="single" w:sz="4" w:space="0" w:color="auto"/>
              <w:right w:val="single" w:sz="4" w:space="0" w:color="auto"/>
            </w:tcBorders>
            <w:shd w:val="clear" w:color="auto" w:fill="auto"/>
            <w:vAlign w:val="bottom"/>
            <w:hideMark/>
          </w:tcPr>
          <w:p w14:paraId="0609FF5D"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96</w:t>
            </w:r>
          </w:p>
        </w:tc>
        <w:tc>
          <w:tcPr>
            <w:tcW w:w="800" w:type="dxa"/>
            <w:tcBorders>
              <w:top w:val="nil"/>
              <w:left w:val="nil"/>
              <w:bottom w:val="single" w:sz="4" w:space="0" w:color="auto"/>
              <w:right w:val="single" w:sz="4" w:space="0" w:color="auto"/>
            </w:tcBorders>
            <w:shd w:val="clear" w:color="auto" w:fill="auto"/>
            <w:vAlign w:val="bottom"/>
            <w:hideMark/>
          </w:tcPr>
          <w:p w14:paraId="489642F7"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114</w:t>
            </w:r>
          </w:p>
        </w:tc>
        <w:tc>
          <w:tcPr>
            <w:tcW w:w="800" w:type="dxa"/>
            <w:tcBorders>
              <w:top w:val="nil"/>
              <w:left w:val="nil"/>
              <w:bottom w:val="single" w:sz="4" w:space="0" w:color="auto"/>
              <w:right w:val="single" w:sz="4" w:space="0" w:color="auto"/>
            </w:tcBorders>
            <w:shd w:val="clear" w:color="auto" w:fill="auto"/>
            <w:noWrap/>
            <w:vAlign w:val="bottom"/>
            <w:hideMark/>
          </w:tcPr>
          <w:p w14:paraId="4793CFB4"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128</w:t>
            </w:r>
          </w:p>
        </w:tc>
        <w:tc>
          <w:tcPr>
            <w:tcW w:w="927" w:type="dxa"/>
            <w:tcBorders>
              <w:top w:val="nil"/>
              <w:left w:val="nil"/>
              <w:bottom w:val="single" w:sz="4" w:space="0" w:color="auto"/>
              <w:right w:val="single" w:sz="4" w:space="0" w:color="auto"/>
            </w:tcBorders>
            <w:shd w:val="clear" w:color="auto" w:fill="auto"/>
            <w:noWrap/>
            <w:vAlign w:val="bottom"/>
            <w:hideMark/>
          </w:tcPr>
          <w:p w14:paraId="0C93FB4B"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120,7%</w:t>
            </w:r>
          </w:p>
        </w:tc>
      </w:tr>
      <w:tr w:rsidR="00D23F9C" w:rsidRPr="00182CB7" w14:paraId="4BA25118" w14:textId="77777777" w:rsidTr="00D23F9C">
        <w:trPr>
          <w:trHeight w:val="31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DA51AAF" w14:textId="77777777" w:rsidR="00D23F9C" w:rsidRPr="00182CB7" w:rsidRDefault="00D23F9C" w:rsidP="00DA7103">
            <w:pPr>
              <w:spacing w:after="0" w:line="240" w:lineRule="auto"/>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EEAS</w:t>
            </w:r>
          </w:p>
        </w:tc>
        <w:tc>
          <w:tcPr>
            <w:tcW w:w="800" w:type="dxa"/>
            <w:tcBorders>
              <w:top w:val="nil"/>
              <w:left w:val="nil"/>
              <w:bottom w:val="single" w:sz="4" w:space="0" w:color="auto"/>
              <w:right w:val="single" w:sz="4" w:space="0" w:color="auto"/>
            </w:tcBorders>
            <w:shd w:val="clear" w:color="auto" w:fill="auto"/>
            <w:vAlign w:val="bottom"/>
            <w:hideMark/>
          </w:tcPr>
          <w:p w14:paraId="61FD8004" w14:textId="77777777" w:rsidR="00D23F9C" w:rsidRPr="00182CB7" w:rsidRDefault="00D23F9C" w:rsidP="00DA7103">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1.988</w:t>
            </w:r>
          </w:p>
        </w:tc>
        <w:tc>
          <w:tcPr>
            <w:tcW w:w="840" w:type="dxa"/>
            <w:tcBorders>
              <w:top w:val="nil"/>
              <w:left w:val="nil"/>
              <w:bottom w:val="single" w:sz="4" w:space="0" w:color="auto"/>
              <w:right w:val="single" w:sz="4" w:space="0" w:color="auto"/>
            </w:tcBorders>
            <w:shd w:val="clear" w:color="auto" w:fill="auto"/>
            <w:vAlign w:val="bottom"/>
            <w:hideMark/>
          </w:tcPr>
          <w:p w14:paraId="55250E7D" w14:textId="77777777" w:rsidR="00D23F9C" w:rsidRPr="00182CB7" w:rsidRDefault="00D23F9C" w:rsidP="00DA7103">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1.983</w:t>
            </w:r>
          </w:p>
        </w:tc>
        <w:tc>
          <w:tcPr>
            <w:tcW w:w="800" w:type="dxa"/>
            <w:tcBorders>
              <w:top w:val="nil"/>
              <w:left w:val="nil"/>
              <w:bottom w:val="single" w:sz="4" w:space="0" w:color="auto"/>
              <w:right w:val="single" w:sz="4" w:space="0" w:color="auto"/>
            </w:tcBorders>
            <w:shd w:val="clear" w:color="auto" w:fill="auto"/>
            <w:vAlign w:val="bottom"/>
            <w:hideMark/>
          </w:tcPr>
          <w:p w14:paraId="09A9C6FA" w14:textId="77777777" w:rsidR="00D23F9C" w:rsidRPr="00182CB7" w:rsidRDefault="00D23F9C" w:rsidP="00DA7103">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2.035</w:t>
            </w:r>
          </w:p>
        </w:tc>
        <w:tc>
          <w:tcPr>
            <w:tcW w:w="800" w:type="dxa"/>
            <w:tcBorders>
              <w:top w:val="nil"/>
              <w:left w:val="nil"/>
              <w:bottom w:val="single" w:sz="4" w:space="0" w:color="auto"/>
              <w:right w:val="single" w:sz="4" w:space="0" w:color="auto"/>
            </w:tcBorders>
            <w:shd w:val="clear" w:color="auto" w:fill="auto"/>
            <w:vAlign w:val="bottom"/>
            <w:hideMark/>
          </w:tcPr>
          <w:p w14:paraId="51431812" w14:textId="77777777" w:rsidR="00D23F9C" w:rsidRPr="00182CB7" w:rsidRDefault="00D23F9C" w:rsidP="00DA7103">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2.016</w:t>
            </w:r>
          </w:p>
        </w:tc>
        <w:tc>
          <w:tcPr>
            <w:tcW w:w="800" w:type="dxa"/>
            <w:tcBorders>
              <w:top w:val="nil"/>
              <w:left w:val="nil"/>
              <w:bottom w:val="single" w:sz="4" w:space="0" w:color="auto"/>
              <w:right w:val="single" w:sz="4" w:space="0" w:color="auto"/>
            </w:tcBorders>
            <w:shd w:val="clear" w:color="auto" w:fill="auto"/>
            <w:vAlign w:val="bottom"/>
            <w:hideMark/>
          </w:tcPr>
          <w:p w14:paraId="15FF4DAC" w14:textId="77777777" w:rsidR="00D23F9C" w:rsidRPr="00182CB7" w:rsidRDefault="00D23F9C" w:rsidP="00DA7103">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2.095</w:t>
            </w:r>
          </w:p>
        </w:tc>
        <w:tc>
          <w:tcPr>
            <w:tcW w:w="800" w:type="dxa"/>
            <w:tcBorders>
              <w:top w:val="nil"/>
              <w:left w:val="nil"/>
              <w:bottom w:val="single" w:sz="4" w:space="0" w:color="auto"/>
              <w:right w:val="single" w:sz="4" w:space="0" w:color="auto"/>
            </w:tcBorders>
            <w:shd w:val="clear" w:color="auto" w:fill="auto"/>
            <w:vAlign w:val="bottom"/>
            <w:hideMark/>
          </w:tcPr>
          <w:p w14:paraId="7E537EDF" w14:textId="77777777" w:rsidR="00D23F9C" w:rsidRPr="00182CB7" w:rsidRDefault="00D23F9C" w:rsidP="00DA7103">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2.149</w:t>
            </w:r>
          </w:p>
        </w:tc>
        <w:tc>
          <w:tcPr>
            <w:tcW w:w="800" w:type="dxa"/>
            <w:tcBorders>
              <w:top w:val="nil"/>
              <w:left w:val="nil"/>
              <w:bottom w:val="single" w:sz="4" w:space="0" w:color="auto"/>
              <w:right w:val="single" w:sz="4" w:space="0" w:color="auto"/>
            </w:tcBorders>
            <w:shd w:val="clear" w:color="auto" w:fill="auto"/>
            <w:vAlign w:val="bottom"/>
            <w:hideMark/>
          </w:tcPr>
          <w:p w14:paraId="64372479" w14:textId="77777777" w:rsidR="00D23F9C" w:rsidRPr="00182CB7" w:rsidRDefault="00D23F9C" w:rsidP="00DA7103">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2.234</w:t>
            </w:r>
          </w:p>
        </w:tc>
        <w:tc>
          <w:tcPr>
            <w:tcW w:w="800" w:type="dxa"/>
            <w:tcBorders>
              <w:top w:val="nil"/>
              <w:left w:val="nil"/>
              <w:bottom w:val="single" w:sz="4" w:space="0" w:color="auto"/>
              <w:right w:val="single" w:sz="4" w:space="0" w:color="auto"/>
            </w:tcBorders>
            <w:shd w:val="clear" w:color="auto" w:fill="auto"/>
            <w:noWrap/>
            <w:vAlign w:val="bottom"/>
            <w:hideMark/>
          </w:tcPr>
          <w:p w14:paraId="327F32B7" w14:textId="77777777" w:rsidR="00D23F9C" w:rsidRPr="00182CB7" w:rsidRDefault="00D23F9C" w:rsidP="00DA7103">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2.326</w:t>
            </w:r>
          </w:p>
        </w:tc>
        <w:tc>
          <w:tcPr>
            <w:tcW w:w="927" w:type="dxa"/>
            <w:tcBorders>
              <w:top w:val="nil"/>
              <w:left w:val="nil"/>
              <w:bottom w:val="single" w:sz="4" w:space="0" w:color="auto"/>
              <w:right w:val="single" w:sz="4" w:space="0" w:color="auto"/>
            </w:tcBorders>
            <w:shd w:val="clear" w:color="auto" w:fill="auto"/>
            <w:noWrap/>
            <w:vAlign w:val="bottom"/>
            <w:hideMark/>
          </w:tcPr>
          <w:p w14:paraId="54C95A84" w14:textId="77777777" w:rsidR="00D23F9C" w:rsidRPr="00182CB7" w:rsidRDefault="00D23F9C" w:rsidP="00DA7103">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17,0%</w:t>
            </w:r>
          </w:p>
        </w:tc>
      </w:tr>
      <w:tr w:rsidR="00182CB7" w:rsidRPr="00182CB7" w14:paraId="031F588F" w14:textId="77777777" w:rsidTr="00BB6AB9">
        <w:trPr>
          <w:trHeight w:val="620"/>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7839C29" w14:textId="77777777" w:rsidR="00182CB7" w:rsidRPr="00FC43DF" w:rsidRDefault="00182CB7" w:rsidP="00182CB7">
            <w:pPr>
              <w:spacing w:after="0" w:line="240" w:lineRule="auto"/>
              <w:rPr>
                <w:rFonts w:ascii="Times New Roman" w:eastAsia="Times New Roman" w:hAnsi="Times New Roman" w:cs="Times New Roman"/>
                <w:noProof/>
                <w:color w:val="000000"/>
                <w:sz w:val="24"/>
                <w:szCs w:val="24"/>
                <w:lang w:eastAsia="fr-BE"/>
              </w:rPr>
            </w:pPr>
            <w:r w:rsidRPr="00182CB7">
              <w:rPr>
                <w:rFonts w:ascii="Times New Roman" w:eastAsia="Times New Roman" w:hAnsi="Times New Roman" w:cs="Times New Roman"/>
                <w:noProof/>
                <w:color w:val="000000"/>
                <w:sz w:val="24"/>
                <w:szCs w:val="24"/>
                <w:lang w:eastAsia="fr-BE"/>
              </w:rPr>
              <w:t xml:space="preserve">Other institutions </w:t>
            </w:r>
            <w:r w:rsidRPr="00182CB7">
              <w:rPr>
                <w:rFonts w:ascii="Times New Roman" w:eastAsia="Times New Roman" w:hAnsi="Times New Roman" w:cs="Times New Roman"/>
                <w:noProof/>
                <w:color w:val="000000"/>
                <w:sz w:val="24"/>
                <w:szCs w:val="24"/>
                <w:lang w:eastAsia="fr-BE"/>
              </w:rPr>
              <w:br/>
              <w:t>and decentralised agencies</w:t>
            </w:r>
          </w:p>
        </w:tc>
        <w:tc>
          <w:tcPr>
            <w:tcW w:w="800" w:type="dxa"/>
            <w:tcBorders>
              <w:top w:val="nil"/>
              <w:left w:val="nil"/>
              <w:bottom w:val="single" w:sz="4" w:space="0" w:color="auto"/>
              <w:right w:val="single" w:sz="4" w:space="0" w:color="auto"/>
            </w:tcBorders>
            <w:shd w:val="clear" w:color="auto" w:fill="auto"/>
            <w:vAlign w:val="bottom"/>
            <w:hideMark/>
          </w:tcPr>
          <w:p w14:paraId="3F0AB526"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9.088</w:t>
            </w:r>
          </w:p>
        </w:tc>
        <w:tc>
          <w:tcPr>
            <w:tcW w:w="840" w:type="dxa"/>
            <w:tcBorders>
              <w:top w:val="nil"/>
              <w:left w:val="nil"/>
              <w:bottom w:val="single" w:sz="4" w:space="0" w:color="auto"/>
              <w:right w:val="single" w:sz="4" w:space="0" w:color="auto"/>
            </w:tcBorders>
            <w:shd w:val="clear" w:color="auto" w:fill="auto"/>
            <w:vAlign w:val="bottom"/>
            <w:hideMark/>
          </w:tcPr>
          <w:p w14:paraId="18D44DFF"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9.595</w:t>
            </w:r>
          </w:p>
        </w:tc>
        <w:tc>
          <w:tcPr>
            <w:tcW w:w="800" w:type="dxa"/>
            <w:tcBorders>
              <w:top w:val="nil"/>
              <w:left w:val="nil"/>
              <w:bottom w:val="single" w:sz="4" w:space="0" w:color="auto"/>
              <w:right w:val="single" w:sz="4" w:space="0" w:color="auto"/>
            </w:tcBorders>
            <w:shd w:val="clear" w:color="auto" w:fill="auto"/>
            <w:vAlign w:val="bottom"/>
            <w:hideMark/>
          </w:tcPr>
          <w:p w14:paraId="23C0E54A"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10.337</w:t>
            </w:r>
          </w:p>
        </w:tc>
        <w:tc>
          <w:tcPr>
            <w:tcW w:w="800" w:type="dxa"/>
            <w:tcBorders>
              <w:top w:val="nil"/>
              <w:left w:val="nil"/>
              <w:bottom w:val="single" w:sz="4" w:space="0" w:color="auto"/>
              <w:right w:val="single" w:sz="4" w:space="0" w:color="auto"/>
            </w:tcBorders>
            <w:shd w:val="clear" w:color="auto" w:fill="auto"/>
            <w:vAlign w:val="bottom"/>
            <w:hideMark/>
          </w:tcPr>
          <w:p w14:paraId="3A28FD75"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11.007</w:t>
            </w:r>
          </w:p>
        </w:tc>
        <w:tc>
          <w:tcPr>
            <w:tcW w:w="800" w:type="dxa"/>
            <w:tcBorders>
              <w:top w:val="nil"/>
              <w:left w:val="nil"/>
              <w:bottom w:val="single" w:sz="4" w:space="0" w:color="auto"/>
              <w:right w:val="single" w:sz="4" w:space="0" w:color="auto"/>
            </w:tcBorders>
            <w:shd w:val="clear" w:color="auto" w:fill="auto"/>
            <w:vAlign w:val="bottom"/>
            <w:hideMark/>
          </w:tcPr>
          <w:p w14:paraId="51904679"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11.646</w:t>
            </w:r>
          </w:p>
        </w:tc>
        <w:tc>
          <w:tcPr>
            <w:tcW w:w="800" w:type="dxa"/>
            <w:tcBorders>
              <w:top w:val="nil"/>
              <w:left w:val="nil"/>
              <w:bottom w:val="single" w:sz="4" w:space="0" w:color="auto"/>
              <w:right w:val="single" w:sz="4" w:space="0" w:color="auto"/>
            </w:tcBorders>
            <w:shd w:val="clear" w:color="auto" w:fill="auto"/>
            <w:vAlign w:val="bottom"/>
            <w:hideMark/>
          </w:tcPr>
          <w:p w14:paraId="26EC690C"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12.272</w:t>
            </w:r>
          </w:p>
        </w:tc>
        <w:tc>
          <w:tcPr>
            <w:tcW w:w="800" w:type="dxa"/>
            <w:tcBorders>
              <w:top w:val="nil"/>
              <w:left w:val="nil"/>
              <w:bottom w:val="single" w:sz="4" w:space="0" w:color="auto"/>
              <w:right w:val="single" w:sz="4" w:space="0" w:color="auto"/>
            </w:tcBorders>
            <w:shd w:val="clear" w:color="auto" w:fill="auto"/>
            <w:vAlign w:val="bottom"/>
            <w:hideMark/>
          </w:tcPr>
          <w:p w14:paraId="5686CA13"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13.093</w:t>
            </w:r>
          </w:p>
        </w:tc>
        <w:tc>
          <w:tcPr>
            <w:tcW w:w="800" w:type="dxa"/>
            <w:tcBorders>
              <w:top w:val="nil"/>
              <w:left w:val="nil"/>
              <w:bottom w:val="single" w:sz="4" w:space="0" w:color="auto"/>
              <w:right w:val="single" w:sz="4" w:space="0" w:color="auto"/>
            </w:tcBorders>
            <w:shd w:val="clear" w:color="auto" w:fill="auto"/>
            <w:noWrap/>
            <w:vAlign w:val="bottom"/>
            <w:hideMark/>
          </w:tcPr>
          <w:p w14:paraId="0C031724"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14.424</w:t>
            </w:r>
          </w:p>
        </w:tc>
        <w:tc>
          <w:tcPr>
            <w:tcW w:w="927" w:type="dxa"/>
            <w:tcBorders>
              <w:top w:val="nil"/>
              <w:left w:val="nil"/>
              <w:bottom w:val="single" w:sz="4" w:space="0" w:color="auto"/>
              <w:right w:val="single" w:sz="4" w:space="0" w:color="auto"/>
            </w:tcBorders>
            <w:shd w:val="clear" w:color="auto" w:fill="auto"/>
            <w:noWrap/>
            <w:vAlign w:val="bottom"/>
            <w:hideMark/>
          </w:tcPr>
          <w:p w14:paraId="6D9B8A8E" w14:textId="77777777" w:rsidR="00182CB7" w:rsidRPr="00182CB7" w:rsidRDefault="00182CB7" w:rsidP="00182CB7">
            <w:pPr>
              <w:spacing w:after="0" w:line="240" w:lineRule="auto"/>
              <w:jc w:val="right"/>
              <w:rPr>
                <w:rFonts w:ascii="Times New Roman" w:eastAsia="Times New Roman" w:hAnsi="Times New Roman" w:cs="Times New Roman"/>
                <w:noProof/>
                <w:color w:val="000000"/>
                <w:sz w:val="24"/>
                <w:szCs w:val="24"/>
                <w:lang w:val="fr-BE" w:eastAsia="fr-BE"/>
              </w:rPr>
            </w:pPr>
            <w:r w:rsidRPr="00182CB7">
              <w:rPr>
                <w:rFonts w:ascii="Times New Roman" w:eastAsia="Times New Roman" w:hAnsi="Times New Roman" w:cs="Times New Roman"/>
                <w:noProof/>
                <w:color w:val="000000"/>
                <w:sz w:val="24"/>
                <w:szCs w:val="24"/>
                <w:lang w:val="fr-BE" w:eastAsia="fr-BE"/>
              </w:rPr>
              <w:t>58,7%</w:t>
            </w:r>
          </w:p>
        </w:tc>
      </w:tr>
      <w:tr w:rsidR="00182CB7" w:rsidRPr="00182CB7" w14:paraId="4B40D983" w14:textId="77777777" w:rsidTr="00BB6AB9">
        <w:trPr>
          <w:trHeight w:val="31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649519DF" w14:textId="77777777" w:rsidR="00182CB7" w:rsidRPr="00182CB7" w:rsidRDefault="00182CB7" w:rsidP="00182CB7">
            <w:pPr>
              <w:spacing w:after="0" w:line="240" w:lineRule="auto"/>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Total</w:t>
            </w:r>
          </w:p>
        </w:tc>
        <w:tc>
          <w:tcPr>
            <w:tcW w:w="800" w:type="dxa"/>
            <w:tcBorders>
              <w:top w:val="nil"/>
              <w:left w:val="nil"/>
              <w:bottom w:val="single" w:sz="4" w:space="0" w:color="auto"/>
              <w:right w:val="single" w:sz="4" w:space="0" w:color="auto"/>
            </w:tcBorders>
            <w:shd w:val="clear" w:color="auto" w:fill="auto"/>
            <w:noWrap/>
            <w:vAlign w:val="bottom"/>
            <w:hideMark/>
          </w:tcPr>
          <w:p w14:paraId="470E7B7F"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58.567</w:t>
            </w:r>
          </w:p>
        </w:tc>
        <w:tc>
          <w:tcPr>
            <w:tcW w:w="840" w:type="dxa"/>
            <w:tcBorders>
              <w:top w:val="nil"/>
              <w:left w:val="nil"/>
              <w:bottom w:val="single" w:sz="4" w:space="0" w:color="auto"/>
              <w:right w:val="single" w:sz="4" w:space="0" w:color="auto"/>
            </w:tcBorders>
            <w:shd w:val="clear" w:color="auto" w:fill="auto"/>
            <w:noWrap/>
            <w:vAlign w:val="bottom"/>
            <w:hideMark/>
          </w:tcPr>
          <w:p w14:paraId="11A48ECE"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60.034</w:t>
            </w:r>
          </w:p>
        </w:tc>
        <w:tc>
          <w:tcPr>
            <w:tcW w:w="800" w:type="dxa"/>
            <w:tcBorders>
              <w:top w:val="nil"/>
              <w:left w:val="nil"/>
              <w:bottom w:val="single" w:sz="4" w:space="0" w:color="auto"/>
              <w:right w:val="single" w:sz="4" w:space="0" w:color="auto"/>
            </w:tcBorders>
            <w:shd w:val="clear" w:color="auto" w:fill="auto"/>
            <w:noWrap/>
            <w:vAlign w:val="bottom"/>
            <w:hideMark/>
          </w:tcPr>
          <w:p w14:paraId="71073C3D"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60.928</w:t>
            </w:r>
          </w:p>
        </w:tc>
        <w:tc>
          <w:tcPr>
            <w:tcW w:w="800" w:type="dxa"/>
            <w:tcBorders>
              <w:top w:val="nil"/>
              <w:left w:val="nil"/>
              <w:bottom w:val="single" w:sz="4" w:space="0" w:color="auto"/>
              <w:right w:val="single" w:sz="4" w:space="0" w:color="auto"/>
            </w:tcBorders>
            <w:shd w:val="clear" w:color="auto" w:fill="auto"/>
            <w:noWrap/>
            <w:vAlign w:val="bottom"/>
            <w:hideMark/>
          </w:tcPr>
          <w:p w14:paraId="3D9EF456"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61.285</w:t>
            </w:r>
          </w:p>
        </w:tc>
        <w:tc>
          <w:tcPr>
            <w:tcW w:w="800" w:type="dxa"/>
            <w:tcBorders>
              <w:top w:val="nil"/>
              <w:left w:val="nil"/>
              <w:bottom w:val="single" w:sz="4" w:space="0" w:color="auto"/>
              <w:right w:val="single" w:sz="4" w:space="0" w:color="auto"/>
            </w:tcBorders>
            <w:shd w:val="clear" w:color="auto" w:fill="auto"/>
            <w:noWrap/>
            <w:vAlign w:val="bottom"/>
            <w:hideMark/>
          </w:tcPr>
          <w:p w14:paraId="16104A9B"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62.629</w:t>
            </w:r>
          </w:p>
        </w:tc>
        <w:tc>
          <w:tcPr>
            <w:tcW w:w="800" w:type="dxa"/>
            <w:tcBorders>
              <w:top w:val="nil"/>
              <w:left w:val="nil"/>
              <w:bottom w:val="single" w:sz="4" w:space="0" w:color="auto"/>
              <w:right w:val="single" w:sz="4" w:space="0" w:color="auto"/>
            </w:tcBorders>
            <w:shd w:val="clear" w:color="auto" w:fill="auto"/>
            <w:noWrap/>
            <w:vAlign w:val="bottom"/>
            <w:hideMark/>
          </w:tcPr>
          <w:p w14:paraId="0A0ADB1A"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63.471</w:t>
            </w:r>
          </w:p>
        </w:tc>
        <w:tc>
          <w:tcPr>
            <w:tcW w:w="800" w:type="dxa"/>
            <w:tcBorders>
              <w:top w:val="nil"/>
              <w:left w:val="nil"/>
              <w:bottom w:val="single" w:sz="4" w:space="0" w:color="auto"/>
              <w:right w:val="single" w:sz="4" w:space="0" w:color="auto"/>
            </w:tcBorders>
            <w:shd w:val="clear" w:color="auto" w:fill="auto"/>
            <w:noWrap/>
            <w:vAlign w:val="bottom"/>
            <w:hideMark/>
          </w:tcPr>
          <w:p w14:paraId="5D843029"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64.360</w:t>
            </w:r>
          </w:p>
        </w:tc>
        <w:tc>
          <w:tcPr>
            <w:tcW w:w="800" w:type="dxa"/>
            <w:tcBorders>
              <w:top w:val="nil"/>
              <w:left w:val="nil"/>
              <w:bottom w:val="single" w:sz="4" w:space="0" w:color="auto"/>
              <w:right w:val="single" w:sz="4" w:space="0" w:color="auto"/>
            </w:tcBorders>
            <w:shd w:val="clear" w:color="auto" w:fill="auto"/>
            <w:noWrap/>
            <w:vAlign w:val="bottom"/>
            <w:hideMark/>
          </w:tcPr>
          <w:p w14:paraId="33388C2E"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66.120</w:t>
            </w:r>
          </w:p>
        </w:tc>
        <w:tc>
          <w:tcPr>
            <w:tcW w:w="927" w:type="dxa"/>
            <w:tcBorders>
              <w:top w:val="nil"/>
              <w:left w:val="nil"/>
              <w:bottom w:val="single" w:sz="4" w:space="0" w:color="auto"/>
              <w:right w:val="single" w:sz="4" w:space="0" w:color="auto"/>
            </w:tcBorders>
            <w:shd w:val="clear" w:color="auto" w:fill="auto"/>
            <w:noWrap/>
            <w:vAlign w:val="bottom"/>
            <w:hideMark/>
          </w:tcPr>
          <w:p w14:paraId="1B66A125" w14:textId="77777777" w:rsidR="00182CB7" w:rsidRPr="00182CB7" w:rsidRDefault="00182CB7" w:rsidP="00182CB7">
            <w:pPr>
              <w:spacing w:after="0" w:line="240" w:lineRule="auto"/>
              <w:jc w:val="right"/>
              <w:rPr>
                <w:rFonts w:ascii="Times New Roman" w:eastAsia="Times New Roman" w:hAnsi="Times New Roman" w:cs="Times New Roman"/>
                <w:b/>
                <w:bCs/>
                <w:noProof/>
                <w:color w:val="000000"/>
                <w:sz w:val="24"/>
                <w:szCs w:val="24"/>
                <w:lang w:val="fr-BE" w:eastAsia="fr-BE"/>
              </w:rPr>
            </w:pPr>
            <w:r w:rsidRPr="00182CB7">
              <w:rPr>
                <w:rFonts w:ascii="Times New Roman" w:eastAsia="Times New Roman" w:hAnsi="Times New Roman" w:cs="Times New Roman"/>
                <w:b/>
                <w:bCs/>
                <w:noProof/>
                <w:color w:val="000000"/>
                <w:sz w:val="24"/>
                <w:szCs w:val="24"/>
                <w:lang w:val="fr-BE" w:eastAsia="fr-BE"/>
              </w:rPr>
              <w:t>12,9%</w:t>
            </w:r>
          </w:p>
        </w:tc>
      </w:tr>
    </w:tbl>
    <w:p w14:paraId="538E6AA9" w14:textId="2FBF64D3" w:rsidR="000929DD" w:rsidRDefault="000929DD" w:rsidP="000929DD">
      <w:pPr>
        <w:rPr>
          <w:rFonts w:ascii="Times New Roman" w:hAnsi="Times New Roman" w:cs="Times New Roman"/>
          <w:noProof/>
          <w:sz w:val="24"/>
        </w:rPr>
      </w:pPr>
      <w:r>
        <w:rPr>
          <w:rFonts w:ascii="Times New Roman" w:hAnsi="Times New Roman" w:cs="Times New Roman"/>
          <w:noProof/>
          <w:sz w:val="24"/>
        </w:rPr>
        <w:t xml:space="preserve">Annex 7: Active population of PSEO by </w:t>
      </w:r>
      <w:r w:rsidR="000E521A">
        <w:rPr>
          <w:rFonts w:ascii="Times New Roman" w:hAnsi="Times New Roman" w:cs="Times New Roman"/>
          <w:noProof/>
          <w:sz w:val="24"/>
        </w:rPr>
        <w:t xml:space="preserve">cohorts of accrual </w:t>
      </w:r>
    </w:p>
    <w:tbl>
      <w:tblPr>
        <w:tblW w:w="9940" w:type="dxa"/>
        <w:tblInd w:w="93" w:type="dxa"/>
        <w:tblCellMar>
          <w:left w:w="70" w:type="dxa"/>
          <w:right w:w="70" w:type="dxa"/>
        </w:tblCellMar>
        <w:tblLook w:val="04A0" w:firstRow="1" w:lastRow="0" w:firstColumn="1" w:lastColumn="0" w:noHBand="0" w:noVBand="1"/>
      </w:tblPr>
      <w:tblGrid>
        <w:gridCol w:w="1300"/>
        <w:gridCol w:w="960"/>
        <w:gridCol w:w="960"/>
        <w:gridCol w:w="960"/>
        <w:gridCol w:w="960"/>
        <w:gridCol w:w="960"/>
        <w:gridCol w:w="960"/>
        <w:gridCol w:w="960"/>
        <w:gridCol w:w="960"/>
        <w:gridCol w:w="960"/>
      </w:tblGrid>
      <w:tr w:rsidR="00BD0A86" w:rsidRPr="00BD0A86" w14:paraId="08B0AD6C" w14:textId="77777777" w:rsidTr="00BD0A86">
        <w:trPr>
          <w:trHeight w:val="290"/>
        </w:trPr>
        <w:tc>
          <w:tcPr>
            <w:tcW w:w="1300" w:type="dxa"/>
            <w:tcBorders>
              <w:top w:val="single" w:sz="4" w:space="0" w:color="auto"/>
              <w:left w:val="double" w:sz="6" w:space="0" w:color="auto"/>
              <w:bottom w:val="single" w:sz="4" w:space="0" w:color="auto"/>
              <w:right w:val="nil"/>
            </w:tcBorders>
            <w:shd w:val="clear" w:color="auto" w:fill="auto"/>
            <w:noWrap/>
            <w:vAlign w:val="center"/>
            <w:hideMark/>
          </w:tcPr>
          <w:p w14:paraId="6B62EA01"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Accrual Rate</w:t>
            </w:r>
          </w:p>
        </w:tc>
        <w:tc>
          <w:tcPr>
            <w:tcW w:w="960" w:type="dxa"/>
            <w:tcBorders>
              <w:top w:val="nil"/>
              <w:left w:val="single" w:sz="4" w:space="0" w:color="auto"/>
              <w:bottom w:val="single" w:sz="4" w:space="0" w:color="auto"/>
              <w:right w:val="nil"/>
            </w:tcBorders>
            <w:shd w:val="clear" w:color="auto" w:fill="auto"/>
            <w:noWrap/>
            <w:vAlign w:val="center"/>
            <w:hideMark/>
          </w:tcPr>
          <w:p w14:paraId="4CB819CE" w14:textId="0486BB8C" w:rsidR="00BD0A86" w:rsidRPr="00BB6AB9" w:rsidRDefault="00534BE1" w:rsidP="00BB6AB9">
            <w:pPr>
              <w:spacing w:after="0" w:line="240" w:lineRule="auto"/>
              <w:rPr>
                <w:rFonts w:ascii="Times New Roman" w:hAnsi="Times New Roman" w:cs="Times New Roman"/>
                <w:b/>
                <w:noProof/>
                <w:sz w:val="24"/>
              </w:rPr>
            </w:pPr>
            <w:r w:rsidRPr="00534BE1">
              <w:rPr>
                <w:rFonts w:ascii="Times New Roman" w:hAnsi="Times New Roman" w:cs="Times New Roman"/>
                <w:b/>
                <w:noProof/>
                <w:sz w:val="24"/>
              </w:rPr>
              <w:t>201</w:t>
            </w:r>
            <w:r>
              <w:rPr>
                <w:rFonts w:ascii="Times New Roman" w:hAnsi="Times New Roman" w:cs="Times New Roman"/>
                <w:b/>
                <w:noProof/>
                <w:sz w:val="24"/>
              </w:rPr>
              <w:t>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2CDF9" w14:textId="2F6BEC01" w:rsidR="00BD0A86" w:rsidRPr="00BB6AB9" w:rsidRDefault="00534BE1" w:rsidP="00BB6AB9">
            <w:pPr>
              <w:spacing w:after="0" w:line="240" w:lineRule="auto"/>
              <w:rPr>
                <w:rFonts w:ascii="Times New Roman" w:hAnsi="Times New Roman" w:cs="Times New Roman"/>
                <w:b/>
                <w:noProof/>
                <w:sz w:val="24"/>
              </w:rPr>
            </w:pPr>
            <w:r w:rsidRPr="00534BE1">
              <w:rPr>
                <w:rFonts w:ascii="Times New Roman" w:hAnsi="Times New Roman" w:cs="Times New Roman"/>
                <w:b/>
                <w:noProof/>
                <w:sz w:val="24"/>
              </w:rPr>
              <w:t>201</w:t>
            </w:r>
            <w:r>
              <w:rPr>
                <w:rFonts w:ascii="Times New Roman" w:hAnsi="Times New Roman" w:cs="Times New Roman"/>
                <w:b/>
                <w:noProof/>
                <w:sz w:val="24"/>
              </w:rPr>
              <w:t>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564B701" w14:textId="0ABF331E" w:rsidR="00BD0A86" w:rsidRPr="00BB6AB9" w:rsidRDefault="00BB6AB9"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201</w:t>
            </w:r>
            <w:r>
              <w:rPr>
                <w:rFonts w:ascii="Times New Roman" w:hAnsi="Times New Roman" w:cs="Times New Roman"/>
                <w:b/>
                <w:noProof/>
                <w:sz w:val="24"/>
              </w:rPr>
              <w:t>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3CD6A45" w14:textId="496B300D" w:rsidR="00BD0A86" w:rsidRPr="00BB6AB9" w:rsidRDefault="00BB6AB9"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201</w:t>
            </w:r>
            <w:r>
              <w:rPr>
                <w:rFonts w:ascii="Times New Roman" w:hAnsi="Times New Roman" w:cs="Times New Roman"/>
                <w:b/>
                <w:noProof/>
                <w:sz w:val="24"/>
              </w:rPr>
              <w:t>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A72A8CA" w14:textId="44FA93D4" w:rsidR="00BD0A86" w:rsidRPr="00BB6AB9" w:rsidRDefault="00BB6AB9"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201</w:t>
            </w:r>
            <w:r>
              <w:rPr>
                <w:rFonts w:ascii="Times New Roman" w:hAnsi="Times New Roman" w:cs="Times New Roman"/>
                <w:b/>
                <w:noProof/>
                <w:sz w:val="24"/>
              </w:rPr>
              <w:t>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BC23169" w14:textId="2F3E0BE3"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2</w:t>
            </w:r>
            <w:r w:rsidR="00BB6AB9" w:rsidRPr="00BB6AB9">
              <w:rPr>
                <w:rFonts w:ascii="Times New Roman" w:hAnsi="Times New Roman" w:cs="Times New Roman"/>
                <w:b/>
                <w:noProof/>
                <w:sz w:val="24"/>
              </w:rPr>
              <w:t>01</w:t>
            </w:r>
            <w:r w:rsidR="00BB6AB9">
              <w:rPr>
                <w:rFonts w:ascii="Times New Roman" w:hAnsi="Times New Roman" w:cs="Times New Roman"/>
                <w:b/>
                <w:noProof/>
                <w:sz w:val="24"/>
              </w:rPr>
              <w:t>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3EE75CA" w14:textId="08C94A61"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20</w:t>
            </w:r>
            <w:r w:rsidR="00BB6AB9">
              <w:rPr>
                <w:rFonts w:ascii="Times New Roman" w:hAnsi="Times New Roman" w:cs="Times New Roman"/>
                <w:b/>
                <w:noProof/>
                <w:sz w:val="24"/>
              </w:rPr>
              <w:t>19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29AEC2" w14:textId="69C6C991"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202</w:t>
            </w:r>
            <w:r w:rsidR="00BB6AB9">
              <w:rPr>
                <w:rFonts w:ascii="Times New Roman" w:hAnsi="Times New Roman" w:cs="Times New Roman"/>
                <w:b/>
                <w:noProof/>
                <w:sz w:val="24"/>
              </w:rPr>
              <w:t>0</w:t>
            </w:r>
          </w:p>
        </w:tc>
        <w:tc>
          <w:tcPr>
            <w:tcW w:w="960" w:type="dxa"/>
            <w:tcBorders>
              <w:top w:val="nil"/>
              <w:left w:val="nil"/>
              <w:bottom w:val="single" w:sz="4" w:space="0" w:color="auto"/>
              <w:right w:val="double" w:sz="6" w:space="0" w:color="auto"/>
            </w:tcBorders>
            <w:shd w:val="clear" w:color="auto" w:fill="auto"/>
            <w:noWrap/>
            <w:vAlign w:val="center"/>
            <w:hideMark/>
          </w:tcPr>
          <w:p w14:paraId="1022234B" w14:textId="3C8098B5"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202</w:t>
            </w:r>
            <w:r w:rsidR="00BB6AB9">
              <w:rPr>
                <w:rFonts w:ascii="Times New Roman" w:hAnsi="Times New Roman" w:cs="Times New Roman"/>
                <w:b/>
                <w:noProof/>
                <w:sz w:val="24"/>
              </w:rPr>
              <w:t>1</w:t>
            </w:r>
          </w:p>
        </w:tc>
      </w:tr>
      <w:tr w:rsidR="00BD0A86" w:rsidRPr="00BD0A86" w14:paraId="1A2688E9" w14:textId="77777777" w:rsidTr="00BD0A86">
        <w:trPr>
          <w:trHeight w:val="290"/>
        </w:trPr>
        <w:tc>
          <w:tcPr>
            <w:tcW w:w="1300" w:type="dxa"/>
            <w:tcBorders>
              <w:top w:val="nil"/>
              <w:left w:val="double" w:sz="6" w:space="0" w:color="auto"/>
              <w:bottom w:val="nil"/>
              <w:right w:val="nil"/>
            </w:tcBorders>
            <w:shd w:val="clear" w:color="auto" w:fill="auto"/>
            <w:noWrap/>
            <w:vAlign w:val="center"/>
            <w:hideMark/>
          </w:tcPr>
          <w:p w14:paraId="7CF9AC0C"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1,8%</w:t>
            </w:r>
          </w:p>
        </w:tc>
        <w:tc>
          <w:tcPr>
            <w:tcW w:w="960" w:type="dxa"/>
            <w:tcBorders>
              <w:top w:val="nil"/>
              <w:left w:val="single" w:sz="4" w:space="0" w:color="auto"/>
              <w:bottom w:val="nil"/>
              <w:right w:val="nil"/>
            </w:tcBorders>
            <w:shd w:val="clear" w:color="auto" w:fill="auto"/>
            <w:noWrap/>
            <w:vAlign w:val="center"/>
            <w:hideMark/>
          </w:tcPr>
          <w:p w14:paraId="114A41D2"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0</w:t>
            </w:r>
          </w:p>
        </w:tc>
        <w:tc>
          <w:tcPr>
            <w:tcW w:w="960" w:type="dxa"/>
            <w:tcBorders>
              <w:top w:val="nil"/>
              <w:left w:val="single" w:sz="4" w:space="0" w:color="auto"/>
              <w:bottom w:val="nil"/>
              <w:right w:val="single" w:sz="4" w:space="0" w:color="auto"/>
            </w:tcBorders>
            <w:shd w:val="clear" w:color="auto" w:fill="auto"/>
            <w:noWrap/>
            <w:vAlign w:val="center"/>
            <w:hideMark/>
          </w:tcPr>
          <w:p w14:paraId="68CBD9B2"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6.438</w:t>
            </w:r>
          </w:p>
        </w:tc>
        <w:tc>
          <w:tcPr>
            <w:tcW w:w="960" w:type="dxa"/>
            <w:tcBorders>
              <w:top w:val="nil"/>
              <w:left w:val="nil"/>
              <w:bottom w:val="nil"/>
              <w:right w:val="single" w:sz="4" w:space="0" w:color="auto"/>
            </w:tcBorders>
            <w:shd w:val="clear" w:color="auto" w:fill="auto"/>
            <w:noWrap/>
            <w:vAlign w:val="center"/>
            <w:hideMark/>
          </w:tcPr>
          <w:p w14:paraId="6F6B7BA5"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11.280</w:t>
            </w:r>
          </w:p>
        </w:tc>
        <w:tc>
          <w:tcPr>
            <w:tcW w:w="960" w:type="dxa"/>
            <w:tcBorders>
              <w:top w:val="nil"/>
              <w:left w:val="nil"/>
              <w:bottom w:val="nil"/>
              <w:right w:val="single" w:sz="4" w:space="0" w:color="auto"/>
            </w:tcBorders>
            <w:shd w:val="clear" w:color="auto" w:fill="auto"/>
            <w:noWrap/>
            <w:vAlign w:val="center"/>
            <w:hideMark/>
          </w:tcPr>
          <w:p w14:paraId="09735E0F"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14.972</w:t>
            </w:r>
          </w:p>
        </w:tc>
        <w:tc>
          <w:tcPr>
            <w:tcW w:w="960" w:type="dxa"/>
            <w:tcBorders>
              <w:top w:val="nil"/>
              <w:left w:val="nil"/>
              <w:bottom w:val="nil"/>
              <w:right w:val="single" w:sz="4" w:space="0" w:color="auto"/>
            </w:tcBorders>
            <w:shd w:val="clear" w:color="auto" w:fill="auto"/>
            <w:noWrap/>
            <w:vAlign w:val="center"/>
            <w:hideMark/>
          </w:tcPr>
          <w:p w14:paraId="29EC1554"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18.250</w:t>
            </w:r>
          </w:p>
        </w:tc>
        <w:tc>
          <w:tcPr>
            <w:tcW w:w="960" w:type="dxa"/>
            <w:tcBorders>
              <w:top w:val="nil"/>
              <w:left w:val="nil"/>
              <w:bottom w:val="nil"/>
              <w:right w:val="single" w:sz="4" w:space="0" w:color="auto"/>
            </w:tcBorders>
            <w:shd w:val="clear" w:color="auto" w:fill="auto"/>
            <w:noWrap/>
            <w:vAlign w:val="center"/>
            <w:hideMark/>
          </w:tcPr>
          <w:p w14:paraId="60FB13FA"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21.618</w:t>
            </w:r>
          </w:p>
        </w:tc>
        <w:tc>
          <w:tcPr>
            <w:tcW w:w="960" w:type="dxa"/>
            <w:tcBorders>
              <w:top w:val="nil"/>
              <w:left w:val="nil"/>
              <w:bottom w:val="nil"/>
              <w:right w:val="single" w:sz="4" w:space="0" w:color="auto"/>
            </w:tcBorders>
            <w:shd w:val="clear" w:color="auto" w:fill="auto"/>
            <w:noWrap/>
            <w:vAlign w:val="center"/>
            <w:hideMark/>
          </w:tcPr>
          <w:p w14:paraId="1B3A3D35"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25.280</w:t>
            </w:r>
          </w:p>
        </w:tc>
        <w:tc>
          <w:tcPr>
            <w:tcW w:w="960" w:type="dxa"/>
            <w:tcBorders>
              <w:top w:val="nil"/>
              <w:left w:val="nil"/>
              <w:bottom w:val="nil"/>
              <w:right w:val="single" w:sz="4" w:space="0" w:color="auto"/>
            </w:tcBorders>
            <w:shd w:val="clear" w:color="auto" w:fill="auto"/>
            <w:noWrap/>
            <w:vAlign w:val="center"/>
            <w:hideMark/>
          </w:tcPr>
          <w:p w14:paraId="244AD680"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27.815</w:t>
            </w:r>
          </w:p>
        </w:tc>
        <w:tc>
          <w:tcPr>
            <w:tcW w:w="960" w:type="dxa"/>
            <w:tcBorders>
              <w:top w:val="nil"/>
              <w:left w:val="nil"/>
              <w:bottom w:val="nil"/>
              <w:right w:val="double" w:sz="6" w:space="0" w:color="auto"/>
            </w:tcBorders>
            <w:shd w:val="clear" w:color="auto" w:fill="auto"/>
            <w:noWrap/>
            <w:vAlign w:val="center"/>
            <w:hideMark/>
          </w:tcPr>
          <w:p w14:paraId="6613A179"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31.671</w:t>
            </w:r>
          </w:p>
        </w:tc>
      </w:tr>
      <w:tr w:rsidR="00BD0A86" w:rsidRPr="00BD0A86" w14:paraId="37B7CEDD" w14:textId="77777777" w:rsidTr="00BD0A86">
        <w:trPr>
          <w:trHeight w:val="290"/>
        </w:trPr>
        <w:tc>
          <w:tcPr>
            <w:tcW w:w="1300" w:type="dxa"/>
            <w:tcBorders>
              <w:top w:val="nil"/>
              <w:left w:val="double" w:sz="6" w:space="0" w:color="auto"/>
              <w:bottom w:val="nil"/>
              <w:right w:val="nil"/>
            </w:tcBorders>
            <w:shd w:val="clear" w:color="auto" w:fill="auto"/>
            <w:noWrap/>
            <w:vAlign w:val="center"/>
            <w:hideMark/>
          </w:tcPr>
          <w:p w14:paraId="535EFFFA"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1,9%</w:t>
            </w:r>
          </w:p>
        </w:tc>
        <w:tc>
          <w:tcPr>
            <w:tcW w:w="960" w:type="dxa"/>
            <w:tcBorders>
              <w:top w:val="nil"/>
              <w:left w:val="single" w:sz="4" w:space="0" w:color="auto"/>
              <w:bottom w:val="nil"/>
              <w:right w:val="nil"/>
            </w:tcBorders>
            <w:shd w:val="clear" w:color="auto" w:fill="auto"/>
            <w:noWrap/>
            <w:vAlign w:val="center"/>
            <w:hideMark/>
          </w:tcPr>
          <w:p w14:paraId="7E8EEF89"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36.985</w:t>
            </w:r>
          </w:p>
        </w:tc>
        <w:tc>
          <w:tcPr>
            <w:tcW w:w="960" w:type="dxa"/>
            <w:tcBorders>
              <w:top w:val="nil"/>
              <w:left w:val="single" w:sz="4" w:space="0" w:color="auto"/>
              <w:bottom w:val="nil"/>
              <w:right w:val="single" w:sz="4" w:space="0" w:color="auto"/>
            </w:tcBorders>
            <w:shd w:val="clear" w:color="auto" w:fill="auto"/>
            <w:noWrap/>
            <w:vAlign w:val="center"/>
            <w:hideMark/>
          </w:tcPr>
          <w:p w14:paraId="4C88532E"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32.226</w:t>
            </w:r>
          </w:p>
        </w:tc>
        <w:tc>
          <w:tcPr>
            <w:tcW w:w="960" w:type="dxa"/>
            <w:tcBorders>
              <w:top w:val="nil"/>
              <w:left w:val="nil"/>
              <w:bottom w:val="nil"/>
              <w:right w:val="single" w:sz="4" w:space="0" w:color="auto"/>
            </w:tcBorders>
            <w:shd w:val="clear" w:color="auto" w:fill="auto"/>
            <w:noWrap/>
            <w:vAlign w:val="center"/>
            <w:hideMark/>
          </w:tcPr>
          <w:p w14:paraId="24EBE1A8"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29.827</w:t>
            </w:r>
          </w:p>
        </w:tc>
        <w:tc>
          <w:tcPr>
            <w:tcW w:w="960" w:type="dxa"/>
            <w:tcBorders>
              <w:top w:val="nil"/>
              <w:left w:val="nil"/>
              <w:bottom w:val="nil"/>
              <w:right w:val="single" w:sz="4" w:space="0" w:color="auto"/>
            </w:tcBorders>
            <w:shd w:val="clear" w:color="auto" w:fill="auto"/>
            <w:noWrap/>
            <w:vAlign w:val="center"/>
            <w:hideMark/>
          </w:tcPr>
          <w:p w14:paraId="083CAAA0"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27.978</w:t>
            </w:r>
          </w:p>
        </w:tc>
        <w:tc>
          <w:tcPr>
            <w:tcW w:w="960" w:type="dxa"/>
            <w:tcBorders>
              <w:top w:val="nil"/>
              <w:left w:val="nil"/>
              <w:bottom w:val="nil"/>
              <w:right w:val="single" w:sz="4" w:space="0" w:color="auto"/>
            </w:tcBorders>
            <w:shd w:val="clear" w:color="auto" w:fill="auto"/>
            <w:noWrap/>
            <w:vAlign w:val="center"/>
            <w:hideMark/>
          </w:tcPr>
          <w:p w14:paraId="1A6A5F45"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25.998</w:t>
            </w:r>
          </w:p>
        </w:tc>
        <w:tc>
          <w:tcPr>
            <w:tcW w:w="960" w:type="dxa"/>
            <w:tcBorders>
              <w:top w:val="nil"/>
              <w:left w:val="nil"/>
              <w:bottom w:val="nil"/>
              <w:right w:val="single" w:sz="4" w:space="0" w:color="auto"/>
            </w:tcBorders>
            <w:shd w:val="clear" w:color="auto" w:fill="auto"/>
            <w:noWrap/>
            <w:vAlign w:val="center"/>
            <w:hideMark/>
          </w:tcPr>
          <w:p w14:paraId="7DD594CF"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24.896</w:t>
            </w:r>
          </w:p>
        </w:tc>
        <w:tc>
          <w:tcPr>
            <w:tcW w:w="960" w:type="dxa"/>
            <w:tcBorders>
              <w:top w:val="nil"/>
              <w:left w:val="nil"/>
              <w:bottom w:val="nil"/>
              <w:right w:val="single" w:sz="4" w:space="0" w:color="auto"/>
            </w:tcBorders>
            <w:shd w:val="clear" w:color="auto" w:fill="auto"/>
            <w:noWrap/>
            <w:vAlign w:val="center"/>
            <w:hideMark/>
          </w:tcPr>
          <w:p w14:paraId="05BAB2A1"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23.217</w:t>
            </w:r>
          </w:p>
        </w:tc>
        <w:tc>
          <w:tcPr>
            <w:tcW w:w="960" w:type="dxa"/>
            <w:tcBorders>
              <w:top w:val="nil"/>
              <w:left w:val="nil"/>
              <w:bottom w:val="nil"/>
              <w:right w:val="single" w:sz="4" w:space="0" w:color="auto"/>
            </w:tcBorders>
            <w:shd w:val="clear" w:color="auto" w:fill="auto"/>
            <w:noWrap/>
            <w:vAlign w:val="center"/>
            <w:hideMark/>
          </w:tcPr>
          <w:p w14:paraId="66636D7A"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22.576</w:t>
            </w:r>
          </w:p>
        </w:tc>
        <w:tc>
          <w:tcPr>
            <w:tcW w:w="960" w:type="dxa"/>
            <w:tcBorders>
              <w:top w:val="nil"/>
              <w:left w:val="nil"/>
              <w:bottom w:val="nil"/>
              <w:right w:val="double" w:sz="6" w:space="0" w:color="auto"/>
            </w:tcBorders>
            <w:shd w:val="clear" w:color="auto" w:fill="auto"/>
            <w:noWrap/>
            <w:vAlign w:val="center"/>
            <w:hideMark/>
          </w:tcPr>
          <w:p w14:paraId="0F6BDADB"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21.653</w:t>
            </w:r>
          </w:p>
        </w:tc>
      </w:tr>
      <w:tr w:rsidR="00BD0A86" w:rsidRPr="00BD0A86" w14:paraId="032BA596" w14:textId="77777777" w:rsidTr="00BD0A86">
        <w:trPr>
          <w:trHeight w:val="290"/>
        </w:trPr>
        <w:tc>
          <w:tcPr>
            <w:tcW w:w="1300" w:type="dxa"/>
            <w:tcBorders>
              <w:top w:val="nil"/>
              <w:left w:val="double" w:sz="6" w:space="0" w:color="auto"/>
              <w:bottom w:val="nil"/>
              <w:right w:val="nil"/>
            </w:tcBorders>
            <w:shd w:val="clear" w:color="auto" w:fill="auto"/>
            <w:noWrap/>
            <w:vAlign w:val="center"/>
            <w:hideMark/>
          </w:tcPr>
          <w:p w14:paraId="2187BCD1"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2,0%</w:t>
            </w:r>
          </w:p>
        </w:tc>
        <w:tc>
          <w:tcPr>
            <w:tcW w:w="960" w:type="dxa"/>
            <w:tcBorders>
              <w:top w:val="nil"/>
              <w:left w:val="single" w:sz="4" w:space="0" w:color="auto"/>
              <w:bottom w:val="nil"/>
              <w:right w:val="nil"/>
            </w:tcBorders>
            <w:shd w:val="clear" w:color="auto" w:fill="auto"/>
            <w:noWrap/>
            <w:vAlign w:val="center"/>
            <w:hideMark/>
          </w:tcPr>
          <w:p w14:paraId="6F63712B"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20.989</w:t>
            </w:r>
          </w:p>
        </w:tc>
        <w:tc>
          <w:tcPr>
            <w:tcW w:w="960" w:type="dxa"/>
            <w:tcBorders>
              <w:top w:val="nil"/>
              <w:left w:val="single" w:sz="4" w:space="0" w:color="auto"/>
              <w:bottom w:val="nil"/>
              <w:right w:val="single" w:sz="4" w:space="0" w:color="auto"/>
            </w:tcBorders>
            <w:shd w:val="clear" w:color="auto" w:fill="auto"/>
            <w:noWrap/>
            <w:vAlign w:val="center"/>
            <w:hideMark/>
          </w:tcPr>
          <w:p w14:paraId="54F97741"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19.903</w:t>
            </w:r>
          </w:p>
        </w:tc>
        <w:tc>
          <w:tcPr>
            <w:tcW w:w="960" w:type="dxa"/>
            <w:tcBorders>
              <w:top w:val="nil"/>
              <w:left w:val="nil"/>
              <w:bottom w:val="nil"/>
              <w:right w:val="single" w:sz="4" w:space="0" w:color="auto"/>
            </w:tcBorders>
            <w:shd w:val="clear" w:color="auto" w:fill="auto"/>
            <w:noWrap/>
            <w:vAlign w:val="center"/>
            <w:hideMark/>
          </w:tcPr>
          <w:p w14:paraId="0160E38A"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18.928</w:t>
            </w:r>
          </w:p>
        </w:tc>
        <w:tc>
          <w:tcPr>
            <w:tcW w:w="960" w:type="dxa"/>
            <w:tcBorders>
              <w:top w:val="nil"/>
              <w:left w:val="nil"/>
              <w:bottom w:val="nil"/>
              <w:right w:val="single" w:sz="4" w:space="0" w:color="auto"/>
            </w:tcBorders>
            <w:shd w:val="clear" w:color="auto" w:fill="auto"/>
            <w:noWrap/>
            <w:vAlign w:val="center"/>
            <w:hideMark/>
          </w:tcPr>
          <w:p w14:paraId="7D05E053"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17.978</w:t>
            </w:r>
          </w:p>
        </w:tc>
        <w:tc>
          <w:tcPr>
            <w:tcW w:w="960" w:type="dxa"/>
            <w:tcBorders>
              <w:top w:val="nil"/>
              <w:left w:val="nil"/>
              <w:bottom w:val="nil"/>
              <w:right w:val="single" w:sz="4" w:space="0" w:color="auto"/>
            </w:tcBorders>
            <w:shd w:val="clear" w:color="auto" w:fill="auto"/>
            <w:noWrap/>
            <w:vAlign w:val="center"/>
            <w:hideMark/>
          </w:tcPr>
          <w:p w14:paraId="657BBD06"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17.037</w:t>
            </w:r>
          </w:p>
        </w:tc>
        <w:tc>
          <w:tcPr>
            <w:tcW w:w="960" w:type="dxa"/>
            <w:tcBorders>
              <w:top w:val="nil"/>
              <w:left w:val="nil"/>
              <w:bottom w:val="nil"/>
              <w:right w:val="single" w:sz="4" w:space="0" w:color="auto"/>
            </w:tcBorders>
            <w:shd w:val="clear" w:color="auto" w:fill="auto"/>
            <w:noWrap/>
            <w:vAlign w:val="center"/>
            <w:hideMark/>
          </w:tcPr>
          <w:p w14:paraId="570F71B6"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16.115</w:t>
            </w:r>
          </w:p>
        </w:tc>
        <w:tc>
          <w:tcPr>
            <w:tcW w:w="960" w:type="dxa"/>
            <w:tcBorders>
              <w:top w:val="nil"/>
              <w:left w:val="nil"/>
              <w:bottom w:val="nil"/>
              <w:right w:val="single" w:sz="4" w:space="0" w:color="auto"/>
            </w:tcBorders>
            <w:shd w:val="clear" w:color="auto" w:fill="auto"/>
            <w:noWrap/>
            <w:vAlign w:val="center"/>
            <w:hideMark/>
          </w:tcPr>
          <w:p w14:paraId="068A277E"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14.974</w:t>
            </w:r>
          </w:p>
        </w:tc>
        <w:tc>
          <w:tcPr>
            <w:tcW w:w="960" w:type="dxa"/>
            <w:tcBorders>
              <w:top w:val="nil"/>
              <w:left w:val="nil"/>
              <w:bottom w:val="nil"/>
              <w:right w:val="single" w:sz="4" w:space="0" w:color="auto"/>
            </w:tcBorders>
            <w:shd w:val="clear" w:color="auto" w:fill="auto"/>
            <w:noWrap/>
            <w:vAlign w:val="center"/>
            <w:hideMark/>
          </w:tcPr>
          <w:p w14:paraId="7D19AE1D"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13.969</w:t>
            </w:r>
          </w:p>
        </w:tc>
        <w:tc>
          <w:tcPr>
            <w:tcW w:w="960" w:type="dxa"/>
            <w:tcBorders>
              <w:top w:val="nil"/>
              <w:left w:val="nil"/>
              <w:bottom w:val="nil"/>
              <w:right w:val="double" w:sz="6" w:space="0" w:color="auto"/>
            </w:tcBorders>
            <w:shd w:val="clear" w:color="auto" w:fill="auto"/>
            <w:noWrap/>
            <w:vAlign w:val="center"/>
            <w:hideMark/>
          </w:tcPr>
          <w:p w14:paraId="5D398838" w14:textId="77777777" w:rsidR="00BD0A86" w:rsidRPr="00BB6AB9" w:rsidRDefault="00BD0A86" w:rsidP="00BB6AB9">
            <w:pPr>
              <w:spacing w:after="0" w:line="240" w:lineRule="auto"/>
              <w:rPr>
                <w:rFonts w:ascii="Times New Roman" w:hAnsi="Times New Roman" w:cs="Times New Roman"/>
                <w:noProof/>
                <w:sz w:val="24"/>
              </w:rPr>
            </w:pPr>
            <w:r w:rsidRPr="00BB6AB9">
              <w:rPr>
                <w:rFonts w:ascii="Times New Roman" w:hAnsi="Times New Roman" w:cs="Times New Roman"/>
                <w:noProof/>
                <w:sz w:val="24"/>
              </w:rPr>
              <w:t>12.796</w:t>
            </w:r>
          </w:p>
        </w:tc>
      </w:tr>
      <w:tr w:rsidR="00BD0A86" w:rsidRPr="00BD0A86" w14:paraId="28C7DDF6" w14:textId="77777777" w:rsidTr="00BD0A86">
        <w:trPr>
          <w:trHeight w:val="300"/>
        </w:trPr>
        <w:tc>
          <w:tcPr>
            <w:tcW w:w="1300" w:type="dxa"/>
            <w:tcBorders>
              <w:top w:val="single" w:sz="4" w:space="0" w:color="auto"/>
              <w:left w:val="double" w:sz="6" w:space="0" w:color="auto"/>
              <w:bottom w:val="double" w:sz="6" w:space="0" w:color="auto"/>
              <w:right w:val="nil"/>
            </w:tcBorders>
            <w:shd w:val="clear" w:color="auto" w:fill="auto"/>
            <w:noWrap/>
            <w:vAlign w:val="center"/>
            <w:hideMark/>
          </w:tcPr>
          <w:p w14:paraId="3C7C2BC8"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Totals</w:t>
            </w:r>
          </w:p>
        </w:tc>
        <w:tc>
          <w:tcPr>
            <w:tcW w:w="960" w:type="dxa"/>
            <w:tcBorders>
              <w:top w:val="single" w:sz="4" w:space="0" w:color="auto"/>
              <w:left w:val="single" w:sz="4" w:space="0" w:color="auto"/>
              <w:bottom w:val="double" w:sz="6" w:space="0" w:color="auto"/>
              <w:right w:val="nil"/>
            </w:tcBorders>
            <w:shd w:val="clear" w:color="auto" w:fill="auto"/>
            <w:noWrap/>
            <w:vAlign w:val="center"/>
            <w:hideMark/>
          </w:tcPr>
          <w:p w14:paraId="02A86BA8"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57.974</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236C7E7"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58.567</w:t>
            </w:r>
          </w:p>
        </w:tc>
        <w:tc>
          <w:tcPr>
            <w:tcW w:w="960" w:type="dxa"/>
            <w:tcBorders>
              <w:top w:val="single" w:sz="4" w:space="0" w:color="auto"/>
              <w:left w:val="nil"/>
              <w:bottom w:val="double" w:sz="6" w:space="0" w:color="auto"/>
              <w:right w:val="single" w:sz="4" w:space="0" w:color="auto"/>
            </w:tcBorders>
            <w:shd w:val="clear" w:color="auto" w:fill="auto"/>
            <w:noWrap/>
            <w:vAlign w:val="center"/>
            <w:hideMark/>
          </w:tcPr>
          <w:p w14:paraId="5A9FA16A"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60.034</w:t>
            </w:r>
          </w:p>
        </w:tc>
        <w:tc>
          <w:tcPr>
            <w:tcW w:w="960" w:type="dxa"/>
            <w:tcBorders>
              <w:top w:val="single" w:sz="4" w:space="0" w:color="auto"/>
              <w:left w:val="nil"/>
              <w:bottom w:val="double" w:sz="6" w:space="0" w:color="auto"/>
              <w:right w:val="single" w:sz="4" w:space="0" w:color="auto"/>
            </w:tcBorders>
            <w:shd w:val="clear" w:color="auto" w:fill="auto"/>
            <w:noWrap/>
            <w:vAlign w:val="center"/>
            <w:hideMark/>
          </w:tcPr>
          <w:p w14:paraId="39004EB4"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60.928</w:t>
            </w:r>
          </w:p>
        </w:tc>
        <w:tc>
          <w:tcPr>
            <w:tcW w:w="960" w:type="dxa"/>
            <w:tcBorders>
              <w:top w:val="single" w:sz="4" w:space="0" w:color="auto"/>
              <w:left w:val="nil"/>
              <w:bottom w:val="double" w:sz="6" w:space="0" w:color="auto"/>
              <w:right w:val="single" w:sz="4" w:space="0" w:color="auto"/>
            </w:tcBorders>
            <w:shd w:val="clear" w:color="auto" w:fill="auto"/>
            <w:noWrap/>
            <w:vAlign w:val="center"/>
            <w:hideMark/>
          </w:tcPr>
          <w:p w14:paraId="5BD81825"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61.285</w:t>
            </w:r>
          </w:p>
        </w:tc>
        <w:tc>
          <w:tcPr>
            <w:tcW w:w="960" w:type="dxa"/>
            <w:tcBorders>
              <w:top w:val="single" w:sz="4" w:space="0" w:color="auto"/>
              <w:left w:val="nil"/>
              <w:bottom w:val="double" w:sz="6" w:space="0" w:color="auto"/>
              <w:right w:val="single" w:sz="4" w:space="0" w:color="auto"/>
            </w:tcBorders>
            <w:shd w:val="clear" w:color="auto" w:fill="auto"/>
            <w:noWrap/>
            <w:vAlign w:val="center"/>
            <w:hideMark/>
          </w:tcPr>
          <w:p w14:paraId="0C232B98"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62.629</w:t>
            </w:r>
          </w:p>
        </w:tc>
        <w:tc>
          <w:tcPr>
            <w:tcW w:w="960" w:type="dxa"/>
            <w:tcBorders>
              <w:top w:val="single" w:sz="4" w:space="0" w:color="auto"/>
              <w:left w:val="nil"/>
              <w:bottom w:val="double" w:sz="6" w:space="0" w:color="auto"/>
              <w:right w:val="single" w:sz="4" w:space="0" w:color="auto"/>
            </w:tcBorders>
            <w:shd w:val="clear" w:color="auto" w:fill="auto"/>
            <w:noWrap/>
            <w:vAlign w:val="center"/>
            <w:hideMark/>
          </w:tcPr>
          <w:p w14:paraId="3C4C2C21"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63.471</w:t>
            </w:r>
          </w:p>
        </w:tc>
        <w:tc>
          <w:tcPr>
            <w:tcW w:w="960" w:type="dxa"/>
            <w:tcBorders>
              <w:top w:val="single" w:sz="4" w:space="0" w:color="auto"/>
              <w:left w:val="nil"/>
              <w:bottom w:val="double" w:sz="6" w:space="0" w:color="auto"/>
              <w:right w:val="single" w:sz="4" w:space="0" w:color="auto"/>
            </w:tcBorders>
            <w:shd w:val="clear" w:color="auto" w:fill="auto"/>
            <w:noWrap/>
            <w:vAlign w:val="center"/>
            <w:hideMark/>
          </w:tcPr>
          <w:p w14:paraId="5145B385"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64.360</w:t>
            </w:r>
          </w:p>
        </w:tc>
        <w:tc>
          <w:tcPr>
            <w:tcW w:w="960" w:type="dxa"/>
            <w:tcBorders>
              <w:top w:val="single" w:sz="4" w:space="0" w:color="auto"/>
              <w:left w:val="nil"/>
              <w:bottom w:val="double" w:sz="6" w:space="0" w:color="auto"/>
              <w:right w:val="double" w:sz="6" w:space="0" w:color="auto"/>
            </w:tcBorders>
            <w:shd w:val="clear" w:color="auto" w:fill="auto"/>
            <w:noWrap/>
            <w:vAlign w:val="center"/>
            <w:hideMark/>
          </w:tcPr>
          <w:p w14:paraId="7A04E4BB" w14:textId="77777777" w:rsidR="00BD0A86" w:rsidRPr="00BB6AB9" w:rsidRDefault="00BD0A86" w:rsidP="00BB6AB9">
            <w:pPr>
              <w:spacing w:after="0" w:line="240" w:lineRule="auto"/>
              <w:rPr>
                <w:rFonts w:ascii="Times New Roman" w:hAnsi="Times New Roman" w:cs="Times New Roman"/>
                <w:b/>
                <w:noProof/>
                <w:sz w:val="24"/>
              </w:rPr>
            </w:pPr>
            <w:r w:rsidRPr="00BB6AB9">
              <w:rPr>
                <w:rFonts w:ascii="Times New Roman" w:hAnsi="Times New Roman" w:cs="Times New Roman"/>
                <w:b/>
                <w:noProof/>
                <w:sz w:val="24"/>
              </w:rPr>
              <w:t>66.120</w:t>
            </w:r>
          </w:p>
        </w:tc>
      </w:tr>
    </w:tbl>
    <w:p w14:paraId="0925BCFC" w14:textId="77777777" w:rsidR="00BD0A86" w:rsidRDefault="00BD0A86" w:rsidP="000929DD">
      <w:pPr>
        <w:rPr>
          <w:rFonts w:ascii="Times New Roman" w:hAnsi="Times New Roman" w:cs="Times New Roman"/>
          <w:noProof/>
          <w:sz w:val="24"/>
        </w:rPr>
      </w:pPr>
    </w:p>
    <w:p w14:paraId="199EC5DD" w14:textId="4F26D2E0" w:rsidR="00A84208" w:rsidRDefault="00C00E71" w:rsidP="001A515A">
      <w:pPr>
        <w:jc w:val="center"/>
        <w:rPr>
          <w:rFonts w:ascii="Times New Roman" w:hAnsi="Times New Roman" w:cs="Times New Roman"/>
          <w:noProof/>
          <w:sz w:val="24"/>
        </w:rPr>
      </w:pPr>
      <w:r>
        <w:rPr>
          <w:noProof/>
          <w:lang w:val="en-GB" w:eastAsia="en-GB"/>
        </w:rPr>
        <w:drawing>
          <wp:inline distT="0" distB="0" distL="0" distR="0" wp14:anchorId="1F74C181" wp14:editId="64B6387D">
            <wp:extent cx="4572000" cy="27336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4BC281" w14:textId="77777777" w:rsidR="00D23F9C" w:rsidRDefault="00D23F9C" w:rsidP="000929DD">
      <w:pPr>
        <w:rPr>
          <w:rFonts w:ascii="Times New Roman" w:hAnsi="Times New Roman" w:cs="Times New Roman"/>
          <w:noProof/>
          <w:sz w:val="24"/>
        </w:rPr>
      </w:pPr>
    </w:p>
    <w:p w14:paraId="7B197B69" w14:textId="5BD15236" w:rsidR="000929DD" w:rsidRDefault="000929DD" w:rsidP="000929DD">
      <w:pPr>
        <w:rPr>
          <w:rFonts w:ascii="Times New Roman" w:hAnsi="Times New Roman" w:cs="Times New Roman"/>
          <w:noProof/>
          <w:sz w:val="24"/>
        </w:rPr>
      </w:pPr>
      <w:r>
        <w:rPr>
          <w:rFonts w:ascii="Times New Roman" w:hAnsi="Times New Roman" w:cs="Times New Roman"/>
          <w:noProof/>
          <w:sz w:val="24"/>
        </w:rPr>
        <w:t>Annex 8: Number of pensionable years performed by various cohorts of active staff</w:t>
      </w:r>
    </w:p>
    <w:tbl>
      <w:tblPr>
        <w:tblStyle w:val="TableGrid"/>
        <w:tblW w:w="9464" w:type="dxa"/>
        <w:tblLook w:val="04A0" w:firstRow="1" w:lastRow="0" w:firstColumn="1" w:lastColumn="0" w:noHBand="0" w:noVBand="1"/>
      </w:tblPr>
      <w:tblGrid>
        <w:gridCol w:w="1162"/>
        <w:gridCol w:w="996"/>
        <w:gridCol w:w="996"/>
        <w:gridCol w:w="996"/>
        <w:gridCol w:w="996"/>
        <w:gridCol w:w="996"/>
        <w:gridCol w:w="996"/>
        <w:gridCol w:w="996"/>
        <w:gridCol w:w="996"/>
        <w:gridCol w:w="1120"/>
      </w:tblGrid>
      <w:tr w:rsidR="000929DD" w:rsidRPr="0013423F" w14:paraId="069F4A3E" w14:textId="77777777" w:rsidTr="00BE6857">
        <w:trPr>
          <w:trHeight w:val="300"/>
        </w:trPr>
        <w:tc>
          <w:tcPr>
            <w:tcW w:w="1162" w:type="dxa"/>
            <w:shd w:val="clear" w:color="auto" w:fill="E2EFD9" w:themeFill="accent6" w:themeFillTint="33"/>
            <w:noWrap/>
            <w:hideMark/>
          </w:tcPr>
          <w:p w14:paraId="1BA059F7"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Accrual Rate</w:t>
            </w:r>
          </w:p>
        </w:tc>
        <w:tc>
          <w:tcPr>
            <w:tcW w:w="897" w:type="dxa"/>
            <w:shd w:val="clear" w:color="auto" w:fill="E2EFD9" w:themeFill="accent6" w:themeFillTint="33"/>
            <w:noWrap/>
            <w:hideMark/>
          </w:tcPr>
          <w:p w14:paraId="71A82514"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2014</w:t>
            </w:r>
          </w:p>
        </w:tc>
        <w:tc>
          <w:tcPr>
            <w:tcW w:w="897" w:type="dxa"/>
            <w:shd w:val="clear" w:color="auto" w:fill="E2EFD9" w:themeFill="accent6" w:themeFillTint="33"/>
            <w:hideMark/>
          </w:tcPr>
          <w:p w14:paraId="5AA373FD"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2015</w:t>
            </w:r>
          </w:p>
        </w:tc>
        <w:tc>
          <w:tcPr>
            <w:tcW w:w="898" w:type="dxa"/>
            <w:shd w:val="clear" w:color="auto" w:fill="E2EFD9" w:themeFill="accent6" w:themeFillTint="33"/>
            <w:hideMark/>
          </w:tcPr>
          <w:p w14:paraId="4BA59756"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2016</w:t>
            </w:r>
          </w:p>
        </w:tc>
        <w:tc>
          <w:tcPr>
            <w:tcW w:w="898" w:type="dxa"/>
            <w:shd w:val="clear" w:color="auto" w:fill="E2EFD9" w:themeFill="accent6" w:themeFillTint="33"/>
            <w:hideMark/>
          </w:tcPr>
          <w:p w14:paraId="2AABA3B2"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2017</w:t>
            </w:r>
          </w:p>
        </w:tc>
        <w:tc>
          <w:tcPr>
            <w:tcW w:w="898" w:type="dxa"/>
            <w:shd w:val="clear" w:color="auto" w:fill="E2EFD9" w:themeFill="accent6" w:themeFillTint="33"/>
            <w:hideMark/>
          </w:tcPr>
          <w:p w14:paraId="15B3BB42"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2018</w:t>
            </w:r>
          </w:p>
        </w:tc>
        <w:tc>
          <w:tcPr>
            <w:tcW w:w="898" w:type="dxa"/>
            <w:shd w:val="clear" w:color="auto" w:fill="E2EFD9" w:themeFill="accent6" w:themeFillTint="33"/>
            <w:hideMark/>
          </w:tcPr>
          <w:p w14:paraId="2B23936B"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2019</w:t>
            </w:r>
          </w:p>
        </w:tc>
        <w:tc>
          <w:tcPr>
            <w:tcW w:w="898" w:type="dxa"/>
            <w:shd w:val="clear" w:color="auto" w:fill="E2EFD9" w:themeFill="accent6" w:themeFillTint="33"/>
            <w:hideMark/>
          </w:tcPr>
          <w:p w14:paraId="0EDB2B71"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2020</w:t>
            </w:r>
          </w:p>
        </w:tc>
        <w:tc>
          <w:tcPr>
            <w:tcW w:w="898" w:type="dxa"/>
            <w:shd w:val="clear" w:color="auto" w:fill="E2EFD9" w:themeFill="accent6" w:themeFillTint="33"/>
            <w:hideMark/>
          </w:tcPr>
          <w:p w14:paraId="091E510A"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2021</w:t>
            </w:r>
          </w:p>
        </w:tc>
        <w:tc>
          <w:tcPr>
            <w:tcW w:w="1120" w:type="dxa"/>
            <w:shd w:val="clear" w:color="auto" w:fill="E2EFD9" w:themeFill="accent6" w:themeFillTint="33"/>
            <w:hideMark/>
          </w:tcPr>
          <w:p w14:paraId="6B17AEF1"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2022</w:t>
            </w:r>
          </w:p>
        </w:tc>
      </w:tr>
      <w:tr w:rsidR="000929DD" w:rsidRPr="0013423F" w14:paraId="62C6F9D2" w14:textId="77777777" w:rsidTr="00BE6857">
        <w:trPr>
          <w:trHeight w:val="290"/>
        </w:trPr>
        <w:tc>
          <w:tcPr>
            <w:tcW w:w="1162" w:type="dxa"/>
            <w:noWrap/>
            <w:hideMark/>
          </w:tcPr>
          <w:p w14:paraId="27EFD536"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1,8%</w:t>
            </w:r>
          </w:p>
        </w:tc>
        <w:tc>
          <w:tcPr>
            <w:tcW w:w="897" w:type="dxa"/>
            <w:noWrap/>
            <w:hideMark/>
          </w:tcPr>
          <w:p w14:paraId="36D3444C"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0</w:t>
            </w:r>
          </w:p>
        </w:tc>
        <w:tc>
          <w:tcPr>
            <w:tcW w:w="897" w:type="dxa"/>
            <w:noWrap/>
            <w:hideMark/>
          </w:tcPr>
          <w:p w14:paraId="61EFDC9E"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19.476</w:t>
            </w:r>
          </w:p>
        </w:tc>
        <w:tc>
          <w:tcPr>
            <w:tcW w:w="898" w:type="dxa"/>
            <w:noWrap/>
            <w:hideMark/>
          </w:tcPr>
          <w:p w14:paraId="49EF7E67"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39.805</w:t>
            </w:r>
          </w:p>
        </w:tc>
        <w:tc>
          <w:tcPr>
            <w:tcW w:w="898" w:type="dxa"/>
            <w:noWrap/>
            <w:hideMark/>
          </w:tcPr>
          <w:p w14:paraId="03D10991"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57.077</w:t>
            </w:r>
          </w:p>
        </w:tc>
        <w:tc>
          <w:tcPr>
            <w:tcW w:w="898" w:type="dxa"/>
            <w:noWrap/>
            <w:hideMark/>
          </w:tcPr>
          <w:p w14:paraId="0568B27B"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81.336</w:t>
            </w:r>
          </w:p>
        </w:tc>
        <w:tc>
          <w:tcPr>
            <w:tcW w:w="898" w:type="dxa"/>
            <w:noWrap/>
            <w:hideMark/>
          </w:tcPr>
          <w:p w14:paraId="1C93D202"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107.914</w:t>
            </w:r>
          </w:p>
        </w:tc>
        <w:tc>
          <w:tcPr>
            <w:tcW w:w="898" w:type="dxa"/>
            <w:noWrap/>
            <w:hideMark/>
          </w:tcPr>
          <w:p w14:paraId="6DEC487A"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139.360</w:t>
            </w:r>
          </w:p>
        </w:tc>
        <w:tc>
          <w:tcPr>
            <w:tcW w:w="898" w:type="dxa"/>
            <w:noWrap/>
            <w:hideMark/>
          </w:tcPr>
          <w:p w14:paraId="1CA5618A"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161.680</w:t>
            </w:r>
          </w:p>
        </w:tc>
        <w:tc>
          <w:tcPr>
            <w:tcW w:w="1120" w:type="dxa"/>
            <w:noWrap/>
            <w:hideMark/>
          </w:tcPr>
          <w:p w14:paraId="0F9BB04B"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198.108</w:t>
            </w:r>
          </w:p>
        </w:tc>
      </w:tr>
      <w:tr w:rsidR="000929DD" w:rsidRPr="0013423F" w14:paraId="176EA260" w14:textId="77777777" w:rsidTr="00BE6857">
        <w:trPr>
          <w:trHeight w:val="290"/>
        </w:trPr>
        <w:tc>
          <w:tcPr>
            <w:tcW w:w="1162" w:type="dxa"/>
            <w:noWrap/>
            <w:hideMark/>
          </w:tcPr>
          <w:p w14:paraId="066ADF8F"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1,9%</w:t>
            </w:r>
          </w:p>
        </w:tc>
        <w:tc>
          <w:tcPr>
            <w:tcW w:w="897" w:type="dxa"/>
            <w:noWrap/>
            <w:hideMark/>
          </w:tcPr>
          <w:p w14:paraId="4D0F2480"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209.337</w:t>
            </w:r>
          </w:p>
        </w:tc>
        <w:tc>
          <w:tcPr>
            <w:tcW w:w="897" w:type="dxa"/>
            <w:noWrap/>
            <w:hideMark/>
          </w:tcPr>
          <w:p w14:paraId="58F81B24"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221.645</w:t>
            </w:r>
          </w:p>
        </w:tc>
        <w:tc>
          <w:tcPr>
            <w:tcW w:w="898" w:type="dxa"/>
            <w:noWrap/>
            <w:hideMark/>
          </w:tcPr>
          <w:p w14:paraId="41360959"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238.790</w:t>
            </w:r>
          </w:p>
        </w:tc>
        <w:tc>
          <w:tcPr>
            <w:tcW w:w="898" w:type="dxa"/>
            <w:noWrap/>
            <w:hideMark/>
          </w:tcPr>
          <w:p w14:paraId="511169EE"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253.246</w:t>
            </w:r>
          </w:p>
        </w:tc>
        <w:tc>
          <w:tcPr>
            <w:tcW w:w="898" w:type="dxa"/>
            <w:noWrap/>
            <w:hideMark/>
          </w:tcPr>
          <w:p w14:paraId="2419BE0F"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300.615</w:t>
            </w:r>
          </w:p>
        </w:tc>
        <w:tc>
          <w:tcPr>
            <w:tcW w:w="898" w:type="dxa"/>
            <w:noWrap/>
            <w:hideMark/>
          </w:tcPr>
          <w:p w14:paraId="0A9CFCD3"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320.554</w:t>
            </w:r>
          </w:p>
        </w:tc>
        <w:tc>
          <w:tcPr>
            <w:tcW w:w="898" w:type="dxa"/>
            <w:noWrap/>
            <w:hideMark/>
          </w:tcPr>
          <w:p w14:paraId="439BE70B"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326.371</w:t>
            </w:r>
          </w:p>
        </w:tc>
        <w:tc>
          <w:tcPr>
            <w:tcW w:w="898" w:type="dxa"/>
            <w:noWrap/>
            <w:hideMark/>
          </w:tcPr>
          <w:p w14:paraId="4EFB7A45"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343.688</w:t>
            </w:r>
          </w:p>
        </w:tc>
        <w:tc>
          <w:tcPr>
            <w:tcW w:w="1120" w:type="dxa"/>
            <w:noWrap/>
            <w:hideMark/>
          </w:tcPr>
          <w:p w14:paraId="208E8AC6"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354.837</w:t>
            </w:r>
          </w:p>
        </w:tc>
      </w:tr>
      <w:tr w:rsidR="000929DD" w:rsidRPr="0013423F" w14:paraId="299DB13B" w14:textId="77777777" w:rsidTr="00BE6857">
        <w:trPr>
          <w:trHeight w:val="300"/>
        </w:trPr>
        <w:tc>
          <w:tcPr>
            <w:tcW w:w="1162" w:type="dxa"/>
            <w:noWrap/>
            <w:hideMark/>
          </w:tcPr>
          <w:p w14:paraId="0A580B8E"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2,0%</w:t>
            </w:r>
          </w:p>
        </w:tc>
        <w:tc>
          <w:tcPr>
            <w:tcW w:w="897" w:type="dxa"/>
            <w:noWrap/>
            <w:hideMark/>
          </w:tcPr>
          <w:p w14:paraId="6EBFEF6B"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464.097</w:t>
            </w:r>
          </w:p>
        </w:tc>
        <w:tc>
          <w:tcPr>
            <w:tcW w:w="897" w:type="dxa"/>
            <w:noWrap/>
            <w:hideMark/>
          </w:tcPr>
          <w:p w14:paraId="5450DBD9"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453.572</w:t>
            </w:r>
          </w:p>
        </w:tc>
        <w:tc>
          <w:tcPr>
            <w:tcW w:w="898" w:type="dxa"/>
            <w:noWrap/>
            <w:hideMark/>
          </w:tcPr>
          <w:p w14:paraId="3D0EF6F6"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440.828</w:t>
            </w:r>
          </w:p>
        </w:tc>
        <w:tc>
          <w:tcPr>
            <w:tcW w:w="898" w:type="dxa"/>
            <w:noWrap/>
            <w:hideMark/>
          </w:tcPr>
          <w:p w14:paraId="02252120"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436.240</w:t>
            </w:r>
          </w:p>
        </w:tc>
        <w:tc>
          <w:tcPr>
            <w:tcW w:w="898" w:type="dxa"/>
            <w:noWrap/>
            <w:hideMark/>
          </w:tcPr>
          <w:p w14:paraId="65746F5C"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433.162</w:t>
            </w:r>
          </w:p>
        </w:tc>
        <w:tc>
          <w:tcPr>
            <w:tcW w:w="898" w:type="dxa"/>
            <w:noWrap/>
            <w:hideMark/>
          </w:tcPr>
          <w:p w14:paraId="3EE1191B"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424.344</w:t>
            </w:r>
          </w:p>
        </w:tc>
        <w:tc>
          <w:tcPr>
            <w:tcW w:w="898" w:type="dxa"/>
            <w:noWrap/>
            <w:hideMark/>
          </w:tcPr>
          <w:p w14:paraId="5C8CF4E0"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403.373</w:t>
            </w:r>
          </w:p>
        </w:tc>
        <w:tc>
          <w:tcPr>
            <w:tcW w:w="898" w:type="dxa"/>
            <w:noWrap/>
            <w:hideMark/>
          </w:tcPr>
          <w:p w14:paraId="269B2DF0"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387.626</w:t>
            </w:r>
          </w:p>
        </w:tc>
        <w:tc>
          <w:tcPr>
            <w:tcW w:w="1120" w:type="dxa"/>
            <w:noWrap/>
            <w:hideMark/>
          </w:tcPr>
          <w:p w14:paraId="2A3E0DA1"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365.418</w:t>
            </w:r>
          </w:p>
        </w:tc>
      </w:tr>
      <w:tr w:rsidR="000929DD" w:rsidRPr="0013423F" w14:paraId="219DA96A" w14:textId="77777777" w:rsidTr="00BE6857">
        <w:trPr>
          <w:trHeight w:val="300"/>
        </w:trPr>
        <w:tc>
          <w:tcPr>
            <w:tcW w:w="1162" w:type="dxa"/>
            <w:noWrap/>
            <w:hideMark/>
          </w:tcPr>
          <w:p w14:paraId="21A4F2D0"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Total</w:t>
            </w:r>
          </w:p>
        </w:tc>
        <w:tc>
          <w:tcPr>
            <w:tcW w:w="897" w:type="dxa"/>
            <w:noWrap/>
            <w:hideMark/>
          </w:tcPr>
          <w:p w14:paraId="5003C8E3"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673.435</w:t>
            </w:r>
          </w:p>
        </w:tc>
        <w:tc>
          <w:tcPr>
            <w:tcW w:w="897" w:type="dxa"/>
            <w:noWrap/>
            <w:hideMark/>
          </w:tcPr>
          <w:p w14:paraId="3C3E9690"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694.693</w:t>
            </w:r>
          </w:p>
        </w:tc>
        <w:tc>
          <w:tcPr>
            <w:tcW w:w="898" w:type="dxa"/>
            <w:noWrap/>
            <w:hideMark/>
          </w:tcPr>
          <w:p w14:paraId="4822F3F2"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719.423</w:t>
            </w:r>
          </w:p>
        </w:tc>
        <w:tc>
          <w:tcPr>
            <w:tcW w:w="898" w:type="dxa"/>
            <w:noWrap/>
            <w:hideMark/>
          </w:tcPr>
          <w:p w14:paraId="7FF55863"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746.564</w:t>
            </w:r>
          </w:p>
        </w:tc>
        <w:tc>
          <w:tcPr>
            <w:tcW w:w="898" w:type="dxa"/>
            <w:noWrap/>
            <w:hideMark/>
          </w:tcPr>
          <w:p w14:paraId="024CC721"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815.113</w:t>
            </w:r>
          </w:p>
        </w:tc>
        <w:tc>
          <w:tcPr>
            <w:tcW w:w="898" w:type="dxa"/>
            <w:noWrap/>
            <w:hideMark/>
          </w:tcPr>
          <w:p w14:paraId="567FE586"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852.812</w:t>
            </w:r>
          </w:p>
        </w:tc>
        <w:tc>
          <w:tcPr>
            <w:tcW w:w="898" w:type="dxa"/>
            <w:noWrap/>
            <w:hideMark/>
          </w:tcPr>
          <w:p w14:paraId="039529CA"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869.105</w:t>
            </w:r>
          </w:p>
        </w:tc>
        <w:tc>
          <w:tcPr>
            <w:tcW w:w="898" w:type="dxa"/>
            <w:noWrap/>
            <w:hideMark/>
          </w:tcPr>
          <w:p w14:paraId="0C70E847"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892.995</w:t>
            </w:r>
          </w:p>
        </w:tc>
        <w:tc>
          <w:tcPr>
            <w:tcW w:w="1120" w:type="dxa"/>
            <w:noWrap/>
            <w:hideMark/>
          </w:tcPr>
          <w:p w14:paraId="628BA09E"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918.363</w:t>
            </w:r>
          </w:p>
        </w:tc>
      </w:tr>
    </w:tbl>
    <w:p w14:paraId="3878FD15" w14:textId="77777777" w:rsidR="000929DD" w:rsidRDefault="000929DD" w:rsidP="000929DD">
      <w:pPr>
        <w:rPr>
          <w:rFonts w:ascii="Times New Roman" w:hAnsi="Times New Roman" w:cs="Times New Roman"/>
          <w:noProof/>
          <w:sz w:val="24"/>
        </w:rPr>
      </w:pPr>
    </w:p>
    <w:p w14:paraId="1491E39A" w14:textId="77777777" w:rsidR="000929DD" w:rsidRDefault="000929DD" w:rsidP="000929DD">
      <w:pPr>
        <w:rPr>
          <w:rFonts w:ascii="Times New Roman" w:hAnsi="Times New Roman" w:cs="Times New Roman"/>
          <w:noProof/>
          <w:sz w:val="24"/>
        </w:rPr>
      </w:pPr>
      <w:r>
        <w:rPr>
          <w:rFonts w:ascii="Times New Roman" w:hAnsi="Times New Roman" w:cs="Times New Roman"/>
          <w:noProof/>
          <w:sz w:val="24"/>
        </w:rPr>
        <w:t>Annex 9: Share of pensionable years performed by various cohorts of active staff</w:t>
      </w:r>
    </w:p>
    <w:tbl>
      <w:tblPr>
        <w:tblStyle w:val="TableGrid"/>
        <w:tblW w:w="9747" w:type="dxa"/>
        <w:tblLook w:val="04A0" w:firstRow="1" w:lastRow="0" w:firstColumn="1" w:lastColumn="0" w:noHBand="0" w:noVBand="1"/>
      </w:tblPr>
      <w:tblGrid>
        <w:gridCol w:w="1206"/>
        <w:gridCol w:w="892"/>
        <w:gridCol w:w="891"/>
        <w:gridCol w:w="891"/>
        <w:gridCol w:w="891"/>
        <w:gridCol w:w="895"/>
        <w:gridCol w:w="895"/>
        <w:gridCol w:w="895"/>
        <w:gridCol w:w="891"/>
        <w:gridCol w:w="1400"/>
      </w:tblGrid>
      <w:tr w:rsidR="000929DD" w:rsidRPr="0013423F" w14:paraId="579B8BB3" w14:textId="77777777" w:rsidTr="00BB6AB9">
        <w:trPr>
          <w:trHeight w:val="506"/>
        </w:trPr>
        <w:tc>
          <w:tcPr>
            <w:tcW w:w="1206" w:type="dxa"/>
            <w:shd w:val="clear" w:color="auto" w:fill="E2EFD9" w:themeFill="accent6" w:themeFillTint="33"/>
            <w:noWrap/>
            <w:hideMark/>
          </w:tcPr>
          <w:p w14:paraId="3BD53DAC"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Accrual Rate</w:t>
            </w:r>
          </w:p>
        </w:tc>
        <w:tc>
          <w:tcPr>
            <w:tcW w:w="892" w:type="dxa"/>
            <w:shd w:val="clear" w:color="auto" w:fill="E2EFD9" w:themeFill="accent6" w:themeFillTint="33"/>
            <w:noWrap/>
            <w:hideMark/>
          </w:tcPr>
          <w:p w14:paraId="7EABC832"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2014</w:t>
            </w:r>
          </w:p>
        </w:tc>
        <w:tc>
          <w:tcPr>
            <w:tcW w:w="891" w:type="dxa"/>
            <w:shd w:val="clear" w:color="auto" w:fill="E2EFD9" w:themeFill="accent6" w:themeFillTint="33"/>
            <w:hideMark/>
          </w:tcPr>
          <w:p w14:paraId="1F2C28C4"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2015</w:t>
            </w:r>
          </w:p>
        </w:tc>
        <w:tc>
          <w:tcPr>
            <w:tcW w:w="891" w:type="dxa"/>
            <w:shd w:val="clear" w:color="auto" w:fill="E2EFD9" w:themeFill="accent6" w:themeFillTint="33"/>
            <w:hideMark/>
          </w:tcPr>
          <w:p w14:paraId="7C24B1C1"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2016</w:t>
            </w:r>
          </w:p>
        </w:tc>
        <w:tc>
          <w:tcPr>
            <w:tcW w:w="891" w:type="dxa"/>
            <w:shd w:val="clear" w:color="auto" w:fill="E2EFD9" w:themeFill="accent6" w:themeFillTint="33"/>
            <w:hideMark/>
          </w:tcPr>
          <w:p w14:paraId="26C42F0D"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2017</w:t>
            </w:r>
          </w:p>
        </w:tc>
        <w:tc>
          <w:tcPr>
            <w:tcW w:w="895" w:type="dxa"/>
            <w:shd w:val="clear" w:color="auto" w:fill="E2EFD9" w:themeFill="accent6" w:themeFillTint="33"/>
            <w:hideMark/>
          </w:tcPr>
          <w:p w14:paraId="4F4DDBF7"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2018</w:t>
            </w:r>
          </w:p>
        </w:tc>
        <w:tc>
          <w:tcPr>
            <w:tcW w:w="895" w:type="dxa"/>
            <w:shd w:val="clear" w:color="auto" w:fill="E2EFD9" w:themeFill="accent6" w:themeFillTint="33"/>
            <w:hideMark/>
          </w:tcPr>
          <w:p w14:paraId="78FC6F30"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2019</w:t>
            </w:r>
          </w:p>
        </w:tc>
        <w:tc>
          <w:tcPr>
            <w:tcW w:w="895" w:type="dxa"/>
            <w:shd w:val="clear" w:color="auto" w:fill="E2EFD9" w:themeFill="accent6" w:themeFillTint="33"/>
            <w:hideMark/>
          </w:tcPr>
          <w:p w14:paraId="07428A30"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2020</w:t>
            </w:r>
          </w:p>
        </w:tc>
        <w:tc>
          <w:tcPr>
            <w:tcW w:w="891" w:type="dxa"/>
            <w:shd w:val="clear" w:color="auto" w:fill="E2EFD9" w:themeFill="accent6" w:themeFillTint="33"/>
            <w:hideMark/>
          </w:tcPr>
          <w:p w14:paraId="1EBC0FC2"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2021</w:t>
            </w:r>
          </w:p>
        </w:tc>
        <w:tc>
          <w:tcPr>
            <w:tcW w:w="1400" w:type="dxa"/>
            <w:shd w:val="clear" w:color="auto" w:fill="E2EFD9" w:themeFill="accent6" w:themeFillTint="33"/>
            <w:hideMark/>
          </w:tcPr>
          <w:p w14:paraId="2FB5416C" w14:textId="77777777" w:rsidR="000929DD" w:rsidRPr="0013423F" w:rsidRDefault="000929DD" w:rsidP="00BE6857">
            <w:pPr>
              <w:jc w:val="center"/>
              <w:rPr>
                <w:rFonts w:ascii="Times New Roman" w:eastAsia="Times New Roman" w:hAnsi="Times New Roman" w:cs="Times New Roman"/>
                <w:b/>
                <w:bCs/>
                <w:noProof/>
                <w:lang w:eastAsia="en-IE"/>
              </w:rPr>
            </w:pPr>
            <w:r w:rsidRPr="0013423F">
              <w:rPr>
                <w:rFonts w:ascii="Times New Roman" w:eastAsia="Times New Roman" w:hAnsi="Times New Roman" w:cs="Times New Roman"/>
                <w:b/>
                <w:bCs/>
                <w:noProof/>
                <w:lang w:eastAsia="en-IE"/>
              </w:rPr>
              <w:t>2022</w:t>
            </w:r>
          </w:p>
        </w:tc>
      </w:tr>
      <w:tr w:rsidR="000929DD" w:rsidRPr="0013423F" w14:paraId="5D1B14F0" w14:textId="77777777" w:rsidTr="00BB6AB9">
        <w:trPr>
          <w:trHeight w:val="506"/>
        </w:trPr>
        <w:tc>
          <w:tcPr>
            <w:tcW w:w="1206" w:type="dxa"/>
            <w:noWrap/>
            <w:hideMark/>
          </w:tcPr>
          <w:p w14:paraId="054B261A"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1,8%</w:t>
            </w:r>
          </w:p>
        </w:tc>
        <w:tc>
          <w:tcPr>
            <w:tcW w:w="892" w:type="dxa"/>
            <w:noWrap/>
            <w:hideMark/>
          </w:tcPr>
          <w:p w14:paraId="2F015F48" w14:textId="7777777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0,00%</w:t>
            </w:r>
          </w:p>
        </w:tc>
        <w:tc>
          <w:tcPr>
            <w:tcW w:w="891" w:type="dxa"/>
            <w:noWrap/>
            <w:hideMark/>
          </w:tcPr>
          <w:p w14:paraId="62B10A98" w14:textId="6CA09715"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2,8%</w:t>
            </w:r>
          </w:p>
        </w:tc>
        <w:tc>
          <w:tcPr>
            <w:tcW w:w="891" w:type="dxa"/>
            <w:noWrap/>
            <w:hideMark/>
          </w:tcPr>
          <w:p w14:paraId="3CF06753" w14:textId="4128106E"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5,5%</w:t>
            </w:r>
          </w:p>
        </w:tc>
        <w:tc>
          <w:tcPr>
            <w:tcW w:w="891" w:type="dxa"/>
            <w:noWrap/>
            <w:hideMark/>
          </w:tcPr>
          <w:p w14:paraId="6DB8A986" w14:textId="5892A307"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7,</w:t>
            </w:r>
            <w:r w:rsidR="00796F62">
              <w:rPr>
                <w:rFonts w:ascii="Times New Roman" w:hAnsi="Times New Roman" w:cs="Times New Roman"/>
                <w:noProof/>
                <w:sz w:val="24"/>
              </w:rPr>
              <w:t>7</w:t>
            </w:r>
            <w:r w:rsidRPr="0013423F">
              <w:rPr>
                <w:rFonts w:ascii="Times New Roman" w:hAnsi="Times New Roman" w:cs="Times New Roman"/>
                <w:noProof/>
                <w:sz w:val="24"/>
              </w:rPr>
              <w:t>%</w:t>
            </w:r>
          </w:p>
        </w:tc>
        <w:tc>
          <w:tcPr>
            <w:tcW w:w="895" w:type="dxa"/>
            <w:noWrap/>
            <w:hideMark/>
          </w:tcPr>
          <w:p w14:paraId="604C79BB" w14:textId="48D722B5" w:rsidR="000929DD" w:rsidRPr="0013423F" w:rsidRDefault="00796F62" w:rsidP="00796F62">
            <w:pPr>
              <w:rPr>
                <w:rFonts w:ascii="Times New Roman" w:hAnsi="Times New Roman" w:cs="Times New Roman"/>
                <w:noProof/>
                <w:sz w:val="24"/>
              </w:rPr>
            </w:pPr>
            <w:r>
              <w:rPr>
                <w:rFonts w:ascii="Times New Roman" w:hAnsi="Times New Roman" w:cs="Times New Roman"/>
                <w:noProof/>
                <w:sz w:val="24"/>
              </w:rPr>
              <w:t>10</w:t>
            </w:r>
            <w:r w:rsidR="000929DD" w:rsidRPr="0013423F">
              <w:rPr>
                <w:rFonts w:ascii="Times New Roman" w:hAnsi="Times New Roman" w:cs="Times New Roman"/>
                <w:noProof/>
                <w:sz w:val="24"/>
              </w:rPr>
              <w:t>,</w:t>
            </w:r>
            <w:r>
              <w:rPr>
                <w:rFonts w:ascii="Times New Roman" w:hAnsi="Times New Roman" w:cs="Times New Roman"/>
                <w:noProof/>
                <w:sz w:val="24"/>
              </w:rPr>
              <w:t>0</w:t>
            </w:r>
            <w:r w:rsidR="000929DD" w:rsidRPr="0013423F">
              <w:rPr>
                <w:rFonts w:ascii="Times New Roman" w:hAnsi="Times New Roman" w:cs="Times New Roman"/>
                <w:noProof/>
                <w:sz w:val="24"/>
              </w:rPr>
              <w:t>%</w:t>
            </w:r>
          </w:p>
        </w:tc>
        <w:tc>
          <w:tcPr>
            <w:tcW w:w="895" w:type="dxa"/>
            <w:noWrap/>
            <w:hideMark/>
          </w:tcPr>
          <w:p w14:paraId="70E6E51B" w14:textId="29B9F414"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12,</w:t>
            </w:r>
            <w:r w:rsidR="00796F62">
              <w:rPr>
                <w:rFonts w:ascii="Times New Roman" w:hAnsi="Times New Roman" w:cs="Times New Roman"/>
                <w:noProof/>
                <w:sz w:val="24"/>
              </w:rPr>
              <w:t>7</w:t>
            </w:r>
            <w:r w:rsidRPr="0013423F">
              <w:rPr>
                <w:rFonts w:ascii="Times New Roman" w:hAnsi="Times New Roman" w:cs="Times New Roman"/>
                <w:noProof/>
                <w:sz w:val="24"/>
              </w:rPr>
              <w:t>%</w:t>
            </w:r>
          </w:p>
        </w:tc>
        <w:tc>
          <w:tcPr>
            <w:tcW w:w="895" w:type="dxa"/>
            <w:noWrap/>
            <w:hideMark/>
          </w:tcPr>
          <w:p w14:paraId="64F02568" w14:textId="79535279"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16,0%</w:t>
            </w:r>
          </w:p>
        </w:tc>
        <w:tc>
          <w:tcPr>
            <w:tcW w:w="891" w:type="dxa"/>
            <w:noWrap/>
            <w:hideMark/>
          </w:tcPr>
          <w:p w14:paraId="6BD7F67F" w14:textId="5E2FBDD6"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18,1%</w:t>
            </w:r>
          </w:p>
        </w:tc>
        <w:tc>
          <w:tcPr>
            <w:tcW w:w="1400" w:type="dxa"/>
            <w:noWrap/>
            <w:hideMark/>
          </w:tcPr>
          <w:p w14:paraId="57185FAB" w14:textId="05804F68"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21,</w:t>
            </w:r>
            <w:r w:rsidR="00796F62">
              <w:rPr>
                <w:rFonts w:ascii="Times New Roman" w:hAnsi="Times New Roman" w:cs="Times New Roman"/>
                <w:noProof/>
                <w:sz w:val="24"/>
              </w:rPr>
              <w:t>6</w:t>
            </w:r>
            <w:r w:rsidRPr="0013423F">
              <w:rPr>
                <w:rFonts w:ascii="Times New Roman" w:hAnsi="Times New Roman" w:cs="Times New Roman"/>
                <w:noProof/>
                <w:sz w:val="24"/>
              </w:rPr>
              <w:t>%</w:t>
            </w:r>
          </w:p>
        </w:tc>
      </w:tr>
      <w:tr w:rsidR="000929DD" w:rsidRPr="0013423F" w14:paraId="52C59E5A" w14:textId="77777777" w:rsidTr="00BB6AB9">
        <w:trPr>
          <w:trHeight w:val="506"/>
        </w:trPr>
        <w:tc>
          <w:tcPr>
            <w:tcW w:w="1206" w:type="dxa"/>
            <w:noWrap/>
            <w:hideMark/>
          </w:tcPr>
          <w:p w14:paraId="72FF11A7"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1,9%</w:t>
            </w:r>
          </w:p>
        </w:tc>
        <w:tc>
          <w:tcPr>
            <w:tcW w:w="892" w:type="dxa"/>
            <w:noWrap/>
            <w:hideMark/>
          </w:tcPr>
          <w:p w14:paraId="3E552509" w14:textId="5653D31F"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31,</w:t>
            </w:r>
            <w:r w:rsidR="00796F62">
              <w:rPr>
                <w:rFonts w:ascii="Times New Roman" w:hAnsi="Times New Roman" w:cs="Times New Roman"/>
                <w:noProof/>
                <w:sz w:val="24"/>
              </w:rPr>
              <w:t>1</w:t>
            </w:r>
            <w:r w:rsidRPr="0013423F">
              <w:rPr>
                <w:rFonts w:ascii="Times New Roman" w:hAnsi="Times New Roman" w:cs="Times New Roman"/>
                <w:noProof/>
                <w:sz w:val="24"/>
              </w:rPr>
              <w:t>%</w:t>
            </w:r>
          </w:p>
        </w:tc>
        <w:tc>
          <w:tcPr>
            <w:tcW w:w="891" w:type="dxa"/>
            <w:noWrap/>
            <w:hideMark/>
          </w:tcPr>
          <w:p w14:paraId="637A9D5D" w14:textId="732F2EE5"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31,9%</w:t>
            </w:r>
          </w:p>
        </w:tc>
        <w:tc>
          <w:tcPr>
            <w:tcW w:w="891" w:type="dxa"/>
            <w:noWrap/>
            <w:hideMark/>
          </w:tcPr>
          <w:p w14:paraId="71F3E37B" w14:textId="668FE8A5"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33,</w:t>
            </w:r>
            <w:r w:rsidR="00796F62">
              <w:rPr>
                <w:rFonts w:ascii="Times New Roman" w:hAnsi="Times New Roman" w:cs="Times New Roman"/>
                <w:noProof/>
                <w:sz w:val="24"/>
              </w:rPr>
              <w:t>2</w:t>
            </w:r>
            <w:r w:rsidRPr="0013423F">
              <w:rPr>
                <w:rFonts w:ascii="Times New Roman" w:hAnsi="Times New Roman" w:cs="Times New Roman"/>
                <w:noProof/>
                <w:sz w:val="24"/>
              </w:rPr>
              <w:t>%</w:t>
            </w:r>
          </w:p>
        </w:tc>
        <w:tc>
          <w:tcPr>
            <w:tcW w:w="891" w:type="dxa"/>
            <w:noWrap/>
            <w:hideMark/>
          </w:tcPr>
          <w:p w14:paraId="346AD8B3" w14:textId="30227A4C" w:rsidR="000929DD" w:rsidRPr="0013423F" w:rsidRDefault="00796F62" w:rsidP="00796F62">
            <w:pPr>
              <w:rPr>
                <w:rFonts w:ascii="Times New Roman" w:hAnsi="Times New Roman" w:cs="Times New Roman"/>
                <w:noProof/>
                <w:sz w:val="24"/>
              </w:rPr>
            </w:pPr>
            <w:r w:rsidRPr="0013423F">
              <w:rPr>
                <w:rFonts w:ascii="Times New Roman" w:hAnsi="Times New Roman" w:cs="Times New Roman"/>
                <w:noProof/>
                <w:sz w:val="24"/>
              </w:rPr>
              <w:t>3</w:t>
            </w:r>
            <w:r>
              <w:rPr>
                <w:rFonts w:ascii="Times New Roman" w:hAnsi="Times New Roman" w:cs="Times New Roman"/>
                <w:noProof/>
                <w:sz w:val="24"/>
              </w:rPr>
              <w:t>4</w:t>
            </w:r>
            <w:r w:rsidR="000929DD" w:rsidRPr="0013423F">
              <w:rPr>
                <w:rFonts w:ascii="Times New Roman" w:hAnsi="Times New Roman" w:cs="Times New Roman"/>
                <w:noProof/>
                <w:sz w:val="24"/>
              </w:rPr>
              <w:t>,</w:t>
            </w:r>
            <w:r>
              <w:rPr>
                <w:rFonts w:ascii="Times New Roman" w:hAnsi="Times New Roman" w:cs="Times New Roman"/>
                <w:noProof/>
                <w:sz w:val="24"/>
              </w:rPr>
              <w:t>0</w:t>
            </w:r>
            <w:r w:rsidR="000929DD" w:rsidRPr="0013423F">
              <w:rPr>
                <w:rFonts w:ascii="Times New Roman" w:hAnsi="Times New Roman" w:cs="Times New Roman"/>
                <w:noProof/>
                <w:sz w:val="24"/>
              </w:rPr>
              <w:t>%</w:t>
            </w:r>
          </w:p>
        </w:tc>
        <w:tc>
          <w:tcPr>
            <w:tcW w:w="895" w:type="dxa"/>
            <w:noWrap/>
            <w:hideMark/>
          </w:tcPr>
          <w:p w14:paraId="02081DFA" w14:textId="3E63E9BD"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36,</w:t>
            </w:r>
            <w:r w:rsidR="00796F62">
              <w:rPr>
                <w:rFonts w:ascii="Times New Roman" w:hAnsi="Times New Roman" w:cs="Times New Roman"/>
                <w:noProof/>
                <w:sz w:val="24"/>
              </w:rPr>
              <w:t>9</w:t>
            </w:r>
            <w:r w:rsidRPr="0013423F">
              <w:rPr>
                <w:rFonts w:ascii="Times New Roman" w:hAnsi="Times New Roman" w:cs="Times New Roman"/>
                <w:noProof/>
                <w:sz w:val="24"/>
              </w:rPr>
              <w:t>%</w:t>
            </w:r>
          </w:p>
        </w:tc>
        <w:tc>
          <w:tcPr>
            <w:tcW w:w="895" w:type="dxa"/>
            <w:noWrap/>
            <w:hideMark/>
          </w:tcPr>
          <w:p w14:paraId="0C72B639" w14:textId="4255AFB9"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37,</w:t>
            </w:r>
            <w:r w:rsidR="00796F62">
              <w:rPr>
                <w:rFonts w:ascii="Times New Roman" w:hAnsi="Times New Roman" w:cs="Times New Roman"/>
                <w:noProof/>
                <w:sz w:val="24"/>
              </w:rPr>
              <w:t>6</w:t>
            </w:r>
            <w:r w:rsidRPr="0013423F">
              <w:rPr>
                <w:rFonts w:ascii="Times New Roman" w:hAnsi="Times New Roman" w:cs="Times New Roman"/>
                <w:noProof/>
                <w:sz w:val="24"/>
              </w:rPr>
              <w:t>%</w:t>
            </w:r>
          </w:p>
        </w:tc>
        <w:tc>
          <w:tcPr>
            <w:tcW w:w="895" w:type="dxa"/>
            <w:noWrap/>
            <w:hideMark/>
          </w:tcPr>
          <w:p w14:paraId="27C5573E" w14:textId="0CE54DC8"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37,</w:t>
            </w:r>
            <w:r w:rsidR="00796F62">
              <w:rPr>
                <w:rFonts w:ascii="Times New Roman" w:hAnsi="Times New Roman" w:cs="Times New Roman"/>
                <w:noProof/>
                <w:sz w:val="24"/>
              </w:rPr>
              <w:t>6</w:t>
            </w:r>
            <w:r w:rsidRPr="0013423F">
              <w:rPr>
                <w:rFonts w:ascii="Times New Roman" w:hAnsi="Times New Roman" w:cs="Times New Roman"/>
                <w:noProof/>
                <w:sz w:val="24"/>
              </w:rPr>
              <w:t>%</w:t>
            </w:r>
          </w:p>
        </w:tc>
        <w:tc>
          <w:tcPr>
            <w:tcW w:w="891" w:type="dxa"/>
            <w:noWrap/>
            <w:hideMark/>
          </w:tcPr>
          <w:p w14:paraId="58B0A846" w14:textId="5FCA40B5"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38,</w:t>
            </w:r>
            <w:r w:rsidR="00796F62">
              <w:rPr>
                <w:rFonts w:ascii="Times New Roman" w:hAnsi="Times New Roman" w:cs="Times New Roman"/>
                <w:noProof/>
                <w:sz w:val="24"/>
              </w:rPr>
              <w:t>5</w:t>
            </w:r>
            <w:r w:rsidRPr="0013423F">
              <w:rPr>
                <w:rFonts w:ascii="Times New Roman" w:hAnsi="Times New Roman" w:cs="Times New Roman"/>
                <w:noProof/>
                <w:sz w:val="24"/>
              </w:rPr>
              <w:t>%</w:t>
            </w:r>
          </w:p>
        </w:tc>
        <w:tc>
          <w:tcPr>
            <w:tcW w:w="1400" w:type="dxa"/>
            <w:noWrap/>
            <w:hideMark/>
          </w:tcPr>
          <w:p w14:paraId="0C347052" w14:textId="267E9434"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38,6%</w:t>
            </w:r>
          </w:p>
        </w:tc>
      </w:tr>
      <w:tr w:rsidR="000929DD" w:rsidRPr="0013423F" w14:paraId="328DEACE" w14:textId="77777777" w:rsidTr="00BB6AB9">
        <w:trPr>
          <w:trHeight w:val="506"/>
        </w:trPr>
        <w:tc>
          <w:tcPr>
            <w:tcW w:w="1206" w:type="dxa"/>
            <w:noWrap/>
            <w:hideMark/>
          </w:tcPr>
          <w:p w14:paraId="0258D51D" w14:textId="77777777" w:rsidR="000929DD" w:rsidRPr="0013423F" w:rsidRDefault="000929DD" w:rsidP="00BE6857">
            <w:pPr>
              <w:rPr>
                <w:rFonts w:ascii="Times New Roman" w:hAnsi="Times New Roman" w:cs="Times New Roman"/>
                <w:b/>
                <w:bCs/>
                <w:noProof/>
                <w:sz w:val="24"/>
              </w:rPr>
            </w:pPr>
            <w:r w:rsidRPr="0013423F">
              <w:rPr>
                <w:rFonts w:ascii="Times New Roman" w:hAnsi="Times New Roman" w:cs="Times New Roman"/>
                <w:b/>
                <w:bCs/>
                <w:noProof/>
                <w:sz w:val="24"/>
              </w:rPr>
              <w:t>2,0%</w:t>
            </w:r>
          </w:p>
        </w:tc>
        <w:tc>
          <w:tcPr>
            <w:tcW w:w="892" w:type="dxa"/>
            <w:noWrap/>
            <w:hideMark/>
          </w:tcPr>
          <w:p w14:paraId="24F47B06" w14:textId="70F01AB1"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68,9%</w:t>
            </w:r>
          </w:p>
        </w:tc>
        <w:tc>
          <w:tcPr>
            <w:tcW w:w="891" w:type="dxa"/>
            <w:noWrap/>
            <w:hideMark/>
          </w:tcPr>
          <w:p w14:paraId="52206594" w14:textId="06C0DF12"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65,</w:t>
            </w:r>
            <w:r w:rsidR="00796F62">
              <w:rPr>
                <w:rFonts w:ascii="Times New Roman" w:hAnsi="Times New Roman" w:cs="Times New Roman"/>
                <w:noProof/>
                <w:sz w:val="24"/>
              </w:rPr>
              <w:t>3</w:t>
            </w:r>
            <w:r w:rsidRPr="0013423F">
              <w:rPr>
                <w:rFonts w:ascii="Times New Roman" w:hAnsi="Times New Roman" w:cs="Times New Roman"/>
                <w:noProof/>
                <w:sz w:val="24"/>
              </w:rPr>
              <w:t>%</w:t>
            </w:r>
          </w:p>
        </w:tc>
        <w:tc>
          <w:tcPr>
            <w:tcW w:w="891" w:type="dxa"/>
            <w:noWrap/>
            <w:hideMark/>
          </w:tcPr>
          <w:p w14:paraId="3FE5CBC9" w14:textId="53DF2B17"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61,</w:t>
            </w:r>
            <w:r w:rsidR="00796F62">
              <w:rPr>
                <w:rFonts w:ascii="Times New Roman" w:hAnsi="Times New Roman" w:cs="Times New Roman"/>
                <w:noProof/>
                <w:sz w:val="24"/>
              </w:rPr>
              <w:t>3</w:t>
            </w:r>
            <w:r w:rsidRPr="0013423F">
              <w:rPr>
                <w:rFonts w:ascii="Times New Roman" w:hAnsi="Times New Roman" w:cs="Times New Roman"/>
                <w:noProof/>
                <w:sz w:val="24"/>
              </w:rPr>
              <w:t>%</w:t>
            </w:r>
          </w:p>
        </w:tc>
        <w:tc>
          <w:tcPr>
            <w:tcW w:w="891" w:type="dxa"/>
            <w:noWrap/>
            <w:hideMark/>
          </w:tcPr>
          <w:p w14:paraId="6DC7C2DF" w14:textId="75591C14"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58,4%</w:t>
            </w:r>
          </w:p>
        </w:tc>
        <w:tc>
          <w:tcPr>
            <w:tcW w:w="895" w:type="dxa"/>
            <w:noWrap/>
            <w:hideMark/>
          </w:tcPr>
          <w:p w14:paraId="238BD196" w14:textId="0F0412E8"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53,1%</w:t>
            </w:r>
          </w:p>
        </w:tc>
        <w:tc>
          <w:tcPr>
            <w:tcW w:w="895" w:type="dxa"/>
            <w:noWrap/>
            <w:hideMark/>
          </w:tcPr>
          <w:p w14:paraId="45F4229C" w14:textId="77AAB236"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49,</w:t>
            </w:r>
            <w:r w:rsidR="00796F62">
              <w:rPr>
                <w:rFonts w:ascii="Times New Roman" w:hAnsi="Times New Roman" w:cs="Times New Roman"/>
                <w:noProof/>
                <w:sz w:val="24"/>
              </w:rPr>
              <w:t>8</w:t>
            </w:r>
            <w:r w:rsidRPr="0013423F">
              <w:rPr>
                <w:rFonts w:ascii="Times New Roman" w:hAnsi="Times New Roman" w:cs="Times New Roman"/>
                <w:noProof/>
                <w:sz w:val="24"/>
              </w:rPr>
              <w:t>%</w:t>
            </w:r>
          </w:p>
        </w:tc>
        <w:tc>
          <w:tcPr>
            <w:tcW w:w="895" w:type="dxa"/>
            <w:noWrap/>
            <w:hideMark/>
          </w:tcPr>
          <w:p w14:paraId="41E0A093" w14:textId="58FCFB38"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46,4%</w:t>
            </w:r>
          </w:p>
        </w:tc>
        <w:tc>
          <w:tcPr>
            <w:tcW w:w="891" w:type="dxa"/>
            <w:noWrap/>
            <w:hideMark/>
          </w:tcPr>
          <w:p w14:paraId="617D0270" w14:textId="613FFDBC" w:rsidR="000929DD" w:rsidRPr="0013423F" w:rsidRDefault="000929DD" w:rsidP="00BE6857">
            <w:pPr>
              <w:rPr>
                <w:rFonts w:ascii="Times New Roman" w:hAnsi="Times New Roman" w:cs="Times New Roman"/>
                <w:noProof/>
                <w:sz w:val="24"/>
              </w:rPr>
            </w:pPr>
            <w:r w:rsidRPr="0013423F">
              <w:rPr>
                <w:rFonts w:ascii="Times New Roman" w:hAnsi="Times New Roman" w:cs="Times New Roman"/>
                <w:noProof/>
                <w:sz w:val="24"/>
              </w:rPr>
              <w:t>43,4%</w:t>
            </w:r>
          </w:p>
        </w:tc>
        <w:tc>
          <w:tcPr>
            <w:tcW w:w="1400" w:type="dxa"/>
            <w:noWrap/>
            <w:hideMark/>
          </w:tcPr>
          <w:p w14:paraId="13D37721" w14:textId="6364C253" w:rsidR="000929DD" w:rsidRPr="0013423F" w:rsidRDefault="000929DD" w:rsidP="00796F62">
            <w:pPr>
              <w:rPr>
                <w:rFonts w:ascii="Times New Roman" w:hAnsi="Times New Roman" w:cs="Times New Roman"/>
                <w:noProof/>
                <w:sz w:val="24"/>
              </w:rPr>
            </w:pPr>
            <w:r w:rsidRPr="0013423F">
              <w:rPr>
                <w:rFonts w:ascii="Times New Roman" w:hAnsi="Times New Roman" w:cs="Times New Roman"/>
                <w:noProof/>
                <w:sz w:val="24"/>
              </w:rPr>
              <w:t>39,</w:t>
            </w:r>
            <w:r w:rsidR="00796F62">
              <w:rPr>
                <w:rFonts w:ascii="Times New Roman" w:hAnsi="Times New Roman" w:cs="Times New Roman"/>
                <w:noProof/>
                <w:sz w:val="24"/>
              </w:rPr>
              <w:t>8</w:t>
            </w:r>
            <w:r w:rsidRPr="0013423F">
              <w:rPr>
                <w:rFonts w:ascii="Times New Roman" w:hAnsi="Times New Roman" w:cs="Times New Roman"/>
                <w:noProof/>
                <w:sz w:val="24"/>
              </w:rPr>
              <w:t>%</w:t>
            </w:r>
          </w:p>
        </w:tc>
      </w:tr>
    </w:tbl>
    <w:p w14:paraId="0975B50F" w14:textId="77777777" w:rsidR="000929DD" w:rsidRDefault="000929DD" w:rsidP="000929DD">
      <w:pPr>
        <w:rPr>
          <w:rFonts w:ascii="Times New Roman" w:hAnsi="Times New Roman" w:cs="Times New Roman"/>
          <w:noProof/>
          <w:sz w:val="24"/>
        </w:rPr>
      </w:pPr>
    </w:p>
    <w:p w14:paraId="03AFBA39" w14:textId="77777777" w:rsidR="000929DD" w:rsidRDefault="000929DD" w:rsidP="000929DD">
      <w:pPr>
        <w:rPr>
          <w:rFonts w:ascii="Times New Roman" w:hAnsi="Times New Roman" w:cs="Times New Roman"/>
          <w:noProof/>
          <w:sz w:val="24"/>
        </w:rPr>
      </w:pPr>
      <w:r>
        <w:rPr>
          <w:noProof/>
          <w:lang w:val="en-GB" w:eastAsia="en-GB"/>
        </w:rPr>
        <w:drawing>
          <wp:inline distT="0" distB="0" distL="0" distR="0" wp14:anchorId="188ED71E" wp14:editId="4A420420">
            <wp:extent cx="4572000" cy="2644775"/>
            <wp:effectExtent l="0" t="0" r="0"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7791FD" w14:textId="77777777" w:rsidR="008E5131" w:rsidRDefault="008E5131" w:rsidP="000929DD">
      <w:pPr>
        <w:rPr>
          <w:rFonts w:ascii="Times New Roman" w:hAnsi="Times New Roman" w:cs="Times New Roman"/>
          <w:noProof/>
          <w:sz w:val="24"/>
        </w:rPr>
      </w:pPr>
    </w:p>
    <w:p w14:paraId="008C89C7" w14:textId="1E459BD2" w:rsidR="000929DD" w:rsidRDefault="000929DD" w:rsidP="000929DD">
      <w:pPr>
        <w:rPr>
          <w:rFonts w:ascii="Times New Roman" w:hAnsi="Times New Roman" w:cs="Times New Roman"/>
          <w:noProof/>
          <w:sz w:val="24"/>
        </w:rPr>
      </w:pPr>
      <w:r>
        <w:rPr>
          <w:rFonts w:ascii="Times New Roman" w:hAnsi="Times New Roman" w:cs="Times New Roman"/>
          <w:noProof/>
          <w:sz w:val="24"/>
        </w:rPr>
        <w:t xml:space="preserve">Annex 10: </w:t>
      </w:r>
      <w:r w:rsidR="000E521A">
        <w:rPr>
          <w:rFonts w:ascii="Times New Roman" w:hAnsi="Times New Roman" w:cs="Times New Roman"/>
          <w:noProof/>
          <w:sz w:val="24"/>
        </w:rPr>
        <w:t>Number of pensioners per cohort of recruitment (pre-2004, post</w:t>
      </w:r>
      <w:r w:rsidR="00D23F9C">
        <w:rPr>
          <w:rFonts w:ascii="Times New Roman" w:hAnsi="Times New Roman" w:cs="Times New Roman"/>
          <w:noProof/>
          <w:sz w:val="24"/>
        </w:rPr>
        <w:t>-</w:t>
      </w:r>
      <w:r w:rsidR="000E521A">
        <w:rPr>
          <w:rFonts w:ascii="Times New Roman" w:hAnsi="Times New Roman" w:cs="Times New Roman"/>
          <w:noProof/>
          <w:sz w:val="24"/>
        </w:rPr>
        <w:t xml:space="preserve">2004 and post </w:t>
      </w:r>
      <w:r w:rsidR="00D23F9C">
        <w:rPr>
          <w:rFonts w:ascii="Times New Roman" w:hAnsi="Times New Roman" w:cs="Times New Roman"/>
          <w:noProof/>
          <w:sz w:val="24"/>
        </w:rPr>
        <w:t>-</w:t>
      </w:r>
      <w:r w:rsidR="000E521A">
        <w:rPr>
          <w:rFonts w:ascii="Times New Roman" w:hAnsi="Times New Roman" w:cs="Times New Roman"/>
          <w:noProof/>
          <w:sz w:val="24"/>
        </w:rPr>
        <w:t>2014</w:t>
      </w:r>
      <w:r w:rsidR="00C64304">
        <w:rPr>
          <w:rFonts w:ascii="Times New Roman" w:hAnsi="Times New Roman" w:cs="Times New Roman"/>
          <w:noProof/>
          <w:sz w:val="24"/>
        </w:rPr>
        <w:t>)</w:t>
      </w:r>
    </w:p>
    <w:tbl>
      <w:tblPr>
        <w:tblW w:w="4704" w:type="dxa"/>
        <w:tblInd w:w="123" w:type="dxa"/>
        <w:tblLook w:val="04A0" w:firstRow="1" w:lastRow="0" w:firstColumn="1" w:lastColumn="0" w:noHBand="0" w:noVBand="1"/>
      </w:tblPr>
      <w:tblGrid>
        <w:gridCol w:w="1650"/>
        <w:gridCol w:w="1744"/>
        <w:gridCol w:w="1310"/>
      </w:tblGrid>
      <w:tr w:rsidR="000929DD" w:rsidRPr="00486A62" w14:paraId="04D57384" w14:textId="77777777" w:rsidTr="00BE6857">
        <w:trPr>
          <w:trHeight w:val="953"/>
        </w:trPr>
        <w:tc>
          <w:tcPr>
            <w:tcW w:w="1650" w:type="dxa"/>
            <w:tcBorders>
              <w:top w:val="single" w:sz="4" w:space="0" w:color="auto"/>
              <w:left w:val="single" w:sz="4" w:space="0" w:color="auto"/>
              <w:bottom w:val="nil"/>
              <w:right w:val="single" w:sz="4" w:space="0" w:color="000000"/>
            </w:tcBorders>
            <w:shd w:val="clear" w:color="000000" w:fill="E2EFDA"/>
            <w:noWrap/>
            <w:vAlign w:val="center"/>
            <w:hideMark/>
          </w:tcPr>
          <w:p w14:paraId="2A8E3843" w14:textId="77777777" w:rsidR="000929DD" w:rsidRPr="00170470" w:rsidRDefault="000929DD" w:rsidP="00BE6857">
            <w:pPr>
              <w:spacing w:after="0" w:line="240" w:lineRule="auto"/>
              <w:jc w:val="center"/>
              <w:rPr>
                <w:rFonts w:ascii="Times New Roman" w:eastAsia="Times New Roman" w:hAnsi="Times New Roman" w:cs="Times New Roman"/>
                <w:b/>
                <w:bCs/>
                <w:noProof/>
                <w:sz w:val="24"/>
                <w:szCs w:val="24"/>
                <w:lang w:eastAsia="en-IE"/>
              </w:rPr>
            </w:pPr>
            <w:r w:rsidRPr="00170470">
              <w:rPr>
                <w:rFonts w:ascii="Times New Roman" w:eastAsia="Times New Roman" w:hAnsi="Times New Roman" w:cs="Times New Roman"/>
                <w:b/>
                <w:bCs/>
                <w:noProof/>
                <w:sz w:val="24"/>
                <w:szCs w:val="24"/>
                <w:lang w:eastAsia="en-IE"/>
              </w:rPr>
              <w:t>Date of recruitment</w:t>
            </w:r>
          </w:p>
        </w:tc>
        <w:tc>
          <w:tcPr>
            <w:tcW w:w="1867" w:type="dxa"/>
            <w:tcBorders>
              <w:top w:val="single" w:sz="4" w:space="0" w:color="auto"/>
              <w:left w:val="nil"/>
              <w:bottom w:val="nil"/>
              <w:right w:val="single" w:sz="4" w:space="0" w:color="000000"/>
            </w:tcBorders>
            <w:shd w:val="clear" w:color="000000" w:fill="E2EFDA"/>
            <w:vAlign w:val="center"/>
            <w:hideMark/>
          </w:tcPr>
          <w:p w14:paraId="2D11392F" w14:textId="77777777" w:rsidR="000929DD" w:rsidRPr="00170470" w:rsidRDefault="000929DD" w:rsidP="00BE6857">
            <w:pPr>
              <w:spacing w:after="0" w:line="240" w:lineRule="auto"/>
              <w:jc w:val="center"/>
              <w:rPr>
                <w:rFonts w:ascii="Times New Roman" w:eastAsia="Times New Roman" w:hAnsi="Times New Roman" w:cs="Times New Roman"/>
                <w:b/>
                <w:bCs/>
                <w:noProof/>
                <w:sz w:val="24"/>
                <w:szCs w:val="24"/>
                <w:lang w:eastAsia="en-IE"/>
              </w:rPr>
            </w:pPr>
            <w:r w:rsidRPr="00170470">
              <w:rPr>
                <w:rFonts w:ascii="Times New Roman" w:eastAsia="Times New Roman" w:hAnsi="Times New Roman" w:cs="Times New Roman"/>
                <w:b/>
                <w:bCs/>
                <w:noProof/>
                <w:sz w:val="24"/>
                <w:szCs w:val="24"/>
                <w:lang w:eastAsia="en-IE"/>
              </w:rPr>
              <w:t xml:space="preserve">Number of pensioners </w:t>
            </w:r>
          </w:p>
        </w:tc>
        <w:tc>
          <w:tcPr>
            <w:tcW w:w="1187" w:type="dxa"/>
            <w:tcBorders>
              <w:top w:val="single" w:sz="4" w:space="0" w:color="auto"/>
              <w:left w:val="nil"/>
              <w:bottom w:val="nil"/>
              <w:right w:val="single" w:sz="4" w:space="0" w:color="auto"/>
            </w:tcBorders>
            <w:shd w:val="clear" w:color="000000" w:fill="E2EFDA"/>
            <w:vAlign w:val="center"/>
            <w:hideMark/>
          </w:tcPr>
          <w:p w14:paraId="08CB9310" w14:textId="77777777" w:rsidR="000929DD" w:rsidRPr="00170470" w:rsidRDefault="000929DD" w:rsidP="00BE6857">
            <w:pPr>
              <w:spacing w:after="0" w:line="240" w:lineRule="auto"/>
              <w:jc w:val="center"/>
              <w:rPr>
                <w:rFonts w:ascii="Times New Roman" w:eastAsia="Times New Roman" w:hAnsi="Times New Roman" w:cs="Times New Roman"/>
                <w:b/>
                <w:bCs/>
                <w:noProof/>
                <w:sz w:val="24"/>
                <w:szCs w:val="24"/>
                <w:lang w:eastAsia="en-IE"/>
              </w:rPr>
            </w:pPr>
            <w:r w:rsidRPr="00170470">
              <w:rPr>
                <w:rFonts w:ascii="Times New Roman" w:eastAsia="Times New Roman" w:hAnsi="Times New Roman" w:cs="Times New Roman"/>
                <w:b/>
                <w:bCs/>
                <w:noProof/>
                <w:sz w:val="24"/>
                <w:szCs w:val="24"/>
                <w:lang w:eastAsia="en-IE"/>
              </w:rPr>
              <w:t>Share of pensioners</w:t>
            </w:r>
          </w:p>
        </w:tc>
      </w:tr>
      <w:tr w:rsidR="000929DD" w:rsidRPr="00486A62" w14:paraId="2D6060BD" w14:textId="77777777" w:rsidTr="00BE6857">
        <w:trPr>
          <w:trHeight w:val="400"/>
        </w:trPr>
        <w:tc>
          <w:tcPr>
            <w:tcW w:w="1650" w:type="dxa"/>
            <w:tcBorders>
              <w:top w:val="single" w:sz="8" w:space="0" w:color="000000"/>
              <w:left w:val="single" w:sz="4" w:space="0" w:color="auto"/>
              <w:bottom w:val="single" w:sz="8" w:space="0" w:color="C0C0C0"/>
              <w:right w:val="single" w:sz="4" w:space="0" w:color="000000"/>
            </w:tcBorders>
            <w:shd w:val="clear" w:color="auto" w:fill="auto"/>
            <w:hideMark/>
          </w:tcPr>
          <w:p w14:paraId="0BBD4E9C" w14:textId="77777777" w:rsidR="000929DD" w:rsidRPr="00170470" w:rsidRDefault="000929DD" w:rsidP="00BE6857">
            <w:pPr>
              <w:spacing w:after="0" w:line="240" w:lineRule="auto"/>
              <w:jc w:val="center"/>
              <w:rPr>
                <w:rFonts w:ascii="Times New Roman" w:eastAsia="Times New Roman" w:hAnsi="Times New Roman" w:cs="Times New Roman"/>
                <w:noProof/>
                <w:sz w:val="24"/>
                <w:szCs w:val="24"/>
                <w:lang w:eastAsia="en-IE"/>
              </w:rPr>
            </w:pPr>
            <w:r w:rsidRPr="00511B6F">
              <w:rPr>
                <w:rFonts w:ascii="Times New Roman" w:hAnsi="Times New Roman" w:cs="Times New Roman"/>
                <w:b/>
                <w:noProof/>
                <w:sz w:val="24"/>
                <w:szCs w:val="24"/>
              </w:rPr>
              <w:t>Until 30.04.2004</w:t>
            </w:r>
          </w:p>
        </w:tc>
        <w:tc>
          <w:tcPr>
            <w:tcW w:w="1867" w:type="dxa"/>
            <w:tcBorders>
              <w:top w:val="single" w:sz="8" w:space="0" w:color="000000"/>
              <w:left w:val="nil"/>
              <w:bottom w:val="single" w:sz="8" w:space="0" w:color="C0C0C0"/>
              <w:right w:val="single" w:sz="4" w:space="0" w:color="000000"/>
            </w:tcBorders>
            <w:shd w:val="clear" w:color="auto" w:fill="auto"/>
            <w:vAlign w:val="center"/>
            <w:hideMark/>
          </w:tcPr>
          <w:p w14:paraId="787D629D" w14:textId="0F60ECE8" w:rsidR="000929DD" w:rsidRPr="00170470" w:rsidRDefault="001F75FD" w:rsidP="00BE6857">
            <w:pPr>
              <w:spacing w:after="0" w:line="240" w:lineRule="auto"/>
              <w:jc w:val="center"/>
              <w:rPr>
                <w:rFonts w:ascii="Times New Roman" w:eastAsia="Times New Roman" w:hAnsi="Times New Roman" w:cs="Times New Roman"/>
                <w:noProof/>
                <w:sz w:val="24"/>
                <w:szCs w:val="24"/>
                <w:lang w:eastAsia="en-IE"/>
              </w:rPr>
            </w:pPr>
            <w:r>
              <w:rPr>
                <w:rFonts w:ascii="Times New Roman" w:eastAsia="Times New Roman" w:hAnsi="Times New Roman" w:cs="Times New Roman"/>
                <w:noProof/>
                <w:sz w:val="24"/>
                <w:szCs w:val="24"/>
                <w:lang w:eastAsia="en-IE"/>
              </w:rPr>
              <w:t xml:space="preserve">18 </w:t>
            </w:r>
            <w:r w:rsidR="000929DD" w:rsidRPr="00170470">
              <w:rPr>
                <w:rFonts w:ascii="Times New Roman" w:eastAsia="Times New Roman" w:hAnsi="Times New Roman" w:cs="Times New Roman"/>
                <w:noProof/>
                <w:sz w:val="24"/>
                <w:szCs w:val="24"/>
                <w:lang w:eastAsia="en-IE"/>
              </w:rPr>
              <w:t>291</w:t>
            </w:r>
          </w:p>
        </w:tc>
        <w:tc>
          <w:tcPr>
            <w:tcW w:w="1187" w:type="dxa"/>
            <w:tcBorders>
              <w:top w:val="single" w:sz="8" w:space="0" w:color="000000"/>
              <w:left w:val="nil"/>
              <w:bottom w:val="single" w:sz="8" w:space="0" w:color="C0C0C0"/>
              <w:right w:val="single" w:sz="4" w:space="0" w:color="auto"/>
            </w:tcBorders>
            <w:shd w:val="clear" w:color="auto" w:fill="auto"/>
            <w:vAlign w:val="center"/>
            <w:hideMark/>
          </w:tcPr>
          <w:p w14:paraId="7D3D2278" w14:textId="2A892C20" w:rsidR="000929DD" w:rsidRPr="00170470" w:rsidRDefault="001F75FD" w:rsidP="00BE6857">
            <w:pPr>
              <w:spacing w:after="0" w:line="240" w:lineRule="auto"/>
              <w:jc w:val="center"/>
              <w:rPr>
                <w:rFonts w:ascii="Times New Roman" w:eastAsia="Times New Roman" w:hAnsi="Times New Roman" w:cs="Times New Roman"/>
                <w:noProof/>
                <w:sz w:val="24"/>
                <w:szCs w:val="24"/>
                <w:lang w:eastAsia="en-IE"/>
              </w:rPr>
            </w:pPr>
            <w:r>
              <w:rPr>
                <w:rFonts w:ascii="Times New Roman" w:eastAsia="Times New Roman" w:hAnsi="Times New Roman" w:cs="Times New Roman"/>
                <w:noProof/>
                <w:sz w:val="24"/>
                <w:szCs w:val="24"/>
                <w:lang w:eastAsia="en-IE"/>
              </w:rPr>
              <w:t>89.</w:t>
            </w:r>
            <w:r w:rsidR="000929DD" w:rsidRPr="00170470">
              <w:rPr>
                <w:rFonts w:ascii="Times New Roman" w:eastAsia="Times New Roman" w:hAnsi="Times New Roman" w:cs="Times New Roman"/>
                <w:noProof/>
                <w:sz w:val="24"/>
                <w:szCs w:val="24"/>
                <w:lang w:eastAsia="en-IE"/>
              </w:rPr>
              <w:t>6%</w:t>
            </w:r>
          </w:p>
        </w:tc>
      </w:tr>
      <w:tr w:rsidR="000929DD" w:rsidRPr="00486A62" w14:paraId="79069265" w14:textId="77777777" w:rsidTr="00BE6857">
        <w:trPr>
          <w:trHeight w:val="400"/>
        </w:trPr>
        <w:tc>
          <w:tcPr>
            <w:tcW w:w="1650" w:type="dxa"/>
            <w:tcBorders>
              <w:top w:val="nil"/>
              <w:left w:val="single" w:sz="4" w:space="0" w:color="auto"/>
              <w:bottom w:val="single" w:sz="8" w:space="0" w:color="C0C0C0"/>
              <w:right w:val="single" w:sz="4" w:space="0" w:color="000000"/>
            </w:tcBorders>
            <w:shd w:val="clear" w:color="auto" w:fill="auto"/>
            <w:hideMark/>
          </w:tcPr>
          <w:p w14:paraId="656BF1F9" w14:textId="77777777" w:rsidR="000929DD" w:rsidRPr="00170470" w:rsidRDefault="000929DD" w:rsidP="00BE6857">
            <w:pPr>
              <w:spacing w:after="0" w:line="240" w:lineRule="auto"/>
              <w:jc w:val="center"/>
              <w:rPr>
                <w:rFonts w:ascii="Times New Roman" w:eastAsia="Times New Roman" w:hAnsi="Times New Roman" w:cs="Times New Roman"/>
                <w:noProof/>
                <w:sz w:val="24"/>
                <w:szCs w:val="24"/>
                <w:lang w:eastAsia="en-IE"/>
              </w:rPr>
            </w:pPr>
            <w:r w:rsidRPr="00511B6F">
              <w:rPr>
                <w:rFonts w:ascii="Times New Roman" w:hAnsi="Times New Roman" w:cs="Times New Roman"/>
                <w:b/>
                <w:noProof/>
                <w:sz w:val="24"/>
                <w:szCs w:val="24"/>
              </w:rPr>
              <w:t>As from 01.05.2004</w:t>
            </w:r>
          </w:p>
        </w:tc>
        <w:tc>
          <w:tcPr>
            <w:tcW w:w="1867" w:type="dxa"/>
            <w:tcBorders>
              <w:top w:val="nil"/>
              <w:left w:val="nil"/>
              <w:bottom w:val="single" w:sz="8" w:space="0" w:color="C0C0C0"/>
              <w:right w:val="single" w:sz="4" w:space="0" w:color="000000"/>
            </w:tcBorders>
            <w:shd w:val="clear" w:color="auto" w:fill="auto"/>
            <w:vAlign w:val="center"/>
            <w:hideMark/>
          </w:tcPr>
          <w:p w14:paraId="792EC9F3" w14:textId="77777777" w:rsidR="000929DD" w:rsidRPr="00170470" w:rsidRDefault="000929DD" w:rsidP="00BE6857">
            <w:pPr>
              <w:spacing w:after="0" w:line="240" w:lineRule="auto"/>
              <w:jc w:val="center"/>
              <w:rPr>
                <w:rFonts w:ascii="Times New Roman" w:eastAsia="Times New Roman" w:hAnsi="Times New Roman" w:cs="Times New Roman"/>
                <w:noProof/>
                <w:sz w:val="24"/>
                <w:szCs w:val="24"/>
                <w:lang w:eastAsia="en-IE"/>
              </w:rPr>
            </w:pPr>
            <w:r w:rsidRPr="00170470">
              <w:rPr>
                <w:rFonts w:ascii="Times New Roman" w:eastAsia="Times New Roman" w:hAnsi="Times New Roman" w:cs="Times New Roman"/>
                <w:noProof/>
                <w:sz w:val="24"/>
                <w:szCs w:val="24"/>
                <w:lang w:eastAsia="en-IE"/>
              </w:rPr>
              <w:t>1.883</w:t>
            </w:r>
          </w:p>
        </w:tc>
        <w:tc>
          <w:tcPr>
            <w:tcW w:w="1187" w:type="dxa"/>
            <w:tcBorders>
              <w:top w:val="nil"/>
              <w:left w:val="nil"/>
              <w:bottom w:val="single" w:sz="8" w:space="0" w:color="C0C0C0"/>
              <w:right w:val="single" w:sz="4" w:space="0" w:color="auto"/>
            </w:tcBorders>
            <w:shd w:val="clear" w:color="auto" w:fill="auto"/>
            <w:vAlign w:val="center"/>
            <w:hideMark/>
          </w:tcPr>
          <w:p w14:paraId="13067015" w14:textId="09DB2DC2" w:rsidR="000929DD" w:rsidRPr="00170470" w:rsidRDefault="000929DD" w:rsidP="001F75FD">
            <w:pPr>
              <w:spacing w:after="0" w:line="240" w:lineRule="auto"/>
              <w:jc w:val="center"/>
              <w:rPr>
                <w:rFonts w:ascii="Times New Roman" w:eastAsia="Times New Roman" w:hAnsi="Times New Roman" w:cs="Times New Roman"/>
                <w:noProof/>
                <w:sz w:val="24"/>
                <w:szCs w:val="24"/>
                <w:lang w:eastAsia="en-IE"/>
              </w:rPr>
            </w:pPr>
            <w:r w:rsidRPr="00170470">
              <w:rPr>
                <w:rFonts w:ascii="Times New Roman" w:eastAsia="Times New Roman" w:hAnsi="Times New Roman" w:cs="Times New Roman"/>
                <w:noProof/>
                <w:sz w:val="24"/>
                <w:szCs w:val="24"/>
                <w:lang w:eastAsia="en-IE"/>
              </w:rPr>
              <w:t>9</w:t>
            </w:r>
            <w:r w:rsidR="001F75FD">
              <w:rPr>
                <w:rFonts w:ascii="Times New Roman" w:eastAsia="Times New Roman" w:hAnsi="Times New Roman" w:cs="Times New Roman"/>
                <w:noProof/>
                <w:sz w:val="24"/>
                <w:szCs w:val="24"/>
                <w:lang w:eastAsia="en-IE"/>
              </w:rPr>
              <w:t>.</w:t>
            </w:r>
            <w:r w:rsidRPr="00170470">
              <w:rPr>
                <w:rFonts w:ascii="Times New Roman" w:eastAsia="Times New Roman" w:hAnsi="Times New Roman" w:cs="Times New Roman"/>
                <w:noProof/>
                <w:sz w:val="24"/>
                <w:szCs w:val="24"/>
                <w:lang w:eastAsia="en-IE"/>
              </w:rPr>
              <w:t>2%</w:t>
            </w:r>
          </w:p>
        </w:tc>
      </w:tr>
      <w:tr w:rsidR="000929DD" w:rsidRPr="00486A62" w14:paraId="5B29406D" w14:textId="77777777" w:rsidTr="00BE6857">
        <w:trPr>
          <w:trHeight w:val="400"/>
        </w:trPr>
        <w:tc>
          <w:tcPr>
            <w:tcW w:w="1650" w:type="dxa"/>
            <w:tcBorders>
              <w:top w:val="nil"/>
              <w:left w:val="single" w:sz="4" w:space="0" w:color="auto"/>
              <w:bottom w:val="single" w:sz="4" w:space="0" w:color="auto"/>
              <w:right w:val="single" w:sz="4" w:space="0" w:color="000000"/>
            </w:tcBorders>
            <w:shd w:val="clear" w:color="auto" w:fill="auto"/>
            <w:hideMark/>
          </w:tcPr>
          <w:p w14:paraId="0C2B1273" w14:textId="77777777" w:rsidR="000929DD" w:rsidRPr="00170470" w:rsidRDefault="000929DD" w:rsidP="00BE6857">
            <w:pPr>
              <w:spacing w:after="0" w:line="240" w:lineRule="auto"/>
              <w:jc w:val="center"/>
              <w:rPr>
                <w:rFonts w:ascii="Times New Roman" w:eastAsia="Times New Roman" w:hAnsi="Times New Roman" w:cs="Times New Roman"/>
                <w:noProof/>
                <w:sz w:val="24"/>
                <w:szCs w:val="24"/>
                <w:lang w:eastAsia="en-IE"/>
              </w:rPr>
            </w:pPr>
            <w:r w:rsidRPr="00511B6F">
              <w:rPr>
                <w:rFonts w:ascii="Times New Roman" w:hAnsi="Times New Roman" w:cs="Times New Roman"/>
                <w:b/>
                <w:noProof/>
                <w:sz w:val="24"/>
                <w:szCs w:val="24"/>
              </w:rPr>
              <w:t>As from 01.01.2014</w:t>
            </w:r>
          </w:p>
        </w:tc>
        <w:tc>
          <w:tcPr>
            <w:tcW w:w="1867" w:type="dxa"/>
            <w:tcBorders>
              <w:top w:val="nil"/>
              <w:left w:val="nil"/>
              <w:bottom w:val="single" w:sz="4" w:space="0" w:color="auto"/>
              <w:right w:val="single" w:sz="4" w:space="0" w:color="000000"/>
            </w:tcBorders>
            <w:shd w:val="clear" w:color="auto" w:fill="auto"/>
            <w:vAlign w:val="center"/>
            <w:hideMark/>
          </w:tcPr>
          <w:p w14:paraId="6B6F6CAA" w14:textId="77777777" w:rsidR="000929DD" w:rsidRPr="00170470" w:rsidRDefault="000929DD" w:rsidP="00BE6857">
            <w:pPr>
              <w:spacing w:after="0" w:line="240" w:lineRule="auto"/>
              <w:jc w:val="center"/>
              <w:rPr>
                <w:rFonts w:ascii="Times New Roman" w:eastAsia="Times New Roman" w:hAnsi="Times New Roman" w:cs="Times New Roman"/>
                <w:noProof/>
                <w:sz w:val="24"/>
                <w:szCs w:val="24"/>
                <w:lang w:eastAsia="en-IE"/>
              </w:rPr>
            </w:pPr>
            <w:r w:rsidRPr="00170470">
              <w:rPr>
                <w:rFonts w:ascii="Times New Roman" w:eastAsia="Times New Roman" w:hAnsi="Times New Roman" w:cs="Times New Roman"/>
                <w:noProof/>
                <w:sz w:val="24"/>
                <w:szCs w:val="24"/>
                <w:lang w:eastAsia="en-IE"/>
              </w:rPr>
              <w:t>236</w:t>
            </w:r>
          </w:p>
        </w:tc>
        <w:tc>
          <w:tcPr>
            <w:tcW w:w="1187" w:type="dxa"/>
            <w:tcBorders>
              <w:top w:val="nil"/>
              <w:left w:val="nil"/>
              <w:bottom w:val="single" w:sz="4" w:space="0" w:color="auto"/>
              <w:right w:val="single" w:sz="4" w:space="0" w:color="auto"/>
            </w:tcBorders>
            <w:shd w:val="clear" w:color="auto" w:fill="auto"/>
            <w:vAlign w:val="center"/>
            <w:hideMark/>
          </w:tcPr>
          <w:p w14:paraId="2CA89A03" w14:textId="6744D7D2" w:rsidR="000929DD" w:rsidRPr="00170470" w:rsidRDefault="000929DD" w:rsidP="001F75FD">
            <w:pPr>
              <w:spacing w:after="0" w:line="240" w:lineRule="auto"/>
              <w:jc w:val="center"/>
              <w:rPr>
                <w:rFonts w:ascii="Times New Roman" w:eastAsia="Times New Roman" w:hAnsi="Times New Roman" w:cs="Times New Roman"/>
                <w:noProof/>
                <w:sz w:val="24"/>
                <w:szCs w:val="24"/>
                <w:lang w:eastAsia="en-IE"/>
              </w:rPr>
            </w:pPr>
            <w:r w:rsidRPr="00170470">
              <w:rPr>
                <w:rFonts w:ascii="Times New Roman" w:eastAsia="Times New Roman" w:hAnsi="Times New Roman" w:cs="Times New Roman"/>
                <w:noProof/>
                <w:sz w:val="24"/>
                <w:szCs w:val="24"/>
                <w:lang w:eastAsia="en-IE"/>
              </w:rPr>
              <w:t>1</w:t>
            </w:r>
            <w:r w:rsidR="001F75FD">
              <w:rPr>
                <w:rFonts w:ascii="Times New Roman" w:eastAsia="Times New Roman" w:hAnsi="Times New Roman" w:cs="Times New Roman"/>
                <w:noProof/>
                <w:sz w:val="24"/>
                <w:szCs w:val="24"/>
                <w:lang w:eastAsia="en-IE"/>
              </w:rPr>
              <w:t>.</w:t>
            </w:r>
            <w:r w:rsidRPr="00170470">
              <w:rPr>
                <w:rFonts w:ascii="Times New Roman" w:eastAsia="Times New Roman" w:hAnsi="Times New Roman" w:cs="Times New Roman"/>
                <w:noProof/>
                <w:sz w:val="24"/>
                <w:szCs w:val="24"/>
                <w:lang w:eastAsia="en-IE"/>
              </w:rPr>
              <w:t>2%</w:t>
            </w:r>
          </w:p>
        </w:tc>
      </w:tr>
    </w:tbl>
    <w:p w14:paraId="58997F8C" w14:textId="60814539" w:rsidR="000929DD" w:rsidRDefault="000929DD" w:rsidP="000929DD">
      <w:pPr>
        <w:rPr>
          <w:rFonts w:ascii="Times New Roman" w:hAnsi="Times New Roman" w:cs="Times New Roman"/>
          <w:noProof/>
          <w:sz w:val="24"/>
        </w:rPr>
      </w:pPr>
    </w:p>
    <w:p w14:paraId="5A4996AA" w14:textId="004E0C99" w:rsidR="00FE1F18" w:rsidRDefault="00FE1F18" w:rsidP="000929DD">
      <w:pPr>
        <w:rPr>
          <w:rFonts w:ascii="Times New Roman" w:hAnsi="Times New Roman" w:cs="Times New Roman"/>
          <w:noProof/>
          <w:sz w:val="24"/>
        </w:rPr>
      </w:pPr>
      <w:r>
        <w:rPr>
          <w:rFonts w:ascii="Times New Roman" w:hAnsi="Times New Roman" w:cs="Times New Roman"/>
          <w:noProof/>
          <w:sz w:val="24"/>
          <w:lang w:val="en-GB" w:eastAsia="en-GB"/>
        </w:rPr>
        <w:drawing>
          <wp:inline distT="0" distB="0" distL="0" distR="0" wp14:anchorId="4D45FB1C" wp14:editId="4A020B7C">
            <wp:extent cx="5486400" cy="3200400"/>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BEF18F" w14:textId="4848BA90" w:rsidR="000929DD" w:rsidRDefault="000929DD" w:rsidP="000929DD">
      <w:pPr>
        <w:rPr>
          <w:rFonts w:ascii="Times New Roman" w:hAnsi="Times New Roman" w:cs="Times New Roman"/>
          <w:noProof/>
          <w:sz w:val="24"/>
        </w:rPr>
      </w:pPr>
      <w:r>
        <w:rPr>
          <w:rFonts w:ascii="Times New Roman" w:hAnsi="Times New Roman" w:cs="Times New Roman"/>
          <w:noProof/>
          <w:sz w:val="24"/>
        </w:rPr>
        <w:t xml:space="preserve">Annex 11: </w:t>
      </w:r>
      <w:r w:rsidRPr="00742D95">
        <w:rPr>
          <w:rFonts w:ascii="Times New Roman" w:hAnsi="Times New Roman" w:cs="Times New Roman"/>
          <w:noProof/>
          <w:sz w:val="24"/>
        </w:rPr>
        <w:t xml:space="preserve">Proceeds from staff members’ pension contributions </w:t>
      </w:r>
    </w:p>
    <w:tbl>
      <w:tblPr>
        <w:tblStyle w:val="TableGrid"/>
        <w:tblW w:w="0" w:type="auto"/>
        <w:tblLook w:val="04A0" w:firstRow="1" w:lastRow="0" w:firstColumn="1" w:lastColumn="0" w:noHBand="0" w:noVBand="1"/>
      </w:tblPr>
      <w:tblGrid>
        <w:gridCol w:w="1101"/>
        <w:gridCol w:w="3260"/>
      </w:tblGrid>
      <w:tr w:rsidR="000929DD" w14:paraId="68833978" w14:textId="77777777" w:rsidTr="00BE6857">
        <w:tc>
          <w:tcPr>
            <w:tcW w:w="1101" w:type="dxa"/>
            <w:shd w:val="clear" w:color="auto" w:fill="E2EFD9" w:themeFill="accent6" w:themeFillTint="33"/>
          </w:tcPr>
          <w:p w14:paraId="1F45AA4E" w14:textId="77777777" w:rsidR="000929DD" w:rsidRPr="00170470" w:rsidRDefault="000929DD" w:rsidP="00BE6857">
            <w:pPr>
              <w:jc w:val="center"/>
              <w:rPr>
                <w:rFonts w:ascii="Times New Roman" w:eastAsia="Times New Roman" w:hAnsi="Times New Roman" w:cs="Times New Roman"/>
                <w:b/>
                <w:bCs/>
                <w:noProof/>
                <w:sz w:val="24"/>
                <w:szCs w:val="24"/>
                <w:lang w:eastAsia="en-IE"/>
              </w:rPr>
            </w:pPr>
            <w:r w:rsidRPr="00170470">
              <w:rPr>
                <w:rFonts w:ascii="Times New Roman" w:eastAsia="Times New Roman" w:hAnsi="Times New Roman" w:cs="Times New Roman"/>
                <w:b/>
                <w:bCs/>
                <w:noProof/>
                <w:sz w:val="24"/>
                <w:szCs w:val="24"/>
                <w:lang w:eastAsia="en-IE"/>
              </w:rPr>
              <w:t>Year</w:t>
            </w:r>
          </w:p>
        </w:tc>
        <w:tc>
          <w:tcPr>
            <w:tcW w:w="3260" w:type="dxa"/>
            <w:tcBorders>
              <w:bottom w:val="single" w:sz="4" w:space="0" w:color="auto"/>
            </w:tcBorders>
            <w:shd w:val="clear" w:color="auto" w:fill="E2EFD9" w:themeFill="accent6" w:themeFillTint="33"/>
          </w:tcPr>
          <w:p w14:paraId="4EA34462" w14:textId="103D739F" w:rsidR="000929DD" w:rsidRPr="00170470" w:rsidRDefault="000929DD" w:rsidP="00BE6857">
            <w:pPr>
              <w:jc w:val="center"/>
              <w:rPr>
                <w:rFonts w:ascii="Times New Roman" w:eastAsia="Times New Roman" w:hAnsi="Times New Roman" w:cs="Times New Roman"/>
                <w:b/>
                <w:bCs/>
                <w:noProof/>
                <w:sz w:val="24"/>
                <w:szCs w:val="24"/>
                <w:lang w:eastAsia="en-IE"/>
              </w:rPr>
            </w:pPr>
            <w:r w:rsidRPr="00170470">
              <w:rPr>
                <w:rFonts w:ascii="Times New Roman" w:eastAsia="Times New Roman" w:hAnsi="Times New Roman" w:cs="Times New Roman"/>
                <w:b/>
                <w:bCs/>
                <w:noProof/>
                <w:sz w:val="24"/>
                <w:szCs w:val="24"/>
                <w:lang w:eastAsia="en-IE"/>
              </w:rPr>
              <w:t xml:space="preserve">Proceeds from staff members’ pension contributions </w:t>
            </w:r>
            <w:r w:rsidR="00D23F9C">
              <w:rPr>
                <w:rFonts w:ascii="Times New Roman" w:eastAsia="Times New Roman" w:hAnsi="Times New Roman" w:cs="Times New Roman"/>
                <w:b/>
                <w:bCs/>
                <w:noProof/>
                <w:sz w:val="24"/>
                <w:szCs w:val="24"/>
                <w:lang w:eastAsia="en-IE"/>
              </w:rPr>
              <w:br/>
            </w:r>
            <w:r w:rsidRPr="00170470">
              <w:rPr>
                <w:rFonts w:ascii="Times New Roman" w:eastAsia="Times New Roman" w:hAnsi="Times New Roman" w:cs="Times New Roman"/>
                <w:b/>
                <w:bCs/>
                <w:noProof/>
                <w:sz w:val="24"/>
                <w:szCs w:val="24"/>
                <w:lang w:eastAsia="en-IE"/>
              </w:rPr>
              <w:t>(</w:t>
            </w:r>
            <w:r w:rsidR="00D23F9C">
              <w:rPr>
                <w:rFonts w:ascii="Times New Roman" w:eastAsia="Times New Roman" w:hAnsi="Times New Roman" w:cs="Times New Roman"/>
                <w:b/>
                <w:bCs/>
                <w:noProof/>
                <w:sz w:val="24"/>
                <w:szCs w:val="24"/>
                <w:lang w:eastAsia="en-IE"/>
              </w:rPr>
              <w:t xml:space="preserve">in </w:t>
            </w:r>
            <w:r w:rsidRPr="00170470">
              <w:rPr>
                <w:rFonts w:ascii="Times New Roman" w:eastAsia="Times New Roman" w:hAnsi="Times New Roman" w:cs="Times New Roman"/>
                <w:b/>
                <w:bCs/>
                <w:noProof/>
                <w:sz w:val="24"/>
                <w:szCs w:val="24"/>
                <w:lang w:eastAsia="en-IE"/>
              </w:rPr>
              <w:t>million</w:t>
            </w:r>
            <w:r w:rsidR="00D23F9C">
              <w:rPr>
                <w:rFonts w:ascii="Times New Roman" w:eastAsia="Times New Roman" w:hAnsi="Times New Roman" w:cs="Times New Roman"/>
                <w:b/>
                <w:bCs/>
                <w:noProof/>
                <w:sz w:val="24"/>
                <w:szCs w:val="24"/>
                <w:lang w:eastAsia="en-IE"/>
              </w:rPr>
              <w:t xml:space="preserve"> EUR</w:t>
            </w:r>
            <w:r w:rsidRPr="00170470">
              <w:rPr>
                <w:rFonts w:ascii="Times New Roman" w:eastAsia="Times New Roman" w:hAnsi="Times New Roman" w:cs="Times New Roman"/>
                <w:b/>
                <w:bCs/>
                <w:noProof/>
                <w:sz w:val="24"/>
                <w:szCs w:val="24"/>
                <w:lang w:eastAsia="en-IE"/>
              </w:rPr>
              <w:t>)</w:t>
            </w:r>
          </w:p>
        </w:tc>
      </w:tr>
      <w:tr w:rsidR="000929DD" w14:paraId="2A141C10" w14:textId="77777777" w:rsidTr="00BE6857">
        <w:tc>
          <w:tcPr>
            <w:tcW w:w="1101" w:type="dxa"/>
          </w:tcPr>
          <w:p w14:paraId="0D409095"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2014</w:t>
            </w:r>
          </w:p>
        </w:tc>
        <w:tc>
          <w:tcPr>
            <w:tcW w:w="3260" w:type="dxa"/>
            <w:tcBorders>
              <w:top w:val="single" w:sz="4" w:space="0" w:color="auto"/>
              <w:left w:val="nil"/>
              <w:bottom w:val="single" w:sz="4" w:space="0" w:color="auto"/>
              <w:right w:val="single" w:sz="4" w:space="0" w:color="auto"/>
            </w:tcBorders>
            <w:shd w:val="clear" w:color="auto" w:fill="FFFFFF" w:themeFill="background1"/>
            <w:vAlign w:val="bottom"/>
          </w:tcPr>
          <w:p w14:paraId="00F74B65" w14:textId="67DB0B62" w:rsidR="000929DD"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348</w:t>
            </w:r>
            <w:r w:rsidR="00B4032B">
              <w:rPr>
                <w:rFonts w:ascii="Times New Roman" w:hAnsi="Times New Roman" w:cs="Times New Roman"/>
                <w:noProof/>
                <w:sz w:val="24"/>
              </w:rPr>
              <w:t>.</w:t>
            </w:r>
            <w:r>
              <w:rPr>
                <w:rFonts w:ascii="Times New Roman" w:hAnsi="Times New Roman" w:cs="Times New Roman"/>
                <w:noProof/>
                <w:sz w:val="24"/>
              </w:rPr>
              <w:t>7</w:t>
            </w:r>
          </w:p>
        </w:tc>
      </w:tr>
      <w:tr w:rsidR="000929DD" w14:paraId="00B24C49" w14:textId="77777777" w:rsidTr="00BE6857">
        <w:tc>
          <w:tcPr>
            <w:tcW w:w="1101" w:type="dxa"/>
          </w:tcPr>
          <w:p w14:paraId="60855865"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2015</w:t>
            </w:r>
          </w:p>
        </w:tc>
        <w:tc>
          <w:tcPr>
            <w:tcW w:w="3260" w:type="dxa"/>
            <w:tcBorders>
              <w:top w:val="single" w:sz="4" w:space="0" w:color="auto"/>
              <w:left w:val="nil"/>
              <w:bottom w:val="single" w:sz="4" w:space="0" w:color="auto"/>
              <w:right w:val="single" w:sz="4" w:space="0" w:color="auto"/>
            </w:tcBorders>
            <w:shd w:val="clear" w:color="auto" w:fill="FFFFFF" w:themeFill="background1"/>
            <w:vAlign w:val="bottom"/>
          </w:tcPr>
          <w:p w14:paraId="769D0413" w14:textId="14C351CC" w:rsidR="000929DD"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425</w:t>
            </w:r>
            <w:r w:rsidR="00B4032B">
              <w:rPr>
                <w:rFonts w:ascii="Times New Roman" w:hAnsi="Times New Roman" w:cs="Times New Roman"/>
                <w:noProof/>
                <w:sz w:val="24"/>
              </w:rPr>
              <w:t>.</w:t>
            </w:r>
            <w:r w:rsidRPr="00170470">
              <w:rPr>
                <w:rFonts w:ascii="Times New Roman" w:hAnsi="Times New Roman" w:cs="Times New Roman"/>
                <w:noProof/>
                <w:sz w:val="24"/>
              </w:rPr>
              <w:t>6</w:t>
            </w:r>
          </w:p>
        </w:tc>
      </w:tr>
      <w:tr w:rsidR="000929DD" w14:paraId="52DF6E5C" w14:textId="77777777" w:rsidTr="00BE6857">
        <w:tc>
          <w:tcPr>
            <w:tcW w:w="1101" w:type="dxa"/>
          </w:tcPr>
          <w:p w14:paraId="532537E7"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2016</w:t>
            </w:r>
          </w:p>
        </w:tc>
        <w:tc>
          <w:tcPr>
            <w:tcW w:w="3260" w:type="dxa"/>
            <w:tcBorders>
              <w:top w:val="single" w:sz="4" w:space="0" w:color="auto"/>
              <w:left w:val="nil"/>
              <w:bottom w:val="single" w:sz="4" w:space="0" w:color="auto"/>
              <w:right w:val="single" w:sz="4" w:space="0" w:color="auto"/>
            </w:tcBorders>
            <w:shd w:val="clear" w:color="auto" w:fill="FFFFFF" w:themeFill="background1"/>
            <w:vAlign w:val="bottom"/>
          </w:tcPr>
          <w:p w14:paraId="55DE7947" w14:textId="5B813752" w:rsidR="000929DD"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441</w:t>
            </w:r>
            <w:r w:rsidR="00B4032B">
              <w:rPr>
                <w:rFonts w:ascii="Times New Roman" w:hAnsi="Times New Roman" w:cs="Times New Roman"/>
                <w:noProof/>
                <w:sz w:val="24"/>
              </w:rPr>
              <w:t>.</w:t>
            </w:r>
            <w:r>
              <w:rPr>
                <w:rFonts w:ascii="Times New Roman" w:hAnsi="Times New Roman" w:cs="Times New Roman"/>
                <w:noProof/>
                <w:sz w:val="24"/>
              </w:rPr>
              <w:t>8</w:t>
            </w:r>
          </w:p>
        </w:tc>
      </w:tr>
      <w:tr w:rsidR="000929DD" w14:paraId="5DA12D34" w14:textId="77777777" w:rsidTr="00BE6857">
        <w:tc>
          <w:tcPr>
            <w:tcW w:w="1101" w:type="dxa"/>
          </w:tcPr>
          <w:p w14:paraId="6099A9E5"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2017</w:t>
            </w:r>
          </w:p>
        </w:tc>
        <w:tc>
          <w:tcPr>
            <w:tcW w:w="3260" w:type="dxa"/>
            <w:tcBorders>
              <w:top w:val="single" w:sz="4" w:space="0" w:color="auto"/>
              <w:left w:val="nil"/>
              <w:bottom w:val="single" w:sz="4" w:space="0" w:color="auto"/>
              <w:right w:val="single" w:sz="4" w:space="0" w:color="auto"/>
            </w:tcBorders>
            <w:shd w:val="clear" w:color="auto" w:fill="FFFFFF" w:themeFill="background1"/>
            <w:vAlign w:val="bottom"/>
          </w:tcPr>
          <w:p w14:paraId="0217944E" w14:textId="1A0FC915" w:rsidR="000929DD"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449</w:t>
            </w:r>
            <w:r w:rsidR="00B4032B">
              <w:rPr>
                <w:rFonts w:ascii="Times New Roman" w:hAnsi="Times New Roman" w:cs="Times New Roman"/>
                <w:noProof/>
                <w:sz w:val="24"/>
              </w:rPr>
              <w:t>.</w:t>
            </w:r>
            <w:r w:rsidRPr="00170470">
              <w:rPr>
                <w:rFonts w:ascii="Times New Roman" w:hAnsi="Times New Roman" w:cs="Times New Roman"/>
                <w:noProof/>
                <w:sz w:val="24"/>
              </w:rPr>
              <w:t>2</w:t>
            </w:r>
          </w:p>
        </w:tc>
      </w:tr>
      <w:tr w:rsidR="000929DD" w14:paraId="12C68990" w14:textId="77777777" w:rsidTr="00BE6857">
        <w:tc>
          <w:tcPr>
            <w:tcW w:w="1101" w:type="dxa"/>
          </w:tcPr>
          <w:p w14:paraId="0B501EEE"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2018</w:t>
            </w:r>
          </w:p>
        </w:tc>
        <w:tc>
          <w:tcPr>
            <w:tcW w:w="3260" w:type="dxa"/>
            <w:tcBorders>
              <w:top w:val="single" w:sz="4" w:space="0" w:color="auto"/>
              <w:left w:val="nil"/>
              <w:bottom w:val="single" w:sz="4" w:space="0" w:color="auto"/>
              <w:right w:val="single" w:sz="4" w:space="0" w:color="auto"/>
            </w:tcBorders>
            <w:shd w:val="clear" w:color="auto" w:fill="FFFFFF" w:themeFill="background1"/>
            <w:vAlign w:val="bottom"/>
          </w:tcPr>
          <w:p w14:paraId="1BBF3E52" w14:textId="23568D4A" w:rsidR="000929DD"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473</w:t>
            </w:r>
            <w:r w:rsidR="00B4032B">
              <w:rPr>
                <w:rFonts w:ascii="Times New Roman" w:hAnsi="Times New Roman" w:cs="Times New Roman"/>
                <w:noProof/>
                <w:sz w:val="24"/>
              </w:rPr>
              <w:t>.</w:t>
            </w:r>
            <w:r>
              <w:rPr>
                <w:rFonts w:ascii="Times New Roman" w:hAnsi="Times New Roman" w:cs="Times New Roman"/>
                <w:noProof/>
                <w:sz w:val="24"/>
              </w:rPr>
              <w:t>6</w:t>
            </w:r>
          </w:p>
        </w:tc>
      </w:tr>
      <w:tr w:rsidR="000929DD" w14:paraId="40B13CF6" w14:textId="77777777" w:rsidTr="00BE6857">
        <w:tc>
          <w:tcPr>
            <w:tcW w:w="1101" w:type="dxa"/>
          </w:tcPr>
          <w:p w14:paraId="65980E82"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2019</w:t>
            </w:r>
          </w:p>
        </w:tc>
        <w:tc>
          <w:tcPr>
            <w:tcW w:w="3260" w:type="dxa"/>
            <w:tcBorders>
              <w:top w:val="single" w:sz="4" w:space="0" w:color="auto"/>
              <w:left w:val="nil"/>
              <w:bottom w:val="single" w:sz="4" w:space="0" w:color="auto"/>
              <w:right w:val="single" w:sz="4" w:space="0" w:color="auto"/>
            </w:tcBorders>
            <w:shd w:val="clear" w:color="auto" w:fill="FFFFFF" w:themeFill="background1"/>
            <w:vAlign w:val="bottom"/>
          </w:tcPr>
          <w:p w14:paraId="15719015" w14:textId="6643F30C" w:rsidR="000929DD"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485</w:t>
            </w:r>
            <w:r w:rsidR="00B4032B">
              <w:rPr>
                <w:rFonts w:ascii="Times New Roman" w:hAnsi="Times New Roman" w:cs="Times New Roman"/>
                <w:noProof/>
                <w:sz w:val="24"/>
              </w:rPr>
              <w:t>.</w:t>
            </w:r>
            <w:r>
              <w:rPr>
                <w:rFonts w:ascii="Times New Roman" w:hAnsi="Times New Roman" w:cs="Times New Roman"/>
                <w:noProof/>
                <w:sz w:val="24"/>
              </w:rPr>
              <w:t>7</w:t>
            </w:r>
          </w:p>
        </w:tc>
      </w:tr>
      <w:tr w:rsidR="000929DD" w14:paraId="110026DD" w14:textId="77777777" w:rsidTr="00BE6857">
        <w:tc>
          <w:tcPr>
            <w:tcW w:w="1101" w:type="dxa"/>
          </w:tcPr>
          <w:p w14:paraId="6A7C8035"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2020</w:t>
            </w:r>
          </w:p>
        </w:tc>
        <w:tc>
          <w:tcPr>
            <w:tcW w:w="3260" w:type="dxa"/>
            <w:tcBorders>
              <w:top w:val="single" w:sz="4" w:space="0" w:color="auto"/>
              <w:left w:val="nil"/>
              <w:bottom w:val="single" w:sz="4" w:space="0" w:color="auto"/>
              <w:right w:val="single" w:sz="4" w:space="0" w:color="auto"/>
            </w:tcBorders>
            <w:shd w:val="clear" w:color="auto" w:fill="FFFFFF" w:themeFill="background1"/>
            <w:vAlign w:val="bottom"/>
          </w:tcPr>
          <w:p w14:paraId="454F5F19" w14:textId="500EDAC1" w:rsidR="000929DD"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504</w:t>
            </w:r>
            <w:r w:rsidR="00B4032B">
              <w:rPr>
                <w:rFonts w:ascii="Times New Roman" w:hAnsi="Times New Roman" w:cs="Times New Roman"/>
                <w:noProof/>
                <w:sz w:val="24"/>
              </w:rPr>
              <w:t>.</w:t>
            </w:r>
            <w:r>
              <w:rPr>
                <w:rFonts w:ascii="Times New Roman" w:hAnsi="Times New Roman" w:cs="Times New Roman"/>
                <w:noProof/>
                <w:sz w:val="24"/>
              </w:rPr>
              <w:t>4</w:t>
            </w:r>
          </w:p>
        </w:tc>
      </w:tr>
      <w:tr w:rsidR="000929DD" w14:paraId="3607E4D0" w14:textId="77777777" w:rsidTr="00BE6857">
        <w:tc>
          <w:tcPr>
            <w:tcW w:w="1101" w:type="dxa"/>
          </w:tcPr>
          <w:p w14:paraId="4DDFAB86"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2021</w:t>
            </w:r>
          </w:p>
        </w:tc>
        <w:tc>
          <w:tcPr>
            <w:tcW w:w="3260" w:type="dxa"/>
            <w:tcBorders>
              <w:top w:val="single" w:sz="4" w:space="0" w:color="auto"/>
              <w:left w:val="nil"/>
              <w:bottom w:val="single" w:sz="4" w:space="0" w:color="auto"/>
              <w:right w:val="single" w:sz="4" w:space="0" w:color="auto"/>
            </w:tcBorders>
            <w:shd w:val="clear" w:color="auto" w:fill="FFFFFF" w:themeFill="background1"/>
            <w:vAlign w:val="bottom"/>
          </w:tcPr>
          <w:p w14:paraId="18C41936" w14:textId="64D253AD" w:rsidR="000929DD"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535</w:t>
            </w:r>
            <w:r w:rsidR="00B4032B">
              <w:rPr>
                <w:rFonts w:ascii="Times New Roman" w:hAnsi="Times New Roman" w:cs="Times New Roman"/>
                <w:noProof/>
                <w:sz w:val="24"/>
              </w:rPr>
              <w:t>.</w:t>
            </w:r>
            <w:r>
              <w:rPr>
                <w:rFonts w:ascii="Times New Roman" w:hAnsi="Times New Roman" w:cs="Times New Roman"/>
                <w:noProof/>
                <w:sz w:val="24"/>
              </w:rPr>
              <w:t>2</w:t>
            </w:r>
          </w:p>
        </w:tc>
      </w:tr>
      <w:tr w:rsidR="000929DD" w14:paraId="2EF718D8" w14:textId="77777777" w:rsidTr="00BE6857">
        <w:tc>
          <w:tcPr>
            <w:tcW w:w="1101" w:type="dxa"/>
          </w:tcPr>
          <w:p w14:paraId="67E1E23E"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2022</w:t>
            </w:r>
          </w:p>
        </w:tc>
        <w:tc>
          <w:tcPr>
            <w:tcW w:w="3260" w:type="dxa"/>
            <w:tcBorders>
              <w:top w:val="single" w:sz="4" w:space="0" w:color="auto"/>
              <w:left w:val="nil"/>
              <w:bottom w:val="single" w:sz="4" w:space="0" w:color="auto"/>
              <w:right w:val="single" w:sz="4" w:space="0" w:color="auto"/>
            </w:tcBorders>
            <w:shd w:val="clear" w:color="auto" w:fill="FFFFFF" w:themeFill="background1"/>
            <w:vAlign w:val="bottom"/>
          </w:tcPr>
          <w:p w14:paraId="5FB146D4" w14:textId="4E07FC7F" w:rsidR="000929DD" w:rsidRDefault="00B4032B" w:rsidP="00BE6857">
            <w:pPr>
              <w:jc w:val="center"/>
              <w:rPr>
                <w:rFonts w:ascii="Times New Roman" w:hAnsi="Times New Roman" w:cs="Times New Roman"/>
                <w:noProof/>
                <w:sz w:val="24"/>
              </w:rPr>
            </w:pPr>
            <w:r>
              <w:rPr>
                <w:rFonts w:ascii="Times New Roman" w:hAnsi="Times New Roman" w:cs="Times New Roman"/>
                <w:noProof/>
                <w:sz w:val="24"/>
              </w:rPr>
              <w:t>553.</w:t>
            </w:r>
            <w:r w:rsidR="000929DD" w:rsidRPr="00170470">
              <w:rPr>
                <w:rFonts w:ascii="Times New Roman" w:hAnsi="Times New Roman" w:cs="Times New Roman"/>
                <w:noProof/>
                <w:sz w:val="24"/>
              </w:rPr>
              <w:t>4</w:t>
            </w:r>
          </w:p>
        </w:tc>
      </w:tr>
      <w:tr w:rsidR="000929DD" w14:paraId="2F3EB452" w14:textId="77777777" w:rsidTr="00BE6857">
        <w:tc>
          <w:tcPr>
            <w:tcW w:w="1101" w:type="dxa"/>
          </w:tcPr>
          <w:p w14:paraId="5880EA8A" w14:textId="77777777" w:rsidR="000929DD" w:rsidRPr="00170470" w:rsidRDefault="000929DD" w:rsidP="00BE6857">
            <w:pPr>
              <w:rPr>
                <w:rFonts w:ascii="Times New Roman" w:hAnsi="Times New Roman" w:cs="Times New Roman"/>
                <w:b/>
                <w:noProof/>
                <w:sz w:val="24"/>
              </w:rPr>
            </w:pPr>
            <w:r w:rsidRPr="00170470">
              <w:rPr>
                <w:rFonts w:ascii="Times New Roman" w:hAnsi="Times New Roman" w:cs="Times New Roman"/>
                <w:b/>
                <w:noProof/>
                <w:sz w:val="24"/>
              </w:rPr>
              <w:t xml:space="preserve">Total </w:t>
            </w:r>
          </w:p>
        </w:tc>
        <w:tc>
          <w:tcPr>
            <w:tcW w:w="3260" w:type="dxa"/>
            <w:tcBorders>
              <w:top w:val="single" w:sz="4" w:space="0" w:color="auto"/>
            </w:tcBorders>
            <w:shd w:val="clear" w:color="auto" w:fill="FFFFFF" w:themeFill="background1"/>
          </w:tcPr>
          <w:p w14:paraId="64B28254" w14:textId="4F5ABE17" w:rsidR="000929DD" w:rsidRPr="00BB6AB9" w:rsidRDefault="000929DD" w:rsidP="00B4032B">
            <w:pPr>
              <w:jc w:val="center"/>
              <w:rPr>
                <w:rFonts w:ascii="Times New Roman" w:hAnsi="Times New Roman" w:cs="Times New Roman"/>
                <w:b/>
                <w:noProof/>
                <w:sz w:val="24"/>
              </w:rPr>
            </w:pPr>
            <w:r w:rsidRPr="00BB6AB9">
              <w:rPr>
                <w:rFonts w:ascii="Times New Roman" w:hAnsi="Times New Roman" w:cs="Times New Roman"/>
                <w:b/>
                <w:noProof/>
                <w:sz w:val="24"/>
              </w:rPr>
              <w:t>42</w:t>
            </w:r>
            <w:r w:rsidR="00B4032B">
              <w:rPr>
                <w:rFonts w:ascii="Times New Roman" w:hAnsi="Times New Roman" w:cs="Times New Roman"/>
                <w:b/>
                <w:noProof/>
                <w:sz w:val="24"/>
              </w:rPr>
              <w:t>17.</w:t>
            </w:r>
            <w:r w:rsidRPr="00BB6AB9">
              <w:rPr>
                <w:rFonts w:ascii="Times New Roman" w:hAnsi="Times New Roman" w:cs="Times New Roman"/>
                <w:b/>
                <w:noProof/>
                <w:sz w:val="24"/>
              </w:rPr>
              <w:t>6</w:t>
            </w:r>
          </w:p>
        </w:tc>
      </w:tr>
    </w:tbl>
    <w:p w14:paraId="13988588" w14:textId="5B9CBB18" w:rsidR="000929DD" w:rsidRDefault="000929DD" w:rsidP="000929DD">
      <w:pPr>
        <w:rPr>
          <w:rFonts w:ascii="Times New Roman" w:hAnsi="Times New Roman" w:cs="Times New Roman"/>
          <w:noProof/>
          <w:sz w:val="24"/>
        </w:rPr>
      </w:pPr>
    </w:p>
    <w:p w14:paraId="5D4780C8" w14:textId="77777777" w:rsidR="000929DD" w:rsidRDefault="000929DD" w:rsidP="000929DD">
      <w:pPr>
        <w:rPr>
          <w:rFonts w:ascii="Times New Roman" w:hAnsi="Times New Roman" w:cs="Times New Roman"/>
          <w:noProof/>
          <w:sz w:val="24"/>
        </w:rPr>
      </w:pPr>
      <w:r>
        <w:rPr>
          <w:rFonts w:ascii="Times New Roman" w:hAnsi="Times New Roman" w:cs="Times New Roman"/>
          <w:noProof/>
          <w:sz w:val="24"/>
        </w:rPr>
        <w:t xml:space="preserve">Annex 12: </w:t>
      </w:r>
      <w:r w:rsidRPr="00374D7E">
        <w:rPr>
          <w:rFonts w:ascii="Times New Roman" w:hAnsi="Times New Roman" w:cs="Times New Roman"/>
          <w:noProof/>
          <w:sz w:val="24"/>
        </w:rPr>
        <w:t xml:space="preserve">Contributions </w:t>
      </w:r>
      <w:r>
        <w:rPr>
          <w:rFonts w:ascii="Times New Roman" w:hAnsi="Times New Roman" w:cs="Times New Roman"/>
          <w:noProof/>
          <w:sz w:val="24"/>
        </w:rPr>
        <w:t>from transfers-in of pension rights</w:t>
      </w:r>
    </w:p>
    <w:tbl>
      <w:tblPr>
        <w:tblStyle w:val="TableGrid"/>
        <w:tblW w:w="0" w:type="auto"/>
        <w:tblLook w:val="04A0" w:firstRow="1" w:lastRow="0" w:firstColumn="1" w:lastColumn="0" w:noHBand="0" w:noVBand="1"/>
      </w:tblPr>
      <w:tblGrid>
        <w:gridCol w:w="1101"/>
        <w:gridCol w:w="3260"/>
      </w:tblGrid>
      <w:tr w:rsidR="000929DD" w14:paraId="217541CF" w14:textId="77777777" w:rsidTr="00BE6857">
        <w:tc>
          <w:tcPr>
            <w:tcW w:w="1101" w:type="dxa"/>
            <w:shd w:val="clear" w:color="auto" w:fill="E2EFD9" w:themeFill="accent6" w:themeFillTint="33"/>
          </w:tcPr>
          <w:p w14:paraId="1B245259" w14:textId="77777777" w:rsidR="000929DD" w:rsidRPr="003506FB" w:rsidRDefault="000929DD" w:rsidP="00BE6857">
            <w:pPr>
              <w:jc w:val="center"/>
              <w:rPr>
                <w:rFonts w:ascii="Times New Roman" w:eastAsia="Times New Roman" w:hAnsi="Times New Roman" w:cs="Times New Roman"/>
                <w:b/>
                <w:bCs/>
                <w:noProof/>
                <w:sz w:val="24"/>
                <w:szCs w:val="24"/>
                <w:lang w:eastAsia="en-IE"/>
              </w:rPr>
            </w:pPr>
            <w:r w:rsidRPr="003506FB">
              <w:rPr>
                <w:rFonts w:ascii="Times New Roman" w:eastAsia="Times New Roman" w:hAnsi="Times New Roman" w:cs="Times New Roman"/>
                <w:b/>
                <w:bCs/>
                <w:noProof/>
                <w:sz w:val="24"/>
                <w:szCs w:val="24"/>
                <w:lang w:eastAsia="en-IE"/>
              </w:rPr>
              <w:t>Year</w:t>
            </w:r>
          </w:p>
        </w:tc>
        <w:tc>
          <w:tcPr>
            <w:tcW w:w="3260" w:type="dxa"/>
            <w:tcBorders>
              <w:bottom w:val="single" w:sz="4" w:space="0" w:color="auto"/>
            </w:tcBorders>
            <w:shd w:val="clear" w:color="auto" w:fill="E2EFD9" w:themeFill="accent6" w:themeFillTint="33"/>
          </w:tcPr>
          <w:p w14:paraId="5B77E411" w14:textId="53EC093D" w:rsidR="000929DD" w:rsidRPr="003506FB" w:rsidRDefault="000929DD" w:rsidP="00BE6857">
            <w:pPr>
              <w:jc w:val="center"/>
              <w:rPr>
                <w:rFonts w:ascii="Times New Roman" w:eastAsia="Times New Roman" w:hAnsi="Times New Roman" w:cs="Times New Roman"/>
                <w:b/>
                <w:bCs/>
                <w:noProof/>
                <w:sz w:val="24"/>
                <w:szCs w:val="24"/>
                <w:lang w:eastAsia="en-IE"/>
              </w:rPr>
            </w:pPr>
            <w:r w:rsidRPr="00742D95">
              <w:rPr>
                <w:rFonts w:ascii="Times New Roman" w:eastAsia="Times New Roman" w:hAnsi="Times New Roman" w:cs="Times New Roman"/>
                <w:b/>
                <w:bCs/>
                <w:noProof/>
                <w:sz w:val="24"/>
                <w:szCs w:val="24"/>
                <w:lang w:eastAsia="en-IE"/>
              </w:rPr>
              <w:t xml:space="preserve">Contributions from transfers-in of pension rights </w:t>
            </w:r>
            <w:r w:rsidRPr="003506FB">
              <w:rPr>
                <w:rFonts w:ascii="Times New Roman" w:eastAsia="Times New Roman" w:hAnsi="Times New Roman" w:cs="Times New Roman"/>
                <w:b/>
                <w:bCs/>
                <w:noProof/>
                <w:sz w:val="24"/>
                <w:szCs w:val="24"/>
                <w:lang w:eastAsia="en-IE"/>
              </w:rPr>
              <w:t>(</w:t>
            </w:r>
            <w:r w:rsidR="00D23F9C">
              <w:rPr>
                <w:rFonts w:ascii="Times New Roman" w:eastAsia="Times New Roman" w:hAnsi="Times New Roman" w:cs="Times New Roman"/>
                <w:b/>
                <w:bCs/>
                <w:noProof/>
                <w:sz w:val="24"/>
                <w:szCs w:val="24"/>
                <w:lang w:eastAsia="en-IE"/>
              </w:rPr>
              <w:t xml:space="preserve">in </w:t>
            </w:r>
            <w:r w:rsidRPr="003506FB">
              <w:rPr>
                <w:rFonts w:ascii="Times New Roman" w:eastAsia="Times New Roman" w:hAnsi="Times New Roman" w:cs="Times New Roman"/>
                <w:b/>
                <w:bCs/>
                <w:noProof/>
                <w:sz w:val="24"/>
                <w:szCs w:val="24"/>
                <w:lang w:eastAsia="en-IE"/>
              </w:rPr>
              <w:t>million</w:t>
            </w:r>
            <w:r w:rsidR="00D23F9C">
              <w:rPr>
                <w:rFonts w:ascii="Times New Roman" w:eastAsia="Times New Roman" w:hAnsi="Times New Roman" w:cs="Times New Roman"/>
                <w:b/>
                <w:bCs/>
                <w:noProof/>
                <w:sz w:val="24"/>
                <w:szCs w:val="24"/>
                <w:lang w:eastAsia="en-IE"/>
              </w:rPr>
              <w:t xml:space="preserve"> EUR</w:t>
            </w:r>
            <w:r w:rsidRPr="003506FB">
              <w:rPr>
                <w:rFonts w:ascii="Times New Roman" w:eastAsia="Times New Roman" w:hAnsi="Times New Roman" w:cs="Times New Roman"/>
                <w:b/>
                <w:bCs/>
                <w:noProof/>
                <w:sz w:val="24"/>
                <w:szCs w:val="24"/>
                <w:lang w:eastAsia="en-IE"/>
              </w:rPr>
              <w:t>)</w:t>
            </w:r>
          </w:p>
        </w:tc>
      </w:tr>
      <w:tr w:rsidR="000929DD" w14:paraId="6B1712C3" w14:textId="77777777" w:rsidTr="00BE6857">
        <w:tc>
          <w:tcPr>
            <w:tcW w:w="1101" w:type="dxa"/>
          </w:tcPr>
          <w:p w14:paraId="2A6A6FAD"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504B12A5" w14:textId="77777777" w:rsidR="000929DD" w:rsidRPr="003506F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109.</w:t>
            </w:r>
            <w:r>
              <w:rPr>
                <w:rFonts w:ascii="Times New Roman" w:hAnsi="Times New Roman" w:cs="Times New Roman"/>
                <w:noProof/>
                <w:sz w:val="24"/>
              </w:rPr>
              <w:t>4</w:t>
            </w:r>
          </w:p>
        </w:tc>
      </w:tr>
      <w:tr w:rsidR="000929DD" w14:paraId="03EDE2A6" w14:textId="77777777" w:rsidTr="00BE6857">
        <w:tc>
          <w:tcPr>
            <w:tcW w:w="1101" w:type="dxa"/>
          </w:tcPr>
          <w:p w14:paraId="6F37C656"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49C0C90D" w14:textId="77777777" w:rsidR="000929DD" w:rsidRPr="003506F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108.6</w:t>
            </w:r>
          </w:p>
        </w:tc>
      </w:tr>
      <w:tr w:rsidR="000929DD" w14:paraId="1F3241A5" w14:textId="77777777" w:rsidTr="00BE6857">
        <w:tc>
          <w:tcPr>
            <w:tcW w:w="1101" w:type="dxa"/>
          </w:tcPr>
          <w:p w14:paraId="581CB57F"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606BB602" w14:textId="77777777" w:rsidR="000929DD" w:rsidRPr="003506F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139.5</w:t>
            </w:r>
          </w:p>
        </w:tc>
      </w:tr>
      <w:tr w:rsidR="000929DD" w14:paraId="069CA287" w14:textId="77777777" w:rsidTr="00BE6857">
        <w:tc>
          <w:tcPr>
            <w:tcW w:w="1101" w:type="dxa"/>
          </w:tcPr>
          <w:p w14:paraId="660D2564"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21604DFD" w14:textId="77777777" w:rsidR="000929DD" w:rsidRPr="003506F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127.</w:t>
            </w:r>
            <w:r>
              <w:rPr>
                <w:rFonts w:ascii="Times New Roman" w:hAnsi="Times New Roman" w:cs="Times New Roman"/>
                <w:noProof/>
                <w:sz w:val="24"/>
              </w:rPr>
              <w:t>6</w:t>
            </w:r>
          </w:p>
        </w:tc>
      </w:tr>
      <w:tr w:rsidR="000929DD" w14:paraId="7A9D4461" w14:textId="77777777" w:rsidTr="00BE6857">
        <w:tc>
          <w:tcPr>
            <w:tcW w:w="1101" w:type="dxa"/>
          </w:tcPr>
          <w:p w14:paraId="4213D0B0"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0D39B9E5" w14:textId="77777777" w:rsidR="000929DD" w:rsidRPr="003506F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107.3</w:t>
            </w:r>
          </w:p>
        </w:tc>
      </w:tr>
      <w:tr w:rsidR="000929DD" w14:paraId="73E1A0E1" w14:textId="77777777" w:rsidTr="00BE6857">
        <w:tc>
          <w:tcPr>
            <w:tcW w:w="1101" w:type="dxa"/>
          </w:tcPr>
          <w:p w14:paraId="7E55344C"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25C43994" w14:textId="77777777" w:rsidR="000929DD" w:rsidRPr="003506F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89.</w:t>
            </w:r>
            <w:r>
              <w:rPr>
                <w:rFonts w:ascii="Times New Roman" w:hAnsi="Times New Roman" w:cs="Times New Roman"/>
                <w:noProof/>
                <w:sz w:val="24"/>
              </w:rPr>
              <w:t>1</w:t>
            </w:r>
          </w:p>
        </w:tc>
      </w:tr>
      <w:tr w:rsidR="000929DD" w14:paraId="6864179A" w14:textId="77777777" w:rsidTr="00BE6857">
        <w:tc>
          <w:tcPr>
            <w:tcW w:w="1101" w:type="dxa"/>
          </w:tcPr>
          <w:p w14:paraId="31E5C7D5"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57300607" w14:textId="77777777" w:rsidR="000929DD" w:rsidRPr="003506F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82.</w:t>
            </w:r>
            <w:r>
              <w:rPr>
                <w:rFonts w:ascii="Times New Roman" w:hAnsi="Times New Roman" w:cs="Times New Roman"/>
                <w:noProof/>
                <w:sz w:val="24"/>
              </w:rPr>
              <w:t>3</w:t>
            </w:r>
          </w:p>
        </w:tc>
      </w:tr>
      <w:tr w:rsidR="000929DD" w14:paraId="02A5AA3D" w14:textId="77777777" w:rsidTr="00BE6857">
        <w:tc>
          <w:tcPr>
            <w:tcW w:w="1101" w:type="dxa"/>
          </w:tcPr>
          <w:p w14:paraId="62EA5FB6"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5466B11E" w14:textId="77777777" w:rsidR="000929DD" w:rsidRPr="003506F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89.</w:t>
            </w:r>
            <w:r>
              <w:rPr>
                <w:rFonts w:ascii="Times New Roman" w:hAnsi="Times New Roman" w:cs="Times New Roman"/>
                <w:noProof/>
                <w:sz w:val="24"/>
              </w:rPr>
              <w:t>8</w:t>
            </w:r>
          </w:p>
        </w:tc>
      </w:tr>
      <w:tr w:rsidR="000929DD" w14:paraId="098F0377" w14:textId="77777777" w:rsidTr="00BE6857">
        <w:tc>
          <w:tcPr>
            <w:tcW w:w="1101" w:type="dxa"/>
          </w:tcPr>
          <w:p w14:paraId="28808D93"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C408B5" w14:textId="77777777" w:rsidR="000929DD" w:rsidRPr="003506F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95.</w:t>
            </w:r>
            <w:r>
              <w:rPr>
                <w:rFonts w:ascii="Times New Roman" w:hAnsi="Times New Roman" w:cs="Times New Roman"/>
                <w:noProof/>
                <w:sz w:val="24"/>
              </w:rPr>
              <w:t>5</w:t>
            </w:r>
          </w:p>
        </w:tc>
      </w:tr>
      <w:tr w:rsidR="000929DD" w:rsidRPr="00687AD7" w14:paraId="093BFF39" w14:textId="77777777" w:rsidTr="00BE6857">
        <w:tc>
          <w:tcPr>
            <w:tcW w:w="1101" w:type="dxa"/>
          </w:tcPr>
          <w:p w14:paraId="4E849B6F" w14:textId="77777777" w:rsidR="000929DD" w:rsidRPr="00515559" w:rsidRDefault="000929DD" w:rsidP="00BE6857">
            <w:pPr>
              <w:rPr>
                <w:rFonts w:ascii="Times New Roman" w:hAnsi="Times New Roman" w:cs="Times New Roman"/>
                <w:b/>
                <w:noProof/>
                <w:sz w:val="24"/>
              </w:rPr>
            </w:pPr>
            <w:r w:rsidRPr="00515559">
              <w:rPr>
                <w:rFonts w:ascii="Times New Roman" w:hAnsi="Times New Roman" w:cs="Times New Roman"/>
                <w:b/>
                <w:noProof/>
                <w:sz w:val="24"/>
              </w:rPr>
              <w:t xml:space="preserve">Total </w:t>
            </w:r>
          </w:p>
        </w:tc>
        <w:tc>
          <w:tcPr>
            <w:tcW w:w="3260" w:type="dxa"/>
            <w:tcBorders>
              <w:top w:val="single" w:sz="4" w:space="0" w:color="auto"/>
            </w:tcBorders>
            <w:shd w:val="clear" w:color="auto" w:fill="FFFFFF" w:themeFill="background1"/>
          </w:tcPr>
          <w:p w14:paraId="504BDBCC" w14:textId="613BE34E" w:rsidR="000929DD" w:rsidRPr="00515559" w:rsidRDefault="00B4032B" w:rsidP="00BE6857">
            <w:pPr>
              <w:jc w:val="center"/>
              <w:rPr>
                <w:rFonts w:ascii="Times New Roman" w:hAnsi="Times New Roman" w:cs="Times New Roman"/>
                <w:b/>
                <w:noProof/>
                <w:sz w:val="24"/>
              </w:rPr>
            </w:pPr>
            <w:r>
              <w:rPr>
                <w:rFonts w:ascii="Times New Roman" w:hAnsi="Times New Roman" w:cs="Times New Roman"/>
                <w:b/>
                <w:noProof/>
                <w:sz w:val="24"/>
              </w:rPr>
              <w:t>949.1</w:t>
            </w:r>
          </w:p>
        </w:tc>
      </w:tr>
    </w:tbl>
    <w:p w14:paraId="662C906F" w14:textId="0A8AAFA0" w:rsidR="000929DD" w:rsidRDefault="000929DD" w:rsidP="000929DD">
      <w:pPr>
        <w:rPr>
          <w:rFonts w:ascii="Times New Roman" w:hAnsi="Times New Roman" w:cs="Times New Roman"/>
          <w:noProof/>
          <w:sz w:val="24"/>
        </w:rPr>
      </w:pPr>
      <w:r>
        <w:rPr>
          <w:rFonts w:ascii="Times New Roman" w:hAnsi="Times New Roman" w:cs="Times New Roman"/>
          <w:noProof/>
          <w:sz w:val="24"/>
        </w:rPr>
        <w:t xml:space="preserve">Annex 13: </w:t>
      </w:r>
      <w:r w:rsidRPr="00374D7E">
        <w:rPr>
          <w:rFonts w:ascii="Times New Roman" w:hAnsi="Times New Roman" w:cs="Times New Roman"/>
          <w:noProof/>
          <w:sz w:val="24"/>
        </w:rPr>
        <w:t xml:space="preserve">Contributions </w:t>
      </w:r>
      <w:r>
        <w:rPr>
          <w:rFonts w:ascii="Times New Roman" w:hAnsi="Times New Roman" w:cs="Times New Roman"/>
          <w:noProof/>
          <w:sz w:val="24"/>
        </w:rPr>
        <w:t xml:space="preserve">by </w:t>
      </w:r>
      <w:r w:rsidRPr="00E25D3B">
        <w:rPr>
          <w:rFonts w:ascii="Times New Roman" w:hAnsi="Times New Roman" w:cs="Times New Roman"/>
          <w:noProof/>
          <w:sz w:val="24"/>
        </w:rPr>
        <w:t>decentralised agencies and international organisations</w:t>
      </w:r>
    </w:p>
    <w:tbl>
      <w:tblPr>
        <w:tblStyle w:val="TableGrid"/>
        <w:tblW w:w="0" w:type="auto"/>
        <w:tblLook w:val="04A0" w:firstRow="1" w:lastRow="0" w:firstColumn="1" w:lastColumn="0" w:noHBand="0" w:noVBand="1"/>
      </w:tblPr>
      <w:tblGrid>
        <w:gridCol w:w="1101"/>
        <w:gridCol w:w="3260"/>
      </w:tblGrid>
      <w:tr w:rsidR="000929DD" w14:paraId="591CA1A3" w14:textId="77777777" w:rsidTr="00BE6857">
        <w:tc>
          <w:tcPr>
            <w:tcW w:w="1101" w:type="dxa"/>
            <w:shd w:val="clear" w:color="auto" w:fill="E2EFD9" w:themeFill="accent6" w:themeFillTint="33"/>
          </w:tcPr>
          <w:p w14:paraId="56ADD5E7" w14:textId="77777777" w:rsidR="000929DD" w:rsidRPr="003506FB" w:rsidRDefault="000929DD" w:rsidP="00BE6857">
            <w:pPr>
              <w:jc w:val="center"/>
              <w:rPr>
                <w:rFonts w:ascii="Times New Roman" w:eastAsia="Times New Roman" w:hAnsi="Times New Roman" w:cs="Times New Roman"/>
                <w:b/>
                <w:bCs/>
                <w:noProof/>
                <w:sz w:val="24"/>
                <w:szCs w:val="24"/>
                <w:lang w:eastAsia="en-IE"/>
              </w:rPr>
            </w:pPr>
            <w:r w:rsidRPr="003506FB">
              <w:rPr>
                <w:rFonts w:ascii="Times New Roman" w:eastAsia="Times New Roman" w:hAnsi="Times New Roman" w:cs="Times New Roman"/>
                <w:b/>
                <w:bCs/>
                <w:noProof/>
                <w:sz w:val="24"/>
                <w:szCs w:val="24"/>
                <w:lang w:eastAsia="en-IE"/>
              </w:rPr>
              <w:t>Year</w:t>
            </w:r>
          </w:p>
        </w:tc>
        <w:tc>
          <w:tcPr>
            <w:tcW w:w="3260" w:type="dxa"/>
            <w:tcBorders>
              <w:bottom w:val="single" w:sz="4" w:space="0" w:color="auto"/>
            </w:tcBorders>
            <w:shd w:val="clear" w:color="auto" w:fill="E2EFD9" w:themeFill="accent6" w:themeFillTint="33"/>
          </w:tcPr>
          <w:p w14:paraId="65F3E81E" w14:textId="6D3CF182" w:rsidR="000929DD" w:rsidRPr="003506FB" w:rsidRDefault="000929DD" w:rsidP="00BE6857">
            <w:pPr>
              <w:jc w:val="center"/>
              <w:rPr>
                <w:rFonts w:ascii="Times New Roman" w:eastAsia="Times New Roman" w:hAnsi="Times New Roman" w:cs="Times New Roman"/>
                <w:b/>
                <w:bCs/>
                <w:noProof/>
                <w:sz w:val="24"/>
                <w:szCs w:val="24"/>
                <w:lang w:eastAsia="en-IE"/>
              </w:rPr>
            </w:pPr>
            <w:r w:rsidRPr="00E25D3B">
              <w:rPr>
                <w:rFonts w:ascii="Times New Roman" w:eastAsia="Times New Roman" w:hAnsi="Times New Roman" w:cs="Times New Roman"/>
                <w:b/>
                <w:bCs/>
                <w:noProof/>
                <w:sz w:val="24"/>
                <w:szCs w:val="24"/>
                <w:lang w:eastAsia="en-IE"/>
              </w:rPr>
              <w:t>Contributions by decentralised agencies and international organisations</w:t>
            </w:r>
            <w:r>
              <w:rPr>
                <w:rFonts w:ascii="Times New Roman" w:eastAsia="Times New Roman" w:hAnsi="Times New Roman" w:cs="Times New Roman"/>
                <w:b/>
                <w:bCs/>
                <w:noProof/>
                <w:sz w:val="24"/>
                <w:szCs w:val="24"/>
                <w:lang w:eastAsia="en-IE"/>
              </w:rPr>
              <w:t xml:space="preserve"> </w:t>
            </w:r>
            <w:r w:rsidRPr="003506FB">
              <w:rPr>
                <w:rFonts w:ascii="Times New Roman" w:eastAsia="Times New Roman" w:hAnsi="Times New Roman" w:cs="Times New Roman"/>
                <w:b/>
                <w:bCs/>
                <w:noProof/>
                <w:sz w:val="24"/>
                <w:szCs w:val="24"/>
                <w:lang w:eastAsia="en-IE"/>
              </w:rPr>
              <w:t>(</w:t>
            </w:r>
            <w:r w:rsidR="00D23F9C">
              <w:rPr>
                <w:rFonts w:ascii="Times New Roman" w:eastAsia="Times New Roman" w:hAnsi="Times New Roman" w:cs="Times New Roman"/>
                <w:b/>
                <w:bCs/>
                <w:noProof/>
                <w:sz w:val="24"/>
                <w:szCs w:val="24"/>
                <w:lang w:eastAsia="en-IE"/>
              </w:rPr>
              <w:t xml:space="preserve">in </w:t>
            </w:r>
            <w:r w:rsidRPr="003506FB">
              <w:rPr>
                <w:rFonts w:ascii="Times New Roman" w:eastAsia="Times New Roman" w:hAnsi="Times New Roman" w:cs="Times New Roman"/>
                <w:b/>
                <w:bCs/>
                <w:noProof/>
                <w:sz w:val="24"/>
                <w:szCs w:val="24"/>
                <w:lang w:eastAsia="en-IE"/>
              </w:rPr>
              <w:t>million</w:t>
            </w:r>
            <w:r w:rsidR="00D23F9C">
              <w:rPr>
                <w:rFonts w:ascii="Times New Roman" w:eastAsia="Times New Roman" w:hAnsi="Times New Roman" w:cs="Times New Roman"/>
                <w:b/>
                <w:bCs/>
                <w:noProof/>
                <w:sz w:val="24"/>
                <w:szCs w:val="24"/>
                <w:lang w:eastAsia="en-IE"/>
              </w:rPr>
              <w:t xml:space="preserve"> EUR</w:t>
            </w:r>
            <w:r w:rsidRPr="003506FB">
              <w:rPr>
                <w:rFonts w:ascii="Times New Roman" w:eastAsia="Times New Roman" w:hAnsi="Times New Roman" w:cs="Times New Roman"/>
                <w:b/>
                <w:bCs/>
                <w:noProof/>
                <w:sz w:val="24"/>
                <w:szCs w:val="24"/>
                <w:lang w:eastAsia="en-IE"/>
              </w:rPr>
              <w:t>)</w:t>
            </w:r>
          </w:p>
        </w:tc>
      </w:tr>
      <w:tr w:rsidR="000929DD" w14:paraId="70AAC9B9" w14:textId="77777777" w:rsidTr="00BE6857">
        <w:tc>
          <w:tcPr>
            <w:tcW w:w="1101" w:type="dxa"/>
          </w:tcPr>
          <w:p w14:paraId="3A71C2C8"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A40F5" w14:textId="77777777" w:rsidR="000929DD" w:rsidRPr="00E25D3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 xml:space="preserve"> 17.</w:t>
            </w:r>
            <w:r w:rsidRPr="00E25D3B">
              <w:rPr>
                <w:rFonts w:ascii="Times New Roman" w:hAnsi="Times New Roman" w:cs="Times New Roman"/>
                <w:noProof/>
                <w:sz w:val="24"/>
              </w:rPr>
              <w:t>6</w:t>
            </w:r>
            <w:r w:rsidRPr="00170470">
              <w:rPr>
                <w:rFonts w:ascii="Times New Roman" w:hAnsi="Times New Roman" w:cs="Times New Roman"/>
                <w:noProof/>
                <w:sz w:val="24"/>
              </w:rPr>
              <w:t xml:space="preserve"> </w:t>
            </w:r>
          </w:p>
        </w:tc>
      </w:tr>
      <w:tr w:rsidR="000929DD" w14:paraId="05652C6E" w14:textId="77777777" w:rsidTr="00BE6857">
        <w:tc>
          <w:tcPr>
            <w:tcW w:w="1101" w:type="dxa"/>
          </w:tcPr>
          <w:p w14:paraId="6309AC6D"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8B2EF" w14:textId="77777777" w:rsidR="000929DD" w:rsidRPr="00E25D3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 xml:space="preserve"> 22.</w:t>
            </w:r>
            <w:r w:rsidRPr="00E25D3B">
              <w:rPr>
                <w:rFonts w:ascii="Times New Roman" w:hAnsi="Times New Roman" w:cs="Times New Roman"/>
                <w:noProof/>
                <w:sz w:val="24"/>
              </w:rPr>
              <w:t>5</w:t>
            </w:r>
            <w:r w:rsidRPr="00170470">
              <w:rPr>
                <w:rFonts w:ascii="Times New Roman" w:hAnsi="Times New Roman" w:cs="Times New Roman"/>
                <w:noProof/>
                <w:sz w:val="24"/>
              </w:rPr>
              <w:t xml:space="preserve"> </w:t>
            </w:r>
          </w:p>
        </w:tc>
      </w:tr>
      <w:tr w:rsidR="000929DD" w14:paraId="70567608" w14:textId="77777777" w:rsidTr="00BE6857">
        <w:tc>
          <w:tcPr>
            <w:tcW w:w="1101" w:type="dxa"/>
          </w:tcPr>
          <w:p w14:paraId="156634E1"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D076911" w14:textId="77777777" w:rsidR="000929DD" w:rsidRPr="00E25D3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 xml:space="preserve"> 40.3 </w:t>
            </w:r>
          </w:p>
        </w:tc>
      </w:tr>
      <w:tr w:rsidR="000929DD" w14:paraId="4D5319A5" w14:textId="77777777" w:rsidTr="00BE6857">
        <w:tc>
          <w:tcPr>
            <w:tcW w:w="1101" w:type="dxa"/>
          </w:tcPr>
          <w:p w14:paraId="3FFB0E56"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D61D5C8" w14:textId="77777777" w:rsidR="000929DD" w:rsidRPr="00E25D3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 xml:space="preserve"> 42.4 </w:t>
            </w:r>
          </w:p>
        </w:tc>
      </w:tr>
      <w:tr w:rsidR="000929DD" w14:paraId="4CDD5F20" w14:textId="77777777" w:rsidTr="00BE6857">
        <w:tc>
          <w:tcPr>
            <w:tcW w:w="1101" w:type="dxa"/>
          </w:tcPr>
          <w:p w14:paraId="080BAD6E"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3090A4F" w14:textId="77777777" w:rsidR="000929DD" w:rsidRPr="00E25D3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 xml:space="preserve"> 52.</w:t>
            </w:r>
            <w:r w:rsidRPr="00E25D3B">
              <w:rPr>
                <w:rFonts w:ascii="Times New Roman" w:hAnsi="Times New Roman" w:cs="Times New Roman"/>
                <w:noProof/>
                <w:sz w:val="24"/>
              </w:rPr>
              <w:t>6</w:t>
            </w:r>
            <w:r w:rsidRPr="00170470">
              <w:rPr>
                <w:rFonts w:ascii="Times New Roman" w:hAnsi="Times New Roman" w:cs="Times New Roman"/>
                <w:noProof/>
                <w:sz w:val="24"/>
              </w:rPr>
              <w:t xml:space="preserve"> </w:t>
            </w:r>
          </w:p>
        </w:tc>
      </w:tr>
      <w:tr w:rsidR="000929DD" w14:paraId="68CE4A5C" w14:textId="77777777" w:rsidTr="00BE6857">
        <w:tc>
          <w:tcPr>
            <w:tcW w:w="1101" w:type="dxa"/>
          </w:tcPr>
          <w:p w14:paraId="63973413"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AB5BADC" w14:textId="77777777" w:rsidR="000929DD" w:rsidRPr="00E25D3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 xml:space="preserve"> 50</w:t>
            </w:r>
            <w:r w:rsidRPr="00E25D3B">
              <w:rPr>
                <w:rFonts w:ascii="Times New Roman" w:hAnsi="Times New Roman" w:cs="Times New Roman"/>
                <w:noProof/>
                <w:sz w:val="24"/>
              </w:rPr>
              <w:t>.6</w:t>
            </w:r>
          </w:p>
        </w:tc>
      </w:tr>
      <w:tr w:rsidR="000929DD" w14:paraId="1FD051AC" w14:textId="77777777" w:rsidTr="00BE6857">
        <w:tc>
          <w:tcPr>
            <w:tcW w:w="1101" w:type="dxa"/>
          </w:tcPr>
          <w:p w14:paraId="4D078D5A"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5C69F0C" w14:textId="77777777" w:rsidR="000929DD" w:rsidRPr="00E25D3B" w:rsidRDefault="000929DD" w:rsidP="00BE6857">
            <w:pPr>
              <w:jc w:val="center"/>
              <w:rPr>
                <w:rFonts w:ascii="Times New Roman" w:hAnsi="Times New Roman" w:cs="Times New Roman"/>
                <w:noProof/>
                <w:sz w:val="24"/>
              </w:rPr>
            </w:pPr>
            <w:r w:rsidRPr="00170470">
              <w:rPr>
                <w:rFonts w:ascii="Times New Roman" w:hAnsi="Times New Roman" w:cs="Times New Roman"/>
                <w:noProof/>
                <w:sz w:val="24"/>
              </w:rPr>
              <w:t xml:space="preserve"> 52.1 </w:t>
            </w:r>
          </w:p>
        </w:tc>
      </w:tr>
      <w:tr w:rsidR="000929DD" w14:paraId="54DDC1ED" w14:textId="77777777" w:rsidTr="00BE6857">
        <w:tc>
          <w:tcPr>
            <w:tcW w:w="1101" w:type="dxa"/>
          </w:tcPr>
          <w:p w14:paraId="15DA03CF"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7D0EB3F" w14:textId="77777777" w:rsidR="000929DD" w:rsidRPr="00E25D3B" w:rsidRDefault="000929DD" w:rsidP="00BE6857">
            <w:pPr>
              <w:jc w:val="center"/>
              <w:rPr>
                <w:rFonts w:ascii="Times New Roman" w:hAnsi="Times New Roman" w:cs="Times New Roman"/>
                <w:noProof/>
                <w:sz w:val="24"/>
              </w:rPr>
            </w:pPr>
            <w:r w:rsidRPr="00E25D3B">
              <w:rPr>
                <w:rFonts w:ascii="Times New Roman" w:hAnsi="Times New Roman" w:cs="Times New Roman"/>
                <w:noProof/>
                <w:sz w:val="24"/>
              </w:rPr>
              <w:t xml:space="preserve"> 56.4</w:t>
            </w:r>
          </w:p>
        </w:tc>
      </w:tr>
      <w:tr w:rsidR="000929DD" w14:paraId="70B20DB9" w14:textId="77777777" w:rsidTr="00BE6857">
        <w:tc>
          <w:tcPr>
            <w:tcW w:w="1101" w:type="dxa"/>
          </w:tcPr>
          <w:p w14:paraId="5A658C78"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ABC9A" w14:textId="77777777" w:rsidR="000929DD" w:rsidRPr="00E25D3B" w:rsidRDefault="000929DD" w:rsidP="00BE6857">
            <w:pPr>
              <w:jc w:val="center"/>
              <w:rPr>
                <w:rFonts w:ascii="Times New Roman" w:hAnsi="Times New Roman" w:cs="Times New Roman"/>
                <w:noProof/>
                <w:sz w:val="24"/>
              </w:rPr>
            </w:pPr>
            <w:r w:rsidRPr="00E25D3B">
              <w:rPr>
                <w:rFonts w:ascii="Times New Roman" w:hAnsi="Times New Roman" w:cs="Times New Roman"/>
                <w:noProof/>
                <w:sz w:val="24"/>
              </w:rPr>
              <w:t xml:space="preserve"> 58.2</w:t>
            </w:r>
          </w:p>
        </w:tc>
      </w:tr>
      <w:tr w:rsidR="000929DD" w:rsidRPr="00687AD7" w14:paraId="4035ED1E" w14:textId="77777777" w:rsidTr="00BE6857">
        <w:tc>
          <w:tcPr>
            <w:tcW w:w="1101" w:type="dxa"/>
          </w:tcPr>
          <w:p w14:paraId="79C571BB" w14:textId="77777777" w:rsidR="000929DD" w:rsidRPr="00687AD7" w:rsidRDefault="000929DD" w:rsidP="00BE6857">
            <w:pPr>
              <w:rPr>
                <w:rFonts w:ascii="Times New Roman" w:hAnsi="Times New Roman" w:cs="Times New Roman"/>
                <w:b/>
                <w:noProof/>
                <w:sz w:val="24"/>
              </w:rPr>
            </w:pPr>
            <w:r w:rsidRPr="00687AD7">
              <w:rPr>
                <w:rFonts w:ascii="Times New Roman" w:hAnsi="Times New Roman" w:cs="Times New Roman"/>
                <w:b/>
                <w:noProof/>
                <w:sz w:val="24"/>
              </w:rPr>
              <w:t xml:space="preserve">Total </w:t>
            </w:r>
          </w:p>
        </w:tc>
        <w:tc>
          <w:tcPr>
            <w:tcW w:w="3260" w:type="dxa"/>
            <w:tcBorders>
              <w:top w:val="single" w:sz="4" w:space="0" w:color="auto"/>
            </w:tcBorders>
            <w:shd w:val="clear" w:color="auto" w:fill="FFFFFF" w:themeFill="background1"/>
          </w:tcPr>
          <w:p w14:paraId="26A91922" w14:textId="4400C1C2" w:rsidR="000929DD" w:rsidRPr="00515559" w:rsidRDefault="000929DD" w:rsidP="001F75FD">
            <w:pPr>
              <w:jc w:val="center"/>
              <w:rPr>
                <w:rFonts w:ascii="Times New Roman" w:hAnsi="Times New Roman" w:cs="Times New Roman"/>
                <w:b/>
                <w:noProof/>
                <w:sz w:val="24"/>
              </w:rPr>
            </w:pPr>
            <w:r w:rsidRPr="00515559">
              <w:rPr>
                <w:rFonts w:ascii="Times New Roman" w:hAnsi="Times New Roman" w:cs="Times New Roman"/>
                <w:b/>
                <w:noProof/>
                <w:sz w:val="24"/>
              </w:rPr>
              <w:t>392</w:t>
            </w:r>
            <w:r w:rsidR="001F75FD">
              <w:rPr>
                <w:rFonts w:ascii="Times New Roman" w:hAnsi="Times New Roman" w:cs="Times New Roman"/>
                <w:b/>
                <w:noProof/>
                <w:sz w:val="24"/>
              </w:rPr>
              <w:t>.</w:t>
            </w:r>
            <w:r w:rsidRPr="00515559">
              <w:rPr>
                <w:rFonts w:ascii="Times New Roman" w:hAnsi="Times New Roman" w:cs="Times New Roman"/>
                <w:b/>
                <w:noProof/>
                <w:sz w:val="24"/>
              </w:rPr>
              <w:t>7</w:t>
            </w:r>
          </w:p>
        </w:tc>
      </w:tr>
    </w:tbl>
    <w:p w14:paraId="6FD6617A" w14:textId="77777777" w:rsidR="000929DD" w:rsidRDefault="000929DD" w:rsidP="000929DD">
      <w:pPr>
        <w:rPr>
          <w:rFonts w:ascii="Times New Roman" w:hAnsi="Times New Roman" w:cs="Times New Roman"/>
          <w:noProof/>
          <w:sz w:val="24"/>
        </w:rPr>
      </w:pPr>
    </w:p>
    <w:p w14:paraId="0E666D66" w14:textId="2CF4FEB2" w:rsidR="000929DD" w:rsidRDefault="000929DD" w:rsidP="000929DD">
      <w:pPr>
        <w:rPr>
          <w:rFonts w:ascii="Times New Roman" w:hAnsi="Times New Roman" w:cs="Times New Roman"/>
          <w:noProof/>
          <w:sz w:val="24"/>
        </w:rPr>
      </w:pPr>
      <w:r>
        <w:rPr>
          <w:rFonts w:ascii="Times New Roman" w:hAnsi="Times New Roman" w:cs="Times New Roman"/>
          <w:noProof/>
          <w:sz w:val="24"/>
        </w:rPr>
        <w:t xml:space="preserve">Annex 14: </w:t>
      </w:r>
      <w:r w:rsidR="00B40591">
        <w:rPr>
          <w:rFonts w:ascii="Times New Roman" w:hAnsi="Times New Roman" w:cs="Times New Roman"/>
          <w:noProof/>
          <w:sz w:val="24"/>
        </w:rPr>
        <w:t xml:space="preserve">Total pension </w:t>
      </w:r>
      <w:r>
        <w:rPr>
          <w:rFonts w:ascii="Times New Roman" w:hAnsi="Times New Roman" w:cs="Times New Roman"/>
          <w:noProof/>
          <w:sz w:val="24"/>
        </w:rPr>
        <w:t>expenditure</w:t>
      </w:r>
      <w:r w:rsidR="000B4EAD">
        <w:rPr>
          <w:rFonts w:ascii="Times New Roman" w:hAnsi="Times New Roman" w:cs="Times New Roman"/>
          <w:noProof/>
          <w:sz w:val="24"/>
        </w:rPr>
        <w:t xml:space="preserve"> </w:t>
      </w:r>
    </w:p>
    <w:tbl>
      <w:tblPr>
        <w:tblStyle w:val="TableGrid"/>
        <w:tblW w:w="0" w:type="auto"/>
        <w:tblLook w:val="04A0" w:firstRow="1" w:lastRow="0" w:firstColumn="1" w:lastColumn="0" w:noHBand="0" w:noVBand="1"/>
      </w:tblPr>
      <w:tblGrid>
        <w:gridCol w:w="1101"/>
        <w:gridCol w:w="3260"/>
      </w:tblGrid>
      <w:tr w:rsidR="000929DD" w:rsidRPr="003506FB" w14:paraId="543A0FD1" w14:textId="77777777" w:rsidTr="00BE6857">
        <w:tc>
          <w:tcPr>
            <w:tcW w:w="1101" w:type="dxa"/>
            <w:shd w:val="clear" w:color="auto" w:fill="E2EFD9" w:themeFill="accent6" w:themeFillTint="33"/>
          </w:tcPr>
          <w:p w14:paraId="0A7FA113" w14:textId="77777777" w:rsidR="000929DD" w:rsidRPr="003506FB" w:rsidRDefault="000929DD" w:rsidP="00BE6857">
            <w:pPr>
              <w:jc w:val="center"/>
              <w:rPr>
                <w:rFonts w:ascii="Times New Roman" w:eastAsia="Times New Roman" w:hAnsi="Times New Roman" w:cs="Times New Roman"/>
                <w:b/>
                <w:bCs/>
                <w:noProof/>
                <w:sz w:val="24"/>
                <w:szCs w:val="24"/>
                <w:lang w:eastAsia="en-IE"/>
              </w:rPr>
            </w:pPr>
            <w:r w:rsidRPr="003506FB">
              <w:rPr>
                <w:rFonts w:ascii="Times New Roman" w:eastAsia="Times New Roman" w:hAnsi="Times New Roman" w:cs="Times New Roman"/>
                <w:b/>
                <w:bCs/>
                <w:noProof/>
                <w:sz w:val="24"/>
                <w:szCs w:val="24"/>
                <w:lang w:eastAsia="en-IE"/>
              </w:rPr>
              <w:t>Year</w:t>
            </w:r>
          </w:p>
        </w:tc>
        <w:tc>
          <w:tcPr>
            <w:tcW w:w="3260" w:type="dxa"/>
            <w:tcBorders>
              <w:bottom w:val="single" w:sz="4" w:space="0" w:color="auto"/>
            </w:tcBorders>
            <w:shd w:val="clear" w:color="auto" w:fill="E2EFD9" w:themeFill="accent6" w:themeFillTint="33"/>
          </w:tcPr>
          <w:p w14:paraId="5D530029" w14:textId="1F3AB9EA" w:rsidR="000929DD" w:rsidRPr="003506FB" w:rsidRDefault="000929DD" w:rsidP="00BE6857">
            <w:pPr>
              <w:jc w:val="center"/>
              <w:rPr>
                <w:rFonts w:ascii="Times New Roman" w:eastAsia="Times New Roman" w:hAnsi="Times New Roman" w:cs="Times New Roman"/>
                <w:b/>
                <w:bCs/>
                <w:noProof/>
                <w:sz w:val="24"/>
                <w:szCs w:val="24"/>
                <w:lang w:eastAsia="en-IE"/>
              </w:rPr>
            </w:pPr>
            <w:r>
              <w:rPr>
                <w:rFonts w:ascii="Times New Roman" w:eastAsia="Times New Roman" w:hAnsi="Times New Roman" w:cs="Times New Roman"/>
                <w:b/>
                <w:bCs/>
                <w:noProof/>
                <w:sz w:val="24"/>
                <w:szCs w:val="24"/>
                <w:lang w:eastAsia="en-IE"/>
              </w:rPr>
              <w:t xml:space="preserve">Pension expenditure </w:t>
            </w:r>
            <w:r w:rsidR="00D23F9C">
              <w:rPr>
                <w:rFonts w:ascii="Times New Roman" w:eastAsia="Times New Roman" w:hAnsi="Times New Roman" w:cs="Times New Roman"/>
                <w:b/>
                <w:bCs/>
                <w:noProof/>
                <w:sz w:val="24"/>
                <w:szCs w:val="24"/>
                <w:lang w:eastAsia="en-IE"/>
              </w:rPr>
              <w:br/>
            </w:r>
            <w:r w:rsidRPr="003506FB">
              <w:rPr>
                <w:rFonts w:ascii="Times New Roman" w:eastAsia="Times New Roman" w:hAnsi="Times New Roman" w:cs="Times New Roman"/>
                <w:b/>
                <w:bCs/>
                <w:noProof/>
                <w:sz w:val="24"/>
                <w:szCs w:val="24"/>
                <w:lang w:eastAsia="en-IE"/>
              </w:rPr>
              <w:t>(</w:t>
            </w:r>
            <w:r w:rsidR="00D23F9C">
              <w:rPr>
                <w:rFonts w:ascii="Times New Roman" w:eastAsia="Times New Roman" w:hAnsi="Times New Roman" w:cs="Times New Roman"/>
                <w:b/>
                <w:bCs/>
                <w:noProof/>
                <w:sz w:val="24"/>
                <w:szCs w:val="24"/>
                <w:lang w:eastAsia="en-IE"/>
              </w:rPr>
              <w:t xml:space="preserve">in </w:t>
            </w:r>
            <w:r w:rsidRPr="003506FB">
              <w:rPr>
                <w:rFonts w:ascii="Times New Roman" w:eastAsia="Times New Roman" w:hAnsi="Times New Roman" w:cs="Times New Roman"/>
                <w:b/>
                <w:bCs/>
                <w:noProof/>
                <w:sz w:val="24"/>
                <w:szCs w:val="24"/>
                <w:lang w:eastAsia="en-IE"/>
              </w:rPr>
              <w:t>million</w:t>
            </w:r>
            <w:r w:rsidR="00D23F9C">
              <w:rPr>
                <w:rFonts w:ascii="Times New Roman" w:eastAsia="Times New Roman" w:hAnsi="Times New Roman" w:cs="Times New Roman"/>
                <w:b/>
                <w:bCs/>
                <w:noProof/>
                <w:sz w:val="24"/>
                <w:szCs w:val="24"/>
                <w:lang w:eastAsia="en-IE"/>
              </w:rPr>
              <w:t xml:space="preserve"> EUR</w:t>
            </w:r>
            <w:r w:rsidRPr="003506FB">
              <w:rPr>
                <w:rFonts w:ascii="Times New Roman" w:eastAsia="Times New Roman" w:hAnsi="Times New Roman" w:cs="Times New Roman"/>
                <w:b/>
                <w:bCs/>
                <w:noProof/>
                <w:sz w:val="24"/>
                <w:szCs w:val="24"/>
                <w:lang w:eastAsia="en-IE"/>
              </w:rPr>
              <w:t>)</w:t>
            </w:r>
          </w:p>
        </w:tc>
      </w:tr>
      <w:tr w:rsidR="000929DD" w:rsidRPr="003506FB" w14:paraId="7F3D8380" w14:textId="77777777" w:rsidTr="00BF15F4">
        <w:tc>
          <w:tcPr>
            <w:tcW w:w="1101" w:type="dxa"/>
          </w:tcPr>
          <w:p w14:paraId="527DA67B"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2014</w:t>
            </w:r>
          </w:p>
        </w:tc>
        <w:tc>
          <w:tcPr>
            <w:tcW w:w="3260" w:type="dxa"/>
            <w:tcBorders>
              <w:top w:val="single" w:sz="4" w:space="0" w:color="auto"/>
              <w:left w:val="single" w:sz="8" w:space="0" w:color="auto"/>
              <w:bottom w:val="single" w:sz="4" w:space="0" w:color="auto"/>
              <w:right w:val="single" w:sz="8" w:space="0" w:color="auto"/>
            </w:tcBorders>
            <w:shd w:val="clear" w:color="auto" w:fill="auto"/>
            <w:vAlign w:val="bottom"/>
          </w:tcPr>
          <w:p w14:paraId="3968A98E" w14:textId="77777777" w:rsidR="000929DD" w:rsidRPr="00511B6F" w:rsidRDefault="000929DD" w:rsidP="00BE6857">
            <w:pPr>
              <w:jc w:val="center"/>
              <w:rPr>
                <w:rFonts w:ascii="Times New Roman" w:hAnsi="Times New Roman" w:cs="Times New Roman"/>
                <w:noProof/>
                <w:sz w:val="24"/>
                <w:szCs w:val="24"/>
              </w:rPr>
            </w:pPr>
            <w:r w:rsidRPr="002A57A6">
              <w:rPr>
                <w:rFonts w:ascii="Times New Roman" w:hAnsi="Times New Roman" w:cs="Times New Roman"/>
                <w:noProof/>
                <w:color w:val="000000"/>
                <w:sz w:val="24"/>
                <w:szCs w:val="24"/>
              </w:rPr>
              <w:t>1.485.1</w:t>
            </w:r>
          </w:p>
        </w:tc>
      </w:tr>
      <w:tr w:rsidR="000929DD" w:rsidRPr="003506FB" w14:paraId="4A9FABC4" w14:textId="77777777" w:rsidTr="00BF15F4">
        <w:tc>
          <w:tcPr>
            <w:tcW w:w="1101" w:type="dxa"/>
            <w:tcBorders>
              <w:right w:val="single" w:sz="4" w:space="0" w:color="auto"/>
            </w:tcBorders>
          </w:tcPr>
          <w:p w14:paraId="75EABA4F"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48FA6FCB" w14:textId="77777777" w:rsidR="000929DD" w:rsidRPr="00511B6F" w:rsidRDefault="000929DD" w:rsidP="00BE6857">
            <w:pPr>
              <w:jc w:val="center"/>
              <w:rPr>
                <w:rFonts w:ascii="Times New Roman" w:hAnsi="Times New Roman" w:cs="Times New Roman"/>
                <w:noProof/>
                <w:sz w:val="24"/>
                <w:szCs w:val="24"/>
              </w:rPr>
            </w:pPr>
            <w:r w:rsidRPr="002A57A6">
              <w:rPr>
                <w:rFonts w:ascii="Times New Roman" w:hAnsi="Times New Roman" w:cs="Times New Roman"/>
                <w:noProof/>
                <w:color w:val="000000"/>
                <w:sz w:val="24"/>
                <w:szCs w:val="24"/>
              </w:rPr>
              <w:t>1.541.2</w:t>
            </w:r>
          </w:p>
        </w:tc>
      </w:tr>
      <w:tr w:rsidR="000929DD" w:rsidRPr="003506FB" w14:paraId="12729A71" w14:textId="77777777" w:rsidTr="00BF15F4">
        <w:tc>
          <w:tcPr>
            <w:tcW w:w="1101" w:type="dxa"/>
            <w:tcBorders>
              <w:right w:val="single" w:sz="4" w:space="0" w:color="auto"/>
            </w:tcBorders>
          </w:tcPr>
          <w:p w14:paraId="6A8D630E"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4D1DFCA8" w14:textId="77777777" w:rsidR="000929DD" w:rsidRPr="00511B6F" w:rsidRDefault="000929DD" w:rsidP="00BE6857">
            <w:pPr>
              <w:jc w:val="center"/>
              <w:rPr>
                <w:rFonts w:ascii="Times New Roman" w:hAnsi="Times New Roman" w:cs="Times New Roman"/>
                <w:noProof/>
                <w:sz w:val="24"/>
                <w:szCs w:val="24"/>
              </w:rPr>
            </w:pPr>
            <w:r w:rsidRPr="002A57A6">
              <w:rPr>
                <w:rFonts w:ascii="Times New Roman" w:hAnsi="Times New Roman" w:cs="Times New Roman"/>
                <w:noProof/>
                <w:color w:val="000000"/>
                <w:sz w:val="24"/>
                <w:szCs w:val="24"/>
              </w:rPr>
              <w:t>1.660.5</w:t>
            </w:r>
          </w:p>
        </w:tc>
      </w:tr>
      <w:tr w:rsidR="000929DD" w:rsidRPr="003506FB" w14:paraId="0410F670" w14:textId="77777777" w:rsidTr="00BF15F4">
        <w:tc>
          <w:tcPr>
            <w:tcW w:w="1101" w:type="dxa"/>
          </w:tcPr>
          <w:p w14:paraId="519B999F"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2017</w:t>
            </w:r>
          </w:p>
        </w:tc>
        <w:tc>
          <w:tcPr>
            <w:tcW w:w="3260" w:type="dxa"/>
            <w:tcBorders>
              <w:top w:val="single" w:sz="4" w:space="0" w:color="auto"/>
              <w:left w:val="single" w:sz="8" w:space="0" w:color="auto"/>
              <w:bottom w:val="nil"/>
              <w:right w:val="single" w:sz="8" w:space="0" w:color="auto"/>
            </w:tcBorders>
            <w:shd w:val="clear" w:color="auto" w:fill="auto"/>
            <w:vAlign w:val="bottom"/>
          </w:tcPr>
          <w:p w14:paraId="596147EB" w14:textId="77777777" w:rsidR="000929DD" w:rsidRPr="00511B6F" w:rsidRDefault="000929DD" w:rsidP="00BE6857">
            <w:pPr>
              <w:jc w:val="center"/>
              <w:rPr>
                <w:rFonts w:ascii="Times New Roman" w:hAnsi="Times New Roman" w:cs="Times New Roman"/>
                <w:noProof/>
                <w:sz w:val="24"/>
                <w:szCs w:val="24"/>
              </w:rPr>
            </w:pPr>
            <w:r w:rsidRPr="002A57A6">
              <w:rPr>
                <w:rFonts w:ascii="Times New Roman" w:hAnsi="Times New Roman" w:cs="Times New Roman"/>
                <w:noProof/>
                <w:color w:val="000000"/>
                <w:sz w:val="24"/>
                <w:szCs w:val="24"/>
              </w:rPr>
              <w:t>1.774.5</w:t>
            </w:r>
          </w:p>
        </w:tc>
      </w:tr>
      <w:tr w:rsidR="000929DD" w:rsidRPr="003506FB" w14:paraId="21635FA0" w14:textId="77777777" w:rsidTr="00BE6857">
        <w:tc>
          <w:tcPr>
            <w:tcW w:w="1101" w:type="dxa"/>
          </w:tcPr>
          <w:p w14:paraId="19CAE807"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2018</w:t>
            </w:r>
          </w:p>
        </w:tc>
        <w:tc>
          <w:tcPr>
            <w:tcW w:w="3260" w:type="dxa"/>
            <w:tcBorders>
              <w:top w:val="single" w:sz="4" w:space="0" w:color="auto"/>
              <w:left w:val="single" w:sz="8" w:space="0" w:color="auto"/>
              <w:bottom w:val="nil"/>
              <w:right w:val="single" w:sz="8" w:space="0" w:color="auto"/>
            </w:tcBorders>
            <w:shd w:val="clear" w:color="auto" w:fill="auto"/>
            <w:vAlign w:val="bottom"/>
          </w:tcPr>
          <w:p w14:paraId="18341702" w14:textId="77777777" w:rsidR="000929DD" w:rsidRPr="00511B6F" w:rsidRDefault="000929DD" w:rsidP="00BE6857">
            <w:pPr>
              <w:jc w:val="center"/>
              <w:rPr>
                <w:rFonts w:ascii="Times New Roman" w:hAnsi="Times New Roman" w:cs="Times New Roman"/>
                <w:noProof/>
                <w:sz w:val="24"/>
                <w:szCs w:val="24"/>
              </w:rPr>
            </w:pPr>
            <w:r w:rsidRPr="002A57A6">
              <w:rPr>
                <w:rFonts w:ascii="Times New Roman" w:hAnsi="Times New Roman" w:cs="Times New Roman"/>
                <w:noProof/>
                <w:color w:val="000000"/>
                <w:sz w:val="24"/>
                <w:szCs w:val="24"/>
              </w:rPr>
              <w:t>1.854.6</w:t>
            </w:r>
          </w:p>
        </w:tc>
      </w:tr>
      <w:tr w:rsidR="000929DD" w:rsidRPr="003506FB" w14:paraId="7AD11F93" w14:textId="77777777" w:rsidTr="00BE6857">
        <w:tc>
          <w:tcPr>
            <w:tcW w:w="1101" w:type="dxa"/>
          </w:tcPr>
          <w:p w14:paraId="7C5843EE"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2019</w:t>
            </w:r>
          </w:p>
        </w:tc>
        <w:tc>
          <w:tcPr>
            <w:tcW w:w="3260" w:type="dxa"/>
            <w:tcBorders>
              <w:top w:val="single" w:sz="4" w:space="0" w:color="auto"/>
              <w:left w:val="single" w:sz="8" w:space="0" w:color="auto"/>
              <w:bottom w:val="nil"/>
              <w:right w:val="single" w:sz="8" w:space="0" w:color="auto"/>
            </w:tcBorders>
            <w:shd w:val="clear" w:color="auto" w:fill="auto"/>
            <w:vAlign w:val="bottom"/>
          </w:tcPr>
          <w:p w14:paraId="6132F440" w14:textId="77777777" w:rsidR="000929DD" w:rsidRPr="002A57A6" w:rsidRDefault="000929DD" w:rsidP="00BE6857">
            <w:pPr>
              <w:jc w:val="center"/>
              <w:rPr>
                <w:rFonts w:ascii="Times New Roman" w:hAnsi="Times New Roman" w:cs="Times New Roman"/>
                <w:noProof/>
                <w:color w:val="000000"/>
                <w:sz w:val="24"/>
                <w:szCs w:val="24"/>
              </w:rPr>
            </w:pPr>
            <w:r w:rsidRPr="002A57A6">
              <w:rPr>
                <w:rFonts w:ascii="Times New Roman" w:hAnsi="Times New Roman" w:cs="Times New Roman"/>
                <w:noProof/>
                <w:color w:val="000000"/>
                <w:sz w:val="24"/>
                <w:szCs w:val="24"/>
              </w:rPr>
              <w:t>1.964.5</w:t>
            </w:r>
          </w:p>
        </w:tc>
      </w:tr>
      <w:tr w:rsidR="000929DD" w:rsidRPr="003506FB" w14:paraId="5873392D" w14:textId="77777777" w:rsidTr="00BE6857">
        <w:tc>
          <w:tcPr>
            <w:tcW w:w="1101" w:type="dxa"/>
          </w:tcPr>
          <w:p w14:paraId="43B552EC"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2020</w:t>
            </w:r>
          </w:p>
        </w:tc>
        <w:tc>
          <w:tcPr>
            <w:tcW w:w="3260" w:type="dxa"/>
            <w:tcBorders>
              <w:top w:val="single" w:sz="4" w:space="0" w:color="auto"/>
              <w:left w:val="single" w:sz="8" w:space="0" w:color="auto"/>
              <w:bottom w:val="single" w:sz="4" w:space="0" w:color="auto"/>
              <w:right w:val="single" w:sz="8" w:space="0" w:color="auto"/>
            </w:tcBorders>
            <w:shd w:val="clear" w:color="auto" w:fill="auto"/>
            <w:vAlign w:val="bottom"/>
          </w:tcPr>
          <w:p w14:paraId="1E3AFFC7" w14:textId="77777777" w:rsidR="000929DD" w:rsidRPr="002A57A6" w:rsidRDefault="000929DD" w:rsidP="00BE6857">
            <w:pPr>
              <w:jc w:val="center"/>
              <w:rPr>
                <w:rFonts w:ascii="Times New Roman" w:hAnsi="Times New Roman" w:cs="Times New Roman"/>
                <w:noProof/>
                <w:color w:val="000000"/>
                <w:sz w:val="24"/>
                <w:szCs w:val="24"/>
              </w:rPr>
            </w:pPr>
            <w:r w:rsidRPr="002A57A6">
              <w:rPr>
                <w:rFonts w:ascii="Times New Roman" w:hAnsi="Times New Roman" w:cs="Times New Roman"/>
                <w:noProof/>
                <w:color w:val="000000"/>
                <w:sz w:val="24"/>
                <w:szCs w:val="24"/>
              </w:rPr>
              <w:t>2.064.4</w:t>
            </w:r>
          </w:p>
        </w:tc>
      </w:tr>
      <w:tr w:rsidR="000929DD" w:rsidRPr="003506FB" w14:paraId="30EE8BDB" w14:textId="77777777" w:rsidTr="00BE6857">
        <w:tc>
          <w:tcPr>
            <w:tcW w:w="1101" w:type="dxa"/>
          </w:tcPr>
          <w:p w14:paraId="576562EA"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2021</w:t>
            </w:r>
          </w:p>
        </w:tc>
        <w:tc>
          <w:tcPr>
            <w:tcW w:w="3260" w:type="dxa"/>
            <w:tcBorders>
              <w:top w:val="nil"/>
              <w:left w:val="single" w:sz="8" w:space="0" w:color="auto"/>
              <w:bottom w:val="nil"/>
              <w:right w:val="single" w:sz="8" w:space="0" w:color="auto"/>
            </w:tcBorders>
            <w:shd w:val="clear" w:color="auto" w:fill="FFFFFF" w:themeFill="background1"/>
            <w:vAlign w:val="bottom"/>
          </w:tcPr>
          <w:p w14:paraId="6790969A" w14:textId="77777777" w:rsidR="000929DD" w:rsidRPr="002A57A6" w:rsidRDefault="000929DD" w:rsidP="00BE6857">
            <w:pPr>
              <w:jc w:val="center"/>
              <w:rPr>
                <w:rFonts w:ascii="Times New Roman" w:hAnsi="Times New Roman" w:cs="Times New Roman"/>
                <w:noProof/>
                <w:color w:val="000000"/>
                <w:sz w:val="24"/>
                <w:szCs w:val="24"/>
              </w:rPr>
            </w:pPr>
            <w:r w:rsidRPr="002A57A6">
              <w:rPr>
                <w:rFonts w:ascii="Times New Roman" w:hAnsi="Times New Roman" w:cs="Times New Roman"/>
                <w:noProof/>
                <w:color w:val="000000"/>
                <w:sz w:val="24"/>
                <w:szCs w:val="24"/>
              </w:rPr>
              <w:t>2.173.2</w:t>
            </w:r>
          </w:p>
        </w:tc>
      </w:tr>
      <w:tr w:rsidR="000929DD" w:rsidRPr="003506FB" w14:paraId="554B754F" w14:textId="77777777" w:rsidTr="00BE6857">
        <w:tc>
          <w:tcPr>
            <w:tcW w:w="1101" w:type="dxa"/>
          </w:tcPr>
          <w:p w14:paraId="4A781857"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2022</w:t>
            </w:r>
          </w:p>
        </w:tc>
        <w:tc>
          <w:tcPr>
            <w:tcW w:w="3260"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14:paraId="7C4A9BE4" w14:textId="283559A6" w:rsidR="000929DD" w:rsidRPr="002A57A6" w:rsidRDefault="000929DD" w:rsidP="00701CE3">
            <w:pPr>
              <w:jc w:val="center"/>
              <w:rPr>
                <w:rFonts w:ascii="Times New Roman" w:hAnsi="Times New Roman" w:cs="Times New Roman"/>
                <w:noProof/>
                <w:color w:val="000000"/>
                <w:sz w:val="24"/>
                <w:szCs w:val="24"/>
              </w:rPr>
            </w:pPr>
            <w:r w:rsidRPr="002A57A6">
              <w:rPr>
                <w:rFonts w:ascii="Times New Roman" w:hAnsi="Times New Roman" w:cs="Times New Roman"/>
                <w:noProof/>
                <w:color w:val="000000"/>
                <w:sz w:val="24"/>
                <w:szCs w:val="24"/>
              </w:rPr>
              <w:t>2.398.</w:t>
            </w:r>
            <w:r w:rsidR="00701CE3">
              <w:rPr>
                <w:rFonts w:ascii="Times New Roman" w:hAnsi="Times New Roman" w:cs="Times New Roman"/>
                <w:noProof/>
                <w:color w:val="000000"/>
                <w:sz w:val="24"/>
                <w:szCs w:val="24"/>
              </w:rPr>
              <w:t>1</w:t>
            </w:r>
          </w:p>
        </w:tc>
      </w:tr>
      <w:tr w:rsidR="00F73B60" w:rsidRPr="003506FB" w14:paraId="06390DC8" w14:textId="77777777" w:rsidTr="00BE6857">
        <w:tc>
          <w:tcPr>
            <w:tcW w:w="1101" w:type="dxa"/>
          </w:tcPr>
          <w:p w14:paraId="74BDD314" w14:textId="15F9672F" w:rsidR="00F73B60" w:rsidRPr="003506FB" w:rsidRDefault="00F73B60" w:rsidP="00BE6857">
            <w:pPr>
              <w:rPr>
                <w:rFonts w:ascii="Times New Roman" w:hAnsi="Times New Roman" w:cs="Times New Roman"/>
                <w:b/>
                <w:noProof/>
                <w:sz w:val="24"/>
              </w:rPr>
            </w:pPr>
            <w:r>
              <w:rPr>
                <w:rFonts w:ascii="Times New Roman" w:hAnsi="Times New Roman" w:cs="Times New Roman"/>
                <w:b/>
                <w:noProof/>
                <w:sz w:val="24"/>
              </w:rPr>
              <w:t>Average increase</w:t>
            </w:r>
          </w:p>
        </w:tc>
        <w:tc>
          <w:tcPr>
            <w:tcW w:w="3260"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14:paraId="3157893F" w14:textId="15979E52" w:rsidR="00F73B60" w:rsidRPr="00515559" w:rsidRDefault="00F73B60" w:rsidP="00701CE3">
            <w:pPr>
              <w:jc w:val="center"/>
              <w:rPr>
                <w:rFonts w:ascii="Times New Roman" w:hAnsi="Times New Roman" w:cs="Times New Roman"/>
                <w:b/>
                <w:noProof/>
                <w:color w:val="000000"/>
                <w:sz w:val="24"/>
                <w:szCs w:val="24"/>
              </w:rPr>
            </w:pPr>
            <w:r w:rsidRPr="00515559">
              <w:rPr>
                <w:rFonts w:ascii="Times New Roman" w:hAnsi="Times New Roman" w:cs="Times New Roman"/>
                <w:b/>
                <w:noProof/>
                <w:color w:val="000000"/>
                <w:sz w:val="24"/>
                <w:szCs w:val="24"/>
              </w:rPr>
              <w:t>+6.2%</w:t>
            </w:r>
          </w:p>
        </w:tc>
      </w:tr>
    </w:tbl>
    <w:p w14:paraId="047726FC" w14:textId="77777777" w:rsidR="000929DD" w:rsidRDefault="000929DD" w:rsidP="000929DD">
      <w:pPr>
        <w:rPr>
          <w:rFonts w:ascii="Times New Roman" w:hAnsi="Times New Roman" w:cs="Times New Roman"/>
          <w:noProof/>
          <w:sz w:val="24"/>
        </w:rPr>
      </w:pPr>
    </w:p>
    <w:p w14:paraId="6A1F574E" w14:textId="77777777" w:rsidR="000929DD" w:rsidRDefault="000929DD" w:rsidP="000929DD">
      <w:pPr>
        <w:rPr>
          <w:rFonts w:ascii="Times New Roman" w:hAnsi="Times New Roman" w:cs="Times New Roman"/>
          <w:noProof/>
          <w:sz w:val="24"/>
        </w:rPr>
      </w:pPr>
      <w:r>
        <w:rPr>
          <w:rFonts w:ascii="Times New Roman" w:hAnsi="Times New Roman" w:cs="Times New Roman"/>
          <w:noProof/>
          <w:sz w:val="24"/>
        </w:rPr>
        <w:t>Annex 15: Pension expenditure resulting from pension correction coefficients</w:t>
      </w:r>
    </w:p>
    <w:tbl>
      <w:tblPr>
        <w:tblStyle w:val="TableGrid"/>
        <w:tblW w:w="0" w:type="auto"/>
        <w:tblLook w:val="04A0" w:firstRow="1" w:lastRow="0" w:firstColumn="1" w:lastColumn="0" w:noHBand="0" w:noVBand="1"/>
      </w:tblPr>
      <w:tblGrid>
        <w:gridCol w:w="1101"/>
        <w:gridCol w:w="3260"/>
      </w:tblGrid>
      <w:tr w:rsidR="000929DD" w:rsidRPr="003506FB" w14:paraId="2764B632" w14:textId="77777777" w:rsidTr="00BE6857">
        <w:tc>
          <w:tcPr>
            <w:tcW w:w="1101" w:type="dxa"/>
            <w:shd w:val="clear" w:color="auto" w:fill="E2EFD9" w:themeFill="accent6" w:themeFillTint="33"/>
          </w:tcPr>
          <w:p w14:paraId="4F65294C" w14:textId="77777777" w:rsidR="000929DD" w:rsidRPr="003506FB" w:rsidRDefault="000929DD" w:rsidP="00BE6857">
            <w:pPr>
              <w:jc w:val="center"/>
              <w:rPr>
                <w:rFonts w:ascii="Times New Roman" w:eastAsia="Times New Roman" w:hAnsi="Times New Roman" w:cs="Times New Roman"/>
                <w:b/>
                <w:bCs/>
                <w:noProof/>
                <w:sz w:val="24"/>
                <w:szCs w:val="24"/>
                <w:lang w:eastAsia="en-IE"/>
              </w:rPr>
            </w:pPr>
            <w:r w:rsidRPr="003506FB">
              <w:rPr>
                <w:rFonts w:ascii="Times New Roman" w:eastAsia="Times New Roman" w:hAnsi="Times New Roman" w:cs="Times New Roman"/>
                <w:b/>
                <w:bCs/>
                <w:noProof/>
                <w:sz w:val="24"/>
                <w:szCs w:val="24"/>
                <w:lang w:eastAsia="en-IE"/>
              </w:rPr>
              <w:t>Year</w:t>
            </w:r>
          </w:p>
        </w:tc>
        <w:tc>
          <w:tcPr>
            <w:tcW w:w="3260" w:type="dxa"/>
            <w:tcBorders>
              <w:bottom w:val="single" w:sz="4" w:space="0" w:color="auto"/>
            </w:tcBorders>
            <w:shd w:val="clear" w:color="auto" w:fill="E2EFD9" w:themeFill="accent6" w:themeFillTint="33"/>
          </w:tcPr>
          <w:p w14:paraId="76EE19E7" w14:textId="3B02F841" w:rsidR="000929DD" w:rsidRPr="003506FB" w:rsidRDefault="000929DD" w:rsidP="00BE6857">
            <w:pPr>
              <w:jc w:val="center"/>
              <w:rPr>
                <w:rFonts w:ascii="Times New Roman" w:eastAsia="Times New Roman" w:hAnsi="Times New Roman" w:cs="Times New Roman"/>
                <w:b/>
                <w:bCs/>
                <w:noProof/>
                <w:sz w:val="24"/>
                <w:szCs w:val="24"/>
                <w:lang w:eastAsia="en-IE"/>
              </w:rPr>
            </w:pPr>
            <w:r>
              <w:rPr>
                <w:rFonts w:ascii="Times New Roman" w:eastAsia="Times New Roman" w:hAnsi="Times New Roman" w:cs="Times New Roman"/>
                <w:b/>
                <w:bCs/>
                <w:noProof/>
                <w:sz w:val="24"/>
                <w:szCs w:val="24"/>
                <w:lang w:eastAsia="en-IE"/>
              </w:rPr>
              <w:t xml:space="preserve">Part of the pension expenditure corresponding to correction coefficients </w:t>
            </w:r>
            <w:r w:rsidR="00D23F9C">
              <w:rPr>
                <w:rFonts w:ascii="Times New Roman" w:eastAsia="Times New Roman" w:hAnsi="Times New Roman" w:cs="Times New Roman"/>
                <w:b/>
                <w:bCs/>
                <w:noProof/>
                <w:sz w:val="24"/>
                <w:szCs w:val="24"/>
                <w:lang w:eastAsia="en-IE"/>
              </w:rPr>
              <w:br/>
            </w:r>
            <w:r w:rsidRPr="003506FB">
              <w:rPr>
                <w:rFonts w:ascii="Times New Roman" w:eastAsia="Times New Roman" w:hAnsi="Times New Roman" w:cs="Times New Roman"/>
                <w:b/>
                <w:bCs/>
                <w:noProof/>
                <w:sz w:val="24"/>
                <w:szCs w:val="24"/>
                <w:lang w:eastAsia="en-IE"/>
              </w:rPr>
              <w:t>(</w:t>
            </w:r>
            <w:r w:rsidR="00D23F9C">
              <w:rPr>
                <w:rFonts w:ascii="Times New Roman" w:eastAsia="Times New Roman" w:hAnsi="Times New Roman" w:cs="Times New Roman"/>
                <w:b/>
                <w:bCs/>
                <w:noProof/>
                <w:sz w:val="24"/>
                <w:szCs w:val="24"/>
                <w:lang w:eastAsia="en-IE"/>
              </w:rPr>
              <w:t xml:space="preserve">in </w:t>
            </w:r>
            <w:r w:rsidRPr="003506FB">
              <w:rPr>
                <w:rFonts w:ascii="Times New Roman" w:eastAsia="Times New Roman" w:hAnsi="Times New Roman" w:cs="Times New Roman"/>
                <w:b/>
                <w:bCs/>
                <w:noProof/>
                <w:sz w:val="24"/>
                <w:szCs w:val="24"/>
                <w:lang w:eastAsia="en-IE"/>
              </w:rPr>
              <w:t>million</w:t>
            </w:r>
            <w:r w:rsidR="00D23F9C">
              <w:rPr>
                <w:rFonts w:ascii="Times New Roman" w:eastAsia="Times New Roman" w:hAnsi="Times New Roman" w:cs="Times New Roman"/>
                <w:b/>
                <w:bCs/>
                <w:noProof/>
                <w:sz w:val="24"/>
                <w:szCs w:val="24"/>
                <w:lang w:eastAsia="en-IE"/>
              </w:rPr>
              <w:t xml:space="preserve"> EUR</w:t>
            </w:r>
            <w:r w:rsidRPr="003506FB">
              <w:rPr>
                <w:rFonts w:ascii="Times New Roman" w:eastAsia="Times New Roman" w:hAnsi="Times New Roman" w:cs="Times New Roman"/>
                <w:b/>
                <w:bCs/>
                <w:noProof/>
                <w:sz w:val="24"/>
                <w:szCs w:val="24"/>
                <w:lang w:eastAsia="en-IE"/>
              </w:rPr>
              <w:t>)</w:t>
            </w:r>
          </w:p>
        </w:tc>
      </w:tr>
      <w:tr w:rsidR="000929DD" w:rsidRPr="003506FB" w14:paraId="64DACB84" w14:textId="77777777" w:rsidTr="00BE6857">
        <w:tc>
          <w:tcPr>
            <w:tcW w:w="1101" w:type="dxa"/>
          </w:tcPr>
          <w:p w14:paraId="5DAE58A1"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048B08BC" w14:textId="3515BF00" w:rsidR="000929DD" w:rsidRPr="003506FB" w:rsidRDefault="00095A6D" w:rsidP="00BE6857">
            <w:pPr>
              <w:jc w:val="center"/>
              <w:rPr>
                <w:rFonts w:ascii="Times New Roman" w:hAnsi="Times New Roman" w:cs="Times New Roman"/>
                <w:noProof/>
                <w:sz w:val="24"/>
              </w:rPr>
            </w:pPr>
            <w:r>
              <w:rPr>
                <w:rFonts w:ascii="Times New Roman" w:hAnsi="Times New Roman" w:cs="Times New Roman"/>
                <w:noProof/>
                <w:sz w:val="24"/>
              </w:rPr>
              <w:t>39.3</w:t>
            </w:r>
          </w:p>
        </w:tc>
      </w:tr>
      <w:tr w:rsidR="000929DD" w:rsidRPr="003506FB" w14:paraId="4F9F7C9B" w14:textId="77777777" w:rsidTr="00BE6857">
        <w:tc>
          <w:tcPr>
            <w:tcW w:w="1101" w:type="dxa"/>
          </w:tcPr>
          <w:p w14:paraId="38BE8223"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7F9343DD" w14:textId="13100969" w:rsidR="000929DD" w:rsidRPr="003506FB" w:rsidRDefault="00095A6D" w:rsidP="00095A6D">
            <w:pPr>
              <w:jc w:val="center"/>
              <w:rPr>
                <w:rFonts w:ascii="Times New Roman" w:hAnsi="Times New Roman" w:cs="Times New Roman"/>
                <w:noProof/>
                <w:sz w:val="24"/>
              </w:rPr>
            </w:pPr>
            <w:r>
              <w:rPr>
                <w:rFonts w:ascii="Times New Roman" w:hAnsi="Times New Roman" w:cs="Times New Roman"/>
                <w:noProof/>
                <w:sz w:val="24"/>
              </w:rPr>
              <w:t>37</w:t>
            </w:r>
            <w:r w:rsidR="000929DD">
              <w:rPr>
                <w:rFonts w:ascii="Times New Roman" w:hAnsi="Times New Roman" w:cs="Times New Roman"/>
                <w:noProof/>
                <w:sz w:val="24"/>
              </w:rPr>
              <w:t>.</w:t>
            </w:r>
            <w:r>
              <w:rPr>
                <w:rFonts w:ascii="Times New Roman" w:hAnsi="Times New Roman" w:cs="Times New Roman"/>
                <w:noProof/>
                <w:sz w:val="24"/>
              </w:rPr>
              <w:t>8</w:t>
            </w:r>
          </w:p>
        </w:tc>
      </w:tr>
      <w:tr w:rsidR="000929DD" w:rsidRPr="003506FB" w14:paraId="3FF9C616" w14:textId="77777777" w:rsidTr="00BE6857">
        <w:tc>
          <w:tcPr>
            <w:tcW w:w="1101" w:type="dxa"/>
          </w:tcPr>
          <w:p w14:paraId="347C21F2"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192F2060" w14:textId="5F294F6A" w:rsidR="000929DD" w:rsidRPr="003506FB" w:rsidRDefault="00095A6D" w:rsidP="00095A6D">
            <w:pPr>
              <w:jc w:val="center"/>
              <w:rPr>
                <w:rFonts w:ascii="Times New Roman" w:hAnsi="Times New Roman" w:cs="Times New Roman"/>
                <w:noProof/>
                <w:sz w:val="24"/>
              </w:rPr>
            </w:pPr>
            <w:r>
              <w:rPr>
                <w:rFonts w:ascii="Times New Roman" w:hAnsi="Times New Roman" w:cs="Times New Roman"/>
                <w:noProof/>
                <w:sz w:val="24"/>
              </w:rPr>
              <w:t>42</w:t>
            </w:r>
            <w:r w:rsidR="000929DD">
              <w:rPr>
                <w:rFonts w:ascii="Times New Roman" w:hAnsi="Times New Roman" w:cs="Times New Roman"/>
                <w:noProof/>
                <w:sz w:val="24"/>
              </w:rPr>
              <w:t>.</w:t>
            </w:r>
            <w:r>
              <w:rPr>
                <w:rFonts w:ascii="Times New Roman" w:hAnsi="Times New Roman" w:cs="Times New Roman"/>
                <w:noProof/>
                <w:sz w:val="24"/>
              </w:rPr>
              <w:t>5</w:t>
            </w:r>
          </w:p>
        </w:tc>
      </w:tr>
      <w:tr w:rsidR="000929DD" w:rsidRPr="003506FB" w14:paraId="654BE603" w14:textId="77777777" w:rsidTr="00BE6857">
        <w:tc>
          <w:tcPr>
            <w:tcW w:w="1101" w:type="dxa"/>
          </w:tcPr>
          <w:p w14:paraId="6C311135"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316E0894" w14:textId="2AB41A08" w:rsidR="000929DD" w:rsidRPr="003506FB" w:rsidRDefault="00095A6D" w:rsidP="00095A6D">
            <w:pPr>
              <w:jc w:val="center"/>
              <w:rPr>
                <w:rFonts w:ascii="Times New Roman" w:hAnsi="Times New Roman" w:cs="Times New Roman"/>
                <w:noProof/>
                <w:sz w:val="24"/>
              </w:rPr>
            </w:pPr>
            <w:r>
              <w:rPr>
                <w:rFonts w:ascii="Times New Roman" w:hAnsi="Times New Roman" w:cs="Times New Roman"/>
                <w:noProof/>
                <w:sz w:val="24"/>
              </w:rPr>
              <w:t>45</w:t>
            </w:r>
            <w:r w:rsidR="000929DD">
              <w:rPr>
                <w:rFonts w:ascii="Times New Roman" w:hAnsi="Times New Roman" w:cs="Times New Roman"/>
                <w:noProof/>
                <w:sz w:val="24"/>
              </w:rPr>
              <w:t>.</w:t>
            </w:r>
            <w:r>
              <w:rPr>
                <w:rFonts w:ascii="Times New Roman" w:hAnsi="Times New Roman" w:cs="Times New Roman"/>
                <w:noProof/>
                <w:sz w:val="24"/>
              </w:rPr>
              <w:t>4</w:t>
            </w:r>
          </w:p>
        </w:tc>
      </w:tr>
      <w:tr w:rsidR="000929DD" w:rsidRPr="003506FB" w14:paraId="3E72E7AC" w14:textId="77777777" w:rsidTr="00BE6857">
        <w:tc>
          <w:tcPr>
            <w:tcW w:w="1101" w:type="dxa"/>
          </w:tcPr>
          <w:p w14:paraId="2BC3EF89"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16C92A92" w14:textId="687584C4" w:rsidR="000929DD" w:rsidRPr="003506FB" w:rsidRDefault="00095A6D" w:rsidP="00095A6D">
            <w:pPr>
              <w:jc w:val="center"/>
              <w:rPr>
                <w:rFonts w:ascii="Times New Roman" w:hAnsi="Times New Roman" w:cs="Times New Roman"/>
                <w:noProof/>
                <w:sz w:val="24"/>
              </w:rPr>
            </w:pPr>
            <w:r>
              <w:rPr>
                <w:rFonts w:ascii="Times New Roman" w:hAnsi="Times New Roman" w:cs="Times New Roman"/>
                <w:noProof/>
                <w:sz w:val="24"/>
              </w:rPr>
              <w:t>47</w:t>
            </w:r>
            <w:r w:rsidR="000929DD">
              <w:rPr>
                <w:rFonts w:ascii="Times New Roman" w:hAnsi="Times New Roman" w:cs="Times New Roman"/>
                <w:noProof/>
                <w:sz w:val="24"/>
              </w:rPr>
              <w:t>.</w:t>
            </w:r>
            <w:r>
              <w:rPr>
                <w:rFonts w:ascii="Times New Roman" w:hAnsi="Times New Roman" w:cs="Times New Roman"/>
                <w:noProof/>
                <w:sz w:val="24"/>
              </w:rPr>
              <w:t>2</w:t>
            </w:r>
          </w:p>
        </w:tc>
      </w:tr>
      <w:tr w:rsidR="000929DD" w:rsidRPr="003506FB" w14:paraId="38124A9D" w14:textId="77777777" w:rsidTr="00BE6857">
        <w:tc>
          <w:tcPr>
            <w:tcW w:w="1101" w:type="dxa"/>
          </w:tcPr>
          <w:p w14:paraId="592E9A02"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2019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6BD72779" w14:textId="7F733B6D" w:rsidR="000929DD" w:rsidRPr="003506FB" w:rsidRDefault="000929DD" w:rsidP="00BE6857">
            <w:pPr>
              <w:jc w:val="center"/>
              <w:rPr>
                <w:rFonts w:ascii="Times New Roman" w:hAnsi="Times New Roman" w:cs="Times New Roman"/>
                <w:noProof/>
                <w:sz w:val="24"/>
              </w:rPr>
            </w:pPr>
            <w:r>
              <w:rPr>
                <w:rFonts w:ascii="Times New Roman" w:hAnsi="Times New Roman" w:cs="Times New Roman"/>
                <w:noProof/>
                <w:sz w:val="24"/>
              </w:rPr>
              <w:t>48.</w:t>
            </w:r>
            <w:r w:rsidR="00095A6D">
              <w:rPr>
                <w:rFonts w:ascii="Times New Roman" w:hAnsi="Times New Roman" w:cs="Times New Roman"/>
                <w:noProof/>
                <w:sz w:val="24"/>
              </w:rPr>
              <w:t>4</w:t>
            </w:r>
          </w:p>
        </w:tc>
      </w:tr>
      <w:tr w:rsidR="000929DD" w:rsidRPr="003506FB" w14:paraId="3DBF8866" w14:textId="77777777" w:rsidTr="00BE6857">
        <w:tc>
          <w:tcPr>
            <w:tcW w:w="1101" w:type="dxa"/>
          </w:tcPr>
          <w:p w14:paraId="30C5340A"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186A36A8" w14:textId="02BBB7D7" w:rsidR="000929DD" w:rsidRPr="003506FB" w:rsidRDefault="000929DD" w:rsidP="00095A6D">
            <w:pPr>
              <w:jc w:val="center"/>
              <w:rPr>
                <w:rFonts w:ascii="Times New Roman" w:hAnsi="Times New Roman" w:cs="Times New Roman"/>
                <w:noProof/>
                <w:sz w:val="24"/>
              </w:rPr>
            </w:pPr>
            <w:r>
              <w:rPr>
                <w:rFonts w:ascii="Times New Roman" w:hAnsi="Times New Roman" w:cs="Times New Roman"/>
                <w:noProof/>
                <w:sz w:val="24"/>
              </w:rPr>
              <w:t>50.</w:t>
            </w:r>
            <w:r w:rsidR="00095A6D">
              <w:rPr>
                <w:rFonts w:ascii="Times New Roman" w:hAnsi="Times New Roman" w:cs="Times New Roman"/>
                <w:noProof/>
                <w:sz w:val="24"/>
              </w:rPr>
              <w:t>7</w:t>
            </w:r>
          </w:p>
        </w:tc>
      </w:tr>
      <w:tr w:rsidR="000929DD" w:rsidRPr="003506FB" w14:paraId="363F9EFB" w14:textId="77777777" w:rsidTr="00BE6857">
        <w:tc>
          <w:tcPr>
            <w:tcW w:w="1101" w:type="dxa"/>
          </w:tcPr>
          <w:p w14:paraId="77E081D3"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7AE17482" w14:textId="768874AA" w:rsidR="000929DD" w:rsidRPr="003506FB" w:rsidRDefault="000929DD" w:rsidP="00095A6D">
            <w:pPr>
              <w:jc w:val="center"/>
              <w:rPr>
                <w:rFonts w:ascii="Times New Roman" w:hAnsi="Times New Roman" w:cs="Times New Roman"/>
                <w:noProof/>
                <w:sz w:val="24"/>
              </w:rPr>
            </w:pPr>
            <w:r>
              <w:rPr>
                <w:rFonts w:ascii="Times New Roman" w:hAnsi="Times New Roman" w:cs="Times New Roman"/>
                <w:noProof/>
                <w:sz w:val="24"/>
              </w:rPr>
              <w:t>56.</w:t>
            </w:r>
            <w:r w:rsidR="00095A6D">
              <w:rPr>
                <w:rFonts w:ascii="Times New Roman" w:hAnsi="Times New Roman" w:cs="Times New Roman"/>
                <w:noProof/>
                <w:sz w:val="24"/>
              </w:rPr>
              <w:t>6</w:t>
            </w:r>
          </w:p>
        </w:tc>
      </w:tr>
      <w:tr w:rsidR="000929DD" w:rsidRPr="003506FB" w14:paraId="041FD16D" w14:textId="77777777" w:rsidTr="00BE6857">
        <w:tc>
          <w:tcPr>
            <w:tcW w:w="1101" w:type="dxa"/>
          </w:tcPr>
          <w:p w14:paraId="41C2D17C" w14:textId="77777777" w:rsidR="000929DD" w:rsidRPr="003506FB" w:rsidRDefault="000929DD" w:rsidP="00BE6857">
            <w:pPr>
              <w:rPr>
                <w:rFonts w:ascii="Times New Roman" w:hAnsi="Times New Roman" w:cs="Times New Roman"/>
                <w:b/>
                <w:noProof/>
                <w:sz w:val="24"/>
              </w:rPr>
            </w:pPr>
            <w:r w:rsidRPr="003506FB">
              <w:rPr>
                <w:rFonts w:ascii="Times New Roman" w:hAnsi="Times New Roman" w:cs="Times New Roman"/>
                <w:b/>
                <w:noProof/>
                <w:sz w:val="24"/>
              </w:rPr>
              <w:t>2022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EB54C4" w14:textId="0889F363" w:rsidR="000929DD" w:rsidRPr="003506FB" w:rsidRDefault="00095A6D" w:rsidP="00095A6D">
            <w:pPr>
              <w:jc w:val="center"/>
              <w:rPr>
                <w:rFonts w:ascii="Times New Roman" w:hAnsi="Times New Roman" w:cs="Times New Roman"/>
                <w:noProof/>
                <w:sz w:val="24"/>
              </w:rPr>
            </w:pPr>
            <w:r w:rsidRPr="005D0331">
              <w:rPr>
                <w:rFonts w:ascii="Times New Roman" w:hAnsi="Times New Roman" w:cs="Times New Roman"/>
                <w:noProof/>
                <w:sz w:val="24"/>
              </w:rPr>
              <w:t>5</w:t>
            </w:r>
            <w:r>
              <w:rPr>
                <w:rFonts w:ascii="Times New Roman" w:hAnsi="Times New Roman" w:cs="Times New Roman"/>
                <w:noProof/>
                <w:sz w:val="24"/>
              </w:rPr>
              <w:t>7</w:t>
            </w:r>
            <w:r w:rsidR="005D0331" w:rsidRPr="005D0331">
              <w:rPr>
                <w:rFonts w:ascii="Times New Roman" w:hAnsi="Times New Roman" w:cs="Times New Roman"/>
                <w:noProof/>
                <w:sz w:val="24"/>
              </w:rPr>
              <w:t>.</w:t>
            </w:r>
            <w:r>
              <w:rPr>
                <w:rFonts w:ascii="Times New Roman" w:hAnsi="Times New Roman" w:cs="Times New Roman"/>
                <w:noProof/>
                <w:sz w:val="24"/>
              </w:rPr>
              <w:t>6</w:t>
            </w:r>
          </w:p>
        </w:tc>
      </w:tr>
      <w:tr w:rsidR="000929DD" w:rsidRPr="00687AD7" w14:paraId="0BA2BBF9" w14:textId="77777777" w:rsidTr="00BE6857">
        <w:tc>
          <w:tcPr>
            <w:tcW w:w="1101" w:type="dxa"/>
          </w:tcPr>
          <w:p w14:paraId="53B1FD7E" w14:textId="77777777" w:rsidR="000929DD" w:rsidRPr="00687AD7" w:rsidRDefault="000929DD" w:rsidP="00BE6857">
            <w:pPr>
              <w:rPr>
                <w:rFonts w:ascii="Times New Roman" w:hAnsi="Times New Roman" w:cs="Times New Roman"/>
                <w:b/>
                <w:noProof/>
                <w:sz w:val="24"/>
              </w:rPr>
            </w:pPr>
            <w:r w:rsidRPr="00687AD7">
              <w:rPr>
                <w:rFonts w:ascii="Times New Roman" w:hAnsi="Times New Roman" w:cs="Times New Roman"/>
                <w:b/>
                <w:noProof/>
                <w:sz w:val="24"/>
              </w:rPr>
              <w:t xml:space="preserve">Total </w:t>
            </w:r>
          </w:p>
        </w:tc>
        <w:tc>
          <w:tcPr>
            <w:tcW w:w="3260" w:type="dxa"/>
            <w:tcBorders>
              <w:top w:val="single" w:sz="4" w:space="0" w:color="auto"/>
            </w:tcBorders>
            <w:shd w:val="clear" w:color="auto" w:fill="FFFFFF" w:themeFill="background1"/>
          </w:tcPr>
          <w:p w14:paraId="6E569BC5" w14:textId="66EE70E8" w:rsidR="000929DD" w:rsidRPr="00515559" w:rsidRDefault="00095A6D" w:rsidP="00095A6D">
            <w:pPr>
              <w:jc w:val="center"/>
              <w:rPr>
                <w:rFonts w:ascii="Times New Roman" w:hAnsi="Times New Roman" w:cs="Times New Roman"/>
                <w:b/>
                <w:noProof/>
                <w:sz w:val="24"/>
              </w:rPr>
            </w:pPr>
            <w:r w:rsidRPr="00515559">
              <w:rPr>
                <w:rFonts w:ascii="Times New Roman" w:hAnsi="Times New Roman" w:cs="Times New Roman"/>
                <w:b/>
                <w:noProof/>
                <w:sz w:val="24"/>
              </w:rPr>
              <w:t>4</w:t>
            </w:r>
            <w:r>
              <w:rPr>
                <w:rFonts w:ascii="Times New Roman" w:hAnsi="Times New Roman" w:cs="Times New Roman"/>
                <w:b/>
                <w:noProof/>
                <w:sz w:val="24"/>
              </w:rPr>
              <w:t>25</w:t>
            </w:r>
            <w:r w:rsidR="005D0331" w:rsidRPr="00515559">
              <w:rPr>
                <w:rFonts w:ascii="Times New Roman" w:hAnsi="Times New Roman" w:cs="Times New Roman"/>
                <w:b/>
                <w:noProof/>
                <w:sz w:val="24"/>
              </w:rPr>
              <w:t>.</w:t>
            </w:r>
            <w:r>
              <w:rPr>
                <w:rFonts w:ascii="Times New Roman" w:hAnsi="Times New Roman" w:cs="Times New Roman"/>
                <w:b/>
                <w:noProof/>
                <w:sz w:val="24"/>
              </w:rPr>
              <w:t>7</w:t>
            </w:r>
          </w:p>
        </w:tc>
      </w:tr>
    </w:tbl>
    <w:p w14:paraId="7D11E60B" w14:textId="77777777" w:rsidR="000929DD" w:rsidRDefault="000929DD" w:rsidP="000929DD">
      <w:pPr>
        <w:rPr>
          <w:rFonts w:ascii="Times New Roman" w:hAnsi="Times New Roman" w:cs="Times New Roman"/>
          <w:noProof/>
          <w:sz w:val="24"/>
        </w:rPr>
      </w:pPr>
    </w:p>
    <w:p w14:paraId="32B322BE" w14:textId="646E63B3" w:rsidR="000929DD" w:rsidRDefault="000929DD" w:rsidP="000929DD">
      <w:pPr>
        <w:rPr>
          <w:rFonts w:ascii="Times New Roman" w:hAnsi="Times New Roman" w:cs="Times New Roman"/>
          <w:noProof/>
          <w:sz w:val="24"/>
        </w:rPr>
      </w:pPr>
      <w:r w:rsidRPr="005A1045">
        <w:rPr>
          <w:rFonts w:ascii="Times New Roman" w:hAnsi="Times New Roman" w:cs="Times New Roman"/>
          <w:noProof/>
          <w:sz w:val="24"/>
        </w:rPr>
        <w:t xml:space="preserve">Annex 16: </w:t>
      </w:r>
      <w:r w:rsidR="008B0A4B">
        <w:rPr>
          <w:rFonts w:ascii="Times New Roman" w:hAnsi="Times New Roman" w:cs="Times New Roman"/>
          <w:noProof/>
          <w:sz w:val="24"/>
        </w:rPr>
        <w:t>P</w:t>
      </w:r>
      <w:r w:rsidRPr="005A1045">
        <w:rPr>
          <w:rFonts w:ascii="Times New Roman" w:hAnsi="Times New Roman" w:cs="Times New Roman"/>
          <w:noProof/>
          <w:sz w:val="24"/>
        </w:rPr>
        <w:t>ension</w:t>
      </w:r>
      <w:r>
        <w:rPr>
          <w:rFonts w:ascii="Times New Roman" w:hAnsi="Times New Roman" w:cs="Times New Roman"/>
          <w:noProof/>
          <w:sz w:val="24"/>
        </w:rPr>
        <w:t xml:space="preserve"> liability with the actuarial assumptions of the pension assessment </w:t>
      </w:r>
      <w:r w:rsidR="00534BE1">
        <w:rPr>
          <w:rFonts w:ascii="Times New Roman" w:hAnsi="Times New Roman" w:cs="Times New Roman"/>
          <w:noProof/>
          <w:sz w:val="24"/>
        </w:rPr>
        <w:t>at 31 December 2021</w:t>
      </w:r>
    </w:p>
    <w:tbl>
      <w:tblPr>
        <w:tblW w:w="6733" w:type="dxa"/>
        <w:tblCellMar>
          <w:left w:w="0" w:type="dxa"/>
          <w:right w:w="0" w:type="dxa"/>
        </w:tblCellMar>
        <w:tblLook w:val="04A0" w:firstRow="1" w:lastRow="0" w:firstColumn="1" w:lastColumn="0" w:noHBand="0" w:noVBand="1"/>
      </w:tblPr>
      <w:tblGrid>
        <w:gridCol w:w="1613"/>
        <w:gridCol w:w="2436"/>
        <w:gridCol w:w="1612"/>
        <w:gridCol w:w="1072"/>
      </w:tblGrid>
      <w:tr w:rsidR="000929DD" w14:paraId="7D7185C1" w14:textId="77777777" w:rsidTr="00BE6857">
        <w:trPr>
          <w:trHeight w:val="302"/>
        </w:trPr>
        <w:tc>
          <w:tcPr>
            <w:tcW w:w="1613" w:type="dxa"/>
            <w:tcBorders>
              <w:top w:val="single" w:sz="4" w:space="0" w:color="auto"/>
              <w:left w:val="single" w:sz="4" w:space="0" w:color="auto"/>
              <w:bottom w:val="single" w:sz="4" w:space="0" w:color="auto"/>
              <w:right w:val="single" w:sz="8" w:space="0" w:color="auto"/>
            </w:tcBorders>
            <w:shd w:val="clear" w:color="auto" w:fill="E2EFD9" w:themeFill="accent6" w:themeFillTint="33"/>
            <w:noWrap/>
            <w:tcMar>
              <w:top w:w="0" w:type="dxa"/>
              <w:left w:w="70" w:type="dxa"/>
              <w:bottom w:w="0" w:type="dxa"/>
              <w:right w:w="70" w:type="dxa"/>
            </w:tcMar>
            <w:vAlign w:val="center"/>
            <w:hideMark/>
          </w:tcPr>
          <w:p w14:paraId="1D48987C" w14:textId="77777777" w:rsidR="000929DD" w:rsidRPr="002A57A6" w:rsidRDefault="000929DD" w:rsidP="00BE6857">
            <w:pPr>
              <w:jc w:val="center"/>
              <w:rPr>
                <w:rFonts w:ascii="Times New Roman" w:hAnsi="Times New Roman" w:cs="Times New Roman"/>
                <w:b/>
                <w:bCs/>
                <w:noProof/>
                <w:lang w:eastAsia="fr-BE"/>
              </w:rPr>
            </w:pPr>
            <w:r w:rsidRPr="002A57A6">
              <w:rPr>
                <w:rFonts w:ascii="Times New Roman" w:hAnsi="Times New Roman" w:cs="Times New Roman"/>
                <w:b/>
                <w:bCs/>
                <w:noProof/>
                <w:lang w:eastAsia="fr-BE"/>
              </w:rPr>
              <w:t>PCR assumption</w:t>
            </w:r>
          </w:p>
        </w:tc>
        <w:tc>
          <w:tcPr>
            <w:tcW w:w="2436" w:type="dxa"/>
            <w:tcBorders>
              <w:top w:val="single" w:sz="4" w:space="0" w:color="auto"/>
              <w:left w:val="nil"/>
              <w:bottom w:val="single" w:sz="4" w:space="0" w:color="auto"/>
              <w:right w:val="single" w:sz="8" w:space="0" w:color="auto"/>
            </w:tcBorders>
            <w:shd w:val="clear" w:color="auto" w:fill="E2EFD9" w:themeFill="accent6" w:themeFillTint="33"/>
            <w:noWrap/>
            <w:tcMar>
              <w:top w:w="0" w:type="dxa"/>
              <w:left w:w="70" w:type="dxa"/>
              <w:bottom w:w="0" w:type="dxa"/>
              <w:right w:w="70" w:type="dxa"/>
            </w:tcMar>
            <w:vAlign w:val="center"/>
            <w:hideMark/>
          </w:tcPr>
          <w:p w14:paraId="050E8F23" w14:textId="202B85D7" w:rsidR="000929DD" w:rsidRPr="002A57A6" w:rsidRDefault="000929DD" w:rsidP="00BE6857">
            <w:pPr>
              <w:jc w:val="center"/>
              <w:rPr>
                <w:rFonts w:ascii="Times New Roman" w:hAnsi="Times New Roman" w:cs="Times New Roman"/>
                <w:b/>
                <w:bCs/>
                <w:noProof/>
                <w:lang w:eastAsia="fr-BE"/>
              </w:rPr>
            </w:pPr>
            <w:r w:rsidRPr="002A57A6">
              <w:rPr>
                <w:rFonts w:ascii="Times New Roman" w:hAnsi="Times New Roman" w:cs="Times New Roman"/>
                <w:b/>
                <w:bCs/>
                <w:noProof/>
                <w:lang w:eastAsia="fr-BE"/>
              </w:rPr>
              <w:t>PSEO Liability</w:t>
            </w:r>
            <w:r>
              <w:rPr>
                <w:rFonts w:ascii="Times New Roman" w:hAnsi="Times New Roman" w:cs="Times New Roman"/>
                <w:b/>
                <w:bCs/>
                <w:noProof/>
                <w:lang w:eastAsia="fr-BE"/>
              </w:rPr>
              <w:t xml:space="preserve"> </w:t>
            </w:r>
            <w:r w:rsidR="008B0A4B">
              <w:rPr>
                <w:rFonts w:ascii="Times New Roman" w:hAnsi="Times New Roman" w:cs="Times New Roman"/>
                <w:b/>
                <w:bCs/>
                <w:noProof/>
                <w:lang w:eastAsia="fr-BE"/>
              </w:rPr>
              <w:br/>
            </w:r>
            <w:r>
              <w:rPr>
                <w:rFonts w:ascii="Times New Roman" w:hAnsi="Times New Roman" w:cs="Times New Roman"/>
                <w:b/>
                <w:bCs/>
                <w:noProof/>
                <w:lang w:eastAsia="fr-BE"/>
              </w:rPr>
              <w:t>(</w:t>
            </w:r>
            <w:r w:rsidR="008B0A4B">
              <w:rPr>
                <w:rFonts w:ascii="Times New Roman" w:hAnsi="Times New Roman" w:cs="Times New Roman"/>
                <w:b/>
                <w:bCs/>
                <w:noProof/>
                <w:lang w:eastAsia="fr-BE"/>
              </w:rPr>
              <w:t xml:space="preserve">in </w:t>
            </w:r>
            <w:r>
              <w:rPr>
                <w:rFonts w:ascii="Times New Roman" w:hAnsi="Times New Roman" w:cs="Times New Roman"/>
                <w:b/>
                <w:bCs/>
                <w:noProof/>
                <w:lang w:eastAsia="fr-BE"/>
              </w:rPr>
              <w:t>million</w:t>
            </w:r>
            <w:r w:rsidR="008B0A4B">
              <w:rPr>
                <w:rFonts w:ascii="Times New Roman" w:hAnsi="Times New Roman" w:cs="Times New Roman"/>
                <w:b/>
                <w:bCs/>
                <w:noProof/>
                <w:lang w:eastAsia="fr-BE"/>
              </w:rPr>
              <w:t xml:space="preserve"> EUR</w:t>
            </w:r>
            <w:r>
              <w:rPr>
                <w:rFonts w:ascii="Times New Roman" w:hAnsi="Times New Roman" w:cs="Times New Roman"/>
                <w:b/>
                <w:bCs/>
                <w:noProof/>
                <w:lang w:eastAsia="fr-BE"/>
              </w:rPr>
              <w:t>)</w:t>
            </w:r>
          </w:p>
        </w:tc>
        <w:tc>
          <w:tcPr>
            <w:tcW w:w="1612" w:type="dxa"/>
            <w:tcBorders>
              <w:top w:val="single" w:sz="4" w:space="0" w:color="auto"/>
              <w:left w:val="nil"/>
              <w:bottom w:val="single" w:sz="4" w:space="0" w:color="auto"/>
              <w:right w:val="single" w:sz="8" w:space="0" w:color="auto"/>
            </w:tcBorders>
            <w:shd w:val="clear" w:color="auto" w:fill="E2EFD9" w:themeFill="accent6" w:themeFillTint="33"/>
            <w:noWrap/>
            <w:tcMar>
              <w:top w:w="0" w:type="dxa"/>
              <w:left w:w="70" w:type="dxa"/>
              <w:bottom w:w="0" w:type="dxa"/>
              <w:right w:w="70" w:type="dxa"/>
            </w:tcMar>
            <w:vAlign w:val="center"/>
            <w:hideMark/>
          </w:tcPr>
          <w:p w14:paraId="1A95ED23" w14:textId="1D03A65B" w:rsidR="000929DD" w:rsidRPr="002A57A6" w:rsidRDefault="000929DD" w:rsidP="00BE6857">
            <w:pPr>
              <w:jc w:val="center"/>
              <w:rPr>
                <w:rFonts w:ascii="Times New Roman" w:hAnsi="Times New Roman" w:cs="Times New Roman"/>
                <w:b/>
                <w:bCs/>
                <w:noProof/>
                <w:lang w:eastAsia="fr-BE"/>
              </w:rPr>
            </w:pPr>
            <w:r w:rsidRPr="002A57A6">
              <w:rPr>
                <w:rFonts w:ascii="Times New Roman" w:hAnsi="Times New Roman" w:cs="Times New Roman"/>
                <w:b/>
                <w:bCs/>
                <w:noProof/>
                <w:lang w:eastAsia="fr-BE"/>
              </w:rPr>
              <w:t>Impact</w:t>
            </w:r>
            <w:r>
              <w:rPr>
                <w:rFonts w:ascii="Times New Roman" w:hAnsi="Times New Roman" w:cs="Times New Roman"/>
                <w:b/>
                <w:bCs/>
                <w:noProof/>
                <w:lang w:eastAsia="fr-BE"/>
              </w:rPr>
              <w:t xml:space="preserve"> </w:t>
            </w:r>
            <w:r w:rsidR="008B0A4B">
              <w:rPr>
                <w:rFonts w:ascii="Times New Roman" w:hAnsi="Times New Roman" w:cs="Times New Roman"/>
                <w:b/>
                <w:bCs/>
                <w:noProof/>
                <w:lang w:eastAsia="fr-BE"/>
              </w:rPr>
              <w:br/>
            </w:r>
            <w:r>
              <w:rPr>
                <w:rFonts w:ascii="Times New Roman" w:hAnsi="Times New Roman" w:cs="Times New Roman"/>
                <w:b/>
                <w:bCs/>
                <w:noProof/>
                <w:lang w:eastAsia="fr-BE"/>
              </w:rPr>
              <w:t>(</w:t>
            </w:r>
            <w:r w:rsidR="008B0A4B">
              <w:rPr>
                <w:rFonts w:ascii="Times New Roman" w:hAnsi="Times New Roman" w:cs="Times New Roman"/>
                <w:b/>
                <w:bCs/>
                <w:noProof/>
                <w:lang w:eastAsia="fr-BE"/>
              </w:rPr>
              <w:t xml:space="preserve">in </w:t>
            </w:r>
            <w:r>
              <w:rPr>
                <w:rFonts w:ascii="Times New Roman" w:hAnsi="Times New Roman" w:cs="Times New Roman"/>
                <w:b/>
                <w:bCs/>
                <w:noProof/>
                <w:lang w:eastAsia="fr-BE"/>
              </w:rPr>
              <w:t>million</w:t>
            </w:r>
            <w:r w:rsidR="008B0A4B">
              <w:rPr>
                <w:rFonts w:ascii="Times New Roman" w:hAnsi="Times New Roman" w:cs="Times New Roman"/>
                <w:b/>
                <w:bCs/>
                <w:noProof/>
                <w:lang w:eastAsia="fr-BE"/>
              </w:rPr>
              <w:t xml:space="preserve"> EUR</w:t>
            </w:r>
            <w:r>
              <w:rPr>
                <w:rFonts w:ascii="Times New Roman" w:hAnsi="Times New Roman" w:cs="Times New Roman"/>
                <w:b/>
                <w:bCs/>
                <w:noProof/>
                <w:lang w:eastAsia="fr-BE"/>
              </w:rPr>
              <w:t>)</w:t>
            </w:r>
          </w:p>
        </w:tc>
        <w:tc>
          <w:tcPr>
            <w:tcW w:w="1072" w:type="dxa"/>
            <w:tcBorders>
              <w:top w:val="single" w:sz="4" w:space="0" w:color="auto"/>
              <w:left w:val="nil"/>
              <w:bottom w:val="single" w:sz="4" w:space="0" w:color="auto"/>
              <w:right w:val="single" w:sz="4" w:space="0" w:color="auto"/>
            </w:tcBorders>
            <w:shd w:val="clear" w:color="auto" w:fill="E2EFD9" w:themeFill="accent6" w:themeFillTint="33"/>
            <w:noWrap/>
            <w:tcMar>
              <w:top w:w="0" w:type="dxa"/>
              <w:left w:w="70" w:type="dxa"/>
              <w:bottom w:w="0" w:type="dxa"/>
              <w:right w:w="70" w:type="dxa"/>
            </w:tcMar>
            <w:vAlign w:val="center"/>
            <w:hideMark/>
          </w:tcPr>
          <w:p w14:paraId="04B70CC5" w14:textId="77777777" w:rsidR="000929DD" w:rsidRPr="002A57A6" w:rsidRDefault="000929DD" w:rsidP="00BE6857">
            <w:pPr>
              <w:jc w:val="center"/>
              <w:rPr>
                <w:rFonts w:ascii="Times New Roman" w:hAnsi="Times New Roman" w:cs="Times New Roman"/>
                <w:b/>
                <w:bCs/>
                <w:noProof/>
                <w:lang w:eastAsia="fr-BE"/>
              </w:rPr>
            </w:pPr>
            <w:r w:rsidRPr="002A57A6">
              <w:rPr>
                <w:rFonts w:ascii="Times New Roman" w:hAnsi="Times New Roman" w:cs="Times New Roman"/>
                <w:b/>
                <w:bCs/>
                <w:noProof/>
                <w:lang w:eastAsia="fr-BE"/>
              </w:rPr>
              <w:t>Impact</w:t>
            </w:r>
          </w:p>
        </w:tc>
      </w:tr>
      <w:tr w:rsidR="000929DD" w14:paraId="568C53AE" w14:textId="77777777" w:rsidTr="00BE6857">
        <w:trPr>
          <w:trHeight w:val="275"/>
        </w:trPr>
        <w:tc>
          <w:tcPr>
            <w:tcW w:w="16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725330E" w14:textId="77777777" w:rsidR="000929DD" w:rsidRPr="002A57A6" w:rsidRDefault="000929DD" w:rsidP="00BE6857">
            <w:pPr>
              <w:jc w:val="center"/>
              <w:rPr>
                <w:rFonts w:ascii="Times New Roman" w:hAnsi="Times New Roman" w:cs="Times New Roman"/>
                <w:noProof/>
                <w:color w:val="000000"/>
                <w:lang w:eastAsia="fr-BE"/>
              </w:rPr>
            </w:pPr>
            <w:r w:rsidRPr="002A57A6">
              <w:rPr>
                <w:rFonts w:ascii="Times New Roman" w:hAnsi="Times New Roman" w:cs="Times New Roman"/>
                <w:noProof/>
                <w:color w:val="000000"/>
                <w:lang w:eastAsia="fr-BE"/>
              </w:rPr>
              <w:t>Liability actuarial assumptions</w:t>
            </w:r>
          </w:p>
        </w:tc>
        <w:tc>
          <w:tcPr>
            <w:tcW w:w="243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9244FF7" w14:textId="0DB06B34" w:rsidR="000929DD" w:rsidRPr="002A57A6" w:rsidRDefault="001F75FD" w:rsidP="00BE6857">
            <w:pPr>
              <w:jc w:val="center"/>
              <w:rPr>
                <w:rFonts w:ascii="Times New Roman" w:hAnsi="Times New Roman" w:cs="Times New Roman"/>
                <w:noProof/>
                <w:color w:val="000000"/>
                <w:lang w:eastAsia="fr-BE"/>
              </w:rPr>
            </w:pPr>
            <w:r>
              <w:rPr>
                <w:rFonts w:ascii="Times New Roman" w:hAnsi="Times New Roman" w:cs="Times New Roman"/>
                <w:noProof/>
                <w:color w:val="000000"/>
                <w:lang w:eastAsia="fr-BE"/>
              </w:rPr>
              <w:t xml:space="preserve">126 </w:t>
            </w:r>
            <w:r w:rsidR="000929DD" w:rsidRPr="002A57A6">
              <w:rPr>
                <w:rFonts w:ascii="Times New Roman" w:hAnsi="Times New Roman" w:cs="Times New Roman"/>
                <w:noProof/>
                <w:color w:val="000000"/>
                <w:lang w:eastAsia="fr-BE"/>
              </w:rPr>
              <w:t>068</w:t>
            </w:r>
          </w:p>
        </w:tc>
        <w:tc>
          <w:tcPr>
            <w:tcW w:w="16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11C9331" w14:textId="77777777" w:rsidR="000929DD" w:rsidRPr="002A57A6" w:rsidRDefault="000929DD" w:rsidP="00BE6857">
            <w:pPr>
              <w:jc w:val="center"/>
              <w:rPr>
                <w:rFonts w:ascii="Times New Roman" w:hAnsi="Times New Roman" w:cs="Times New Roman"/>
                <w:noProof/>
                <w:color w:val="000000"/>
                <w:lang w:eastAsia="fr-BE"/>
              </w:rPr>
            </w:pPr>
            <w:r w:rsidRPr="002A57A6">
              <w:rPr>
                <w:rFonts w:ascii="Times New Roman" w:hAnsi="Times New Roman" w:cs="Times New Roman"/>
                <w:noProof/>
                <w:color w:val="000000"/>
                <w:lang w:eastAsia="fr-BE"/>
              </w:rPr>
              <w:t> </w:t>
            </w:r>
          </w:p>
        </w:tc>
        <w:tc>
          <w:tcPr>
            <w:tcW w:w="107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0479E30" w14:textId="77777777" w:rsidR="000929DD" w:rsidRPr="002A57A6" w:rsidRDefault="000929DD" w:rsidP="00BE6857">
            <w:pPr>
              <w:jc w:val="center"/>
              <w:rPr>
                <w:rFonts w:ascii="Times New Roman" w:hAnsi="Times New Roman" w:cs="Times New Roman"/>
                <w:noProof/>
                <w:color w:val="000000"/>
                <w:lang w:eastAsia="fr-BE"/>
              </w:rPr>
            </w:pPr>
            <w:r w:rsidRPr="002A57A6">
              <w:rPr>
                <w:rFonts w:ascii="Times New Roman" w:hAnsi="Times New Roman" w:cs="Times New Roman"/>
                <w:noProof/>
                <w:color w:val="000000"/>
                <w:lang w:eastAsia="fr-BE"/>
              </w:rPr>
              <w:t> </w:t>
            </w:r>
          </w:p>
        </w:tc>
      </w:tr>
      <w:tr w:rsidR="000929DD" w14:paraId="6945E29F" w14:textId="77777777" w:rsidTr="00BE6857">
        <w:trPr>
          <w:trHeight w:val="288"/>
        </w:trPr>
        <w:tc>
          <w:tcPr>
            <w:tcW w:w="16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073158C" w14:textId="77777777" w:rsidR="000929DD" w:rsidRPr="002A57A6" w:rsidRDefault="000929DD" w:rsidP="00BE6857">
            <w:pPr>
              <w:jc w:val="center"/>
              <w:rPr>
                <w:rFonts w:ascii="Times New Roman" w:hAnsi="Times New Roman" w:cs="Times New Roman"/>
                <w:noProof/>
                <w:color w:val="000000"/>
                <w:lang w:eastAsia="fr-BE"/>
              </w:rPr>
            </w:pPr>
            <w:r w:rsidRPr="002A57A6">
              <w:rPr>
                <w:rFonts w:ascii="Times New Roman" w:hAnsi="Times New Roman" w:cs="Times New Roman"/>
                <w:noProof/>
                <w:color w:val="000000"/>
                <w:lang w:eastAsia="fr-BE"/>
              </w:rPr>
              <w:t>Assessment actuarial assumptions</w:t>
            </w:r>
          </w:p>
        </w:tc>
        <w:tc>
          <w:tcPr>
            <w:tcW w:w="243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A0E9432" w14:textId="7C5D043B" w:rsidR="000929DD" w:rsidRPr="002A57A6" w:rsidRDefault="001F75FD" w:rsidP="00213B0B">
            <w:pPr>
              <w:jc w:val="center"/>
              <w:rPr>
                <w:rFonts w:ascii="Times New Roman" w:hAnsi="Times New Roman" w:cs="Times New Roman"/>
                <w:noProof/>
                <w:color w:val="000000"/>
                <w:lang w:eastAsia="fr-BE"/>
              </w:rPr>
            </w:pPr>
            <w:r>
              <w:rPr>
                <w:rFonts w:ascii="Times New Roman" w:hAnsi="Times New Roman" w:cs="Times New Roman"/>
                <w:noProof/>
                <w:color w:val="000000"/>
                <w:lang w:eastAsia="fr-BE"/>
              </w:rPr>
              <w:t xml:space="preserve">62 </w:t>
            </w:r>
            <w:r w:rsidR="000929DD" w:rsidRPr="002A57A6">
              <w:rPr>
                <w:rFonts w:ascii="Times New Roman" w:hAnsi="Times New Roman" w:cs="Times New Roman"/>
                <w:noProof/>
                <w:color w:val="000000"/>
                <w:lang w:eastAsia="fr-BE"/>
              </w:rPr>
              <w:t>613</w:t>
            </w:r>
          </w:p>
        </w:tc>
        <w:tc>
          <w:tcPr>
            <w:tcW w:w="161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C581110" w14:textId="16E0A51C" w:rsidR="000929DD" w:rsidRPr="002A57A6" w:rsidRDefault="001F75FD" w:rsidP="00BE6857">
            <w:pPr>
              <w:jc w:val="center"/>
              <w:rPr>
                <w:rFonts w:ascii="Times New Roman" w:hAnsi="Times New Roman" w:cs="Times New Roman"/>
                <w:noProof/>
                <w:color w:val="000000"/>
                <w:lang w:eastAsia="fr-BE"/>
              </w:rPr>
            </w:pPr>
            <w:r>
              <w:rPr>
                <w:rFonts w:ascii="Times New Roman" w:hAnsi="Times New Roman" w:cs="Times New Roman"/>
                <w:noProof/>
                <w:color w:val="000000"/>
                <w:lang w:eastAsia="fr-BE"/>
              </w:rPr>
              <w:t xml:space="preserve">-63 </w:t>
            </w:r>
            <w:r w:rsidR="000929DD" w:rsidRPr="002A57A6">
              <w:rPr>
                <w:rFonts w:ascii="Times New Roman" w:hAnsi="Times New Roman" w:cs="Times New Roman"/>
                <w:noProof/>
                <w:color w:val="000000"/>
                <w:lang w:eastAsia="fr-BE"/>
              </w:rPr>
              <w:t>45</w:t>
            </w:r>
            <w:r w:rsidR="00B40591">
              <w:rPr>
                <w:rFonts w:ascii="Times New Roman" w:hAnsi="Times New Roman" w:cs="Times New Roman"/>
                <w:noProof/>
                <w:color w:val="000000"/>
                <w:lang w:eastAsia="fr-BE"/>
              </w:rPr>
              <w:t>5</w:t>
            </w:r>
          </w:p>
        </w:tc>
        <w:tc>
          <w:tcPr>
            <w:tcW w:w="107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99376EB" w14:textId="77777777" w:rsidR="000929DD" w:rsidRPr="002A57A6" w:rsidRDefault="000929DD" w:rsidP="00BE6857">
            <w:pPr>
              <w:jc w:val="center"/>
              <w:rPr>
                <w:rFonts w:ascii="Times New Roman" w:hAnsi="Times New Roman" w:cs="Times New Roman"/>
                <w:noProof/>
                <w:color w:val="000000"/>
                <w:lang w:eastAsia="fr-BE"/>
              </w:rPr>
            </w:pPr>
            <w:r w:rsidRPr="002A57A6">
              <w:rPr>
                <w:rFonts w:ascii="Times New Roman" w:hAnsi="Times New Roman" w:cs="Times New Roman"/>
                <w:noProof/>
                <w:color w:val="000000"/>
                <w:lang w:eastAsia="fr-BE"/>
              </w:rPr>
              <w:t>-50.3%</w:t>
            </w:r>
          </w:p>
        </w:tc>
      </w:tr>
    </w:tbl>
    <w:p w14:paraId="3913D204" w14:textId="77777777" w:rsidR="000929DD" w:rsidRDefault="000929DD" w:rsidP="000929DD">
      <w:pPr>
        <w:rPr>
          <w:rFonts w:ascii="Times New Roman" w:hAnsi="Times New Roman" w:cs="Times New Roman"/>
          <w:noProof/>
          <w:sz w:val="24"/>
        </w:rPr>
      </w:pPr>
    </w:p>
    <w:p w14:paraId="75B7B8DA" w14:textId="325E05C6" w:rsidR="00372D3D" w:rsidRDefault="000929DD" w:rsidP="000929DD">
      <w:pPr>
        <w:rPr>
          <w:rFonts w:ascii="Times New Roman" w:hAnsi="Times New Roman" w:cs="Times New Roman"/>
          <w:noProof/>
          <w:sz w:val="24"/>
        </w:rPr>
      </w:pPr>
      <w:r>
        <w:rPr>
          <w:rFonts w:ascii="Times New Roman" w:hAnsi="Times New Roman" w:cs="Times New Roman"/>
          <w:noProof/>
          <w:sz w:val="24"/>
        </w:rPr>
        <w:t>Annex 17: Update of the pension contribution rate in EU Member States</w:t>
      </w:r>
      <w:r w:rsidR="00B40591">
        <w:rPr>
          <w:rStyle w:val="FootnoteReference"/>
          <w:rFonts w:ascii="Times New Roman" w:hAnsi="Times New Roman" w:cs="Times New Roman"/>
          <w:noProof/>
          <w:sz w:val="24"/>
        </w:rPr>
        <w:footnoteReference w:id="37"/>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437"/>
      </w:tblGrid>
      <w:tr w:rsidR="00372D3D" w:rsidRPr="00C11A47" w14:paraId="6BB58B28" w14:textId="77777777" w:rsidTr="00515559">
        <w:trPr>
          <w:trHeight w:val="926"/>
        </w:trPr>
        <w:tc>
          <w:tcPr>
            <w:tcW w:w="4971" w:type="dxa"/>
            <w:shd w:val="clear" w:color="auto" w:fill="E2EFD9"/>
          </w:tcPr>
          <w:p w14:paraId="243B6714" w14:textId="77777777" w:rsidR="00372D3D" w:rsidRPr="00C11A47" w:rsidRDefault="00372D3D" w:rsidP="007A02CC">
            <w:pPr>
              <w:rPr>
                <w:rFonts w:ascii="Times New Roman" w:hAnsi="Times New Roman"/>
                <w:b/>
                <w:noProof/>
                <w:sz w:val="24"/>
              </w:rPr>
            </w:pPr>
            <w:r w:rsidRPr="00C11A47">
              <w:rPr>
                <w:rFonts w:ascii="Times New Roman" w:hAnsi="Times New Roman"/>
                <w:b/>
                <w:noProof/>
                <w:sz w:val="24"/>
              </w:rPr>
              <w:t>Conditions under which pension contribution rates are updated</w:t>
            </w:r>
          </w:p>
        </w:tc>
        <w:tc>
          <w:tcPr>
            <w:tcW w:w="4437" w:type="dxa"/>
            <w:shd w:val="clear" w:color="auto" w:fill="E2EFD9"/>
          </w:tcPr>
          <w:p w14:paraId="15EE22B1" w14:textId="77777777" w:rsidR="00372D3D" w:rsidRPr="00C11A47" w:rsidRDefault="00372D3D" w:rsidP="007A02CC">
            <w:pPr>
              <w:rPr>
                <w:rFonts w:ascii="Times New Roman" w:hAnsi="Times New Roman"/>
                <w:b/>
                <w:noProof/>
                <w:sz w:val="24"/>
              </w:rPr>
            </w:pPr>
            <w:r w:rsidRPr="00C11A47">
              <w:rPr>
                <w:rFonts w:ascii="Times New Roman" w:hAnsi="Times New Roman"/>
                <w:b/>
                <w:noProof/>
                <w:sz w:val="24"/>
              </w:rPr>
              <w:t xml:space="preserve">Member States </w:t>
            </w:r>
          </w:p>
        </w:tc>
      </w:tr>
      <w:tr w:rsidR="00372D3D" w:rsidRPr="00C11A47" w14:paraId="71EC6F09" w14:textId="77777777" w:rsidTr="00515559">
        <w:trPr>
          <w:trHeight w:val="558"/>
        </w:trPr>
        <w:tc>
          <w:tcPr>
            <w:tcW w:w="4971" w:type="dxa"/>
            <w:shd w:val="clear" w:color="auto" w:fill="auto"/>
          </w:tcPr>
          <w:p w14:paraId="2EA879D7" w14:textId="77777777" w:rsidR="00372D3D" w:rsidRPr="00C11A47" w:rsidRDefault="00372D3D" w:rsidP="007A02CC">
            <w:pPr>
              <w:rPr>
                <w:rFonts w:ascii="Times New Roman" w:hAnsi="Times New Roman"/>
                <w:noProof/>
                <w:sz w:val="24"/>
              </w:rPr>
            </w:pPr>
            <w:r w:rsidRPr="00C11A47">
              <w:rPr>
                <w:rFonts w:ascii="Times New Roman" w:hAnsi="Times New Roman"/>
                <w:noProof/>
                <w:sz w:val="24"/>
              </w:rPr>
              <w:t>Regular updates based on actuarial calculations</w:t>
            </w:r>
          </w:p>
        </w:tc>
        <w:tc>
          <w:tcPr>
            <w:tcW w:w="4437" w:type="dxa"/>
            <w:shd w:val="clear" w:color="auto" w:fill="auto"/>
          </w:tcPr>
          <w:p w14:paraId="1056EDC6" w14:textId="77777777" w:rsidR="00372D3D" w:rsidRPr="00C11A47" w:rsidRDefault="00372D3D" w:rsidP="007A02CC">
            <w:pPr>
              <w:rPr>
                <w:rFonts w:ascii="Times New Roman" w:hAnsi="Times New Roman"/>
                <w:noProof/>
                <w:sz w:val="24"/>
              </w:rPr>
            </w:pPr>
            <w:r w:rsidRPr="00C11A47">
              <w:rPr>
                <w:rFonts w:ascii="Times New Roman" w:hAnsi="Times New Roman"/>
                <w:noProof/>
                <w:sz w:val="24"/>
              </w:rPr>
              <w:t>NL, EU</w:t>
            </w:r>
          </w:p>
        </w:tc>
      </w:tr>
      <w:tr w:rsidR="00372D3D" w:rsidRPr="00C11A47" w14:paraId="4F548C28" w14:textId="77777777" w:rsidTr="00515559">
        <w:trPr>
          <w:trHeight w:val="926"/>
        </w:trPr>
        <w:tc>
          <w:tcPr>
            <w:tcW w:w="4971" w:type="dxa"/>
            <w:shd w:val="clear" w:color="auto" w:fill="auto"/>
          </w:tcPr>
          <w:p w14:paraId="166CAF9F" w14:textId="77777777" w:rsidR="00372D3D" w:rsidRPr="00C11A47" w:rsidRDefault="00372D3D" w:rsidP="007A02CC">
            <w:pPr>
              <w:rPr>
                <w:rFonts w:ascii="Times New Roman" w:hAnsi="Times New Roman"/>
                <w:noProof/>
                <w:sz w:val="24"/>
              </w:rPr>
            </w:pPr>
            <w:r w:rsidRPr="00C11A47">
              <w:rPr>
                <w:rFonts w:ascii="Times New Roman" w:hAnsi="Times New Roman"/>
                <w:noProof/>
                <w:sz w:val="24"/>
              </w:rPr>
              <w:t>Occasional updates based on actuarial calculations</w:t>
            </w:r>
          </w:p>
        </w:tc>
        <w:tc>
          <w:tcPr>
            <w:tcW w:w="4437" w:type="dxa"/>
            <w:shd w:val="clear" w:color="auto" w:fill="auto"/>
          </w:tcPr>
          <w:p w14:paraId="629A2A45" w14:textId="77777777" w:rsidR="00372D3D" w:rsidRPr="00C11A47" w:rsidRDefault="00372D3D" w:rsidP="007A02CC">
            <w:pPr>
              <w:rPr>
                <w:rFonts w:ascii="Times New Roman" w:hAnsi="Times New Roman"/>
                <w:noProof/>
                <w:sz w:val="24"/>
              </w:rPr>
            </w:pPr>
            <w:r w:rsidRPr="00C11A47">
              <w:rPr>
                <w:rFonts w:ascii="Times New Roman" w:hAnsi="Times New Roman"/>
                <w:noProof/>
                <w:sz w:val="24"/>
              </w:rPr>
              <w:t>AT, BE, HU, LU, PT, SI</w:t>
            </w:r>
          </w:p>
        </w:tc>
      </w:tr>
      <w:tr w:rsidR="00372D3D" w:rsidRPr="00C11A47" w14:paraId="49464E9D" w14:textId="77777777" w:rsidTr="00515559">
        <w:trPr>
          <w:trHeight w:val="572"/>
        </w:trPr>
        <w:tc>
          <w:tcPr>
            <w:tcW w:w="4971" w:type="dxa"/>
            <w:shd w:val="clear" w:color="auto" w:fill="auto"/>
          </w:tcPr>
          <w:p w14:paraId="7991B45E" w14:textId="77777777" w:rsidR="00372D3D" w:rsidRPr="00C11A47" w:rsidRDefault="00372D3D" w:rsidP="007A02CC">
            <w:pPr>
              <w:rPr>
                <w:rFonts w:ascii="Times New Roman" w:hAnsi="Times New Roman"/>
                <w:noProof/>
                <w:sz w:val="24"/>
              </w:rPr>
            </w:pPr>
            <w:r w:rsidRPr="00C11A47">
              <w:rPr>
                <w:rFonts w:ascii="Times New Roman" w:hAnsi="Times New Roman"/>
                <w:noProof/>
                <w:sz w:val="24"/>
              </w:rPr>
              <w:t>Regular updates based on political decisions</w:t>
            </w:r>
          </w:p>
        </w:tc>
        <w:tc>
          <w:tcPr>
            <w:tcW w:w="4437" w:type="dxa"/>
            <w:shd w:val="clear" w:color="auto" w:fill="auto"/>
          </w:tcPr>
          <w:p w14:paraId="65C1722E" w14:textId="77777777" w:rsidR="00372D3D" w:rsidRPr="00C11A47" w:rsidRDefault="00372D3D" w:rsidP="007A02CC">
            <w:pPr>
              <w:rPr>
                <w:rFonts w:ascii="Times New Roman" w:hAnsi="Times New Roman"/>
                <w:noProof/>
                <w:sz w:val="24"/>
              </w:rPr>
            </w:pPr>
            <w:r w:rsidRPr="00C11A47">
              <w:rPr>
                <w:rFonts w:ascii="Times New Roman" w:hAnsi="Times New Roman"/>
                <w:noProof/>
                <w:sz w:val="24"/>
              </w:rPr>
              <w:t>FI, PL</w:t>
            </w:r>
          </w:p>
        </w:tc>
      </w:tr>
      <w:tr w:rsidR="00372D3D" w:rsidRPr="000D0BE4" w14:paraId="27E0555C" w14:textId="77777777" w:rsidTr="00515559">
        <w:trPr>
          <w:trHeight w:val="558"/>
        </w:trPr>
        <w:tc>
          <w:tcPr>
            <w:tcW w:w="4971" w:type="dxa"/>
            <w:shd w:val="clear" w:color="auto" w:fill="auto"/>
          </w:tcPr>
          <w:p w14:paraId="2942B933" w14:textId="77777777" w:rsidR="00372D3D" w:rsidRPr="00C11A47" w:rsidRDefault="00372D3D" w:rsidP="007A02CC">
            <w:pPr>
              <w:rPr>
                <w:rFonts w:ascii="Times New Roman" w:hAnsi="Times New Roman"/>
                <w:noProof/>
                <w:sz w:val="24"/>
              </w:rPr>
            </w:pPr>
            <w:r w:rsidRPr="00C11A47">
              <w:rPr>
                <w:rFonts w:ascii="Times New Roman" w:hAnsi="Times New Roman"/>
                <w:noProof/>
                <w:sz w:val="24"/>
              </w:rPr>
              <w:t>Occasional updates based on political decisions</w:t>
            </w:r>
          </w:p>
        </w:tc>
        <w:tc>
          <w:tcPr>
            <w:tcW w:w="4437" w:type="dxa"/>
            <w:shd w:val="clear" w:color="auto" w:fill="auto"/>
          </w:tcPr>
          <w:p w14:paraId="7FC79D09" w14:textId="77777777" w:rsidR="00372D3D" w:rsidRPr="00515559" w:rsidRDefault="00372D3D" w:rsidP="007A02CC">
            <w:pPr>
              <w:rPr>
                <w:rFonts w:ascii="Times New Roman" w:hAnsi="Times New Roman"/>
                <w:noProof/>
                <w:sz w:val="24"/>
                <w:lang w:val="fr-BE"/>
              </w:rPr>
            </w:pPr>
            <w:r w:rsidRPr="00515559">
              <w:rPr>
                <w:rFonts w:ascii="Times New Roman" w:hAnsi="Times New Roman"/>
                <w:noProof/>
                <w:sz w:val="24"/>
                <w:lang w:val="fr-BE"/>
              </w:rPr>
              <w:t>BG, FR, HR, IE, LT, LV, MT, RO, SE</w:t>
            </w:r>
          </w:p>
        </w:tc>
      </w:tr>
      <w:tr w:rsidR="00372D3D" w:rsidRPr="00030AD1" w14:paraId="7F0DDC7A" w14:textId="77777777" w:rsidTr="00515559">
        <w:trPr>
          <w:trHeight w:val="558"/>
        </w:trPr>
        <w:tc>
          <w:tcPr>
            <w:tcW w:w="4971" w:type="dxa"/>
            <w:shd w:val="clear" w:color="auto" w:fill="auto"/>
          </w:tcPr>
          <w:p w14:paraId="64378442" w14:textId="77777777" w:rsidR="00372D3D" w:rsidRPr="00C11A47" w:rsidRDefault="00372D3D" w:rsidP="007A02CC">
            <w:pPr>
              <w:rPr>
                <w:rFonts w:ascii="Times New Roman" w:hAnsi="Times New Roman"/>
                <w:noProof/>
                <w:sz w:val="24"/>
              </w:rPr>
            </w:pPr>
            <w:r w:rsidRPr="00C11A47">
              <w:rPr>
                <w:rFonts w:ascii="Times New Roman" w:hAnsi="Times New Roman"/>
                <w:noProof/>
                <w:sz w:val="24"/>
              </w:rPr>
              <w:t>No updates</w:t>
            </w:r>
          </w:p>
        </w:tc>
        <w:tc>
          <w:tcPr>
            <w:tcW w:w="4437" w:type="dxa"/>
            <w:shd w:val="clear" w:color="auto" w:fill="auto"/>
          </w:tcPr>
          <w:p w14:paraId="40D9D003" w14:textId="77777777" w:rsidR="00372D3D" w:rsidRPr="003E2329" w:rsidRDefault="00372D3D" w:rsidP="007A02CC">
            <w:pPr>
              <w:rPr>
                <w:rFonts w:ascii="Times New Roman" w:hAnsi="Times New Roman"/>
                <w:noProof/>
                <w:sz w:val="24"/>
                <w:lang w:val="es-ES"/>
              </w:rPr>
            </w:pPr>
            <w:r w:rsidRPr="003E2329">
              <w:rPr>
                <w:rFonts w:ascii="Times New Roman" w:hAnsi="Times New Roman"/>
                <w:noProof/>
                <w:sz w:val="24"/>
                <w:lang w:val="es-ES"/>
              </w:rPr>
              <w:t>CY, CZ, DE, ES, EE, DK, IT, SK</w:t>
            </w:r>
          </w:p>
        </w:tc>
      </w:tr>
    </w:tbl>
    <w:p w14:paraId="6DDDFDCA" w14:textId="0465E87D" w:rsidR="00AB712C" w:rsidRPr="003E2329" w:rsidRDefault="00AB712C" w:rsidP="000929DD">
      <w:pPr>
        <w:rPr>
          <w:rFonts w:ascii="Times New Roman" w:hAnsi="Times New Roman" w:cs="Times New Roman"/>
          <w:noProof/>
          <w:sz w:val="24"/>
          <w:lang w:val="es-ES"/>
        </w:rPr>
      </w:pPr>
    </w:p>
    <w:p w14:paraId="785E29B6" w14:textId="2817647A" w:rsidR="00542296" w:rsidRDefault="000929DD" w:rsidP="000929DD">
      <w:pPr>
        <w:rPr>
          <w:rFonts w:ascii="Times New Roman" w:hAnsi="Times New Roman" w:cs="Times New Roman"/>
          <w:noProof/>
          <w:sz w:val="24"/>
        </w:rPr>
      </w:pPr>
      <w:r>
        <w:rPr>
          <w:rFonts w:ascii="Times New Roman" w:hAnsi="Times New Roman" w:cs="Times New Roman"/>
          <w:noProof/>
          <w:sz w:val="24"/>
        </w:rPr>
        <w:t>Annex 18: Pension contribution rates applicable in Member States</w:t>
      </w:r>
      <w:r w:rsidR="00982A05">
        <w:rPr>
          <w:rFonts w:ascii="Times New Roman" w:hAnsi="Times New Roman" w:cs="Times New Roman"/>
          <w:noProof/>
          <w:sz w:val="24"/>
        </w:rPr>
        <w:t xml:space="preserve"> in 2021</w:t>
      </w:r>
      <w:r w:rsidR="00372D3D">
        <w:rPr>
          <w:rStyle w:val="FootnoteReference"/>
          <w:rFonts w:ascii="Times New Roman" w:hAnsi="Times New Roman" w:cs="Times New Roman"/>
          <w:noProof/>
          <w:sz w:val="24"/>
        </w:rPr>
        <w:footnoteReference w:id="38"/>
      </w:r>
      <w:r>
        <w:rPr>
          <w:rFonts w:ascii="Times New Roman" w:hAnsi="Times New Roman" w:cs="Times New Roman"/>
          <w:noProof/>
          <w:sz w:val="24"/>
        </w:rPr>
        <w:t xml:space="preserve"> </w:t>
      </w:r>
    </w:p>
    <w:p w14:paraId="0692B9BD" w14:textId="5336604E" w:rsidR="005B0871" w:rsidRPr="00542296" w:rsidRDefault="00982A05" w:rsidP="000929DD">
      <w:pPr>
        <w:rPr>
          <w:rFonts w:ascii="Times New Roman" w:hAnsi="Times New Roman" w:cs="Times New Roman"/>
          <w:noProof/>
          <w:sz w:val="24"/>
        </w:rPr>
      </w:pPr>
      <w:r>
        <w:rPr>
          <w:noProof/>
          <w:lang w:val="en-GB" w:eastAsia="en-GB"/>
        </w:rPr>
        <w:drawing>
          <wp:inline distT="0" distB="0" distL="0" distR="0" wp14:anchorId="0DC79DE6" wp14:editId="2E7FDA37">
            <wp:extent cx="5731510" cy="3664633"/>
            <wp:effectExtent l="0" t="0" r="254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B98AF5" w14:textId="77777777" w:rsidR="00282CD7" w:rsidRDefault="00282CD7" w:rsidP="000929DD">
      <w:pPr>
        <w:rPr>
          <w:rFonts w:ascii="Times New Roman" w:hAnsi="Times New Roman" w:cs="Times New Roman"/>
          <w:noProof/>
          <w:sz w:val="24"/>
        </w:rPr>
      </w:pPr>
    </w:p>
    <w:p w14:paraId="2DF03DBB" w14:textId="77777777" w:rsidR="008E5131" w:rsidRDefault="008E5131" w:rsidP="000929DD">
      <w:pPr>
        <w:rPr>
          <w:rFonts w:ascii="Times New Roman" w:hAnsi="Times New Roman" w:cs="Times New Roman"/>
          <w:noProof/>
          <w:sz w:val="24"/>
        </w:rPr>
      </w:pPr>
    </w:p>
    <w:p w14:paraId="383AAB01" w14:textId="10051480" w:rsidR="000929DD" w:rsidRPr="0090216F" w:rsidRDefault="000929DD" w:rsidP="000929DD">
      <w:pPr>
        <w:rPr>
          <w:rFonts w:ascii="Times New Roman" w:hAnsi="Times New Roman" w:cs="Times New Roman"/>
          <w:noProof/>
          <w:sz w:val="24"/>
        </w:rPr>
      </w:pPr>
      <w:r w:rsidRPr="0090216F">
        <w:rPr>
          <w:rFonts w:ascii="Times New Roman" w:hAnsi="Times New Roman" w:cs="Times New Roman"/>
          <w:noProof/>
          <w:sz w:val="24"/>
        </w:rPr>
        <w:t>Annex 19: Normal pensionable age applicable to public servants in 2021</w:t>
      </w:r>
      <w:r w:rsidR="00F73B60">
        <w:rPr>
          <w:rStyle w:val="FootnoteReference"/>
          <w:rFonts w:ascii="Times New Roman" w:hAnsi="Times New Roman" w:cs="Times New Roman"/>
          <w:noProof/>
          <w:sz w:val="24"/>
        </w:rPr>
        <w:footnoteReference w:id="39"/>
      </w:r>
    </w:p>
    <w:p w14:paraId="654E3FE4" w14:textId="72C7EBFD" w:rsidR="000929DD" w:rsidRDefault="00982A05" w:rsidP="000929DD">
      <w:pPr>
        <w:rPr>
          <w:rFonts w:ascii="Times New Roman" w:hAnsi="Times New Roman" w:cs="Times New Roman"/>
          <w:noProof/>
          <w:sz w:val="24"/>
        </w:rPr>
      </w:pPr>
      <w:r>
        <w:rPr>
          <w:noProof/>
          <w:lang w:val="en-GB" w:eastAsia="en-GB"/>
        </w:rPr>
        <w:drawing>
          <wp:inline distT="0" distB="0" distL="0" distR="0" wp14:anchorId="44A51CE0" wp14:editId="7FE1CE99">
            <wp:extent cx="5670550" cy="2951430"/>
            <wp:effectExtent l="0" t="0" r="6350"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B9567D1" w14:textId="77777777" w:rsidR="008E5131" w:rsidRDefault="008E5131" w:rsidP="000929DD">
      <w:pPr>
        <w:rPr>
          <w:rFonts w:ascii="Times New Roman" w:hAnsi="Times New Roman" w:cs="Times New Roman"/>
          <w:noProof/>
          <w:sz w:val="24"/>
        </w:rPr>
      </w:pPr>
    </w:p>
    <w:p w14:paraId="4A9F24ED" w14:textId="2619EFE9" w:rsidR="000929DD" w:rsidRDefault="000929DD" w:rsidP="000929DD">
      <w:pPr>
        <w:rPr>
          <w:rFonts w:ascii="Times New Roman" w:hAnsi="Times New Roman" w:cs="Times New Roman"/>
          <w:noProof/>
          <w:sz w:val="24"/>
        </w:rPr>
      </w:pPr>
      <w:r w:rsidRPr="0090216F">
        <w:rPr>
          <w:rFonts w:ascii="Times New Roman" w:hAnsi="Times New Roman" w:cs="Times New Roman"/>
          <w:noProof/>
          <w:sz w:val="24"/>
        </w:rPr>
        <w:t>Annex 20: Update of the pensionable age in light of life expectancy</w:t>
      </w:r>
      <w:r w:rsidR="00F479EC">
        <w:rPr>
          <w:rStyle w:val="FootnoteReference"/>
          <w:rFonts w:ascii="Times New Roman" w:hAnsi="Times New Roman" w:cs="Times New Roman"/>
          <w:noProof/>
          <w:sz w:val="24"/>
        </w:rPr>
        <w:footnoteReference w:id="4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362"/>
      </w:tblGrid>
      <w:tr w:rsidR="005B0871" w:rsidRPr="00C11A47" w14:paraId="33B59C5B" w14:textId="77777777" w:rsidTr="005B0871">
        <w:tc>
          <w:tcPr>
            <w:tcW w:w="5211" w:type="dxa"/>
            <w:shd w:val="clear" w:color="auto" w:fill="E2EFD9"/>
          </w:tcPr>
          <w:p w14:paraId="276AE497" w14:textId="5EE92091" w:rsidR="005B0871" w:rsidRPr="00C11A47" w:rsidRDefault="005B0871" w:rsidP="001A515A">
            <w:pPr>
              <w:jc w:val="center"/>
              <w:rPr>
                <w:rFonts w:ascii="Times New Roman" w:hAnsi="Times New Roman"/>
                <w:b/>
                <w:noProof/>
                <w:sz w:val="24"/>
              </w:rPr>
            </w:pPr>
            <w:r w:rsidRPr="00C11A47">
              <w:rPr>
                <w:rFonts w:ascii="Times New Roman" w:hAnsi="Times New Roman"/>
                <w:b/>
                <w:noProof/>
                <w:sz w:val="24"/>
              </w:rPr>
              <w:t>Link between the pensionable age and</w:t>
            </w:r>
            <w:r w:rsidR="000B4EAD">
              <w:rPr>
                <w:rFonts w:ascii="Times New Roman" w:hAnsi="Times New Roman"/>
                <w:b/>
                <w:noProof/>
                <w:sz w:val="24"/>
              </w:rPr>
              <w:t xml:space="preserve">  </w:t>
            </w:r>
            <w:r w:rsidR="009F4145">
              <w:rPr>
                <w:rFonts w:ascii="Times New Roman" w:hAnsi="Times New Roman"/>
                <w:b/>
                <w:noProof/>
                <w:sz w:val="24"/>
              </w:rPr>
              <w:t xml:space="preserve"> </w:t>
            </w:r>
            <w:r w:rsidRPr="00C11A47">
              <w:rPr>
                <w:rFonts w:ascii="Times New Roman" w:hAnsi="Times New Roman"/>
                <w:b/>
                <w:noProof/>
                <w:sz w:val="24"/>
              </w:rPr>
              <w:t>life expectancy</w:t>
            </w:r>
          </w:p>
        </w:tc>
        <w:tc>
          <w:tcPr>
            <w:tcW w:w="4675" w:type="dxa"/>
            <w:shd w:val="clear" w:color="auto" w:fill="E2EFD9"/>
          </w:tcPr>
          <w:p w14:paraId="4AD04A0C" w14:textId="0184C76C" w:rsidR="005B0871" w:rsidRPr="00C11A47" w:rsidRDefault="005B0871" w:rsidP="001A515A">
            <w:pPr>
              <w:jc w:val="center"/>
              <w:rPr>
                <w:rFonts w:ascii="Times New Roman" w:hAnsi="Times New Roman"/>
                <w:b/>
                <w:noProof/>
                <w:sz w:val="24"/>
              </w:rPr>
            </w:pPr>
            <w:r w:rsidRPr="00C11A47">
              <w:rPr>
                <w:rFonts w:ascii="Times New Roman" w:hAnsi="Times New Roman"/>
                <w:b/>
                <w:noProof/>
                <w:sz w:val="24"/>
              </w:rPr>
              <w:t>Member States</w:t>
            </w:r>
          </w:p>
        </w:tc>
      </w:tr>
      <w:tr w:rsidR="005B0871" w:rsidRPr="00030AD1" w14:paraId="485A0324" w14:textId="77777777" w:rsidTr="005B0871">
        <w:tc>
          <w:tcPr>
            <w:tcW w:w="5211" w:type="dxa"/>
            <w:shd w:val="clear" w:color="auto" w:fill="auto"/>
          </w:tcPr>
          <w:p w14:paraId="593C1B69" w14:textId="77777777" w:rsidR="005B0871" w:rsidRPr="00C11A47" w:rsidRDefault="005B0871" w:rsidP="001A515A">
            <w:pPr>
              <w:jc w:val="center"/>
              <w:rPr>
                <w:rFonts w:ascii="Times New Roman" w:hAnsi="Times New Roman"/>
                <w:noProof/>
                <w:sz w:val="24"/>
              </w:rPr>
            </w:pPr>
            <w:r w:rsidRPr="00C11A47">
              <w:rPr>
                <w:rFonts w:ascii="Times New Roman" w:hAnsi="Times New Roman"/>
                <w:noProof/>
                <w:sz w:val="24"/>
              </w:rPr>
              <w:t>No link</w:t>
            </w:r>
          </w:p>
        </w:tc>
        <w:tc>
          <w:tcPr>
            <w:tcW w:w="4675" w:type="dxa"/>
            <w:shd w:val="clear" w:color="auto" w:fill="auto"/>
          </w:tcPr>
          <w:p w14:paraId="71F46881" w14:textId="77777777" w:rsidR="005B0871" w:rsidRPr="003E2329" w:rsidRDefault="005B0871" w:rsidP="001A515A">
            <w:pPr>
              <w:jc w:val="center"/>
              <w:rPr>
                <w:rFonts w:ascii="Times New Roman" w:hAnsi="Times New Roman"/>
                <w:noProof/>
                <w:sz w:val="24"/>
                <w:lang w:val="es-ES"/>
              </w:rPr>
            </w:pPr>
            <w:r w:rsidRPr="003E2329">
              <w:rPr>
                <w:rFonts w:ascii="Times New Roman" w:hAnsi="Times New Roman"/>
                <w:noProof/>
                <w:sz w:val="24"/>
                <w:lang w:val="es-ES"/>
              </w:rPr>
              <w:t>AT, BG, DE, EE, ES, HU, LU, RO, SE</w:t>
            </w:r>
          </w:p>
        </w:tc>
      </w:tr>
      <w:tr w:rsidR="005B0871" w:rsidRPr="00C11A47" w14:paraId="60CA18AA" w14:textId="77777777" w:rsidTr="005B0871">
        <w:tc>
          <w:tcPr>
            <w:tcW w:w="5211" w:type="dxa"/>
            <w:shd w:val="clear" w:color="auto" w:fill="auto"/>
          </w:tcPr>
          <w:p w14:paraId="403753AB" w14:textId="77777777" w:rsidR="005B0871" w:rsidRPr="00C11A47" w:rsidRDefault="005B0871" w:rsidP="001A515A">
            <w:pPr>
              <w:jc w:val="center"/>
              <w:rPr>
                <w:rFonts w:ascii="Times New Roman" w:hAnsi="Times New Roman"/>
                <w:noProof/>
                <w:sz w:val="24"/>
              </w:rPr>
            </w:pPr>
            <w:r w:rsidRPr="00C11A47">
              <w:rPr>
                <w:rFonts w:ascii="Times New Roman" w:hAnsi="Times New Roman"/>
                <w:noProof/>
                <w:sz w:val="24"/>
              </w:rPr>
              <w:t>Weak link: occasional updates</w:t>
            </w:r>
          </w:p>
        </w:tc>
        <w:tc>
          <w:tcPr>
            <w:tcW w:w="4675" w:type="dxa"/>
            <w:shd w:val="clear" w:color="auto" w:fill="auto"/>
          </w:tcPr>
          <w:p w14:paraId="2591ADED" w14:textId="77777777" w:rsidR="005B0871" w:rsidRPr="00C11A47" w:rsidRDefault="005B0871" w:rsidP="001A515A">
            <w:pPr>
              <w:jc w:val="center"/>
              <w:rPr>
                <w:rFonts w:ascii="Times New Roman" w:hAnsi="Times New Roman"/>
                <w:noProof/>
                <w:sz w:val="24"/>
              </w:rPr>
            </w:pPr>
            <w:r w:rsidRPr="00C11A47">
              <w:rPr>
                <w:rFonts w:ascii="Times New Roman" w:hAnsi="Times New Roman"/>
                <w:noProof/>
                <w:sz w:val="24"/>
              </w:rPr>
              <w:t>BE, CZ, FR, HR, IE, LT, LV, MT, PL, SI</w:t>
            </w:r>
          </w:p>
        </w:tc>
      </w:tr>
      <w:tr w:rsidR="005B0871" w:rsidRPr="00C11A47" w14:paraId="086D3C60" w14:textId="77777777" w:rsidTr="005B0871">
        <w:tc>
          <w:tcPr>
            <w:tcW w:w="5211" w:type="dxa"/>
            <w:shd w:val="clear" w:color="auto" w:fill="auto"/>
          </w:tcPr>
          <w:p w14:paraId="44211B1B" w14:textId="77777777" w:rsidR="005B0871" w:rsidRPr="00C11A47" w:rsidRDefault="005B0871" w:rsidP="001A515A">
            <w:pPr>
              <w:jc w:val="center"/>
              <w:rPr>
                <w:rFonts w:ascii="Times New Roman" w:hAnsi="Times New Roman"/>
                <w:noProof/>
                <w:sz w:val="24"/>
              </w:rPr>
            </w:pPr>
            <w:r w:rsidRPr="00C11A47">
              <w:rPr>
                <w:rFonts w:ascii="Times New Roman" w:hAnsi="Times New Roman"/>
                <w:noProof/>
                <w:sz w:val="24"/>
              </w:rPr>
              <w:t>Strong link: Regular update</w:t>
            </w:r>
          </w:p>
        </w:tc>
        <w:tc>
          <w:tcPr>
            <w:tcW w:w="4675" w:type="dxa"/>
            <w:shd w:val="clear" w:color="auto" w:fill="auto"/>
          </w:tcPr>
          <w:p w14:paraId="4519C37C" w14:textId="77777777" w:rsidR="005B0871" w:rsidRPr="00C11A47" w:rsidRDefault="005B0871" w:rsidP="001A515A">
            <w:pPr>
              <w:jc w:val="center"/>
              <w:rPr>
                <w:rFonts w:ascii="Times New Roman" w:hAnsi="Times New Roman"/>
                <w:noProof/>
                <w:sz w:val="24"/>
              </w:rPr>
            </w:pPr>
            <w:r w:rsidRPr="00C11A47">
              <w:rPr>
                <w:rFonts w:ascii="Times New Roman" w:hAnsi="Times New Roman"/>
                <w:noProof/>
                <w:sz w:val="24"/>
              </w:rPr>
              <w:t>CY, DK, EL, FI, IT, NL, PT, SK, EU</w:t>
            </w:r>
          </w:p>
        </w:tc>
      </w:tr>
    </w:tbl>
    <w:p w14:paraId="565861E7" w14:textId="77777777" w:rsidR="000929DD" w:rsidRDefault="000929DD" w:rsidP="000929DD">
      <w:pPr>
        <w:rPr>
          <w:rFonts w:ascii="Times New Roman" w:hAnsi="Times New Roman" w:cs="Times New Roman"/>
          <w:noProof/>
          <w:sz w:val="24"/>
        </w:rPr>
      </w:pPr>
    </w:p>
    <w:p w14:paraId="17B0B18A" w14:textId="745C8339" w:rsidR="000929DD" w:rsidRDefault="000929DD" w:rsidP="000929DD">
      <w:pPr>
        <w:rPr>
          <w:rFonts w:ascii="Times New Roman" w:hAnsi="Times New Roman" w:cs="Times New Roman"/>
          <w:noProof/>
          <w:sz w:val="24"/>
        </w:rPr>
      </w:pPr>
      <w:r>
        <w:rPr>
          <w:rFonts w:ascii="Times New Roman" w:hAnsi="Times New Roman" w:cs="Times New Roman"/>
          <w:noProof/>
          <w:sz w:val="24"/>
        </w:rPr>
        <w:t>Annex 21: Evolution of the average pension rights accrued by pensioners</w:t>
      </w:r>
      <w:r w:rsidR="00867EC9">
        <w:rPr>
          <w:rFonts w:ascii="Times New Roman" w:hAnsi="Times New Roman" w:cs="Times New Roman"/>
          <w:noProof/>
          <w:sz w:val="24"/>
        </w:rPr>
        <w:t xml:space="preserve"> </w:t>
      </w:r>
    </w:p>
    <w:p w14:paraId="15514E50" w14:textId="77777777" w:rsidR="008E5131" w:rsidRDefault="00EA6DD7" w:rsidP="000929DD">
      <w:pPr>
        <w:rPr>
          <w:rFonts w:ascii="Times New Roman" w:hAnsi="Times New Roman" w:cs="Times New Roman"/>
          <w:noProof/>
          <w:sz w:val="24"/>
        </w:rPr>
      </w:pPr>
      <w:r>
        <w:rPr>
          <w:noProof/>
          <w:lang w:val="en-GB" w:eastAsia="en-GB"/>
        </w:rPr>
        <w:drawing>
          <wp:inline distT="0" distB="0" distL="0" distR="0" wp14:anchorId="33583F98" wp14:editId="43574127">
            <wp:extent cx="4587240" cy="2317750"/>
            <wp:effectExtent l="0" t="0" r="381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B540EF0" w14:textId="1569C257" w:rsidR="000929DD" w:rsidRPr="0010537A" w:rsidRDefault="000929DD" w:rsidP="000929DD">
      <w:pPr>
        <w:rPr>
          <w:rFonts w:ascii="Times New Roman" w:hAnsi="Times New Roman" w:cs="Times New Roman"/>
          <w:noProof/>
          <w:sz w:val="24"/>
        </w:rPr>
      </w:pPr>
      <w:r>
        <w:rPr>
          <w:rFonts w:ascii="Times New Roman" w:hAnsi="Times New Roman" w:cs="Times New Roman"/>
          <w:noProof/>
          <w:sz w:val="24"/>
        </w:rPr>
        <w:t xml:space="preserve">Annex </w:t>
      </w:r>
      <w:r w:rsidR="00D046AC">
        <w:rPr>
          <w:rFonts w:ascii="Times New Roman" w:hAnsi="Times New Roman" w:cs="Times New Roman"/>
          <w:noProof/>
          <w:sz w:val="24"/>
        </w:rPr>
        <w:t>22</w:t>
      </w:r>
      <w:r>
        <w:rPr>
          <w:rFonts w:ascii="Times New Roman" w:hAnsi="Times New Roman" w:cs="Times New Roman"/>
          <w:noProof/>
          <w:sz w:val="24"/>
        </w:rPr>
        <w:t>: Savings</w:t>
      </w:r>
      <w:r w:rsidR="00125479">
        <w:rPr>
          <w:rFonts w:ascii="Times New Roman" w:hAnsi="Times New Roman" w:cs="Times New Roman"/>
          <w:noProof/>
          <w:sz w:val="24"/>
        </w:rPr>
        <w:t xml:space="preserve"> on the pension expenditure</w:t>
      </w:r>
      <w:r>
        <w:rPr>
          <w:rFonts w:ascii="Times New Roman" w:hAnsi="Times New Roman" w:cs="Times New Roman"/>
          <w:noProof/>
          <w:sz w:val="24"/>
        </w:rPr>
        <w:t xml:space="preserve"> </w:t>
      </w:r>
      <w:r w:rsidRPr="0010537A">
        <w:rPr>
          <w:rFonts w:ascii="Times New Roman" w:eastAsia="Times New Roman" w:hAnsi="Times New Roman" w:cs="Times New Roman"/>
          <w:bCs/>
          <w:noProof/>
          <w:sz w:val="24"/>
          <w:szCs w:val="24"/>
          <w:lang w:eastAsia="en-IE"/>
        </w:rPr>
        <w:t xml:space="preserve">resulting from the </w:t>
      </w:r>
      <w:r w:rsidR="002E773A">
        <w:rPr>
          <w:rFonts w:ascii="Times New Roman" w:eastAsia="Times New Roman" w:hAnsi="Times New Roman" w:cs="Times New Roman"/>
          <w:bCs/>
          <w:noProof/>
          <w:sz w:val="24"/>
          <w:szCs w:val="24"/>
          <w:lang w:eastAsia="en-IE"/>
        </w:rPr>
        <w:t xml:space="preserve">measures of the </w:t>
      </w:r>
      <w:r w:rsidRPr="0010537A">
        <w:rPr>
          <w:rFonts w:ascii="Times New Roman" w:eastAsia="Times New Roman" w:hAnsi="Times New Roman" w:cs="Times New Roman"/>
          <w:bCs/>
          <w:noProof/>
          <w:sz w:val="24"/>
          <w:szCs w:val="24"/>
          <w:lang w:eastAsia="en-IE"/>
        </w:rPr>
        <w:t xml:space="preserve">2014 </w:t>
      </w:r>
      <w:r>
        <w:rPr>
          <w:rFonts w:ascii="Times New Roman" w:eastAsia="Times New Roman" w:hAnsi="Times New Roman" w:cs="Times New Roman"/>
          <w:bCs/>
          <w:noProof/>
          <w:sz w:val="24"/>
          <w:szCs w:val="24"/>
          <w:lang w:eastAsia="en-IE"/>
        </w:rPr>
        <w:t>measures affecting the salary grid</w:t>
      </w:r>
      <w:r w:rsidRPr="0010537A">
        <w:rPr>
          <w:rFonts w:ascii="Times New Roman" w:eastAsia="Times New Roman" w:hAnsi="Times New Roman" w:cs="Times New Roman"/>
          <w:bCs/>
          <w:noProof/>
          <w:sz w:val="24"/>
          <w:szCs w:val="24"/>
          <w:lang w:eastAsia="en-IE"/>
        </w:rPr>
        <w:t xml:space="preserve"> </w:t>
      </w:r>
    </w:p>
    <w:tbl>
      <w:tblPr>
        <w:tblStyle w:val="TableGrid"/>
        <w:tblW w:w="0" w:type="auto"/>
        <w:tblLook w:val="04A0" w:firstRow="1" w:lastRow="0" w:firstColumn="1" w:lastColumn="0" w:noHBand="0" w:noVBand="1"/>
      </w:tblPr>
      <w:tblGrid>
        <w:gridCol w:w="1101"/>
        <w:gridCol w:w="3260"/>
      </w:tblGrid>
      <w:tr w:rsidR="000929DD" w:rsidRPr="003506FB" w14:paraId="10899C59" w14:textId="77777777" w:rsidTr="000F33C7">
        <w:tc>
          <w:tcPr>
            <w:tcW w:w="1101" w:type="dxa"/>
            <w:tcBorders>
              <w:bottom w:val="single" w:sz="4" w:space="0" w:color="auto"/>
            </w:tcBorders>
            <w:shd w:val="clear" w:color="auto" w:fill="E2EFD9" w:themeFill="accent6" w:themeFillTint="33"/>
          </w:tcPr>
          <w:p w14:paraId="22CDEF45" w14:textId="77777777" w:rsidR="000929DD" w:rsidRPr="003506FB" w:rsidRDefault="000929DD" w:rsidP="00BE6857">
            <w:pPr>
              <w:jc w:val="center"/>
              <w:rPr>
                <w:rFonts w:ascii="Times New Roman" w:eastAsia="Times New Roman" w:hAnsi="Times New Roman" w:cs="Times New Roman"/>
                <w:b/>
                <w:bCs/>
                <w:noProof/>
                <w:sz w:val="24"/>
                <w:szCs w:val="24"/>
                <w:lang w:eastAsia="en-IE"/>
              </w:rPr>
            </w:pPr>
            <w:r w:rsidRPr="003506FB">
              <w:rPr>
                <w:rFonts w:ascii="Times New Roman" w:eastAsia="Times New Roman" w:hAnsi="Times New Roman" w:cs="Times New Roman"/>
                <w:b/>
                <w:bCs/>
                <w:noProof/>
                <w:sz w:val="24"/>
                <w:szCs w:val="24"/>
                <w:lang w:eastAsia="en-IE"/>
              </w:rPr>
              <w:t>Year</w:t>
            </w:r>
          </w:p>
        </w:tc>
        <w:tc>
          <w:tcPr>
            <w:tcW w:w="3260" w:type="dxa"/>
            <w:tcBorders>
              <w:bottom w:val="single" w:sz="4" w:space="0" w:color="auto"/>
            </w:tcBorders>
            <w:shd w:val="clear" w:color="auto" w:fill="E2EFD9" w:themeFill="accent6" w:themeFillTint="33"/>
          </w:tcPr>
          <w:p w14:paraId="5160FAFD" w14:textId="64C9248D" w:rsidR="000929DD" w:rsidRPr="003506FB" w:rsidRDefault="000929DD" w:rsidP="00BE6857">
            <w:pPr>
              <w:jc w:val="center"/>
              <w:rPr>
                <w:rFonts w:ascii="Times New Roman" w:eastAsia="Times New Roman" w:hAnsi="Times New Roman" w:cs="Times New Roman"/>
                <w:b/>
                <w:bCs/>
                <w:noProof/>
                <w:sz w:val="24"/>
                <w:szCs w:val="24"/>
                <w:lang w:eastAsia="en-IE"/>
              </w:rPr>
            </w:pPr>
            <w:r>
              <w:rPr>
                <w:rFonts w:ascii="Times New Roman" w:eastAsia="Times New Roman" w:hAnsi="Times New Roman" w:cs="Times New Roman"/>
                <w:b/>
                <w:bCs/>
                <w:noProof/>
                <w:sz w:val="24"/>
                <w:szCs w:val="24"/>
                <w:lang w:eastAsia="en-IE"/>
              </w:rPr>
              <w:t xml:space="preserve">Savings resulting from the </w:t>
            </w:r>
            <w:r w:rsidR="007E53F7">
              <w:rPr>
                <w:rFonts w:ascii="Times New Roman" w:eastAsia="Times New Roman" w:hAnsi="Times New Roman" w:cs="Times New Roman"/>
                <w:b/>
                <w:bCs/>
                <w:noProof/>
                <w:sz w:val="24"/>
                <w:szCs w:val="24"/>
                <w:lang w:eastAsia="en-IE"/>
              </w:rPr>
              <w:t xml:space="preserve">measures of the </w:t>
            </w:r>
            <w:r>
              <w:rPr>
                <w:rFonts w:ascii="Times New Roman" w:eastAsia="Times New Roman" w:hAnsi="Times New Roman" w:cs="Times New Roman"/>
                <w:b/>
                <w:bCs/>
                <w:noProof/>
                <w:sz w:val="24"/>
                <w:szCs w:val="24"/>
                <w:lang w:eastAsia="en-IE"/>
              </w:rPr>
              <w:t xml:space="preserve">2014 reform of the Staff Regulations </w:t>
            </w:r>
            <w:r w:rsidR="002A6558">
              <w:rPr>
                <w:rFonts w:ascii="Times New Roman" w:eastAsia="Times New Roman" w:hAnsi="Times New Roman" w:cs="Times New Roman"/>
                <w:b/>
                <w:bCs/>
                <w:noProof/>
                <w:sz w:val="24"/>
                <w:szCs w:val="24"/>
                <w:lang w:eastAsia="en-IE"/>
              </w:rPr>
              <w:t>affecting the salary grid</w:t>
            </w:r>
            <w:r w:rsidR="004D7B1B">
              <w:rPr>
                <w:rFonts w:ascii="Times New Roman" w:eastAsia="Times New Roman" w:hAnsi="Times New Roman" w:cs="Times New Roman"/>
                <w:b/>
                <w:bCs/>
                <w:noProof/>
                <w:sz w:val="24"/>
                <w:szCs w:val="24"/>
                <w:lang w:eastAsia="en-IE"/>
              </w:rPr>
              <w:t xml:space="preserve"> </w:t>
            </w:r>
            <w:r w:rsidRPr="003506FB">
              <w:rPr>
                <w:rFonts w:ascii="Times New Roman" w:eastAsia="Times New Roman" w:hAnsi="Times New Roman" w:cs="Times New Roman"/>
                <w:b/>
                <w:bCs/>
                <w:noProof/>
                <w:sz w:val="24"/>
                <w:szCs w:val="24"/>
                <w:lang w:eastAsia="en-IE"/>
              </w:rPr>
              <w:t>(million)</w:t>
            </w:r>
          </w:p>
        </w:tc>
      </w:tr>
      <w:tr w:rsidR="00DA7381" w:rsidRPr="003506FB" w14:paraId="3556BA32" w14:textId="77777777" w:rsidTr="000F33C7">
        <w:tc>
          <w:tcPr>
            <w:tcW w:w="1101" w:type="dxa"/>
            <w:tcBorders>
              <w:top w:val="single" w:sz="4" w:space="0" w:color="auto"/>
              <w:right w:val="single" w:sz="4" w:space="0" w:color="auto"/>
            </w:tcBorders>
          </w:tcPr>
          <w:p w14:paraId="0A3FAD0B" w14:textId="77777777" w:rsidR="00DA7381" w:rsidRPr="000F33C7" w:rsidRDefault="00DA7381" w:rsidP="00DA7381">
            <w:pPr>
              <w:rPr>
                <w:rFonts w:ascii="Times New Roman" w:hAnsi="Times New Roman" w:cs="Times New Roman"/>
                <w:b/>
                <w:noProof/>
                <w:sz w:val="24"/>
              </w:rPr>
            </w:pPr>
            <w:r w:rsidRPr="000F33C7">
              <w:rPr>
                <w:rFonts w:ascii="Times New Roman" w:hAnsi="Times New Roman" w:cs="Times New Roman"/>
                <w:b/>
                <w:noProof/>
                <w:sz w:val="24"/>
              </w:rPr>
              <w:t>2011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DE4701" w14:textId="45F577E2" w:rsidR="00DA7381" w:rsidRPr="000F33C7" w:rsidRDefault="00DA7381" w:rsidP="00DA7381">
            <w:pPr>
              <w:jc w:val="center"/>
              <w:rPr>
                <w:rFonts w:ascii="Times New Roman" w:hAnsi="Times New Roman" w:cs="Times New Roman"/>
                <w:noProof/>
                <w:color w:val="000000"/>
                <w:sz w:val="24"/>
                <w:szCs w:val="24"/>
              </w:rPr>
            </w:pPr>
            <w:r w:rsidRPr="000F33C7">
              <w:rPr>
                <w:rFonts w:ascii="Times New Roman" w:hAnsi="Times New Roman" w:cs="Times New Roman"/>
                <w:noProof/>
                <w:color w:val="000000"/>
                <w:sz w:val="24"/>
                <w:szCs w:val="24"/>
              </w:rPr>
              <w:t xml:space="preserve">24.9 </w:t>
            </w:r>
          </w:p>
        </w:tc>
      </w:tr>
      <w:tr w:rsidR="00DA7381" w:rsidRPr="003506FB" w14:paraId="2ED0B597" w14:textId="77777777" w:rsidTr="000F33C7">
        <w:tc>
          <w:tcPr>
            <w:tcW w:w="1101" w:type="dxa"/>
            <w:tcBorders>
              <w:top w:val="single" w:sz="4" w:space="0" w:color="auto"/>
              <w:right w:val="single" w:sz="4" w:space="0" w:color="auto"/>
            </w:tcBorders>
          </w:tcPr>
          <w:p w14:paraId="5B31D8EB" w14:textId="77777777" w:rsidR="00DA7381" w:rsidRPr="000F33C7" w:rsidRDefault="00DA7381" w:rsidP="00DA7381">
            <w:pPr>
              <w:rPr>
                <w:rFonts w:ascii="Times New Roman" w:hAnsi="Times New Roman" w:cs="Times New Roman"/>
                <w:b/>
                <w:noProof/>
                <w:sz w:val="24"/>
              </w:rPr>
            </w:pPr>
            <w:r w:rsidRPr="000F33C7">
              <w:rPr>
                <w:rFonts w:ascii="Times New Roman" w:hAnsi="Times New Roman" w:cs="Times New Roman"/>
                <w:b/>
                <w:noProof/>
                <w:sz w:val="24"/>
              </w:rPr>
              <w:t>2012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25B9786" w14:textId="5B55E8CC" w:rsidR="00DA7381" w:rsidRPr="000F33C7" w:rsidRDefault="00DA7381" w:rsidP="00DA7381">
            <w:pPr>
              <w:jc w:val="center"/>
              <w:rPr>
                <w:rFonts w:ascii="Times New Roman" w:hAnsi="Times New Roman" w:cs="Times New Roman"/>
                <w:noProof/>
                <w:color w:val="000000"/>
                <w:sz w:val="24"/>
                <w:szCs w:val="24"/>
              </w:rPr>
            </w:pPr>
            <w:r w:rsidRPr="000F33C7">
              <w:rPr>
                <w:rFonts w:ascii="Times New Roman" w:hAnsi="Times New Roman" w:cs="Times New Roman"/>
                <w:noProof/>
                <w:color w:val="000000"/>
                <w:sz w:val="24"/>
                <w:szCs w:val="24"/>
              </w:rPr>
              <w:t xml:space="preserve">34.2 </w:t>
            </w:r>
          </w:p>
        </w:tc>
      </w:tr>
      <w:tr w:rsidR="00DA7381" w:rsidRPr="003506FB" w14:paraId="4504BD43" w14:textId="77777777" w:rsidTr="000F33C7">
        <w:tc>
          <w:tcPr>
            <w:tcW w:w="1101" w:type="dxa"/>
            <w:tcBorders>
              <w:top w:val="single" w:sz="4" w:space="0" w:color="auto"/>
              <w:bottom w:val="single" w:sz="4" w:space="0" w:color="auto"/>
              <w:right w:val="single" w:sz="4" w:space="0" w:color="auto"/>
            </w:tcBorders>
          </w:tcPr>
          <w:p w14:paraId="17D32764" w14:textId="77777777" w:rsidR="00DA7381" w:rsidRPr="000F33C7" w:rsidRDefault="00DA7381" w:rsidP="00DA7381">
            <w:pPr>
              <w:rPr>
                <w:rFonts w:ascii="Times New Roman" w:hAnsi="Times New Roman" w:cs="Times New Roman"/>
                <w:b/>
                <w:noProof/>
                <w:sz w:val="24"/>
              </w:rPr>
            </w:pPr>
            <w:r w:rsidRPr="000F33C7">
              <w:rPr>
                <w:rFonts w:ascii="Times New Roman" w:hAnsi="Times New Roman" w:cs="Times New Roman"/>
                <w:b/>
                <w:noProof/>
                <w:sz w:val="24"/>
              </w:rPr>
              <w:t>2013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9AF063" w14:textId="4DCEDE34" w:rsidR="00DA7381" w:rsidRPr="000F33C7" w:rsidRDefault="00DA7381" w:rsidP="00DA7381">
            <w:pPr>
              <w:jc w:val="center"/>
              <w:rPr>
                <w:rFonts w:ascii="Times New Roman" w:hAnsi="Times New Roman" w:cs="Times New Roman"/>
                <w:noProof/>
                <w:color w:val="000000"/>
                <w:sz w:val="24"/>
                <w:szCs w:val="24"/>
              </w:rPr>
            </w:pPr>
            <w:r w:rsidRPr="000F33C7">
              <w:rPr>
                <w:rFonts w:ascii="Times New Roman" w:hAnsi="Times New Roman" w:cs="Times New Roman"/>
                <w:noProof/>
                <w:color w:val="000000"/>
                <w:sz w:val="24"/>
                <w:szCs w:val="24"/>
              </w:rPr>
              <w:t xml:space="preserve">59.6 </w:t>
            </w:r>
          </w:p>
        </w:tc>
      </w:tr>
      <w:tr w:rsidR="00DA7381" w:rsidRPr="003506FB" w14:paraId="2C7C1D26" w14:textId="77777777" w:rsidTr="000F33C7">
        <w:tc>
          <w:tcPr>
            <w:tcW w:w="1101" w:type="dxa"/>
            <w:tcBorders>
              <w:bottom w:val="single" w:sz="4" w:space="0" w:color="auto"/>
              <w:right w:val="single" w:sz="4" w:space="0" w:color="auto"/>
            </w:tcBorders>
          </w:tcPr>
          <w:p w14:paraId="61DD8F20" w14:textId="77777777" w:rsidR="00DA7381" w:rsidRPr="000F33C7" w:rsidRDefault="00DA7381" w:rsidP="00DA7381">
            <w:pPr>
              <w:rPr>
                <w:rFonts w:ascii="Times New Roman" w:hAnsi="Times New Roman" w:cs="Times New Roman"/>
                <w:b/>
                <w:noProof/>
                <w:sz w:val="24"/>
              </w:rPr>
            </w:pPr>
            <w:r w:rsidRPr="000F33C7">
              <w:rPr>
                <w:rFonts w:ascii="Times New Roman" w:hAnsi="Times New Roman" w:cs="Times New Roman"/>
                <w:b/>
                <w:noProof/>
                <w:sz w:val="24"/>
              </w:rPr>
              <w:t>2014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BC8AC06" w14:textId="6916A678" w:rsidR="00DA7381" w:rsidRPr="000F33C7" w:rsidRDefault="00DA7381" w:rsidP="00DA7381">
            <w:pPr>
              <w:jc w:val="center"/>
              <w:rPr>
                <w:rFonts w:ascii="Times New Roman" w:hAnsi="Times New Roman" w:cs="Times New Roman"/>
                <w:noProof/>
                <w:color w:val="000000"/>
                <w:sz w:val="24"/>
                <w:szCs w:val="24"/>
              </w:rPr>
            </w:pPr>
            <w:r w:rsidRPr="000F33C7">
              <w:rPr>
                <w:rFonts w:ascii="Times New Roman" w:hAnsi="Times New Roman" w:cs="Times New Roman"/>
                <w:noProof/>
                <w:color w:val="000000"/>
                <w:sz w:val="24"/>
                <w:szCs w:val="24"/>
              </w:rPr>
              <w:t xml:space="preserve">95.1 </w:t>
            </w:r>
          </w:p>
        </w:tc>
      </w:tr>
      <w:tr w:rsidR="00DA7381" w:rsidRPr="003506FB" w14:paraId="28CC3C29" w14:textId="77777777" w:rsidTr="000F33C7">
        <w:tc>
          <w:tcPr>
            <w:tcW w:w="1101" w:type="dxa"/>
            <w:tcBorders>
              <w:bottom w:val="single" w:sz="4" w:space="0" w:color="auto"/>
              <w:right w:val="single" w:sz="4" w:space="0" w:color="auto"/>
            </w:tcBorders>
          </w:tcPr>
          <w:p w14:paraId="307712C6" w14:textId="77777777" w:rsidR="00DA7381" w:rsidRPr="000F33C7" w:rsidRDefault="00DA7381" w:rsidP="00DA7381">
            <w:pPr>
              <w:rPr>
                <w:rFonts w:ascii="Times New Roman" w:hAnsi="Times New Roman" w:cs="Times New Roman"/>
                <w:b/>
                <w:noProof/>
                <w:sz w:val="24"/>
              </w:rPr>
            </w:pPr>
            <w:r w:rsidRPr="000F33C7">
              <w:rPr>
                <w:rFonts w:ascii="Times New Roman" w:hAnsi="Times New Roman" w:cs="Times New Roman"/>
                <w:b/>
                <w:noProof/>
                <w:sz w:val="24"/>
              </w:rPr>
              <w:t>2015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17F2D8" w14:textId="1147A5D4" w:rsidR="00DA7381" w:rsidRPr="000F33C7" w:rsidRDefault="00DA7381" w:rsidP="00DA7381">
            <w:pPr>
              <w:jc w:val="center"/>
              <w:rPr>
                <w:rFonts w:ascii="Times New Roman" w:hAnsi="Times New Roman" w:cs="Times New Roman"/>
                <w:noProof/>
                <w:color w:val="000000"/>
                <w:sz w:val="24"/>
                <w:szCs w:val="24"/>
              </w:rPr>
            </w:pPr>
            <w:r w:rsidRPr="000F33C7">
              <w:rPr>
                <w:rFonts w:ascii="Times New Roman" w:hAnsi="Times New Roman" w:cs="Times New Roman"/>
                <w:noProof/>
                <w:color w:val="000000"/>
                <w:sz w:val="24"/>
                <w:szCs w:val="24"/>
              </w:rPr>
              <w:t xml:space="preserve">116.6 </w:t>
            </w:r>
          </w:p>
        </w:tc>
      </w:tr>
      <w:tr w:rsidR="00DA7381" w:rsidRPr="003506FB" w14:paraId="09ECB51A" w14:textId="77777777" w:rsidTr="00A179D6">
        <w:tc>
          <w:tcPr>
            <w:tcW w:w="1101" w:type="dxa"/>
            <w:tcBorders>
              <w:bottom w:val="single" w:sz="4" w:space="0" w:color="auto"/>
              <w:right w:val="single" w:sz="4" w:space="0" w:color="auto"/>
            </w:tcBorders>
          </w:tcPr>
          <w:p w14:paraId="3E2CB5C1" w14:textId="77777777" w:rsidR="00DA7381" w:rsidRPr="000F33C7" w:rsidRDefault="00DA7381" w:rsidP="00DA7381">
            <w:pPr>
              <w:rPr>
                <w:rFonts w:ascii="Times New Roman" w:hAnsi="Times New Roman" w:cs="Times New Roman"/>
                <w:b/>
                <w:noProof/>
                <w:sz w:val="24"/>
              </w:rPr>
            </w:pPr>
            <w:r w:rsidRPr="000F33C7">
              <w:rPr>
                <w:rFonts w:ascii="Times New Roman" w:hAnsi="Times New Roman" w:cs="Times New Roman"/>
                <w:b/>
                <w:noProof/>
                <w:sz w:val="24"/>
              </w:rPr>
              <w:t>2016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45842E" w14:textId="38D117AE" w:rsidR="00DA7381" w:rsidRPr="000F33C7" w:rsidRDefault="00DA7381" w:rsidP="00DA7381">
            <w:pPr>
              <w:jc w:val="center"/>
              <w:rPr>
                <w:rFonts w:ascii="Times New Roman" w:hAnsi="Times New Roman" w:cs="Times New Roman"/>
                <w:noProof/>
                <w:color w:val="000000"/>
                <w:sz w:val="24"/>
                <w:szCs w:val="24"/>
              </w:rPr>
            </w:pPr>
            <w:r w:rsidRPr="000F33C7">
              <w:rPr>
                <w:rFonts w:ascii="Times New Roman" w:hAnsi="Times New Roman" w:cs="Times New Roman"/>
                <w:noProof/>
                <w:color w:val="000000"/>
                <w:sz w:val="24"/>
                <w:szCs w:val="24"/>
              </w:rPr>
              <w:t xml:space="preserve">129.2 </w:t>
            </w:r>
          </w:p>
        </w:tc>
      </w:tr>
      <w:tr w:rsidR="00DA7381" w:rsidRPr="003506FB" w14:paraId="29A48740" w14:textId="77777777" w:rsidTr="00A179D6">
        <w:tc>
          <w:tcPr>
            <w:tcW w:w="1101" w:type="dxa"/>
            <w:tcBorders>
              <w:bottom w:val="single" w:sz="4" w:space="0" w:color="auto"/>
              <w:right w:val="single" w:sz="4" w:space="0" w:color="auto"/>
            </w:tcBorders>
          </w:tcPr>
          <w:p w14:paraId="58EC587F" w14:textId="77777777" w:rsidR="00DA7381" w:rsidRPr="003506FB" w:rsidRDefault="00DA7381" w:rsidP="00DA7381">
            <w:pPr>
              <w:rPr>
                <w:rFonts w:ascii="Times New Roman" w:hAnsi="Times New Roman" w:cs="Times New Roman"/>
                <w:b/>
                <w:noProof/>
                <w:sz w:val="24"/>
              </w:rPr>
            </w:pPr>
            <w:r w:rsidRPr="003506FB">
              <w:rPr>
                <w:rFonts w:ascii="Times New Roman" w:hAnsi="Times New Roman" w:cs="Times New Roman"/>
                <w:b/>
                <w:noProof/>
                <w:sz w:val="24"/>
              </w:rPr>
              <w:t>2017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E0BE6DC" w14:textId="24ACB451" w:rsidR="00DA7381" w:rsidRPr="002A57A6" w:rsidRDefault="00DA7381" w:rsidP="00DA7381">
            <w:pPr>
              <w:jc w:val="center"/>
              <w:rPr>
                <w:rFonts w:ascii="Times New Roman" w:hAnsi="Times New Roman" w:cs="Times New Roman"/>
                <w:noProof/>
                <w:color w:val="000000"/>
                <w:sz w:val="24"/>
                <w:szCs w:val="24"/>
              </w:rPr>
            </w:pPr>
            <w:r w:rsidRPr="00DA7381">
              <w:rPr>
                <w:rFonts w:ascii="Times New Roman" w:hAnsi="Times New Roman" w:cs="Times New Roman"/>
                <w:noProof/>
                <w:color w:val="000000"/>
                <w:sz w:val="24"/>
                <w:szCs w:val="24"/>
              </w:rPr>
              <w:t xml:space="preserve">141.4 </w:t>
            </w:r>
          </w:p>
        </w:tc>
      </w:tr>
      <w:tr w:rsidR="00DA7381" w:rsidRPr="003506FB" w14:paraId="4992610C" w14:textId="77777777" w:rsidTr="00A179D6">
        <w:tc>
          <w:tcPr>
            <w:tcW w:w="1101" w:type="dxa"/>
            <w:tcBorders>
              <w:bottom w:val="single" w:sz="4" w:space="0" w:color="auto"/>
              <w:right w:val="single" w:sz="4" w:space="0" w:color="auto"/>
            </w:tcBorders>
          </w:tcPr>
          <w:p w14:paraId="27E56982" w14:textId="77777777" w:rsidR="00DA7381" w:rsidRPr="003506FB" w:rsidRDefault="00DA7381" w:rsidP="00DA7381">
            <w:pPr>
              <w:rPr>
                <w:rFonts w:ascii="Times New Roman" w:hAnsi="Times New Roman" w:cs="Times New Roman"/>
                <w:b/>
                <w:noProof/>
                <w:sz w:val="24"/>
              </w:rPr>
            </w:pPr>
            <w:r w:rsidRPr="003506FB">
              <w:rPr>
                <w:rFonts w:ascii="Times New Roman" w:hAnsi="Times New Roman" w:cs="Times New Roman"/>
                <w:b/>
                <w:noProof/>
                <w:sz w:val="24"/>
              </w:rPr>
              <w:t>2018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0D701A" w14:textId="3E8A1E28" w:rsidR="00DA7381" w:rsidRPr="002A57A6" w:rsidRDefault="00DA7381" w:rsidP="00DA7381">
            <w:pPr>
              <w:jc w:val="center"/>
              <w:rPr>
                <w:rFonts w:ascii="Times New Roman" w:hAnsi="Times New Roman" w:cs="Times New Roman"/>
                <w:noProof/>
                <w:color w:val="000000"/>
                <w:sz w:val="24"/>
                <w:szCs w:val="24"/>
              </w:rPr>
            </w:pPr>
            <w:r w:rsidRPr="00DA7381">
              <w:rPr>
                <w:rFonts w:ascii="Times New Roman" w:hAnsi="Times New Roman" w:cs="Times New Roman"/>
                <w:noProof/>
                <w:color w:val="000000"/>
                <w:sz w:val="24"/>
                <w:szCs w:val="24"/>
              </w:rPr>
              <w:t xml:space="preserve">150.1 </w:t>
            </w:r>
          </w:p>
        </w:tc>
      </w:tr>
      <w:tr w:rsidR="00DA7381" w:rsidRPr="003506FB" w14:paraId="5F81E980" w14:textId="77777777" w:rsidTr="00A179D6">
        <w:tc>
          <w:tcPr>
            <w:tcW w:w="1101" w:type="dxa"/>
            <w:tcBorders>
              <w:bottom w:val="single" w:sz="4" w:space="0" w:color="auto"/>
              <w:right w:val="single" w:sz="4" w:space="0" w:color="auto"/>
            </w:tcBorders>
          </w:tcPr>
          <w:p w14:paraId="0FA1EDC4" w14:textId="77777777" w:rsidR="00DA7381" w:rsidRPr="003506FB" w:rsidRDefault="00DA7381" w:rsidP="00DA7381">
            <w:pPr>
              <w:rPr>
                <w:rFonts w:ascii="Times New Roman" w:hAnsi="Times New Roman" w:cs="Times New Roman"/>
                <w:b/>
                <w:noProof/>
                <w:sz w:val="24"/>
              </w:rPr>
            </w:pPr>
            <w:r w:rsidRPr="003506FB">
              <w:rPr>
                <w:rFonts w:ascii="Times New Roman" w:hAnsi="Times New Roman" w:cs="Times New Roman"/>
                <w:b/>
                <w:noProof/>
                <w:sz w:val="24"/>
              </w:rPr>
              <w:t>2019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22B3AF7" w14:textId="630F6049" w:rsidR="00DA7381" w:rsidRPr="002A57A6" w:rsidRDefault="00DA7381" w:rsidP="00DA7381">
            <w:pPr>
              <w:jc w:val="center"/>
              <w:rPr>
                <w:rFonts w:ascii="Times New Roman" w:hAnsi="Times New Roman" w:cs="Times New Roman"/>
                <w:noProof/>
                <w:color w:val="000000"/>
                <w:sz w:val="24"/>
                <w:szCs w:val="24"/>
              </w:rPr>
            </w:pPr>
            <w:r w:rsidRPr="00DA7381">
              <w:rPr>
                <w:rFonts w:ascii="Times New Roman" w:hAnsi="Times New Roman" w:cs="Times New Roman"/>
                <w:noProof/>
                <w:color w:val="000000"/>
                <w:sz w:val="24"/>
                <w:szCs w:val="24"/>
              </w:rPr>
              <w:t>162.0</w:t>
            </w:r>
          </w:p>
        </w:tc>
      </w:tr>
      <w:tr w:rsidR="00DA7381" w:rsidRPr="003506FB" w14:paraId="79119906" w14:textId="77777777" w:rsidTr="00A179D6">
        <w:tc>
          <w:tcPr>
            <w:tcW w:w="1101" w:type="dxa"/>
            <w:tcBorders>
              <w:right w:val="single" w:sz="4" w:space="0" w:color="auto"/>
            </w:tcBorders>
          </w:tcPr>
          <w:p w14:paraId="15E7B030" w14:textId="77777777" w:rsidR="00DA7381" w:rsidRPr="003506FB" w:rsidRDefault="00DA7381" w:rsidP="00DA7381">
            <w:pPr>
              <w:rPr>
                <w:rFonts w:ascii="Times New Roman" w:hAnsi="Times New Roman" w:cs="Times New Roman"/>
                <w:b/>
                <w:noProof/>
                <w:sz w:val="24"/>
              </w:rPr>
            </w:pPr>
            <w:r w:rsidRPr="003506FB">
              <w:rPr>
                <w:rFonts w:ascii="Times New Roman" w:hAnsi="Times New Roman" w:cs="Times New Roman"/>
                <w:b/>
                <w:noProof/>
                <w:sz w:val="24"/>
              </w:rPr>
              <w:t>2020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45EEF5C" w14:textId="3BF819BB" w:rsidR="00DA7381" w:rsidRPr="002A57A6" w:rsidRDefault="00DA7381" w:rsidP="00DA7381">
            <w:pPr>
              <w:jc w:val="center"/>
              <w:rPr>
                <w:rFonts w:ascii="Times New Roman" w:hAnsi="Times New Roman" w:cs="Times New Roman"/>
                <w:noProof/>
                <w:color w:val="000000"/>
                <w:sz w:val="24"/>
                <w:szCs w:val="24"/>
              </w:rPr>
            </w:pPr>
            <w:r w:rsidRPr="00DA7381">
              <w:rPr>
                <w:rFonts w:ascii="Times New Roman" w:hAnsi="Times New Roman" w:cs="Times New Roman"/>
                <w:noProof/>
                <w:color w:val="000000"/>
                <w:sz w:val="24"/>
                <w:szCs w:val="24"/>
              </w:rPr>
              <w:t xml:space="preserve">172.5 </w:t>
            </w:r>
          </w:p>
        </w:tc>
      </w:tr>
      <w:tr w:rsidR="00DA7381" w:rsidRPr="003506FB" w14:paraId="5DBC8AC1" w14:textId="77777777" w:rsidTr="00A179D6">
        <w:tc>
          <w:tcPr>
            <w:tcW w:w="1101" w:type="dxa"/>
            <w:tcBorders>
              <w:top w:val="single" w:sz="4" w:space="0" w:color="auto"/>
              <w:bottom w:val="single" w:sz="4" w:space="0" w:color="auto"/>
              <w:right w:val="single" w:sz="4" w:space="0" w:color="auto"/>
            </w:tcBorders>
          </w:tcPr>
          <w:p w14:paraId="33287E15" w14:textId="77777777" w:rsidR="00DA7381" w:rsidRPr="003506FB" w:rsidRDefault="00DA7381" w:rsidP="00DA7381">
            <w:pPr>
              <w:rPr>
                <w:rFonts w:ascii="Times New Roman" w:hAnsi="Times New Roman" w:cs="Times New Roman"/>
                <w:b/>
                <w:noProof/>
                <w:sz w:val="24"/>
              </w:rPr>
            </w:pPr>
            <w:r w:rsidRPr="003506FB">
              <w:rPr>
                <w:rFonts w:ascii="Times New Roman" w:hAnsi="Times New Roman" w:cs="Times New Roman"/>
                <w:b/>
                <w:noProof/>
                <w:sz w:val="24"/>
              </w:rPr>
              <w:t>2021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79ABB2" w14:textId="727D94AB" w:rsidR="00DA7381" w:rsidRPr="002A57A6" w:rsidRDefault="00DA7381" w:rsidP="00DA7381">
            <w:pPr>
              <w:jc w:val="center"/>
              <w:rPr>
                <w:rFonts w:ascii="Times New Roman" w:hAnsi="Times New Roman" w:cs="Times New Roman"/>
                <w:noProof/>
                <w:color w:val="000000"/>
                <w:sz w:val="24"/>
                <w:szCs w:val="24"/>
              </w:rPr>
            </w:pPr>
            <w:r w:rsidRPr="00DA7381">
              <w:rPr>
                <w:rFonts w:ascii="Times New Roman" w:hAnsi="Times New Roman" w:cs="Times New Roman"/>
                <w:noProof/>
                <w:color w:val="000000"/>
                <w:sz w:val="24"/>
                <w:szCs w:val="24"/>
              </w:rPr>
              <w:t xml:space="preserve">184.0 </w:t>
            </w:r>
          </w:p>
        </w:tc>
      </w:tr>
      <w:tr w:rsidR="00DA7381" w:rsidRPr="003506FB" w14:paraId="681066BB" w14:textId="77777777" w:rsidTr="00A179D6">
        <w:tc>
          <w:tcPr>
            <w:tcW w:w="1101" w:type="dxa"/>
            <w:tcBorders>
              <w:right w:val="single" w:sz="4" w:space="0" w:color="auto"/>
            </w:tcBorders>
          </w:tcPr>
          <w:p w14:paraId="2523E5B5" w14:textId="77777777" w:rsidR="00DA7381" w:rsidRPr="003506FB" w:rsidRDefault="00DA7381" w:rsidP="00DA7381">
            <w:pPr>
              <w:rPr>
                <w:rFonts w:ascii="Times New Roman" w:hAnsi="Times New Roman" w:cs="Times New Roman"/>
                <w:b/>
                <w:noProof/>
                <w:sz w:val="24"/>
              </w:rPr>
            </w:pPr>
            <w:r w:rsidRPr="003506FB">
              <w:rPr>
                <w:rFonts w:ascii="Times New Roman" w:hAnsi="Times New Roman" w:cs="Times New Roman"/>
                <w:b/>
                <w:noProof/>
                <w:sz w:val="24"/>
              </w:rPr>
              <w:t>2022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01131" w14:textId="366907D2" w:rsidR="00DA7381" w:rsidRPr="002A57A6" w:rsidRDefault="00DA7381" w:rsidP="00DA7381">
            <w:pPr>
              <w:jc w:val="center"/>
              <w:rPr>
                <w:rFonts w:ascii="Times New Roman" w:hAnsi="Times New Roman" w:cs="Times New Roman"/>
                <w:noProof/>
                <w:color w:val="000000"/>
                <w:sz w:val="24"/>
                <w:szCs w:val="24"/>
              </w:rPr>
            </w:pPr>
            <w:r w:rsidRPr="00DA7381">
              <w:rPr>
                <w:rFonts w:ascii="Times New Roman" w:hAnsi="Times New Roman" w:cs="Times New Roman"/>
                <w:noProof/>
                <w:color w:val="000000"/>
                <w:sz w:val="24"/>
                <w:szCs w:val="24"/>
              </w:rPr>
              <w:t xml:space="preserve">214.7 </w:t>
            </w:r>
          </w:p>
        </w:tc>
      </w:tr>
      <w:tr w:rsidR="000929DD" w:rsidRPr="003506FB" w14:paraId="2C137498" w14:textId="77777777" w:rsidTr="0024045E">
        <w:tc>
          <w:tcPr>
            <w:tcW w:w="1101" w:type="dxa"/>
            <w:tcBorders>
              <w:bottom w:val="single" w:sz="4" w:space="0" w:color="auto"/>
              <w:right w:val="single" w:sz="4" w:space="0" w:color="auto"/>
            </w:tcBorders>
          </w:tcPr>
          <w:p w14:paraId="5841FD5B" w14:textId="77777777" w:rsidR="000929DD" w:rsidRPr="003506FB" w:rsidRDefault="000929DD" w:rsidP="00BE6857">
            <w:pPr>
              <w:rPr>
                <w:rFonts w:ascii="Times New Roman" w:hAnsi="Times New Roman" w:cs="Times New Roman"/>
                <w:b/>
                <w:noProof/>
                <w:sz w:val="24"/>
              </w:rPr>
            </w:pPr>
            <w:r>
              <w:rPr>
                <w:rFonts w:ascii="Times New Roman" w:hAnsi="Times New Roman" w:cs="Times New Roman"/>
                <w:b/>
                <w:noProof/>
                <w:sz w:val="24"/>
              </w:rPr>
              <w:t>Total</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A17BB3" w14:textId="5B664EC5" w:rsidR="000929DD" w:rsidRPr="00515559" w:rsidRDefault="00DA7381" w:rsidP="00DA7381">
            <w:pPr>
              <w:jc w:val="center"/>
              <w:rPr>
                <w:rFonts w:ascii="Times New Roman" w:hAnsi="Times New Roman" w:cs="Times New Roman"/>
                <w:b/>
                <w:noProof/>
                <w:color w:val="000000"/>
                <w:sz w:val="24"/>
                <w:szCs w:val="24"/>
              </w:rPr>
            </w:pPr>
            <w:r w:rsidRPr="00515559">
              <w:rPr>
                <w:rFonts w:ascii="Times New Roman" w:hAnsi="Times New Roman" w:cs="Times New Roman"/>
                <w:b/>
                <w:noProof/>
                <w:color w:val="000000"/>
                <w:sz w:val="24"/>
                <w:szCs w:val="24"/>
              </w:rPr>
              <w:t>1.484</w:t>
            </w:r>
            <w:r w:rsidR="000929DD" w:rsidRPr="00515559">
              <w:rPr>
                <w:rFonts w:ascii="Times New Roman" w:hAnsi="Times New Roman" w:cs="Times New Roman"/>
                <w:b/>
                <w:noProof/>
                <w:color w:val="000000"/>
                <w:sz w:val="24"/>
                <w:szCs w:val="24"/>
              </w:rPr>
              <w:t>.</w:t>
            </w:r>
            <w:r w:rsidRPr="00515559">
              <w:rPr>
                <w:rFonts w:ascii="Times New Roman" w:hAnsi="Times New Roman" w:cs="Times New Roman"/>
                <w:b/>
                <w:noProof/>
                <w:color w:val="000000"/>
                <w:sz w:val="24"/>
                <w:szCs w:val="24"/>
              </w:rPr>
              <w:t>4</w:t>
            </w:r>
          </w:p>
        </w:tc>
      </w:tr>
    </w:tbl>
    <w:p w14:paraId="4343F3F8" w14:textId="65E1EE40" w:rsidR="008E7312" w:rsidRPr="004503F7" w:rsidRDefault="008E7312" w:rsidP="000929DD">
      <w:pPr>
        <w:pStyle w:val="Heading1"/>
        <w:rPr>
          <w:rFonts w:cs="Times New Roman"/>
          <w:noProof/>
        </w:rPr>
      </w:pPr>
    </w:p>
    <w:sectPr w:rsidR="008E7312" w:rsidRPr="004503F7" w:rsidSect="0070644B">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9532D" w16cex:dateUtc="2023-01-23T17:40:00Z"/>
  <w16cex:commentExtensible w16cex:durableId="27795599" w16cex:dateUtc="2023-01-23T17:51:00Z"/>
  <w16cex:commentExtensible w16cex:durableId="27795C45" w16cex:dateUtc="2023-01-23T18:19:00Z"/>
  <w16cex:commentExtensible w16cex:durableId="27795D47" w16cex:dateUtc="2023-01-23T18:23:00Z"/>
  <w16cex:commentExtensible w16cex:durableId="27795EF3" w16cex:dateUtc="2023-01-23T18:30:00Z"/>
  <w16cex:commentExtensible w16cex:durableId="27797377" w16cex:dateUtc="2023-01-23T19:58:00Z"/>
  <w16cex:commentExtensible w16cex:durableId="27797651" w16cex:dateUtc="2023-01-23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5113C" w16cid:durableId="27794B10"/>
  <w16cid:commentId w16cid:paraId="37882572" w16cid:durableId="2779532D"/>
  <w16cid:commentId w16cid:paraId="2711924C" w16cid:durableId="27795599"/>
  <w16cid:commentId w16cid:paraId="7CEDE724" w16cid:durableId="27794B11"/>
  <w16cid:commentId w16cid:paraId="7920C0D3" w16cid:durableId="27794B12"/>
  <w16cid:commentId w16cid:paraId="55F425DB" w16cid:durableId="27794B13"/>
  <w16cid:commentId w16cid:paraId="12CD2326" w16cid:durableId="27795C45"/>
  <w16cid:commentId w16cid:paraId="27B16C2A" w16cid:durableId="27614A24"/>
  <w16cid:commentId w16cid:paraId="17E1CFB7" w16cid:durableId="27795D47"/>
  <w16cid:commentId w16cid:paraId="191CB654" w16cid:durableId="27614A27"/>
  <w16cid:commentId w16cid:paraId="015E293D" w16cid:durableId="27794B16"/>
  <w16cid:commentId w16cid:paraId="4AB65665" w16cid:durableId="27794B17"/>
  <w16cid:commentId w16cid:paraId="2E4463A0" w16cid:durableId="27614A2A"/>
  <w16cid:commentId w16cid:paraId="029142E1" w16cid:durableId="27794B19"/>
  <w16cid:commentId w16cid:paraId="1BE47A68" w16cid:durableId="27795EF3"/>
  <w16cid:commentId w16cid:paraId="1D8DCF55" w16cid:durableId="27794B1A"/>
  <w16cid:commentId w16cid:paraId="51531700" w16cid:durableId="27614A2C"/>
  <w16cid:commentId w16cid:paraId="42D5EA27" w16cid:durableId="27794B1C"/>
  <w16cid:commentId w16cid:paraId="3DF1158C" w16cid:durableId="27797377"/>
  <w16cid:commentId w16cid:paraId="319F9064" w16cid:durableId="27614A31"/>
  <w16cid:commentId w16cid:paraId="1E5807FC" w16cid:durableId="27794B1E"/>
  <w16cid:commentId w16cid:paraId="77A3CF01" w16cid:durableId="27614A33"/>
  <w16cid:commentId w16cid:paraId="7C7339C8" w16cid:durableId="27614A34"/>
  <w16cid:commentId w16cid:paraId="1C67604B" w16cid:durableId="27794B21"/>
  <w16cid:commentId w16cid:paraId="28AD7F7B" w16cid:durableId="27797651"/>
  <w16cid:commentId w16cid:paraId="291237BB" w16cid:durableId="27794B22"/>
  <w16cid:commentId w16cid:paraId="1BD8947A" w16cid:durableId="27614A36"/>
  <w16cid:commentId w16cid:paraId="137F7706" w16cid:durableId="27614A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22EA5" w14:textId="77777777" w:rsidR="00211A62" w:rsidRDefault="00211A62" w:rsidP="0070644B">
      <w:pPr>
        <w:spacing w:after="0" w:line="240" w:lineRule="auto"/>
      </w:pPr>
      <w:r>
        <w:separator/>
      </w:r>
    </w:p>
  </w:endnote>
  <w:endnote w:type="continuationSeparator" w:id="0">
    <w:p w14:paraId="79E923C2" w14:textId="77777777" w:rsidR="00211A62" w:rsidRDefault="00211A62" w:rsidP="0070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80413" w14:textId="77777777" w:rsidR="00865AA0" w:rsidRPr="00865AA0" w:rsidRDefault="00865AA0" w:rsidP="00865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7BBE" w14:textId="5FB63DB8" w:rsidR="003E2329" w:rsidRPr="00865AA0" w:rsidRDefault="00865AA0" w:rsidP="00865AA0">
    <w:pPr>
      <w:pStyle w:val="FooterCoverPage"/>
      <w:rPr>
        <w:rFonts w:ascii="Arial" w:hAnsi="Arial" w:cs="Arial"/>
        <w:b/>
        <w:sz w:val="48"/>
      </w:rPr>
    </w:pPr>
    <w:r w:rsidRPr="00865AA0">
      <w:rPr>
        <w:rFonts w:ascii="Arial" w:hAnsi="Arial" w:cs="Arial"/>
        <w:b/>
        <w:sz w:val="48"/>
      </w:rPr>
      <w:t>EN</w:t>
    </w:r>
    <w:r w:rsidRPr="00865AA0">
      <w:rPr>
        <w:rFonts w:ascii="Arial" w:hAnsi="Arial" w:cs="Arial"/>
        <w:b/>
        <w:sz w:val="48"/>
      </w:rPr>
      <w:tab/>
    </w:r>
    <w:r w:rsidRPr="00865AA0">
      <w:rPr>
        <w:rFonts w:ascii="Arial" w:hAnsi="Arial" w:cs="Arial"/>
        <w:b/>
        <w:sz w:val="48"/>
      </w:rPr>
      <w:tab/>
    </w:r>
    <w:r w:rsidRPr="00865AA0">
      <w:tab/>
    </w:r>
    <w:r w:rsidRPr="00865AA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A7989" w14:textId="77777777" w:rsidR="00865AA0" w:rsidRPr="00865AA0" w:rsidRDefault="00865AA0" w:rsidP="00865AA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1255F" w14:textId="77777777" w:rsidR="00211A62" w:rsidRDefault="00211A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373432"/>
      <w:docPartObj>
        <w:docPartGallery w:val="Page Numbers (Bottom of Page)"/>
        <w:docPartUnique/>
      </w:docPartObj>
    </w:sdtPr>
    <w:sdtEndPr>
      <w:rPr>
        <w:noProof/>
      </w:rPr>
    </w:sdtEndPr>
    <w:sdtContent>
      <w:p w14:paraId="30C11D58" w14:textId="3998F9D7" w:rsidR="00211A62" w:rsidRDefault="00211A62">
        <w:pPr>
          <w:pStyle w:val="Footer"/>
          <w:jc w:val="right"/>
        </w:pPr>
        <w:r>
          <w:fldChar w:fldCharType="begin"/>
        </w:r>
        <w:r>
          <w:instrText xml:space="preserve"> PAGE   \* MERGEFORMAT </w:instrText>
        </w:r>
        <w:r>
          <w:fldChar w:fldCharType="separate"/>
        </w:r>
        <w:r w:rsidR="00865AA0">
          <w:rPr>
            <w:noProof/>
          </w:rPr>
          <w:t>1</w:t>
        </w:r>
        <w:r>
          <w:rPr>
            <w:noProof/>
          </w:rPr>
          <w:fldChar w:fldCharType="end"/>
        </w:r>
      </w:p>
    </w:sdtContent>
  </w:sdt>
  <w:p w14:paraId="7F6DE975" w14:textId="77777777" w:rsidR="00211A62" w:rsidRDefault="00211A6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480D1" w14:textId="77777777" w:rsidR="00211A62" w:rsidRDefault="00211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71C19" w14:textId="77777777" w:rsidR="00211A62" w:rsidRDefault="00211A62" w:rsidP="0070644B">
      <w:pPr>
        <w:spacing w:after="0" w:line="240" w:lineRule="auto"/>
      </w:pPr>
      <w:r>
        <w:separator/>
      </w:r>
    </w:p>
  </w:footnote>
  <w:footnote w:type="continuationSeparator" w:id="0">
    <w:p w14:paraId="3AEA69BA" w14:textId="77777777" w:rsidR="00211A62" w:rsidRDefault="00211A62" w:rsidP="0070644B">
      <w:pPr>
        <w:spacing w:after="0" w:line="240" w:lineRule="auto"/>
      </w:pPr>
      <w:r>
        <w:continuationSeparator/>
      </w:r>
    </w:p>
  </w:footnote>
  <w:footnote w:id="1">
    <w:p w14:paraId="77833D28" w14:textId="6D624788" w:rsidR="00211A62" w:rsidRPr="00D577ED" w:rsidRDefault="00211A62" w:rsidP="000129BF">
      <w:pPr>
        <w:pStyle w:val="FootnoteText"/>
        <w:rPr>
          <w:lang w:val="en-IE"/>
        </w:rPr>
      </w:pPr>
      <w:r>
        <w:rPr>
          <w:rStyle w:val="FootnoteReference"/>
        </w:rPr>
        <w:footnoteRef/>
      </w:r>
      <w:r>
        <w:t xml:space="preserve"> </w:t>
      </w:r>
      <w:r>
        <w:tab/>
      </w:r>
      <w:r w:rsidRPr="00246001">
        <w:rPr>
          <w:lang w:val="en-IE"/>
        </w:rPr>
        <w:t xml:space="preserve">The benefits to be paid under </w:t>
      </w:r>
      <w:r>
        <w:rPr>
          <w:lang w:val="en-IE"/>
        </w:rPr>
        <w:t xml:space="preserve">PSEO </w:t>
      </w:r>
      <w:r w:rsidRPr="00246001">
        <w:rPr>
          <w:lang w:val="en-IE"/>
        </w:rPr>
        <w:t xml:space="preserve">are laid down in Chapter 3 of Title V and Annex VIII </w:t>
      </w:r>
      <w:r>
        <w:rPr>
          <w:lang w:val="en-IE"/>
        </w:rPr>
        <w:t>to the Staff Regulations</w:t>
      </w:r>
      <w:r w:rsidRPr="00246001">
        <w:rPr>
          <w:lang w:val="en-IE"/>
        </w:rPr>
        <w:t>.</w:t>
      </w:r>
      <w:r>
        <w:rPr>
          <w:lang w:val="en-IE"/>
        </w:rPr>
        <w:t xml:space="preserve"> Benefits under the PSEO include retirement pensions, transfers of pension rights, severance grants, survivor's pensions and invalidity allowances.</w:t>
      </w:r>
    </w:p>
  </w:footnote>
  <w:footnote w:id="2">
    <w:p w14:paraId="00CE1A1A" w14:textId="48EBEA7F" w:rsidR="00211A62" w:rsidRPr="00BC132C" w:rsidRDefault="00211A62" w:rsidP="000129BF">
      <w:pPr>
        <w:pStyle w:val="FootnoteText"/>
      </w:pPr>
      <w:r>
        <w:rPr>
          <w:rStyle w:val="FootnoteReference"/>
        </w:rPr>
        <w:footnoteRef/>
      </w:r>
      <w:r>
        <w:t xml:space="preserve"> </w:t>
      </w:r>
      <w:r w:rsidRPr="00CC72A9">
        <w:tab/>
      </w:r>
      <w:r w:rsidRPr="00B05A21">
        <w:t>See, for example, Case F-105/05</w:t>
      </w:r>
      <w:r>
        <w:t>,</w:t>
      </w:r>
      <w:r w:rsidRPr="00B05A21">
        <w:t xml:space="preserve"> </w:t>
      </w:r>
      <w:r w:rsidRPr="009F3796">
        <w:rPr>
          <w:i/>
        </w:rPr>
        <w:t>Wils v Parliament</w:t>
      </w:r>
      <w:r w:rsidRPr="00B05A21">
        <w:t xml:space="preserve">, </w:t>
      </w:r>
      <w:r>
        <w:t>paragraph</w:t>
      </w:r>
      <w:r w:rsidRPr="00B05A21">
        <w:t xml:space="preserve"> 85 and Case T-439/09</w:t>
      </w:r>
      <w:r>
        <w:t>,</w:t>
      </w:r>
      <w:r w:rsidRPr="00B05A21">
        <w:t xml:space="preserve"> </w:t>
      </w:r>
      <w:r w:rsidRPr="00D63890">
        <w:rPr>
          <w:i/>
        </w:rPr>
        <w:t>Purvis v Parliament</w:t>
      </w:r>
      <w:r w:rsidRPr="00B05A21">
        <w:t xml:space="preserve">, </w:t>
      </w:r>
      <w:r>
        <w:t xml:space="preserve">paragraph </w:t>
      </w:r>
      <w:r w:rsidRPr="00B05A21">
        <w:t>45.</w:t>
      </w:r>
    </w:p>
  </w:footnote>
  <w:footnote w:id="3">
    <w:p w14:paraId="7DCC0094" w14:textId="7589DBE5" w:rsidR="00211A62" w:rsidRPr="00B05A21" w:rsidRDefault="00211A62" w:rsidP="001918A3">
      <w:pPr>
        <w:pStyle w:val="FootnoteText"/>
        <w:ind w:left="284" w:hanging="284"/>
      </w:pPr>
      <w:r w:rsidRPr="00837F67">
        <w:rPr>
          <w:rStyle w:val="FootnoteReference"/>
          <w:szCs w:val="18"/>
        </w:rPr>
        <w:footnoteRef/>
      </w:r>
      <w:r w:rsidRPr="00837F67">
        <w:rPr>
          <w:szCs w:val="18"/>
        </w:rPr>
        <w:t xml:space="preserve"> </w:t>
      </w:r>
      <w:r w:rsidRPr="00E1288F">
        <w:rPr>
          <w:sz w:val="18"/>
          <w:szCs w:val="18"/>
        </w:rPr>
        <w:tab/>
      </w:r>
      <w:r>
        <w:rPr>
          <w:sz w:val="18"/>
          <w:szCs w:val="18"/>
        </w:rPr>
        <w:tab/>
      </w:r>
      <w:r w:rsidRPr="00B05A21">
        <w:t>Article 83(2)</w:t>
      </w:r>
      <w:r>
        <w:t xml:space="preserve"> of the Staff Regulations</w:t>
      </w:r>
      <w:r w:rsidRPr="00B05A21">
        <w:t>.</w:t>
      </w:r>
    </w:p>
  </w:footnote>
  <w:footnote w:id="4">
    <w:p w14:paraId="15AE952D" w14:textId="25C0B912" w:rsidR="00211A62" w:rsidRPr="001A515A" w:rsidRDefault="00211A62" w:rsidP="001918A3">
      <w:pPr>
        <w:pStyle w:val="FootnoteText"/>
        <w:rPr>
          <w:lang w:val="en-IE"/>
        </w:rPr>
      </w:pPr>
      <w:r>
        <w:rPr>
          <w:rStyle w:val="FootnoteReference"/>
        </w:rPr>
        <w:footnoteRef/>
      </w:r>
      <w:r>
        <w:t xml:space="preserve">    </w:t>
      </w:r>
      <w:r>
        <w:tab/>
      </w:r>
      <w:r w:rsidRPr="001A515A">
        <w:rPr>
          <w:lang w:val="en-IE"/>
        </w:rPr>
        <w:t>31 December of year n</w:t>
      </w:r>
      <w:r>
        <w:rPr>
          <w:lang w:val="en-IE"/>
        </w:rPr>
        <w:t>.</w:t>
      </w:r>
    </w:p>
  </w:footnote>
  <w:footnote w:id="5">
    <w:p w14:paraId="6BC1ADB4" w14:textId="77093406" w:rsidR="00211A62" w:rsidRPr="00B05A21" w:rsidRDefault="00211A62" w:rsidP="001F6152">
      <w:pPr>
        <w:pStyle w:val="FootnoteText"/>
      </w:pPr>
      <w:r w:rsidRPr="00837F67">
        <w:rPr>
          <w:rStyle w:val="FootnoteReference"/>
          <w:szCs w:val="18"/>
        </w:rPr>
        <w:footnoteRef/>
      </w:r>
      <w:r w:rsidRPr="00837F67">
        <w:rPr>
          <w:rStyle w:val="FootnoteReference"/>
          <w:szCs w:val="18"/>
        </w:rPr>
        <w:t xml:space="preserve"> </w:t>
      </w:r>
      <w:r w:rsidRPr="009F3796">
        <w:tab/>
      </w:r>
      <w:r w:rsidRPr="00B05A21">
        <w:t xml:space="preserve">The </w:t>
      </w:r>
      <w:r>
        <w:t>PCR</w:t>
      </w:r>
      <w:r w:rsidRPr="00B05A21">
        <w:t xml:space="preserve"> is computed according to the ‘projected unit credit’ method, as prescribed by </w:t>
      </w:r>
      <w:r>
        <w:t>the I</w:t>
      </w:r>
      <w:r w:rsidRPr="00B05A21">
        <w:t xml:space="preserve">nternational </w:t>
      </w:r>
      <w:r>
        <w:t>Public Sector A</w:t>
      </w:r>
      <w:r w:rsidRPr="00B05A21">
        <w:t xml:space="preserve">ccounting </w:t>
      </w:r>
      <w:r>
        <w:t>S</w:t>
      </w:r>
      <w:r w:rsidRPr="00B05A21">
        <w:t xml:space="preserve">tandard IPSAS </w:t>
      </w:r>
      <w:r>
        <w:t>39 “Employee benefits”</w:t>
      </w:r>
      <w:r w:rsidRPr="00B05A21">
        <w:t xml:space="preserve">. The sum of the actuarial values of rights acquired by </w:t>
      </w:r>
      <w:r>
        <w:t>the contributing</w:t>
      </w:r>
      <w:r w:rsidRPr="00B05A21">
        <w:t xml:space="preserve"> members of staff (referred to in actuarial practice as ‘service cost’) is compared with the annual total of their basic salaries</w:t>
      </w:r>
      <w:r>
        <w:t>/allowances</w:t>
      </w:r>
      <w:r w:rsidRPr="00B05A21">
        <w:t xml:space="preserve"> in order to calculate the contribution rate.</w:t>
      </w:r>
    </w:p>
  </w:footnote>
  <w:footnote w:id="6">
    <w:p w14:paraId="0FF3D0EE" w14:textId="123943B4" w:rsidR="00211A62" w:rsidRPr="00AF436A" w:rsidRDefault="00211A62">
      <w:pPr>
        <w:pStyle w:val="FootnoteText"/>
      </w:pPr>
      <w:r>
        <w:rPr>
          <w:rStyle w:val="FootnoteReference"/>
        </w:rPr>
        <w:footnoteRef/>
      </w:r>
      <w:r>
        <w:t xml:space="preserve"> </w:t>
      </w:r>
      <w:r>
        <w:tab/>
      </w:r>
      <w:r w:rsidRPr="00AF436A">
        <w:t>The sum of the actuarial values of rights acquired by the contributing members of staff (referred to in actuarial practice as ‘service cost’)</w:t>
      </w:r>
      <w:r>
        <w:t>.</w:t>
      </w:r>
    </w:p>
  </w:footnote>
  <w:footnote w:id="7">
    <w:p w14:paraId="0F3852CD" w14:textId="399BAA86" w:rsidR="00211A62" w:rsidRPr="00FE141E" w:rsidRDefault="00211A62" w:rsidP="0012373F">
      <w:pPr>
        <w:pStyle w:val="FootnoteText"/>
        <w:rPr>
          <w:lang w:val="en-IE"/>
        </w:rPr>
      </w:pPr>
      <w:r>
        <w:rPr>
          <w:rStyle w:val="FootnoteReference"/>
        </w:rPr>
        <w:footnoteRef/>
      </w:r>
      <w:r>
        <w:t xml:space="preserve"> </w:t>
      </w:r>
      <w:r>
        <w:tab/>
      </w:r>
      <w:r w:rsidRPr="009D2E32">
        <w:t>Article 13</w:t>
      </w:r>
      <w:r>
        <w:t>, paragraph 2</w:t>
      </w:r>
      <w:r w:rsidRPr="009D2E32">
        <w:t xml:space="preserve"> of Annex XII </w:t>
      </w:r>
      <w:r>
        <w:t>to the Staff Regulations.</w:t>
      </w:r>
    </w:p>
  </w:footnote>
  <w:footnote w:id="8">
    <w:p w14:paraId="01F7ED6E" w14:textId="790952CD" w:rsidR="00211A62" w:rsidRPr="009B59F0" w:rsidRDefault="00211A62">
      <w:pPr>
        <w:pStyle w:val="FootnoteText"/>
      </w:pPr>
      <w:r>
        <w:rPr>
          <w:rStyle w:val="FootnoteReference"/>
        </w:rPr>
        <w:footnoteRef/>
      </w:r>
      <w:r>
        <w:t xml:space="preserve"> </w:t>
      </w:r>
      <w:r>
        <w:tab/>
        <w:t>Article 13, paragraph 4 of Annex XII to the Staff Regulations.</w:t>
      </w:r>
    </w:p>
  </w:footnote>
  <w:footnote w:id="9">
    <w:p w14:paraId="7ECD424F" w14:textId="575ADDFA" w:rsidR="00211A62" w:rsidRPr="00FE141E" w:rsidRDefault="00211A62" w:rsidP="00331D2F">
      <w:pPr>
        <w:pStyle w:val="FootnoteText"/>
        <w:rPr>
          <w:lang w:val="en-IE"/>
        </w:rPr>
      </w:pPr>
      <w:r>
        <w:rPr>
          <w:rStyle w:val="FootnoteReference"/>
        </w:rPr>
        <w:footnoteRef/>
      </w:r>
      <w:r>
        <w:t xml:space="preserve"> </w:t>
      </w:r>
      <w:r>
        <w:tab/>
      </w:r>
      <w:r w:rsidRPr="00170470">
        <w:rPr>
          <w:lang w:val="en-IE"/>
        </w:rPr>
        <w:t xml:space="preserve">The actuaries perform independent parallel calculations of the PSEO </w:t>
      </w:r>
      <w:r>
        <w:rPr>
          <w:lang w:val="en-IE"/>
        </w:rPr>
        <w:t>PCR</w:t>
      </w:r>
      <w:r w:rsidRPr="00170470">
        <w:rPr>
          <w:lang w:val="en-IE"/>
        </w:rPr>
        <w:t xml:space="preserve"> and deliver an actuarial opinion, which can be either "unqualified” or "qualified" (the latter happens when the actuaries’ results differ from Eurostat's results by more than the tolerated materiality threshold of 3%).</w:t>
      </w:r>
      <w:r>
        <w:rPr>
          <w:lang w:val="en-IE"/>
        </w:rPr>
        <w:t xml:space="preserve"> </w:t>
      </w:r>
      <w:r w:rsidRPr="00170470">
        <w:rPr>
          <w:lang w:val="en-IE"/>
        </w:rPr>
        <w:t>In the case of all the PSEO assessment reports issued between 2014 and 2022, the actuaries released an "unqualified" opinion.</w:t>
      </w:r>
      <w:r>
        <w:t xml:space="preserve"> </w:t>
      </w:r>
    </w:p>
  </w:footnote>
  <w:footnote w:id="10">
    <w:p w14:paraId="2375C79D" w14:textId="46C68C1B" w:rsidR="00211A62" w:rsidRPr="001A515A" w:rsidRDefault="00211A62">
      <w:pPr>
        <w:pStyle w:val="FootnoteText"/>
        <w:rPr>
          <w:strike/>
        </w:rPr>
      </w:pPr>
      <w:r>
        <w:rPr>
          <w:rStyle w:val="FootnoteReference"/>
        </w:rPr>
        <w:footnoteRef/>
      </w:r>
      <w:r>
        <w:t xml:space="preserve"> </w:t>
      </w:r>
      <w:r>
        <w:tab/>
      </w:r>
      <w:r w:rsidRPr="00891264">
        <w:t>The prospective life tables used by Eurostat correspond to the actuarial best practice</w:t>
      </w:r>
      <w:r>
        <w:t>s</w:t>
      </w:r>
      <w:r w:rsidRPr="00891264">
        <w:t xml:space="preserve"> as they include future changes in mortality by taking into account observed and projected changes in mortality for the PSEO population through its lifetime.</w:t>
      </w:r>
    </w:p>
  </w:footnote>
  <w:footnote w:id="11">
    <w:p w14:paraId="1D6AD9F8" w14:textId="75FABF32" w:rsidR="00211A62" w:rsidRPr="005F21C2" w:rsidRDefault="00211A62" w:rsidP="000D6F08">
      <w:pPr>
        <w:pStyle w:val="FootnoteText"/>
      </w:pPr>
      <w:r>
        <w:rPr>
          <w:rStyle w:val="FootnoteReference"/>
        </w:rPr>
        <w:footnoteRef/>
      </w:r>
      <w:r>
        <w:t xml:space="preserve"> </w:t>
      </w:r>
      <w:r>
        <w:tab/>
        <w:t xml:space="preserve">Sometimes referred to as “economic actuarial assumptions”. </w:t>
      </w:r>
    </w:p>
  </w:footnote>
  <w:footnote w:id="12">
    <w:p w14:paraId="7A667F2A" w14:textId="7D1835E9" w:rsidR="00211A62" w:rsidRPr="008E426C" w:rsidRDefault="00211A62">
      <w:pPr>
        <w:pStyle w:val="FootnoteText"/>
      </w:pPr>
      <w:r>
        <w:rPr>
          <w:rStyle w:val="FootnoteReference"/>
        </w:rPr>
        <w:footnoteRef/>
      </w:r>
      <w:r>
        <w:t xml:space="preserve"> </w:t>
      </w:r>
      <w:r>
        <w:tab/>
        <w:t xml:space="preserve">Articles 10 and 11 of Annex XII to the Staff Regulations. </w:t>
      </w:r>
    </w:p>
  </w:footnote>
  <w:footnote w:id="13">
    <w:p w14:paraId="78778FB3" w14:textId="4BA8C56E" w:rsidR="00211A62" w:rsidRPr="0067475F" w:rsidRDefault="00211A62">
      <w:pPr>
        <w:pStyle w:val="FootnoteText"/>
      </w:pPr>
      <w:r>
        <w:rPr>
          <w:rStyle w:val="FootnoteReference"/>
        </w:rPr>
        <w:footnoteRef/>
      </w:r>
      <w:r>
        <w:t xml:space="preserve"> </w:t>
      </w:r>
      <w:r>
        <w:tab/>
        <w:t xml:space="preserve">Report from the Commission to the European Parliament and the Council pursuant to Article 77 of the Staff Regulations – COM(2021) 94. </w:t>
      </w:r>
    </w:p>
  </w:footnote>
  <w:footnote w:id="14">
    <w:p w14:paraId="1DD0B2AD" w14:textId="77777777" w:rsidR="00211A62" w:rsidRPr="00B93A84" w:rsidRDefault="00211A62" w:rsidP="00E43FB4">
      <w:pPr>
        <w:pStyle w:val="FootnoteText"/>
      </w:pPr>
      <w:r>
        <w:rPr>
          <w:rStyle w:val="FootnoteReference"/>
        </w:rPr>
        <w:footnoteRef/>
      </w:r>
      <w:r>
        <w:t xml:space="preserve"> </w:t>
      </w:r>
      <w:r>
        <w:tab/>
        <w:t xml:space="preserve">Report from the Commission to the European Parliament and the Council on the Pensions Scheme of Officials and Other Servants of the European Union, COM(2012)37 final. </w:t>
      </w:r>
    </w:p>
  </w:footnote>
  <w:footnote w:id="15">
    <w:p w14:paraId="6A635902" w14:textId="77777777" w:rsidR="00211A62" w:rsidRPr="00E46B93" w:rsidRDefault="00211A62">
      <w:pPr>
        <w:pStyle w:val="FootnoteText"/>
        <w:rPr>
          <w:lang w:val="en-IE"/>
        </w:rPr>
      </w:pPr>
      <w:r>
        <w:rPr>
          <w:rStyle w:val="FootnoteReference"/>
        </w:rPr>
        <w:footnoteRef/>
      </w:r>
      <w:r>
        <w:t xml:space="preserve"> </w:t>
      </w:r>
      <w:r>
        <w:tab/>
        <w:t>Interinstitutional Agreement of 2 December 2013 between the European Parliament, the Council and the Commission on budgetary discipline, on cooperation in budgetary matters and on sound financial management.</w:t>
      </w:r>
    </w:p>
  </w:footnote>
  <w:footnote w:id="16">
    <w:p w14:paraId="005A8A7B" w14:textId="77777777" w:rsidR="00211A62" w:rsidRPr="002B24B4" w:rsidRDefault="00211A62">
      <w:pPr>
        <w:pStyle w:val="FootnoteText"/>
      </w:pPr>
      <w:r>
        <w:rPr>
          <w:rStyle w:val="FootnoteReference"/>
        </w:rPr>
        <w:footnoteRef/>
      </w:r>
      <w:r>
        <w:t xml:space="preserve"> </w:t>
      </w:r>
      <w:r>
        <w:tab/>
      </w:r>
      <w:r w:rsidRPr="001D5DE3">
        <w:rPr>
          <w:lang w:val="en-IE"/>
        </w:rPr>
        <w:t xml:space="preserve">European Court of </w:t>
      </w:r>
      <w:r>
        <w:rPr>
          <w:lang w:val="en-IE"/>
        </w:rPr>
        <w:t xml:space="preserve">Auditors Rapid case review </w:t>
      </w:r>
      <w:r w:rsidRPr="00981893">
        <w:rPr>
          <w:lang w:val="en-IE"/>
        </w:rPr>
        <w:t>on the implementation</w:t>
      </w:r>
      <w:r>
        <w:rPr>
          <w:lang w:val="en-IE"/>
        </w:rPr>
        <w:t xml:space="preserve"> </w:t>
      </w:r>
      <w:r w:rsidRPr="00981893">
        <w:rPr>
          <w:lang w:val="en-IE"/>
        </w:rPr>
        <w:t>of the 5 % reduction of staff posts</w:t>
      </w:r>
      <w:r>
        <w:rPr>
          <w:lang w:val="en-IE"/>
        </w:rPr>
        <w:t xml:space="preserve">. </w:t>
      </w:r>
    </w:p>
  </w:footnote>
  <w:footnote w:id="17">
    <w:p w14:paraId="2C7F419D" w14:textId="77777777" w:rsidR="00211A62" w:rsidRPr="002B24B4" w:rsidRDefault="00211A62">
      <w:pPr>
        <w:pStyle w:val="FootnoteText"/>
      </w:pPr>
      <w:r>
        <w:rPr>
          <w:rStyle w:val="FootnoteReference"/>
        </w:rPr>
        <w:footnoteRef/>
      </w:r>
      <w:r>
        <w:t xml:space="preserve"> </w:t>
      </w:r>
      <w:r>
        <w:tab/>
        <w:t xml:space="preserve">Regulation (EU) No 806/2014 of the European Parliament and of the Council of 15 July 2014 </w:t>
      </w:r>
      <w:r w:rsidRPr="00856469">
        <w:t>establishing uniform rules and a uniform procedure for the resolution of credit institutions and certain investment firms in the framework of a Single Resolution Mechanism and a Single Resolution Fund and amending Regulation (EU) No 1093/2010</w:t>
      </w:r>
      <w:r>
        <w:t>.</w:t>
      </w:r>
    </w:p>
  </w:footnote>
  <w:footnote w:id="18">
    <w:p w14:paraId="2904EEF7" w14:textId="77777777" w:rsidR="00211A62" w:rsidRPr="002B24B4" w:rsidRDefault="00211A62">
      <w:pPr>
        <w:pStyle w:val="FootnoteText"/>
      </w:pPr>
      <w:r>
        <w:rPr>
          <w:rStyle w:val="FootnoteReference"/>
        </w:rPr>
        <w:footnoteRef/>
      </w:r>
      <w:r>
        <w:t xml:space="preserve"> </w:t>
      </w:r>
      <w:r>
        <w:tab/>
        <w:t>Council Regulation (EU) 2017/1939 of 12 October 2017 implementing enhanced cooperation on the establishment of the European Public Prosecutor’s Office (‘the EPPO’).</w:t>
      </w:r>
    </w:p>
  </w:footnote>
  <w:footnote w:id="19">
    <w:p w14:paraId="3D50542B" w14:textId="77777777" w:rsidR="00211A62" w:rsidRPr="00206D95" w:rsidRDefault="00211A62">
      <w:pPr>
        <w:pStyle w:val="FootnoteText"/>
      </w:pPr>
      <w:r>
        <w:rPr>
          <w:rStyle w:val="FootnoteReference"/>
        </w:rPr>
        <w:footnoteRef/>
      </w:r>
      <w:r>
        <w:t xml:space="preserve"> </w:t>
      </w:r>
      <w:r>
        <w:tab/>
      </w:r>
      <w:r w:rsidRPr="00206D95">
        <w:t>Regulation (EU) 2019/1149 of the European Parliament and of the Council of 20 June 2019 establishing a European Labour Authority, amending Regulations (EC) No 883/2004, (EU) No 492/2011, and (EU) 2016/589 and repealing Decision (EU) 2016/344</w:t>
      </w:r>
      <w:r>
        <w:t>.</w:t>
      </w:r>
    </w:p>
  </w:footnote>
  <w:footnote w:id="20">
    <w:p w14:paraId="4DB9D8AD" w14:textId="77777777" w:rsidR="00211A62" w:rsidRPr="00E46B93" w:rsidRDefault="00211A62">
      <w:pPr>
        <w:pStyle w:val="FootnoteText"/>
        <w:rPr>
          <w:lang w:val="en-IE"/>
        </w:rPr>
      </w:pPr>
      <w:r>
        <w:rPr>
          <w:rStyle w:val="FootnoteReference"/>
        </w:rPr>
        <w:footnoteRef/>
      </w:r>
      <w:r>
        <w:t xml:space="preserve"> </w:t>
      </w:r>
      <w:r>
        <w:tab/>
      </w:r>
      <w:r w:rsidRPr="00667A4A">
        <w:t xml:space="preserve">Most decentralised agencies are either created by the Council on the basis of Article 352 of the Treaty on the Functioning of the European Union, or by the Parliament and the Council on the basis of a specific Treaty provision. Currently, 35 decentralised agencies have been established on this basis, over a period of 40 years. </w:t>
      </w:r>
    </w:p>
  </w:footnote>
  <w:footnote w:id="21">
    <w:p w14:paraId="6DBA43A1" w14:textId="77777777" w:rsidR="00211A62" w:rsidRPr="00826ADC" w:rsidRDefault="00211A62" w:rsidP="001D1288">
      <w:pPr>
        <w:pStyle w:val="FootnoteText"/>
        <w:rPr>
          <w:lang w:val="en-IE"/>
        </w:rPr>
      </w:pPr>
      <w:r>
        <w:rPr>
          <w:rStyle w:val="FootnoteReference"/>
        </w:rPr>
        <w:footnoteRef/>
      </w:r>
      <w:r>
        <w:t xml:space="preserve"> </w:t>
      </w:r>
      <w:r>
        <w:tab/>
      </w:r>
      <w:r w:rsidRPr="008E7D53">
        <w:rPr>
          <w:lang w:val="en-IE"/>
        </w:rPr>
        <w:t xml:space="preserve">Article 93 of the CEOS. </w:t>
      </w:r>
    </w:p>
  </w:footnote>
  <w:footnote w:id="22">
    <w:p w14:paraId="1DC16F14" w14:textId="6D0C642E" w:rsidR="00211A62" w:rsidRPr="00E46B93" w:rsidRDefault="00211A62">
      <w:pPr>
        <w:pStyle w:val="FootnoteText"/>
        <w:rPr>
          <w:lang w:val="en-IE"/>
        </w:rPr>
      </w:pPr>
      <w:r>
        <w:rPr>
          <w:rStyle w:val="FootnoteReference"/>
        </w:rPr>
        <w:footnoteRef/>
      </w:r>
      <w:r>
        <w:t xml:space="preserve"> </w:t>
      </w:r>
      <w:r>
        <w:tab/>
      </w:r>
      <w:r w:rsidRPr="001D1288">
        <w:t xml:space="preserve">Article 3(d) of Annex VIII </w:t>
      </w:r>
      <w:r>
        <w:t>to the Staff Regulations</w:t>
      </w:r>
      <w:r w:rsidRPr="001D1288">
        <w:t xml:space="preserve"> establishes that the pensionable years of Contract Agents who later become officials must be calculated on the basis of the ratio between the last basic salary received as a member of the contract staff and the first basic salary received as an official. In other words, pension rights acquired by Contract Agents who become officials are lower than staff recruited as officials from the first day.</w:t>
      </w:r>
    </w:p>
  </w:footnote>
  <w:footnote w:id="23">
    <w:p w14:paraId="0AC2B7B4" w14:textId="1310E2CD" w:rsidR="00211A62" w:rsidRPr="00612B08" w:rsidRDefault="00211A62">
      <w:pPr>
        <w:pStyle w:val="FootnoteText"/>
      </w:pPr>
      <w:r>
        <w:rPr>
          <w:rStyle w:val="FootnoteReference"/>
        </w:rPr>
        <w:footnoteRef/>
      </w:r>
      <w:r>
        <w:t xml:space="preserve"> </w:t>
      </w:r>
      <w:r>
        <w:tab/>
        <w:t xml:space="preserve">This corresponds to one of the definitions of maturity for a pension scheme. </w:t>
      </w:r>
    </w:p>
  </w:footnote>
  <w:footnote w:id="24">
    <w:p w14:paraId="20CF01D9" w14:textId="46F7C5F9" w:rsidR="00211A62" w:rsidRPr="00170470" w:rsidRDefault="00211A62">
      <w:pPr>
        <w:pStyle w:val="FootnoteText"/>
        <w:rPr>
          <w:lang w:val="en-IE"/>
        </w:rPr>
      </w:pPr>
      <w:r>
        <w:rPr>
          <w:rStyle w:val="FootnoteReference"/>
        </w:rPr>
        <w:footnoteRef/>
      </w:r>
      <w:r>
        <w:t xml:space="preserve"> </w:t>
      </w:r>
      <w:r>
        <w:tab/>
        <w:t xml:space="preserve">The 1% of pensioners covered by the post-2014 rules represent those who either reached pensionable age whilst having less than 10 years of service or those who, whilst having completed at least ten years of service, changed contract and – as a result – fell under the post-2014 rules. </w:t>
      </w:r>
    </w:p>
  </w:footnote>
  <w:footnote w:id="25">
    <w:p w14:paraId="4086A26C" w14:textId="77777777" w:rsidR="00211A62" w:rsidRPr="002F6C02" w:rsidRDefault="00211A62" w:rsidP="00243FA3">
      <w:pPr>
        <w:pStyle w:val="FootnoteText"/>
      </w:pPr>
      <w:r>
        <w:rPr>
          <w:rStyle w:val="FootnoteReference"/>
        </w:rPr>
        <w:footnoteRef/>
      </w:r>
      <w:r>
        <w:t xml:space="preserve"> </w:t>
      </w:r>
      <w:r>
        <w:tab/>
      </w:r>
      <w:r w:rsidRPr="000B1259">
        <w:t>Agreement on the withdrawal of the United Kingdom of Great Britain and Northern Ireland from the European Union and the European Atomic Energy Community</w:t>
      </w:r>
      <w:r>
        <w:t xml:space="preserve"> </w:t>
      </w:r>
      <w:r w:rsidRPr="000B1259">
        <w:t>2019/C 384 I/01</w:t>
      </w:r>
      <w:r>
        <w:t>.</w:t>
      </w:r>
    </w:p>
  </w:footnote>
  <w:footnote w:id="26">
    <w:p w14:paraId="0811D2BE" w14:textId="77777777" w:rsidR="00211A62" w:rsidRPr="002F6C02" w:rsidRDefault="00211A62">
      <w:pPr>
        <w:pStyle w:val="FootnoteText"/>
      </w:pPr>
      <w:r>
        <w:rPr>
          <w:rStyle w:val="FootnoteReference"/>
        </w:rPr>
        <w:footnoteRef/>
      </w:r>
      <w:r>
        <w:t xml:space="preserve"> </w:t>
      </w:r>
      <w:r>
        <w:tab/>
        <w:t>Articles 11 and 12 of Annex VIII to the Staff Regulation.</w:t>
      </w:r>
    </w:p>
  </w:footnote>
  <w:footnote w:id="27">
    <w:p w14:paraId="2ECE7DC5" w14:textId="77777777" w:rsidR="00211A62" w:rsidRPr="00DC6FCE" w:rsidRDefault="00211A62" w:rsidP="00441E10">
      <w:pPr>
        <w:pStyle w:val="FootnoteText"/>
      </w:pPr>
      <w:r>
        <w:rPr>
          <w:rStyle w:val="FootnoteReference"/>
        </w:rPr>
        <w:footnoteRef/>
      </w:r>
      <w:r>
        <w:t xml:space="preserve"> </w:t>
      </w:r>
      <w:r>
        <w:tab/>
        <w:t>See</w:t>
      </w:r>
      <w:r w:rsidRPr="00441E10">
        <w:t xml:space="preserve"> Articles 142(2) and 142(6) </w:t>
      </w:r>
      <w:r>
        <w:t xml:space="preserve">of the </w:t>
      </w:r>
      <w:r w:rsidRPr="000B1259">
        <w:t>Agreement on the withdrawal of the United Kingdom of Great Britain and Northern Ireland from the European Union and the European Atomic Energy Community</w:t>
      </w:r>
      <w:r>
        <w:t xml:space="preserve"> </w:t>
      </w:r>
      <w:r w:rsidRPr="000B1259">
        <w:t>2019/C 384 I/01</w:t>
      </w:r>
      <w:r>
        <w:t>.</w:t>
      </w:r>
    </w:p>
  </w:footnote>
  <w:footnote w:id="28">
    <w:p w14:paraId="42BBB1A1" w14:textId="254C0731" w:rsidR="00211A62" w:rsidRPr="004745C7" w:rsidRDefault="00211A62" w:rsidP="00012FA5">
      <w:pPr>
        <w:pStyle w:val="FootnoteText"/>
      </w:pPr>
      <w:r w:rsidRPr="008F1277">
        <w:rPr>
          <w:rStyle w:val="FootnoteReference"/>
        </w:rPr>
        <w:footnoteRef/>
      </w:r>
      <w:r w:rsidRPr="008F1277">
        <w:t xml:space="preserve"> </w:t>
      </w:r>
      <w:r w:rsidRPr="008F1277">
        <w:tab/>
        <w:t>2010 Eurostat study on the long-term budgetary implications of pension costs.</w:t>
      </w:r>
    </w:p>
  </w:footnote>
  <w:footnote w:id="29">
    <w:p w14:paraId="359A36C5" w14:textId="77777777" w:rsidR="00211A62" w:rsidRPr="006A369F" w:rsidRDefault="00211A62" w:rsidP="003E7742">
      <w:pPr>
        <w:pStyle w:val="FootnoteText"/>
      </w:pPr>
      <w:r>
        <w:rPr>
          <w:rStyle w:val="FootnoteReference"/>
        </w:rPr>
        <w:footnoteRef/>
      </w:r>
      <w:r>
        <w:t xml:space="preserve"> </w:t>
      </w:r>
      <w:r>
        <w:tab/>
        <w:t>I</w:t>
      </w:r>
      <w:r w:rsidRPr="00FF26B8">
        <w:t>n order to draw a pension under the Staff Regulations, staff members should be affiliated at least ten years or reach pensionable age whilst in service.</w:t>
      </w:r>
    </w:p>
  </w:footnote>
  <w:footnote w:id="30">
    <w:p w14:paraId="31695618" w14:textId="40CB6DE3" w:rsidR="00211A62" w:rsidRPr="00012FA5" w:rsidRDefault="00211A62">
      <w:pPr>
        <w:pStyle w:val="FootnoteText"/>
      </w:pPr>
      <w:r>
        <w:rPr>
          <w:rStyle w:val="FootnoteReference"/>
        </w:rPr>
        <w:footnoteRef/>
      </w:r>
      <w:r>
        <w:t xml:space="preserve"> </w:t>
      </w:r>
      <w:r>
        <w:tab/>
        <w:t>M</w:t>
      </w:r>
      <w:r w:rsidRPr="00012FA5">
        <w:t>arket expectations in terms of yield of the government bonds, plus expect</w:t>
      </w:r>
      <w:r>
        <w:t>ations as regards the inflation.</w:t>
      </w:r>
    </w:p>
  </w:footnote>
  <w:footnote w:id="31">
    <w:p w14:paraId="03CEFA2C" w14:textId="77777777" w:rsidR="00211A62" w:rsidRPr="008E7D53" w:rsidRDefault="00211A62" w:rsidP="0082207B">
      <w:pPr>
        <w:pStyle w:val="FootnoteText"/>
        <w:rPr>
          <w:lang w:val="en-IE"/>
        </w:rPr>
      </w:pPr>
      <w:r>
        <w:rPr>
          <w:rStyle w:val="FootnoteReference"/>
        </w:rPr>
        <w:footnoteRef/>
      </w:r>
      <w:r>
        <w:t xml:space="preserve"> </w:t>
      </w:r>
      <w:r w:rsidRPr="008E7D53">
        <w:rPr>
          <w:lang w:val="en-IE"/>
        </w:rPr>
        <w:tab/>
      </w:r>
      <w:r>
        <w:rPr>
          <w:lang w:val="en-IE"/>
        </w:rPr>
        <w:t>Chapter 2.9 “Liabilities – Pensions and other employee benefits” of the Consolidated annual accounts of the European Union.</w:t>
      </w:r>
    </w:p>
  </w:footnote>
  <w:footnote w:id="32">
    <w:p w14:paraId="7B8227FD" w14:textId="5B3B8C98" w:rsidR="00211A62" w:rsidRPr="0049520A" w:rsidRDefault="00211A62" w:rsidP="00F57398">
      <w:pPr>
        <w:pStyle w:val="FootnoteText"/>
      </w:pPr>
      <w:r>
        <w:rPr>
          <w:rStyle w:val="FootnoteReference"/>
        </w:rPr>
        <w:footnoteRef/>
      </w:r>
      <w:r>
        <w:t xml:space="preserve"> </w:t>
      </w:r>
      <w:r>
        <w:tab/>
      </w:r>
      <w:r w:rsidRPr="000843E8">
        <w:t xml:space="preserve">Article 10 of Annex XII </w:t>
      </w:r>
      <w:r>
        <w:t>to the Staff Regulations.</w:t>
      </w:r>
    </w:p>
  </w:footnote>
  <w:footnote w:id="33">
    <w:p w14:paraId="707AE79F" w14:textId="7F539D3C" w:rsidR="00211A62" w:rsidRPr="009308A1" w:rsidRDefault="00211A62">
      <w:pPr>
        <w:pStyle w:val="FootnoteText"/>
      </w:pPr>
      <w:r>
        <w:rPr>
          <w:rStyle w:val="FootnoteReference"/>
        </w:rPr>
        <w:footnoteRef/>
      </w:r>
      <w:r>
        <w:t xml:space="preserve"> </w:t>
      </w:r>
      <w:r>
        <w:tab/>
        <w:t>Article 30 of Annex XIII to the Staff Regulations.</w:t>
      </w:r>
    </w:p>
  </w:footnote>
  <w:footnote w:id="34">
    <w:p w14:paraId="43D9B8F0" w14:textId="32A356B1" w:rsidR="00211A62" w:rsidRPr="009F1DEE" w:rsidRDefault="00211A62">
      <w:pPr>
        <w:pStyle w:val="FootnoteText"/>
      </w:pPr>
      <w:r>
        <w:rPr>
          <w:rStyle w:val="FootnoteReference"/>
        </w:rPr>
        <w:footnoteRef/>
      </w:r>
      <w:r>
        <w:t xml:space="preserve"> </w:t>
      </w:r>
      <w:r>
        <w:tab/>
        <w:t xml:space="preserve">Court of Auditor’s </w:t>
      </w:r>
      <w:r w:rsidRPr="009F1DEE">
        <w:t>Special report no 15/2019: Implementation of the 2014 staff reform package at the Commission - Big savings but not without consequences for staff</w:t>
      </w:r>
      <w:r>
        <w:t>.</w:t>
      </w:r>
    </w:p>
  </w:footnote>
  <w:footnote w:id="35">
    <w:p w14:paraId="7D707ABA" w14:textId="473240F5" w:rsidR="00211A62" w:rsidRPr="00BF5569" w:rsidRDefault="00211A62" w:rsidP="00BF5569">
      <w:pPr>
        <w:pStyle w:val="FootnoteText"/>
      </w:pPr>
      <w:r>
        <w:rPr>
          <w:rStyle w:val="FootnoteReference"/>
        </w:rPr>
        <w:footnoteRef/>
      </w:r>
      <w:r>
        <w:t xml:space="preserve"> </w:t>
      </w:r>
      <w:r>
        <w:tab/>
      </w:r>
      <w:r w:rsidRPr="00BF5569">
        <w:t>Eurostat used prospective life tables</w:t>
      </w:r>
      <w:r>
        <w:t>. The prospective EU Life Tables developed by Eurostat incorporate a trend of continuous increase of life expectancies over 20 years.</w:t>
      </w:r>
    </w:p>
  </w:footnote>
  <w:footnote w:id="36">
    <w:p w14:paraId="31A169CE" w14:textId="77777777" w:rsidR="00211A62" w:rsidRPr="00170470" w:rsidRDefault="00211A62">
      <w:pPr>
        <w:pStyle w:val="FootnoteText"/>
        <w:rPr>
          <w:lang w:val="en-IE"/>
        </w:rPr>
      </w:pPr>
      <w:r>
        <w:rPr>
          <w:rStyle w:val="FootnoteReference"/>
        </w:rPr>
        <w:footnoteRef/>
      </w:r>
      <w:r>
        <w:t xml:space="preserve"> </w:t>
      </w:r>
      <w:r w:rsidRPr="00170470">
        <w:rPr>
          <w:lang w:val="en-IE"/>
        </w:rPr>
        <w:tab/>
        <w:t xml:space="preserve">Since 2014, correction coefficients applied to pensions had a cost of EUR 400 million. Their progressive phasing out will represent significant savings in the future. </w:t>
      </w:r>
    </w:p>
  </w:footnote>
  <w:footnote w:id="37">
    <w:p w14:paraId="5C1048E8" w14:textId="084281E7" w:rsidR="00211A62" w:rsidRPr="00B40591" w:rsidRDefault="00211A62">
      <w:pPr>
        <w:pStyle w:val="FootnoteText"/>
      </w:pPr>
      <w:r>
        <w:rPr>
          <w:rStyle w:val="FootnoteReference"/>
        </w:rPr>
        <w:footnoteRef/>
      </w:r>
      <w:r>
        <w:t xml:space="preserve"> </w:t>
      </w:r>
      <w:r>
        <w:tab/>
      </w:r>
      <w:r>
        <w:rPr>
          <w:lang w:val="en-IE"/>
        </w:rPr>
        <w:t>The data in this table are provided by Member States’ representatives in the Article 83 Working Group.</w:t>
      </w:r>
    </w:p>
  </w:footnote>
  <w:footnote w:id="38">
    <w:p w14:paraId="43347DEF" w14:textId="431A8F87" w:rsidR="00211A62" w:rsidRPr="00FC43DF" w:rsidRDefault="00211A62">
      <w:pPr>
        <w:pStyle w:val="FootnoteText"/>
        <w:rPr>
          <w:lang w:val="en-IE"/>
        </w:rPr>
      </w:pPr>
      <w:r>
        <w:rPr>
          <w:rStyle w:val="FootnoteReference"/>
        </w:rPr>
        <w:footnoteRef/>
      </w:r>
      <w:r>
        <w:t xml:space="preserve"> </w:t>
      </w:r>
      <w:r>
        <w:tab/>
        <w:t>T</w:t>
      </w:r>
      <w:r w:rsidRPr="00FD1E37">
        <w:t>h</w:t>
      </w:r>
      <w:r>
        <w:t>e</w:t>
      </w:r>
      <w:r w:rsidRPr="00FD1E37">
        <w:t xml:space="preserve"> table</w:t>
      </w:r>
      <w:r>
        <w:t>s</w:t>
      </w:r>
      <w:r w:rsidRPr="00FD1E37">
        <w:t xml:space="preserve"> </w:t>
      </w:r>
      <w:r>
        <w:t xml:space="preserve">of Annex 18 </w:t>
      </w:r>
      <w:r w:rsidRPr="00FD1E37">
        <w:t>refers to data submitted by Member States in the form of country fiches for the 2021 Commission report on the ageing population</w:t>
      </w:r>
      <w:r>
        <w:t xml:space="preserve"> </w:t>
      </w:r>
      <w:r w:rsidRPr="00FD1E37">
        <w:t>(</w:t>
      </w:r>
      <w:r w:rsidRPr="00FC43DF">
        <w:t>The 2021 Ageing Report: Economic and Budgetary Projections for the EU Member States (2019-2070)</w:t>
      </w:r>
      <w:r>
        <w:t xml:space="preserve"> prepared by DG ECFIN)</w:t>
      </w:r>
      <w:r w:rsidRPr="00FD1E37">
        <w:t xml:space="preserve">. </w:t>
      </w:r>
      <w:r>
        <w:t>In addition, every year,</w:t>
      </w:r>
      <w:r w:rsidRPr="00FD1E37">
        <w:t xml:space="preserve"> </w:t>
      </w:r>
      <w:r>
        <w:t xml:space="preserve">the EU </w:t>
      </w:r>
      <w:r w:rsidRPr="00FD1E37">
        <w:t xml:space="preserve">Member States provide Eurostat </w:t>
      </w:r>
      <w:r>
        <w:t xml:space="preserve">with data on their respective pension contribution rate: as those data are collected in ranges of values, </w:t>
      </w:r>
      <w:r w:rsidRPr="00FD1E37">
        <w:t>the table re</w:t>
      </w:r>
      <w:r>
        <w:t>port</w:t>
      </w:r>
      <w:r w:rsidRPr="00FD1E37">
        <w:t xml:space="preserve">s the </w:t>
      </w:r>
      <w:r>
        <w:t xml:space="preserve">median value </w:t>
      </w:r>
      <w:r w:rsidRPr="00FD1E37">
        <w:t xml:space="preserve">of the </w:t>
      </w:r>
      <w:r>
        <w:t>range</w:t>
      </w:r>
      <w:r w:rsidRPr="00226EF9">
        <w:t xml:space="preserve"> </w:t>
      </w:r>
      <w:r>
        <w:t>where necessary</w:t>
      </w:r>
      <w:r w:rsidRPr="00FD1E37">
        <w:t>.</w:t>
      </w:r>
    </w:p>
  </w:footnote>
  <w:footnote w:id="39">
    <w:p w14:paraId="12EE7318" w14:textId="71AE0D2D" w:rsidR="00211A62" w:rsidRPr="00515559" w:rsidRDefault="00211A62">
      <w:pPr>
        <w:pStyle w:val="FootnoteText"/>
        <w:rPr>
          <w:lang w:val="en-IE"/>
        </w:rPr>
      </w:pPr>
      <w:r>
        <w:rPr>
          <w:rStyle w:val="FootnoteReference"/>
        </w:rPr>
        <w:footnoteRef/>
      </w:r>
      <w:r>
        <w:t xml:space="preserve"> </w:t>
      </w:r>
      <w:r w:rsidRPr="00515559">
        <w:rPr>
          <w:lang w:val="en-IE"/>
        </w:rPr>
        <w:tab/>
      </w:r>
      <w:r>
        <w:rPr>
          <w:lang w:val="en-IE"/>
        </w:rPr>
        <w:t xml:space="preserve">The data in this table are provided by Member States’ representatives in the Article 83 Working Group. </w:t>
      </w:r>
    </w:p>
  </w:footnote>
  <w:footnote w:id="40">
    <w:p w14:paraId="4C1574F1" w14:textId="77777777" w:rsidR="00211A62" w:rsidRPr="00515559" w:rsidRDefault="00211A62" w:rsidP="00F479EC">
      <w:pPr>
        <w:pStyle w:val="FootnoteText"/>
        <w:rPr>
          <w:lang w:val="en-IE"/>
        </w:rPr>
      </w:pPr>
      <w:r>
        <w:rPr>
          <w:rStyle w:val="FootnoteReference"/>
        </w:rPr>
        <w:footnoteRef/>
      </w:r>
      <w:r>
        <w:t xml:space="preserve"> </w:t>
      </w:r>
      <w:r w:rsidRPr="00515559">
        <w:rPr>
          <w:lang w:val="en-IE"/>
        </w:rPr>
        <w:tab/>
      </w:r>
      <w:r>
        <w:rPr>
          <w:lang w:val="en-IE"/>
        </w:rPr>
        <w:t xml:space="preserve">The data in this table are provided by Member States’ representatives in the Article 83 Working Group.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D36CE" w14:textId="77777777" w:rsidR="00865AA0" w:rsidRPr="00865AA0" w:rsidRDefault="00865AA0" w:rsidP="00865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1FDE" w14:textId="77777777" w:rsidR="00865AA0" w:rsidRPr="00865AA0" w:rsidRDefault="00865AA0" w:rsidP="00865AA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DD24A" w14:textId="77777777" w:rsidR="00865AA0" w:rsidRPr="00865AA0" w:rsidRDefault="00865AA0" w:rsidP="00865AA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181C3" w14:textId="77777777" w:rsidR="00211A62" w:rsidRDefault="00211A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AC66D" w14:textId="77777777" w:rsidR="00211A62" w:rsidRDefault="00211A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5B94D" w14:textId="77777777" w:rsidR="00211A62" w:rsidRDefault="00211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EAC21E4"/>
    <w:lvl w:ilvl="0">
      <w:start w:val="1"/>
      <w:numFmt w:val="decimal"/>
      <w:pStyle w:val="ListNumber"/>
      <w:lvlText w:val="%1."/>
      <w:lvlJc w:val="left"/>
      <w:pPr>
        <w:tabs>
          <w:tab w:val="num" w:pos="360"/>
        </w:tabs>
        <w:ind w:left="360" w:hanging="360"/>
      </w:pPr>
    </w:lvl>
  </w:abstractNum>
  <w:abstractNum w:abstractNumId="1" w15:restartNumberingAfterBreak="0">
    <w:nsid w:val="00027E29"/>
    <w:multiLevelType w:val="hybridMultilevel"/>
    <w:tmpl w:val="40E063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0CA6FC6"/>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264150"/>
    <w:multiLevelType w:val="hybridMultilevel"/>
    <w:tmpl w:val="C5746934"/>
    <w:lvl w:ilvl="0" w:tplc="5BBA8876">
      <w:start w:val="1"/>
      <w:numFmt w:val="decimal"/>
      <w:lvlText w:val="%1."/>
      <w:lvlJc w:val="left"/>
      <w:pPr>
        <w:ind w:left="720" w:hanging="360"/>
      </w:pPr>
      <w:rPr>
        <w:rFonts w:hint="default"/>
        <w:b/>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12D4083"/>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EC7354"/>
    <w:multiLevelType w:val="hybridMultilevel"/>
    <w:tmpl w:val="3BD27BC2"/>
    <w:lvl w:ilvl="0" w:tplc="3DF2C38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23D0D65"/>
    <w:multiLevelType w:val="hybridMultilevel"/>
    <w:tmpl w:val="DB1A11D6"/>
    <w:lvl w:ilvl="0" w:tplc="E3549378">
      <w:start w:val="3"/>
      <w:numFmt w:val="bullet"/>
      <w:lvlText w:val="-"/>
      <w:lvlJc w:val="left"/>
      <w:pPr>
        <w:ind w:left="502"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3CD781B"/>
    <w:multiLevelType w:val="hybridMultilevel"/>
    <w:tmpl w:val="055C02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9192D3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8C19F5"/>
    <w:multiLevelType w:val="hybridMultilevel"/>
    <w:tmpl w:val="01100A9C"/>
    <w:lvl w:ilvl="0" w:tplc="18090001">
      <w:start w:val="1"/>
      <w:numFmt w:val="bullet"/>
      <w:lvlText w:val=""/>
      <w:lvlJc w:val="left"/>
      <w:pPr>
        <w:ind w:left="1512" w:hanging="360"/>
      </w:pPr>
      <w:rPr>
        <w:rFonts w:ascii="Symbol" w:hAnsi="Symbol" w:hint="default"/>
      </w:rPr>
    </w:lvl>
    <w:lvl w:ilvl="1" w:tplc="18090003" w:tentative="1">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10" w15:restartNumberingAfterBreak="0">
    <w:nsid w:val="0BA14499"/>
    <w:multiLevelType w:val="multilevel"/>
    <w:tmpl w:val="EEA8320E"/>
    <w:lvl w:ilvl="0">
      <w:start w:val="1"/>
      <w:numFmt w:val="decimal"/>
      <w:lvlText w:val="(%1)"/>
      <w:lvlJc w:val="left"/>
      <w:pPr>
        <w:tabs>
          <w:tab w:val="num" w:pos="709"/>
        </w:tabs>
        <w:ind w:left="709" w:hanging="709"/>
      </w:pPr>
    </w:lvl>
    <w:lvl w:ilvl="1">
      <w:start w:val="1"/>
      <w:numFmt w:val="bullet"/>
      <w:lvlText w:val=""/>
      <w:lvlJc w:val="left"/>
      <w:pPr>
        <w:tabs>
          <w:tab w:val="num" w:pos="1417"/>
        </w:tabs>
        <w:ind w:left="1417" w:hanging="708"/>
      </w:pPr>
      <w:rPr>
        <w:rFonts w:ascii="Symbol" w:hAnsi="Symbol" w:hint="default"/>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C7147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0435E3"/>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171AEB"/>
    <w:multiLevelType w:val="hybridMultilevel"/>
    <w:tmpl w:val="D962215E"/>
    <w:lvl w:ilvl="0" w:tplc="F482E1A4">
      <w:start w:val="8"/>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69A51C1"/>
    <w:multiLevelType w:val="hybridMultilevel"/>
    <w:tmpl w:val="1B3075D0"/>
    <w:lvl w:ilvl="0" w:tplc="68947D1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6CE23E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3234A7"/>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4E0D69"/>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7231C6"/>
    <w:multiLevelType w:val="multilevel"/>
    <w:tmpl w:val="0DD63EE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FD4A4A"/>
    <w:multiLevelType w:val="hybridMultilevel"/>
    <w:tmpl w:val="6A6AD7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FBF7045"/>
    <w:multiLevelType w:val="hybridMultilevel"/>
    <w:tmpl w:val="A0CADB32"/>
    <w:lvl w:ilvl="0" w:tplc="C12C2EF4">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1716F1F"/>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410D4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447276"/>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65D8F"/>
    <w:multiLevelType w:val="hybridMultilevel"/>
    <w:tmpl w:val="948EA1A4"/>
    <w:lvl w:ilvl="0" w:tplc="440007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848684F"/>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B27E27"/>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530D15"/>
    <w:multiLevelType w:val="multilevel"/>
    <w:tmpl w:val="0DD63EE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006E7B"/>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5915D7"/>
    <w:multiLevelType w:val="hybridMultilevel"/>
    <w:tmpl w:val="F5764846"/>
    <w:lvl w:ilvl="0" w:tplc="B678BAEE">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E883031"/>
    <w:multiLevelType w:val="hybridMultilevel"/>
    <w:tmpl w:val="165C2B30"/>
    <w:lvl w:ilvl="0" w:tplc="3DF2C38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FE20602"/>
    <w:multiLevelType w:val="hybridMultilevel"/>
    <w:tmpl w:val="157A4932"/>
    <w:lvl w:ilvl="0" w:tplc="C2BE8DF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2294E4A"/>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D71D0A"/>
    <w:multiLevelType w:val="multilevel"/>
    <w:tmpl w:val="0DD63EE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53563E"/>
    <w:multiLevelType w:val="multilevel"/>
    <w:tmpl w:val="0DD63EE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BE2D76"/>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DD0534"/>
    <w:multiLevelType w:val="multilevel"/>
    <w:tmpl w:val="F516CECC"/>
    <w:lvl w:ilvl="0">
      <w:start w:val="3"/>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31F1A2A"/>
    <w:multiLevelType w:val="hybridMultilevel"/>
    <w:tmpl w:val="EFF080BC"/>
    <w:lvl w:ilvl="0" w:tplc="AC664EB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67D4884"/>
    <w:multiLevelType w:val="hybridMultilevel"/>
    <w:tmpl w:val="49640B4E"/>
    <w:lvl w:ilvl="0" w:tplc="F482E1A4">
      <w:start w:val="8"/>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6AF4F45"/>
    <w:multiLevelType w:val="hybridMultilevel"/>
    <w:tmpl w:val="143C85C4"/>
    <w:lvl w:ilvl="0" w:tplc="CF6280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6E136CF"/>
    <w:multiLevelType w:val="multilevel"/>
    <w:tmpl w:val="0DD63EE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2F78F9"/>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350CC3"/>
    <w:multiLevelType w:val="hybridMultilevel"/>
    <w:tmpl w:val="9D52F4B6"/>
    <w:lvl w:ilvl="0" w:tplc="3DF2C38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A33103C"/>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B2A1419"/>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C7372D8"/>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E775083"/>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5BA55F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5DA2BB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24463D"/>
    <w:multiLevelType w:val="hybridMultilevel"/>
    <w:tmpl w:val="96269B9E"/>
    <w:lvl w:ilvl="0" w:tplc="1809000F">
      <w:start w:val="1"/>
      <w:numFmt w:val="decimal"/>
      <w:lvlText w:val="%1."/>
      <w:lvlJc w:val="left"/>
      <w:pPr>
        <w:ind w:left="720" w:hanging="360"/>
      </w:pPr>
      <w:rPr>
        <w:rFonts w:ascii="Times New Roman" w:hAnsi="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C944A4D"/>
    <w:multiLevelType w:val="hybridMultilevel"/>
    <w:tmpl w:val="B2A4EEB2"/>
    <w:lvl w:ilvl="0" w:tplc="4758632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E4A4C2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DC7BA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0E66DA0"/>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12B4325"/>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1E07C3D"/>
    <w:multiLevelType w:val="hybridMultilevel"/>
    <w:tmpl w:val="F460C908"/>
    <w:lvl w:ilvl="0" w:tplc="3DF2C38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1E93940"/>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36A6B1E"/>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FA7BFB"/>
    <w:multiLevelType w:val="hybridMultilevel"/>
    <w:tmpl w:val="19C85AA4"/>
    <w:lvl w:ilvl="0" w:tplc="3DF2C38E">
      <w:start w:val="1"/>
      <w:numFmt w:val="bullet"/>
      <w:lvlText w:val=""/>
      <w:lvlJc w:val="left"/>
      <w:pPr>
        <w:ind w:left="1944" w:hanging="360"/>
      </w:pPr>
      <w:rPr>
        <w:rFonts w:ascii="Symbol" w:hAnsi="Symbol" w:hint="default"/>
      </w:rPr>
    </w:lvl>
    <w:lvl w:ilvl="1" w:tplc="18090003" w:tentative="1">
      <w:start w:val="1"/>
      <w:numFmt w:val="bullet"/>
      <w:lvlText w:val="o"/>
      <w:lvlJc w:val="left"/>
      <w:pPr>
        <w:ind w:left="2664" w:hanging="360"/>
      </w:pPr>
      <w:rPr>
        <w:rFonts w:ascii="Courier New" w:hAnsi="Courier New" w:cs="Courier New" w:hint="default"/>
      </w:rPr>
    </w:lvl>
    <w:lvl w:ilvl="2" w:tplc="18090005" w:tentative="1">
      <w:start w:val="1"/>
      <w:numFmt w:val="bullet"/>
      <w:lvlText w:val=""/>
      <w:lvlJc w:val="left"/>
      <w:pPr>
        <w:ind w:left="3384" w:hanging="360"/>
      </w:pPr>
      <w:rPr>
        <w:rFonts w:ascii="Wingdings" w:hAnsi="Wingdings" w:hint="default"/>
      </w:rPr>
    </w:lvl>
    <w:lvl w:ilvl="3" w:tplc="18090001" w:tentative="1">
      <w:start w:val="1"/>
      <w:numFmt w:val="bullet"/>
      <w:lvlText w:val=""/>
      <w:lvlJc w:val="left"/>
      <w:pPr>
        <w:ind w:left="4104" w:hanging="360"/>
      </w:pPr>
      <w:rPr>
        <w:rFonts w:ascii="Symbol" w:hAnsi="Symbol" w:hint="default"/>
      </w:rPr>
    </w:lvl>
    <w:lvl w:ilvl="4" w:tplc="18090003" w:tentative="1">
      <w:start w:val="1"/>
      <w:numFmt w:val="bullet"/>
      <w:lvlText w:val="o"/>
      <w:lvlJc w:val="left"/>
      <w:pPr>
        <w:ind w:left="4824" w:hanging="360"/>
      </w:pPr>
      <w:rPr>
        <w:rFonts w:ascii="Courier New" w:hAnsi="Courier New" w:cs="Courier New" w:hint="default"/>
      </w:rPr>
    </w:lvl>
    <w:lvl w:ilvl="5" w:tplc="18090005" w:tentative="1">
      <w:start w:val="1"/>
      <w:numFmt w:val="bullet"/>
      <w:lvlText w:val=""/>
      <w:lvlJc w:val="left"/>
      <w:pPr>
        <w:ind w:left="5544" w:hanging="360"/>
      </w:pPr>
      <w:rPr>
        <w:rFonts w:ascii="Wingdings" w:hAnsi="Wingdings" w:hint="default"/>
      </w:rPr>
    </w:lvl>
    <w:lvl w:ilvl="6" w:tplc="18090001" w:tentative="1">
      <w:start w:val="1"/>
      <w:numFmt w:val="bullet"/>
      <w:lvlText w:val=""/>
      <w:lvlJc w:val="left"/>
      <w:pPr>
        <w:ind w:left="6264" w:hanging="360"/>
      </w:pPr>
      <w:rPr>
        <w:rFonts w:ascii="Symbol" w:hAnsi="Symbol" w:hint="default"/>
      </w:rPr>
    </w:lvl>
    <w:lvl w:ilvl="7" w:tplc="18090003" w:tentative="1">
      <w:start w:val="1"/>
      <w:numFmt w:val="bullet"/>
      <w:lvlText w:val="o"/>
      <w:lvlJc w:val="left"/>
      <w:pPr>
        <w:ind w:left="6984" w:hanging="360"/>
      </w:pPr>
      <w:rPr>
        <w:rFonts w:ascii="Courier New" w:hAnsi="Courier New" w:cs="Courier New" w:hint="default"/>
      </w:rPr>
    </w:lvl>
    <w:lvl w:ilvl="8" w:tplc="18090005" w:tentative="1">
      <w:start w:val="1"/>
      <w:numFmt w:val="bullet"/>
      <w:lvlText w:val=""/>
      <w:lvlJc w:val="left"/>
      <w:pPr>
        <w:ind w:left="7704" w:hanging="360"/>
      </w:pPr>
      <w:rPr>
        <w:rFonts w:ascii="Wingdings" w:hAnsi="Wingdings" w:hint="default"/>
      </w:rPr>
    </w:lvl>
  </w:abstractNum>
  <w:abstractNum w:abstractNumId="59" w15:restartNumberingAfterBreak="0">
    <w:nsid w:val="74DE2FD4"/>
    <w:multiLevelType w:val="multilevel"/>
    <w:tmpl w:val="C14AE2DC"/>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4ED6912"/>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6BB23CE"/>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745579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0F38A4"/>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A223069"/>
    <w:multiLevelType w:val="hybridMultilevel"/>
    <w:tmpl w:val="F49A4C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B1A5D18"/>
    <w:multiLevelType w:val="hybridMultilevel"/>
    <w:tmpl w:val="83E2EA92"/>
    <w:lvl w:ilvl="0" w:tplc="3DF2C38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7BC4501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C4400C2"/>
    <w:multiLevelType w:val="multilevel"/>
    <w:tmpl w:val="483C7C8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EEA29A5"/>
    <w:multiLevelType w:val="multilevel"/>
    <w:tmpl w:val="0DD63EEE"/>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49"/>
  </w:num>
  <w:num w:numId="3">
    <w:abstractNumId w:val="22"/>
  </w:num>
  <w:num w:numId="4">
    <w:abstractNumId w:val="48"/>
  </w:num>
  <w:num w:numId="5">
    <w:abstractNumId w:val="8"/>
  </w:num>
  <w:num w:numId="6">
    <w:abstractNumId w:val="52"/>
  </w:num>
  <w:num w:numId="7">
    <w:abstractNumId w:val="15"/>
  </w:num>
  <w:num w:numId="8">
    <w:abstractNumId w:val="11"/>
  </w:num>
  <w:num w:numId="9">
    <w:abstractNumId w:val="47"/>
  </w:num>
  <w:num w:numId="10">
    <w:abstractNumId w:val="36"/>
  </w:num>
  <w:num w:numId="11">
    <w:abstractNumId w:val="66"/>
  </w:num>
  <w:num w:numId="12">
    <w:abstractNumId w:val="59"/>
  </w:num>
  <w:num w:numId="13">
    <w:abstractNumId w:val="51"/>
  </w:num>
  <w:num w:numId="14">
    <w:abstractNumId w:val="62"/>
  </w:num>
  <w:num w:numId="15">
    <w:abstractNumId w:val="7"/>
  </w:num>
  <w:num w:numId="16">
    <w:abstractNumId w:val="0"/>
  </w:num>
  <w:num w:numId="17">
    <w:abstractNumId w:val="10"/>
  </w:num>
  <w:num w:numId="18">
    <w:abstractNumId w:val="9"/>
  </w:num>
  <w:num w:numId="19">
    <w:abstractNumId w:val="58"/>
  </w:num>
  <w:num w:numId="20">
    <w:abstractNumId w:val="65"/>
  </w:num>
  <w:num w:numId="21">
    <w:abstractNumId w:val="30"/>
  </w:num>
  <w:num w:numId="22">
    <w:abstractNumId w:val="42"/>
  </w:num>
  <w:num w:numId="23">
    <w:abstractNumId w:val="55"/>
  </w:num>
  <w:num w:numId="24">
    <w:abstractNumId w:val="38"/>
  </w:num>
  <w:num w:numId="25">
    <w:abstractNumId w:val="5"/>
  </w:num>
  <w:num w:numId="26">
    <w:abstractNumId w:val="13"/>
  </w:num>
  <w:num w:numId="27">
    <w:abstractNumId w:val="41"/>
  </w:num>
  <w:num w:numId="28">
    <w:abstractNumId w:val="39"/>
  </w:num>
  <w:num w:numId="29">
    <w:abstractNumId w:val="50"/>
  </w:num>
  <w:num w:numId="30">
    <w:abstractNumId w:val="25"/>
  </w:num>
  <w:num w:numId="31">
    <w:abstractNumId w:val="20"/>
  </w:num>
  <w:num w:numId="32">
    <w:abstractNumId w:val="14"/>
  </w:num>
  <w:num w:numId="33">
    <w:abstractNumId w:val="24"/>
  </w:num>
  <w:num w:numId="34">
    <w:abstractNumId w:val="53"/>
  </w:num>
  <w:num w:numId="35">
    <w:abstractNumId w:val="31"/>
  </w:num>
  <w:num w:numId="36">
    <w:abstractNumId w:val="6"/>
  </w:num>
  <w:num w:numId="37">
    <w:abstractNumId w:val="57"/>
  </w:num>
  <w:num w:numId="38">
    <w:abstractNumId w:val="23"/>
  </w:num>
  <w:num w:numId="39">
    <w:abstractNumId w:val="61"/>
  </w:num>
  <w:num w:numId="40">
    <w:abstractNumId w:val="26"/>
  </w:num>
  <w:num w:numId="41">
    <w:abstractNumId w:val="67"/>
  </w:num>
  <w:num w:numId="42">
    <w:abstractNumId w:val="60"/>
  </w:num>
  <w:num w:numId="43">
    <w:abstractNumId w:val="45"/>
  </w:num>
  <w:num w:numId="44">
    <w:abstractNumId w:val="56"/>
  </w:num>
  <w:num w:numId="45">
    <w:abstractNumId w:val="32"/>
  </w:num>
  <w:num w:numId="46">
    <w:abstractNumId w:val="46"/>
  </w:num>
  <w:num w:numId="47">
    <w:abstractNumId w:val="4"/>
  </w:num>
  <w:num w:numId="48">
    <w:abstractNumId w:val="28"/>
  </w:num>
  <w:num w:numId="49">
    <w:abstractNumId w:val="54"/>
  </w:num>
  <w:num w:numId="50">
    <w:abstractNumId w:val="12"/>
  </w:num>
  <w:num w:numId="51">
    <w:abstractNumId w:val="16"/>
  </w:num>
  <w:num w:numId="52">
    <w:abstractNumId w:val="21"/>
  </w:num>
  <w:num w:numId="53">
    <w:abstractNumId w:val="44"/>
  </w:num>
  <w:num w:numId="54">
    <w:abstractNumId w:val="17"/>
  </w:num>
  <w:num w:numId="55">
    <w:abstractNumId w:val="43"/>
  </w:num>
  <w:num w:numId="56">
    <w:abstractNumId w:val="19"/>
  </w:num>
  <w:num w:numId="57">
    <w:abstractNumId w:val="2"/>
  </w:num>
  <w:num w:numId="58">
    <w:abstractNumId w:val="35"/>
  </w:num>
  <w:num w:numId="59">
    <w:abstractNumId w:val="1"/>
  </w:num>
  <w:num w:numId="60">
    <w:abstractNumId w:val="37"/>
  </w:num>
  <w:num w:numId="61">
    <w:abstractNumId w:val="3"/>
  </w:num>
  <w:num w:numId="62">
    <w:abstractNumId w:val="63"/>
  </w:num>
  <w:num w:numId="63">
    <w:abstractNumId w:val="34"/>
  </w:num>
  <w:num w:numId="64">
    <w:abstractNumId w:val="18"/>
  </w:num>
  <w:num w:numId="65">
    <w:abstractNumId w:val="68"/>
  </w:num>
  <w:num w:numId="66">
    <w:abstractNumId w:val="33"/>
  </w:num>
  <w:num w:numId="67">
    <w:abstractNumId w:val="27"/>
  </w:num>
  <w:num w:numId="68">
    <w:abstractNumId w:val="64"/>
  </w:num>
  <w:num w:numId="69">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de-DE" w:vendorID="64" w:dllVersion="6" w:nlCheck="1" w:checkStyle="0"/>
  <w:activeWritingStyle w:appName="MSWord" w:lang="fr-B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s-ES" w:vendorID="64" w:dllVersion="131078" w:nlCheck="1" w:checkStyle="0"/>
  <w:revisionView w:markup="0"/>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0742A0B-FBC6-4346-A83A-BB9870BADCFE"/>
    <w:docVar w:name="LW_COVERPAGE_TYPE" w:val="1"/>
    <w:docVar w:name="LW_CROSSREFERENCE" w:val="&lt;UNUSED&gt;"/>
    <w:docVar w:name="LW_DocType" w:val="NORMAL"/>
    <w:docVar w:name="LW_EMISSION" w:val="14.4.2023"/>
    <w:docVar w:name="LW_EMISSION_ISODATE" w:val="2023-04-14"/>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1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actuarial balance of the Pension Scheme for EU Officials (PSEO) and the budgetary implications of Annex XII to the Staff Regulations"/>
    <w:docVar w:name="LW_TYPE.DOC.CP" w:val="REPORT FROM THE COMMISSION TO THE EUROPEAN PARLIAMENT AND THE COUNCIL"/>
    <w:docVar w:name="LwApiVersions" w:val="LW4CoDe 1.23.2.0; LW 8.0, Build 20211117"/>
  </w:docVars>
  <w:rsids>
    <w:rsidRoot w:val="0070644B"/>
    <w:rsid w:val="00000D24"/>
    <w:rsid w:val="00001277"/>
    <w:rsid w:val="0001147A"/>
    <w:rsid w:val="00011D44"/>
    <w:rsid w:val="000129BF"/>
    <w:rsid w:val="00012D25"/>
    <w:rsid w:val="00012FA5"/>
    <w:rsid w:val="00021C45"/>
    <w:rsid w:val="000248E0"/>
    <w:rsid w:val="00026DC5"/>
    <w:rsid w:val="000305CE"/>
    <w:rsid w:val="000305D0"/>
    <w:rsid w:val="00030AD1"/>
    <w:rsid w:val="00030D46"/>
    <w:rsid w:val="00031079"/>
    <w:rsid w:val="000356C7"/>
    <w:rsid w:val="00040B7E"/>
    <w:rsid w:val="00041A6B"/>
    <w:rsid w:val="00044D7F"/>
    <w:rsid w:val="000462A3"/>
    <w:rsid w:val="00046642"/>
    <w:rsid w:val="00047958"/>
    <w:rsid w:val="0005074F"/>
    <w:rsid w:val="00051547"/>
    <w:rsid w:val="00054569"/>
    <w:rsid w:val="00061774"/>
    <w:rsid w:val="000638C1"/>
    <w:rsid w:val="0006513B"/>
    <w:rsid w:val="00070672"/>
    <w:rsid w:val="00072F73"/>
    <w:rsid w:val="00073A43"/>
    <w:rsid w:val="000818C3"/>
    <w:rsid w:val="000929DD"/>
    <w:rsid w:val="0009462B"/>
    <w:rsid w:val="00095A6D"/>
    <w:rsid w:val="000A1DEE"/>
    <w:rsid w:val="000B07C3"/>
    <w:rsid w:val="000B1259"/>
    <w:rsid w:val="000B2CA9"/>
    <w:rsid w:val="000B4EAD"/>
    <w:rsid w:val="000B61AB"/>
    <w:rsid w:val="000C42A4"/>
    <w:rsid w:val="000C4C33"/>
    <w:rsid w:val="000C62AA"/>
    <w:rsid w:val="000D0BE4"/>
    <w:rsid w:val="000D2120"/>
    <w:rsid w:val="000D6F08"/>
    <w:rsid w:val="000E0D57"/>
    <w:rsid w:val="000E3D3C"/>
    <w:rsid w:val="000E4139"/>
    <w:rsid w:val="000E521A"/>
    <w:rsid w:val="000E65E9"/>
    <w:rsid w:val="000F08E7"/>
    <w:rsid w:val="000F148E"/>
    <w:rsid w:val="000F2AEE"/>
    <w:rsid w:val="000F33C7"/>
    <w:rsid w:val="000F350B"/>
    <w:rsid w:val="000F506F"/>
    <w:rsid w:val="000F60B0"/>
    <w:rsid w:val="000F6DF5"/>
    <w:rsid w:val="00101C2E"/>
    <w:rsid w:val="00102DA9"/>
    <w:rsid w:val="001067C1"/>
    <w:rsid w:val="001067EE"/>
    <w:rsid w:val="00113037"/>
    <w:rsid w:val="00120A73"/>
    <w:rsid w:val="0012373F"/>
    <w:rsid w:val="001239AE"/>
    <w:rsid w:val="00125479"/>
    <w:rsid w:val="0013386C"/>
    <w:rsid w:val="00137492"/>
    <w:rsid w:val="001400FD"/>
    <w:rsid w:val="00142202"/>
    <w:rsid w:val="00150253"/>
    <w:rsid w:val="001533E5"/>
    <w:rsid w:val="001560F3"/>
    <w:rsid w:val="001609D0"/>
    <w:rsid w:val="00164B5D"/>
    <w:rsid w:val="001654A4"/>
    <w:rsid w:val="00165AA0"/>
    <w:rsid w:val="00166AB8"/>
    <w:rsid w:val="00170470"/>
    <w:rsid w:val="001708E5"/>
    <w:rsid w:val="001727B1"/>
    <w:rsid w:val="00177B83"/>
    <w:rsid w:val="00181953"/>
    <w:rsid w:val="0018231C"/>
    <w:rsid w:val="001827F3"/>
    <w:rsid w:val="00182CB7"/>
    <w:rsid w:val="00182DE8"/>
    <w:rsid w:val="00186D74"/>
    <w:rsid w:val="00187268"/>
    <w:rsid w:val="001918A3"/>
    <w:rsid w:val="00194F63"/>
    <w:rsid w:val="001A4A42"/>
    <w:rsid w:val="001A515A"/>
    <w:rsid w:val="001A53E3"/>
    <w:rsid w:val="001A5E4B"/>
    <w:rsid w:val="001B1BB1"/>
    <w:rsid w:val="001B4024"/>
    <w:rsid w:val="001B5F68"/>
    <w:rsid w:val="001C262E"/>
    <w:rsid w:val="001C29C6"/>
    <w:rsid w:val="001C5569"/>
    <w:rsid w:val="001C721C"/>
    <w:rsid w:val="001D1288"/>
    <w:rsid w:val="001D3B47"/>
    <w:rsid w:val="001E1CB4"/>
    <w:rsid w:val="001E4CC3"/>
    <w:rsid w:val="001E59FD"/>
    <w:rsid w:val="001F2470"/>
    <w:rsid w:val="001F3D6B"/>
    <w:rsid w:val="001F3F71"/>
    <w:rsid w:val="001F6152"/>
    <w:rsid w:val="001F75FD"/>
    <w:rsid w:val="001F7607"/>
    <w:rsid w:val="002014F8"/>
    <w:rsid w:val="00203BCB"/>
    <w:rsid w:val="00203C8F"/>
    <w:rsid w:val="00206D95"/>
    <w:rsid w:val="00211A62"/>
    <w:rsid w:val="00213B0B"/>
    <w:rsid w:val="0021496F"/>
    <w:rsid w:val="0021534F"/>
    <w:rsid w:val="00215EE8"/>
    <w:rsid w:val="00221A1B"/>
    <w:rsid w:val="00223D8F"/>
    <w:rsid w:val="00224912"/>
    <w:rsid w:val="00226EF9"/>
    <w:rsid w:val="002303DF"/>
    <w:rsid w:val="0023427D"/>
    <w:rsid w:val="00234355"/>
    <w:rsid w:val="00235A72"/>
    <w:rsid w:val="002361FB"/>
    <w:rsid w:val="00237111"/>
    <w:rsid w:val="002402EC"/>
    <w:rsid w:val="0024045E"/>
    <w:rsid w:val="00242E40"/>
    <w:rsid w:val="00243BF9"/>
    <w:rsid w:val="00243F15"/>
    <w:rsid w:val="00243FA3"/>
    <w:rsid w:val="00246247"/>
    <w:rsid w:val="00246C5F"/>
    <w:rsid w:val="00246E42"/>
    <w:rsid w:val="00247C73"/>
    <w:rsid w:val="00250187"/>
    <w:rsid w:val="0025387E"/>
    <w:rsid w:val="00253CA6"/>
    <w:rsid w:val="00257BBF"/>
    <w:rsid w:val="00271C24"/>
    <w:rsid w:val="00275427"/>
    <w:rsid w:val="00276551"/>
    <w:rsid w:val="00280743"/>
    <w:rsid w:val="002807B9"/>
    <w:rsid w:val="002820DE"/>
    <w:rsid w:val="00282CD7"/>
    <w:rsid w:val="0029024C"/>
    <w:rsid w:val="00290E50"/>
    <w:rsid w:val="00291B4B"/>
    <w:rsid w:val="002926EA"/>
    <w:rsid w:val="00293FC0"/>
    <w:rsid w:val="00295124"/>
    <w:rsid w:val="0029544F"/>
    <w:rsid w:val="002971DD"/>
    <w:rsid w:val="002A411D"/>
    <w:rsid w:val="002A6558"/>
    <w:rsid w:val="002B24B4"/>
    <w:rsid w:val="002B293B"/>
    <w:rsid w:val="002B33C2"/>
    <w:rsid w:val="002B3BCB"/>
    <w:rsid w:val="002B6618"/>
    <w:rsid w:val="002B6F15"/>
    <w:rsid w:val="002C08E8"/>
    <w:rsid w:val="002C44F6"/>
    <w:rsid w:val="002C48A8"/>
    <w:rsid w:val="002C531C"/>
    <w:rsid w:val="002C6029"/>
    <w:rsid w:val="002C6396"/>
    <w:rsid w:val="002D3D05"/>
    <w:rsid w:val="002E269F"/>
    <w:rsid w:val="002E61D0"/>
    <w:rsid w:val="002E773A"/>
    <w:rsid w:val="002F26B0"/>
    <w:rsid w:val="002F27B7"/>
    <w:rsid w:val="002F6C02"/>
    <w:rsid w:val="003002B4"/>
    <w:rsid w:val="00301274"/>
    <w:rsid w:val="003033DA"/>
    <w:rsid w:val="00305B1B"/>
    <w:rsid w:val="00305CC5"/>
    <w:rsid w:val="0031117F"/>
    <w:rsid w:val="003127A9"/>
    <w:rsid w:val="00313B09"/>
    <w:rsid w:val="003147A6"/>
    <w:rsid w:val="0031495A"/>
    <w:rsid w:val="003161D6"/>
    <w:rsid w:val="003208C8"/>
    <w:rsid w:val="00320C73"/>
    <w:rsid w:val="00322EB4"/>
    <w:rsid w:val="0032680D"/>
    <w:rsid w:val="00327094"/>
    <w:rsid w:val="00331D2F"/>
    <w:rsid w:val="0034271D"/>
    <w:rsid w:val="003437BD"/>
    <w:rsid w:val="00343E5B"/>
    <w:rsid w:val="00347903"/>
    <w:rsid w:val="00351206"/>
    <w:rsid w:val="00351DA5"/>
    <w:rsid w:val="003531D2"/>
    <w:rsid w:val="00357560"/>
    <w:rsid w:val="003603C2"/>
    <w:rsid w:val="00362E4C"/>
    <w:rsid w:val="00364961"/>
    <w:rsid w:val="00366823"/>
    <w:rsid w:val="00372D3D"/>
    <w:rsid w:val="0037374E"/>
    <w:rsid w:val="00374D7E"/>
    <w:rsid w:val="00375ABF"/>
    <w:rsid w:val="00375F4D"/>
    <w:rsid w:val="0037668C"/>
    <w:rsid w:val="00376867"/>
    <w:rsid w:val="003769D0"/>
    <w:rsid w:val="00383AC3"/>
    <w:rsid w:val="003876BC"/>
    <w:rsid w:val="003924D3"/>
    <w:rsid w:val="00393E44"/>
    <w:rsid w:val="00394306"/>
    <w:rsid w:val="00396F48"/>
    <w:rsid w:val="003A0036"/>
    <w:rsid w:val="003A053A"/>
    <w:rsid w:val="003A29C5"/>
    <w:rsid w:val="003A29F6"/>
    <w:rsid w:val="003A4CA7"/>
    <w:rsid w:val="003A5DE1"/>
    <w:rsid w:val="003A5F02"/>
    <w:rsid w:val="003B5FFF"/>
    <w:rsid w:val="003C1BFB"/>
    <w:rsid w:val="003C4CCC"/>
    <w:rsid w:val="003C57EF"/>
    <w:rsid w:val="003C5A3A"/>
    <w:rsid w:val="003C6600"/>
    <w:rsid w:val="003C67C2"/>
    <w:rsid w:val="003D1BB0"/>
    <w:rsid w:val="003D5D36"/>
    <w:rsid w:val="003E1CBC"/>
    <w:rsid w:val="003E2329"/>
    <w:rsid w:val="003E2540"/>
    <w:rsid w:val="003E4302"/>
    <w:rsid w:val="003E486C"/>
    <w:rsid w:val="003E59C8"/>
    <w:rsid w:val="003E5F8D"/>
    <w:rsid w:val="003E603C"/>
    <w:rsid w:val="003E729D"/>
    <w:rsid w:val="003E7742"/>
    <w:rsid w:val="003E7D5F"/>
    <w:rsid w:val="003F15AD"/>
    <w:rsid w:val="003F2CE8"/>
    <w:rsid w:val="0040419E"/>
    <w:rsid w:val="00405463"/>
    <w:rsid w:val="00405FFA"/>
    <w:rsid w:val="00407C5D"/>
    <w:rsid w:val="00413557"/>
    <w:rsid w:val="0041381D"/>
    <w:rsid w:val="00414EA3"/>
    <w:rsid w:val="004164CF"/>
    <w:rsid w:val="004172F2"/>
    <w:rsid w:val="00417668"/>
    <w:rsid w:val="00420BAB"/>
    <w:rsid w:val="00421057"/>
    <w:rsid w:val="00421426"/>
    <w:rsid w:val="00421F9B"/>
    <w:rsid w:val="004231E0"/>
    <w:rsid w:val="0042375C"/>
    <w:rsid w:val="00425B07"/>
    <w:rsid w:val="00426457"/>
    <w:rsid w:val="00426BA4"/>
    <w:rsid w:val="00432B3F"/>
    <w:rsid w:val="004358AC"/>
    <w:rsid w:val="00436965"/>
    <w:rsid w:val="00441E10"/>
    <w:rsid w:val="00442561"/>
    <w:rsid w:val="00443062"/>
    <w:rsid w:val="00445606"/>
    <w:rsid w:val="00446505"/>
    <w:rsid w:val="004503F7"/>
    <w:rsid w:val="00452663"/>
    <w:rsid w:val="004541F5"/>
    <w:rsid w:val="0045771E"/>
    <w:rsid w:val="0046031E"/>
    <w:rsid w:val="0046050C"/>
    <w:rsid w:val="00463FC4"/>
    <w:rsid w:val="00466861"/>
    <w:rsid w:val="00470F2F"/>
    <w:rsid w:val="00472D7C"/>
    <w:rsid w:val="00474494"/>
    <w:rsid w:val="004745C7"/>
    <w:rsid w:val="00475EF2"/>
    <w:rsid w:val="00476139"/>
    <w:rsid w:val="00480B70"/>
    <w:rsid w:val="0048234E"/>
    <w:rsid w:val="0048238D"/>
    <w:rsid w:val="0048282D"/>
    <w:rsid w:val="0048671A"/>
    <w:rsid w:val="00486A62"/>
    <w:rsid w:val="00490CF7"/>
    <w:rsid w:val="00491F11"/>
    <w:rsid w:val="004A05AA"/>
    <w:rsid w:val="004A0B1B"/>
    <w:rsid w:val="004A1CF2"/>
    <w:rsid w:val="004A252E"/>
    <w:rsid w:val="004A36ED"/>
    <w:rsid w:val="004A3CB5"/>
    <w:rsid w:val="004A6C82"/>
    <w:rsid w:val="004B1EF1"/>
    <w:rsid w:val="004B2E80"/>
    <w:rsid w:val="004B4EC1"/>
    <w:rsid w:val="004B64A2"/>
    <w:rsid w:val="004B7B46"/>
    <w:rsid w:val="004C57ED"/>
    <w:rsid w:val="004C7675"/>
    <w:rsid w:val="004D1A6F"/>
    <w:rsid w:val="004D369F"/>
    <w:rsid w:val="004D5F5F"/>
    <w:rsid w:val="004D7B1B"/>
    <w:rsid w:val="004E5A7E"/>
    <w:rsid w:val="004E7C47"/>
    <w:rsid w:val="004F216F"/>
    <w:rsid w:val="004F3F4F"/>
    <w:rsid w:val="004F43AF"/>
    <w:rsid w:val="004F611F"/>
    <w:rsid w:val="004F6E65"/>
    <w:rsid w:val="004F7920"/>
    <w:rsid w:val="0050056F"/>
    <w:rsid w:val="0050079F"/>
    <w:rsid w:val="00500B95"/>
    <w:rsid w:val="005015B4"/>
    <w:rsid w:val="00502CC1"/>
    <w:rsid w:val="005072A4"/>
    <w:rsid w:val="005118B1"/>
    <w:rsid w:val="00511B6F"/>
    <w:rsid w:val="0051330D"/>
    <w:rsid w:val="005134FD"/>
    <w:rsid w:val="00514DAA"/>
    <w:rsid w:val="00515559"/>
    <w:rsid w:val="00517695"/>
    <w:rsid w:val="00521419"/>
    <w:rsid w:val="005219CD"/>
    <w:rsid w:val="00534BE1"/>
    <w:rsid w:val="0053507C"/>
    <w:rsid w:val="00536F4A"/>
    <w:rsid w:val="00542296"/>
    <w:rsid w:val="00551C4F"/>
    <w:rsid w:val="005553F1"/>
    <w:rsid w:val="00557150"/>
    <w:rsid w:val="005571E8"/>
    <w:rsid w:val="005601E8"/>
    <w:rsid w:val="00563FDE"/>
    <w:rsid w:val="00577E63"/>
    <w:rsid w:val="00581549"/>
    <w:rsid w:val="00587A89"/>
    <w:rsid w:val="005938E4"/>
    <w:rsid w:val="00597599"/>
    <w:rsid w:val="005A1045"/>
    <w:rsid w:val="005A10F3"/>
    <w:rsid w:val="005A1DEB"/>
    <w:rsid w:val="005A3FD4"/>
    <w:rsid w:val="005A4C74"/>
    <w:rsid w:val="005A6B1D"/>
    <w:rsid w:val="005B0788"/>
    <w:rsid w:val="005B0871"/>
    <w:rsid w:val="005B5B33"/>
    <w:rsid w:val="005B5CB4"/>
    <w:rsid w:val="005B69BE"/>
    <w:rsid w:val="005B7E88"/>
    <w:rsid w:val="005C1865"/>
    <w:rsid w:val="005C19A0"/>
    <w:rsid w:val="005C212B"/>
    <w:rsid w:val="005C26C5"/>
    <w:rsid w:val="005C277C"/>
    <w:rsid w:val="005C2E13"/>
    <w:rsid w:val="005C326F"/>
    <w:rsid w:val="005C3A4F"/>
    <w:rsid w:val="005C3CAE"/>
    <w:rsid w:val="005C3EA1"/>
    <w:rsid w:val="005D0331"/>
    <w:rsid w:val="005D6694"/>
    <w:rsid w:val="005D7EA7"/>
    <w:rsid w:val="005E116A"/>
    <w:rsid w:val="005E3A8E"/>
    <w:rsid w:val="005E55EE"/>
    <w:rsid w:val="005F0066"/>
    <w:rsid w:val="005F1674"/>
    <w:rsid w:val="005F21C2"/>
    <w:rsid w:val="005F34A9"/>
    <w:rsid w:val="00606A71"/>
    <w:rsid w:val="00610E5E"/>
    <w:rsid w:val="006113BA"/>
    <w:rsid w:val="0061159D"/>
    <w:rsid w:val="00612B08"/>
    <w:rsid w:val="006176C6"/>
    <w:rsid w:val="00617D8F"/>
    <w:rsid w:val="00621556"/>
    <w:rsid w:val="00622182"/>
    <w:rsid w:val="00622422"/>
    <w:rsid w:val="006225E1"/>
    <w:rsid w:val="00622D0D"/>
    <w:rsid w:val="00622DE2"/>
    <w:rsid w:val="00624484"/>
    <w:rsid w:val="00624A98"/>
    <w:rsid w:val="00626772"/>
    <w:rsid w:val="00627321"/>
    <w:rsid w:val="0063141D"/>
    <w:rsid w:val="0064268C"/>
    <w:rsid w:val="00650B89"/>
    <w:rsid w:val="006538D7"/>
    <w:rsid w:val="0065667C"/>
    <w:rsid w:val="00660B87"/>
    <w:rsid w:val="0066242E"/>
    <w:rsid w:val="00663FA9"/>
    <w:rsid w:val="00665322"/>
    <w:rsid w:val="00667A4A"/>
    <w:rsid w:val="0067475F"/>
    <w:rsid w:val="006751BE"/>
    <w:rsid w:val="0067542B"/>
    <w:rsid w:val="006802A9"/>
    <w:rsid w:val="006817D0"/>
    <w:rsid w:val="00681A12"/>
    <w:rsid w:val="006822F7"/>
    <w:rsid w:val="00682AA9"/>
    <w:rsid w:val="00682B1D"/>
    <w:rsid w:val="0068346D"/>
    <w:rsid w:val="00686F0B"/>
    <w:rsid w:val="00687AD7"/>
    <w:rsid w:val="006908EB"/>
    <w:rsid w:val="006911BD"/>
    <w:rsid w:val="0069414C"/>
    <w:rsid w:val="006A369F"/>
    <w:rsid w:val="006A438C"/>
    <w:rsid w:val="006A55C0"/>
    <w:rsid w:val="006A7AC6"/>
    <w:rsid w:val="006B2DE0"/>
    <w:rsid w:val="006B51EB"/>
    <w:rsid w:val="006B525D"/>
    <w:rsid w:val="006D1CEF"/>
    <w:rsid w:val="006D2DD2"/>
    <w:rsid w:val="006D3C09"/>
    <w:rsid w:val="006D49A2"/>
    <w:rsid w:val="006D49CF"/>
    <w:rsid w:val="006E24EE"/>
    <w:rsid w:val="006E567E"/>
    <w:rsid w:val="006F3888"/>
    <w:rsid w:val="006F3C90"/>
    <w:rsid w:val="006F5B1D"/>
    <w:rsid w:val="007015ED"/>
    <w:rsid w:val="00701CE3"/>
    <w:rsid w:val="00703B5B"/>
    <w:rsid w:val="00703C2F"/>
    <w:rsid w:val="007063D7"/>
    <w:rsid w:val="0070644B"/>
    <w:rsid w:val="00710FFA"/>
    <w:rsid w:val="007112B1"/>
    <w:rsid w:val="007114BA"/>
    <w:rsid w:val="00713642"/>
    <w:rsid w:val="00715297"/>
    <w:rsid w:val="0071534E"/>
    <w:rsid w:val="007173AC"/>
    <w:rsid w:val="00717C59"/>
    <w:rsid w:val="007209FA"/>
    <w:rsid w:val="00721DB2"/>
    <w:rsid w:val="00726F26"/>
    <w:rsid w:val="00726FC0"/>
    <w:rsid w:val="00733C0A"/>
    <w:rsid w:val="00736C95"/>
    <w:rsid w:val="00742D95"/>
    <w:rsid w:val="00746295"/>
    <w:rsid w:val="00750CC0"/>
    <w:rsid w:val="007517C9"/>
    <w:rsid w:val="007518FE"/>
    <w:rsid w:val="00763E26"/>
    <w:rsid w:val="00775EEF"/>
    <w:rsid w:val="007777F6"/>
    <w:rsid w:val="00780A8E"/>
    <w:rsid w:val="00780C03"/>
    <w:rsid w:val="0078186A"/>
    <w:rsid w:val="00782BB5"/>
    <w:rsid w:val="00782E2A"/>
    <w:rsid w:val="0078505C"/>
    <w:rsid w:val="007865AC"/>
    <w:rsid w:val="00787B44"/>
    <w:rsid w:val="007906B2"/>
    <w:rsid w:val="0079177D"/>
    <w:rsid w:val="0079348E"/>
    <w:rsid w:val="0079555D"/>
    <w:rsid w:val="00795C40"/>
    <w:rsid w:val="00796F62"/>
    <w:rsid w:val="007A02CC"/>
    <w:rsid w:val="007A18BC"/>
    <w:rsid w:val="007A4CB9"/>
    <w:rsid w:val="007A6208"/>
    <w:rsid w:val="007A69AA"/>
    <w:rsid w:val="007A7226"/>
    <w:rsid w:val="007B25DC"/>
    <w:rsid w:val="007B35E3"/>
    <w:rsid w:val="007B7557"/>
    <w:rsid w:val="007C1B08"/>
    <w:rsid w:val="007C23AA"/>
    <w:rsid w:val="007C23C1"/>
    <w:rsid w:val="007C41E3"/>
    <w:rsid w:val="007C51C5"/>
    <w:rsid w:val="007C7A2B"/>
    <w:rsid w:val="007D30CE"/>
    <w:rsid w:val="007D32CC"/>
    <w:rsid w:val="007D7B37"/>
    <w:rsid w:val="007E07D7"/>
    <w:rsid w:val="007E2BCD"/>
    <w:rsid w:val="007E31F0"/>
    <w:rsid w:val="007E350C"/>
    <w:rsid w:val="007E53F7"/>
    <w:rsid w:val="007E62D4"/>
    <w:rsid w:val="007E6FC3"/>
    <w:rsid w:val="007F608D"/>
    <w:rsid w:val="00801BDC"/>
    <w:rsid w:val="0080292B"/>
    <w:rsid w:val="00803025"/>
    <w:rsid w:val="00805876"/>
    <w:rsid w:val="00805D29"/>
    <w:rsid w:val="008111A7"/>
    <w:rsid w:val="00812217"/>
    <w:rsid w:val="008157D6"/>
    <w:rsid w:val="00816B54"/>
    <w:rsid w:val="0082049C"/>
    <w:rsid w:val="00820748"/>
    <w:rsid w:val="00821296"/>
    <w:rsid w:val="0082207B"/>
    <w:rsid w:val="00824145"/>
    <w:rsid w:val="00826EF7"/>
    <w:rsid w:val="00827D88"/>
    <w:rsid w:val="008320B2"/>
    <w:rsid w:val="008320B7"/>
    <w:rsid w:val="00832B65"/>
    <w:rsid w:val="00834917"/>
    <w:rsid w:val="00837F67"/>
    <w:rsid w:val="00845A04"/>
    <w:rsid w:val="00852FB7"/>
    <w:rsid w:val="00854339"/>
    <w:rsid w:val="008556C0"/>
    <w:rsid w:val="00856469"/>
    <w:rsid w:val="00856BDF"/>
    <w:rsid w:val="00856E1D"/>
    <w:rsid w:val="0085708D"/>
    <w:rsid w:val="00860082"/>
    <w:rsid w:val="0086065C"/>
    <w:rsid w:val="00860A18"/>
    <w:rsid w:val="008651C8"/>
    <w:rsid w:val="00865AA0"/>
    <w:rsid w:val="00867B57"/>
    <w:rsid w:val="00867EC9"/>
    <w:rsid w:val="008708F9"/>
    <w:rsid w:val="0087112B"/>
    <w:rsid w:val="0088125A"/>
    <w:rsid w:val="008862D4"/>
    <w:rsid w:val="0088797F"/>
    <w:rsid w:val="008900E3"/>
    <w:rsid w:val="008901D5"/>
    <w:rsid w:val="00891264"/>
    <w:rsid w:val="00892236"/>
    <w:rsid w:val="00895034"/>
    <w:rsid w:val="00895359"/>
    <w:rsid w:val="00895E40"/>
    <w:rsid w:val="00897D5B"/>
    <w:rsid w:val="008A1C22"/>
    <w:rsid w:val="008B0A4B"/>
    <w:rsid w:val="008C26FD"/>
    <w:rsid w:val="008C4115"/>
    <w:rsid w:val="008C77CF"/>
    <w:rsid w:val="008D0721"/>
    <w:rsid w:val="008D08F5"/>
    <w:rsid w:val="008D353C"/>
    <w:rsid w:val="008D49FA"/>
    <w:rsid w:val="008D4D38"/>
    <w:rsid w:val="008E0244"/>
    <w:rsid w:val="008E426C"/>
    <w:rsid w:val="008E5131"/>
    <w:rsid w:val="008E7312"/>
    <w:rsid w:val="008F03D8"/>
    <w:rsid w:val="008F0E4D"/>
    <w:rsid w:val="008F1277"/>
    <w:rsid w:val="008F1585"/>
    <w:rsid w:val="008F2A4E"/>
    <w:rsid w:val="008F4684"/>
    <w:rsid w:val="008F5E2F"/>
    <w:rsid w:val="008F67BE"/>
    <w:rsid w:val="00901B23"/>
    <w:rsid w:val="0090216F"/>
    <w:rsid w:val="00904349"/>
    <w:rsid w:val="00904533"/>
    <w:rsid w:val="00904C3F"/>
    <w:rsid w:val="00904CDB"/>
    <w:rsid w:val="00905C2D"/>
    <w:rsid w:val="009077C6"/>
    <w:rsid w:val="009112F5"/>
    <w:rsid w:val="0091187F"/>
    <w:rsid w:val="00914774"/>
    <w:rsid w:val="00915FF6"/>
    <w:rsid w:val="00923487"/>
    <w:rsid w:val="00923653"/>
    <w:rsid w:val="00924775"/>
    <w:rsid w:val="009256E2"/>
    <w:rsid w:val="009308A1"/>
    <w:rsid w:val="00930D62"/>
    <w:rsid w:val="00931B3F"/>
    <w:rsid w:val="0093445A"/>
    <w:rsid w:val="009403D8"/>
    <w:rsid w:val="00943668"/>
    <w:rsid w:val="00947577"/>
    <w:rsid w:val="00950485"/>
    <w:rsid w:val="00952315"/>
    <w:rsid w:val="00954FE9"/>
    <w:rsid w:val="00961D2D"/>
    <w:rsid w:val="00962E23"/>
    <w:rsid w:val="00963C2C"/>
    <w:rsid w:val="0096468B"/>
    <w:rsid w:val="0096600A"/>
    <w:rsid w:val="0096741F"/>
    <w:rsid w:val="009701D6"/>
    <w:rsid w:val="00975F21"/>
    <w:rsid w:val="0097716F"/>
    <w:rsid w:val="009802F4"/>
    <w:rsid w:val="0098055D"/>
    <w:rsid w:val="00981893"/>
    <w:rsid w:val="00982A05"/>
    <w:rsid w:val="0098404D"/>
    <w:rsid w:val="0098404F"/>
    <w:rsid w:val="009859C9"/>
    <w:rsid w:val="00986C20"/>
    <w:rsid w:val="0099040E"/>
    <w:rsid w:val="00991B9B"/>
    <w:rsid w:val="00993AF4"/>
    <w:rsid w:val="00995132"/>
    <w:rsid w:val="00997BB3"/>
    <w:rsid w:val="009A350A"/>
    <w:rsid w:val="009A3774"/>
    <w:rsid w:val="009B2583"/>
    <w:rsid w:val="009B3D01"/>
    <w:rsid w:val="009B4E04"/>
    <w:rsid w:val="009B59F0"/>
    <w:rsid w:val="009C3623"/>
    <w:rsid w:val="009C5089"/>
    <w:rsid w:val="009C67C5"/>
    <w:rsid w:val="009C6F8F"/>
    <w:rsid w:val="009D2E32"/>
    <w:rsid w:val="009D5924"/>
    <w:rsid w:val="009E07FC"/>
    <w:rsid w:val="009E660F"/>
    <w:rsid w:val="009E7723"/>
    <w:rsid w:val="009F0A1B"/>
    <w:rsid w:val="009F1DEE"/>
    <w:rsid w:val="009F4145"/>
    <w:rsid w:val="009F4713"/>
    <w:rsid w:val="009F6093"/>
    <w:rsid w:val="009F6968"/>
    <w:rsid w:val="009F6F90"/>
    <w:rsid w:val="00A03FA9"/>
    <w:rsid w:val="00A06FFB"/>
    <w:rsid w:val="00A12E9A"/>
    <w:rsid w:val="00A15F95"/>
    <w:rsid w:val="00A179D6"/>
    <w:rsid w:val="00A205B0"/>
    <w:rsid w:val="00A226DA"/>
    <w:rsid w:val="00A2413E"/>
    <w:rsid w:val="00A241A2"/>
    <w:rsid w:val="00A24494"/>
    <w:rsid w:val="00A25112"/>
    <w:rsid w:val="00A26C01"/>
    <w:rsid w:val="00A26E40"/>
    <w:rsid w:val="00A33F78"/>
    <w:rsid w:val="00A352A1"/>
    <w:rsid w:val="00A40768"/>
    <w:rsid w:val="00A41D09"/>
    <w:rsid w:val="00A41D81"/>
    <w:rsid w:val="00A4577F"/>
    <w:rsid w:val="00A50102"/>
    <w:rsid w:val="00A509A4"/>
    <w:rsid w:val="00A54B61"/>
    <w:rsid w:val="00A56AEF"/>
    <w:rsid w:val="00A576B3"/>
    <w:rsid w:val="00A62BF5"/>
    <w:rsid w:val="00A638D2"/>
    <w:rsid w:val="00A6447D"/>
    <w:rsid w:val="00A64BB1"/>
    <w:rsid w:val="00A65090"/>
    <w:rsid w:val="00A65BF2"/>
    <w:rsid w:val="00A707A5"/>
    <w:rsid w:val="00A75B2C"/>
    <w:rsid w:val="00A8022B"/>
    <w:rsid w:val="00A80E98"/>
    <w:rsid w:val="00A83F72"/>
    <w:rsid w:val="00A84208"/>
    <w:rsid w:val="00A84C8A"/>
    <w:rsid w:val="00A92AD4"/>
    <w:rsid w:val="00A93A2F"/>
    <w:rsid w:val="00A95A45"/>
    <w:rsid w:val="00AA1BBE"/>
    <w:rsid w:val="00AA4CA3"/>
    <w:rsid w:val="00AA59F9"/>
    <w:rsid w:val="00AA5FBB"/>
    <w:rsid w:val="00AA63F5"/>
    <w:rsid w:val="00AA7C6F"/>
    <w:rsid w:val="00AB20C5"/>
    <w:rsid w:val="00AB5F7C"/>
    <w:rsid w:val="00AB712C"/>
    <w:rsid w:val="00AC0062"/>
    <w:rsid w:val="00AC0412"/>
    <w:rsid w:val="00AC2379"/>
    <w:rsid w:val="00AC355A"/>
    <w:rsid w:val="00AC4613"/>
    <w:rsid w:val="00AC4E0F"/>
    <w:rsid w:val="00AC54B3"/>
    <w:rsid w:val="00AC7119"/>
    <w:rsid w:val="00AC7E8B"/>
    <w:rsid w:val="00AD15A9"/>
    <w:rsid w:val="00AD557B"/>
    <w:rsid w:val="00AD57D0"/>
    <w:rsid w:val="00AD62C3"/>
    <w:rsid w:val="00AD6B66"/>
    <w:rsid w:val="00AE06D7"/>
    <w:rsid w:val="00AE1C74"/>
    <w:rsid w:val="00AE4B0F"/>
    <w:rsid w:val="00AE7B65"/>
    <w:rsid w:val="00AE7E61"/>
    <w:rsid w:val="00AF03D4"/>
    <w:rsid w:val="00AF436A"/>
    <w:rsid w:val="00AF4DE7"/>
    <w:rsid w:val="00AF586B"/>
    <w:rsid w:val="00AF5ABD"/>
    <w:rsid w:val="00AF5F01"/>
    <w:rsid w:val="00AF65F2"/>
    <w:rsid w:val="00AF71D1"/>
    <w:rsid w:val="00B022D3"/>
    <w:rsid w:val="00B02B4B"/>
    <w:rsid w:val="00B104D8"/>
    <w:rsid w:val="00B10ACA"/>
    <w:rsid w:val="00B128C7"/>
    <w:rsid w:val="00B14D55"/>
    <w:rsid w:val="00B15ED4"/>
    <w:rsid w:val="00B21121"/>
    <w:rsid w:val="00B222CA"/>
    <w:rsid w:val="00B26BCA"/>
    <w:rsid w:val="00B347AF"/>
    <w:rsid w:val="00B355DD"/>
    <w:rsid w:val="00B35DAA"/>
    <w:rsid w:val="00B376A0"/>
    <w:rsid w:val="00B4032B"/>
    <w:rsid w:val="00B40591"/>
    <w:rsid w:val="00B40715"/>
    <w:rsid w:val="00B44613"/>
    <w:rsid w:val="00B45232"/>
    <w:rsid w:val="00B509FA"/>
    <w:rsid w:val="00B51A51"/>
    <w:rsid w:val="00B53AD8"/>
    <w:rsid w:val="00B5481E"/>
    <w:rsid w:val="00B55012"/>
    <w:rsid w:val="00B61136"/>
    <w:rsid w:val="00B61D64"/>
    <w:rsid w:val="00B64E8E"/>
    <w:rsid w:val="00B65030"/>
    <w:rsid w:val="00B66ADA"/>
    <w:rsid w:val="00B714F9"/>
    <w:rsid w:val="00B717AF"/>
    <w:rsid w:val="00B72F20"/>
    <w:rsid w:val="00B734C9"/>
    <w:rsid w:val="00B73CA6"/>
    <w:rsid w:val="00B744B5"/>
    <w:rsid w:val="00B76A84"/>
    <w:rsid w:val="00B8273D"/>
    <w:rsid w:val="00B845CF"/>
    <w:rsid w:val="00B84CED"/>
    <w:rsid w:val="00B85116"/>
    <w:rsid w:val="00B85A87"/>
    <w:rsid w:val="00B862AB"/>
    <w:rsid w:val="00B87BD2"/>
    <w:rsid w:val="00B908C2"/>
    <w:rsid w:val="00B93A84"/>
    <w:rsid w:val="00B94969"/>
    <w:rsid w:val="00B95104"/>
    <w:rsid w:val="00B969E9"/>
    <w:rsid w:val="00B96BA3"/>
    <w:rsid w:val="00B96EBE"/>
    <w:rsid w:val="00B97405"/>
    <w:rsid w:val="00BA3FC9"/>
    <w:rsid w:val="00BA7810"/>
    <w:rsid w:val="00BB38E3"/>
    <w:rsid w:val="00BB4D7C"/>
    <w:rsid w:val="00BB6AB9"/>
    <w:rsid w:val="00BB75E7"/>
    <w:rsid w:val="00BC141F"/>
    <w:rsid w:val="00BC28E1"/>
    <w:rsid w:val="00BC2D0A"/>
    <w:rsid w:val="00BC459A"/>
    <w:rsid w:val="00BD0A86"/>
    <w:rsid w:val="00BD0C7E"/>
    <w:rsid w:val="00BD32FD"/>
    <w:rsid w:val="00BD4B23"/>
    <w:rsid w:val="00BD5D35"/>
    <w:rsid w:val="00BE3314"/>
    <w:rsid w:val="00BE4DCA"/>
    <w:rsid w:val="00BE6857"/>
    <w:rsid w:val="00BF02DE"/>
    <w:rsid w:val="00BF15F4"/>
    <w:rsid w:val="00BF42A6"/>
    <w:rsid w:val="00BF5569"/>
    <w:rsid w:val="00C00E71"/>
    <w:rsid w:val="00C1712F"/>
    <w:rsid w:val="00C177F4"/>
    <w:rsid w:val="00C240F4"/>
    <w:rsid w:val="00C30EC1"/>
    <w:rsid w:val="00C32628"/>
    <w:rsid w:val="00C32D69"/>
    <w:rsid w:val="00C332C5"/>
    <w:rsid w:val="00C339CE"/>
    <w:rsid w:val="00C34204"/>
    <w:rsid w:val="00C35F9B"/>
    <w:rsid w:val="00C37C6B"/>
    <w:rsid w:val="00C461C2"/>
    <w:rsid w:val="00C51554"/>
    <w:rsid w:val="00C546C1"/>
    <w:rsid w:val="00C55A15"/>
    <w:rsid w:val="00C62FD8"/>
    <w:rsid w:val="00C64304"/>
    <w:rsid w:val="00C64FCA"/>
    <w:rsid w:val="00C7098A"/>
    <w:rsid w:val="00C72619"/>
    <w:rsid w:val="00C72AB9"/>
    <w:rsid w:val="00C74CA8"/>
    <w:rsid w:val="00C757F4"/>
    <w:rsid w:val="00C8027C"/>
    <w:rsid w:val="00C826E5"/>
    <w:rsid w:val="00C837F6"/>
    <w:rsid w:val="00C86DF4"/>
    <w:rsid w:val="00C87E5A"/>
    <w:rsid w:val="00C91F5C"/>
    <w:rsid w:val="00C952A6"/>
    <w:rsid w:val="00C957B1"/>
    <w:rsid w:val="00CA41D2"/>
    <w:rsid w:val="00CA4DAC"/>
    <w:rsid w:val="00CA7A66"/>
    <w:rsid w:val="00CB15EA"/>
    <w:rsid w:val="00CC06F6"/>
    <w:rsid w:val="00CC1551"/>
    <w:rsid w:val="00CC23E8"/>
    <w:rsid w:val="00CC3768"/>
    <w:rsid w:val="00CC5E75"/>
    <w:rsid w:val="00CC6FDA"/>
    <w:rsid w:val="00CD12D0"/>
    <w:rsid w:val="00CD3417"/>
    <w:rsid w:val="00CD4DE6"/>
    <w:rsid w:val="00CE0590"/>
    <w:rsid w:val="00CE4E1B"/>
    <w:rsid w:val="00CE5170"/>
    <w:rsid w:val="00CE5E5C"/>
    <w:rsid w:val="00CE7F6C"/>
    <w:rsid w:val="00CF081F"/>
    <w:rsid w:val="00CF2CB8"/>
    <w:rsid w:val="00CF60E1"/>
    <w:rsid w:val="00CF69B1"/>
    <w:rsid w:val="00CF746F"/>
    <w:rsid w:val="00D01023"/>
    <w:rsid w:val="00D017FB"/>
    <w:rsid w:val="00D02347"/>
    <w:rsid w:val="00D026D9"/>
    <w:rsid w:val="00D046AC"/>
    <w:rsid w:val="00D0535B"/>
    <w:rsid w:val="00D05710"/>
    <w:rsid w:val="00D061A3"/>
    <w:rsid w:val="00D06E91"/>
    <w:rsid w:val="00D06F56"/>
    <w:rsid w:val="00D136FA"/>
    <w:rsid w:val="00D23F9C"/>
    <w:rsid w:val="00D24148"/>
    <w:rsid w:val="00D331F5"/>
    <w:rsid w:val="00D3369F"/>
    <w:rsid w:val="00D35A3A"/>
    <w:rsid w:val="00D37538"/>
    <w:rsid w:val="00D40143"/>
    <w:rsid w:val="00D43482"/>
    <w:rsid w:val="00D53E8D"/>
    <w:rsid w:val="00D561BC"/>
    <w:rsid w:val="00D563E6"/>
    <w:rsid w:val="00D63499"/>
    <w:rsid w:val="00D64816"/>
    <w:rsid w:val="00D6661E"/>
    <w:rsid w:val="00D676F7"/>
    <w:rsid w:val="00D77361"/>
    <w:rsid w:val="00D8488A"/>
    <w:rsid w:val="00D84C95"/>
    <w:rsid w:val="00D851B6"/>
    <w:rsid w:val="00D95B0A"/>
    <w:rsid w:val="00DA281F"/>
    <w:rsid w:val="00DA2EAC"/>
    <w:rsid w:val="00DA3493"/>
    <w:rsid w:val="00DA7103"/>
    <w:rsid w:val="00DA7381"/>
    <w:rsid w:val="00DB053B"/>
    <w:rsid w:val="00DB053C"/>
    <w:rsid w:val="00DB05D0"/>
    <w:rsid w:val="00DB133F"/>
    <w:rsid w:val="00DB76EB"/>
    <w:rsid w:val="00DC0260"/>
    <w:rsid w:val="00DC1F37"/>
    <w:rsid w:val="00DC348E"/>
    <w:rsid w:val="00DC5B93"/>
    <w:rsid w:val="00DC6FCE"/>
    <w:rsid w:val="00DD617B"/>
    <w:rsid w:val="00DD6C9E"/>
    <w:rsid w:val="00DE1C91"/>
    <w:rsid w:val="00DE27C1"/>
    <w:rsid w:val="00DE3E4B"/>
    <w:rsid w:val="00DE3FD3"/>
    <w:rsid w:val="00DE4C02"/>
    <w:rsid w:val="00DE559A"/>
    <w:rsid w:val="00DE7BF1"/>
    <w:rsid w:val="00DF1F54"/>
    <w:rsid w:val="00DF417A"/>
    <w:rsid w:val="00DF6AEB"/>
    <w:rsid w:val="00E056C6"/>
    <w:rsid w:val="00E06CA6"/>
    <w:rsid w:val="00E10A32"/>
    <w:rsid w:val="00E209BF"/>
    <w:rsid w:val="00E2186E"/>
    <w:rsid w:val="00E241FE"/>
    <w:rsid w:val="00E25D3B"/>
    <w:rsid w:val="00E260A7"/>
    <w:rsid w:val="00E2703A"/>
    <w:rsid w:val="00E33876"/>
    <w:rsid w:val="00E34B38"/>
    <w:rsid w:val="00E375DC"/>
    <w:rsid w:val="00E4052D"/>
    <w:rsid w:val="00E4127D"/>
    <w:rsid w:val="00E43FB4"/>
    <w:rsid w:val="00E46B93"/>
    <w:rsid w:val="00E47902"/>
    <w:rsid w:val="00E50FD8"/>
    <w:rsid w:val="00E54806"/>
    <w:rsid w:val="00E5597A"/>
    <w:rsid w:val="00E569DE"/>
    <w:rsid w:val="00E6295F"/>
    <w:rsid w:val="00E62B7A"/>
    <w:rsid w:val="00E654C3"/>
    <w:rsid w:val="00E740E7"/>
    <w:rsid w:val="00E74D5E"/>
    <w:rsid w:val="00E76653"/>
    <w:rsid w:val="00E76DEE"/>
    <w:rsid w:val="00E8465F"/>
    <w:rsid w:val="00E871F4"/>
    <w:rsid w:val="00E91A72"/>
    <w:rsid w:val="00E929D0"/>
    <w:rsid w:val="00EA122F"/>
    <w:rsid w:val="00EA3C2A"/>
    <w:rsid w:val="00EA451A"/>
    <w:rsid w:val="00EA4824"/>
    <w:rsid w:val="00EA5AE6"/>
    <w:rsid w:val="00EA6DD7"/>
    <w:rsid w:val="00EA6EBE"/>
    <w:rsid w:val="00EA748E"/>
    <w:rsid w:val="00EB34C0"/>
    <w:rsid w:val="00EB35B1"/>
    <w:rsid w:val="00EB35C8"/>
    <w:rsid w:val="00EB55B3"/>
    <w:rsid w:val="00EB748B"/>
    <w:rsid w:val="00EC01D0"/>
    <w:rsid w:val="00EC01E8"/>
    <w:rsid w:val="00EC3EFD"/>
    <w:rsid w:val="00EC72F5"/>
    <w:rsid w:val="00ED00E7"/>
    <w:rsid w:val="00ED280C"/>
    <w:rsid w:val="00ED29B3"/>
    <w:rsid w:val="00ED3970"/>
    <w:rsid w:val="00ED3CD9"/>
    <w:rsid w:val="00ED6726"/>
    <w:rsid w:val="00EE04A0"/>
    <w:rsid w:val="00EE0ED9"/>
    <w:rsid w:val="00EE3C9D"/>
    <w:rsid w:val="00EE632C"/>
    <w:rsid w:val="00EF07BE"/>
    <w:rsid w:val="00EF244B"/>
    <w:rsid w:val="00EF7897"/>
    <w:rsid w:val="00F0220F"/>
    <w:rsid w:val="00F050F9"/>
    <w:rsid w:val="00F10E2A"/>
    <w:rsid w:val="00F10FED"/>
    <w:rsid w:val="00F13B23"/>
    <w:rsid w:val="00F15D9B"/>
    <w:rsid w:val="00F23265"/>
    <w:rsid w:val="00F26277"/>
    <w:rsid w:val="00F2693B"/>
    <w:rsid w:val="00F317E3"/>
    <w:rsid w:val="00F344E2"/>
    <w:rsid w:val="00F35CED"/>
    <w:rsid w:val="00F41A52"/>
    <w:rsid w:val="00F449D2"/>
    <w:rsid w:val="00F473C3"/>
    <w:rsid w:val="00F479EC"/>
    <w:rsid w:val="00F517A4"/>
    <w:rsid w:val="00F5382A"/>
    <w:rsid w:val="00F56BD3"/>
    <w:rsid w:val="00F56E67"/>
    <w:rsid w:val="00F57398"/>
    <w:rsid w:val="00F6598A"/>
    <w:rsid w:val="00F6627E"/>
    <w:rsid w:val="00F663E0"/>
    <w:rsid w:val="00F66478"/>
    <w:rsid w:val="00F70643"/>
    <w:rsid w:val="00F733C1"/>
    <w:rsid w:val="00F73B60"/>
    <w:rsid w:val="00F74DB8"/>
    <w:rsid w:val="00F76164"/>
    <w:rsid w:val="00F761BA"/>
    <w:rsid w:val="00F83187"/>
    <w:rsid w:val="00F87E03"/>
    <w:rsid w:val="00F90202"/>
    <w:rsid w:val="00F92890"/>
    <w:rsid w:val="00F95B7D"/>
    <w:rsid w:val="00F979C8"/>
    <w:rsid w:val="00FA0A7D"/>
    <w:rsid w:val="00FA3739"/>
    <w:rsid w:val="00FA5C83"/>
    <w:rsid w:val="00FA65D1"/>
    <w:rsid w:val="00FA79CE"/>
    <w:rsid w:val="00FB297F"/>
    <w:rsid w:val="00FB3B19"/>
    <w:rsid w:val="00FB3BBA"/>
    <w:rsid w:val="00FB455F"/>
    <w:rsid w:val="00FB4CBF"/>
    <w:rsid w:val="00FB515E"/>
    <w:rsid w:val="00FB6F97"/>
    <w:rsid w:val="00FC0616"/>
    <w:rsid w:val="00FC27BC"/>
    <w:rsid w:val="00FC43DF"/>
    <w:rsid w:val="00FC6A6E"/>
    <w:rsid w:val="00FD3024"/>
    <w:rsid w:val="00FD76CF"/>
    <w:rsid w:val="00FD780C"/>
    <w:rsid w:val="00FE0B6A"/>
    <w:rsid w:val="00FE1F18"/>
    <w:rsid w:val="00FE4744"/>
    <w:rsid w:val="00FE60F4"/>
    <w:rsid w:val="00FE6FF8"/>
    <w:rsid w:val="00FF1A80"/>
    <w:rsid w:val="00FF26B8"/>
    <w:rsid w:val="00FF5520"/>
    <w:rsid w:val="00FF76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1CB7593"/>
  <w15:chartTrackingRefBased/>
  <w15:docId w15:val="{0DC4EAF1-0FC3-4AD6-BDFC-52E07A06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6C7"/>
    <w:pPr>
      <w:keepNext/>
      <w:keepLines/>
      <w:spacing w:before="240" w:after="0" w:line="24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0356C7"/>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82049C"/>
    <w:pPr>
      <w:keepNext/>
      <w:keepLines/>
      <w:spacing w:before="40" w:after="0"/>
      <w:outlineLvl w:val="2"/>
    </w:pPr>
    <w:rPr>
      <w:rFonts w:ascii="Times New Roman" w:eastAsiaTheme="majorEastAsia" w:hAnsi="Times New Roman" w:cstheme="majorBidi"/>
      <w:i/>
      <w:color w:val="000000" w:themeColor="text1"/>
      <w:sz w:val="24"/>
      <w:szCs w:val="24"/>
    </w:rPr>
  </w:style>
  <w:style w:type="paragraph" w:styleId="Heading4">
    <w:name w:val="heading 4"/>
    <w:basedOn w:val="Normal"/>
    <w:next w:val="Normal"/>
    <w:link w:val="Heading4Char"/>
    <w:uiPriority w:val="9"/>
    <w:semiHidden/>
    <w:unhideWhenUsed/>
    <w:qFormat/>
    <w:rsid w:val="00A56A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0644B"/>
    <w:rPr>
      <w:color w:val="0000FF"/>
      <w:shd w:val="clear" w:color="auto" w:fill="auto"/>
    </w:rPr>
  </w:style>
  <w:style w:type="paragraph" w:styleId="Header">
    <w:name w:val="header"/>
    <w:basedOn w:val="Normal"/>
    <w:link w:val="HeaderChar"/>
    <w:uiPriority w:val="99"/>
    <w:unhideWhenUsed/>
    <w:rsid w:val="00706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44B"/>
  </w:style>
  <w:style w:type="paragraph" w:styleId="Footer">
    <w:name w:val="footer"/>
    <w:basedOn w:val="Normal"/>
    <w:link w:val="FooterChar"/>
    <w:uiPriority w:val="99"/>
    <w:unhideWhenUsed/>
    <w:rsid w:val="00706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44B"/>
  </w:style>
  <w:style w:type="paragraph" w:customStyle="1" w:styleId="Pagedecouverture">
    <w:name w:val="Page de couverture"/>
    <w:basedOn w:val="Normal"/>
    <w:next w:val="Normal"/>
    <w:rsid w:val="0070644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0644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0644B"/>
    <w:rPr>
      <w:rFonts w:ascii="Times New Roman" w:hAnsi="Times New Roman" w:cs="Times New Roman"/>
      <w:sz w:val="24"/>
    </w:rPr>
  </w:style>
  <w:style w:type="paragraph" w:customStyle="1" w:styleId="FooterSensitivity">
    <w:name w:val="Footer Sensitivity"/>
    <w:basedOn w:val="Normal"/>
    <w:link w:val="FooterSensitivityChar"/>
    <w:rsid w:val="0070644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0644B"/>
    <w:rPr>
      <w:rFonts w:ascii="Times New Roman" w:hAnsi="Times New Roman" w:cs="Times New Roman"/>
      <w:b/>
      <w:sz w:val="32"/>
    </w:rPr>
  </w:style>
  <w:style w:type="paragraph" w:customStyle="1" w:styleId="HeaderCoverPage">
    <w:name w:val="Header Cover Page"/>
    <w:basedOn w:val="Normal"/>
    <w:link w:val="HeaderCoverPageChar"/>
    <w:rsid w:val="0070644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0644B"/>
    <w:rPr>
      <w:rFonts w:ascii="Times New Roman" w:hAnsi="Times New Roman" w:cs="Times New Roman"/>
      <w:sz w:val="24"/>
    </w:rPr>
  </w:style>
  <w:style w:type="paragraph" w:customStyle="1" w:styleId="HeaderSensitivity">
    <w:name w:val="Header Sensitivity"/>
    <w:basedOn w:val="Normal"/>
    <w:link w:val="HeaderSensitivityChar"/>
    <w:rsid w:val="0070644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0644B"/>
    <w:rPr>
      <w:rFonts w:ascii="Times New Roman" w:hAnsi="Times New Roman" w:cs="Times New Roman"/>
      <w:b/>
      <w:sz w:val="32"/>
    </w:rPr>
  </w:style>
  <w:style w:type="paragraph" w:customStyle="1" w:styleId="HeaderSensitivityRight">
    <w:name w:val="Header Sensitivity Right"/>
    <w:basedOn w:val="Normal"/>
    <w:link w:val="HeaderSensitivityRightChar"/>
    <w:rsid w:val="0070644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0644B"/>
    <w:rPr>
      <w:rFonts w:ascii="Times New Roman" w:hAnsi="Times New Roman" w:cs="Times New Roman"/>
      <w:sz w:val="28"/>
    </w:rPr>
  </w:style>
  <w:style w:type="paragraph" w:customStyle="1" w:styleId="SubTitle1">
    <w:name w:val="SubTitle 1"/>
    <w:basedOn w:val="Normal"/>
    <w:next w:val="Normal"/>
    <w:uiPriority w:val="1"/>
    <w:qFormat/>
    <w:rsid w:val="0070644B"/>
    <w:pPr>
      <w:spacing w:after="240" w:line="240" w:lineRule="auto"/>
      <w:jc w:val="center"/>
    </w:pPr>
    <w:rPr>
      <w:rFonts w:ascii="Times New Roman" w:eastAsia="Times New Roman" w:hAnsi="Times New Roman" w:cs="Times New Roman"/>
      <w:b/>
      <w:sz w:val="40"/>
      <w:szCs w:val="20"/>
      <w:lang w:val="en-GB" w:eastAsia="fr-BE"/>
    </w:rPr>
  </w:style>
  <w:style w:type="paragraph" w:styleId="Title">
    <w:name w:val="Title"/>
    <w:basedOn w:val="Normal"/>
    <w:next w:val="SubTitle1"/>
    <w:link w:val="TitleChar"/>
    <w:uiPriority w:val="1"/>
    <w:qFormat/>
    <w:rsid w:val="0070644B"/>
    <w:pPr>
      <w:spacing w:after="480" w:line="240" w:lineRule="auto"/>
      <w:jc w:val="center"/>
    </w:pPr>
    <w:rPr>
      <w:rFonts w:ascii="Times New Roman" w:eastAsia="Times New Roman" w:hAnsi="Times New Roman" w:cs="Times New Roman"/>
      <w:b/>
      <w:kern w:val="28"/>
      <w:sz w:val="48"/>
      <w:szCs w:val="20"/>
      <w:lang w:val="en-GB" w:eastAsia="fr-BE"/>
    </w:rPr>
  </w:style>
  <w:style w:type="character" w:customStyle="1" w:styleId="TitleChar">
    <w:name w:val="Title Char"/>
    <w:basedOn w:val="DefaultParagraphFont"/>
    <w:link w:val="Title"/>
    <w:uiPriority w:val="1"/>
    <w:rsid w:val="0070644B"/>
    <w:rPr>
      <w:rFonts w:ascii="Times New Roman" w:eastAsia="Times New Roman" w:hAnsi="Times New Roman" w:cs="Times New Roman"/>
      <w:b/>
      <w:kern w:val="28"/>
      <w:sz w:val="48"/>
      <w:szCs w:val="20"/>
      <w:lang w:val="en-GB" w:eastAsia="fr-BE"/>
    </w:rPr>
  </w:style>
  <w:style w:type="paragraph" w:customStyle="1" w:styleId="ZFlag">
    <w:name w:val="Z_Flag"/>
    <w:basedOn w:val="Normal"/>
    <w:next w:val="Normal"/>
    <w:link w:val="ZFlagChar"/>
    <w:uiPriority w:val="2"/>
    <w:rsid w:val="0070644B"/>
    <w:pPr>
      <w:widowControl w:val="0"/>
      <w:spacing w:after="0" w:line="240" w:lineRule="auto"/>
      <w:ind w:right="85"/>
      <w:jc w:val="both"/>
    </w:pPr>
    <w:rPr>
      <w:rFonts w:ascii="Times New Roman" w:eastAsia="Times New Roman" w:hAnsi="Times New Roman" w:cs="Times New Roman"/>
      <w:sz w:val="24"/>
      <w:szCs w:val="20"/>
      <w:lang w:val="en-GB" w:eastAsia="fr-BE"/>
    </w:rPr>
  </w:style>
  <w:style w:type="paragraph" w:customStyle="1" w:styleId="ZCom">
    <w:name w:val="Z_Com"/>
    <w:basedOn w:val="Normal"/>
    <w:next w:val="Normal"/>
    <w:uiPriority w:val="2"/>
    <w:rsid w:val="0070644B"/>
    <w:pPr>
      <w:widowControl w:val="0"/>
      <w:spacing w:before="90" w:after="0" w:line="240" w:lineRule="auto"/>
      <w:ind w:right="85"/>
    </w:pPr>
    <w:rPr>
      <w:rFonts w:ascii="Times New Roman" w:eastAsia="Times New Roman" w:hAnsi="Times New Roman" w:cs="Times New Roman"/>
      <w:sz w:val="24"/>
      <w:szCs w:val="20"/>
      <w:lang w:val="en-GB" w:eastAsia="fr-BE"/>
    </w:rPr>
  </w:style>
  <w:style w:type="paragraph" w:customStyle="1" w:styleId="ZDGName">
    <w:name w:val="Z_DGName"/>
    <w:basedOn w:val="Normal"/>
    <w:uiPriority w:val="2"/>
    <w:rsid w:val="0070644B"/>
    <w:pPr>
      <w:widowControl w:val="0"/>
      <w:spacing w:after="0" w:line="240" w:lineRule="auto"/>
      <w:ind w:right="85"/>
    </w:pPr>
    <w:rPr>
      <w:rFonts w:ascii="Times New Roman" w:eastAsia="Times New Roman" w:hAnsi="Times New Roman" w:cs="Times New Roman"/>
      <w:sz w:val="16"/>
      <w:szCs w:val="20"/>
      <w:lang w:val="en-GB" w:eastAsia="fr-BE"/>
    </w:rPr>
  </w:style>
  <w:style w:type="table" w:customStyle="1" w:styleId="TableLetterhead">
    <w:name w:val="Table Letterhead"/>
    <w:basedOn w:val="TableNormal"/>
    <w:semiHidden/>
    <w:rsid w:val="0070644B"/>
    <w:pPr>
      <w:spacing w:after="0" w:line="240" w:lineRule="auto"/>
    </w:pPr>
    <w:rPr>
      <w:rFonts w:ascii="Times New Roman" w:eastAsia="Times New Roman" w:hAnsi="Times New Roman" w:cs="Times New Roman"/>
      <w:sz w:val="24"/>
      <w:szCs w:val="20"/>
      <w:lang w:val="en-GB" w:eastAsia="fr-BE"/>
    </w:rPr>
    <w:tblPr>
      <w:tblCellMar>
        <w:left w:w="0" w:type="dxa"/>
        <w:bottom w:w="340" w:type="dxa"/>
        <w:right w:w="0" w:type="dxa"/>
      </w:tblCellMar>
    </w:tblPr>
  </w:style>
  <w:style w:type="character" w:customStyle="1" w:styleId="ZFlagChar">
    <w:name w:val="Z_Flag Char"/>
    <w:basedOn w:val="DefaultParagraphFont"/>
    <w:link w:val="ZFlag"/>
    <w:uiPriority w:val="2"/>
    <w:rsid w:val="0070644B"/>
    <w:rPr>
      <w:rFonts w:ascii="Times New Roman" w:eastAsia="Times New Roman" w:hAnsi="Times New Roman" w:cs="Times New Roman"/>
      <w:sz w:val="24"/>
      <w:szCs w:val="20"/>
      <w:lang w:val="en-GB" w:eastAsia="fr-BE"/>
    </w:rPr>
  </w:style>
  <w:style w:type="character" w:styleId="PlaceholderText">
    <w:name w:val="Placeholder Text"/>
    <w:basedOn w:val="DefaultParagraphFont"/>
    <w:semiHidden/>
    <w:rsid w:val="0070644B"/>
    <w:rPr>
      <w:color w:val="288061"/>
    </w:rPr>
  </w:style>
  <w:style w:type="character" w:customStyle="1" w:styleId="Heading1Char">
    <w:name w:val="Heading 1 Char"/>
    <w:basedOn w:val="DefaultParagraphFont"/>
    <w:link w:val="Heading1"/>
    <w:uiPriority w:val="9"/>
    <w:rsid w:val="000356C7"/>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0356C7"/>
    <w:rPr>
      <w:rFonts w:ascii="Times New Roman" w:eastAsiaTheme="majorEastAsia" w:hAnsi="Times New Roman" w:cstheme="majorBidi"/>
      <w:b/>
      <w:color w:val="000000" w:themeColor="text1"/>
      <w:sz w:val="24"/>
      <w:szCs w:val="26"/>
    </w:rPr>
  </w:style>
  <w:style w:type="paragraph" w:styleId="ListParagraph">
    <w:name w:val="List Paragraph"/>
    <w:basedOn w:val="Normal"/>
    <w:uiPriority w:val="34"/>
    <w:qFormat/>
    <w:rsid w:val="000356C7"/>
    <w:pPr>
      <w:ind w:left="720"/>
      <w:contextualSpacing/>
    </w:pPr>
  </w:style>
  <w:style w:type="character" w:customStyle="1" w:styleId="Heading3Char">
    <w:name w:val="Heading 3 Char"/>
    <w:basedOn w:val="DefaultParagraphFont"/>
    <w:link w:val="Heading3"/>
    <w:uiPriority w:val="9"/>
    <w:rsid w:val="0082049C"/>
    <w:rPr>
      <w:rFonts w:ascii="Times New Roman" w:eastAsiaTheme="majorEastAsia" w:hAnsi="Times New Roman" w:cstheme="majorBidi"/>
      <w:i/>
      <w:color w:val="000000" w:themeColor="text1"/>
      <w:sz w:val="24"/>
      <w:szCs w:val="24"/>
    </w:rPr>
  </w:style>
  <w:style w:type="paragraph" w:styleId="FootnoteText">
    <w:name w:val="footnote text"/>
    <w:basedOn w:val="Normal"/>
    <w:link w:val="FootnoteTextChar"/>
    <w:rsid w:val="000129BF"/>
    <w:pPr>
      <w:spacing w:after="0" w:line="240" w:lineRule="auto"/>
      <w:ind w:left="720" w:hanging="720"/>
      <w:jc w:val="both"/>
    </w:pPr>
    <w:rPr>
      <w:rFonts w:ascii="Times New Roman" w:eastAsia="Times New Roman" w:hAnsi="Times New Roman" w:cs="Times New Roman"/>
      <w:sz w:val="20"/>
      <w:szCs w:val="20"/>
      <w:lang w:val="en-GB" w:eastAsia="de-DE"/>
    </w:rPr>
  </w:style>
  <w:style w:type="character" w:customStyle="1" w:styleId="FootnoteTextChar">
    <w:name w:val="Footnote Text Char"/>
    <w:basedOn w:val="DefaultParagraphFont"/>
    <w:link w:val="FootnoteText"/>
    <w:rsid w:val="000129BF"/>
    <w:rPr>
      <w:rFonts w:ascii="Times New Roman" w:eastAsia="Times New Roman" w:hAnsi="Times New Roman" w:cs="Times New Roman"/>
      <w:sz w:val="20"/>
      <w:szCs w:val="20"/>
      <w:lang w:val="en-GB" w:eastAsia="de-DE"/>
    </w:rPr>
  </w:style>
  <w:style w:type="character" w:styleId="FootnoteReference">
    <w:name w:val="footnote reference"/>
    <w:uiPriority w:val="99"/>
    <w:rsid w:val="000129BF"/>
    <w:rPr>
      <w:vertAlign w:val="superscript"/>
    </w:rPr>
  </w:style>
  <w:style w:type="paragraph" w:customStyle="1" w:styleId="Text1">
    <w:name w:val="Text 1"/>
    <w:basedOn w:val="Normal"/>
    <w:rsid w:val="000129BF"/>
    <w:pPr>
      <w:spacing w:before="120" w:after="120" w:line="240" w:lineRule="auto"/>
      <w:ind w:left="850"/>
      <w:jc w:val="both"/>
    </w:pPr>
    <w:rPr>
      <w:rFonts w:ascii="Times New Roman" w:eastAsia="Times New Roman" w:hAnsi="Times New Roman" w:cs="Times New Roman"/>
      <w:sz w:val="24"/>
      <w:szCs w:val="24"/>
      <w:lang w:val="en-GB" w:eastAsia="de-DE"/>
    </w:rPr>
  </w:style>
  <w:style w:type="paragraph" w:styleId="ListNumber">
    <w:name w:val="List Number"/>
    <w:basedOn w:val="Normal"/>
    <w:unhideWhenUsed/>
    <w:rsid w:val="000129BF"/>
    <w:pPr>
      <w:numPr>
        <w:numId w:val="16"/>
      </w:numPr>
      <w:spacing w:before="120" w:after="120" w:line="240" w:lineRule="auto"/>
      <w:contextualSpacing/>
      <w:jc w:val="both"/>
    </w:pPr>
    <w:rPr>
      <w:rFonts w:ascii="Times New Roman" w:eastAsia="Calibri" w:hAnsi="Times New Roman" w:cs="Times New Roman"/>
      <w:sz w:val="24"/>
      <w:lang w:val="en-GB"/>
    </w:rPr>
  </w:style>
  <w:style w:type="paragraph" w:customStyle="1" w:styleId="ListNumberLevel2">
    <w:name w:val="List Number (Level 2)"/>
    <w:basedOn w:val="Normal"/>
    <w:rsid w:val="000129BF"/>
    <w:pPr>
      <w:tabs>
        <w:tab w:val="num" w:pos="1417"/>
      </w:tabs>
      <w:spacing w:after="240" w:line="240" w:lineRule="auto"/>
      <w:ind w:left="1417" w:hanging="708"/>
      <w:jc w:val="both"/>
    </w:pPr>
    <w:rPr>
      <w:rFonts w:ascii="Times New Roman" w:eastAsia="Times New Roman" w:hAnsi="Times New Roman" w:cs="Times New Roman"/>
      <w:sz w:val="24"/>
      <w:szCs w:val="20"/>
      <w:lang w:val="en-GB"/>
    </w:rPr>
  </w:style>
  <w:style w:type="paragraph" w:customStyle="1" w:styleId="Text2">
    <w:name w:val="Text 2"/>
    <w:basedOn w:val="Normal"/>
    <w:rsid w:val="000129BF"/>
    <w:pPr>
      <w:spacing w:before="120" w:after="120" w:line="240" w:lineRule="auto"/>
      <w:ind w:left="850"/>
      <w:jc w:val="both"/>
    </w:pPr>
    <w:rPr>
      <w:rFonts w:ascii="Times New Roman" w:eastAsia="Times New Roman" w:hAnsi="Times New Roman" w:cs="Times New Roman"/>
      <w:sz w:val="24"/>
      <w:szCs w:val="24"/>
      <w:lang w:val="en-GB" w:eastAsia="de-DE"/>
    </w:rPr>
  </w:style>
  <w:style w:type="character" w:styleId="CommentReference">
    <w:name w:val="annotation reference"/>
    <w:basedOn w:val="DefaultParagraphFont"/>
    <w:uiPriority w:val="99"/>
    <w:semiHidden/>
    <w:unhideWhenUsed/>
    <w:rsid w:val="00717C59"/>
    <w:rPr>
      <w:sz w:val="16"/>
      <w:szCs w:val="16"/>
    </w:rPr>
  </w:style>
  <w:style w:type="paragraph" w:styleId="CommentText">
    <w:name w:val="annotation text"/>
    <w:basedOn w:val="Normal"/>
    <w:link w:val="CommentTextChar"/>
    <w:uiPriority w:val="99"/>
    <w:unhideWhenUsed/>
    <w:rsid w:val="00717C59"/>
    <w:pPr>
      <w:spacing w:line="240" w:lineRule="auto"/>
    </w:pPr>
    <w:rPr>
      <w:sz w:val="20"/>
      <w:szCs w:val="20"/>
    </w:rPr>
  </w:style>
  <w:style w:type="character" w:customStyle="1" w:styleId="CommentTextChar">
    <w:name w:val="Comment Text Char"/>
    <w:basedOn w:val="DefaultParagraphFont"/>
    <w:link w:val="CommentText"/>
    <w:uiPriority w:val="99"/>
    <w:rsid w:val="00717C59"/>
    <w:rPr>
      <w:sz w:val="20"/>
      <w:szCs w:val="20"/>
    </w:rPr>
  </w:style>
  <w:style w:type="paragraph" w:styleId="CommentSubject">
    <w:name w:val="annotation subject"/>
    <w:basedOn w:val="CommentText"/>
    <w:next w:val="CommentText"/>
    <w:link w:val="CommentSubjectChar"/>
    <w:uiPriority w:val="99"/>
    <w:semiHidden/>
    <w:unhideWhenUsed/>
    <w:rsid w:val="00717C59"/>
    <w:rPr>
      <w:b/>
      <w:bCs/>
    </w:rPr>
  </w:style>
  <w:style w:type="character" w:customStyle="1" w:styleId="CommentSubjectChar">
    <w:name w:val="Comment Subject Char"/>
    <w:basedOn w:val="CommentTextChar"/>
    <w:link w:val="CommentSubject"/>
    <w:uiPriority w:val="99"/>
    <w:semiHidden/>
    <w:rsid w:val="00717C59"/>
    <w:rPr>
      <w:b/>
      <w:bCs/>
      <w:sz w:val="20"/>
      <w:szCs w:val="20"/>
    </w:rPr>
  </w:style>
  <w:style w:type="paragraph" w:styleId="BalloonText">
    <w:name w:val="Balloon Text"/>
    <w:basedOn w:val="Normal"/>
    <w:link w:val="BalloonTextChar"/>
    <w:uiPriority w:val="99"/>
    <w:semiHidden/>
    <w:unhideWhenUsed/>
    <w:rsid w:val="00717C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C59"/>
    <w:rPr>
      <w:rFonts w:ascii="Segoe UI" w:hAnsi="Segoe UI" w:cs="Segoe UI"/>
      <w:sz w:val="18"/>
      <w:szCs w:val="18"/>
    </w:rPr>
  </w:style>
  <w:style w:type="character" w:customStyle="1" w:styleId="Heading4Char">
    <w:name w:val="Heading 4 Char"/>
    <w:basedOn w:val="DefaultParagraphFont"/>
    <w:link w:val="Heading4"/>
    <w:uiPriority w:val="9"/>
    <w:semiHidden/>
    <w:rsid w:val="00A56AEF"/>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5E55EE"/>
    <w:pPr>
      <w:spacing w:after="0" w:line="240" w:lineRule="auto"/>
    </w:pPr>
  </w:style>
  <w:style w:type="character" w:customStyle="1" w:styleId="markedcontent">
    <w:name w:val="markedcontent"/>
    <w:basedOn w:val="DefaultParagraphFont"/>
    <w:rsid w:val="00351DA5"/>
  </w:style>
  <w:style w:type="table" w:styleId="TableGrid">
    <w:name w:val="Table Grid"/>
    <w:basedOn w:val="TableNormal"/>
    <w:uiPriority w:val="39"/>
    <w:rsid w:val="00F8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D2E32"/>
  </w:style>
  <w:style w:type="character" w:styleId="Hyperlink">
    <w:name w:val="Hyperlink"/>
    <w:uiPriority w:val="99"/>
    <w:semiHidden/>
    <w:unhideWhenUsed/>
    <w:rsid w:val="00372D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627">
      <w:bodyDiv w:val="1"/>
      <w:marLeft w:val="0"/>
      <w:marRight w:val="0"/>
      <w:marTop w:val="0"/>
      <w:marBottom w:val="0"/>
      <w:divBdr>
        <w:top w:val="none" w:sz="0" w:space="0" w:color="auto"/>
        <w:left w:val="none" w:sz="0" w:space="0" w:color="auto"/>
        <w:bottom w:val="none" w:sz="0" w:space="0" w:color="auto"/>
        <w:right w:val="none" w:sz="0" w:space="0" w:color="auto"/>
      </w:divBdr>
    </w:div>
    <w:div w:id="58599819">
      <w:bodyDiv w:val="1"/>
      <w:marLeft w:val="0"/>
      <w:marRight w:val="0"/>
      <w:marTop w:val="0"/>
      <w:marBottom w:val="0"/>
      <w:divBdr>
        <w:top w:val="none" w:sz="0" w:space="0" w:color="auto"/>
        <w:left w:val="none" w:sz="0" w:space="0" w:color="auto"/>
        <w:bottom w:val="none" w:sz="0" w:space="0" w:color="auto"/>
        <w:right w:val="none" w:sz="0" w:space="0" w:color="auto"/>
      </w:divBdr>
    </w:div>
    <w:div w:id="90398004">
      <w:bodyDiv w:val="1"/>
      <w:marLeft w:val="0"/>
      <w:marRight w:val="0"/>
      <w:marTop w:val="0"/>
      <w:marBottom w:val="0"/>
      <w:divBdr>
        <w:top w:val="none" w:sz="0" w:space="0" w:color="auto"/>
        <w:left w:val="none" w:sz="0" w:space="0" w:color="auto"/>
        <w:bottom w:val="none" w:sz="0" w:space="0" w:color="auto"/>
        <w:right w:val="none" w:sz="0" w:space="0" w:color="auto"/>
      </w:divBdr>
    </w:div>
    <w:div w:id="335423128">
      <w:bodyDiv w:val="1"/>
      <w:marLeft w:val="0"/>
      <w:marRight w:val="0"/>
      <w:marTop w:val="0"/>
      <w:marBottom w:val="0"/>
      <w:divBdr>
        <w:top w:val="none" w:sz="0" w:space="0" w:color="auto"/>
        <w:left w:val="none" w:sz="0" w:space="0" w:color="auto"/>
        <w:bottom w:val="none" w:sz="0" w:space="0" w:color="auto"/>
        <w:right w:val="none" w:sz="0" w:space="0" w:color="auto"/>
      </w:divBdr>
    </w:div>
    <w:div w:id="455102026">
      <w:bodyDiv w:val="1"/>
      <w:marLeft w:val="0"/>
      <w:marRight w:val="0"/>
      <w:marTop w:val="0"/>
      <w:marBottom w:val="0"/>
      <w:divBdr>
        <w:top w:val="none" w:sz="0" w:space="0" w:color="auto"/>
        <w:left w:val="none" w:sz="0" w:space="0" w:color="auto"/>
        <w:bottom w:val="none" w:sz="0" w:space="0" w:color="auto"/>
        <w:right w:val="none" w:sz="0" w:space="0" w:color="auto"/>
      </w:divBdr>
    </w:div>
    <w:div w:id="557514937">
      <w:bodyDiv w:val="1"/>
      <w:marLeft w:val="0"/>
      <w:marRight w:val="0"/>
      <w:marTop w:val="0"/>
      <w:marBottom w:val="0"/>
      <w:divBdr>
        <w:top w:val="none" w:sz="0" w:space="0" w:color="auto"/>
        <w:left w:val="none" w:sz="0" w:space="0" w:color="auto"/>
        <w:bottom w:val="none" w:sz="0" w:space="0" w:color="auto"/>
        <w:right w:val="none" w:sz="0" w:space="0" w:color="auto"/>
      </w:divBdr>
    </w:div>
    <w:div w:id="588857524">
      <w:bodyDiv w:val="1"/>
      <w:marLeft w:val="0"/>
      <w:marRight w:val="0"/>
      <w:marTop w:val="0"/>
      <w:marBottom w:val="0"/>
      <w:divBdr>
        <w:top w:val="none" w:sz="0" w:space="0" w:color="auto"/>
        <w:left w:val="none" w:sz="0" w:space="0" w:color="auto"/>
        <w:bottom w:val="none" w:sz="0" w:space="0" w:color="auto"/>
        <w:right w:val="none" w:sz="0" w:space="0" w:color="auto"/>
      </w:divBdr>
    </w:div>
    <w:div w:id="610170131">
      <w:bodyDiv w:val="1"/>
      <w:marLeft w:val="0"/>
      <w:marRight w:val="0"/>
      <w:marTop w:val="0"/>
      <w:marBottom w:val="0"/>
      <w:divBdr>
        <w:top w:val="none" w:sz="0" w:space="0" w:color="auto"/>
        <w:left w:val="none" w:sz="0" w:space="0" w:color="auto"/>
        <w:bottom w:val="none" w:sz="0" w:space="0" w:color="auto"/>
        <w:right w:val="none" w:sz="0" w:space="0" w:color="auto"/>
      </w:divBdr>
    </w:div>
    <w:div w:id="776557944">
      <w:bodyDiv w:val="1"/>
      <w:marLeft w:val="0"/>
      <w:marRight w:val="0"/>
      <w:marTop w:val="0"/>
      <w:marBottom w:val="0"/>
      <w:divBdr>
        <w:top w:val="none" w:sz="0" w:space="0" w:color="auto"/>
        <w:left w:val="none" w:sz="0" w:space="0" w:color="auto"/>
        <w:bottom w:val="none" w:sz="0" w:space="0" w:color="auto"/>
        <w:right w:val="none" w:sz="0" w:space="0" w:color="auto"/>
      </w:divBdr>
    </w:div>
    <w:div w:id="807750105">
      <w:bodyDiv w:val="1"/>
      <w:marLeft w:val="0"/>
      <w:marRight w:val="0"/>
      <w:marTop w:val="0"/>
      <w:marBottom w:val="0"/>
      <w:divBdr>
        <w:top w:val="none" w:sz="0" w:space="0" w:color="auto"/>
        <w:left w:val="none" w:sz="0" w:space="0" w:color="auto"/>
        <w:bottom w:val="none" w:sz="0" w:space="0" w:color="auto"/>
        <w:right w:val="none" w:sz="0" w:space="0" w:color="auto"/>
      </w:divBdr>
    </w:div>
    <w:div w:id="813105804">
      <w:bodyDiv w:val="1"/>
      <w:marLeft w:val="0"/>
      <w:marRight w:val="0"/>
      <w:marTop w:val="0"/>
      <w:marBottom w:val="0"/>
      <w:divBdr>
        <w:top w:val="none" w:sz="0" w:space="0" w:color="auto"/>
        <w:left w:val="none" w:sz="0" w:space="0" w:color="auto"/>
        <w:bottom w:val="none" w:sz="0" w:space="0" w:color="auto"/>
        <w:right w:val="none" w:sz="0" w:space="0" w:color="auto"/>
      </w:divBdr>
    </w:div>
    <w:div w:id="897595249">
      <w:bodyDiv w:val="1"/>
      <w:marLeft w:val="0"/>
      <w:marRight w:val="0"/>
      <w:marTop w:val="0"/>
      <w:marBottom w:val="0"/>
      <w:divBdr>
        <w:top w:val="none" w:sz="0" w:space="0" w:color="auto"/>
        <w:left w:val="none" w:sz="0" w:space="0" w:color="auto"/>
        <w:bottom w:val="none" w:sz="0" w:space="0" w:color="auto"/>
        <w:right w:val="none" w:sz="0" w:space="0" w:color="auto"/>
      </w:divBdr>
    </w:div>
    <w:div w:id="1127167166">
      <w:bodyDiv w:val="1"/>
      <w:marLeft w:val="0"/>
      <w:marRight w:val="0"/>
      <w:marTop w:val="0"/>
      <w:marBottom w:val="0"/>
      <w:divBdr>
        <w:top w:val="none" w:sz="0" w:space="0" w:color="auto"/>
        <w:left w:val="none" w:sz="0" w:space="0" w:color="auto"/>
        <w:bottom w:val="none" w:sz="0" w:space="0" w:color="auto"/>
        <w:right w:val="none" w:sz="0" w:space="0" w:color="auto"/>
      </w:divBdr>
    </w:div>
    <w:div w:id="1127746554">
      <w:bodyDiv w:val="1"/>
      <w:marLeft w:val="0"/>
      <w:marRight w:val="0"/>
      <w:marTop w:val="0"/>
      <w:marBottom w:val="0"/>
      <w:divBdr>
        <w:top w:val="none" w:sz="0" w:space="0" w:color="auto"/>
        <w:left w:val="none" w:sz="0" w:space="0" w:color="auto"/>
        <w:bottom w:val="none" w:sz="0" w:space="0" w:color="auto"/>
        <w:right w:val="none" w:sz="0" w:space="0" w:color="auto"/>
      </w:divBdr>
    </w:div>
    <w:div w:id="1250844084">
      <w:bodyDiv w:val="1"/>
      <w:marLeft w:val="0"/>
      <w:marRight w:val="0"/>
      <w:marTop w:val="0"/>
      <w:marBottom w:val="0"/>
      <w:divBdr>
        <w:top w:val="none" w:sz="0" w:space="0" w:color="auto"/>
        <w:left w:val="none" w:sz="0" w:space="0" w:color="auto"/>
        <w:bottom w:val="none" w:sz="0" w:space="0" w:color="auto"/>
        <w:right w:val="none" w:sz="0" w:space="0" w:color="auto"/>
      </w:divBdr>
    </w:div>
    <w:div w:id="1281955074">
      <w:bodyDiv w:val="1"/>
      <w:marLeft w:val="0"/>
      <w:marRight w:val="0"/>
      <w:marTop w:val="0"/>
      <w:marBottom w:val="0"/>
      <w:divBdr>
        <w:top w:val="none" w:sz="0" w:space="0" w:color="auto"/>
        <w:left w:val="none" w:sz="0" w:space="0" w:color="auto"/>
        <w:bottom w:val="none" w:sz="0" w:space="0" w:color="auto"/>
        <w:right w:val="none" w:sz="0" w:space="0" w:color="auto"/>
      </w:divBdr>
    </w:div>
    <w:div w:id="1393582649">
      <w:bodyDiv w:val="1"/>
      <w:marLeft w:val="0"/>
      <w:marRight w:val="0"/>
      <w:marTop w:val="0"/>
      <w:marBottom w:val="0"/>
      <w:divBdr>
        <w:top w:val="none" w:sz="0" w:space="0" w:color="auto"/>
        <w:left w:val="none" w:sz="0" w:space="0" w:color="auto"/>
        <w:bottom w:val="none" w:sz="0" w:space="0" w:color="auto"/>
        <w:right w:val="none" w:sz="0" w:space="0" w:color="auto"/>
      </w:divBdr>
    </w:div>
    <w:div w:id="1428623914">
      <w:bodyDiv w:val="1"/>
      <w:marLeft w:val="0"/>
      <w:marRight w:val="0"/>
      <w:marTop w:val="0"/>
      <w:marBottom w:val="0"/>
      <w:divBdr>
        <w:top w:val="none" w:sz="0" w:space="0" w:color="auto"/>
        <w:left w:val="none" w:sz="0" w:space="0" w:color="auto"/>
        <w:bottom w:val="none" w:sz="0" w:space="0" w:color="auto"/>
        <w:right w:val="none" w:sz="0" w:space="0" w:color="auto"/>
      </w:divBdr>
    </w:div>
    <w:div w:id="1459184453">
      <w:bodyDiv w:val="1"/>
      <w:marLeft w:val="0"/>
      <w:marRight w:val="0"/>
      <w:marTop w:val="0"/>
      <w:marBottom w:val="0"/>
      <w:divBdr>
        <w:top w:val="none" w:sz="0" w:space="0" w:color="auto"/>
        <w:left w:val="none" w:sz="0" w:space="0" w:color="auto"/>
        <w:bottom w:val="none" w:sz="0" w:space="0" w:color="auto"/>
        <w:right w:val="none" w:sz="0" w:space="0" w:color="auto"/>
      </w:divBdr>
    </w:div>
    <w:div w:id="1658728066">
      <w:bodyDiv w:val="1"/>
      <w:marLeft w:val="0"/>
      <w:marRight w:val="0"/>
      <w:marTop w:val="0"/>
      <w:marBottom w:val="0"/>
      <w:divBdr>
        <w:top w:val="none" w:sz="0" w:space="0" w:color="auto"/>
        <w:left w:val="none" w:sz="0" w:space="0" w:color="auto"/>
        <w:bottom w:val="none" w:sz="0" w:space="0" w:color="auto"/>
        <w:right w:val="none" w:sz="0" w:space="0" w:color="auto"/>
      </w:divBdr>
    </w:div>
    <w:div w:id="1700661344">
      <w:bodyDiv w:val="1"/>
      <w:marLeft w:val="0"/>
      <w:marRight w:val="0"/>
      <w:marTop w:val="0"/>
      <w:marBottom w:val="0"/>
      <w:divBdr>
        <w:top w:val="none" w:sz="0" w:space="0" w:color="auto"/>
        <w:left w:val="none" w:sz="0" w:space="0" w:color="auto"/>
        <w:bottom w:val="none" w:sz="0" w:space="0" w:color="auto"/>
        <w:right w:val="none" w:sz="0" w:space="0" w:color="auto"/>
      </w:divBdr>
    </w:div>
    <w:div w:id="1742948787">
      <w:bodyDiv w:val="1"/>
      <w:marLeft w:val="0"/>
      <w:marRight w:val="0"/>
      <w:marTop w:val="0"/>
      <w:marBottom w:val="0"/>
      <w:divBdr>
        <w:top w:val="none" w:sz="0" w:space="0" w:color="auto"/>
        <w:left w:val="none" w:sz="0" w:space="0" w:color="auto"/>
        <w:bottom w:val="none" w:sz="0" w:space="0" w:color="auto"/>
        <w:right w:val="none" w:sz="0" w:space="0" w:color="auto"/>
      </w:divBdr>
    </w:div>
    <w:div w:id="1806580609">
      <w:bodyDiv w:val="1"/>
      <w:marLeft w:val="0"/>
      <w:marRight w:val="0"/>
      <w:marTop w:val="0"/>
      <w:marBottom w:val="0"/>
      <w:divBdr>
        <w:top w:val="none" w:sz="0" w:space="0" w:color="auto"/>
        <w:left w:val="none" w:sz="0" w:space="0" w:color="auto"/>
        <w:bottom w:val="none" w:sz="0" w:space="0" w:color="auto"/>
        <w:right w:val="none" w:sz="0" w:space="0" w:color="auto"/>
      </w:divBdr>
    </w:div>
    <w:div w:id="1889881004">
      <w:bodyDiv w:val="1"/>
      <w:marLeft w:val="0"/>
      <w:marRight w:val="0"/>
      <w:marTop w:val="0"/>
      <w:marBottom w:val="0"/>
      <w:divBdr>
        <w:top w:val="none" w:sz="0" w:space="0" w:color="auto"/>
        <w:left w:val="none" w:sz="0" w:space="0" w:color="auto"/>
        <w:bottom w:val="none" w:sz="0" w:space="0" w:color="auto"/>
        <w:right w:val="none" w:sz="0" w:space="0" w:color="auto"/>
      </w:divBdr>
    </w:div>
    <w:div w:id="205719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6.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theme" Target="theme/theme1.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footer" Target="foot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igleau\AppData\Local\Microsoft\Windows\INetCache\Content.Outlook\E51VXBQG\Pseo_2022Pcr_Simul_StablePop_Transmitted.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igleau\AppData\Local\Microsoft\Windows\INetCache\Content.Outlook\E51VXBQG\Pseo_2022Pcr_Simul_StablePop_Transmitted.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net1.cec.eu.int\HR\Enc\HR\Legal%20Affairs\1.%20B1-D1-HR_E1\PER20.5.35%20R&#233;mun&#233;rations,%20pensions,%20indemnit&#233;s\PER20.5.35_09%20Etudes,%20&#233;valuations,%20calculs%202009-2020\PER20.5.35_09-02%20Evaluations%20de%20l'Annexe%20XII\2022\Excel%20files\Tables2018Report_Update_v2022072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net1.cec.eu.int\ESTAT\Enc\C3\_art83\2022\Results\AnnexXII_2022Review\TransmittedToHr\PseoContribMembersBySr_Transmitted_v20221209.xlsb"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gigleau\AppData\Local\Microsoft\Windows\INetCache\Content.Outlook\E51VXBQG\PseoContribMembersBySr_Transmitted_v20221110%20(002).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net1.cec.eu.int\HR\Enc\HR\Legal%20Affairs\1.%20LEGAL%20AND%20DATA%20PROTECTION\PER20.5.35%20R&#233;mun&#233;rations,%20pensions,%20indemnit&#233;s\PER20.5.35_09%20Etudes,%20&#233;valuations,%20calculs%202009-2020\PER20.5.35_09-02%20Evaluations%20de%20l'Annexe%20XII\2022\Excel%20files\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net1.cec.eu.int\HR\Enc\HR\Legal%20Affairs\1.%20LEGAL%20AND%20DATA%20PROTECTION\PER20.5.35%20R&#233;mun&#233;rations,%20pensions,%20indemnit&#233;s\PER20.5.35_09%20Etudes,%20&#233;valuations,%20calculs%202009-2020\PER20.5.35_09-02%20Evaluations%20de%20l'Annexe%20XII\2022\Excel%20files\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net1.cec.eu.int\HR\Enc\HR\Legal%20Affairs\1.%20LEGAL%20AND%20DATA%20PROTECTION\PER20.5.35%20R&#233;mun&#233;rations,%20pensions,%20indemnit&#233;s\PER20.5.35_09%20Etudes,%20&#233;valuations,%20calculs%202009-2020\PER20.5.35_09-02%20Evaluations%20de%20l'Annexe%20XII\2022\Excel%20files\av%20ac.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b="1"/>
              <a:t>PCR</a:t>
            </a:r>
            <a:r>
              <a:rPr lang="fr-BE" b="1" baseline="0"/>
              <a:t> over real discount rate scenarios</a:t>
            </a:r>
            <a:endParaRPr lang="fr-BE"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v>PCR (RDR scenarios)</c:v>
          </c:tx>
          <c:spPr>
            <a:ln w="190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'2022Pcr_SensAnalys_Rdr'!$B$4:$F$4</c:f>
              <c:numCache>
                <c:formatCode>0.0%</c:formatCode>
                <c:ptCount val="5"/>
                <c:pt idx="0" formatCode="0.00%">
                  <c:v>2.5000000000000001E-2</c:v>
                </c:pt>
                <c:pt idx="1">
                  <c:v>2.5999999999999999E-2</c:v>
                </c:pt>
                <c:pt idx="2">
                  <c:v>2.7E-2</c:v>
                </c:pt>
                <c:pt idx="3">
                  <c:v>2.8000000000000001E-2</c:v>
                </c:pt>
                <c:pt idx="4">
                  <c:v>2.9000000000000001E-2</c:v>
                </c:pt>
              </c:numCache>
            </c:numRef>
          </c:cat>
          <c:val>
            <c:numRef>
              <c:f>'2022Pcr_SensAnalys_Rdr'!$B$5:$F$5</c:f>
              <c:numCache>
                <c:formatCode>0.0%</c:formatCode>
                <c:ptCount val="5"/>
                <c:pt idx="0">
                  <c:v>0.10832102751103005</c:v>
                </c:pt>
                <c:pt idx="1">
                  <c:v>0.10564872857871355</c:v>
                </c:pt>
                <c:pt idx="2">
                  <c:v>0.1030610574422401</c:v>
                </c:pt>
                <c:pt idx="3">
                  <c:v>0.10055490951525375</c:v>
                </c:pt>
                <c:pt idx="4">
                  <c:v>9.8127306959083574E-2</c:v>
                </c:pt>
              </c:numCache>
            </c:numRef>
          </c:val>
          <c:smooth val="0"/>
          <c:extLst>
            <c:ext xmlns:c16="http://schemas.microsoft.com/office/drawing/2014/chart" uri="{C3380CC4-5D6E-409C-BE32-E72D297353CC}">
              <c16:uniqueId val="{00000000-772C-4794-8451-C44DF283D5A0}"/>
            </c:ext>
          </c:extLst>
        </c:ser>
        <c:dLbls>
          <c:showLegendKey val="0"/>
          <c:showVal val="0"/>
          <c:showCatName val="0"/>
          <c:showSerName val="0"/>
          <c:showPercent val="0"/>
          <c:showBubbleSize val="0"/>
        </c:dLbls>
        <c:smooth val="0"/>
        <c:axId val="1180447744"/>
        <c:axId val="1180448072"/>
      </c:lineChart>
      <c:catAx>
        <c:axId val="11804477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b="1">
                    <a:solidFill>
                      <a:sysClr val="windowText" lastClr="000000"/>
                    </a:solidFill>
                  </a:rPr>
                  <a:t>RDR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0448072"/>
        <c:crosses val="autoZero"/>
        <c:auto val="1"/>
        <c:lblAlgn val="ctr"/>
        <c:lblOffset val="100"/>
        <c:noMultiLvlLbl val="0"/>
      </c:catAx>
      <c:valAx>
        <c:axId val="1180448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b="1"/>
                  <a:t>PCR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0447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b="1"/>
              <a:t>PCR</a:t>
            </a:r>
            <a:r>
              <a:rPr lang="fr-BE" b="1" baseline="0"/>
              <a:t> over general salary growth scenarios</a:t>
            </a:r>
            <a:endParaRPr lang="fr-BE"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190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'2022Pcr_SensAnalys_Gsg'!$B$4:$F$4</c:f>
              <c:numCache>
                <c:formatCode>0.0%</c:formatCode>
                <c:ptCount val="5"/>
                <c:pt idx="0" formatCode="0.00%">
                  <c:v>-3.0000000000000001E-3</c:v>
                </c:pt>
                <c:pt idx="1">
                  <c:v>-2E-3</c:v>
                </c:pt>
                <c:pt idx="2">
                  <c:v>-1E-3</c:v>
                </c:pt>
                <c:pt idx="3">
                  <c:v>0</c:v>
                </c:pt>
                <c:pt idx="4">
                  <c:v>1E-3</c:v>
                </c:pt>
              </c:numCache>
            </c:numRef>
          </c:cat>
          <c:val>
            <c:numRef>
              <c:f>'2022Pcr_SensAnalys_Gsg'!$B$5:$F$5</c:f>
              <c:numCache>
                <c:formatCode>0.0%</c:formatCode>
                <c:ptCount val="5"/>
                <c:pt idx="0">
                  <c:v>9.805317140475113E-2</c:v>
                </c:pt>
                <c:pt idx="1">
                  <c:v>0.10051881446955352</c:v>
                </c:pt>
                <c:pt idx="2">
                  <c:v>0.1030610574422401</c:v>
                </c:pt>
                <c:pt idx="3">
                  <c:v>0.10568223743173559</c:v>
                </c:pt>
                <c:pt idx="4">
                  <c:v>0.10838514587528403</c:v>
                </c:pt>
              </c:numCache>
            </c:numRef>
          </c:val>
          <c:smooth val="0"/>
          <c:extLst>
            <c:ext xmlns:c16="http://schemas.microsoft.com/office/drawing/2014/chart" uri="{C3380CC4-5D6E-409C-BE32-E72D297353CC}">
              <c16:uniqueId val="{00000000-7587-468D-BE07-70A3B5B621EF}"/>
            </c:ext>
          </c:extLst>
        </c:ser>
        <c:dLbls>
          <c:dLblPos val="t"/>
          <c:showLegendKey val="0"/>
          <c:showVal val="1"/>
          <c:showCatName val="0"/>
          <c:showSerName val="0"/>
          <c:showPercent val="0"/>
          <c:showBubbleSize val="0"/>
        </c:dLbls>
        <c:smooth val="0"/>
        <c:axId val="420833160"/>
        <c:axId val="420835128"/>
      </c:lineChart>
      <c:catAx>
        <c:axId val="420833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b="1"/>
                  <a:t>GSG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835128"/>
        <c:crosses val="autoZero"/>
        <c:auto val="1"/>
        <c:lblAlgn val="ctr"/>
        <c:lblOffset val="100"/>
        <c:noMultiLvlLbl val="0"/>
      </c:catAx>
      <c:valAx>
        <c:axId val="420835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BE" b="1"/>
                  <a:t>PCR</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833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b="1">
                <a:solidFill>
                  <a:sysClr val="windowText" lastClr="000000"/>
                </a:solidFill>
              </a:rPr>
              <a:t>Calculated vs applied PCR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4"/>
          <c:order val="0"/>
          <c:tx>
            <c:v>Calculated PCR</c:v>
          </c:tx>
          <c:spPr>
            <a:ln w="28575" cap="rnd">
              <a:solidFill>
                <a:schemeClr val="accent5"/>
              </a:solidFill>
              <a:round/>
            </a:ln>
            <a:effectLst/>
          </c:spPr>
          <c:marker>
            <c:symbol val="none"/>
          </c:marker>
          <c:cat>
            <c:numRef>
              <c:f>'Tab5'!$C$3:$K$3</c:f>
              <c:numCache>
                <c:formatCode>0</c:formatCode>
                <c:ptCount val="9"/>
                <c:pt idx="0">
                  <c:v>2014</c:v>
                </c:pt>
                <c:pt idx="1">
                  <c:v>2015</c:v>
                </c:pt>
                <c:pt idx="2">
                  <c:v>2016</c:v>
                </c:pt>
                <c:pt idx="3">
                  <c:v>2017</c:v>
                </c:pt>
                <c:pt idx="4">
                  <c:v>2018</c:v>
                </c:pt>
                <c:pt idx="5">
                  <c:v>2019</c:v>
                </c:pt>
                <c:pt idx="6">
                  <c:v>2020</c:v>
                </c:pt>
                <c:pt idx="7">
                  <c:v>2021</c:v>
                </c:pt>
                <c:pt idx="8">
                  <c:v>2022</c:v>
                </c:pt>
              </c:numCache>
            </c:numRef>
          </c:cat>
          <c:val>
            <c:numRef>
              <c:f>'Tab6'!$L$20:$T$20</c:f>
              <c:numCache>
                <c:formatCode>0.0%</c:formatCode>
                <c:ptCount val="9"/>
                <c:pt idx="0">
                  <c:v>0.10100000000000001</c:v>
                </c:pt>
                <c:pt idx="1">
                  <c:v>0.10199999999999999</c:v>
                </c:pt>
                <c:pt idx="2">
                  <c:v>9.8000000000000004E-2</c:v>
                </c:pt>
                <c:pt idx="3">
                  <c:v>9.8000000000000004E-2</c:v>
                </c:pt>
                <c:pt idx="4">
                  <c:v>0.1</c:v>
                </c:pt>
                <c:pt idx="5">
                  <c:v>9.7000000000000003E-2</c:v>
                </c:pt>
                <c:pt idx="6">
                  <c:v>0.10100000000000001</c:v>
                </c:pt>
                <c:pt idx="7">
                  <c:v>9.9000000000000005E-2</c:v>
                </c:pt>
                <c:pt idx="8">
                  <c:v>0.10299999999999999</c:v>
                </c:pt>
              </c:numCache>
            </c:numRef>
          </c:val>
          <c:smooth val="0"/>
          <c:extLst>
            <c:ext xmlns:c16="http://schemas.microsoft.com/office/drawing/2014/chart" uri="{C3380CC4-5D6E-409C-BE32-E72D297353CC}">
              <c16:uniqueId val="{00000000-E367-482A-9BB8-B38ECCA424BF}"/>
            </c:ext>
          </c:extLst>
        </c:ser>
        <c:ser>
          <c:idx val="5"/>
          <c:order val="1"/>
          <c:tx>
            <c:v>Applied PCR</c:v>
          </c:tx>
          <c:spPr>
            <a:ln w="28575" cap="rnd">
              <a:solidFill>
                <a:schemeClr val="accent6"/>
              </a:solidFill>
              <a:round/>
            </a:ln>
            <a:effectLst/>
          </c:spPr>
          <c:marker>
            <c:symbol val="none"/>
          </c:marker>
          <c:cat>
            <c:numRef>
              <c:f>'Tab5'!$C$3:$K$3</c:f>
              <c:numCache>
                <c:formatCode>0</c:formatCode>
                <c:ptCount val="9"/>
                <c:pt idx="0">
                  <c:v>2014</c:v>
                </c:pt>
                <c:pt idx="1">
                  <c:v>2015</c:v>
                </c:pt>
                <c:pt idx="2">
                  <c:v>2016</c:v>
                </c:pt>
                <c:pt idx="3">
                  <c:v>2017</c:v>
                </c:pt>
                <c:pt idx="4">
                  <c:v>2018</c:v>
                </c:pt>
                <c:pt idx="5">
                  <c:v>2019</c:v>
                </c:pt>
                <c:pt idx="6">
                  <c:v>2020</c:v>
                </c:pt>
                <c:pt idx="7">
                  <c:v>2021</c:v>
                </c:pt>
                <c:pt idx="8">
                  <c:v>2022</c:v>
                </c:pt>
              </c:numCache>
            </c:numRef>
          </c:cat>
          <c:val>
            <c:numRef>
              <c:f>'Tab6'!$L$21:$T$21</c:f>
              <c:numCache>
                <c:formatCode>0.0%</c:formatCode>
                <c:ptCount val="9"/>
                <c:pt idx="0">
                  <c:v>0.10100000000000001</c:v>
                </c:pt>
                <c:pt idx="1">
                  <c:v>0.10100000000000001</c:v>
                </c:pt>
                <c:pt idx="2">
                  <c:v>9.8000000000000004E-2</c:v>
                </c:pt>
                <c:pt idx="3">
                  <c:v>9.8000000000000004E-2</c:v>
                </c:pt>
                <c:pt idx="4">
                  <c:v>0.1</c:v>
                </c:pt>
                <c:pt idx="5">
                  <c:v>9.7000000000000003E-2</c:v>
                </c:pt>
                <c:pt idx="6">
                  <c:v>0.10100000000000001</c:v>
                </c:pt>
                <c:pt idx="7">
                  <c:v>0.10100000000000001</c:v>
                </c:pt>
                <c:pt idx="8">
                  <c:v>0.10100000000000001</c:v>
                </c:pt>
              </c:numCache>
            </c:numRef>
          </c:val>
          <c:smooth val="0"/>
          <c:extLst>
            <c:ext xmlns:c16="http://schemas.microsoft.com/office/drawing/2014/chart" uri="{C3380CC4-5D6E-409C-BE32-E72D297353CC}">
              <c16:uniqueId val="{00000001-E367-482A-9BB8-B38ECCA424BF}"/>
            </c:ext>
          </c:extLst>
        </c:ser>
        <c:dLbls>
          <c:showLegendKey val="0"/>
          <c:showVal val="0"/>
          <c:showCatName val="0"/>
          <c:showSerName val="0"/>
          <c:showPercent val="0"/>
          <c:showBubbleSize val="0"/>
        </c:dLbls>
        <c:smooth val="0"/>
        <c:axId val="706245032"/>
        <c:axId val="706235192"/>
      </c:lineChart>
      <c:catAx>
        <c:axId val="70624503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06235192"/>
        <c:crossesAt val="8.0000000000000016E-2"/>
        <c:auto val="1"/>
        <c:lblAlgn val="ctr"/>
        <c:lblOffset val="100"/>
        <c:noMultiLvlLbl val="0"/>
      </c:catAx>
      <c:valAx>
        <c:axId val="706235192"/>
        <c:scaling>
          <c:orientation val="minMax"/>
          <c:max val="0.11000000000000001"/>
          <c:min val="9.0000000000000024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06245032"/>
        <c:crosses val="autoZero"/>
        <c:crossBetween val="between"/>
        <c:majorUnit val="5.000000000000001E-3"/>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400" b="1" i="0" baseline="0">
                <a:effectLst/>
              </a:rPr>
              <a:t>PSEO actives by accrual rate</a:t>
            </a:r>
            <a:endParaRPr lang="fr-BE"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ActivesBySr!$A$21</c:f>
              <c:strCache>
                <c:ptCount val="1"/>
                <c:pt idx="0">
                  <c:v>1.8%</c:v>
                </c:pt>
              </c:strCache>
            </c:strRef>
          </c:tx>
          <c:spPr>
            <a:solidFill>
              <a:schemeClr val="accent1"/>
            </a:solidFill>
            <a:ln>
              <a:noFill/>
            </a:ln>
            <a:effectLst/>
          </c:spPr>
          <c:cat>
            <c:numRef>
              <c:f>ActivesBySr!$B$20:$J$20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ActivesBySr!$B$21:$J$21</c:f>
              <c:numCache>
                <c:formatCode>0.0%</c:formatCode>
                <c:ptCount val="9"/>
                <c:pt idx="0">
                  <c:v>0</c:v>
                </c:pt>
                <c:pt idx="1">
                  <c:v>0.1099160008195042</c:v>
                </c:pt>
                <c:pt idx="2">
                  <c:v>0.18788588638835438</c:v>
                </c:pt>
                <c:pt idx="3">
                  <c:v>0.24572495577540457</c:v>
                </c:pt>
                <c:pt idx="4">
                  <c:v>0.2977907583866336</c:v>
                </c:pt>
                <c:pt idx="5">
                  <c:v>0.34518220433713392</c:v>
                </c:pt>
                <c:pt idx="6">
                  <c:v>0.39828906323849134</c:v>
                </c:pt>
                <c:pt idx="7">
                  <c:v>0.43218008668769126</c:v>
                </c:pt>
                <c:pt idx="8">
                  <c:v>0.47898676748582231</c:v>
                </c:pt>
              </c:numCache>
            </c:numRef>
          </c:val>
          <c:extLst>
            <c:ext xmlns:c16="http://schemas.microsoft.com/office/drawing/2014/chart" uri="{C3380CC4-5D6E-409C-BE32-E72D297353CC}">
              <c16:uniqueId val="{00000000-75DE-4BBE-B03D-9FAB176DF7C5}"/>
            </c:ext>
          </c:extLst>
        </c:ser>
        <c:ser>
          <c:idx val="1"/>
          <c:order val="1"/>
          <c:tx>
            <c:strRef>
              <c:f>ActivesBySr!$A$22</c:f>
              <c:strCache>
                <c:ptCount val="1"/>
                <c:pt idx="0">
                  <c:v>1.9%</c:v>
                </c:pt>
              </c:strCache>
            </c:strRef>
          </c:tx>
          <c:spPr>
            <a:solidFill>
              <a:schemeClr val="accent2"/>
            </a:solidFill>
            <a:ln>
              <a:noFill/>
            </a:ln>
            <a:effectLst/>
          </c:spPr>
          <c:cat>
            <c:numRef>
              <c:f>ActivesBySr!$B$20:$J$20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ActivesBySr!$B$22:$J$22</c:f>
              <c:numCache>
                <c:formatCode>0.0%</c:formatCode>
                <c:ptCount val="9"/>
                <c:pt idx="0">
                  <c:v>0.63795839514265018</c:v>
                </c:pt>
                <c:pt idx="1">
                  <c:v>0.55024585125998771</c:v>
                </c:pt>
                <c:pt idx="2">
                  <c:v>0.49682924788755961</c:v>
                </c:pt>
                <c:pt idx="3">
                  <c:v>0.45919871584878463</c:v>
                </c:pt>
                <c:pt idx="4">
                  <c:v>0.42421028586346432</c:v>
                </c:pt>
                <c:pt idx="5">
                  <c:v>0.39751205646577881</c:v>
                </c:pt>
                <c:pt idx="6">
                  <c:v>0.36578756656268707</c:v>
                </c:pt>
                <c:pt idx="7">
                  <c:v>0.35077444111295808</c:v>
                </c:pt>
                <c:pt idx="8">
                  <c:v>0.32748582230623818</c:v>
                </c:pt>
              </c:numCache>
            </c:numRef>
          </c:val>
          <c:extLst>
            <c:ext xmlns:c16="http://schemas.microsoft.com/office/drawing/2014/chart" uri="{C3380CC4-5D6E-409C-BE32-E72D297353CC}">
              <c16:uniqueId val="{00000001-75DE-4BBE-B03D-9FAB176DF7C5}"/>
            </c:ext>
          </c:extLst>
        </c:ser>
        <c:ser>
          <c:idx val="2"/>
          <c:order val="2"/>
          <c:tx>
            <c:strRef>
              <c:f>ActivesBySr!$A$23</c:f>
              <c:strCache>
                <c:ptCount val="1"/>
                <c:pt idx="0">
                  <c:v>2.0%</c:v>
                </c:pt>
              </c:strCache>
            </c:strRef>
          </c:tx>
          <c:spPr>
            <a:solidFill>
              <a:schemeClr val="accent3"/>
            </a:solidFill>
            <a:ln>
              <a:noFill/>
            </a:ln>
            <a:effectLst/>
          </c:spPr>
          <c:cat>
            <c:numRef>
              <c:f>ActivesBySr!$B$20:$J$20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ActivesBySr!$B$23:$J$23</c:f>
              <c:numCache>
                <c:formatCode>0.0%</c:formatCode>
                <c:ptCount val="9"/>
                <c:pt idx="0">
                  <c:v>0.36204160485734982</c:v>
                </c:pt>
                <c:pt idx="1">
                  <c:v>0.33983814792050809</c:v>
                </c:pt>
                <c:pt idx="2">
                  <c:v>0.31528486572408598</c:v>
                </c:pt>
                <c:pt idx="3">
                  <c:v>0.29507632837581077</c:v>
                </c:pt>
                <c:pt idx="4">
                  <c:v>0.27799895574990208</c:v>
                </c:pt>
                <c:pt idx="5">
                  <c:v>0.25730573919708727</c:v>
                </c:pt>
                <c:pt idx="6">
                  <c:v>0.23592337019882156</c:v>
                </c:pt>
                <c:pt idx="7">
                  <c:v>0.21704547219935061</c:v>
                </c:pt>
                <c:pt idx="8">
                  <c:v>0.19352741020793951</c:v>
                </c:pt>
              </c:numCache>
            </c:numRef>
          </c:val>
          <c:extLst>
            <c:ext xmlns:c16="http://schemas.microsoft.com/office/drawing/2014/chart" uri="{C3380CC4-5D6E-409C-BE32-E72D297353CC}">
              <c16:uniqueId val="{00000002-75DE-4BBE-B03D-9FAB176DF7C5}"/>
            </c:ext>
          </c:extLst>
        </c:ser>
        <c:dLbls>
          <c:showLegendKey val="0"/>
          <c:showVal val="0"/>
          <c:showCatName val="0"/>
          <c:showSerName val="0"/>
          <c:showPercent val="0"/>
          <c:showBubbleSize val="0"/>
        </c:dLbls>
        <c:axId val="650781728"/>
        <c:axId val="650785664"/>
      </c:areaChart>
      <c:catAx>
        <c:axId val="6507817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BE"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50785664"/>
        <c:crosses val="autoZero"/>
        <c:auto val="1"/>
        <c:lblAlgn val="ctr"/>
        <c:lblOffset val="100"/>
        <c:noMultiLvlLbl val="0"/>
      </c:catAx>
      <c:valAx>
        <c:axId val="65078566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BE" sz="1000" b="1" i="0" baseline="0">
                    <a:effectLst/>
                  </a:rPr>
                  <a:t>% of actives</a:t>
                </a:r>
                <a:endParaRPr lang="fr-BE"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fr-BE"/>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507817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400" b="1" i="0" baseline="0">
                <a:effectLst/>
              </a:rPr>
              <a:t>Pensionable Years by accrual rate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PensYBySr!$B$21</c:f>
              <c:strCache>
                <c:ptCount val="1"/>
                <c:pt idx="0">
                  <c:v>1,8%</c:v>
                </c:pt>
              </c:strCache>
            </c:strRef>
          </c:tx>
          <c:spPr>
            <a:solidFill>
              <a:schemeClr val="accent1"/>
            </a:solidFill>
            <a:ln>
              <a:noFill/>
            </a:ln>
            <a:effectLst/>
          </c:spPr>
          <c:cat>
            <c:numRef>
              <c:f>PensYBySr!$C$20:$K$20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PensYBySr!$C$21:$K$21</c:f>
              <c:numCache>
                <c:formatCode>0.00%</c:formatCode>
                <c:ptCount val="9"/>
                <c:pt idx="0">
                  <c:v>0</c:v>
                </c:pt>
                <c:pt idx="1">
                  <c:v>2.8035809296805277E-2</c:v>
                </c:pt>
                <c:pt idx="2">
                  <c:v>5.5329558760514937E-2</c:v>
                </c:pt>
                <c:pt idx="3">
                  <c:v>7.6453253928672124E-2</c:v>
                </c:pt>
                <c:pt idx="4">
                  <c:v>9.9784404496290349E-2</c:v>
                </c:pt>
                <c:pt idx="5">
                  <c:v>0.12653890600203357</c:v>
                </c:pt>
                <c:pt idx="6">
                  <c:v>0.16034934952383648</c:v>
                </c:pt>
                <c:pt idx="7">
                  <c:v>0.1810538585687306</c:v>
                </c:pt>
                <c:pt idx="8">
                  <c:v>0.21571825352552018</c:v>
                </c:pt>
              </c:numCache>
            </c:numRef>
          </c:val>
          <c:extLst>
            <c:ext xmlns:c16="http://schemas.microsoft.com/office/drawing/2014/chart" uri="{C3380CC4-5D6E-409C-BE32-E72D297353CC}">
              <c16:uniqueId val="{00000000-88D7-4746-BB4F-0CDC2AAE1A3B}"/>
            </c:ext>
          </c:extLst>
        </c:ser>
        <c:ser>
          <c:idx val="1"/>
          <c:order val="1"/>
          <c:tx>
            <c:strRef>
              <c:f>PensYBySr!$B$22</c:f>
              <c:strCache>
                <c:ptCount val="1"/>
                <c:pt idx="0">
                  <c:v>1,9%</c:v>
                </c:pt>
              </c:strCache>
            </c:strRef>
          </c:tx>
          <c:spPr>
            <a:solidFill>
              <a:schemeClr val="accent2"/>
            </a:solidFill>
            <a:ln>
              <a:noFill/>
            </a:ln>
            <a:effectLst/>
          </c:spPr>
          <c:cat>
            <c:numRef>
              <c:f>PensYBySr!$C$20:$K$20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PensYBySr!$C$22:$K$22</c:f>
              <c:numCache>
                <c:formatCode>0.00%</c:formatCode>
                <c:ptCount val="9"/>
                <c:pt idx="0">
                  <c:v>0.31084997250139551</c:v>
                </c:pt>
                <c:pt idx="1">
                  <c:v>0.31905431826938685</c:v>
                </c:pt>
                <c:pt idx="2">
                  <c:v>0.3319185137182738</c:v>
                </c:pt>
                <c:pt idx="3">
                  <c:v>0.33921600848527045</c:v>
                </c:pt>
                <c:pt idx="4">
                  <c:v>0.36880222740639862</c:v>
                </c:pt>
                <c:pt idx="5">
                  <c:v>0.37587915561094926</c:v>
                </c:pt>
                <c:pt idx="6">
                  <c:v>0.37552581272791108</c:v>
                </c:pt>
                <c:pt idx="7">
                  <c:v>0.38487143265941109</c:v>
                </c:pt>
                <c:pt idx="8">
                  <c:v>0.38637992823727002</c:v>
                </c:pt>
              </c:numCache>
            </c:numRef>
          </c:val>
          <c:extLst>
            <c:ext xmlns:c16="http://schemas.microsoft.com/office/drawing/2014/chart" uri="{C3380CC4-5D6E-409C-BE32-E72D297353CC}">
              <c16:uniqueId val="{00000001-88D7-4746-BB4F-0CDC2AAE1A3B}"/>
            </c:ext>
          </c:extLst>
        </c:ser>
        <c:ser>
          <c:idx val="2"/>
          <c:order val="2"/>
          <c:tx>
            <c:strRef>
              <c:f>PensYBySr!$B$23</c:f>
              <c:strCache>
                <c:ptCount val="1"/>
                <c:pt idx="0">
                  <c:v>2,0%</c:v>
                </c:pt>
              </c:strCache>
            </c:strRef>
          </c:tx>
          <c:spPr>
            <a:solidFill>
              <a:schemeClr val="accent3"/>
            </a:solidFill>
            <a:ln>
              <a:noFill/>
            </a:ln>
            <a:effectLst/>
          </c:spPr>
          <c:cat>
            <c:numRef>
              <c:f>PensYBySr!$C$20:$K$20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PensYBySr!$C$23:$K$23</c:f>
              <c:numCache>
                <c:formatCode>0.00%</c:formatCode>
                <c:ptCount val="9"/>
                <c:pt idx="0">
                  <c:v>0.68915002749860454</c:v>
                </c:pt>
                <c:pt idx="1">
                  <c:v>0.65290987243380783</c:v>
                </c:pt>
                <c:pt idx="2">
                  <c:v>0.61275192752121133</c:v>
                </c:pt>
                <c:pt idx="3">
                  <c:v>0.58433073758605736</c:v>
                </c:pt>
                <c:pt idx="4">
                  <c:v>0.53141336809731099</c:v>
                </c:pt>
                <c:pt idx="5">
                  <c:v>0.4975819383870172</c:v>
                </c:pt>
                <c:pt idx="6">
                  <c:v>0.46412483774825247</c:v>
                </c:pt>
                <c:pt idx="7">
                  <c:v>0.43407470877185828</c:v>
                </c:pt>
                <c:pt idx="8">
                  <c:v>0.39790181823720971</c:v>
                </c:pt>
              </c:numCache>
            </c:numRef>
          </c:val>
          <c:extLst>
            <c:ext xmlns:c16="http://schemas.microsoft.com/office/drawing/2014/chart" uri="{C3380CC4-5D6E-409C-BE32-E72D297353CC}">
              <c16:uniqueId val="{00000002-88D7-4746-BB4F-0CDC2AAE1A3B}"/>
            </c:ext>
          </c:extLst>
        </c:ser>
        <c:dLbls>
          <c:showLegendKey val="0"/>
          <c:showVal val="0"/>
          <c:showCatName val="0"/>
          <c:showSerName val="0"/>
          <c:showPercent val="0"/>
          <c:showBubbleSize val="0"/>
        </c:dLbls>
        <c:axId val="729652336"/>
        <c:axId val="729647744"/>
      </c:areaChart>
      <c:catAx>
        <c:axId val="7296523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BE" b="1"/>
                  <a:t>Years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29647744"/>
        <c:crosses val="autoZero"/>
        <c:auto val="1"/>
        <c:lblAlgn val="ctr"/>
        <c:lblOffset val="100"/>
        <c:noMultiLvlLbl val="0"/>
      </c:catAx>
      <c:valAx>
        <c:axId val="72964774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BE" b="1"/>
                  <a:t>Pens Years by AR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29652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Old-Age Pensioners at 31/12/2021</a:t>
            </a:r>
            <a:endParaRPr lang="fr-BE">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Accrual rate</c:v>
                </c:pt>
              </c:strCache>
            </c:strRef>
          </c:tx>
          <c:spPr>
            <a:solidFill>
              <a:schemeClr val="accent6"/>
            </a:solidFill>
            <a:ln>
              <a:noFill/>
            </a:ln>
            <a:effectLst/>
          </c:spPr>
          <c:invertIfNegative val="0"/>
          <c:cat>
            <c:numRef>
              <c:f>Sheet1!$A$2:$A$4</c:f>
              <c:numCache>
                <c:formatCode>0.00%</c:formatCode>
                <c:ptCount val="3"/>
                <c:pt idx="0" formatCode="0%">
                  <c:v>0.02</c:v>
                </c:pt>
                <c:pt idx="1">
                  <c:v>1.9E-2</c:v>
                </c:pt>
                <c:pt idx="2">
                  <c:v>1.7999999999999999E-2</c:v>
                </c:pt>
              </c:numCache>
            </c:numRef>
          </c:cat>
          <c:val>
            <c:numRef>
              <c:f>Sheet1!$B$2:$B$4</c:f>
              <c:numCache>
                <c:formatCode>General</c:formatCode>
                <c:ptCount val="3"/>
                <c:pt idx="0">
                  <c:v>90</c:v>
                </c:pt>
                <c:pt idx="1">
                  <c:v>9</c:v>
                </c:pt>
                <c:pt idx="2">
                  <c:v>1</c:v>
                </c:pt>
              </c:numCache>
            </c:numRef>
          </c:val>
          <c:extLst>
            <c:ext xmlns:c16="http://schemas.microsoft.com/office/drawing/2014/chart" uri="{C3380CC4-5D6E-409C-BE32-E72D297353CC}">
              <c16:uniqueId val="{00000000-97FA-4561-B056-CBA95E1D0A3C}"/>
            </c:ext>
          </c:extLst>
        </c:ser>
        <c:dLbls>
          <c:showLegendKey val="0"/>
          <c:showVal val="0"/>
          <c:showCatName val="0"/>
          <c:showSerName val="0"/>
          <c:showPercent val="0"/>
          <c:showBubbleSize val="0"/>
        </c:dLbls>
        <c:gapWidth val="219"/>
        <c:overlap val="-27"/>
        <c:axId val="935845872"/>
        <c:axId val="935852432"/>
      </c:barChart>
      <c:catAx>
        <c:axId val="93584587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852432"/>
        <c:crosses val="autoZero"/>
        <c:auto val="1"/>
        <c:lblAlgn val="ctr"/>
        <c:lblOffset val="100"/>
        <c:noMultiLvlLbl val="0"/>
      </c:catAx>
      <c:valAx>
        <c:axId val="93585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84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Pension contribution rate - 2021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Sheet1!$L$10:$L$36</c:f>
              <c:strCache>
                <c:ptCount val="27"/>
                <c:pt idx="0">
                  <c:v>BG</c:v>
                </c:pt>
                <c:pt idx="1">
                  <c:v>DE</c:v>
                </c:pt>
                <c:pt idx="2">
                  <c:v>DK</c:v>
                </c:pt>
                <c:pt idx="3">
                  <c:v>SE</c:v>
                </c:pt>
                <c:pt idx="4">
                  <c:v>EE</c:v>
                </c:pt>
                <c:pt idx="5">
                  <c:v>ES</c:v>
                </c:pt>
                <c:pt idx="6">
                  <c:v>CY</c:v>
                </c:pt>
                <c:pt idx="7">
                  <c:v>CZ</c:v>
                </c:pt>
                <c:pt idx="8">
                  <c:v>EL</c:v>
                </c:pt>
                <c:pt idx="9">
                  <c:v>BE</c:v>
                </c:pt>
                <c:pt idx="10">
                  <c:v>LU</c:v>
                </c:pt>
                <c:pt idx="11">
                  <c:v>NL</c:v>
                </c:pt>
                <c:pt idx="12">
                  <c:v>PL</c:v>
                </c:pt>
                <c:pt idx="13">
                  <c:v>IE</c:v>
                </c:pt>
                <c:pt idx="14">
                  <c:v>FI</c:v>
                </c:pt>
                <c:pt idx="15">
                  <c:v>LT</c:v>
                </c:pt>
                <c:pt idx="16">
                  <c:v>IT</c:v>
                </c:pt>
                <c:pt idx="17">
                  <c:v>HU</c:v>
                </c:pt>
                <c:pt idx="18">
                  <c:v>FR</c:v>
                </c:pt>
                <c:pt idx="19">
                  <c:v>MT</c:v>
                </c:pt>
                <c:pt idx="20">
                  <c:v>EU</c:v>
                </c:pt>
                <c:pt idx="21">
                  <c:v>AT</c:v>
                </c:pt>
                <c:pt idx="22">
                  <c:v>PT</c:v>
                </c:pt>
                <c:pt idx="23">
                  <c:v>HR</c:v>
                </c:pt>
                <c:pt idx="24">
                  <c:v>LV</c:v>
                </c:pt>
                <c:pt idx="25">
                  <c:v>RO</c:v>
                </c:pt>
                <c:pt idx="26">
                  <c:v>SI</c:v>
                </c:pt>
              </c:strCache>
            </c:strRef>
          </c:cat>
          <c:val>
            <c:numRef>
              <c:f>Sheet1!$M$10:$M$36</c:f>
              <c:numCache>
                <c:formatCode>General</c:formatCode>
                <c:ptCount val="27"/>
                <c:pt idx="0">
                  <c:v>0</c:v>
                </c:pt>
                <c:pt idx="1">
                  <c:v>0</c:v>
                </c:pt>
                <c:pt idx="2">
                  <c:v>0</c:v>
                </c:pt>
                <c:pt idx="3">
                  <c:v>0</c:v>
                </c:pt>
                <c:pt idx="4">
                  <c:v>0</c:v>
                </c:pt>
                <c:pt idx="5">
                  <c:v>3.7</c:v>
                </c:pt>
                <c:pt idx="6">
                  <c:v>6.2</c:v>
                </c:pt>
                <c:pt idx="7">
                  <c:v>6.2</c:v>
                </c:pt>
                <c:pt idx="8">
                  <c:v>6.2</c:v>
                </c:pt>
                <c:pt idx="9">
                  <c:v>7.5</c:v>
                </c:pt>
                <c:pt idx="10">
                  <c:v>8</c:v>
                </c:pt>
                <c:pt idx="11">
                  <c:v>8</c:v>
                </c:pt>
                <c:pt idx="12">
                  <c:v>8.6999999999999993</c:v>
                </c:pt>
                <c:pt idx="13">
                  <c:v>8.6999999999999993</c:v>
                </c:pt>
                <c:pt idx="14">
                  <c:v>8.6999999999999993</c:v>
                </c:pt>
                <c:pt idx="15">
                  <c:v>8.6999999999999993</c:v>
                </c:pt>
                <c:pt idx="16">
                  <c:v>9.9</c:v>
                </c:pt>
                <c:pt idx="17">
                  <c:v>9.9</c:v>
                </c:pt>
                <c:pt idx="18">
                  <c:v>9.9</c:v>
                </c:pt>
                <c:pt idx="19">
                  <c:v>10</c:v>
                </c:pt>
                <c:pt idx="20">
                  <c:v>10.1</c:v>
                </c:pt>
                <c:pt idx="21">
                  <c:v>10.199999999999999</c:v>
                </c:pt>
                <c:pt idx="22">
                  <c:v>11</c:v>
                </c:pt>
                <c:pt idx="23">
                  <c:v>15</c:v>
                </c:pt>
                <c:pt idx="24">
                  <c:v>15</c:v>
                </c:pt>
                <c:pt idx="25">
                  <c:v>15</c:v>
                </c:pt>
                <c:pt idx="26">
                  <c:v>15</c:v>
                </c:pt>
              </c:numCache>
            </c:numRef>
          </c:val>
          <c:extLst>
            <c:ext xmlns:c16="http://schemas.microsoft.com/office/drawing/2014/chart" uri="{C3380CC4-5D6E-409C-BE32-E72D297353CC}">
              <c16:uniqueId val="{00000000-8D8D-4AC7-A1DE-8CA7672832A9}"/>
            </c:ext>
          </c:extLst>
        </c:ser>
        <c:dLbls>
          <c:showLegendKey val="0"/>
          <c:showVal val="0"/>
          <c:showCatName val="0"/>
          <c:showSerName val="0"/>
          <c:showPercent val="0"/>
          <c:showBubbleSize val="0"/>
        </c:dLbls>
        <c:gapWidth val="219"/>
        <c:overlap val="-27"/>
        <c:axId val="235653944"/>
        <c:axId val="235653288"/>
      </c:barChart>
      <c:catAx>
        <c:axId val="235653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53288"/>
        <c:crosses val="autoZero"/>
        <c:auto val="1"/>
        <c:lblAlgn val="ctr"/>
        <c:lblOffset val="100"/>
        <c:noMultiLvlLbl val="0"/>
      </c:catAx>
      <c:valAx>
        <c:axId val="235653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539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Normal pensionable</a:t>
            </a:r>
            <a:r>
              <a:rPr lang="fr-BE" baseline="0"/>
              <a:t> age - 2021</a:t>
            </a:r>
            <a:endParaRPr lang="fr-B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Sheet1!$D$10:$D$32</c:f>
              <c:strCache>
                <c:ptCount val="23"/>
                <c:pt idx="0">
                  <c:v>CZ</c:v>
                </c:pt>
                <c:pt idx="1">
                  <c:v>HR</c:v>
                </c:pt>
                <c:pt idx="2">
                  <c:v>LU</c:v>
                </c:pt>
                <c:pt idx="3">
                  <c:v>PL</c:v>
                </c:pt>
                <c:pt idx="4">
                  <c:v>BG</c:v>
                </c:pt>
                <c:pt idx="5">
                  <c:v>MT</c:v>
                </c:pt>
                <c:pt idx="6">
                  <c:v>EL</c:v>
                </c:pt>
                <c:pt idx="7">
                  <c:v>FR</c:v>
                </c:pt>
                <c:pt idx="8">
                  <c:v>LV</c:v>
                </c:pt>
                <c:pt idx="9">
                  <c:v>SI</c:v>
                </c:pt>
                <c:pt idx="10">
                  <c:v>EE</c:v>
                </c:pt>
                <c:pt idx="11">
                  <c:v>FI</c:v>
                </c:pt>
                <c:pt idx="12">
                  <c:v>AT</c:v>
                </c:pt>
                <c:pt idx="13">
                  <c:v>BE</c:v>
                </c:pt>
                <c:pt idx="14">
                  <c:v>CY</c:v>
                </c:pt>
                <c:pt idx="15">
                  <c:v>ES</c:v>
                </c:pt>
                <c:pt idx="16">
                  <c:v>SE</c:v>
                </c:pt>
                <c:pt idx="17">
                  <c:v>DE</c:v>
                </c:pt>
                <c:pt idx="18">
                  <c:v>IE</c:v>
                </c:pt>
                <c:pt idx="19">
                  <c:v>NL</c:v>
                </c:pt>
                <c:pt idx="20">
                  <c:v>PT</c:v>
                </c:pt>
                <c:pt idx="21">
                  <c:v>EU</c:v>
                </c:pt>
                <c:pt idx="22">
                  <c:v>IT</c:v>
                </c:pt>
              </c:strCache>
            </c:strRef>
          </c:cat>
          <c:val>
            <c:numRef>
              <c:f>Sheet1!$E$10:$E$32</c:f>
              <c:numCache>
                <c:formatCode>General</c:formatCode>
                <c:ptCount val="23"/>
                <c:pt idx="0">
                  <c:v>59</c:v>
                </c:pt>
                <c:pt idx="1">
                  <c:v>60</c:v>
                </c:pt>
                <c:pt idx="2">
                  <c:v>60</c:v>
                </c:pt>
                <c:pt idx="3">
                  <c:v>60</c:v>
                </c:pt>
                <c:pt idx="4">
                  <c:v>61</c:v>
                </c:pt>
                <c:pt idx="5">
                  <c:v>61</c:v>
                </c:pt>
                <c:pt idx="6">
                  <c:v>62</c:v>
                </c:pt>
                <c:pt idx="7">
                  <c:v>62</c:v>
                </c:pt>
                <c:pt idx="8">
                  <c:v>63</c:v>
                </c:pt>
                <c:pt idx="9">
                  <c:v>63</c:v>
                </c:pt>
                <c:pt idx="10">
                  <c:v>64</c:v>
                </c:pt>
                <c:pt idx="11">
                  <c:v>64</c:v>
                </c:pt>
                <c:pt idx="12">
                  <c:v>65</c:v>
                </c:pt>
                <c:pt idx="13">
                  <c:v>65</c:v>
                </c:pt>
                <c:pt idx="14">
                  <c:v>65</c:v>
                </c:pt>
                <c:pt idx="15">
                  <c:v>65</c:v>
                </c:pt>
                <c:pt idx="16">
                  <c:v>65</c:v>
                </c:pt>
                <c:pt idx="17">
                  <c:v>66</c:v>
                </c:pt>
                <c:pt idx="18">
                  <c:v>66</c:v>
                </c:pt>
                <c:pt idx="19">
                  <c:v>66</c:v>
                </c:pt>
                <c:pt idx="20">
                  <c:v>66</c:v>
                </c:pt>
                <c:pt idx="21">
                  <c:v>66</c:v>
                </c:pt>
                <c:pt idx="22">
                  <c:v>67</c:v>
                </c:pt>
              </c:numCache>
            </c:numRef>
          </c:val>
          <c:extLst>
            <c:ext xmlns:c16="http://schemas.microsoft.com/office/drawing/2014/chart" uri="{C3380CC4-5D6E-409C-BE32-E72D297353CC}">
              <c16:uniqueId val="{00000000-E9A8-4DD9-86BC-E9AF8026116D}"/>
            </c:ext>
          </c:extLst>
        </c:ser>
        <c:dLbls>
          <c:showLegendKey val="0"/>
          <c:showVal val="0"/>
          <c:showCatName val="0"/>
          <c:showSerName val="0"/>
          <c:showPercent val="0"/>
          <c:showBubbleSize val="0"/>
        </c:dLbls>
        <c:gapWidth val="219"/>
        <c:overlap val="-27"/>
        <c:axId val="235657552"/>
        <c:axId val="235658208"/>
      </c:barChart>
      <c:catAx>
        <c:axId val="23565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58208"/>
        <c:crosses val="autoZero"/>
        <c:auto val="1"/>
        <c:lblAlgn val="ctr"/>
        <c:lblOffset val="100"/>
        <c:noMultiLvlLbl val="0"/>
      </c:catAx>
      <c:valAx>
        <c:axId val="23565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57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'Average Pension Right'!$F$4:$F$8</c:f>
              <c:numCache>
                <c:formatCode>m/d/yyyy</c:formatCode>
                <c:ptCount val="5"/>
                <c:pt idx="0">
                  <c:v>38108</c:v>
                </c:pt>
                <c:pt idx="1">
                  <c:v>39934</c:v>
                </c:pt>
                <c:pt idx="2">
                  <c:v>41760</c:v>
                </c:pt>
                <c:pt idx="3">
                  <c:v>43586</c:v>
                </c:pt>
                <c:pt idx="4">
                  <c:v>44774</c:v>
                </c:pt>
              </c:numCache>
            </c:numRef>
          </c:cat>
          <c:val>
            <c:numRef>
              <c:f>'Average Pension Right'!$G$4:$G$8</c:f>
              <c:numCache>
                <c:formatCode>0.00000</c:formatCode>
                <c:ptCount val="5"/>
                <c:pt idx="0">
                  <c:v>64.668544697871098</c:v>
                </c:pt>
                <c:pt idx="1">
                  <c:v>64.118823384743905</c:v>
                </c:pt>
                <c:pt idx="2">
                  <c:v>63.269998219134301</c:v>
                </c:pt>
                <c:pt idx="3">
                  <c:v>62.346123820802397</c:v>
                </c:pt>
                <c:pt idx="4">
                  <c:v>61.689369542302501</c:v>
                </c:pt>
              </c:numCache>
            </c:numRef>
          </c:val>
          <c:smooth val="0"/>
          <c:extLst>
            <c:ext xmlns:c16="http://schemas.microsoft.com/office/drawing/2014/chart" uri="{C3380CC4-5D6E-409C-BE32-E72D297353CC}">
              <c16:uniqueId val="{00000000-14E6-4074-B24F-529B77A8D593}"/>
            </c:ext>
          </c:extLst>
        </c:ser>
        <c:dLbls>
          <c:showLegendKey val="0"/>
          <c:showVal val="0"/>
          <c:showCatName val="0"/>
          <c:showSerName val="0"/>
          <c:showPercent val="0"/>
          <c:showBubbleSize val="0"/>
        </c:dLbls>
        <c:smooth val="0"/>
        <c:axId val="483508048"/>
        <c:axId val="483509688"/>
      </c:lineChart>
      <c:dateAx>
        <c:axId val="48350804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509688"/>
        <c:crossesAt val="60"/>
        <c:auto val="1"/>
        <c:lblOffset val="100"/>
        <c:baseTimeUnit val="years"/>
      </c:dateAx>
      <c:valAx>
        <c:axId val="483509688"/>
        <c:scaling>
          <c:orientation val="minMax"/>
          <c:min val="6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508048"/>
        <c:crosses val="autoZero"/>
        <c:crossBetween val="between"/>
        <c:majorUnit val="1"/>
        <c:dispUnits>
          <c:builtInUnit val="hundre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73366518C048D7BE0E3C0336E46867"/>
        <w:category>
          <w:name w:val="General"/>
          <w:gallery w:val="placeholder"/>
        </w:category>
        <w:types>
          <w:type w:val="bbPlcHdr"/>
        </w:types>
        <w:behaviors>
          <w:behavior w:val="content"/>
        </w:behaviors>
        <w:guid w:val="{A13B46E0-4D6D-4825-B523-1DE041FDE267}"/>
      </w:docPartPr>
      <w:docPartBody>
        <w:p w:rsidR="002B72B8" w:rsidRDefault="0050108A" w:rsidP="0050108A">
          <w:pPr>
            <w:pStyle w:val="B573366518C048D7BE0E3C0336E46867"/>
          </w:pPr>
          <w:r>
            <w:rPr>
              <w:rStyle w:val="PlaceholderText"/>
              <w:lang w:val="en-GB"/>
            </w:rPr>
            <w:t>Type the document title here.</w:t>
          </w:r>
        </w:p>
      </w:docPartBody>
    </w:docPart>
    <w:docPart>
      <w:docPartPr>
        <w:name w:val="D2AC4D6DA57044E9B66C4D5D1E3074F0"/>
        <w:category>
          <w:name w:val="General"/>
          <w:gallery w:val="placeholder"/>
        </w:category>
        <w:types>
          <w:type w:val="bbPlcHdr"/>
        </w:types>
        <w:behaviors>
          <w:behavior w:val="content"/>
        </w:behaviors>
        <w:guid w:val="{2B1AF714-D978-4350-98B6-31AAF3458959}"/>
      </w:docPartPr>
      <w:docPartBody>
        <w:p w:rsidR="002B72B8" w:rsidRDefault="0050108A" w:rsidP="0050108A">
          <w:pPr>
            <w:pStyle w:val="D2AC4D6DA57044E9B66C4D5D1E3074F0"/>
          </w:pPr>
          <w:r>
            <w:rPr>
              <w:rStyle w:val="PlaceholderText"/>
              <w:lang w:val="en-GB"/>
            </w:rPr>
            <w:t>Type the first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8A"/>
    <w:rsid w:val="00023212"/>
    <w:rsid w:val="00074F4F"/>
    <w:rsid w:val="000A3D6B"/>
    <w:rsid w:val="000E1A03"/>
    <w:rsid w:val="00123802"/>
    <w:rsid w:val="00164B88"/>
    <w:rsid w:val="00191A57"/>
    <w:rsid w:val="001C4A93"/>
    <w:rsid w:val="001D5FB8"/>
    <w:rsid w:val="001D600B"/>
    <w:rsid w:val="00232E45"/>
    <w:rsid w:val="002B72B8"/>
    <w:rsid w:val="002E0464"/>
    <w:rsid w:val="003236F6"/>
    <w:rsid w:val="00360CAA"/>
    <w:rsid w:val="00361BD4"/>
    <w:rsid w:val="003B573B"/>
    <w:rsid w:val="003E7AA4"/>
    <w:rsid w:val="004308F4"/>
    <w:rsid w:val="00461DE0"/>
    <w:rsid w:val="004E3BA8"/>
    <w:rsid w:val="0050108A"/>
    <w:rsid w:val="005157DB"/>
    <w:rsid w:val="005E000F"/>
    <w:rsid w:val="005E0CBC"/>
    <w:rsid w:val="005E3D75"/>
    <w:rsid w:val="00600ED2"/>
    <w:rsid w:val="006529A6"/>
    <w:rsid w:val="006A7B87"/>
    <w:rsid w:val="0073459B"/>
    <w:rsid w:val="00764C55"/>
    <w:rsid w:val="007B0E4C"/>
    <w:rsid w:val="007B1EFF"/>
    <w:rsid w:val="008B47E8"/>
    <w:rsid w:val="008D485B"/>
    <w:rsid w:val="00A424DC"/>
    <w:rsid w:val="00AB176B"/>
    <w:rsid w:val="00AB744E"/>
    <w:rsid w:val="00AC0083"/>
    <w:rsid w:val="00B41471"/>
    <w:rsid w:val="00B422A5"/>
    <w:rsid w:val="00B61234"/>
    <w:rsid w:val="00B90E1B"/>
    <w:rsid w:val="00BA3C8A"/>
    <w:rsid w:val="00BA6409"/>
    <w:rsid w:val="00BF53DE"/>
    <w:rsid w:val="00C07B26"/>
    <w:rsid w:val="00C10637"/>
    <w:rsid w:val="00C42934"/>
    <w:rsid w:val="00CE4AA9"/>
    <w:rsid w:val="00D05234"/>
    <w:rsid w:val="00D73422"/>
    <w:rsid w:val="00D76D96"/>
    <w:rsid w:val="00DE4F75"/>
    <w:rsid w:val="00EB14DC"/>
    <w:rsid w:val="00EB5EAC"/>
    <w:rsid w:val="00EC4450"/>
    <w:rsid w:val="00EF47E9"/>
    <w:rsid w:val="00EF5690"/>
    <w:rsid w:val="00F352A5"/>
    <w:rsid w:val="00F4644D"/>
    <w:rsid w:val="00F549BC"/>
    <w:rsid w:val="00F7290C"/>
    <w:rsid w:val="00FB60FE"/>
    <w:rsid w:val="00FC17B7"/>
    <w:rsid w:val="00FD0F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0108A"/>
    <w:rPr>
      <w:color w:val="288061"/>
    </w:rPr>
  </w:style>
  <w:style w:type="paragraph" w:customStyle="1" w:styleId="B573366518C048D7BE0E3C0336E46867">
    <w:name w:val="B573366518C048D7BE0E3C0336E46867"/>
    <w:rsid w:val="0050108A"/>
  </w:style>
  <w:style w:type="paragraph" w:customStyle="1" w:styleId="D2AC4D6DA57044E9B66C4D5D1E3074F0">
    <w:name w:val="D2AC4D6DA57044E9B66C4D5D1E3074F0"/>
    <w:rsid w:val="0050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2505F-D4B9-4232-B787-42E843AD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8457</Words>
  <Characters>44315</Characters>
  <Application>Microsoft Office Word</Application>
  <DocSecurity>0</DocSecurity>
  <Lines>1429</Lines>
  <Paragraphs>995</Paragraphs>
  <ScaleCrop>false</ScaleCrop>
  <HeadingPairs>
    <vt:vector size="2" baseType="variant">
      <vt:variant>
        <vt:lpstr>Title</vt:lpstr>
      </vt:variant>
      <vt:variant>
        <vt:i4>1</vt:i4>
      </vt:variant>
    </vt:vector>
  </HeadingPairs>
  <TitlesOfParts>
    <vt:vector size="1" baseType="lpstr">
      <vt:lpstr>REPORT FROM THE COMMISSION TO THE EUROPEAN PARLIAMENT AND TO THE COUNCIL</vt:lpstr>
    </vt:vector>
  </TitlesOfParts>
  <Manager/>
  <Company/>
  <LinksUpToDate>false</LinksUpToDate>
  <CharactersWithSpaces>51777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EUROPEAN PARLIAMENT AND TO THE COUNCIL</dc:title>
  <dc:subject>on the actuarial balance of the Pension Scheme for EU Officials and the budgetary implications of Annex XII to the Staff Regulations</dc:subject>
  <dc:creator/>
  <cp:keywords/>
  <dc:description/>
  <cp:lastModifiedBy>EC CoDe</cp:lastModifiedBy>
  <cp:revision>29</cp:revision>
  <cp:lastPrinted>2023-01-24T15:21:00Z</cp:lastPrinted>
  <dcterms:created xsi:type="dcterms:W3CDTF">2023-01-25T09:44:00Z</dcterms:created>
  <dcterms:modified xsi:type="dcterms:W3CDTF">2023-04-04T07:19:00Z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8.0.1, Build 20220429</vt:lpwstr>
  </property>
  <property fmtid="{D5CDD505-2E9C-101B-9397-08002B2CF9AE}" pid="9" name="MSIP_Label_6bd9ddd1-4d20-43f6-abfa-fc3c07406f94_Enabled">
    <vt:lpwstr>true</vt:lpwstr>
  </property>
  <property fmtid="{D5CDD505-2E9C-101B-9397-08002B2CF9AE}" pid="10" name="MSIP_Label_6bd9ddd1-4d20-43f6-abfa-fc3c07406f94_SetDate">
    <vt:lpwstr>2022-10-07T14:37:46Z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a6167bc8-a0c9-422a-a0f8-5ced9fa0d98c</vt:lpwstr>
  </property>
  <property fmtid="{D5CDD505-2E9C-101B-9397-08002B2CF9AE}" pid="15" name="MSIP_Label_6bd9ddd1-4d20-43f6-abfa-fc3c07406f94_ContentBits">
    <vt:lpwstr>0</vt:lpwstr>
  </property>
</Properties>
</file>